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A90" w:rsidRDefault="000670FF" w:rsidP="00B13A90">
      <w:pPr>
        <w:pStyle w:val="TOC2"/>
      </w:pPr>
      <w:bookmarkStart w:id="0" w:name="ChapterTitle"/>
      <w:bookmarkStart w:id="1" w:name="_GoBack"/>
      <w:bookmarkEnd w:id="1"/>
      <w:r>
        <w:rPr>
          <w:noProof/>
          <w:lang w:eastAsia="en-AU"/>
        </w:rPr>
        <w:drawing>
          <wp:anchor distT="0" distB="0" distL="114300" distR="114300" simplePos="0" relativeHeight="251658240" behindDoc="0" locked="0" layoutInCell="1" allowOverlap="1" wp14:anchorId="7709909C" wp14:editId="44FD9D9E">
            <wp:simplePos x="0" y="0"/>
            <wp:positionH relativeFrom="page">
              <wp:align>right</wp:align>
            </wp:positionH>
            <wp:positionV relativeFrom="paragraph">
              <wp:posOffset>-1259840</wp:posOffset>
            </wp:positionV>
            <wp:extent cx="7550468" cy="1067752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upplementary Paper - Investment performance- Supplementary analysis - Cov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0468" cy="10677525"/>
                    </a:xfrm>
                    <a:prstGeom prst="rect">
                      <a:avLst/>
                    </a:prstGeom>
                  </pic:spPr>
                </pic:pic>
              </a:graphicData>
            </a:graphic>
            <wp14:sizeRelH relativeFrom="page">
              <wp14:pctWidth>0</wp14:pctWidth>
            </wp14:sizeRelH>
            <wp14:sizeRelV relativeFrom="page">
              <wp14:pctHeight>0</wp14:pctHeight>
            </wp14:sizeRelV>
          </wp:anchor>
        </w:drawing>
      </w:r>
      <w:r w:rsidR="00B13A90">
        <w:br w:type="page"/>
      </w:r>
    </w:p>
    <w:p w:rsidR="00B13A90" w:rsidRDefault="00B13A90" w:rsidP="00B13A90">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2018</w:t>
      </w:r>
    </w:p>
    <w:p w:rsidR="00B13A90" w:rsidRDefault="00B13A90" w:rsidP="00B13A90">
      <w:pPr>
        <w:pStyle w:val="BodyText"/>
        <w:spacing w:before="120" w:after="120"/>
      </w:pPr>
      <w:bookmarkStart w:id="2" w:name="ISSN"/>
      <w:bookmarkEnd w:id="2"/>
      <w:r w:rsidRPr="00862D8F">
        <w:rPr>
          <w:noProof/>
          <w:sz w:val="22"/>
          <w:szCs w:val="22"/>
        </w:rPr>
        <w:drawing>
          <wp:inline distT="0" distB="0" distL="0" distR="0" wp14:anchorId="5094946F" wp14:editId="6F0F3E96">
            <wp:extent cx="843280" cy="295043"/>
            <wp:effectExtent l="0" t="0" r="0" b="0"/>
            <wp:docPr id="17" name="Picture 17"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rsidR="00B13A90" w:rsidRDefault="00B13A90" w:rsidP="00B13A90">
      <w:pPr>
        <w:pStyle w:val="Copyrightbodytext"/>
        <w:spacing w:before="120"/>
      </w:pPr>
      <w:r>
        <w:t>Except for the Commonwealth Coat of Arms and content supplied by third parties, this copyright work is licensed under a Creative Commons Attribution 3.0 Australia licence. To view a copy of this licence, visit http://creativecommons.org/licenses/by/3.0/au. In essence, you are free to copy, communicate and adapt the work, as long as you attribute the work to the Productivity Commission (but not in any way that suggests the Commission endorses you or your use) and abide by the other licence terms.</w:t>
      </w:r>
    </w:p>
    <w:p w:rsidR="00B13A90" w:rsidRDefault="00B13A90" w:rsidP="00B13A90">
      <w:pPr>
        <w:pStyle w:val="Copyrightheading"/>
        <w:spacing w:before="200"/>
      </w:pPr>
      <w:r>
        <w:t>Use of the Commonwealth Coat of Arms</w:t>
      </w:r>
    </w:p>
    <w:p w:rsidR="00B13A90" w:rsidRDefault="00B13A90" w:rsidP="00B13A90">
      <w:pPr>
        <w:pStyle w:val="Copyrightbodytext"/>
      </w:pPr>
      <w:r>
        <w:t>Terms of use for the Coat of Arms are available from the Department of the Prime Minister and Cabinet’s website: https://www.pmc.gov.au/government/commonwealth-coat-arms</w:t>
      </w:r>
    </w:p>
    <w:p w:rsidR="00B13A90" w:rsidRDefault="00B13A90" w:rsidP="00B13A90">
      <w:pPr>
        <w:pStyle w:val="Copyrightheading"/>
        <w:spacing w:before="200"/>
      </w:pPr>
      <w:r>
        <w:t>Third party copyright</w:t>
      </w:r>
    </w:p>
    <w:p w:rsidR="00B13A90" w:rsidRDefault="00B13A90" w:rsidP="00B13A90">
      <w:pPr>
        <w:pStyle w:val="Copyrightbodytext"/>
      </w:pPr>
      <w:r>
        <w:t>Wherever a third party holds copyright in this material, the copyright remains with that party. Their permission may be required to use the material, please contact them directly.</w:t>
      </w:r>
    </w:p>
    <w:p w:rsidR="00B13A90" w:rsidRDefault="00B13A90" w:rsidP="00B13A90">
      <w:pPr>
        <w:pStyle w:val="Copyrightheading"/>
        <w:spacing w:before="200"/>
      </w:pPr>
      <w:r>
        <w:t>Attribution</w:t>
      </w:r>
    </w:p>
    <w:p w:rsidR="00B13A90" w:rsidRDefault="00B13A90" w:rsidP="00B13A90">
      <w:pPr>
        <w:pStyle w:val="Copyrightbodytext"/>
      </w:pPr>
      <w:r>
        <w:t xml:space="preserve">This work should be attributed as follows, </w:t>
      </w:r>
      <w:r w:rsidRPr="004D3126">
        <w:rPr>
          <w:i/>
        </w:rPr>
        <w:t xml:space="preserve">Source: </w:t>
      </w:r>
      <w:r>
        <w:rPr>
          <w:i/>
        </w:rPr>
        <w:t xml:space="preserve">Productivity Commission, </w:t>
      </w:r>
      <w:r w:rsidRPr="004D3126">
        <w:rPr>
          <w:i/>
        </w:rPr>
        <w:t xml:space="preserve">Supplementary Paper - </w:t>
      </w:r>
      <w:r w:rsidRPr="00B13A90">
        <w:rPr>
          <w:i/>
        </w:rPr>
        <w:t>Investment per</w:t>
      </w:r>
      <w:r>
        <w:rPr>
          <w:i/>
        </w:rPr>
        <w:t>formance: Supplementary analysis.</w:t>
      </w:r>
    </w:p>
    <w:p w:rsidR="00B13A90" w:rsidRDefault="00B13A90" w:rsidP="00B13A90">
      <w:pPr>
        <w:pStyle w:val="Copyrightbodytext"/>
        <w:spacing w:before="80"/>
      </w:pPr>
      <w:r>
        <w:t xml:space="preserve">If you have adapted, modified or transformed this work in anyway, please use the following, </w:t>
      </w:r>
      <w:r w:rsidRPr="004D3126">
        <w:rPr>
          <w:i/>
        </w:rPr>
        <w:t xml:space="preserve">Source: </w:t>
      </w:r>
      <w:r>
        <w:rPr>
          <w:i/>
        </w:rPr>
        <w:t xml:space="preserve">based on Productivity Commission data, Supplementary Paper - </w:t>
      </w:r>
      <w:r w:rsidRPr="00B13A90">
        <w:rPr>
          <w:i/>
        </w:rPr>
        <w:t>Investment performance: Supplementary analysis</w:t>
      </w:r>
      <w:r>
        <w:rPr>
          <w:i/>
        </w:rPr>
        <w:t>.</w:t>
      </w:r>
    </w:p>
    <w:p w:rsidR="00B13A90" w:rsidRDefault="00B13A90" w:rsidP="00B13A90">
      <w:pPr>
        <w:pStyle w:val="Copyrightheading"/>
        <w:spacing w:before="200"/>
      </w:pPr>
      <w:r>
        <w:t>An appropriate reference for this publication is:</w:t>
      </w:r>
    </w:p>
    <w:p w:rsidR="00B13A90" w:rsidRPr="00B13A90" w:rsidRDefault="00B13A90" w:rsidP="00B13A90">
      <w:pPr>
        <w:pStyle w:val="Copyrightbodytext"/>
        <w:rPr>
          <w:i/>
        </w:rPr>
      </w:pPr>
      <w:r>
        <w:t xml:space="preserve">Productivity Commission 2018, </w:t>
      </w:r>
      <w:r>
        <w:rPr>
          <w:i/>
        </w:rPr>
        <w:t xml:space="preserve">Supplementary Paper - </w:t>
      </w:r>
      <w:r w:rsidRPr="00B13A90">
        <w:rPr>
          <w:i/>
        </w:rPr>
        <w:t>Investment performance: Supplementary analysis</w:t>
      </w:r>
      <w:r w:rsidRPr="0034305D">
        <w:t>, Canberra.</w:t>
      </w:r>
    </w:p>
    <w:p w:rsidR="00B13A90" w:rsidRDefault="00B13A90" w:rsidP="00B13A90">
      <w:pPr>
        <w:pStyle w:val="Copyrightheading"/>
        <w:spacing w:before="200"/>
      </w:pPr>
      <w:r>
        <w:t>Publications enquiries</w:t>
      </w:r>
    </w:p>
    <w:p w:rsidR="00B13A90" w:rsidRDefault="00B13A90" w:rsidP="00B13A90">
      <w:pPr>
        <w:pStyle w:val="Copyrightbodytext"/>
      </w:pPr>
      <w:r>
        <w:t>Media, Publications and Web, phone: (03) 9653 2244 or email: mpw@pc.gov.au</w:t>
      </w:r>
      <w:r>
        <w:cr/>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13A90" w:rsidTr="002C562E">
        <w:trPr>
          <w:tblHeader/>
        </w:trPr>
        <w:tc>
          <w:tcPr>
            <w:tcW w:w="5000" w:type="pct"/>
            <w:tcBorders>
              <w:top w:val="single" w:sz="6" w:space="0" w:color="78A22F"/>
              <w:left w:val="nil"/>
              <w:bottom w:val="nil"/>
              <w:right w:val="nil"/>
            </w:tcBorders>
            <w:shd w:val="clear" w:color="auto" w:fill="F2F2F2"/>
          </w:tcPr>
          <w:p w:rsidR="00B13A90" w:rsidRDefault="00B13A90" w:rsidP="002C562E">
            <w:pPr>
              <w:pStyle w:val="BoxTitle"/>
            </w:pPr>
            <w:r w:rsidRPr="0034305D">
              <w:t>The Productivity Commission</w:t>
            </w:r>
          </w:p>
        </w:tc>
      </w:tr>
      <w:tr w:rsidR="00B13A90" w:rsidTr="002C562E">
        <w:tc>
          <w:tcPr>
            <w:tcW w:w="5000" w:type="pct"/>
            <w:tcBorders>
              <w:top w:val="nil"/>
              <w:left w:val="nil"/>
              <w:bottom w:val="nil"/>
              <w:right w:val="nil"/>
            </w:tcBorders>
            <w:shd w:val="clear" w:color="auto" w:fill="F2F2F2"/>
          </w:tcPr>
          <w:p w:rsidR="00B13A90" w:rsidRDefault="00B13A90" w:rsidP="002C562E">
            <w:pPr>
              <w:pStyle w:val="Box"/>
            </w:pPr>
            <w: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rsidR="00B13A90" w:rsidRDefault="00B13A90" w:rsidP="002C562E">
            <w:pPr>
              <w:pStyle w:val="Box"/>
            </w:pPr>
            <w:r>
              <w:t>The Commission’s independence is underpinned by an Act of Parliament. Its processes and outputs are open to public scrutiny and are driven by concern for the wellbeing of the community as a whole.</w:t>
            </w:r>
          </w:p>
          <w:p w:rsidR="00B13A90" w:rsidRPr="00202D7F" w:rsidRDefault="00B13A90" w:rsidP="002C562E">
            <w:pPr>
              <w:pStyle w:val="BoxListBullet2"/>
              <w:numPr>
                <w:ilvl w:val="0"/>
                <w:numId w:val="0"/>
              </w:numPr>
            </w:pPr>
            <w:r>
              <w:t>Further information on the Productivity Commission can be obtained from the Commission’s website (www.pc.gov.au).</w:t>
            </w:r>
          </w:p>
        </w:tc>
      </w:tr>
      <w:tr w:rsidR="00B13A90" w:rsidTr="002C562E">
        <w:tc>
          <w:tcPr>
            <w:tcW w:w="5000" w:type="pct"/>
            <w:tcBorders>
              <w:top w:val="nil"/>
              <w:left w:val="nil"/>
              <w:bottom w:val="single" w:sz="6" w:space="0" w:color="78A22F"/>
              <w:right w:val="nil"/>
            </w:tcBorders>
            <w:shd w:val="clear" w:color="auto" w:fill="F2F2F2"/>
          </w:tcPr>
          <w:p w:rsidR="00B13A90" w:rsidRDefault="00B13A90" w:rsidP="002C562E">
            <w:pPr>
              <w:pStyle w:val="Box"/>
              <w:spacing w:before="0" w:line="120" w:lineRule="exact"/>
            </w:pPr>
          </w:p>
        </w:tc>
      </w:tr>
      <w:tr w:rsidR="00B13A90" w:rsidRPr="000863A5" w:rsidTr="002C562E">
        <w:tc>
          <w:tcPr>
            <w:tcW w:w="5000" w:type="pct"/>
            <w:tcBorders>
              <w:top w:val="single" w:sz="6" w:space="0" w:color="78A22F"/>
              <w:left w:val="nil"/>
              <w:bottom w:val="nil"/>
              <w:right w:val="nil"/>
            </w:tcBorders>
          </w:tcPr>
          <w:p w:rsidR="00B13A90" w:rsidRPr="00626D32" w:rsidRDefault="00B13A90" w:rsidP="002C562E">
            <w:pPr>
              <w:pStyle w:val="BoxSpaceBelow"/>
            </w:pPr>
          </w:p>
        </w:tc>
      </w:tr>
    </w:tbl>
    <w:p w:rsidR="005B28D5" w:rsidRDefault="005B28D5">
      <w:pPr>
        <w:rPr>
          <w:rFonts w:ascii="Arial" w:hAnsi="Arial"/>
          <w:sz w:val="26"/>
          <w:szCs w:val="26"/>
          <w:lang w:eastAsia="en-US"/>
        </w:rPr>
        <w:sectPr w:rsidR="005B28D5" w:rsidSect="00704EC5">
          <w:headerReference w:type="even" r:id="rId16"/>
          <w:headerReference w:type="default" r:id="rId17"/>
          <w:footerReference w:type="even" r:id="rId18"/>
          <w:footerReference w:type="default" r:id="rId19"/>
          <w:pgSz w:w="11907" w:h="16840" w:code="9"/>
          <w:pgMar w:top="1984" w:right="1304" w:bottom="1247" w:left="1814" w:header="1701" w:footer="397" w:gutter="0"/>
          <w:pgNumType w:fmt="lowerRoman" w:chapSep="period"/>
          <w:cols w:space="720"/>
          <w:docGrid w:linePitch="326"/>
        </w:sectPr>
      </w:pPr>
    </w:p>
    <w:p w:rsidR="00173378" w:rsidRDefault="00173378">
      <w:pPr>
        <w:rPr>
          <w:rFonts w:ascii="Arial" w:hAnsi="Arial"/>
          <w:sz w:val="26"/>
          <w:szCs w:val="26"/>
          <w:lang w:eastAsia="en-US"/>
        </w:rPr>
      </w:pPr>
    </w:p>
    <w:p w:rsidR="00173378" w:rsidRDefault="00173378" w:rsidP="00173378">
      <w:pPr>
        <w:pStyle w:val="Heading1nochapterno"/>
      </w:pPr>
      <w:r>
        <w:t>Contents</w:t>
      </w:r>
    </w:p>
    <w:p w:rsidR="00D3203C" w:rsidRPr="00D3203C" w:rsidRDefault="00D3203C">
      <w:pPr>
        <w:pStyle w:val="TOC1"/>
        <w:rPr>
          <w:rFonts w:asciiTheme="minorHAnsi" w:eastAsiaTheme="minorEastAsia" w:hAnsiTheme="minorHAnsi" w:cstheme="minorBidi"/>
          <w:b w:val="0"/>
          <w:noProof/>
          <w:sz w:val="22"/>
          <w:szCs w:val="22"/>
          <w:lang w:eastAsia="en-AU"/>
        </w:rPr>
      </w:pPr>
      <w:r w:rsidRPr="00D3203C">
        <w:rPr>
          <w:rStyle w:val="Hyperlink"/>
          <w:noProof/>
          <w:u w:val="none"/>
        </w:rPr>
        <w:t>Investment returns</w:t>
      </w:r>
      <w:r w:rsidRPr="00D3203C">
        <w:rPr>
          <w:noProof/>
          <w:webHidden/>
        </w:rPr>
        <w:tab/>
        <w:t>6</w:t>
      </w:r>
    </w:p>
    <w:p w:rsidR="00D3203C" w:rsidRPr="00D3203C" w:rsidRDefault="00D3203C">
      <w:pPr>
        <w:pStyle w:val="TOC2"/>
        <w:rPr>
          <w:rFonts w:asciiTheme="minorHAnsi" w:eastAsiaTheme="minorEastAsia" w:hAnsiTheme="minorHAnsi" w:cstheme="minorBidi"/>
          <w:noProof/>
          <w:sz w:val="22"/>
          <w:szCs w:val="22"/>
          <w:lang w:eastAsia="en-AU"/>
        </w:rPr>
      </w:pPr>
      <w:r w:rsidRPr="00D3203C">
        <w:rPr>
          <w:rStyle w:val="Hyperlink"/>
          <w:noProof/>
          <w:u w:val="none"/>
        </w:rPr>
        <w:t>Asset</w:t>
      </w:r>
      <w:r w:rsidRPr="00D3203C">
        <w:rPr>
          <w:rStyle w:val="Hyperlink"/>
          <w:noProof/>
          <w:u w:val="none"/>
        </w:rPr>
        <w:noBreakHyphen/>
        <w:t>class returns benchmarking to financial indexes</w:t>
      </w:r>
      <w:r w:rsidRPr="00D3203C">
        <w:rPr>
          <w:noProof/>
          <w:webHidden/>
        </w:rPr>
        <w:tab/>
        <w:t>6</w:t>
      </w:r>
    </w:p>
    <w:p w:rsidR="00D3203C" w:rsidRPr="00D3203C" w:rsidRDefault="00D3203C">
      <w:pPr>
        <w:pStyle w:val="TOC2"/>
        <w:rPr>
          <w:rFonts w:asciiTheme="minorHAnsi" w:eastAsiaTheme="minorEastAsia" w:hAnsiTheme="minorHAnsi" w:cstheme="minorBidi"/>
          <w:noProof/>
          <w:sz w:val="22"/>
          <w:szCs w:val="22"/>
          <w:lang w:eastAsia="en-AU"/>
        </w:rPr>
      </w:pPr>
      <w:r w:rsidRPr="00D3203C">
        <w:rPr>
          <w:rStyle w:val="Hyperlink"/>
          <w:noProof/>
          <w:u w:val="none"/>
        </w:rPr>
        <w:t>Asset</w:t>
      </w:r>
      <w:r w:rsidRPr="00D3203C">
        <w:rPr>
          <w:rStyle w:val="Hyperlink"/>
          <w:noProof/>
          <w:u w:val="none"/>
        </w:rPr>
        <w:noBreakHyphen/>
        <w:t>class returns benchmarking to other countries</w:t>
      </w:r>
      <w:r w:rsidRPr="00D3203C">
        <w:rPr>
          <w:noProof/>
          <w:webHidden/>
        </w:rPr>
        <w:tab/>
        <w:t>12</w:t>
      </w:r>
    </w:p>
    <w:p w:rsidR="00D3203C" w:rsidRPr="00D3203C" w:rsidRDefault="00D3203C">
      <w:pPr>
        <w:pStyle w:val="TOC2"/>
        <w:rPr>
          <w:rFonts w:asciiTheme="minorHAnsi" w:eastAsiaTheme="minorEastAsia" w:hAnsiTheme="minorHAnsi" w:cstheme="minorBidi"/>
          <w:noProof/>
          <w:sz w:val="22"/>
          <w:szCs w:val="22"/>
          <w:lang w:eastAsia="en-AU"/>
        </w:rPr>
      </w:pPr>
      <w:r w:rsidRPr="00D3203C">
        <w:rPr>
          <w:rStyle w:val="Hyperlink"/>
          <w:noProof/>
          <w:u w:val="none"/>
        </w:rPr>
        <w:t>Investment performance attribution</w:t>
      </w:r>
      <w:r w:rsidRPr="00D3203C">
        <w:rPr>
          <w:noProof/>
          <w:webHidden/>
        </w:rPr>
        <w:tab/>
        <w:t>14</w:t>
      </w:r>
    </w:p>
    <w:p w:rsidR="00D3203C" w:rsidRPr="00D3203C" w:rsidRDefault="00D3203C">
      <w:pPr>
        <w:pStyle w:val="TOC2"/>
        <w:rPr>
          <w:rFonts w:asciiTheme="minorHAnsi" w:eastAsiaTheme="minorEastAsia" w:hAnsiTheme="minorHAnsi" w:cstheme="minorBidi"/>
          <w:noProof/>
          <w:sz w:val="22"/>
          <w:szCs w:val="22"/>
          <w:lang w:eastAsia="en-AU"/>
        </w:rPr>
      </w:pPr>
      <w:r w:rsidRPr="00D3203C">
        <w:rPr>
          <w:rStyle w:val="Hyperlink"/>
          <w:noProof/>
          <w:u w:val="none"/>
        </w:rPr>
        <w:t>Investment performance over shorter time periods</w:t>
      </w:r>
      <w:r w:rsidRPr="00D3203C">
        <w:rPr>
          <w:noProof/>
          <w:webHidden/>
        </w:rPr>
        <w:tab/>
        <w:t>30</w:t>
      </w:r>
    </w:p>
    <w:p w:rsidR="00D3203C" w:rsidRPr="00D3203C" w:rsidRDefault="00D3203C">
      <w:pPr>
        <w:pStyle w:val="TOC2"/>
        <w:rPr>
          <w:rFonts w:asciiTheme="minorHAnsi" w:eastAsiaTheme="minorEastAsia" w:hAnsiTheme="minorHAnsi" w:cstheme="minorBidi"/>
          <w:noProof/>
          <w:sz w:val="22"/>
          <w:szCs w:val="22"/>
          <w:lang w:eastAsia="en-AU"/>
        </w:rPr>
      </w:pPr>
      <w:r w:rsidRPr="00D3203C">
        <w:rPr>
          <w:rStyle w:val="Hyperlink"/>
          <w:noProof/>
          <w:u w:val="none"/>
        </w:rPr>
        <w:t>Updates and adjustments to the (draft report) benchmarks</w:t>
      </w:r>
      <w:r w:rsidRPr="00D3203C">
        <w:rPr>
          <w:noProof/>
          <w:webHidden/>
        </w:rPr>
        <w:tab/>
        <w:t>35</w:t>
      </w:r>
    </w:p>
    <w:p w:rsidR="00D3203C" w:rsidRPr="00D3203C" w:rsidRDefault="00D3203C">
      <w:pPr>
        <w:pStyle w:val="TOC2"/>
        <w:rPr>
          <w:rFonts w:asciiTheme="minorHAnsi" w:eastAsiaTheme="minorEastAsia" w:hAnsiTheme="minorHAnsi" w:cstheme="minorBidi"/>
          <w:noProof/>
          <w:sz w:val="22"/>
          <w:szCs w:val="22"/>
          <w:lang w:eastAsia="en-AU"/>
        </w:rPr>
      </w:pPr>
      <w:r w:rsidRPr="00D3203C">
        <w:rPr>
          <w:rStyle w:val="Hyperlink"/>
          <w:noProof/>
          <w:u w:val="none"/>
        </w:rPr>
        <w:t>How have the main benchmarking results changed?</w:t>
      </w:r>
      <w:r w:rsidRPr="00D3203C">
        <w:rPr>
          <w:noProof/>
          <w:webHidden/>
        </w:rPr>
        <w:tab/>
        <w:t>39</w:t>
      </w:r>
    </w:p>
    <w:p w:rsidR="00D3203C" w:rsidRPr="00D3203C" w:rsidRDefault="00D3203C">
      <w:pPr>
        <w:pStyle w:val="TOC1"/>
        <w:rPr>
          <w:rFonts w:asciiTheme="minorHAnsi" w:eastAsiaTheme="minorEastAsia" w:hAnsiTheme="minorHAnsi" w:cstheme="minorBidi"/>
          <w:b w:val="0"/>
          <w:noProof/>
          <w:sz w:val="22"/>
          <w:szCs w:val="22"/>
          <w:lang w:eastAsia="en-AU"/>
        </w:rPr>
      </w:pPr>
      <w:r w:rsidRPr="00D3203C">
        <w:rPr>
          <w:rStyle w:val="Hyperlink"/>
          <w:noProof/>
          <w:u w:val="none"/>
        </w:rPr>
        <w:t>Fees and costs</w:t>
      </w:r>
      <w:r w:rsidRPr="00D3203C">
        <w:rPr>
          <w:noProof/>
          <w:webHidden/>
        </w:rPr>
        <w:tab/>
        <w:t>43</w:t>
      </w:r>
    </w:p>
    <w:p w:rsidR="00D3203C" w:rsidRPr="00D3203C" w:rsidRDefault="00D3203C">
      <w:pPr>
        <w:pStyle w:val="TOC2"/>
        <w:rPr>
          <w:rFonts w:asciiTheme="minorHAnsi" w:eastAsiaTheme="minorEastAsia" w:hAnsiTheme="minorHAnsi" w:cstheme="minorBidi"/>
          <w:noProof/>
          <w:sz w:val="22"/>
          <w:szCs w:val="22"/>
          <w:lang w:eastAsia="en-AU"/>
        </w:rPr>
      </w:pPr>
      <w:r w:rsidRPr="00D3203C">
        <w:rPr>
          <w:rStyle w:val="Hyperlink"/>
          <w:noProof/>
          <w:u w:val="none"/>
        </w:rPr>
        <w:t>The high</w:t>
      </w:r>
      <w:r w:rsidRPr="00D3203C">
        <w:rPr>
          <w:rStyle w:val="Hyperlink"/>
          <w:noProof/>
          <w:u w:val="none"/>
        </w:rPr>
        <w:noBreakHyphen/>
        <w:t>fee tail</w:t>
      </w:r>
      <w:r w:rsidRPr="00D3203C">
        <w:rPr>
          <w:noProof/>
          <w:webHidden/>
        </w:rPr>
        <w:tab/>
        <w:t>44</w:t>
      </w:r>
    </w:p>
    <w:p w:rsidR="00D3203C" w:rsidRPr="00D3203C" w:rsidRDefault="00D3203C">
      <w:pPr>
        <w:pStyle w:val="TOC2"/>
        <w:rPr>
          <w:rFonts w:asciiTheme="minorHAnsi" w:eastAsiaTheme="minorEastAsia" w:hAnsiTheme="minorHAnsi" w:cstheme="minorBidi"/>
          <w:noProof/>
          <w:sz w:val="22"/>
          <w:szCs w:val="22"/>
          <w:lang w:eastAsia="en-AU"/>
        </w:rPr>
      </w:pPr>
      <w:r w:rsidRPr="00D3203C">
        <w:rPr>
          <w:rStyle w:val="Hyperlink"/>
          <w:noProof/>
          <w:u w:val="none"/>
        </w:rPr>
        <w:t>Financial advice fees</w:t>
      </w:r>
      <w:r w:rsidRPr="00D3203C">
        <w:rPr>
          <w:noProof/>
          <w:webHidden/>
        </w:rPr>
        <w:tab/>
        <w:t>47</w:t>
      </w:r>
    </w:p>
    <w:p w:rsidR="00D3203C" w:rsidRPr="00D3203C" w:rsidRDefault="00D3203C">
      <w:pPr>
        <w:pStyle w:val="TOC2"/>
        <w:rPr>
          <w:rFonts w:asciiTheme="minorHAnsi" w:eastAsiaTheme="minorEastAsia" w:hAnsiTheme="minorHAnsi" w:cstheme="minorBidi"/>
          <w:noProof/>
          <w:sz w:val="22"/>
          <w:szCs w:val="22"/>
          <w:lang w:eastAsia="en-AU"/>
        </w:rPr>
      </w:pPr>
      <w:r w:rsidRPr="00D3203C">
        <w:rPr>
          <w:rStyle w:val="Hyperlink"/>
          <w:noProof/>
          <w:u w:val="none"/>
        </w:rPr>
        <w:t>Administration fees</w:t>
      </w:r>
      <w:r w:rsidRPr="00D3203C">
        <w:rPr>
          <w:noProof/>
          <w:webHidden/>
        </w:rPr>
        <w:tab/>
        <w:t>48</w:t>
      </w:r>
    </w:p>
    <w:p w:rsidR="00D3203C" w:rsidRPr="00D3203C" w:rsidRDefault="00D3203C">
      <w:pPr>
        <w:pStyle w:val="TOC2"/>
        <w:rPr>
          <w:rFonts w:asciiTheme="minorHAnsi" w:eastAsiaTheme="minorEastAsia" w:hAnsiTheme="minorHAnsi" w:cstheme="minorBidi"/>
          <w:noProof/>
          <w:sz w:val="22"/>
          <w:szCs w:val="22"/>
          <w:lang w:eastAsia="en-AU"/>
        </w:rPr>
      </w:pPr>
      <w:r w:rsidRPr="00D3203C">
        <w:rPr>
          <w:rStyle w:val="Hyperlink"/>
          <w:noProof/>
          <w:u w:val="none"/>
        </w:rPr>
        <w:t>Asset</w:t>
      </w:r>
      <w:r w:rsidRPr="00D3203C">
        <w:rPr>
          <w:rStyle w:val="Hyperlink"/>
          <w:noProof/>
          <w:u w:val="none"/>
        </w:rPr>
        <w:noBreakHyphen/>
        <w:t>class costs in the funds survey</w:t>
      </w:r>
      <w:r w:rsidRPr="00D3203C">
        <w:rPr>
          <w:noProof/>
          <w:webHidden/>
        </w:rPr>
        <w:tab/>
        <w:t>50</w:t>
      </w:r>
    </w:p>
    <w:p w:rsidR="00D3203C" w:rsidRPr="00D3203C" w:rsidRDefault="00D3203C">
      <w:pPr>
        <w:pStyle w:val="TOC2"/>
        <w:rPr>
          <w:rFonts w:asciiTheme="minorHAnsi" w:eastAsiaTheme="minorEastAsia" w:hAnsiTheme="minorHAnsi" w:cstheme="minorBidi"/>
          <w:noProof/>
          <w:sz w:val="22"/>
          <w:szCs w:val="22"/>
          <w:lang w:eastAsia="en-AU"/>
        </w:rPr>
      </w:pPr>
      <w:r w:rsidRPr="00D3203C">
        <w:rPr>
          <w:rStyle w:val="Hyperlink"/>
          <w:noProof/>
          <w:u w:val="none"/>
        </w:rPr>
        <w:t>Asset</w:t>
      </w:r>
      <w:r w:rsidRPr="00D3203C">
        <w:rPr>
          <w:rStyle w:val="Hyperlink"/>
          <w:noProof/>
          <w:u w:val="none"/>
        </w:rPr>
        <w:noBreakHyphen/>
        <w:t>class costs benchmarking to other countries</w:t>
      </w:r>
      <w:r w:rsidRPr="00D3203C">
        <w:rPr>
          <w:noProof/>
          <w:webHidden/>
        </w:rPr>
        <w:tab/>
        <w:t>51</w:t>
      </w:r>
    </w:p>
    <w:p w:rsidR="00D3203C" w:rsidRPr="00D3203C" w:rsidRDefault="00D3203C">
      <w:pPr>
        <w:pStyle w:val="TOC1"/>
        <w:rPr>
          <w:rFonts w:asciiTheme="minorHAnsi" w:eastAsiaTheme="minorEastAsia" w:hAnsiTheme="minorHAnsi" w:cstheme="minorBidi"/>
          <w:b w:val="0"/>
          <w:noProof/>
          <w:sz w:val="22"/>
          <w:szCs w:val="22"/>
          <w:lang w:eastAsia="en-AU"/>
        </w:rPr>
      </w:pPr>
      <w:r w:rsidRPr="00D3203C">
        <w:rPr>
          <w:rStyle w:val="Hyperlink"/>
          <w:noProof/>
          <w:u w:val="none"/>
        </w:rPr>
        <w:t>Related parties</w:t>
      </w:r>
      <w:r w:rsidRPr="00D3203C">
        <w:rPr>
          <w:noProof/>
          <w:webHidden/>
        </w:rPr>
        <w:tab/>
        <w:t>53</w:t>
      </w:r>
    </w:p>
    <w:p w:rsidR="00D3203C" w:rsidRPr="00D3203C" w:rsidRDefault="00D3203C">
      <w:pPr>
        <w:pStyle w:val="TOC2"/>
        <w:rPr>
          <w:rFonts w:asciiTheme="minorHAnsi" w:eastAsiaTheme="minorEastAsia" w:hAnsiTheme="minorHAnsi" w:cstheme="minorBidi"/>
          <w:noProof/>
          <w:sz w:val="22"/>
          <w:szCs w:val="22"/>
          <w:lang w:eastAsia="en-AU"/>
        </w:rPr>
      </w:pPr>
      <w:r w:rsidRPr="00D3203C">
        <w:rPr>
          <w:rStyle w:val="Hyperlink"/>
          <w:noProof/>
          <w:u w:val="none"/>
        </w:rPr>
        <w:t>Administration expenses</w:t>
      </w:r>
      <w:r w:rsidRPr="00D3203C">
        <w:rPr>
          <w:noProof/>
          <w:webHidden/>
        </w:rPr>
        <w:tab/>
        <w:t>55</w:t>
      </w:r>
    </w:p>
    <w:p w:rsidR="00D3203C" w:rsidRPr="00D3203C" w:rsidRDefault="00D3203C">
      <w:pPr>
        <w:pStyle w:val="TOC2"/>
        <w:rPr>
          <w:rFonts w:asciiTheme="minorHAnsi" w:eastAsiaTheme="minorEastAsia" w:hAnsiTheme="minorHAnsi" w:cstheme="minorBidi"/>
          <w:noProof/>
          <w:sz w:val="22"/>
          <w:szCs w:val="22"/>
          <w:lang w:eastAsia="en-AU"/>
        </w:rPr>
      </w:pPr>
      <w:r w:rsidRPr="00D3203C">
        <w:rPr>
          <w:rStyle w:val="Hyperlink"/>
          <w:noProof/>
          <w:u w:val="none"/>
        </w:rPr>
        <w:t>Investment expenses</w:t>
      </w:r>
      <w:r w:rsidRPr="00D3203C">
        <w:rPr>
          <w:noProof/>
          <w:webHidden/>
        </w:rPr>
        <w:tab/>
        <w:t>57</w:t>
      </w:r>
    </w:p>
    <w:p w:rsidR="00D3203C" w:rsidRPr="00D3203C" w:rsidRDefault="00D3203C">
      <w:pPr>
        <w:pStyle w:val="TOC1"/>
        <w:rPr>
          <w:rFonts w:asciiTheme="minorHAnsi" w:eastAsiaTheme="minorEastAsia" w:hAnsiTheme="minorHAnsi" w:cstheme="minorBidi"/>
          <w:b w:val="0"/>
          <w:noProof/>
          <w:sz w:val="22"/>
          <w:szCs w:val="22"/>
          <w:lang w:eastAsia="en-AU"/>
        </w:rPr>
      </w:pPr>
      <w:r w:rsidRPr="00D3203C">
        <w:rPr>
          <w:rStyle w:val="Hyperlink"/>
          <w:noProof/>
          <w:u w:val="none"/>
        </w:rPr>
        <w:t>SMSF returns and expenses</w:t>
      </w:r>
      <w:r w:rsidRPr="00D3203C">
        <w:rPr>
          <w:noProof/>
          <w:webHidden/>
        </w:rPr>
        <w:tab/>
        <w:t>58</w:t>
      </w:r>
    </w:p>
    <w:p w:rsidR="00D3203C" w:rsidRPr="00D3203C" w:rsidRDefault="00D3203C">
      <w:pPr>
        <w:pStyle w:val="TOC2"/>
        <w:rPr>
          <w:rFonts w:asciiTheme="minorHAnsi" w:eastAsiaTheme="minorEastAsia" w:hAnsiTheme="minorHAnsi" w:cstheme="minorBidi"/>
          <w:noProof/>
          <w:sz w:val="22"/>
          <w:szCs w:val="22"/>
          <w:lang w:eastAsia="en-AU"/>
        </w:rPr>
      </w:pPr>
      <w:r w:rsidRPr="00D3203C">
        <w:rPr>
          <w:rStyle w:val="Hyperlink"/>
          <w:noProof/>
          <w:u w:val="none"/>
        </w:rPr>
        <w:t>Net returns calculations</w:t>
      </w:r>
      <w:r w:rsidRPr="00D3203C">
        <w:rPr>
          <w:noProof/>
          <w:webHidden/>
        </w:rPr>
        <w:tab/>
        <w:t>58</w:t>
      </w:r>
    </w:p>
    <w:p w:rsidR="00D3203C" w:rsidRPr="00D3203C" w:rsidRDefault="00D3203C">
      <w:pPr>
        <w:pStyle w:val="TOC2"/>
        <w:rPr>
          <w:rFonts w:asciiTheme="minorHAnsi" w:eastAsiaTheme="minorEastAsia" w:hAnsiTheme="minorHAnsi" w:cstheme="minorBidi"/>
          <w:noProof/>
          <w:sz w:val="22"/>
          <w:szCs w:val="22"/>
          <w:lang w:eastAsia="en-AU"/>
        </w:rPr>
      </w:pPr>
      <w:r w:rsidRPr="00D3203C">
        <w:rPr>
          <w:rStyle w:val="Hyperlink"/>
          <w:noProof/>
          <w:u w:val="none"/>
        </w:rPr>
        <w:t>New and existing SMSFs</w:t>
      </w:r>
      <w:r w:rsidRPr="00D3203C">
        <w:rPr>
          <w:noProof/>
          <w:webHidden/>
        </w:rPr>
        <w:tab/>
        <w:t>61</w:t>
      </w:r>
    </w:p>
    <w:p w:rsidR="00D3203C" w:rsidRPr="00D3203C" w:rsidRDefault="00D3203C">
      <w:pPr>
        <w:pStyle w:val="TOC2"/>
        <w:rPr>
          <w:rFonts w:asciiTheme="minorHAnsi" w:eastAsiaTheme="minorEastAsia" w:hAnsiTheme="minorHAnsi" w:cstheme="minorBidi"/>
          <w:noProof/>
          <w:sz w:val="22"/>
          <w:szCs w:val="22"/>
          <w:lang w:eastAsia="en-AU"/>
        </w:rPr>
      </w:pPr>
      <w:r w:rsidRPr="00D3203C">
        <w:rPr>
          <w:rStyle w:val="Hyperlink"/>
          <w:noProof/>
          <w:u w:val="none"/>
        </w:rPr>
        <w:t>Age of SMSF trustees</w:t>
      </w:r>
      <w:r w:rsidRPr="00D3203C">
        <w:rPr>
          <w:noProof/>
          <w:webHidden/>
        </w:rPr>
        <w:tab/>
        <w:t>66</w:t>
      </w:r>
    </w:p>
    <w:p w:rsidR="00D3203C" w:rsidRPr="00D3203C" w:rsidRDefault="00D3203C">
      <w:pPr>
        <w:pStyle w:val="TOC2"/>
        <w:rPr>
          <w:rFonts w:asciiTheme="minorHAnsi" w:eastAsiaTheme="minorEastAsia" w:hAnsiTheme="minorHAnsi" w:cstheme="minorBidi"/>
          <w:noProof/>
          <w:sz w:val="22"/>
          <w:szCs w:val="22"/>
          <w:lang w:eastAsia="en-AU"/>
        </w:rPr>
      </w:pPr>
      <w:r w:rsidRPr="00D3203C">
        <w:rPr>
          <w:rStyle w:val="Hyperlink"/>
          <w:noProof/>
          <w:u w:val="none"/>
        </w:rPr>
        <w:t>SMSF asset allocation</w:t>
      </w:r>
      <w:r w:rsidRPr="00D3203C">
        <w:rPr>
          <w:noProof/>
          <w:webHidden/>
        </w:rPr>
        <w:tab/>
        <w:t>67</w:t>
      </w:r>
    </w:p>
    <w:p w:rsidR="00D3203C" w:rsidRPr="00D3203C" w:rsidRDefault="00D3203C">
      <w:pPr>
        <w:pStyle w:val="TOC1"/>
        <w:rPr>
          <w:rFonts w:asciiTheme="minorHAnsi" w:eastAsiaTheme="minorEastAsia" w:hAnsiTheme="minorHAnsi" w:cstheme="minorBidi"/>
          <w:b w:val="0"/>
          <w:noProof/>
          <w:sz w:val="22"/>
          <w:szCs w:val="22"/>
          <w:lang w:eastAsia="en-AU"/>
        </w:rPr>
      </w:pPr>
      <w:r w:rsidRPr="00D3203C">
        <w:rPr>
          <w:rStyle w:val="Hyperlink"/>
          <w:noProof/>
          <w:u w:val="none"/>
        </w:rPr>
        <w:t>References</w:t>
      </w:r>
      <w:r w:rsidRPr="00D3203C">
        <w:rPr>
          <w:noProof/>
          <w:webHidden/>
        </w:rPr>
        <w:tab/>
        <w:t>69</w:t>
      </w:r>
    </w:p>
    <w:p w:rsidR="00D3203C" w:rsidRPr="00D3203C" w:rsidRDefault="00D3203C">
      <w:pPr>
        <w:pStyle w:val="TOC1"/>
        <w:rPr>
          <w:rFonts w:asciiTheme="minorHAnsi" w:eastAsiaTheme="minorEastAsia" w:hAnsiTheme="minorHAnsi" w:cstheme="minorBidi"/>
          <w:b w:val="0"/>
          <w:noProof/>
          <w:sz w:val="22"/>
          <w:szCs w:val="22"/>
          <w:lang w:eastAsia="en-AU"/>
        </w:rPr>
      </w:pPr>
      <w:r w:rsidRPr="00D3203C">
        <w:rPr>
          <w:rStyle w:val="Hyperlink"/>
          <w:noProof/>
          <w:u w:val="none"/>
        </w:rPr>
        <w:t>Attachment: fund survey recipients and respondents</w:t>
      </w:r>
      <w:r w:rsidRPr="00D3203C">
        <w:rPr>
          <w:noProof/>
          <w:webHidden/>
        </w:rPr>
        <w:tab/>
        <w:t>69</w:t>
      </w:r>
    </w:p>
    <w:p w:rsidR="00C009BA" w:rsidRPr="00D3203C" w:rsidRDefault="00C009BA" w:rsidP="00D3203C">
      <w:pPr>
        <w:sectPr w:rsidR="00C009BA" w:rsidRPr="00D3203C" w:rsidSect="00E72CD2">
          <w:headerReference w:type="default" r:id="rId20"/>
          <w:footerReference w:type="default" r:id="rId21"/>
          <w:pgSz w:w="11907" w:h="16840" w:code="9"/>
          <w:pgMar w:top="1984" w:right="1304" w:bottom="1247" w:left="1814" w:header="1701" w:footer="397" w:gutter="0"/>
          <w:pgNumType w:fmt="lowerRoman" w:start="3" w:chapSep="period"/>
          <w:cols w:space="720"/>
          <w:docGrid w:linePitch="326"/>
        </w:sectPr>
      </w:pPr>
    </w:p>
    <w:p w:rsidR="004B2367" w:rsidRDefault="00177212" w:rsidP="00392CD2">
      <w:pPr>
        <w:pStyle w:val="Heading1nochapterno"/>
      </w:pPr>
      <w:bookmarkStart w:id="3" w:name="_Toc528229660"/>
      <w:r>
        <w:lastRenderedPageBreak/>
        <w:t xml:space="preserve">Investment performance: </w:t>
      </w:r>
      <w:r w:rsidR="008338CF">
        <w:t>Supplementary</w:t>
      </w:r>
      <w:r>
        <w:t xml:space="preserve"> analysis</w:t>
      </w:r>
      <w:bookmarkEnd w:id="0"/>
      <w:bookmarkEnd w:id="3"/>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B2367" w:rsidTr="004B2367">
        <w:trPr>
          <w:tblHeader/>
        </w:trPr>
        <w:tc>
          <w:tcPr>
            <w:tcW w:w="5000" w:type="pct"/>
            <w:tcBorders>
              <w:top w:val="single" w:sz="6" w:space="0" w:color="78A22F"/>
              <w:left w:val="nil"/>
              <w:bottom w:val="nil"/>
              <w:right w:val="nil"/>
            </w:tcBorders>
            <w:shd w:val="clear" w:color="auto" w:fill="F2F2F2"/>
          </w:tcPr>
          <w:p w:rsidR="004B2367" w:rsidRDefault="004B2367" w:rsidP="001F7A7A">
            <w:pPr>
              <w:pStyle w:val="BoxTitle"/>
            </w:pPr>
            <w:r>
              <w:t>Key points</w:t>
            </w:r>
          </w:p>
        </w:tc>
      </w:tr>
      <w:tr w:rsidR="004B2367" w:rsidTr="00AB6082">
        <w:trPr>
          <w:trHeight w:val="5658"/>
        </w:trPr>
        <w:tc>
          <w:tcPr>
            <w:tcW w:w="5000" w:type="pct"/>
            <w:tcBorders>
              <w:top w:val="nil"/>
              <w:left w:val="nil"/>
              <w:bottom w:val="nil"/>
              <w:right w:val="nil"/>
            </w:tcBorders>
            <w:shd w:val="clear" w:color="auto" w:fill="F2F2F2"/>
          </w:tcPr>
          <w:p w:rsidR="000B79A6" w:rsidRDefault="000B79A6" w:rsidP="000B79A6">
            <w:pPr>
              <w:pStyle w:val="KeyPointsListBullet"/>
            </w:pPr>
            <w:r>
              <w:t xml:space="preserve">This paper sets out additional analysis of investment returns, fees and costs in the superannuation system, including now by asset class, </w:t>
            </w:r>
            <w:r w:rsidRPr="00F26070">
              <w:t>which will inform the final inquiry report.</w:t>
            </w:r>
          </w:p>
          <w:p w:rsidR="000B79A6" w:rsidRPr="00F26070" w:rsidRDefault="000B79A6" w:rsidP="003E459F">
            <w:pPr>
              <w:pStyle w:val="KeyPointsListBullet2"/>
            </w:pPr>
            <w:r w:rsidRPr="00F26070">
              <w:t xml:space="preserve">The paper also updates key </w:t>
            </w:r>
            <w:r>
              <w:t xml:space="preserve">investment performance </w:t>
            </w:r>
            <w:r w:rsidRPr="00F26070">
              <w:t>results from the draft report</w:t>
            </w:r>
            <w:r>
              <w:t xml:space="preserve">. Notably, </w:t>
            </w:r>
            <w:r w:rsidRPr="00F26070">
              <w:t>the</w:t>
            </w:r>
            <w:r>
              <w:t>se</w:t>
            </w:r>
            <w:r w:rsidRPr="00F26070">
              <w:t xml:space="preserve"> </w:t>
            </w:r>
            <w:r>
              <w:t xml:space="preserve">updates have not materially changed the </w:t>
            </w:r>
            <w:r w:rsidRPr="00F26070">
              <w:t>number of member</w:t>
            </w:r>
            <w:r>
              <w:t xml:space="preserve"> account</w:t>
            </w:r>
            <w:r w:rsidRPr="00F26070">
              <w:t xml:space="preserve">s in underperforming funds </w:t>
            </w:r>
            <w:r>
              <w:t xml:space="preserve">and MySuper products. </w:t>
            </w:r>
          </w:p>
          <w:p w:rsidR="000B79A6" w:rsidRDefault="000B79A6" w:rsidP="000B79A6">
            <w:pPr>
              <w:pStyle w:val="KeyPointsListBullet"/>
            </w:pPr>
            <w:r w:rsidRPr="00F26070">
              <w:t xml:space="preserve">Data from </w:t>
            </w:r>
            <w:r>
              <w:t xml:space="preserve">the Commission’s </w:t>
            </w:r>
            <w:r w:rsidRPr="00F26070">
              <w:t xml:space="preserve">supplementary </w:t>
            </w:r>
            <w:r w:rsidR="00B533F2">
              <w:t>(‘</w:t>
            </w:r>
            <w:r>
              <w:t xml:space="preserve">second chance’) </w:t>
            </w:r>
            <w:r w:rsidRPr="00F26070">
              <w:t>survey of funds indicate that system</w:t>
            </w:r>
            <w:r w:rsidRPr="00F26070">
              <w:noBreakHyphen/>
              <w:t xml:space="preserve">level returns net of investment expenses were </w:t>
            </w:r>
            <w:r>
              <w:t xml:space="preserve">(on average) </w:t>
            </w:r>
            <w:r w:rsidRPr="00F26070">
              <w:t xml:space="preserve">close to or above financial </w:t>
            </w:r>
            <w:r>
              <w:t>market indexes for most asset classes over the 10 years to 2017. These results suggest a slightly more positive picture of system performance than the draft report’s system</w:t>
            </w:r>
            <w:r>
              <w:noBreakHyphen/>
              <w:t>level benchmarking (where APRA</w:t>
            </w:r>
            <w:r>
              <w:noBreakHyphen/>
              <w:t>regulated funds as a whole fell below their BP2 benchmark). The discrepancy is unsurprising given the s</w:t>
            </w:r>
            <w:r w:rsidR="005F2D6E">
              <w:t>urvey data are</w:t>
            </w:r>
            <w:r>
              <w:t xml:space="preserve"> subject to both survivor and selection b</w:t>
            </w:r>
            <w:r w:rsidR="00A110B7">
              <w:t>ias relative to the APRA data.</w:t>
            </w:r>
          </w:p>
          <w:p w:rsidR="000B79A6" w:rsidRDefault="000B79A6" w:rsidP="003E459F">
            <w:pPr>
              <w:pStyle w:val="KeyPointsListBullet"/>
            </w:pPr>
            <w:r>
              <w:t>Consistent with the analysis of relative performance by segment</w:t>
            </w:r>
            <w:r w:rsidR="00184C93">
              <w:t xml:space="preserve"> </w:t>
            </w:r>
            <w:r>
              <w:t>set out in the draft report, n</w:t>
            </w:r>
            <w:r w:rsidRPr="001708FE">
              <w:t>ot</w:t>
            </w:r>
            <w:r w:rsidR="00617DD2">
              <w:noBreakHyphen/>
            </w:r>
            <w:r w:rsidRPr="001708FE">
              <w:t>for</w:t>
            </w:r>
            <w:r w:rsidR="00617DD2">
              <w:noBreakHyphen/>
            </w:r>
            <w:r w:rsidRPr="001708FE">
              <w:t xml:space="preserve">profit funds </w:t>
            </w:r>
            <w:r>
              <w:t>(on average) reported</w:t>
            </w:r>
            <w:r w:rsidRPr="001708FE">
              <w:t xml:space="preserve"> higher net returns and lower average costs</w:t>
            </w:r>
            <w:r>
              <w:t xml:space="preserve"> t</w:t>
            </w:r>
            <w:r w:rsidRPr="001708FE">
              <w:t>han retail funds in most major asset classes.</w:t>
            </w:r>
          </w:p>
          <w:p w:rsidR="000B79A6" w:rsidRPr="001708FE" w:rsidRDefault="000B79A6" w:rsidP="0072455F">
            <w:pPr>
              <w:pStyle w:val="KeyPointsListBullet"/>
            </w:pPr>
            <w:r>
              <w:t xml:space="preserve">At a system level, Australian funds (on average) achieved comparable returns to pension funds in other countries for most major asset classes. But Australian funds have relatively higher investment costs for </w:t>
            </w:r>
            <w:r w:rsidR="0050297C">
              <w:t xml:space="preserve">some </w:t>
            </w:r>
            <w:r>
              <w:t>major asset classes, including equities and fixed interest.</w:t>
            </w:r>
          </w:p>
          <w:p w:rsidR="000B79A6" w:rsidRDefault="000B79A6" w:rsidP="000B79A6">
            <w:pPr>
              <w:pStyle w:val="KeyPointsListBullet"/>
            </w:pPr>
            <w:r>
              <w:t>At the system level</w:t>
            </w:r>
            <w:r w:rsidR="006853F8">
              <w:t>,</w:t>
            </w:r>
            <w:r>
              <w:t xml:space="preserve"> there is a</w:t>
            </w:r>
            <w:r w:rsidR="00184C93">
              <w:t xml:space="preserve"> </w:t>
            </w:r>
            <w:r w:rsidR="006853F8">
              <w:t>190</w:t>
            </w:r>
            <w:r w:rsidR="006853F8" w:rsidDel="001B23CD">
              <w:t xml:space="preserve"> </w:t>
            </w:r>
            <w:r w:rsidDel="001B23CD">
              <w:t xml:space="preserve">basis point gap between benchmark and actual </w:t>
            </w:r>
            <w:r w:rsidR="00822C91">
              <w:t xml:space="preserve">net </w:t>
            </w:r>
            <w:r w:rsidDel="001B23CD">
              <w:t>investment performance</w:t>
            </w:r>
            <w:r>
              <w:t>. After adjusting for a</w:t>
            </w:r>
            <w:r w:rsidRPr="00DB4840">
              <w:t>sset</w:t>
            </w:r>
            <w:r w:rsidRPr="00120E88">
              <w:t xml:space="preserve"> allocation, </w:t>
            </w:r>
            <w:r>
              <w:t>tax</w:t>
            </w:r>
            <w:r w:rsidR="000877A7">
              <w:t>,</w:t>
            </w:r>
            <w:r>
              <w:t xml:space="preserve"> and</w:t>
            </w:r>
            <w:r w:rsidR="000877A7">
              <w:t xml:space="preserve"> reported</w:t>
            </w:r>
            <w:r w:rsidRPr="00DB4840">
              <w:t xml:space="preserve"> </w:t>
            </w:r>
            <w:r>
              <w:t>administration and investment</w:t>
            </w:r>
            <w:r w:rsidRPr="00120E88">
              <w:t xml:space="preserve"> expenses </w:t>
            </w:r>
            <w:r>
              <w:t>some</w:t>
            </w:r>
            <w:r w:rsidRPr="00DB4840">
              <w:t xml:space="preserve"> </w:t>
            </w:r>
            <w:r w:rsidRPr="00120E88">
              <w:t xml:space="preserve">differences </w:t>
            </w:r>
            <w:r>
              <w:t xml:space="preserve">remain </w:t>
            </w:r>
            <w:r w:rsidRPr="00120E88">
              <w:t>in</w:t>
            </w:r>
            <w:r>
              <w:t xml:space="preserve"> </w:t>
            </w:r>
            <w:r w:rsidRPr="00120E88">
              <w:t>investment performance across the system</w:t>
            </w:r>
            <w:r>
              <w:t xml:space="preserve">. This unexplained component (of about </w:t>
            </w:r>
            <w:r w:rsidR="006853F8">
              <w:t xml:space="preserve">90 basis points) </w:t>
            </w:r>
            <w:r>
              <w:t>— the ‘residual’ — is not attributable to these factors and likely reflect</w:t>
            </w:r>
            <w:r w:rsidR="006853F8">
              <w:t>s</w:t>
            </w:r>
            <w:r>
              <w:t xml:space="preserve"> a combination of asset selection</w:t>
            </w:r>
            <w:r w:rsidRPr="00DB4840">
              <w:t xml:space="preserve"> (</w:t>
            </w:r>
            <w:r>
              <w:t xml:space="preserve">decisions </w:t>
            </w:r>
            <w:r w:rsidRPr="00DB4840">
              <w:t>within asset classes),</w:t>
            </w:r>
            <w:r>
              <w:t xml:space="preserve"> </w:t>
            </w:r>
            <w:r w:rsidR="000877A7">
              <w:t xml:space="preserve">unreported </w:t>
            </w:r>
            <w:r>
              <w:t>indirect expenses and measurement error.</w:t>
            </w:r>
          </w:p>
          <w:p w:rsidR="00D16593" w:rsidRPr="00D16593" w:rsidRDefault="00E152F4" w:rsidP="00A110B7">
            <w:pPr>
              <w:pStyle w:val="KeyPointsListBullet2"/>
              <w:rPr>
                <w:rStyle w:val="DraftingNote"/>
                <w:b w:val="0"/>
                <w:color w:val="auto"/>
                <w:sz w:val="20"/>
                <w:u w:val="none"/>
              </w:rPr>
            </w:pPr>
            <w:r>
              <w:t>There is 200 basis point gap in the relative outperformance of the not</w:t>
            </w:r>
            <w:r>
              <w:noBreakHyphen/>
              <w:t>for</w:t>
            </w:r>
            <w:r>
              <w:noBreakHyphen/>
              <w:t xml:space="preserve">profit and retail segments that cannot be explained by the above factors. </w:t>
            </w:r>
            <w:r w:rsidR="004C371D">
              <w:t>Ava</w:t>
            </w:r>
            <w:r w:rsidR="009E48BC">
              <w:t>i</w:t>
            </w:r>
            <w:r w:rsidR="004C371D">
              <w:t xml:space="preserve">lable data suggest that indirect investment expenses </w:t>
            </w:r>
            <w:r w:rsidR="000B79A6">
              <w:t>only</w:t>
            </w:r>
            <w:r w:rsidR="00313799">
              <w:t xml:space="preserve"> account for about 10 basis points of th</w:t>
            </w:r>
            <w:r>
              <w:t>is residual</w:t>
            </w:r>
            <w:r w:rsidR="00313799">
              <w:t xml:space="preserve"> difference, </w:t>
            </w:r>
            <w:r w:rsidR="00A110B7">
              <w:t>implying</w:t>
            </w:r>
            <w:r w:rsidR="000B79A6">
              <w:t xml:space="preserve"> the remain</w:t>
            </w:r>
            <w:r>
              <w:t>der</w:t>
            </w:r>
            <w:r w:rsidR="004C371D">
              <w:t xml:space="preserve"> </w:t>
            </w:r>
            <w:r w:rsidR="00313799">
              <w:t>is</w:t>
            </w:r>
            <w:r>
              <w:t xml:space="preserve"> likely to be</w:t>
            </w:r>
            <w:r w:rsidR="00313799">
              <w:t xml:space="preserve"> </w:t>
            </w:r>
            <w:r w:rsidR="004C371D">
              <w:t>differences in asset selection</w:t>
            </w:r>
            <w:r w:rsidR="00313799">
              <w:t xml:space="preserve"> (within asset classes</w:t>
            </w:r>
            <w:r w:rsidR="000B79A6">
              <w:t xml:space="preserve">) </w:t>
            </w:r>
            <w:r w:rsidR="006853F8">
              <w:t>—</w:t>
            </w:r>
            <w:r w:rsidR="000B79A6">
              <w:t xml:space="preserve"> the relative merit of </w:t>
            </w:r>
            <w:r w:rsidR="002C1515">
              <w:t xml:space="preserve">individual </w:t>
            </w:r>
            <w:r w:rsidR="000B79A6">
              <w:t>investment decisions</w:t>
            </w:r>
            <w:r w:rsidR="006853F8">
              <w:t xml:space="preserve"> — or measurement error</w:t>
            </w:r>
            <w:r w:rsidR="003B46C9" w:rsidRPr="003B46C9">
              <w:t>.</w:t>
            </w:r>
          </w:p>
        </w:tc>
      </w:tr>
      <w:tr w:rsidR="00451816" w:rsidTr="00AA2E96">
        <w:tc>
          <w:tcPr>
            <w:tcW w:w="5000" w:type="pct"/>
            <w:tcBorders>
              <w:top w:val="nil"/>
              <w:left w:val="nil"/>
              <w:bottom w:val="nil"/>
              <w:right w:val="nil"/>
            </w:tcBorders>
            <w:shd w:val="clear" w:color="auto" w:fill="F2F2F2"/>
          </w:tcPr>
          <w:p w:rsidR="00451816" w:rsidRDefault="00C076E2" w:rsidP="00451816">
            <w:pPr>
              <w:pStyle w:val="Continued"/>
            </w:pPr>
            <w:r>
              <w:t>(c</w:t>
            </w:r>
            <w:r w:rsidR="00451816">
              <w:t>ontinued next page)</w:t>
            </w:r>
          </w:p>
        </w:tc>
      </w:tr>
      <w:tr w:rsidR="004B2367" w:rsidTr="004B2367">
        <w:tc>
          <w:tcPr>
            <w:tcW w:w="5000" w:type="pct"/>
            <w:tcBorders>
              <w:top w:val="nil"/>
              <w:left w:val="nil"/>
              <w:bottom w:val="single" w:sz="6" w:space="0" w:color="78A22F"/>
              <w:right w:val="nil"/>
            </w:tcBorders>
            <w:shd w:val="clear" w:color="auto" w:fill="F2F2F2"/>
          </w:tcPr>
          <w:p w:rsidR="004B2367" w:rsidRDefault="004B2367">
            <w:pPr>
              <w:pStyle w:val="Box"/>
              <w:spacing w:before="0" w:line="120" w:lineRule="exact"/>
            </w:pPr>
          </w:p>
        </w:tc>
      </w:tr>
      <w:tr w:rsidR="004B2367" w:rsidRPr="000863A5" w:rsidTr="004B2367">
        <w:tc>
          <w:tcPr>
            <w:tcW w:w="5000" w:type="pct"/>
            <w:tcBorders>
              <w:top w:val="single" w:sz="6" w:space="0" w:color="78A22F"/>
              <w:left w:val="nil"/>
              <w:bottom w:val="nil"/>
              <w:right w:val="nil"/>
            </w:tcBorders>
          </w:tcPr>
          <w:p w:rsidR="004B2367" w:rsidRPr="00626D32" w:rsidRDefault="004B2367" w:rsidP="004B2367">
            <w:pPr>
              <w:pStyle w:val="BoxSpaceBelow"/>
            </w:pPr>
          </w:p>
        </w:tc>
      </w:tr>
    </w:tbl>
    <w:p w:rsidR="00AB6082" w:rsidRDefault="00AB6082" w:rsidP="00AB608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B6082" w:rsidTr="00AA2E96">
        <w:trPr>
          <w:tblHeader/>
        </w:trPr>
        <w:tc>
          <w:tcPr>
            <w:tcW w:w="5000" w:type="pct"/>
            <w:tcBorders>
              <w:top w:val="single" w:sz="6" w:space="0" w:color="78A22F"/>
              <w:left w:val="nil"/>
              <w:bottom w:val="nil"/>
              <w:right w:val="nil"/>
            </w:tcBorders>
            <w:shd w:val="clear" w:color="auto" w:fill="F2F2F2"/>
          </w:tcPr>
          <w:p w:rsidR="00AB6082" w:rsidRPr="00340636" w:rsidRDefault="00340636" w:rsidP="00340636">
            <w:pPr>
              <w:pStyle w:val="BoxTitle"/>
              <w:rPr>
                <w:rStyle w:val="Continuedintitle"/>
                <w:b/>
                <w:sz w:val="24"/>
              </w:rPr>
            </w:pPr>
            <w:r w:rsidRPr="00340636">
              <w:rPr>
                <w:rStyle w:val="Continuedintitle"/>
                <w:b/>
                <w:sz w:val="24"/>
              </w:rPr>
              <w:t xml:space="preserve">Key points </w:t>
            </w:r>
            <w:r w:rsidR="00AB6082" w:rsidRPr="00340636">
              <w:rPr>
                <w:rStyle w:val="Continuedintitle"/>
                <w:b/>
                <w:sz w:val="24"/>
              </w:rPr>
              <w:t>(</w:t>
            </w:r>
            <w:r w:rsidRPr="00340636">
              <w:rPr>
                <w:rStyle w:val="Continuedintitle"/>
                <w:b/>
                <w:sz w:val="24"/>
              </w:rPr>
              <w:t>c</w:t>
            </w:r>
            <w:r w:rsidR="00AB6082" w:rsidRPr="00340636">
              <w:rPr>
                <w:rStyle w:val="Continuedintitle"/>
                <w:b/>
                <w:sz w:val="24"/>
              </w:rPr>
              <w:t>ontinued)</w:t>
            </w:r>
          </w:p>
        </w:tc>
      </w:tr>
      <w:tr w:rsidR="00AB6082" w:rsidTr="00AB6082">
        <w:trPr>
          <w:trHeight w:val="2135"/>
        </w:trPr>
        <w:tc>
          <w:tcPr>
            <w:tcW w:w="5000" w:type="pct"/>
            <w:tcBorders>
              <w:top w:val="nil"/>
              <w:left w:val="nil"/>
              <w:bottom w:val="nil"/>
              <w:right w:val="nil"/>
            </w:tcBorders>
            <w:shd w:val="clear" w:color="auto" w:fill="F2F2F2"/>
          </w:tcPr>
          <w:p w:rsidR="006853F8" w:rsidRDefault="006853F8" w:rsidP="006853F8">
            <w:pPr>
              <w:pStyle w:val="KeyPointsListBullet2"/>
            </w:pPr>
            <w:r>
              <w:t xml:space="preserve">While asset allocation is the largest determinant of net returns, </w:t>
            </w:r>
            <w:r w:rsidR="00DE57F9">
              <w:t xml:space="preserve">most </w:t>
            </w:r>
            <w:r>
              <w:t xml:space="preserve">of the variation </w:t>
            </w:r>
            <w:r w:rsidR="00DE57F9">
              <w:t xml:space="preserve">across individual </w:t>
            </w:r>
            <w:r w:rsidR="00822C91">
              <w:t>funds</w:t>
            </w:r>
            <w:r w:rsidR="00DE57F9">
              <w:t xml:space="preserve"> </w:t>
            </w:r>
            <w:r w:rsidR="00EF7E21">
              <w:t>and</w:t>
            </w:r>
            <w:r w:rsidR="00DE57F9">
              <w:t xml:space="preserve"> MySuper products</w:t>
            </w:r>
            <w:r>
              <w:t xml:space="preserve"> is in the residual</w:t>
            </w:r>
            <w:r w:rsidR="00EF7E21">
              <w:t xml:space="preserve"> (attributable to asset selection, measurement error, </w:t>
            </w:r>
            <w:r w:rsidR="0072455F">
              <w:t xml:space="preserve">or </w:t>
            </w:r>
            <w:r w:rsidR="00EF7E21">
              <w:t>unreported indirect investment expenses)</w:t>
            </w:r>
            <w:r>
              <w:t>. There is some evidence that fund</w:t>
            </w:r>
            <w:r>
              <w:noBreakHyphen/>
              <w:t>level residuals are correlated with proxy measures for fund governance efficacy. These measures include fund readiness to introduce a MySuper product, how fast the fund transferred default members to the MySuper product and fund use of related parties.</w:t>
            </w:r>
          </w:p>
          <w:p w:rsidR="00E152F4" w:rsidRDefault="006853F8" w:rsidP="006853F8">
            <w:pPr>
              <w:pStyle w:val="KeyPointsListBullet2"/>
            </w:pPr>
            <w:r>
              <w:t xml:space="preserve">This attribution analysis </w:t>
            </w:r>
            <w:r w:rsidRPr="003B46C9">
              <w:t>suggest</w:t>
            </w:r>
            <w:r>
              <w:t>s</w:t>
            </w:r>
            <w:r w:rsidRPr="003B46C9">
              <w:t xml:space="preserve"> avenues </w:t>
            </w:r>
            <w:r>
              <w:t>for</w:t>
            </w:r>
            <w:r w:rsidRPr="003B46C9">
              <w:t xml:space="preserve"> further investigation by regulators and researchers,</w:t>
            </w:r>
            <w:r>
              <w:t xml:space="preserve"> but </w:t>
            </w:r>
            <w:r w:rsidR="00E152F4">
              <w:t xml:space="preserve">the results here </w:t>
            </w:r>
            <w:r w:rsidR="00B169A9">
              <w:t>can only indicate</w:t>
            </w:r>
            <w:r w:rsidR="00E152F4">
              <w:t xml:space="preserve"> </w:t>
            </w:r>
            <w:r w:rsidR="00EF7E21">
              <w:t>association (</w:t>
            </w:r>
            <w:r w:rsidR="00E152F4">
              <w:t>correlation, not causation</w:t>
            </w:r>
            <w:r w:rsidR="00EF7E21">
              <w:t>)</w:t>
            </w:r>
            <w:r w:rsidR="00E152F4">
              <w:t>.</w:t>
            </w:r>
          </w:p>
          <w:p w:rsidR="000B79A6" w:rsidRDefault="000B79A6" w:rsidP="006853F8">
            <w:pPr>
              <w:pStyle w:val="KeyPointsListBullet"/>
            </w:pPr>
            <w:r w:rsidRPr="003B64CB">
              <w:t xml:space="preserve">Performance </w:t>
            </w:r>
            <w:r>
              <w:t xml:space="preserve">of a fund or product against its own benchmark </w:t>
            </w:r>
            <w:r w:rsidRPr="003B64CB">
              <w:t xml:space="preserve">over rolling </w:t>
            </w:r>
            <w:r w:rsidRPr="007911E5">
              <w:t>five</w:t>
            </w:r>
            <w:r w:rsidR="00617DD2">
              <w:noBreakHyphen/>
            </w:r>
            <w:r w:rsidRPr="003B64CB">
              <w:t xml:space="preserve">year periods is </w:t>
            </w:r>
            <w:r>
              <w:t>reasonably</w:t>
            </w:r>
            <w:r w:rsidRPr="003B64CB">
              <w:t xml:space="preserve"> predictive of </w:t>
            </w:r>
            <w:r>
              <w:t xml:space="preserve">the </w:t>
            </w:r>
            <w:r w:rsidRPr="003B64CB">
              <w:t>longer</w:t>
            </w:r>
            <w:r w:rsidR="00617DD2">
              <w:noBreakHyphen/>
            </w:r>
            <w:r w:rsidRPr="003B64CB">
              <w:t xml:space="preserve">term </w:t>
            </w:r>
            <w:r>
              <w:t xml:space="preserve">historical </w:t>
            </w:r>
            <w:r w:rsidRPr="003B64CB">
              <w:t>performance</w:t>
            </w:r>
            <w:r w:rsidR="00D77F0F">
              <w:t xml:space="preserve"> for that fund </w:t>
            </w:r>
            <w:r>
              <w:t>or p</w:t>
            </w:r>
            <w:r w:rsidR="00D77F0F">
              <w:t>roduct if it is underperforming</w:t>
            </w:r>
            <w:r w:rsidRPr="003B64CB">
              <w:t>.</w:t>
            </w:r>
            <w:r>
              <w:t xml:space="preserve"> </w:t>
            </w:r>
            <w:r w:rsidR="000877A7">
              <w:t xml:space="preserve">However, </w:t>
            </w:r>
            <w:r w:rsidRPr="003B64CB">
              <w:t xml:space="preserve">many funds and products with </w:t>
            </w:r>
            <w:r w:rsidR="000877A7">
              <w:t xml:space="preserve">relatively </w:t>
            </w:r>
            <w:r w:rsidRPr="003B64CB">
              <w:t xml:space="preserve">good </w:t>
            </w:r>
            <w:r>
              <w:t xml:space="preserve">historical </w:t>
            </w:r>
            <w:r w:rsidRPr="003B64CB">
              <w:t>long</w:t>
            </w:r>
            <w:r w:rsidRPr="003B64CB">
              <w:noBreakHyphen/>
              <w:t xml:space="preserve">term </w:t>
            </w:r>
            <w:r w:rsidRPr="007911E5">
              <w:t>performance</w:t>
            </w:r>
            <w:r w:rsidR="000877A7">
              <w:t xml:space="preserve"> also</w:t>
            </w:r>
            <w:r w:rsidRPr="003B64CB">
              <w:t xml:space="preserve"> experience runs of </w:t>
            </w:r>
            <w:r w:rsidRPr="007911E5">
              <w:t>below</w:t>
            </w:r>
            <w:r w:rsidRPr="003B64CB">
              <w:noBreakHyphen/>
              <w:t>benchmark performance</w:t>
            </w:r>
            <w:r w:rsidR="000877A7">
              <w:t xml:space="preserve"> over short</w:t>
            </w:r>
            <w:r w:rsidR="000877A7">
              <w:noBreakHyphen/>
              <w:t>term horizons</w:t>
            </w:r>
            <w:r>
              <w:t>.</w:t>
            </w:r>
          </w:p>
          <w:p w:rsidR="000B79A6" w:rsidRDefault="00EF7E21" w:rsidP="00AA5D2B">
            <w:pPr>
              <w:pStyle w:val="KeyPointsListBullet"/>
            </w:pPr>
            <w:r>
              <w:t xml:space="preserve">For the </w:t>
            </w:r>
            <w:r w:rsidR="00D77F0F">
              <w:t>products for which data are available, those with high fees (over 1</w:t>
            </w:r>
            <w:r w:rsidR="005406BF">
              <w:t xml:space="preserve">.5 per cent of assets) contain </w:t>
            </w:r>
            <w:r w:rsidR="00D77F0F">
              <w:t>a</w:t>
            </w:r>
            <w:r w:rsidR="000B79A6">
              <w:t>t least 3 million member accounts and $200 billion in assets. Almost all of these products are in retail funds, and about half are legacy (closed) products.</w:t>
            </w:r>
          </w:p>
          <w:p w:rsidR="000B79A6" w:rsidRDefault="000B79A6" w:rsidP="006853F8">
            <w:pPr>
              <w:pStyle w:val="KeyPointsListBullet"/>
            </w:pPr>
            <w:r>
              <w:t>Ten retail funds account for over 90 per cent of advice fee revenue reported to APRA, which averaged $341 per member for these funds in 2017. Other data suggest that retail funds with high advice fees also have trailing commissions, which are not captured in APRA advice fee data.</w:t>
            </w:r>
          </w:p>
          <w:p w:rsidR="002C62FA" w:rsidRDefault="000B79A6" w:rsidP="00D811C5">
            <w:pPr>
              <w:pStyle w:val="KeyPointsListBullet"/>
            </w:pPr>
            <w:r>
              <w:t>Use of related parties is</w:t>
            </w:r>
            <w:r w:rsidR="00AC061E">
              <w:t>,</w:t>
            </w:r>
            <w:r>
              <w:t xml:space="preserve"> on average</w:t>
            </w:r>
            <w:r w:rsidR="00AC061E">
              <w:t>,</w:t>
            </w:r>
            <w:r>
              <w:t xml:space="preserve"> associated with higher administration and investment expenses. Retail funds in the </w:t>
            </w:r>
            <w:r w:rsidR="00D77F0F">
              <w:t xml:space="preserve">funds </w:t>
            </w:r>
            <w:r>
              <w:t>survey are much more likely to use related parties for investment than not</w:t>
            </w:r>
            <w:r>
              <w:noBreakHyphen/>
              <w:t>for</w:t>
            </w:r>
            <w:r>
              <w:noBreakHyphen/>
              <w:t>profit funds, but too few large retail funds provided these data to draw firm conclusions.</w:t>
            </w:r>
            <w:r w:rsidR="002C62FA">
              <w:t xml:space="preserve"> </w:t>
            </w:r>
            <w:r w:rsidR="008E6B3C">
              <w:t>Notably</w:t>
            </w:r>
            <w:r w:rsidR="002C62FA">
              <w:t xml:space="preserve">, the </w:t>
            </w:r>
            <w:r w:rsidR="008E6B3C">
              <w:t xml:space="preserve">Commission’s </w:t>
            </w:r>
            <w:r w:rsidR="002C62FA">
              <w:t xml:space="preserve">analysis </w:t>
            </w:r>
            <w:r w:rsidR="008E6B3C">
              <w:t>was reliant</w:t>
            </w:r>
            <w:r w:rsidR="002C62FA">
              <w:t xml:space="preserve"> on survey data due to major gaps and quality problems with</w:t>
            </w:r>
            <w:r w:rsidR="002B5C50">
              <w:t xml:space="preserve"> related</w:t>
            </w:r>
            <w:r w:rsidR="002B5C50">
              <w:noBreakHyphen/>
              <w:t>party expenses</w:t>
            </w:r>
            <w:r w:rsidR="002C62FA">
              <w:t xml:space="preserve"> data collected by</w:t>
            </w:r>
            <w:r w:rsidR="002B5C50">
              <w:t xml:space="preserve"> APRA</w:t>
            </w:r>
            <w:r w:rsidR="002C62FA">
              <w:t>.</w:t>
            </w:r>
          </w:p>
          <w:p w:rsidR="008B12E4" w:rsidRDefault="005406BF" w:rsidP="008B12E4">
            <w:pPr>
              <w:pStyle w:val="KeyPointsListBullet"/>
              <w:rPr>
                <w:rFonts w:ascii="Times New Roman" w:hAnsi="Times New Roman"/>
                <w:sz w:val="24"/>
                <w:szCs w:val="24"/>
                <w:lang w:eastAsia="en-AU"/>
              </w:rPr>
            </w:pPr>
            <w:r w:rsidRPr="00BE3516">
              <w:t>Analysis</w:t>
            </w:r>
            <w:r w:rsidR="000B79A6" w:rsidRPr="00BE3516">
              <w:t xml:space="preserve"> of new ATO</w:t>
            </w:r>
            <w:r w:rsidR="00AB6082" w:rsidRPr="00BE3516">
              <w:t xml:space="preserve"> data indicate that </w:t>
            </w:r>
            <w:r w:rsidR="008B12E4" w:rsidRPr="00BE3516">
              <w:t>SMSF expense</w:t>
            </w:r>
            <w:r w:rsidR="00065E59" w:rsidRPr="00BE3516">
              <w:t xml:space="preserve"> </w:t>
            </w:r>
            <w:r w:rsidR="00065E59">
              <w:t>ratio</w:t>
            </w:r>
            <w:r w:rsidR="008B12E4">
              <w:t>s are much more clearly related to fund size than fund age. Those</w:t>
            </w:r>
            <w:r w:rsidR="000B79A6">
              <w:t xml:space="preserve"> SMSFs</w:t>
            </w:r>
            <w:r w:rsidR="008B12E4">
              <w:t xml:space="preserve"> that remain small appear to continue to experience high costs and low returns</w:t>
            </w:r>
            <w:r w:rsidR="004F67E1">
              <w:t xml:space="preserve"> on average</w:t>
            </w:r>
            <w:r w:rsidR="008B12E4">
              <w:t>, even well after establishment costs have been paid.</w:t>
            </w:r>
          </w:p>
          <w:p w:rsidR="008B12E4" w:rsidRPr="00541CF3" w:rsidRDefault="008B12E4" w:rsidP="00541CF3">
            <w:pPr>
              <w:pStyle w:val="KeyPointsListBullet2"/>
            </w:pPr>
            <w:r w:rsidRPr="00541CF3">
              <w:t>A</w:t>
            </w:r>
            <w:r w:rsidR="00AB6082" w:rsidRPr="00541CF3">
              <w:t xml:space="preserve"> quarter of SMSFs established in 2012 with under $500 000 grew to exceed this size within five years. However, </w:t>
            </w:r>
            <w:r w:rsidR="008D1DC5" w:rsidRPr="00541CF3">
              <w:t>42</w:t>
            </w:r>
            <w:r w:rsidR="000B79A6" w:rsidRPr="00541CF3">
              <w:t xml:space="preserve"> </w:t>
            </w:r>
            <w:r w:rsidR="008D1DC5" w:rsidRPr="00541CF3">
              <w:t>per cent</w:t>
            </w:r>
            <w:r w:rsidR="00AB6082" w:rsidRPr="00541CF3">
              <w:t xml:space="preserve"> of established SMSF</w:t>
            </w:r>
            <w:r w:rsidR="005932BC" w:rsidRPr="00541CF3">
              <w:t>s</w:t>
            </w:r>
            <w:r w:rsidR="005406BF" w:rsidRPr="00541CF3">
              <w:t xml:space="preserve"> (</w:t>
            </w:r>
            <w:r w:rsidR="000B79A6" w:rsidRPr="00541CF3">
              <w:t>some</w:t>
            </w:r>
            <w:r w:rsidR="005406BF" w:rsidRPr="00541CF3">
              <w:t xml:space="preserve"> </w:t>
            </w:r>
            <w:r w:rsidR="00934DD9" w:rsidRPr="00541CF3">
              <w:t xml:space="preserve">200 000 </w:t>
            </w:r>
            <w:r w:rsidR="000B79A6" w:rsidRPr="00541CF3">
              <w:t>SMSFs</w:t>
            </w:r>
            <w:r w:rsidR="00934DD9" w:rsidRPr="00541CF3">
              <w:t xml:space="preserve"> that were older than 2 years in 2016</w:t>
            </w:r>
            <w:r w:rsidR="000B79A6" w:rsidRPr="00541CF3">
              <w:t xml:space="preserve">) </w:t>
            </w:r>
            <w:r w:rsidR="00AB6082" w:rsidRPr="00541CF3">
              <w:t xml:space="preserve">have under $500 000 in assets, facing high </w:t>
            </w:r>
            <w:r w:rsidR="00065E59" w:rsidRPr="00541CF3">
              <w:t xml:space="preserve">costs </w:t>
            </w:r>
            <w:r w:rsidR="00AB6082" w:rsidRPr="00541CF3">
              <w:t>and low returns on average.</w:t>
            </w:r>
          </w:p>
        </w:tc>
      </w:tr>
      <w:tr w:rsidR="00AB6082" w:rsidTr="00AA2E96">
        <w:tc>
          <w:tcPr>
            <w:tcW w:w="5000" w:type="pct"/>
            <w:tcBorders>
              <w:top w:val="nil"/>
              <w:left w:val="nil"/>
              <w:bottom w:val="single" w:sz="6" w:space="0" w:color="78A22F"/>
              <w:right w:val="nil"/>
            </w:tcBorders>
            <w:shd w:val="clear" w:color="auto" w:fill="F2F2F2"/>
          </w:tcPr>
          <w:p w:rsidR="00AB6082" w:rsidRDefault="00AB6082" w:rsidP="00AA2E96">
            <w:pPr>
              <w:pStyle w:val="Box"/>
              <w:spacing w:before="0" w:line="120" w:lineRule="exact"/>
            </w:pPr>
          </w:p>
        </w:tc>
      </w:tr>
      <w:tr w:rsidR="00AB6082" w:rsidRPr="000863A5" w:rsidTr="00AA2E96">
        <w:tc>
          <w:tcPr>
            <w:tcW w:w="5000" w:type="pct"/>
            <w:tcBorders>
              <w:top w:val="single" w:sz="6" w:space="0" w:color="78A22F"/>
              <w:left w:val="nil"/>
              <w:bottom w:val="nil"/>
              <w:right w:val="nil"/>
            </w:tcBorders>
          </w:tcPr>
          <w:p w:rsidR="00AB6082" w:rsidRPr="00626D32" w:rsidRDefault="00AB6082" w:rsidP="00AA2E96">
            <w:pPr>
              <w:pStyle w:val="BoxSpaceBelow"/>
            </w:pPr>
          </w:p>
        </w:tc>
      </w:tr>
    </w:tbl>
    <w:p w:rsidR="007D1839" w:rsidRDefault="007D1839" w:rsidP="007B304B">
      <w:pPr>
        <w:pStyle w:val="BodyText"/>
      </w:pPr>
      <w:r>
        <w:t xml:space="preserve">This is </w:t>
      </w:r>
      <w:r w:rsidR="008433B0">
        <w:t>one</w:t>
      </w:r>
      <w:r>
        <w:t xml:space="preserve"> </w:t>
      </w:r>
      <w:r w:rsidR="008E6B3C">
        <w:t>of</w:t>
      </w:r>
      <w:r>
        <w:t xml:space="preserve"> three supplementary papers the Commission is issuing following the May 2018 release of </w:t>
      </w:r>
      <w:r w:rsidRPr="00DB5F75">
        <w:t xml:space="preserve">the draft report, </w:t>
      </w:r>
      <w:r w:rsidRPr="00DB5F75">
        <w:rPr>
          <w:i/>
        </w:rPr>
        <w:t>Superannuation: Assessing Efficiency and Competitiveness</w:t>
      </w:r>
      <w:r w:rsidRPr="00DB5F75">
        <w:t xml:space="preserve">. It also follows the receipt </w:t>
      </w:r>
      <w:r w:rsidRPr="007B304B">
        <w:t>of post draft report submissions and public hearings by the Commission. The Commission’s draft inquiry report included two chapters (chapters </w:t>
      </w:r>
      <w:r w:rsidR="0072455F" w:rsidRPr="007B304B">
        <w:t>2 and </w:t>
      </w:r>
      <w:r w:rsidRPr="007B304B">
        <w:t>3)</w:t>
      </w:r>
      <w:r w:rsidR="007B304B" w:rsidRPr="007B304B">
        <w:t>,</w:t>
      </w:r>
      <w:r w:rsidRPr="007B304B">
        <w:t xml:space="preserve"> </w:t>
      </w:r>
      <w:r w:rsidR="00DB5F75" w:rsidRPr="007B304B">
        <w:t>seven</w:t>
      </w:r>
      <w:r w:rsidRPr="007B304B">
        <w:t xml:space="preserve"> draft findings (</w:t>
      </w:r>
      <w:r w:rsidR="0072455F" w:rsidRPr="007B304B">
        <w:t>2</w:t>
      </w:r>
      <w:r w:rsidRPr="007B304B">
        <w:t>.1–3</w:t>
      </w:r>
      <w:r w:rsidR="009915B5" w:rsidRPr="007B304B">
        <w:t>.4</w:t>
      </w:r>
      <w:r w:rsidRPr="007B304B">
        <w:t xml:space="preserve">) </w:t>
      </w:r>
      <w:r w:rsidR="007B304B" w:rsidRPr="007B304B">
        <w:t>and three draft recommendations (DRs 12, 13, 21) that directly related to investment performance and fees</w:t>
      </w:r>
      <w:r w:rsidRPr="007B304B">
        <w:t xml:space="preserve"> (box </w:t>
      </w:r>
      <w:r w:rsidR="00DB5F75" w:rsidRPr="007B304B">
        <w:t>1</w:t>
      </w:r>
      <w:r w:rsidRPr="007B304B">
        <w:t>).</w:t>
      </w:r>
      <w:r w:rsidR="008E6B3C" w:rsidRPr="007B304B">
        <w:t xml:space="preserve"> </w:t>
      </w:r>
      <w:r w:rsidR="007B304B">
        <w:t>M</w:t>
      </w:r>
      <w:r w:rsidR="008E6B3C" w:rsidRPr="007B304B">
        <w:t>ost of the draft report’s recommendations would contribute to the system’s</w:t>
      </w:r>
      <w:r w:rsidR="008E6B3C">
        <w:t xml:space="preserve"> </w:t>
      </w:r>
      <w:r w:rsidR="0072455F">
        <w:t>improved long</w:t>
      </w:r>
      <w:r w:rsidR="0072455F">
        <w:noBreakHyphen/>
      </w:r>
      <w:r w:rsidR="008E6B3C">
        <w:t>term investment perform</w:t>
      </w:r>
      <w:r w:rsidR="00056AE8">
        <w:t>ance and lower fees over time.</w:t>
      </w:r>
    </w:p>
    <w:p w:rsidR="00056AE8" w:rsidRDefault="00056AE8" w:rsidP="007B304B">
      <w:pPr>
        <w:pStyle w:val="BodyText"/>
      </w:pPr>
      <w:r>
        <w:t>This paper sets out analysis of investment returns, fees and costs, and</w:t>
      </w:r>
      <w:r w:rsidDel="00557CEC">
        <w:t xml:space="preserve"> related</w:t>
      </w:r>
      <w:r>
        <w:t xml:space="preserve"> party expenses for the Australian superannuation system, building on the analysis in the Commission’s draft </w:t>
      </w:r>
      <w:r>
        <w:lastRenderedPageBreak/>
        <w:t>inquiry report and online technical supplements. (The other two papers cover economies of scale and the fiscal impacts of insurance in superannuation.)</w:t>
      </w:r>
    </w:p>
    <w:p w:rsidR="007D1839" w:rsidRDefault="007D183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1839" w:rsidTr="00502FD7">
        <w:trPr>
          <w:tblHeader/>
        </w:trPr>
        <w:tc>
          <w:tcPr>
            <w:tcW w:w="5000" w:type="pct"/>
            <w:tcBorders>
              <w:top w:val="single" w:sz="6" w:space="0" w:color="78A22F"/>
              <w:left w:val="nil"/>
              <w:bottom w:val="nil"/>
              <w:right w:val="nil"/>
            </w:tcBorders>
            <w:shd w:val="clear" w:color="auto" w:fill="F2F2F2"/>
          </w:tcPr>
          <w:p w:rsidR="007D1839" w:rsidRDefault="007D1839" w:rsidP="007B304B">
            <w:pPr>
              <w:pStyle w:val="BoxTitle"/>
            </w:pPr>
            <w:r>
              <w:rPr>
                <w:b w:val="0"/>
              </w:rPr>
              <w:t xml:space="preserve">Box </w:t>
            </w:r>
            <w:bookmarkStart w:id="4" w:name="OLE_LINK63"/>
            <w:r w:rsidR="001345FE">
              <w:rPr>
                <w:b w:val="0"/>
                <w:noProof/>
              </w:rPr>
              <w:t>1</w:t>
            </w:r>
            <w:bookmarkEnd w:id="4"/>
            <w:r>
              <w:tab/>
              <w:t xml:space="preserve">Draft findings and recommendations </w:t>
            </w:r>
            <w:r w:rsidR="007B304B">
              <w:t>directly related to</w:t>
            </w:r>
            <w:r>
              <w:t xml:space="preserve"> investment performance and fees</w:t>
            </w:r>
          </w:p>
        </w:tc>
      </w:tr>
      <w:tr w:rsidR="007D1839" w:rsidTr="00502FD7">
        <w:tc>
          <w:tcPr>
            <w:tcW w:w="5000" w:type="pct"/>
            <w:tcBorders>
              <w:top w:val="nil"/>
              <w:left w:val="nil"/>
              <w:bottom w:val="nil"/>
              <w:right w:val="nil"/>
            </w:tcBorders>
            <w:shd w:val="clear" w:color="auto" w:fill="F2F2F2"/>
          </w:tcPr>
          <w:p w:rsidR="00FA0074" w:rsidRDefault="00FA0074" w:rsidP="00FA0074">
            <w:pPr>
              <w:pStyle w:val="BoxHeading1"/>
            </w:pPr>
            <w:r>
              <w:t>Draft findings</w:t>
            </w:r>
          </w:p>
          <w:p w:rsidR="00FA0074" w:rsidRDefault="00FA0074" w:rsidP="00FA0074">
            <w:pPr>
              <w:pStyle w:val="BoxListBullet"/>
            </w:pPr>
            <w:r>
              <w:t>The majority of members and assets in the system are in products that have performed reasonably well. But there is significant variation in performance within and across segments of the system which is not fully explained by differences in asset allocation</w:t>
            </w:r>
            <w:r w:rsidR="007B4975">
              <w:t xml:space="preserve"> …</w:t>
            </w:r>
            <w:r>
              <w:t xml:space="preserve"> </w:t>
            </w:r>
            <w:r w:rsidR="007B4975">
              <w:t>(DF </w:t>
            </w:r>
            <w:r>
              <w:t>2.1).</w:t>
            </w:r>
          </w:p>
          <w:p w:rsidR="00FA0074" w:rsidRDefault="00FA0074" w:rsidP="00502FD7">
            <w:pPr>
              <w:pStyle w:val="BoxListBullet"/>
            </w:pPr>
            <w:r>
              <w:t>The SMSF segment has broadly tracked the long</w:t>
            </w:r>
            <w:r>
              <w:noBreakHyphen/>
              <w:t>term investment performance of the APRA</w:t>
            </w:r>
            <w:r>
              <w:noBreakHyphen/>
              <w:t>regulated segment on average, but many smaller SMSFs (those with balances under $1 million) have delivered materially lower returns on average than larger SMSFs</w:t>
            </w:r>
            <w:r w:rsidR="007B4975">
              <w:t xml:space="preserve"> … (DF </w:t>
            </w:r>
            <w:r>
              <w:t>2.2).</w:t>
            </w:r>
          </w:p>
          <w:p w:rsidR="00FA0074" w:rsidRDefault="00FA0074" w:rsidP="00502FD7">
            <w:pPr>
              <w:pStyle w:val="BoxListBullet"/>
            </w:pPr>
            <w:r>
              <w:t>There is wide variation in performance in the default segment that is not fully explained by differences in asset allocation</w:t>
            </w:r>
            <w:r w:rsidR="007B4975">
              <w:t xml:space="preserve"> … (DF </w:t>
            </w:r>
            <w:r>
              <w:t>2.3).</w:t>
            </w:r>
          </w:p>
          <w:p w:rsidR="00FA0074" w:rsidRDefault="00FA0074" w:rsidP="00502FD7">
            <w:pPr>
              <w:pStyle w:val="BoxListBullet"/>
            </w:pPr>
            <w:r>
              <w:t>There is wide variation in performance in the choice segment that is not fully explained by differences in asset allocation</w:t>
            </w:r>
            <w:r w:rsidR="007B4975">
              <w:t xml:space="preserve"> …</w:t>
            </w:r>
            <w:r>
              <w:t xml:space="preserve"> </w:t>
            </w:r>
            <w:r w:rsidR="007B4975">
              <w:t>(DF </w:t>
            </w:r>
            <w:r>
              <w:t>2.4).</w:t>
            </w:r>
          </w:p>
          <w:p w:rsidR="00FA0074" w:rsidRDefault="00FA0074" w:rsidP="00502FD7">
            <w:pPr>
              <w:pStyle w:val="BoxListBullet"/>
            </w:pPr>
            <w:r>
              <w:t>Despite regulator endeavour, there remain significant gaps and inconsistencies in how funds report data on fees and costs</w:t>
            </w:r>
            <w:r w:rsidR="007B4975">
              <w:t xml:space="preserve"> … (DF </w:t>
            </w:r>
            <w:r>
              <w:t>3.1).</w:t>
            </w:r>
          </w:p>
          <w:p w:rsidR="00FA0074" w:rsidRDefault="00FA0074" w:rsidP="00502FD7">
            <w:pPr>
              <w:pStyle w:val="BoxListBullet"/>
            </w:pPr>
            <w:r>
              <w:t>In aggregate, total fees have been trending down as a proportion of assets.</w:t>
            </w:r>
            <w:r w:rsidR="007B4975">
              <w:t xml:space="preserve"> …</w:t>
            </w:r>
            <w:r>
              <w:t xml:space="preserve"> The MySuper and SuperStream reforms have likely acted to reduce fees.</w:t>
            </w:r>
            <w:r w:rsidR="007B4975">
              <w:t xml:space="preserve"> …</w:t>
            </w:r>
            <w:r>
              <w:t xml:space="preserve"> </w:t>
            </w:r>
            <w:r w:rsidR="007B4975">
              <w:t>While dispersion of product</w:t>
            </w:r>
            <w:r w:rsidR="007B4975">
              <w:noBreakHyphen/>
            </w:r>
            <w:r>
              <w:t>level fees has decreased over the past decade, there remains a persistent ‘tail’ of relatively high</w:t>
            </w:r>
            <w:r w:rsidR="00617DD2">
              <w:noBreakHyphen/>
            </w:r>
            <w:r>
              <w:t>fee (mainly for</w:t>
            </w:r>
            <w:r w:rsidR="00617DD2">
              <w:noBreakHyphen/>
            </w:r>
            <w:r>
              <w:t>profit) choice products</w:t>
            </w:r>
            <w:r w:rsidR="007B4975">
              <w:t xml:space="preserve"> … (DF </w:t>
            </w:r>
            <w:r>
              <w:t>3.2).</w:t>
            </w:r>
          </w:p>
          <w:p w:rsidR="00FA0074" w:rsidRDefault="00FA0074" w:rsidP="00502FD7">
            <w:pPr>
              <w:pStyle w:val="BoxListBullet"/>
            </w:pPr>
            <w:r w:rsidRPr="00FA0074">
              <w:t>Reported costs for SMSFs have increased over recent years</w:t>
            </w:r>
            <w:r w:rsidR="007B4975">
              <w:t>. … Costs for low</w:t>
            </w:r>
            <w:r w:rsidR="00617DD2">
              <w:noBreakHyphen/>
            </w:r>
            <w:r w:rsidR="007B4975">
              <w:t>balance SMSFs are particularly high, and significantly more so than APRA</w:t>
            </w:r>
            <w:r w:rsidR="00617DD2">
              <w:noBreakHyphen/>
            </w:r>
            <w:r w:rsidR="007B4975">
              <w:t>regulated funds. These high costs are the primary cause of the poor net returns experienced by small SMSFs on average … (DF 3.3).</w:t>
            </w:r>
          </w:p>
          <w:p w:rsidR="00C21CF2" w:rsidRDefault="007B4975" w:rsidP="0072455F">
            <w:pPr>
              <w:pStyle w:val="BoxListBullet"/>
            </w:pPr>
            <w:r w:rsidRPr="007B4975">
              <w:t>Higher fees are clearly associated with lower</w:t>
            </w:r>
            <w:r>
              <w:t xml:space="preserve"> net returns over the long term … (DF 3.4).</w:t>
            </w:r>
          </w:p>
          <w:p w:rsidR="007B304B" w:rsidRDefault="007B304B" w:rsidP="007B304B">
            <w:pPr>
              <w:pStyle w:val="BoxHeading1"/>
            </w:pPr>
            <w:r>
              <w:t>Draft recommendations</w:t>
            </w:r>
          </w:p>
          <w:p w:rsidR="007B304B" w:rsidRDefault="007B304B" w:rsidP="007B304B">
            <w:pPr>
              <w:pStyle w:val="BoxListBullet"/>
            </w:pPr>
            <w:r>
              <w:t>The Australian Government should legislate to extend MySuper regulations limiting exit and switching fees to cost</w:t>
            </w:r>
            <w:r w:rsidR="00617DD2">
              <w:noBreakHyphen/>
            </w:r>
            <w:r>
              <w:t>recovery levels to all new members and new accumulation and retirement products (DR 12).</w:t>
            </w:r>
          </w:p>
          <w:p w:rsidR="007B304B" w:rsidRDefault="007B304B" w:rsidP="007B304B">
            <w:pPr>
              <w:pStyle w:val="BoxListBullet"/>
            </w:pPr>
            <w:r>
              <w:t>The Australian Government should require superannuation funds to clearly inform, on an annual basis, all members who are subject to trailing financial adviser commissions … (DR 13).</w:t>
            </w:r>
          </w:p>
          <w:p w:rsidR="007B304B" w:rsidRDefault="007B304B" w:rsidP="007B304B">
            <w:pPr>
              <w:pStyle w:val="BoxListBullet"/>
            </w:pPr>
            <w:r>
              <w:t xml:space="preserve">ASIC should … </w:t>
            </w:r>
            <w:r w:rsidRPr="00C21CF2">
              <w:t>review exit and switching fees faced by existing members, with a focus on whether these fees are related to the underlying performance of the product, and whether they unreasonably impede members moving to products that better meet their needs.</w:t>
            </w:r>
            <w:r>
              <w:t xml:space="preserve"> (DR 21).</w:t>
            </w:r>
          </w:p>
        </w:tc>
      </w:tr>
      <w:tr w:rsidR="007D1839" w:rsidTr="00502FD7">
        <w:tc>
          <w:tcPr>
            <w:tcW w:w="5000" w:type="pct"/>
            <w:tcBorders>
              <w:top w:val="nil"/>
              <w:left w:val="nil"/>
              <w:bottom w:val="single" w:sz="6" w:space="0" w:color="78A22F"/>
              <w:right w:val="nil"/>
            </w:tcBorders>
            <w:shd w:val="clear" w:color="auto" w:fill="F2F2F2"/>
          </w:tcPr>
          <w:p w:rsidR="007D1839" w:rsidRDefault="007D1839">
            <w:pPr>
              <w:pStyle w:val="Box"/>
              <w:spacing w:before="0" w:line="120" w:lineRule="exact"/>
            </w:pPr>
          </w:p>
        </w:tc>
      </w:tr>
      <w:tr w:rsidR="007D1839" w:rsidRPr="000863A5" w:rsidTr="00502FD7">
        <w:tc>
          <w:tcPr>
            <w:tcW w:w="5000" w:type="pct"/>
            <w:tcBorders>
              <w:top w:val="single" w:sz="6" w:space="0" w:color="78A22F"/>
              <w:left w:val="nil"/>
              <w:bottom w:val="nil"/>
              <w:right w:val="nil"/>
            </w:tcBorders>
          </w:tcPr>
          <w:p w:rsidR="007D1839" w:rsidRPr="00626D32" w:rsidRDefault="007D1839" w:rsidP="00502FD7">
            <w:pPr>
              <w:pStyle w:val="BoxSpaceBelow"/>
            </w:pPr>
          </w:p>
        </w:tc>
      </w:tr>
    </w:tbl>
    <w:p w:rsidR="009870C9" w:rsidRDefault="009870C9" w:rsidP="009870C9">
      <w:pPr>
        <w:pStyle w:val="BodyText"/>
      </w:pPr>
      <w:r>
        <w:t>The analysis detailed in this paper ad</w:t>
      </w:r>
      <w:r w:rsidR="00084D15">
        <w:t>dresses the following questions.</w:t>
      </w:r>
    </w:p>
    <w:p w:rsidR="009870C9" w:rsidRDefault="00084D15" w:rsidP="009870C9">
      <w:pPr>
        <w:pStyle w:val="ListBullet"/>
      </w:pPr>
      <w:r>
        <w:t>D</w:t>
      </w:r>
      <w:r w:rsidR="009870C9">
        <w:t>oes the superannuation system deliver higher returns to individual asset classes compared to financial market indexes and pension funds in other countries? A</w:t>
      </w:r>
      <w:r w:rsidR="009870C9" w:rsidRPr="001A4B4B">
        <w:t>re there differences by segment?</w:t>
      </w:r>
    </w:p>
    <w:p w:rsidR="009870C9" w:rsidRDefault="00084D15" w:rsidP="009870C9">
      <w:pPr>
        <w:pStyle w:val="ListBullet"/>
      </w:pPr>
      <w:r>
        <w:lastRenderedPageBreak/>
        <w:t>D</w:t>
      </w:r>
      <w:r w:rsidR="009870C9">
        <w:t>o differences in asset allocation, fees/expenses and asset selection (investment decisions within asset classes) explain the performance of the system, segments and funds?</w:t>
      </w:r>
    </w:p>
    <w:p w:rsidR="009870C9" w:rsidRDefault="00084D15" w:rsidP="009870C9">
      <w:pPr>
        <w:pStyle w:val="ListBullet"/>
      </w:pPr>
      <w:r>
        <w:t>I</w:t>
      </w:r>
      <w:r w:rsidR="009870C9">
        <w:t>s longer</w:t>
      </w:r>
      <w:r w:rsidR="009870C9">
        <w:noBreakHyphen/>
        <w:t>term investment underperformance relative to benchmark portfolios apparent over shorter time periods (at the fund and MySuper product level)?</w:t>
      </w:r>
    </w:p>
    <w:p w:rsidR="009870C9" w:rsidRDefault="00084D15" w:rsidP="009870C9">
      <w:pPr>
        <w:pStyle w:val="ListBullet"/>
      </w:pPr>
      <w:r>
        <w:t>I</w:t>
      </w:r>
      <w:r w:rsidR="009870C9">
        <w:t>s the ‘tail’ of high</w:t>
      </w:r>
      <w:r w:rsidR="009870C9">
        <w:noBreakHyphen/>
        <w:t>fee products concentrated in specific parts of the system?</w:t>
      </w:r>
    </w:p>
    <w:p w:rsidR="009870C9" w:rsidRDefault="00084D15" w:rsidP="009870C9">
      <w:pPr>
        <w:pStyle w:val="ListBullet"/>
      </w:pPr>
      <w:r>
        <w:t>A</w:t>
      </w:r>
      <w:r w:rsidR="009870C9">
        <w:t xml:space="preserve">re high financial advice and administration fees concentrated in specific parts of the system? </w:t>
      </w:r>
    </w:p>
    <w:p w:rsidR="009870C9" w:rsidRDefault="00084D15" w:rsidP="009870C9">
      <w:pPr>
        <w:pStyle w:val="ListBullet"/>
      </w:pPr>
      <w:r>
        <w:t>A</w:t>
      </w:r>
      <w:r w:rsidR="009870C9">
        <w:t>re there differences by segment in investment management costs at an individual asset</w:t>
      </w:r>
      <w:r w:rsidR="009870C9">
        <w:noBreakHyphen/>
        <w:t>class level? Do Australian funds pay higher costs than in other countries?</w:t>
      </w:r>
    </w:p>
    <w:p w:rsidR="009870C9" w:rsidRDefault="00084D15" w:rsidP="009870C9">
      <w:pPr>
        <w:pStyle w:val="ListBullet"/>
      </w:pPr>
      <w:r>
        <w:t>D</w:t>
      </w:r>
      <w:r w:rsidR="009870C9">
        <w:t>o funds using related parties for administration or investment incur higher expenses?</w:t>
      </w:r>
    </w:p>
    <w:p w:rsidR="009870C9" w:rsidRDefault="00084D15" w:rsidP="009870C9">
      <w:pPr>
        <w:pStyle w:val="ListBullet"/>
      </w:pPr>
      <w:r>
        <w:t>A</w:t>
      </w:r>
      <w:r w:rsidR="009870C9">
        <w:t>re net return estimates for self</w:t>
      </w:r>
      <w:r w:rsidR="009870C9">
        <w:noBreakHyphen/>
        <w:t>managed superannuation funds (SMSFs) biased by the way returns are calculated?</w:t>
      </w:r>
    </w:p>
    <w:p w:rsidR="009870C9" w:rsidRDefault="00084D15" w:rsidP="009870C9">
      <w:pPr>
        <w:pStyle w:val="ListBullet"/>
      </w:pPr>
      <w:r>
        <w:t>D</w:t>
      </w:r>
      <w:r w:rsidR="00593F5F">
        <w:t xml:space="preserve">o expenses for </w:t>
      </w:r>
      <w:r w:rsidR="00F35903">
        <w:t xml:space="preserve">individual </w:t>
      </w:r>
      <w:r w:rsidR="00593F5F">
        <w:t>SMSFs</w:t>
      </w:r>
      <w:r w:rsidR="00934545">
        <w:t xml:space="preserve"> </w:t>
      </w:r>
      <w:r w:rsidR="00593F5F">
        <w:t>fall</w:t>
      </w:r>
      <w:r w:rsidR="00F35903">
        <w:t xml:space="preserve"> over time and/or do</w:t>
      </w:r>
      <w:r w:rsidR="00593F5F">
        <w:t xml:space="preserve"> net returns </w:t>
      </w:r>
      <w:r w:rsidR="00F35903">
        <w:t>rise</w:t>
      </w:r>
      <w:r w:rsidR="00593F5F">
        <w:t>? If so, is this driven by growth in</w:t>
      </w:r>
      <w:r w:rsidR="00A31066">
        <w:t xml:space="preserve"> SMSF</w:t>
      </w:r>
      <w:r w:rsidR="00593F5F">
        <w:t xml:space="preserve"> </w:t>
      </w:r>
      <w:r w:rsidR="00F35903">
        <w:t>balances</w:t>
      </w:r>
      <w:r w:rsidR="00A31066">
        <w:t xml:space="preserve"> over time</w:t>
      </w:r>
      <w:r w:rsidR="00593F5F">
        <w:t>?</w:t>
      </w:r>
    </w:p>
    <w:p w:rsidR="009870C9" w:rsidRDefault="009870C9" w:rsidP="009870C9">
      <w:pPr>
        <w:pStyle w:val="BodyText"/>
      </w:pPr>
      <w:r>
        <w:t>In addressing these questions, the Commission has undertake</w:t>
      </w:r>
      <w:r w:rsidR="00D42783">
        <w:t>n</w:t>
      </w:r>
      <w:r>
        <w:t xml:space="preserve"> the following analysis as</w:t>
      </w:r>
      <w:r w:rsidR="00617DD2">
        <w:t xml:space="preserve"> </w:t>
      </w:r>
      <w:r>
        <w:t>detailed in this supplementary paper</w:t>
      </w:r>
      <w:r w:rsidR="00065E59">
        <w:t>:</w:t>
      </w:r>
    </w:p>
    <w:p w:rsidR="009870C9" w:rsidRDefault="0072455F" w:rsidP="009870C9">
      <w:pPr>
        <w:pStyle w:val="ListBullet"/>
      </w:pPr>
      <w:r>
        <w:t>c</w:t>
      </w:r>
      <w:r w:rsidR="009870C9">
        <w:t xml:space="preserve">omparator analysis (including </w:t>
      </w:r>
      <w:r w:rsidR="00845AC8">
        <w:t xml:space="preserve">against </w:t>
      </w:r>
      <w:r w:rsidR="009870C9">
        <w:t>international</w:t>
      </w:r>
      <w:r w:rsidR="00845AC8">
        <w:t xml:space="preserve"> data</w:t>
      </w:r>
      <w:r w:rsidR="009870C9">
        <w:t xml:space="preserve">) </w:t>
      </w:r>
      <w:r w:rsidR="00065E59">
        <w:t>that</w:t>
      </w:r>
      <w:r w:rsidR="009870C9">
        <w:t xml:space="preserve"> </w:t>
      </w:r>
      <w:r w:rsidR="001C1705">
        <w:t xml:space="preserve">goes beyond what was published </w:t>
      </w:r>
      <w:r>
        <w:t>in the draft report</w:t>
      </w:r>
    </w:p>
    <w:p w:rsidR="009870C9" w:rsidRDefault="009870C9" w:rsidP="009870C9">
      <w:pPr>
        <w:pStyle w:val="ListBullet"/>
      </w:pPr>
      <w:r>
        <w:t>attribution analysis (decomposition and thus attribution of differences in investment performance)</w:t>
      </w:r>
      <w:r w:rsidR="00065E59">
        <w:t>, to better understand the drivers of differences</w:t>
      </w:r>
      <w:r>
        <w:t xml:space="preserve"> in </w:t>
      </w:r>
      <w:r w:rsidR="00065E59">
        <w:t>investment performance across system</w:t>
      </w:r>
    </w:p>
    <w:p w:rsidR="00065E59" w:rsidRDefault="009870C9" w:rsidP="009870C9">
      <w:pPr>
        <w:pStyle w:val="ListBullet"/>
      </w:pPr>
      <w:r>
        <w:t>new analysis in other areas (including fees, related parties and SMSFs</w:t>
      </w:r>
      <w:r w:rsidR="00065E59">
        <w:t>)</w:t>
      </w:r>
    </w:p>
    <w:p w:rsidR="009870C9" w:rsidRDefault="009870C9" w:rsidP="009870C9">
      <w:pPr>
        <w:pStyle w:val="ListBullet"/>
      </w:pPr>
      <w:r>
        <w:t>an update on the calculation of benchmark</w:t>
      </w:r>
      <w:r w:rsidRPr="00CE66A8">
        <w:t xml:space="preserve"> </w:t>
      </w:r>
      <w:r>
        <w:t>portfolios</w:t>
      </w:r>
      <w:r w:rsidR="001C1705">
        <w:t>,</w:t>
      </w:r>
      <w:r>
        <w:t xml:space="preserve"> and thus on the distribution of</w:t>
      </w:r>
      <w:r w:rsidDel="00CE66A8">
        <w:t xml:space="preserve"> </w:t>
      </w:r>
      <w:r>
        <w:t>investment performance.</w:t>
      </w:r>
    </w:p>
    <w:p w:rsidR="001C1705" w:rsidRDefault="001C1705" w:rsidP="003E459F">
      <w:pPr>
        <w:pStyle w:val="BodyText"/>
      </w:pPr>
      <w:r>
        <w:t>The paper draws on new and existing data obtained from regulators and research firms, as well as data obtained through the Commission’s supplementary ‘second chance’ survey of superannuation funds (box </w:t>
      </w:r>
      <w:r w:rsidR="005B547F">
        <w:t>2</w:t>
      </w:r>
      <w:r>
        <w:t>). While the Commission has endeavoured to obtain high</w:t>
      </w:r>
      <w:r>
        <w:noBreakHyphen/>
        <w:t>quality data, this has not always been feasible. As such, some of the analysis in this paper may be subject to the uncertainty inherent in small sample sizes or potential misreporting. Where this is the case, caveats have been included alongside the results.</w:t>
      </w:r>
    </w:p>
    <w:p w:rsidR="001C1705" w:rsidRDefault="009870C9" w:rsidP="009870C9">
      <w:pPr>
        <w:pStyle w:val="BodyText"/>
      </w:pPr>
      <w:r>
        <w:t>This is a technical paper and as such the analysis presented is of a factual nature. Material from th</w:t>
      </w:r>
      <w:r w:rsidR="001C1705">
        <w:t>e</w:t>
      </w:r>
      <w:r>
        <w:t xml:space="preserve"> paper will inform the findings and recommendations in the Commission’s final report.</w:t>
      </w:r>
    </w:p>
    <w:p w:rsidR="00C90621" w:rsidRDefault="009870C9" w:rsidP="001C1705">
      <w:pPr>
        <w:pStyle w:val="BodyText"/>
      </w:pPr>
      <w:r w:rsidRPr="00A31066">
        <w:t>The</w:t>
      </w:r>
      <w:r w:rsidRPr="00A900DA">
        <w:t xml:space="preserve"> Commission is releasing this paper ahead of its final report</w:t>
      </w:r>
      <w:r>
        <w:t>. I</w:t>
      </w:r>
      <w:r w:rsidRPr="00A900DA">
        <w:t xml:space="preserve">nquiry participants </w:t>
      </w:r>
      <w:r>
        <w:t>may</w:t>
      </w:r>
      <w:r w:rsidR="00617DD2">
        <w:t xml:space="preserve"> </w:t>
      </w:r>
      <w:r w:rsidRPr="00A900DA">
        <w:t xml:space="preserve">provide new and directly relevant evidence (of a method or data nature) related to the analysis. Any such evidence must be submitted no later than </w:t>
      </w:r>
      <w:r w:rsidRPr="003E459F">
        <w:rPr>
          <w:b/>
        </w:rPr>
        <w:t xml:space="preserve">Friday </w:t>
      </w:r>
      <w:r w:rsidR="00AC061E">
        <w:rPr>
          <w:b/>
        </w:rPr>
        <w:t>9</w:t>
      </w:r>
      <w:r w:rsidRPr="003E459F">
        <w:rPr>
          <w:b/>
        </w:rPr>
        <w:t> November 2018</w:t>
      </w:r>
      <w:r w:rsidRPr="00A900DA">
        <w:t xml:space="preserve"> in </w:t>
      </w:r>
      <w:r w:rsidRPr="00A900DA">
        <w:lastRenderedPageBreak/>
        <w:t>order that it</w:t>
      </w:r>
      <w:r w:rsidR="001C1705">
        <w:t xml:space="preserve"> can</w:t>
      </w:r>
      <w:r w:rsidRPr="00A900DA">
        <w:t xml:space="preserve"> be</w:t>
      </w:r>
      <w:r w:rsidRPr="00A900DA" w:rsidDel="000F1FB4">
        <w:t xml:space="preserve"> </w:t>
      </w:r>
      <w:r w:rsidRPr="00A900DA">
        <w:t>considered by</w:t>
      </w:r>
      <w:r w:rsidRPr="00A900DA" w:rsidDel="000F1FB4">
        <w:t xml:space="preserve"> </w:t>
      </w:r>
      <w:r w:rsidRPr="00A900DA">
        <w:t>the Commission in finalising its report</w:t>
      </w:r>
      <w:r w:rsidRPr="00A900DA" w:rsidDel="000F1FB4">
        <w:t xml:space="preserve"> </w:t>
      </w:r>
      <w:r w:rsidRPr="00A900DA">
        <w:t>to the</w:t>
      </w:r>
      <w:r w:rsidR="001C1705">
        <w:t xml:space="preserve"> Australian</w:t>
      </w:r>
      <w:r w:rsidRPr="00A900DA">
        <w:t xml:space="preserve"> Government by the end of the year.</w:t>
      </w:r>
    </w:p>
    <w:p w:rsidR="00704793" w:rsidRDefault="00C90621" w:rsidP="001C1705">
      <w:pPr>
        <w:pStyle w:val="BodyText"/>
      </w:pPr>
      <w:r>
        <w:t>Unless otherwise specified, all dollar values in this paper are nominal.</w:t>
      </w:r>
      <w:r w:rsidR="002730DF">
        <w:t xml:space="preserve"> References to </w:t>
      </w:r>
      <w:r w:rsidR="007A4586">
        <w:t xml:space="preserve">funds regulated by the Australian Prudential Regulation Authority (APRA) </w:t>
      </w:r>
      <w:r w:rsidR="002730DF">
        <w:t>pertain</w:t>
      </w:r>
      <w:r w:rsidR="0021699C">
        <w:t xml:space="preserve"> to those funds with more than four</w:t>
      </w:r>
      <w:r w:rsidR="002730DF">
        <w:t> members.</w:t>
      </w:r>
    </w:p>
    <w:p w:rsidR="004C2603" w:rsidRDefault="004C2603" w:rsidP="004C26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C2603" w:rsidTr="002233F1">
        <w:trPr>
          <w:tblHeader/>
        </w:trPr>
        <w:tc>
          <w:tcPr>
            <w:tcW w:w="5000" w:type="pct"/>
            <w:tcBorders>
              <w:top w:val="single" w:sz="6" w:space="0" w:color="78A22F"/>
              <w:left w:val="nil"/>
              <w:bottom w:val="nil"/>
              <w:right w:val="nil"/>
            </w:tcBorders>
            <w:shd w:val="clear" w:color="auto" w:fill="F2F2F2"/>
          </w:tcPr>
          <w:p w:rsidR="004C2603" w:rsidRDefault="004C2603" w:rsidP="00A900DA">
            <w:pPr>
              <w:pStyle w:val="BoxTitle"/>
            </w:pPr>
            <w:r>
              <w:rPr>
                <w:b w:val="0"/>
              </w:rPr>
              <w:t xml:space="preserve">Box </w:t>
            </w:r>
            <w:bookmarkStart w:id="5" w:name="OLE_LINK4"/>
            <w:r w:rsidR="001345FE">
              <w:rPr>
                <w:b w:val="0"/>
                <w:noProof/>
              </w:rPr>
              <w:t>2</w:t>
            </w:r>
            <w:bookmarkEnd w:id="5"/>
            <w:r>
              <w:tab/>
              <w:t xml:space="preserve">About the supplementary </w:t>
            </w:r>
            <w:r w:rsidR="00A900DA">
              <w:t xml:space="preserve">‘second chance’ </w:t>
            </w:r>
            <w:r>
              <w:t>survey</w:t>
            </w:r>
          </w:p>
        </w:tc>
      </w:tr>
      <w:tr w:rsidR="004C2603" w:rsidTr="002233F1">
        <w:tc>
          <w:tcPr>
            <w:tcW w:w="5000" w:type="pct"/>
            <w:tcBorders>
              <w:top w:val="nil"/>
              <w:left w:val="nil"/>
              <w:bottom w:val="nil"/>
              <w:right w:val="nil"/>
            </w:tcBorders>
            <w:shd w:val="clear" w:color="auto" w:fill="F2F2F2"/>
          </w:tcPr>
          <w:p w:rsidR="004C2603" w:rsidRPr="006512B3" w:rsidRDefault="004C2603" w:rsidP="004C2603">
            <w:pPr>
              <w:pStyle w:val="Box"/>
            </w:pPr>
            <w:r w:rsidRPr="006512B3">
              <w:t xml:space="preserve">In order to fill gaps in </w:t>
            </w:r>
            <w:r>
              <w:t>the</w:t>
            </w:r>
            <w:r w:rsidRPr="006512B3">
              <w:t xml:space="preserve"> evidence base from the funds survey undertaken </w:t>
            </w:r>
            <w:r>
              <w:t>prior to</w:t>
            </w:r>
            <w:r w:rsidR="00D811C5">
              <w:t xml:space="preserve"> </w:t>
            </w:r>
            <w:r w:rsidR="00B447F4">
              <w:t xml:space="preserve">its </w:t>
            </w:r>
            <w:r>
              <w:t>draft report</w:t>
            </w:r>
            <w:r w:rsidR="00B447F4">
              <w:t xml:space="preserve"> (a product of poor response rates)</w:t>
            </w:r>
            <w:r w:rsidRPr="006512B3">
              <w:t xml:space="preserve">, </w:t>
            </w:r>
            <w:r>
              <w:t xml:space="preserve">the Commission undertook </w:t>
            </w:r>
            <w:r w:rsidRPr="006512B3">
              <w:t>a supplementary</w:t>
            </w:r>
            <w:r w:rsidR="00845AC8">
              <w:t xml:space="preserve"> ‘second chance’</w:t>
            </w:r>
            <w:r w:rsidRPr="006512B3">
              <w:t xml:space="preserve"> survey </w:t>
            </w:r>
            <w:r>
              <w:t>of</w:t>
            </w:r>
            <w:r w:rsidR="009C2F2D">
              <w:t xml:space="preserve"> APRA</w:t>
            </w:r>
            <w:r w:rsidR="009C2F2D">
              <w:noBreakHyphen/>
              <w:t>regulated superannuation</w:t>
            </w:r>
            <w:r>
              <w:t xml:space="preserve"> funds </w:t>
            </w:r>
            <w:r w:rsidRPr="006512B3">
              <w:t xml:space="preserve">covering a subset of </w:t>
            </w:r>
            <w:r w:rsidR="00B447F4">
              <w:t xml:space="preserve">the </w:t>
            </w:r>
            <w:r w:rsidRPr="006512B3">
              <w:t>questions</w:t>
            </w:r>
            <w:r w:rsidR="00B447F4">
              <w:t xml:space="preserve"> asked in the first survey</w:t>
            </w:r>
            <w:r w:rsidRPr="006512B3">
              <w:t>. These relate</w:t>
            </w:r>
            <w:r>
              <w:t>d</w:t>
            </w:r>
            <w:r w:rsidRPr="006512B3">
              <w:t xml:space="preserve"> to fund assets and returns by asset class; investment management fees by asset class; and fund expenses by expense category and by source (outsourced </w:t>
            </w:r>
            <w:r w:rsidR="00D608E3">
              <w:t xml:space="preserve">to related parties, to </w:t>
            </w:r>
            <w:r w:rsidRPr="006512B3">
              <w:t>non</w:t>
            </w:r>
            <w:r w:rsidR="00617DD2">
              <w:noBreakHyphen/>
            </w:r>
            <w:r w:rsidRPr="006512B3">
              <w:t>associate</w:t>
            </w:r>
            <w:r w:rsidR="00D608E3">
              <w:t>d</w:t>
            </w:r>
            <w:r w:rsidRPr="006512B3">
              <w:t xml:space="preserve"> providers,</w:t>
            </w:r>
            <w:r w:rsidR="00135431">
              <w:t xml:space="preserve"> </w:t>
            </w:r>
            <w:r w:rsidR="006D27E8">
              <w:t>or provided</w:t>
            </w:r>
            <w:r w:rsidR="00D608E3">
              <w:t xml:space="preserve"> </w:t>
            </w:r>
            <w:r w:rsidRPr="006512B3">
              <w:t>in</w:t>
            </w:r>
            <w:r w:rsidR="00617DD2">
              <w:noBreakHyphen/>
            </w:r>
            <w:r w:rsidRPr="006512B3">
              <w:t>house).</w:t>
            </w:r>
          </w:p>
          <w:p w:rsidR="004C2603" w:rsidRPr="009C6E0F" w:rsidRDefault="004C2603" w:rsidP="004C2603">
            <w:pPr>
              <w:pStyle w:val="Box"/>
            </w:pPr>
            <w:r w:rsidRPr="009C6E0F">
              <w:t xml:space="preserve">The Commission’s survey prior to the draft report invited 208 funds to participate, and </w:t>
            </w:r>
            <w:r>
              <w:t>this was</w:t>
            </w:r>
            <w:r w:rsidRPr="009C6E0F">
              <w:t xml:space="preserve"> used as the basis for the supplementary survey. </w:t>
            </w:r>
            <w:r>
              <w:t xml:space="preserve">Subsequently, </w:t>
            </w:r>
            <w:r w:rsidRPr="009C6E0F">
              <w:t xml:space="preserve">22 funds were ‘screened out’, because they had either wound up or </w:t>
            </w:r>
            <w:r>
              <w:t>had commenced that process.</w:t>
            </w:r>
          </w:p>
          <w:p w:rsidR="005B547F" w:rsidRDefault="004C2603" w:rsidP="004C2603">
            <w:pPr>
              <w:pStyle w:val="Box"/>
            </w:pPr>
            <w:r>
              <w:t xml:space="preserve">The Commission received </w:t>
            </w:r>
            <w:r w:rsidRPr="007B1E16">
              <w:t>supplementary survey</w:t>
            </w:r>
            <w:r>
              <w:t xml:space="preserve"> responses from </w:t>
            </w:r>
            <w:r w:rsidRPr="007B1E16">
              <w:t>136</w:t>
            </w:r>
            <w:r>
              <w:t xml:space="preserve"> of a possible </w:t>
            </w:r>
            <w:r w:rsidRPr="007B1E16">
              <w:t>186 funds</w:t>
            </w:r>
            <w:r>
              <w:t xml:space="preserve">. </w:t>
            </w:r>
            <w:r w:rsidR="00965751">
              <w:t>The overall r</w:t>
            </w:r>
            <w:r>
              <w:t>esponse</w:t>
            </w:r>
            <w:r w:rsidR="00965751">
              <w:t xml:space="preserve"> rate</w:t>
            </w:r>
            <w:r w:rsidRPr="007B1E16">
              <w:t xml:space="preserve"> represent</w:t>
            </w:r>
            <w:r>
              <w:t>ed</w:t>
            </w:r>
            <w:r w:rsidRPr="007B1E16">
              <w:t xml:space="preserve"> over 90 per cent of accounts </w:t>
            </w:r>
            <w:r>
              <w:t xml:space="preserve">and </w:t>
            </w:r>
            <w:r w:rsidR="00113256">
              <w:t>assets in</w:t>
            </w:r>
            <w:r w:rsidR="00617DD2">
              <w:t xml:space="preserve"> </w:t>
            </w:r>
            <w:r w:rsidR="00113256">
              <w:t>APRA</w:t>
            </w:r>
            <w:r w:rsidR="00113256">
              <w:noBreakHyphen/>
              <w:t xml:space="preserve">regulated </w:t>
            </w:r>
            <w:r>
              <w:t xml:space="preserve">funds, </w:t>
            </w:r>
            <w:r w:rsidR="00550787">
              <w:t>and</w:t>
            </w:r>
            <w:r w:rsidR="00845AC8">
              <w:t xml:space="preserve"> the response rate</w:t>
            </w:r>
            <w:r w:rsidR="00550787">
              <w:t xml:space="preserve"> was similar for retail and not</w:t>
            </w:r>
            <w:r w:rsidR="00617DD2">
              <w:noBreakHyphen/>
            </w:r>
            <w:r w:rsidR="00550787">
              <w:t>for</w:t>
            </w:r>
            <w:r w:rsidR="00617DD2">
              <w:noBreakHyphen/>
            </w:r>
            <w:r w:rsidR="00550787">
              <w:t xml:space="preserve">profit funds. </w:t>
            </w:r>
            <w:r w:rsidR="005B547F">
              <w:t>The composition of the not</w:t>
            </w:r>
            <w:r w:rsidR="00617DD2">
              <w:noBreakHyphen/>
            </w:r>
            <w:r w:rsidR="005B547F">
              <w:t>for</w:t>
            </w:r>
            <w:r w:rsidR="00617DD2">
              <w:noBreakHyphen/>
            </w:r>
            <w:r w:rsidR="005B547F">
              <w:t xml:space="preserve">profit funds </w:t>
            </w:r>
            <w:r w:rsidR="00845AC8">
              <w:t xml:space="preserve">(that is, the split between industry, public sector and corporate funds) </w:t>
            </w:r>
            <w:r w:rsidR="005B547F">
              <w:t>that responded to the survey was similar to the population of not</w:t>
            </w:r>
            <w:r w:rsidR="00617DD2">
              <w:noBreakHyphen/>
            </w:r>
            <w:r w:rsidR="005B547F">
              <w:t>for</w:t>
            </w:r>
            <w:r w:rsidR="00617DD2">
              <w:noBreakHyphen/>
            </w:r>
            <w:r w:rsidR="005B547F">
              <w:t>profit funds as a whole. Industry funds make up 54 per cent of responding not</w:t>
            </w:r>
            <w:r w:rsidR="00617DD2">
              <w:noBreakHyphen/>
            </w:r>
            <w:r w:rsidR="005B547F">
              <w:t>for</w:t>
            </w:r>
            <w:r w:rsidR="00617DD2">
              <w:noBreakHyphen/>
            </w:r>
            <w:r w:rsidR="005B547F">
              <w:t xml:space="preserve">profit funds, and account for around 80 per cent of </w:t>
            </w:r>
            <w:r w:rsidR="00845AC8">
              <w:t>not</w:t>
            </w:r>
            <w:r w:rsidR="00845AC8">
              <w:noBreakHyphen/>
              <w:t>for</w:t>
            </w:r>
            <w:r w:rsidR="00845AC8">
              <w:noBreakHyphen/>
              <w:t>profit</w:t>
            </w:r>
            <w:r w:rsidR="005B547F">
              <w:t xml:space="preserve"> accounts and 55 per cent of assets.</w:t>
            </w:r>
          </w:p>
          <w:p w:rsidR="004C2603" w:rsidRDefault="00135431" w:rsidP="004C2603">
            <w:pPr>
              <w:pStyle w:val="Box"/>
            </w:pPr>
            <w:r>
              <w:t>R</w:t>
            </w:r>
            <w:r w:rsidR="004C2603">
              <w:t xml:space="preserve">esponses </w:t>
            </w:r>
            <w:r w:rsidR="00965751">
              <w:t xml:space="preserve">to specific questions </w:t>
            </w:r>
            <w:r w:rsidR="004C2603">
              <w:t xml:space="preserve">varied in quality </w:t>
            </w:r>
            <w:r w:rsidR="00550787">
              <w:t xml:space="preserve">— </w:t>
            </w:r>
            <w:r w:rsidR="004C2603">
              <w:t>for example, 12 of the 136 funds provided</w:t>
            </w:r>
            <w:r w:rsidR="004C2603" w:rsidDel="006548EC">
              <w:t xml:space="preserve"> </w:t>
            </w:r>
            <w:r w:rsidR="004C2603">
              <w:t xml:space="preserve">no information about expenses. </w:t>
            </w:r>
            <w:r w:rsidR="00113256">
              <w:t>R</w:t>
            </w:r>
            <w:r w:rsidR="004C2603">
              <w:t>esults of the supplementary survey are presented throughout this paper</w:t>
            </w:r>
            <w:r w:rsidR="007A54B8">
              <w:t xml:space="preserve">, and a list of responding funds </w:t>
            </w:r>
            <w:r w:rsidR="007A54B8" w:rsidRPr="007B1E16">
              <w:t>is</w:t>
            </w:r>
            <w:r w:rsidR="007A54B8">
              <w:t xml:space="preserve"> presented in the a</w:t>
            </w:r>
            <w:r w:rsidR="007A54B8" w:rsidRPr="007B1E16">
              <w:t>ttachment</w:t>
            </w:r>
            <w:r w:rsidR="004C2603">
              <w:t>.</w:t>
            </w:r>
            <w:r w:rsidR="00A3377D">
              <w:t xml:space="preserve"> </w:t>
            </w:r>
            <w:r w:rsidR="005C042D">
              <w:t>Because the data were collected on an in</w:t>
            </w:r>
            <w:r w:rsidR="005C042D">
              <w:noBreakHyphen/>
              <w:t>confidence basis</w:t>
            </w:r>
            <w:r w:rsidR="00A3377D">
              <w:t>, survey results for individual identified funds are not published.</w:t>
            </w:r>
          </w:p>
          <w:p w:rsidR="00CC15DF" w:rsidRDefault="00A3377D" w:rsidP="00CC15DF">
            <w:pPr>
              <w:pStyle w:val="Box"/>
            </w:pPr>
            <w:r>
              <w:t>During the course of the supplementary survey, a</w:t>
            </w:r>
            <w:r w:rsidR="004C2603">
              <w:t xml:space="preserve"> number of retail funds indicated that </w:t>
            </w:r>
            <w:r w:rsidR="004C2603" w:rsidRPr="006512B3">
              <w:t xml:space="preserve">data are not usually collected or reported in the format </w:t>
            </w:r>
            <w:r w:rsidR="00033135">
              <w:t xml:space="preserve">(suited to performance attribution </w:t>
            </w:r>
            <w:r w:rsidR="00C534A8">
              <w:t>a</w:t>
            </w:r>
            <w:r w:rsidR="00033135">
              <w:t xml:space="preserve">nalysis) </w:t>
            </w:r>
            <w:r w:rsidR="004C2603">
              <w:t xml:space="preserve">that was </w:t>
            </w:r>
            <w:r w:rsidR="004C2603" w:rsidRPr="006512B3">
              <w:t>requested by the Commission</w:t>
            </w:r>
            <w:r w:rsidR="004C2603">
              <w:t xml:space="preserve">. In order to </w:t>
            </w:r>
            <w:r>
              <w:t>obtain</w:t>
            </w:r>
            <w:r w:rsidR="004C2603">
              <w:t xml:space="preserve"> survey data </w:t>
            </w:r>
            <w:r>
              <w:t>that are</w:t>
            </w:r>
            <w:r w:rsidR="004C2603">
              <w:t xml:space="preserve"> broadly representative of the super system as a whole, the Commission agreed that</w:t>
            </w:r>
            <w:r w:rsidR="002029A5">
              <w:t xml:space="preserve">, for </w:t>
            </w:r>
            <w:r w:rsidR="00DE4A23">
              <w:t xml:space="preserve">12 </w:t>
            </w:r>
            <w:r w:rsidR="004C2603">
              <w:t xml:space="preserve">retail funds </w:t>
            </w:r>
            <w:r w:rsidR="002029A5">
              <w:t>where fund</w:t>
            </w:r>
            <w:r w:rsidR="002029A5">
              <w:noBreakHyphen/>
              <w:t xml:space="preserve">level data were not available, those funds </w:t>
            </w:r>
            <w:r w:rsidR="004C2603">
              <w:t>could provide product</w:t>
            </w:r>
            <w:r w:rsidR="00617DD2">
              <w:noBreakHyphen/>
            </w:r>
            <w:r w:rsidR="004C2603">
              <w:t xml:space="preserve"> or option</w:t>
            </w:r>
            <w:r w:rsidR="00617DD2">
              <w:noBreakHyphen/>
            </w:r>
            <w:r w:rsidR="004C2603">
              <w:t xml:space="preserve">level data that </w:t>
            </w:r>
            <w:r w:rsidR="00911499">
              <w:t>were</w:t>
            </w:r>
            <w:r w:rsidR="004C2603">
              <w:t xml:space="preserve"> broadly representative of within</w:t>
            </w:r>
            <w:r w:rsidR="00617DD2">
              <w:noBreakHyphen/>
            </w:r>
            <w:r w:rsidR="004C2603">
              <w:t>asset</w:t>
            </w:r>
            <w:r w:rsidR="00617DD2">
              <w:noBreakHyphen/>
            </w:r>
            <w:r w:rsidR="004C2603">
              <w:t>class performance at the fund level</w:t>
            </w:r>
            <w:r w:rsidR="002029A5">
              <w:t>.</w:t>
            </w:r>
          </w:p>
          <w:p w:rsidR="00CC15DF" w:rsidRPr="0072455F" w:rsidRDefault="00CC15DF" w:rsidP="00CC15DF">
            <w:pPr>
              <w:pStyle w:val="Box"/>
              <w:rPr>
                <w:b/>
              </w:rPr>
            </w:pPr>
            <w:r w:rsidRPr="0072455F">
              <w:rPr>
                <w:b/>
              </w:rPr>
              <w:t>All data reported from the supplementary funds survey should be interpreted cautiously because:</w:t>
            </w:r>
          </w:p>
          <w:p w:rsidR="00C8210E" w:rsidRPr="0072455F" w:rsidRDefault="008358A2" w:rsidP="0072455F">
            <w:pPr>
              <w:pStyle w:val="BoxListBullet"/>
              <w:rPr>
                <w:b/>
              </w:rPr>
            </w:pPr>
            <w:r w:rsidRPr="0072455F">
              <w:rPr>
                <w:b/>
              </w:rPr>
              <w:t xml:space="preserve">some </w:t>
            </w:r>
            <w:r w:rsidR="00C8210E" w:rsidRPr="0072455F">
              <w:rPr>
                <w:b/>
              </w:rPr>
              <w:t>funds have made simplifying assumptions to provide data in the form requested by the Commission (for example, some funds indicated that for years prior to 2013</w:t>
            </w:r>
            <w:r w:rsidR="00617DD2">
              <w:rPr>
                <w:b/>
              </w:rPr>
              <w:noBreakHyphen/>
            </w:r>
            <w:r w:rsidR="00C8210E" w:rsidRPr="0072455F">
              <w:rPr>
                <w:b/>
              </w:rPr>
              <w:t>14 they did not have data on assets or returns that exactly matched to APRA’s asset</w:t>
            </w:r>
            <w:r w:rsidRPr="0072455F">
              <w:rPr>
                <w:b/>
              </w:rPr>
              <w:noBreakHyphen/>
            </w:r>
            <w:r w:rsidR="00C8210E" w:rsidRPr="0072455F">
              <w:rPr>
                <w:b/>
              </w:rPr>
              <w:t>class classification)</w:t>
            </w:r>
          </w:p>
          <w:p w:rsidR="00FF2D69" w:rsidRPr="0072455F" w:rsidRDefault="00CC15DF" w:rsidP="0072455F">
            <w:pPr>
              <w:pStyle w:val="BoxListBullet"/>
              <w:rPr>
                <w:b/>
              </w:rPr>
            </w:pPr>
            <w:r w:rsidRPr="0072455F">
              <w:rPr>
                <w:b/>
              </w:rPr>
              <w:t xml:space="preserve">there are relatively few observations </w:t>
            </w:r>
            <w:r w:rsidR="00C8210E" w:rsidRPr="0072455F">
              <w:rPr>
                <w:b/>
              </w:rPr>
              <w:t>for some questions</w:t>
            </w:r>
            <w:r w:rsidR="004F17C5" w:rsidRPr="0072455F">
              <w:rPr>
                <w:b/>
              </w:rPr>
              <w:t>,</w:t>
            </w:r>
            <w:r w:rsidR="00C8210E" w:rsidRPr="0072455F">
              <w:rPr>
                <w:b/>
              </w:rPr>
              <w:t xml:space="preserve"> particularly for earlier years</w:t>
            </w:r>
            <w:r w:rsidR="00FF2D69" w:rsidRPr="0072455F">
              <w:rPr>
                <w:b/>
              </w:rPr>
              <w:t xml:space="preserve"> and related party expenses</w:t>
            </w:r>
          </w:p>
          <w:p w:rsidR="004C2603" w:rsidRDefault="00FF2D69" w:rsidP="0072455F">
            <w:pPr>
              <w:pStyle w:val="BoxListBullet"/>
            </w:pPr>
            <w:r w:rsidRPr="0072455F">
              <w:rPr>
                <w:b/>
              </w:rPr>
              <w:t>some funds may have interpreted survey questions differently</w:t>
            </w:r>
            <w:r w:rsidR="005C042D" w:rsidRPr="0072455F">
              <w:rPr>
                <w:b/>
              </w:rPr>
              <w:t>.</w:t>
            </w:r>
          </w:p>
        </w:tc>
      </w:tr>
      <w:tr w:rsidR="004C2603" w:rsidTr="002233F1">
        <w:tc>
          <w:tcPr>
            <w:tcW w:w="5000" w:type="pct"/>
            <w:tcBorders>
              <w:top w:val="nil"/>
              <w:left w:val="nil"/>
              <w:bottom w:val="single" w:sz="6" w:space="0" w:color="78A22F"/>
              <w:right w:val="nil"/>
            </w:tcBorders>
            <w:shd w:val="clear" w:color="auto" w:fill="F2F2F2"/>
          </w:tcPr>
          <w:p w:rsidR="004C2603" w:rsidRDefault="004C2603" w:rsidP="002233F1">
            <w:pPr>
              <w:pStyle w:val="Box"/>
              <w:spacing w:before="0" w:line="120" w:lineRule="exact"/>
            </w:pPr>
          </w:p>
        </w:tc>
      </w:tr>
      <w:tr w:rsidR="004C2603" w:rsidRPr="000863A5" w:rsidTr="002233F1">
        <w:tc>
          <w:tcPr>
            <w:tcW w:w="5000" w:type="pct"/>
            <w:tcBorders>
              <w:top w:val="single" w:sz="6" w:space="0" w:color="78A22F"/>
              <w:left w:val="nil"/>
              <w:bottom w:val="nil"/>
              <w:right w:val="nil"/>
            </w:tcBorders>
          </w:tcPr>
          <w:p w:rsidR="004C2603" w:rsidRPr="00626D32" w:rsidRDefault="004C2603" w:rsidP="002233F1">
            <w:pPr>
              <w:pStyle w:val="BoxSpaceBelow"/>
            </w:pPr>
          </w:p>
        </w:tc>
      </w:tr>
    </w:tbl>
    <w:p w:rsidR="000071EE" w:rsidRDefault="000071EE" w:rsidP="000071EE">
      <w:pPr>
        <w:pStyle w:val="Heading2"/>
      </w:pPr>
      <w:bookmarkStart w:id="6" w:name="_Toc528158039"/>
      <w:bookmarkStart w:id="7" w:name="_Toc528229661"/>
      <w:bookmarkStart w:id="8" w:name="_Toc528298311"/>
      <w:r>
        <w:lastRenderedPageBreak/>
        <w:t xml:space="preserve">Investment </w:t>
      </w:r>
      <w:r w:rsidR="006127E9">
        <w:t>returns</w:t>
      </w:r>
      <w:bookmarkEnd w:id="6"/>
      <w:bookmarkEnd w:id="7"/>
      <w:bookmarkEnd w:id="8"/>
    </w:p>
    <w:p w:rsidR="00E86381" w:rsidRDefault="002D1688" w:rsidP="00B428DF">
      <w:pPr>
        <w:pStyle w:val="BodyText"/>
      </w:pPr>
      <w:r>
        <w:t xml:space="preserve">The </w:t>
      </w:r>
      <w:r w:rsidR="004539F2">
        <w:t>analysis of investment returns in the draft report (chapter</w:t>
      </w:r>
      <w:r w:rsidR="00617DD2">
        <w:t> </w:t>
      </w:r>
      <w:r w:rsidR="004539F2">
        <w:t xml:space="preserve">2 and technical supplement 4) has been extended to include an analysis of supplementary fund survey data (returns by asset class, relative to indexes and other countries), </w:t>
      </w:r>
      <w:r w:rsidR="002A657C">
        <w:t xml:space="preserve">attribution analysis through </w:t>
      </w:r>
      <w:r w:rsidR="004539F2">
        <w:t>a decomposition of the drivers of performance relative to benchmark</w:t>
      </w:r>
      <w:r w:rsidR="00E86381">
        <w:t xml:space="preserve"> portfolio</w:t>
      </w:r>
      <w:r w:rsidR="004539F2">
        <w:t xml:space="preserve">s, and an analysis of </w:t>
      </w:r>
      <w:r w:rsidR="002029A5">
        <w:t>net</w:t>
      </w:r>
      <w:r w:rsidR="004539F2">
        <w:t xml:space="preserve"> returns relative to benchmark</w:t>
      </w:r>
      <w:r w:rsidR="00E86381">
        <w:t xml:space="preserve"> portfolio</w:t>
      </w:r>
      <w:r w:rsidR="004539F2">
        <w:t>s</w:t>
      </w:r>
      <w:r w:rsidR="002029A5">
        <w:t xml:space="preserve"> over shorter time periods</w:t>
      </w:r>
      <w:r w:rsidR="004539F2">
        <w:t>.</w:t>
      </w:r>
    </w:p>
    <w:p w:rsidR="00EA2799" w:rsidRDefault="00E86381" w:rsidP="00EA2799">
      <w:pPr>
        <w:pStyle w:val="BodyText"/>
      </w:pPr>
      <w:r>
        <w:t xml:space="preserve">Benchmark portfolios </w:t>
      </w:r>
      <w:r w:rsidRPr="00C72E3B">
        <w:t>are weighted averages of financial market index returns, with the weights determined by the asset allocation of the unit under analysis (</w:t>
      </w:r>
      <w:r>
        <w:t xml:space="preserve">system, segment, fund or product). </w:t>
      </w:r>
      <w:r w:rsidR="00EA2799">
        <w:t xml:space="preserve">Two main types were used in the draft report: benchmark portfolio 1 (BP1) consists </w:t>
      </w:r>
      <w:r w:rsidR="00AA57C9">
        <w:t xml:space="preserve">only </w:t>
      </w:r>
      <w:r w:rsidR="00EA2799">
        <w:t xml:space="preserve">of listed indexes, and benchmark portfolio 2 (BP2) consists of a combination of listed and unlisted indexes. </w:t>
      </w:r>
      <w:r w:rsidR="004539F2">
        <w:t xml:space="preserve">Unless otherwise specified, all analyses </w:t>
      </w:r>
      <w:r>
        <w:t xml:space="preserve">in this paper are </w:t>
      </w:r>
      <w:r w:rsidR="004539F2">
        <w:t>based on BP2</w:t>
      </w:r>
      <w:r w:rsidR="00EA2799">
        <w:t xml:space="preserve">. </w:t>
      </w:r>
      <w:r w:rsidR="004539F2">
        <w:t xml:space="preserve">Investment </w:t>
      </w:r>
      <w:r w:rsidR="005136B7">
        <w:t>fees,</w:t>
      </w:r>
      <w:r w:rsidR="004539F2">
        <w:t xml:space="preserve"> administration fees and taxes are included or excluded </w:t>
      </w:r>
      <w:r w:rsidR="00FF2D69">
        <w:t xml:space="preserve">in constructing the benchmark </w:t>
      </w:r>
      <w:r w:rsidR="004539F2">
        <w:t>depending on the specific analysis.</w:t>
      </w:r>
    </w:p>
    <w:p w:rsidR="00D02DC1" w:rsidRDefault="00135431" w:rsidP="00443BE2">
      <w:pPr>
        <w:pStyle w:val="BodyText"/>
      </w:pPr>
      <w:r>
        <w:t>In response to feedback, t</w:t>
      </w:r>
      <w:r w:rsidR="00E86381">
        <w:t>he Commission has made some minor changes to the construction of the benchmark portfolios since the draft report</w:t>
      </w:r>
      <w:r w:rsidR="00AA57C9">
        <w:t> — </w:t>
      </w:r>
      <w:r w:rsidR="00E86381">
        <w:t>explained towards the end of this section.</w:t>
      </w:r>
      <w:r w:rsidR="00EA4FE0">
        <w:t xml:space="preserve"> These</w:t>
      </w:r>
      <w:r w:rsidR="00446A3D">
        <w:t xml:space="preserve"> led to some changes to the benchmarking results, </w:t>
      </w:r>
      <w:r w:rsidR="00443BE2">
        <w:t>mostly at the fund level</w:t>
      </w:r>
      <w:r w:rsidR="00FF2D69">
        <w:t xml:space="preserve">. </w:t>
      </w:r>
      <w:r w:rsidR="00D02DC1">
        <w:t xml:space="preserve">Notably, </w:t>
      </w:r>
      <w:r w:rsidR="00D02DC1" w:rsidRPr="00F26070">
        <w:t>the</w:t>
      </w:r>
      <w:r w:rsidR="00D02DC1">
        <w:t>se</w:t>
      </w:r>
      <w:r w:rsidR="00D02DC1" w:rsidRPr="00F26070">
        <w:t xml:space="preserve"> </w:t>
      </w:r>
      <w:r w:rsidR="00D02DC1">
        <w:t xml:space="preserve">updates have not materially changed the </w:t>
      </w:r>
      <w:r w:rsidR="00D02DC1" w:rsidRPr="00F26070">
        <w:t>number of member</w:t>
      </w:r>
      <w:r w:rsidR="00D02DC1">
        <w:t xml:space="preserve"> account</w:t>
      </w:r>
      <w:r w:rsidR="00D02DC1" w:rsidRPr="00F26070">
        <w:t xml:space="preserve">s in underperforming funds </w:t>
      </w:r>
      <w:r w:rsidR="00D02DC1">
        <w:t>and MySuper products.</w:t>
      </w:r>
    </w:p>
    <w:p w:rsidR="000071EE" w:rsidRDefault="000071EE" w:rsidP="000071EE">
      <w:pPr>
        <w:pStyle w:val="Heading3"/>
      </w:pPr>
      <w:bookmarkStart w:id="9" w:name="_Toc528158040"/>
      <w:bookmarkStart w:id="10" w:name="_Toc528229662"/>
      <w:bookmarkStart w:id="11" w:name="_Toc528298312"/>
      <w:r>
        <w:t>Asset</w:t>
      </w:r>
      <w:r w:rsidR="00617DD2">
        <w:noBreakHyphen/>
      </w:r>
      <w:r>
        <w:t xml:space="preserve">class </w:t>
      </w:r>
      <w:r w:rsidR="004B13CA">
        <w:t xml:space="preserve">returns </w:t>
      </w:r>
      <w:r>
        <w:t>benchmarking to financial indexes</w:t>
      </w:r>
      <w:bookmarkEnd w:id="9"/>
      <w:bookmarkEnd w:id="10"/>
      <w:bookmarkEnd w:id="11"/>
    </w:p>
    <w:p w:rsidR="000D7C62" w:rsidRDefault="00342C44" w:rsidP="00C76344">
      <w:pPr>
        <w:pStyle w:val="BodyText"/>
        <w:rPr>
          <w:i/>
        </w:rPr>
      </w:pPr>
      <w:r w:rsidRPr="00342C44">
        <w:rPr>
          <w:i/>
        </w:rPr>
        <w:t>Does the</w:t>
      </w:r>
      <w:r w:rsidR="000D7C62" w:rsidRPr="00342C44">
        <w:rPr>
          <w:i/>
        </w:rPr>
        <w:t xml:space="preserve"> superannuation system deliver higher returns to </w:t>
      </w:r>
      <w:r w:rsidR="00F37B2F">
        <w:rPr>
          <w:i/>
        </w:rPr>
        <w:t>individual</w:t>
      </w:r>
      <w:r w:rsidR="00F37B2F" w:rsidRPr="00342C44">
        <w:rPr>
          <w:i/>
        </w:rPr>
        <w:t xml:space="preserve"> </w:t>
      </w:r>
      <w:r w:rsidR="000D7C62" w:rsidRPr="00342C44">
        <w:rPr>
          <w:i/>
        </w:rPr>
        <w:t>asset classes compared to finan</w:t>
      </w:r>
      <w:r w:rsidRPr="00342C44">
        <w:rPr>
          <w:i/>
        </w:rPr>
        <w:t>cial market index</w:t>
      </w:r>
      <w:r w:rsidR="00653248">
        <w:rPr>
          <w:i/>
        </w:rPr>
        <w:t>es</w:t>
      </w:r>
      <w:r w:rsidR="00F37B2F">
        <w:rPr>
          <w:i/>
        </w:rPr>
        <w:t>? A</w:t>
      </w:r>
      <w:r w:rsidRPr="00342C44">
        <w:rPr>
          <w:i/>
        </w:rPr>
        <w:t>re</w:t>
      </w:r>
      <w:r w:rsidR="000D7C62" w:rsidRPr="00342C44">
        <w:rPr>
          <w:i/>
        </w:rPr>
        <w:t xml:space="preserve"> there a</w:t>
      </w:r>
      <w:r w:rsidR="006C148E">
        <w:rPr>
          <w:i/>
        </w:rPr>
        <w:t>ny</w:t>
      </w:r>
      <w:r w:rsidR="000D7C62" w:rsidRPr="00342C44">
        <w:rPr>
          <w:i/>
        </w:rPr>
        <w:t xml:space="preserve"> differences by segment</w:t>
      </w:r>
      <w:r w:rsidRPr="00342C44">
        <w:rPr>
          <w:i/>
        </w:rPr>
        <w:t>?</w:t>
      </w:r>
    </w:p>
    <w:p w:rsidR="00D52075" w:rsidRDefault="00487AF0" w:rsidP="00C76344">
      <w:pPr>
        <w:pStyle w:val="BodyText"/>
      </w:pPr>
      <w:r>
        <w:t>In its supplementary funds survey, the Commission asked f</w:t>
      </w:r>
      <w:r w:rsidR="00C76344" w:rsidRPr="00276905">
        <w:t>unds</w:t>
      </w:r>
      <w:r w:rsidR="00C76344" w:rsidRPr="00276905" w:rsidDel="00487AF0">
        <w:t xml:space="preserve"> </w:t>
      </w:r>
      <w:r w:rsidR="00C76344" w:rsidRPr="00276905">
        <w:t xml:space="preserve">to provide </w:t>
      </w:r>
      <w:r w:rsidR="00511843">
        <w:t xml:space="preserve">historical </w:t>
      </w:r>
      <w:r w:rsidR="00C76344" w:rsidRPr="00276905">
        <w:t>returns at an asset class level for each year over the period 2008</w:t>
      </w:r>
      <w:r w:rsidR="001A4F9B">
        <w:t xml:space="preserve"> to </w:t>
      </w:r>
      <w:r w:rsidR="00C76344" w:rsidRPr="00276905">
        <w:t>2017, gross of tax but net of all investment fees</w:t>
      </w:r>
      <w:r>
        <w:t xml:space="preserve"> and costs</w:t>
      </w:r>
      <w:r w:rsidR="00C76344" w:rsidRPr="00276905">
        <w:t xml:space="preserve"> (</w:t>
      </w:r>
      <w:r>
        <w:t xml:space="preserve">paid by the fund </w:t>
      </w:r>
      <w:r w:rsidR="00C76344" w:rsidRPr="00276905">
        <w:t>at an asset class level).</w:t>
      </w:r>
      <w:r w:rsidR="00C76344">
        <w:t xml:space="preserve"> </w:t>
      </w:r>
      <w:r w:rsidR="00AE214E">
        <w:t>This information was also requested in the initial funds survey, but response rates were disappointing and few funds provided a complete set of data on net returns by asset class over time.</w:t>
      </w:r>
    </w:p>
    <w:p w:rsidR="00D52075" w:rsidRDefault="00AE214E" w:rsidP="00C76344">
      <w:pPr>
        <w:pStyle w:val="BodyText"/>
      </w:pPr>
      <w:r>
        <w:t>While response rates were higher for the supplementary survey, n</w:t>
      </w:r>
      <w:r w:rsidR="00D52075">
        <w:t>ot all funds were able to provide a full set of the data requested</w:t>
      </w:r>
      <w:r w:rsidR="00F0033F">
        <w:t>:</w:t>
      </w:r>
    </w:p>
    <w:p w:rsidR="00C76344" w:rsidRDefault="003C4A12" w:rsidP="00C76344">
      <w:pPr>
        <w:pStyle w:val="ListBullet"/>
      </w:pPr>
      <w:r>
        <w:t>12 retail</w:t>
      </w:r>
      <w:r w:rsidR="00103650">
        <w:t xml:space="preserve"> funds</w:t>
      </w:r>
      <w:r>
        <w:t xml:space="preserve"> </w:t>
      </w:r>
      <w:r w:rsidR="00C76344">
        <w:t xml:space="preserve">provided </w:t>
      </w:r>
      <w:r>
        <w:t xml:space="preserve">net </w:t>
      </w:r>
      <w:r w:rsidR="00C76344">
        <w:t xml:space="preserve">returns </w:t>
      </w:r>
      <w:r>
        <w:t xml:space="preserve">data </w:t>
      </w:r>
      <w:r w:rsidR="00C76344">
        <w:t xml:space="preserve">at an </w:t>
      </w:r>
      <w:r w:rsidR="00C76344" w:rsidRPr="009B7EBB">
        <w:t>option</w:t>
      </w:r>
      <w:r w:rsidR="00C76344">
        <w:t xml:space="preserve"> level rather than at a whole</w:t>
      </w:r>
      <w:r w:rsidR="00617DD2">
        <w:noBreakHyphen/>
      </w:r>
      <w:r w:rsidR="00C76344">
        <w:t>of</w:t>
      </w:r>
      <w:r w:rsidR="00617DD2">
        <w:noBreakHyphen/>
      </w:r>
      <w:r w:rsidR="00C76344">
        <w:t>fund level</w:t>
      </w:r>
      <w:r w:rsidR="001A4F9B">
        <w:t xml:space="preserve"> (as noted in box 1)</w:t>
      </w:r>
    </w:p>
    <w:p w:rsidR="00C76344" w:rsidRDefault="009A03ED" w:rsidP="00C76344">
      <w:pPr>
        <w:pStyle w:val="ListBullet"/>
      </w:pPr>
      <w:r>
        <w:t>s</w:t>
      </w:r>
      <w:r w:rsidR="00103650">
        <w:t xml:space="preserve">everal </w:t>
      </w:r>
      <w:r w:rsidR="003C4A12">
        <w:t>funds were</w:t>
      </w:r>
      <w:r w:rsidR="00C76344">
        <w:t xml:space="preserve"> not </w:t>
      </w:r>
      <w:r w:rsidR="003C4A12">
        <w:t>able to distinguish between net returns from</w:t>
      </w:r>
      <w:r w:rsidR="00C76344">
        <w:t xml:space="preserve"> Australian and international fixed income</w:t>
      </w:r>
      <w:r w:rsidR="003C4A12">
        <w:t xml:space="preserve"> assets</w:t>
      </w:r>
    </w:p>
    <w:p w:rsidR="00E43927" w:rsidRDefault="009A03ED" w:rsidP="00E43927">
      <w:pPr>
        <w:pStyle w:val="ListBullet"/>
      </w:pPr>
      <w:r>
        <w:t>a</w:t>
      </w:r>
      <w:r w:rsidR="00103650">
        <w:t xml:space="preserve"> number of funds </w:t>
      </w:r>
      <w:r w:rsidR="00C76344">
        <w:t xml:space="preserve">provided </w:t>
      </w:r>
      <w:r w:rsidR="001A4F9B">
        <w:t>net returns for</w:t>
      </w:r>
      <w:r w:rsidR="00C76344">
        <w:t xml:space="preserve"> total property and/or infrastructure without a listed/unlisted breakdown.</w:t>
      </w:r>
    </w:p>
    <w:p w:rsidR="00E43927" w:rsidRDefault="00941F44" w:rsidP="00E43927">
      <w:pPr>
        <w:pStyle w:val="ListBullet"/>
        <w:numPr>
          <w:ilvl w:val="0"/>
          <w:numId w:val="0"/>
        </w:numPr>
      </w:pPr>
      <w:r>
        <w:t xml:space="preserve">The analysis has been split into two parts. For the analysis at the system or segment level, the whole dataset is utilised, and weighted averages are calculated using the value of assets </w:t>
      </w:r>
      <w:r>
        <w:lastRenderedPageBreak/>
        <w:t xml:space="preserve">invested in a particular asset class. </w:t>
      </w:r>
      <w:r w:rsidR="00DC46DE">
        <w:t xml:space="preserve">For the analysis at a fund level, </w:t>
      </w:r>
      <w:r w:rsidR="008B4965">
        <w:t xml:space="preserve">a subset of years </w:t>
      </w:r>
      <w:r w:rsidR="008B4965" w:rsidRPr="0072455F">
        <w:rPr>
          <w:rStyle w:val="BodyTextChar"/>
        </w:rPr>
        <w:t>(</w:t>
      </w:r>
      <w:r w:rsidR="007B1E3C" w:rsidRPr="00FB5B3B">
        <w:rPr>
          <w:rStyle w:val="BodyTextChar"/>
        </w:rPr>
        <w:t>2011</w:t>
      </w:r>
      <w:r w:rsidR="008B4965" w:rsidRPr="0072455F">
        <w:rPr>
          <w:rStyle w:val="BodyTextChar"/>
        </w:rPr>
        <w:t xml:space="preserve"> to </w:t>
      </w:r>
      <w:r w:rsidR="007B1E3C" w:rsidRPr="00FB5B3B">
        <w:rPr>
          <w:rStyle w:val="BodyTextChar"/>
        </w:rPr>
        <w:t>2017</w:t>
      </w:r>
      <w:r w:rsidR="008B4965" w:rsidRPr="0072455F">
        <w:rPr>
          <w:rStyle w:val="BodyTextChar"/>
        </w:rPr>
        <w:t>)</w:t>
      </w:r>
      <w:r w:rsidR="008B4965">
        <w:t xml:space="preserve"> </w:t>
      </w:r>
      <w:r w:rsidR="007B1E3C">
        <w:t>is used</w:t>
      </w:r>
      <w:r w:rsidR="008B4965">
        <w:t xml:space="preserve"> to increase the number of data points available and </w:t>
      </w:r>
      <w:r w:rsidR="003727C4">
        <w:t>the distribution of reported returns is unweighted.</w:t>
      </w:r>
    </w:p>
    <w:p w:rsidR="008A0C37" w:rsidRDefault="008A0C37" w:rsidP="008A0C37">
      <w:pPr>
        <w:pStyle w:val="BodyText"/>
      </w:pPr>
      <w:r>
        <w:t>The survey data were compared to the listed and unlisted indexes used in the construction of benchmark portfolios (as documented in technical supplement 4 and updated as described below). This was done gross of tax and net of investment fees.</w:t>
      </w:r>
    </w:p>
    <w:p w:rsidR="00C76344" w:rsidRDefault="00C76344" w:rsidP="00C76344">
      <w:pPr>
        <w:pStyle w:val="Heading4"/>
      </w:pPr>
      <w:r>
        <w:t>System and segment comparison</w:t>
      </w:r>
      <w:r w:rsidR="001A4F9B">
        <w:t>s</w:t>
      </w:r>
    </w:p>
    <w:p w:rsidR="00296753" w:rsidRDefault="00D811C5" w:rsidP="006E6EF1">
      <w:pPr>
        <w:pStyle w:val="BodyText"/>
        <w:rPr>
          <w:spacing w:val="-2"/>
        </w:rPr>
      </w:pPr>
      <w:r>
        <w:rPr>
          <w:spacing w:val="-2"/>
        </w:rPr>
        <w:t>At</w:t>
      </w:r>
      <w:r w:rsidR="00C76344" w:rsidRPr="0072455F">
        <w:rPr>
          <w:spacing w:val="-2"/>
        </w:rPr>
        <w:t xml:space="preserve"> a system level, funds </w:t>
      </w:r>
      <w:r w:rsidR="00FF2D69" w:rsidRPr="0072455F">
        <w:rPr>
          <w:spacing w:val="-2"/>
        </w:rPr>
        <w:t xml:space="preserve">on average </w:t>
      </w:r>
      <w:r w:rsidR="004426E6" w:rsidRPr="0072455F">
        <w:rPr>
          <w:spacing w:val="-2"/>
        </w:rPr>
        <w:t>p</w:t>
      </w:r>
      <w:r w:rsidR="0027214D" w:rsidRPr="0072455F">
        <w:rPr>
          <w:spacing w:val="-2"/>
        </w:rPr>
        <w:t>erform</w:t>
      </w:r>
      <w:r w:rsidR="00C76344" w:rsidRPr="0072455F">
        <w:rPr>
          <w:spacing w:val="-2"/>
        </w:rPr>
        <w:t xml:space="preserve"> close to or above benchmark</w:t>
      </w:r>
      <w:r w:rsidR="003A5D70" w:rsidRPr="0072455F">
        <w:rPr>
          <w:spacing w:val="-2"/>
        </w:rPr>
        <w:t>s</w:t>
      </w:r>
      <w:r w:rsidR="00C76344" w:rsidRPr="0072455F">
        <w:rPr>
          <w:spacing w:val="-2"/>
        </w:rPr>
        <w:t xml:space="preserve"> in all asset classes except for unlisted infrastructure (figure</w:t>
      </w:r>
      <w:r w:rsidR="00617DD2">
        <w:rPr>
          <w:spacing w:val="-2"/>
        </w:rPr>
        <w:t> </w:t>
      </w:r>
      <w:r w:rsidR="001A4F9B" w:rsidRPr="0072455F">
        <w:rPr>
          <w:spacing w:val="-2"/>
        </w:rPr>
        <w:t>1</w:t>
      </w:r>
      <w:r w:rsidR="00C76344" w:rsidRPr="0072455F">
        <w:rPr>
          <w:spacing w:val="-2"/>
        </w:rPr>
        <w:t>).</w:t>
      </w:r>
    </w:p>
    <w:p w:rsidR="00C76344" w:rsidRDefault="00C76344" w:rsidP="00C7634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82FE2" w:rsidTr="00C15C34">
        <w:trPr>
          <w:tblHeader/>
        </w:trPr>
        <w:tc>
          <w:tcPr>
            <w:tcW w:w="5000" w:type="pct"/>
            <w:tcBorders>
              <w:top w:val="single" w:sz="6" w:space="0" w:color="78A22F"/>
              <w:left w:val="nil"/>
              <w:bottom w:val="nil"/>
              <w:right w:val="nil"/>
            </w:tcBorders>
            <w:shd w:val="clear" w:color="auto" w:fill="auto"/>
          </w:tcPr>
          <w:p w:rsidR="00482FE2" w:rsidRDefault="00482FE2" w:rsidP="00C15C34">
            <w:pPr>
              <w:pStyle w:val="FigureTitle"/>
            </w:pPr>
            <w:r w:rsidRPr="00784A05">
              <w:rPr>
                <w:b w:val="0"/>
              </w:rPr>
              <w:t xml:space="preserve">Figure </w:t>
            </w:r>
            <w:r w:rsidR="001345FE">
              <w:rPr>
                <w:b w:val="0"/>
                <w:noProof/>
              </w:rPr>
              <w:t>1</w:t>
            </w:r>
            <w:r>
              <w:tab/>
              <w:t>Returns exceed benchmarks in most asset classes</w:t>
            </w:r>
          </w:p>
          <w:p w:rsidR="00482FE2" w:rsidRPr="00176D3F" w:rsidRDefault="00482FE2" w:rsidP="00482FE2">
            <w:pPr>
              <w:pStyle w:val="Subtitle"/>
            </w:pPr>
            <w:r>
              <w:t>System returns w</w:t>
            </w:r>
            <w:r w:rsidRPr="00AC274C">
              <w:t xml:space="preserve">eighted by </w:t>
            </w:r>
            <w:r>
              <w:t>assets invested in the corresponding asset class, 2008–2017</w:t>
            </w:r>
            <w:r w:rsidRPr="00BF73CE">
              <w:rPr>
                <w:rStyle w:val="NoteLabel"/>
              </w:rPr>
              <w:t>a</w:t>
            </w:r>
          </w:p>
        </w:tc>
      </w:tr>
      <w:tr w:rsidR="00482FE2" w:rsidTr="00C15C34">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563"/>
              <w:gridCol w:w="2306"/>
              <w:gridCol w:w="2306"/>
              <w:gridCol w:w="2316"/>
              <w:gridCol w:w="14"/>
            </w:tblGrid>
            <w:tr w:rsidR="00482FE2" w:rsidRPr="00B1465D" w:rsidTr="00482FE2">
              <w:trPr>
                <w:tblHeader/>
                <w:jc w:val="center"/>
              </w:trPr>
              <w:tc>
                <w:tcPr>
                  <w:tcW w:w="5000" w:type="pct"/>
                  <w:gridSpan w:val="5"/>
                  <w:tcBorders>
                    <w:top w:val="nil"/>
                    <w:bottom w:val="nil"/>
                  </w:tcBorders>
                </w:tcPr>
                <w:p w:rsidR="00482FE2" w:rsidRPr="00B1465D" w:rsidRDefault="0068720F" w:rsidP="00C15C34">
                  <w:pPr>
                    <w:pStyle w:val="Figure"/>
                    <w:spacing w:before="60" w:after="60"/>
                    <w:rPr>
                      <w:rFonts w:ascii="Arial" w:hAnsi="Arial" w:cs="Arial"/>
                      <w:sz w:val="18"/>
                      <w:szCs w:val="18"/>
                    </w:rPr>
                  </w:pPr>
                  <w:r>
                    <w:rPr>
                      <w:rFonts w:ascii="Arial" w:hAnsi="Arial" w:cs="Arial"/>
                      <w:noProof/>
                      <w:sz w:val="18"/>
                      <w:szCs w:val="18"/>
                    </w:rPr>
                    <w:drawing>
                      <wp:inline distT="0" distB="0" distL="0" distR="0" wp14:anchorId="36E0FFA5" wp14:editId="70BC4038">
                        <wp:extent cx="5581015" cy="2233295"/>
                        <wp:effectExtent l="0" t="0" r="0" b="0"/>
                        <wp:docPr id="19" name="Picture 19" descr="This figure shows a comparison of annualised net investment returns against benchmark returns by asset class from 2007 to 2017 across the system. On average, returns are close to the benchmark for all asset classes except for unlisted infrastructure, where the benchmark is noticeably hig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stem_asset_class_no_other.em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81015" cy="2233295"/>
                                </a:xfrm>
                                <a:prstGeom prst="rect">
                                  <a:avLst/>
                                </a:prstGeom>
                              </pic:spPr>
                            </pic:pic>
                          </a:graphicData>
                        </a:graphic>
                      </wp:inline>
                    </w:drawing>
                  </w:r>
                </w:p>
              </w:tc>
            </w:tr>
            <w:tr w:rsidR="00482FE2" w:rsidTr="00482FE2">
              <w:tblPrEx>
                <w:jc w:val="left"/>
                <w:tblBorders>
                  <w:top w:val="none" w:sz="0" w:space="0" w:color="auto"/>
                  <w:bottom w:val="none" w:sz="0" w:space="0" w:color="auto"/>
                </w:tblBorders>
                <w:tblCellMar>
                  <w:top w:w="0" w:type="dxa"/>
                  <w:left w:w="108" w:type="dxa"/>
                  <w:right w:w="108" w:type="dxa"/>
                </w:tblCellMar>
                <w:tblLook w:val="04A0" w:firstRow="1" w:lastRow="0" w:firstColumn="1" w:lastColumn="0" w:noHBand="0" w:noVBand="1"/>
              </w:tblPrEx>
              <w:trPr>
                <w:gridAfter w:val="1"/>
                <w:wAfter w:w="9" w:type="pct"/>
                <w:tblHeader/>
              </w:trPr>
              <w:tc>
                <w:tcPr>
                  <w:tcW w:w="917" w:type="pct"/>
                  <w:shd w:val="clear" w:color="auto" w:fill="F2F2F2" w:themeFill="background1" w:themeFillShade="F2"/>
                </w:tcPr>
                <w:p w:rsidR="00482FE2" w:rsidRDefault="00482FE2" w:rsidP="00482FE2">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4074" w:type="pct"/>
                  <w:gridSpan w:val="3"/>
                  <w:shd w:val="clear" w:color="auto" w:fill="F2F2F2" w:themeFill="background1" w:themeFillShade="F2"/>
                </w:tcPr>
                <w:p w:rsidR="00482FE2" w:rsidRDefault="00B42E05" w:rsidP="00FB5B3B">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Supplementary f</w:t>
                  </w:r>
                  <w:r w:rsidR="00482FE2">
                    <w:rPr>
                      <w:rFonts w:ascii="Arial" w:eastAsia="+mn-ea" w:hAnsi="Arial" w:cs="Arial"/>
                      <w:color w:val="000000" w:themeColor="text1"/>
                      <w:kern w:val="24"/>
                      <w:sz w:val="18"/>
                      <w:szCs w:val="18"/>
                    </w:rPr>
                    <w:t>unds survey and financial market index data (various providers).</w:t>
                  </w:r>
                </w:p>
              </w:tc>
            </w:tr>
            <w:tr w:rsidR="00482FE2" w:rsidTr="00482FE2">
              <w:tblPrEx>
                <w:jc w:val="left"/>
                <w:tblBorders>
                  <w:top w:val="none" w:sz="0" w:space="0" w:color="auto"/>
                  <w:bottom w:val="none" w:sz="0" w:space="0" w:color="auto"/>
                </w:tblBorders>
                <w:tblCellMar>
                  <w:top w:w="0" w:type="dxa"/>
                  <w:left w:w="108" w:type="dxa"/>
                  <w:right w:w="108" w:type="dxa"/>
                </w:tblCellMar>
                <w:tblLook w:val="04A0" w:firstRow="1" w:lastRow="0" w:firstColumn="1" w:lastColumn="0" w:noHBand="0" w:noVBand="1"/>
              </w:tblPrEx>
              <w:trPr>
                <w:gridAfter w:val="1"/>
                <w:wAfter w:w="9" w:type="pct"/>
              </w:trPr>
              <w:tc>
                <w:tcPr>
                  <w:tcW w:w="917" w:type="pct"/>
                  <w:shd w:val="clear" w:color="auto" w:fill="F2F2F2" w:themeFill="background1" w:themeFillShade="F2"/>
                </w:tcPr>
                <w:p w:rsidR="00482FE2" w:rsidRDefault="00482FE2" w:rsidP="00482FE2">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Benchmark</w:t>
                  </w:r>
                </w:p>
              </w:tc>
              <w:tc>
                <w:tcPr>
                  <w:tcW w:w="4074" w:type="pct"/>
                  <w:gridSpan w:val="3"/>
                  <w:shd w:val="clear" w:color="auto" w:fill="F2F2F2" w:themeFill="background1" w:themeFillShade="F2"/>
                </w:tcPr>
                <w:p w:rsidR="00482FE2" w:rsidRDefault="00482FE2" w:rsidP="00482FE2">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Asset</w:t>
                  </w:r>
                  <w:r>
                    <w:rPr>
                      <w:rFonts w:ascii="Arial" w:eastAsia="+mn-ea" w:hAnsi="Arial" w:cs="Arial"/>
                      <w:color w:val="000000" w:themeColor="text1"/>
                      <w:kern w:val="24"/>
                      <w:sz w:val="18"/>
                      <w:szCs w:val="18"/>
                    </w:rPr>
                    <w:noBreakHyphen/>
                    <w:t>class benchmarks as per BP2.</w:t>
                  </w:r>
                </w:p>
              </w:tc>
            </w:tr>
            <w:tr w:rsidR="00482FE2" w:rsidRPr="001F53B0" w:rsidTr="00482FE2">
              <w:tblPrEx>
                <w:jc w:val="left"/>
                <w:tblBorders>
                  <w:top w:val="none" w:sz="0" w:space="0" w:color="auto"/>
                  <w:bottom w:val="none" w:sz="0" w:space="0" w:color="auto"/>
                </w:tblBorders>
                <w:tblCellMar>
                  <w:top w:w="0" w:type="dxa"/>
                  <w:left w:w="108" w:type="dxa"/>
                  <w:right w:w="108" w:type="dxa"/>
                </w:tblCellMar>
                <w:tblLook w:val="04A0" w:firstRow="1" w:lastRow="0" w:firstColumn="1" w:lastColumn="0" w:noHBand="0" w:noVBand="1"/>
              </w:tblPrEx>
              <w:trPr>
                <w:gridAfter w:val="1"/>
                <w:wAfter w:w="9" w:type="pct"/>
              </w:trPr>
              <w:tc>
                <w:tcPr>
                  <w:tcW w:w="917" w:type="pct"/>
                  <w:shd w:val="clear" w:color="auto" w:fill="F2F2F2" w:themeFill="background1" w:themeFillShade="F2"/>
                </w:tcPr>
                <w:p w:rsidR="00482FE2" w:rsidRDefault="00482FE2" w:rsidP="00482FE2">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4074" w:type="pct"/>
                  <w:gridSpan w:val="3"/>
                  <w:shd w:val="clear" w:color="auto" w:fill="F2F2F2" w:themeFill="background1" w:themeFillShade="F2"/>
                </w:tcPr>
                <w:p w:rsidR="00482FE2" w:rsidRPr="001F53B0" w:rsidRDefault="00482FE2" w:rsidP="00EE31B8">
                  <w:pPr>
                    <w:pStyle w:val="NormalWeb"/>
                    <w:spacing w:before="0" w:beforeAutospacing="0" w:after="0" w:afterAutospacing="0"/>
                    <w:rPr>
                      <w:color w:val="000000" w:themeColor="text1"/>
                    </w:rPr>
                  </w:pPr>
                  <w:r>
                    <w:rPr>
                      <w:rFonts w:ascii="Arial" w:eastAsia="+mn-ea" w:hAnsi="Arial" w:cs="Arial"/>
                      <w:color w:val="000000" w:themeColor="text1"/>
                      <w:kern w:val="24"/>
                      <w:sz w:val="18"/>
                      <w:szCs w:val="18"/>
                    </w:rPr>
                    <w:t xml:space="preserve">In </w:t>
                  </w:r>
                  <w:r w:rsidR="00B905C8">
                    <w:rPr>
                      <w:rFonts w:ascii="Arial" w:eastAsia="+mn-ea" w:hAnsi="Arial" w:cs="Arial"/>
                      <w:color w:val="000000" w:themeColor="text1"/>
                      <w:kern w:val="24"/>
                      <w:sz w:val="18"/>
                      <w:szCs w:val="18"/>
                    </w:rPr>
                    <w:t>2008</w:t>
                  </w:r>
                  <w:r>
                    <w:rPr>
                      <w:rFonts w:ascii="Arial" w:eastAsia="+mn-ea" w:hAnsi="Arial" w:cs="Arial"/>
                      <w:color w:val="000000" w:themeColor="text1"/>
                      <w:kern w:val="24"/>
                      <w:sz w:val="18"/>
                      <w:szCs w:val="18"/>
                    </w:rPr>
                    <w:t>, the funds in this figure represent</w:t>
                  </w:r>
                  <w:r w:rsidR="00BD56C9">
                    <w:rPr>
                      <w:rFonts w:ascii="Arial" w:eastAsia="+mn-ea" w:hAnsi="Arial" w:cs="Arial"/>
                      <w:color w:val="000000" w:themeColor="text1"/>
                      <w:kern w:val="24"/>
                      <w:sz w:val="18"/>
                      <w:szCs w:val="18"/>
                    </w:rPr>
                    <w:t>ed</w:t>
                  </w:r>
                  <w:r>
                    <w:rPr>
                      <w:rFonts w:ascii="Arial" w:eastAsia="+mn-ea" w:hAnsi="Arial" w:cs="Arial"/>
                      <w:color w:val="000000" w:themeColor="text1"/>
                      <w:kern w:val="24"/>
                      <w:sz w:val="18"/>
                      <w:szCs w:val="18"/>
                    </w:rPr>
                    <w:t xml:space="preserve"> up to </w:t>
                  </w:r>
                  <w:r w:rsidR="00EE40C6">
                    <w:rPr>
                      <w:rFonts w:ascii="Arial" w:eastAsia="+mn-ea" w:hAnsi="Arial" w:cs="Arial"/>
                      <w:color w:val="000000" w:themeColor="text1"/>
                      <w:kern w:val="24"/>
                      <w:sz w:val="18"/>
                      <w:szCs w:val="18"/>
                    </w:rPr>
                    <w:t>66</w:t>
                  </w:r>
                  <w:r w:rsidR="00EE31B8">
                    <w:rPr>
                      <w:rFonts w:ascii="Arial" w:eastAsia="+mn-ea" w:hAnsi="Arial" w:cs="Arial"/>
                      <w:color w:val="000000" w:themeColor="text1"/>
                      <w:kern w:val="24"/>
                      <w:sz w:val="18"/>
                      <w:szCs w:val="18"/>
                    </w:rPr>
                    <w:t>%</w:t>
                  </w:r>
                  <w:r>
                    <w:rPr>
                      <w:rFonts w:ascii="Arial" w:eastAsia="+mn-ea" w:hAnsi="Arial" w:cs="Arial"/>
                      <w:color w:val="000000" w:themeColor="text1"/>
                      <w:kern w:val="24"/>
                      <w:sz w:val="18"/>
                      <w:szCs w:val="18"/>
                    </w:rPr>
                    <w:t xml:space="preserve"> of total assets and </w:t>
                  </w:r>
                  <w:r w:rsidR="00EE40C6">
                    <w:rPr>
                      <w:rFonts w:ascii="Arial" w:eastAsia="+mn-ea" w:hAnsi="Arial" w:cs="Arial"/>
                      <w:color w:val="000000" w:themeColor="text1"/>
                      <w:kern w:val="24"/>
                      <w:sz w:val="18"/>
                      <w:szCs w:val="18"/>
                    </w:rPr>
                    <w:t>69</w:t>
                  </w:r>
                  <w:r w:rsidR="00EE31B8">
                    <w:rPr>
                      <w:rFonts w:ascii="Arial" w:eastAsia="+mn-ea" w:hAnsi="Arial" w:cs="Arial"/>
                      <w:color w:val="000000" w:themeColor="text1"/>
                      <w:kern w:val="24"/>
                      <w:sz w:val="18"/>
                      <w:szCs w:val="18"/>
                    </w:rPr>
                    <w:t>%</w:t>
                  </w:r>
                  <w:r>
                    <w:rPr>
                      <w:rFonts w:ascii="Arial" w:eastAsia="+mn-ea" w:hAnsi="Arial" w:cs="Arial"/>
                      <w:color w:val="000000" w:themeColor="text1"/>
                      <w:kern w:val="24"/>
                      <w:sz w:val="18"/>
                      <w:szCs w:val="18"/>
                    </w:rPr>
                    <w:t xml:space="preserve"> of member accounts of APRA</w:t>
                  </w:r>
                  <w:r w:rsidR="00617DD2">
                    <w:rPr>
                      <w:rFonts w:ascii="Arial" w:eastAsia="+mn-ea" w:hAnsi="Arial" w:cs="Arial"/>
                      <w:color w:val="000000" w:themeColor="text1"/>
                      <w:kern w:val="24"/>
                      <w:sz w:val="18"/>
                      <w:szCs w:val="18"/>
                    </w:rPr>
                    <w:noBreakHyphen/>
                  </w:r>
                  <w:r>
                    <w:rPr>
                      <w:rFonts w:ascii="Arial" w:eastAsia="+mn-ea" w:hAnsi="Arial" w:cs="Arial"/>
                      <w:color w:val="000000" w:themeColor="text1"/>
                      <w:kern w:val="24"/>
                      <w:sz w:val="18"/>
                      <w:szCs w:val="18"/>
                    </w:rPr>
                    <w:t>regulated funds.</w:t>
                  </w:r>
                  <w:r w:rsidR="008A0C37">
                    <w:rPr>
                      <w:rFonts w:ascii="Arial" w:eastAsia="+mn-ea" w:hAnsi="Arial" w:cs="Arial"/>
                      <w:color w:val="000000" w:themeColor="text1"/>
                      <w:kern w:val="24"/>
                      <w:sz w:val="18"/>
                      <w:szCs w:val="18"/>
                    </w:rPr>
                    <w:t xml:space="preserve"> </w:t>
                  </w:r>
                  <w:r>
                    <w:rPr>
                      <w:rFonts w:ascii="Arial" w:eastAsia="+mn-ea" w:hAnsi="Arial" w:cs="Arial"/>
                      <w:color w:val="000000" w:themeColor="text1"/>
                      <w:kern w:val="24"/>
                      <w:sz w:val="18"/>
                      <w:szCs w:val="18"/>
                    </w:rPr>
                    <w:t>In 2017, the funds in this figure represent</w:t>
                  </w:r>
                  <w:r w:rsidR="00BD56C9">
                    <w:rPr>
                      <w:rFonts w:ascii="Arial" w:eastAsia="+mn-ea" w:hAnsi="Arial" w:cs="Arial"/>
                      <w:color w:val="000000" w:themeColor="text1"/>
                      <w:kern w:val="24"/>
                      <w:sz w:val="18"/>
                      <w:szCs w:val="18"/>
                    </w:rPr>
                    <w:t>ed</w:t>
                  </w:r>
                  <w:r>
                    <w:rPr>
                      <w:rFonts w:ascii="Arial" w:eastAsia="+mn-ea" w:hAnsi="Arial" w:cs="Arial"/>
                      <w:color w:val="000000" w:themeColor="text1"/>
                      <w:kern w:val="24"/>
                      <w:sz w:val="18"/>
                      <w:szCs w:val="18"/>
                    </w:rPr>
                    <w:t xml:space="preserve"> up to </w:t>
                  </w:r>
                  <w:r w:rsidR="00C25ACD">
                    <w:rPr>
                      <w:rFonts w:ascii="Arial" w:eastAsia="+mn-ea" w:hAnsi="Arial" w:cs="Arial"/>
                      <w:color w:val="000000" w:themeColor="text1"/>
                      <w:kern w:val="24"/>
                      <w:sz w:val="18"/>
                      <w:szCs w:val="18"/>
                    </w:rPr>
                    <w:t>86</w:t>
                  </w:r>
                  <w:r w:rsidR="00EE31B8">
                    <w:rPr>
                      <w:rFonts w:ascii="Arial" w:eastAsia="+mn-ea" w:hAnsi="Arial" w:cs="Arial"/>
                      <w:color w:val="000000" w:themeColor="text1"/>
                      <w:kern w:val="24"/>
                      <w:sz w:val="18"/>
                      <w:szCs w:val="18"/>
                    </w:rPr>
                    <w:t xml:space="preserve">% </w:t>
                  </w:r>
                  <w:r w:rsidR="00C25ACD">
                    <w:rPr>
                      <w:rFonts w:ascii="Arial" w:eastAsia="+mn-ea" w:hAnsi="Arial" w:cs="Arial"/>
                      <w:color w:val="000000" w:themeColor="text1"/>
                      <w:kern w:val="24"/>
                      <w:sz w:val="18"/>
                      <w:szCs w:val="18"/>
                    </w:rPr>
                    <w:t>of total assets and 87</w:t>
                  </w:r>
                  <w:r w:rsidR="00EE31B8">
                    <w:rPr>
                      <w:rFonts w:ascii="Arial" w:eastAsia="+mn-ea" w:hAnsi="Arial" w:cs="Arial"/>
                      <w:color w:val="000000" w:themeColor="text1"/>
                      <w:kern w:val="24"/>
                      <w:sz w:val="18"/>
                      <w:szCs w:val="18"/>
                    </w:rPr>
                    <w:t>%</w:t>
                  </w:r>
                  <w:r w:rsidR="00594B99">
                    <w:rPr>
                      <w:rFonts w:ascii="Arial" w:eastAsia="+mn-ea" w:hAnsi="Arial" w:cs="Arial"/>
                      <w:color w:val="000000" w:themeColor="text1"/>
                      <w:kern w:val="24"/>
                      <w:sz w:val="18"/>
                      <w:szCs w:val="18"/>
                    </w:rPr>
                    <w:t xml:space="preserve"> of member accounts of APRA</w:t>
                  </w:r>
                  <w:r w:rsidR="00594B99">
                    <w:rPr>
                      <w:rFonts w:ascii="Arial" w:eastAsia="+mn-ea" w:hAnsi="Arial" w:cs="Arial"/>
                      <w:color w:val="000000" w:themeColor="text1"/>
                      <w:kern w:val="24"/>
                      <w:sz w:val="18"/>
                      <w:szCs w:val="18"/>
                    </w:rPr>
                    <w:noBreakHyphen/>
                  </w:r>
                  <w:r>
                    <w:rPr>
                      <w:rFonts w:ascii="Arial" w:eastAsia="+mn-ea" w:hAnsi="Arial" w:cs="Arial"/>
                      <w:color w:val="000000" w:themeColor="text1"/>
                      <w:kern w:val="24"/>
                      <w:sz w:val="18"/>
                      <w:szCs w:val="18"/>
                    </w:rPr>
                    <w:t>regulated funds.</w:t>
                  </w:r>
                </w:p>
              </w:tc>
            </w:tr>
            <w:tr w:rsidR="00482FE2" w:rsidRPr="00A95597" w:rsidTr="00482FE2">
              <w:tblPrEx>
                <w:jc w:val="left"/>
                <w:tblBorders>
                  <w:top w:val="none" w:sz="0" w:space="0" w:color="auto"/>
                  <w:bottom w:val="none" w:sz="0" w:space="0" w:color="auto"/>
                </w:tblBorders>
                <w:tblCellMar>
                  <w:top w:w="0" w:type="dxa"/>
                  <w:left w:w="108" w:type="dxa"/>
                  <w:right w:w="108" w:type="dxa"/>
                </w:tblCellMar>
                <w:tblLook w:val="04A0" w:firstRow="1" w:lastRow="0" w:firstColumn="1" w:lastColumn="0" w:noHBand="0" w:noVBand="1"/>
              </w:tblPrEx>
              <w:trPr>
                <w:gridAfter w:val="1"/>
                <w:wAfter w:w="9" w:type="pct"/>
              </w:trPr>
              <w:tc>
                <w:tcPr>
                  <w:tcW w:w="917" w:type="pct"/>
                  <w:shd w:val="clear" w:color="auto" w:fill="F2F2F2" w:themeFill="background1" w:themeFillShade="F2"/>
                </w:tcPr>
                <w:p w:rsidR="00482FE2" w:rsidRPr="004E69F4" w:rsidRDefault="00482FE2" w:rsidP="00482FE2">
                  <w:pPr>
                    <w:pStyle w:val="Figure"/>
                    <w:spacing w:before="0" w:after="0"/>
                    <w:jc w:val="left"/>
                    <w:rPr>
                      <w:rFonts w:asciiTheme="minorHAnsi" w:hAnsi="Arial" w:cstheme="minorBidi"/>
                      <w:b/>
                      <w:color w:val="000000" w:themeColor="text1"/>
                      <w:kern w:val="24"/>
                      <w:sz w:val="18"/>
                      <w:szCs w:val="18"/>
                    </w:rPr>
                  </w:pPr>
                  <w:r>
                    <w:rPr>
                      <w:rFonts w:asciiTheme="minorHAnsi" w:hAnsi="Arial" w:cstheme="minorBidi"/>
                      <w:b/>
                      <w:color w:val="000000" w:themeColor="text1"/>
                      <w:kern w:val="24"/>
                      <w:sz w:val="18"/>
                      <w:szCs w:val="18"/>
                    </w:rPr>
                    <w:t>Survivor Bias</w:t>
                  </w:r>
                </w:p>
              </w:tc>
              <w:tc>
                <w:tcPr>
                  <w:tcW w:w="1356" w:type="pct"/>
                  <w:shd w:val="clear" w:color="auto" w:fill="F2F2F2" w:themeFill="background1" w:themeFillShade="F2"/>
                </w:tcPr>
                <w:p w:rsidR="00482FE2" w:rsidRPr="00A95597" w:rsidRDefault="00482FE2" w:rsidP="00482FE2">
                  <w:pPr>
                    <w:pStyle w:val="NormalWeb"/>
                    <w:spacing w:before="0" w:beforeAutospacing="0" w:after="0" w:afterAutospacing="0"/>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Yes.</w:t>
                  </w:r>
                </w:p>
              </w:tc>
              <w:tc>
                <w:tcPr>
                  <w:tcW w:w="1356" w:type="pct"/>
                  <w:shd w:val="clear" w:color="auto" w:fill="F2F2F2" w:themeFill="background1" w:themeFillShade="F2"/>
                </w:tcPr>
                <w:p w:rsidR="00482FE2" w:rsidRPr="004E69F4" w:rsidRDefault="00482FE2" w:rsidP="00482FE2">
                  <w:pPr>
                    <w:pStyle w:val="NormalWeb"/>
                    <w:spacing w:before="0" w:beforeAutospacing="0" w:after="0" w:afterAutospacing="0"/>
                    <w:rPr>
                      <w:rFonts w:ascii="Arial" w:eastAsia="+mn-ea" w:hAnsi="Arial" w:cs="Arial"/>
                      <w:b/>
                      <w:color w:val="000000" w:themeColor="text1"/>
                      <w:kern w:val="24"/>
                      <w:sz w:val="18"/>
                      <w:szCs w:val="18"/>
                    </w:rPr>
                  </w:pPr>
                  <w:r>
                    <w:rPr>
                      <w:rFonts w:ascii="Arial" w:eastAsia="+mn-ea" w:hAnsi="Arial" w:cs="Arial"/>
                      <w:b/>
                      <w:color w:val="000000" w:themeColor="text1"/>
                      <w:kern w:val="24"/>
                      <w:sz w:val="18"/>
                      <w:szCs w:val="18"/>
                    </w:rPr>
                    <w:t>Selection Bias</w:t>
                  </w:r>
                </w:p>
              </w:tc>
              <w:tc>
                <w:tcPr>
                  <w:tcW w:w="1362" w:type="pct"/>
                  <w:shd w:val="clear" w:color="auto" w:fill="F2F2F2" w:themeFill="background1" w:themeFillShade="F2"/>
                </w:tcPr>
                <w:p w:rsidR="00482FE2" w:rsidRPr="00A95597" w:rsidRDefault="00482FE2" w:rsidP="00482FE2">
                  <w:pPr>
                    <w:pStyle w:val="NormalWeb"/>
                    <w:spacing w:before="0" w:beforeAutospacing="0" w:after="0" w:afterAutospacing="0"/>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Yes.</w:t>
                  </w:r>
                </w:p>
              </w:tc>
            </w:tr>
          </w:tbl>
          <w:p w:rsidR="00482FE2" w:rsidRDefault="00482FE2" w:rsidP="00C15C34">
            <w:pPr>
              <w:pStyle w:val="Figure"/>
            </w:pPr>
          </w:p>
        </w:tc>
      </w:tr>
      <w:tr w:rsidR="00482FE2" w:rsidRPr="00176D3F" w:rsidTr="00C15C34">
        <w:tc>
          <w:tcPr>
            <w:tcW w:w="5000" w:type="pct"/>
            <w:tcBorders>
              <w:top w:val="nil"/>
              <w:left w:val="nil"/>
              <w:bottom w:val="nil"/>
              <w:right w:val="nil"/>
            </w:tcBorders>
            <w:shd w:val="clear" w:color="auto" w:fill="auto"/>
          </w:tcPr>
          <w:p w:rsidR="00482FE2" w:rsidRPr="00176D3F" w:rsidRDefault="00482FE2" w:rsidP="00FB5B3B">
            <w:pPr>
              <w:pStyle w:val="Note"/>
            </w:pPr>
            <w:r>
              <w:rPr>
                <w:rStyle w:val="NoteLabel"/>
              </w:rPr>
              <w:t>a</w:t>
            </w:r>
            <w:r>
              <w:t xml:space="preserve"> Annualised </w:t>
            </w:r>
            <w:r w:rsidDel="00176AFC">
              <w:t>a</w:t>
            </w:r>
            <w:r>
              <w:t xml:space="preserve">verage returns for each asset class </w:t>
            </w:r>
            <w:r w:rsidR="002A3488">
              <w:t>we</w:t>
            </w:r>
            <w:r>
              <w:t xml:space="preserve">re calculated by taking the yearly system average return (weighted by fund assets) and calculating the geometric mean over the 10 year period. No benchmark is available for total </w:t>
            </w:r>
            <w:r w:rsidR="00FF2D69">
              <w:t xml:space="preserve">(listed and unlisted) </w:t>
            </w:r>
            <w:r>
              <w:t xml:space="preserve">property and total infrastructure. The listed property benchmark is a weighted combination of domestic and international listed property, as described in </w:t>
            </w:r>
            <w:r w:rsidR="000342D5">
              <w:t>t</w:t>
            </w:r>
            <w:r>
              <w:t xml:space="preserve">echnical </w:t>
            </w:r>
            <w:r w:rsidR="000342D5">
              <w:t>s</w:t>
            </w:r>
            <w:r>
              <w:t>upplement</w:t>
            </w:r>
            <w:r w:rsidR="000342D5">
              <w:t> </w:t>
            </w:r>
            <w:r>
              <w:t>4. Observations where funds did not split fixed interest into Australian and international categories have been excluded.</w:t>
            </w:r>
          </w:p>
        </w:tc>
      </w:tr>
      <w:tr w:rsidR="00482FE2" w:rsidTr="00C15C34">
        <w:tc>
          <w:tcPr>
            <w:tcW w:w="5000" w:type="pct"/>
            <w:tcBorders>
              <w:top w:val="nil"/>
              <w:left w:val="nil"/>
              <w:bottom w:val="single" w:sz="6" w:space="0" w:color="78A22F"/>
              <w:right w:val="nil"/>
            </w:tcBorders>
            <w:shd w:val="clear" w:color="auto" w:fill="auto"/>
          </w:tcPr>
          <w:p w:rsidR="00482FE2" w:rsidRDefault="00482FE2" w:rsidP="00C15C34">
            <w:pPr>
              <w:pStyle w:val="Figurespace"/>
            </w:pPr>
          </w:p>
        </w:tc>
      </w:tr>
      <w:tr w:rsidR="00482FE2" w:rsidRPr="000863A5" w:rsidTr="00C15C34">
        <w:tc>
          <w:tcPr>
            <w:tcW w:w="5000" w:type="pct"/>
            <w:tcBorders>
              <w:top w:val="single" w:sz="6" w:space="0" w:color="78A22F"/>
              <w:left w:val="nil"/>
              <w:bottom w:val="nil"/>
              <w:right w:val="nil"/>
            </w:tcBorders>
          </w:tcPr>
          <w:p w:rsidR="00482FE2" w:rsidRPr="00626D32" w:rsidRDefault="00482FE2" w:rsidP="00C15C34">
            <w:pPr>
              <w:pStyle w:val="BoxSpaceBelow"/>
            </w:pPr>
          </w:p>
        </w:tc>
      </w:tr>
    </w:tbl>
    <w:p w:rsidR="00296753" w:rsidRPr="0072455F" w:rsidRDefault="00296753" w:rsidP="00296753">
      <w:pPr>
        <w:pStyle w:val="BodyText"/>
        <w:rPr>
          <w:spacing w:val="-2"/>
        </w:rPr>
      </w:pPr>
      <w:r w:rsidRPr="0072455F">
        <w:rPr>
          <w:spacing w:val="-2"/>
        </w:rPr>
        <w:t>These results suggest a slightly more positive picture of system performance than the system</w:t>
      </w:r>
      <w:r w:rsidRPr="0072455F">
        <w:rPr>
          <w:spacing w:val="-2"/>
        </w:rPr>
        <w:noBreakHyphen/>
        <w:t>level benchmarking in the draft report (where APRA</w:t>
      </w:r>
      <w:r w:rsidRPr="0072455F">
        <w:rPr>
          <w:spacing w:val="-2"/>
        </w:rPr>
        <w:noBreakHyphen/>
        <w:t xml:space="preserve">regulated funds as a whole fell below their BP2 benchmark), which was based on APRA data. The discrepancy is unsurprising </w:t>
      </w:r>
      <w:r w:rsidRPr="0072455F">
        <w:rPr>
          <w:spacing w:val="-2"/>
        </w:rPr>
        <w:lastRenderedPageBreak/>
        <w:t xml:space="preserve">given the survey data </w:t>
      </w:r>
      <w:r w:rsidRPr="00FB5B3B">
        <w:rPr>
          <w:spacing w:val="-2"/>
        </w:rPr>
        <w:t>are</w:t>
      </w:r>
      <w:r w:rsidRPr="0072455F">
        <w:rPr>
          <w:spacing w:val="-2"/>
        </w:rPr>
        <w:t xml:space="preserve"> subject to both survivor bias (funds which were wound up during the period are not represented in the survey sample) and selection bias (poorer performing funds being less likely to volunteer data in the survey</w:t>
      </w:r>
      <w:r>
        <w:rPr>
          <w:spacing w:val="-2"/>
        </w:rPr>
        <w:t xml:space="preserve"> or only partially volunteering data for some years</w:t>
      </w:r>
      <w:r w:rsidRPr="0072455F">
        <w:rPr>
          <w:spacing w:val="-2"/>
        </w:rPr>
        <w:t xml:space="preserve">). </w:t>
      </w:r>
      <w:r>
        <w:rPr>
          <w:spacing w:val="-2"/>
        </w:rPr>
        <w:t>The implication is that funds choosing not to participate in the survey were more likely, on average, to underperform their benchmarks.</w:t>
      </w:r>
    </w:p>
    <w:p w:rsidR="00653248" w:rsidRDefault="00FB73B4" w:rsidP="0072455F">
      <w:pPr>
        <w:pStyle w:val="BodyText"/>
      </w:pPr>
      <w:r>
        <w:t>Consistent with the relative performance by segment analysis set out in the draft report, t</w:t>
      </w:r>
      <w:r w:rsidR="00653248">
        <w:t>he data also suggest that not</w:t>
      </w:r>
      <w:r w:rsidR="00617DD2">
        <w:noBreakHyphen/>
      </w:r>
      <w:r w:rsidR="00653248">
        <w:t>for</w:t>
      </w:r>
      <w:r w:rsidR="00617DD2">
        <w:noBreakHyphen/>
      </w:r>
      <w:r w:rsidR="00653248">
        <w:t xml:space="preserve">profit funds </w:t>
      </w:r>
      <w:r w:rsidR="00FF2D69">
        <w:t xml:space="preserve">on average </w:t>
      </w:r>
      <w:r w:rsidR="00653248">
        <w:t>outperformed retail funds in key asset classes (figure 2). Over the period, not</w:t>
      </w:r>
      <w:r w:rsidR="00617DD2">
        <w:noBreakHyphen/>
      </w:r>
      <w:r w:rsidR="00653248">
        <w:t>for</w:t>
      </w:r>
      <w:r w:rsidR="00617DD2">
        <w:noBreakHyphen/>
      </w:r>
      <w:r w:rsidR="00653248">
        <w:t xml:space="preserve">profit funds recorded a return of </w:t>
      </w:r>
      <w:r w:rsidR="00653248" w:rsidRPr="00C83458">
        <w:t>4.2</w:t>
      </w:r>
      <w:r w:rsidR="00653248">
        <w:t xml:space="preserve"> per cent for Australian listed equity (compared to </w:t>
      </w:r>
      <w:r w:rsidR="00653248" w:rsidRPr="00C83458">
        <w:t>3.5</w:t>
      </w:r>
      <w:r w:rsidR="00653248">
        <w:t xml:space="preserve"> per cent for retail funds) and </w:t>
      </w:r>
      <w:r w:rsidR="00653248" w:rsidRPr="00C83458">
        <w:t>5.6</w:t>
      </w:r>
      <w:r w:rsidR="00653248">
        <w:t xml:space="preserve"> per cent for international listed equity (compared to </w:t>
      </w:r>
      <w:r w:rsidR="00653248" w:rsidRPr="00C83458">
        <w:t>5.0</w:t>
      </w:r>
      <w:r w:rsidR="00653248">
        <w:t> per cent for retail funds). Not</w:t>
      </w:r>
      <w:r w:rsidR="00617DD2">
        <w:noBreakHyphen/>
      </w:r>
      <w:r w:rsidR="00653248">
        <w:t>for</w:t>
      </w:r>
      <w:r w:rsidR="00617DD2">
        <w:noBreakHyphen/>
      </w:r>
      <w:r w:rsidR="00653248">
        <w:t>profit funds also outperformed retail funds</w:t>
      </w:r>
      <w:r w:rsidR="009B240F">
        <w:t xml:space="preserve"> on average</w:t>
      </w:r>
      <w:r w:rsidR="00653248">
        <w:t xml:space="preserve"> in fixed income (both Australian and international), unlisted infrastructure and listed property. Retail funds outperformed not</w:t>
      </w:r>
      <w:r w:rsidR="00617DD2">
        <w:noBreakHyphen/>
      </w:r>
      <w:r w:rsidR="00653248">
        <w:t>for</w:t>
      </w:r>
      <w:r w:rsidR="00617DD2">
        <w:noBreakHyphen/>
      </w:r>
      <w:r w:rsidR="00653248">
        <w:t xml:space="preserve">profit funds </w:t>
      </w:r>
      <w:r w:rsidR="009B240F">
        <w:t xml:space="preserve">on average </w:t>
      </w:r>
      <w:r w:rsidR="00653248">
        <w:t>in cash, private equity and unlisted property, though the latter two results are based on data from a relatively small selection of retail funds (6 and 19 funds respectively).</w:t>
      </w:r>
    </w:p>
    <w:p w:rsidR="00C76344" w:rsidRDefault="00C76344" w:rsidP="00C7634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15C34" w:rsidTr="00C15C34">
        <w:trPr>
          <w:tblHeader/>
        </w:trPr>
        <w:tc>
          <w:tcPr>
            <w:tcW w:w="5000" w:type="pct"/>
            <w:tcBorders>
              <w:top w:val="single" w:sz="6" w:space="0" w:color="78A22F"/>
              <w:left w:val="nil"/>
              <w:bottom w:val="nil"/>
              <w:right w:val="nil"/>
            </w:tcBorders>
            <w:shd w:val="clear" w:color="auto" w:fill="auto"/>
          </w:tcPr>
          <w:p w:rsidR="00C15C34" w:rsidRDefault="00C15C34" w:rsidP="00C15C34">
            <w:pPr>
              <w:pStyle w:val="FigureTitle"/>
            </w:pPr>
            <w:r w:rsidRPr="00784A05">
              <w:rPr>
                <w:b w:val="0"/>
              </w:rPr>
              <w:t xml:space="preserve">Figure </w:t>
            </w:r>
            <w:r w:rsidR="001345FE">
              <w:rPr>
                <w:b w:val="0"/>
                <w:noProof/>
              </w:rPr>
              <w:t>2</w:t>
            </w:r>
            <w:r>
              <w:tab/>
              <w:t>Not</w:t>
            </w:r>
            <w:r>
              <w:noBreakHyphen/>
              <w:t>for</w:t>
            </w:r>
            <w:r>
              <w:noBreakHyphen/>
              <w:t>profit returns exceed retail returns in most asset classes</w:t>
            </w:r>
          </w:p>
          <w:p w:rsidR="00C15C34" w:rsidRPr="00176D3F" w:rsidRDefault="00C15C34" w:rsidP="00C15C34">
            <w:pPr>
              <w:pStyle w:val="Subtitle"/>
            </w:pPr>
            <w:r>
              <w:t>Segment returns weighted by assets invested in the corresponding asset class, 2008</w:t>
            </w:r>
            <w:r w:rsidR="00570DA6">
              <w:t>–</w:t>
            </w:r>
            <w:r>
              <w:t>2017</w:t>
            </w:r>
            <w:r w:rsidRPr="00570DA6">
              <w:rPr>
                <w:rStyle w:val="NoteLabel"/>
              </w:rPr>
              <w:t>a</w:t>
            </w:r>
          </w:p>
        </w:tc>
      </w:tr>
      <w:tr w:rsidR="00C15C34" w:rsidTr="00C15C34">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565"/>
              <w:gridCol w:w="2306"/>
              <w:gridCol w:w="2306"/>
              <w:gridCol w:w="2314"/>
              <w:gridCol w:w="14"/>
            </w:tblGrid>
            <w:tr w:rsidR="00C15C34" w:rsidRPr="00B1465D" w:rsidTr="00C15C34">
              <w:trPr>
                <w:tblHeader/>
                <w:jc w:val="center"/>
              </w:trPr>
              <w:tc>
                <w:tcPr>
                  <w:tcW w:w="5000" w:type="pct"/>
                  <w:gridSpan w:val="5"/>
                  <w:tcBorders>
                    <w:top w:val="nil"/>
                    <w:bottom w:val="nil"/>
                  </w:tcBorders>
                </w:tcPr>
                <w:p w:rsidR="00C15C34" w:rsidRPr="00B1465D" w:rsidRDefault="0068720F" w:rsidP="00C15C34">
                  <w:pPr>
                    <w:pStyle w:val="Figure"/>
                    <w:spacing w:before="60" w:after="60"/>
                    <w:rPr>
                      <w:rFonts w:ascii="Arial" w:hAnsi="Arial" w:cs="Arial"/>
                      <w:sz w:val="18"/>
                      <w:szCs w:val="18"/>
                    </w:rPr>
                  </w:pPr>
                  <w:r>
                    <w:rPr>
                      <w:rFonts w:ascii="Arial" w:hAnsi="Arial" w:cs="Arial"/>
                      <w:noProof/>
                      <w:sz w:val="18"/>
                      <w:szCs w:val="18"/>
                    </w:rPr>
                    <w:drawing>
                      <wp:inline distT="0" distB="0" distL="0" distR="0" wp14:anchorId="00F8980A" wp14:editId="5BED5621">
                        <wp:extent cx="5581015" cy="2233295"/>
                        <wp:effectExtent l="0" t="0" r="0" b="0"/>
                        <wp:docPr id="5" name="Picture 5" descr="This figure shows a comparison of annualised net investment returns against benchmark returns by asset class from 2007 to 2017 between retail and not-for-profit funds. Retail funds perform better than not-for-profit funds in cash, listed infrastructure, private equity and unlisted property. Not-for-profit funds perform better in listed equity, fixed income, unlisted infrastructure and listed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FP_asset_class_no_other.em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81015" cy="2233295"/>
                                </a:xfrm>
                                <a:prstGeom prst="rect">
                                  <a:avLst/>
                                </a:prstGeom>
                              </pic:spPr>
                            </pic:pic>
                          </a:graphicData>
                        </a:graphic>
                      </wp:inline>
                    </w:drawing>
                  </w:r>
                </w:p>
              </w:tc>
            </w:tr>
            <w:tr w:rsidR="00C15C34" w:rsidTr="00C15C34">
              <w:tblPrEx>
                <w:jc w:val="left"/>
                <w:tblBorders>
                  <w:top w:val="none" w:sz="0" w:space="0" w:color="auto"/>
                  <w:bottom w:val="none" w:sz="0" w:space="0" w:color="auto"/>
                </w:tblBorders>
                <w:tblCellMar>
                  <w:top w:w="0" w:type="dxa"/>
                  <w:left w:w="108" w:type="dxa"/>
                  <w:right w:w="108" w:type="dxa"/>
                </w:tblCellMar>
                <w:tblLook w:val="04A0" w:firstRow="1" w:lastRow="0" w:firstColumn="1" w:lastColumn="0" w:noHBand="0" w:noVBand="1"/>
              </w:tblPrEx>
              <w:trPr>
                <w:gridAfter w:val="1"/>
                <w:wAfter w:w="9" w:type="pct"/>
                <w:tblHeader/>
              </w:trPr>
              <w:tc>
                <w:tcPr>
                  <w:tcW w:w="918" w:type="pct"/>
                  <w:shd w:val="clear" w:color="auto" w:fill="F2F2F2" w:themeFill="background1" w:themeFillShade="F2"/>
                </w:tcPr>
                <w:p w:rsidR="00C15C34" w:rsidRDefault="00C15C34" w:rsidP="00C15C34">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4073" w:type="pct"/>
                  <w:gridSpan w:val="3"/>
                  <w:shd w:val="clear" w:color="auto" w:fill="F2F2F2" w:themeFill="background1" w:themeFillShade="F2"/>
                </w:tcPr>
                <w:p w:rsidR="00C15C34" w:rsidRDefault="00B42E05" w:rsidP="00A178F7">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Supplementary f</w:t>
                  </w:r>
                  <w:r w:rsidR="00C15C34">
                    <w:rPr>
                      <w:rFonts w:ascii="Arial" w:eastAsia="+mn-ea" w:hAnsi="Arial" w:cs="Arial"/>
                      <w:color w:val="000000" w:themeColor="text1"/>
                      <w:kern w:val="24"/>
                      <w:sz w:val="18"/>
                      <w:szCs w:val="18"/>
                    </w:rPr>
                    <w:t>unds survey and financial market index data (various providers).</w:t>
                  </w:r>
                </w:p>
              </w:tc>
            </w:tr>
            <w:tr w:rsidR="00C15C34" w:rsidTr="00C15C34">
              <w:tblPrEx>
                <w:jc w:val="left"/>
                <w:tblBorders>
                  <w:top w:val="none" w:sz="0" w:space="0" w:color="auto"/>
                  <w:bottom w:val="none" w:sz="0" w:space="0" w:color="auto"/>
                </w:tblBorders>
                <w:tblCellMar>
                  <w:top w:w="0" w:type="dxa"/>
                  <w:left w:w="108" w:type="dxa"/>
                  <w:right w:w="108" w:type="dxa"/>
                </w:tblCellMar>
                <w:tblLook w:val="04A0" w:firstRow="1" w:lastRow="0" w:firstColumn="1" w:lastColumn="0" w:noHBand="0" w:noVBand="1"/>
              </w:tblPrEx>
              <w:trPr>
                <w:gridAfter w:val="1"/>
                <w:wAfter w:w="9" w:type="pct"/>
              </w:trPr>
              <w:tc>
                <w:tcPr>
                  <w:tcW w:w="918" w:type="pct"/>
                  <w:shd w:val="clear" w:color="auto" w:fill="F2F2F2" w:themeFill="background1" w:themeFillShade="F2"/>
                </w:tcPr>
                <w:p w:rsidR="00C15C34" w:rsidRDefault="00C15C34" w:rsidP="00C15C34">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Benchmark</w:t>
                  </w:r>
                </w:p>
              </w:tc>
              <w:tc>
                <w:tcPr>
                  <w:tcW w:w="4073" w:type="pct"/>
                  <w:gridSpan w:val="3"/>
                  <w:shd w:val="clear" w:color="auto" w:fill="F2F2F2" w:themeFill="background1" w:themeFillShade="F2"/>
                </w:tcPr>
                <w:p w:rsidR="00C15C34" w:rsidRDefault="00C15C34" w:rsidP="00C15C34">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Asset</w:t>
                  </w:r>
                  <w:r>
                    <w:rPr>
                      <w:rFonts w:ascii="Arial" w:eastAsia="+mn-ea" w:hAnsi="Arial" w:cs="Arial"/>
                      <w:color w:val="000000" w:themeColor="text1"/>
                      <w:kern w:val="24"/>
                      <w:sz w:val="18"/>
                      <w:szCs w:val="18"/>
                    </w:rPr>
                    <w:noBreakHyphen/>
                    <w:t>class benchmarks as per BP2.</w:t>
                  </w:r>
                </w:p>
              </w:tc>
            </w:tr>
            <w:tr w:rsidR="00C15C34" w:rsidRPr="001F53B0" w:rsidTr="00C15C34">
              <w:tblPrEx>
                <w:jc w:val="left"/>
                <w:tblBorders>
                  <w:top w:val="none" w:sz="0" w:space="0" w:color="auto"/>
                  <w:bottom w:val="none" w:sz="0" w:space="0" w:color="auto"/>
                </w:tblBorders>
                <w:tblCellMar>
                  <w:top w:w="0" w:type="dxa"/>
                  <w:left w:w="108" w:type="dxa"/>
                  <w:right w:w="108" w:type="dxa"/>
                </w:tblCellMar>
                <w:tblLook w:val="04A0" w:firstRow="1" w:lastRow="0" w:firstColumn="1" w:lastColumn="0" w:noHBand="0" w:noVBand="1"/>
              </w:tblPrEx>
              <w:trPr>
                <w:gridAfter w:val="1"/>
                <w:wAfter w:w="9" w:type="pct"/>
              </w:trPr>
              <w:tc>
                <w:tcPr>
                  <w:tcW w:w="918" w:type="pct"/>
                  <w:shd w:val="clear" w:color="auto" w:fill="F2F2F2" w:themeFill="background1" w:themeFillShade="F2"/>
                </w:tcPr>
                <w:p w:rsidR="00C15C34" w:rsidRDefault="00C15C34" w:rsidP="00C15C34">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4073" w:type="pct"/>
                  <w:gridSpan w:val="3"/>
                  <w:shd w:val="clear" w:color="auto" w:fill="F2F2F2" w:themeFill="background1" w:themeFillShade="F2"/>
                </w:tcPr>
                <w:p w:rsidR="00C15C34" w:rsidRPr="001F53B0" w:rsidRDefault="00072EB3" w:rsidP="00594B99">
                  <w:pPr>
                    <w:pStyle w:val="NormalWeb"/>
                    <w:spacing w:before="0" w:beforeAutospacing="0" w:after="0" w:afterAutospacing="0"/>
                    <w:rPr>
                      <w:color w:val="000000" w:themeColor="text1"/>
                    </w:rPr>
                  </w:pPr>
                  <w:r>
                    <w:rPr>
                      <w:rFonts w:ascii="Arial" w:eastAsia="+mn-ea" w:hAnsi="Arial" w:cs="Arial"/>
                      <w:color w:val="000000" w:themeColor="text1"/>
                      <w:kern w:val="24"/>
                      <w:sz w:val="18"/>
                      <w:szCs w:val="18"/>
                    </w:rPr>
                    <w:t>In 2008, the funds i</w:t>
                  </w:r>
                  <w:r w:rsidR="00EE40C6">
                    <w:rPr>
                      <w:rFonts w:ascii="Arial" w:eastAsia="+mn-ea" w:hAnsi="Arial" w:cs="Arial"/>
                      <w:color w:val="000000" w:themeColor="text1"/>
                      <w:kern w:val="24"/>
                      <w:sz w:val="18"/>
                      <w:szCs w:val="18"/>
                    </w:rPr>
                    <w:t>n this figure represent up to 66</w:t>
                  </w:r>
                  <w:r w:rsidR="00594B99">
                    <w:rPr>
                      <w:rFonts w:ascii="Arial" w:eastAsia="+mn-ea" w:hAnsi="Arial" w:cs="Arial"/>
                      <w:color w:val="000000" w:themeColor="text1"/>
                      <w:kern w:val="24"/>
                      <w:sz w:val="18"/>
                      <w:szCs w:val="18"/>
                    </w:rPr>
                    <w:t>%</w:t>
                  </w:r>
                  <w:r w:rsidR="00EE40C6">
                    <w:rPr>
                      <w:rFonts w:ascii="Arial" w:eastAsia="+mn-ea" w:hAnsi="Arial" w:cs="Arial"/>
                      <w:color w:val="000000" w:themeColor="text1"/>
                      <w:kern w:val="24"/>
                      <w:sz w:val="18"/>
                      <w:szCs w:val="18"/>
                    </w:rPr>
                    <w:t xml:space="preserve"> of total assets and 69</w:t>
                  </w:r>
                  <w:r w:rsidR="00594B99">
                    <w:rPr>
                      <w:rFonts w:ascii="Arial" w:eastAsia="+mn-ea" w:hAnsi="Arial" w:cs="Arial"/>
                      <w:color w:val="000000" w:themeColor="text1"/>
                      <w:kern w:val="24"/>
                      <w:sz w:val="18"/>
                      <w:szCs w:val="18"/>
                    </w:rPr>
                    <w:t>%</w:t>
                  </w:r>
                  <w:r>
                    <w:rPr>
                      <w:rFonts w:ascii="Arial" w:eastAsia="+mn-ea" w:hAnsi="Arial" w:cs="Arial"/>
                      <w:color w:val="000000" w:themeColor="text1"/>
                      <w:kern w:val="24"/>
                      <w:sz w:val="18"/>
                      <w:szCs w:val="18"/>
                    </w:rPr>
                    <w:t xml:space="preserve"> of member accounts of APRA</w:t>
                  </w:r>
                  <w:r w:rsidR="00617DD2">
                    <w:rPr>
                      <w:rFonts w:ascii="Arial" w:eastAsia="+mn-ea" w:hAnsi="Arial" w:cs="Arial"/>
                      <w:color w:val="000000" w:themeColor="text1"/>
                      <w:kern w:val="24"/>
                      <w:sz w:val="18"/>
                      <w:szCs w:val="18"/>
                    </w:rPr>
                    <w:noBreakHyphen/>
                  </w:r>
                  <w:r>
                    <w:rPr>
                      <w:rFonts w:ascii="Arial" w:eastAsia="+mn-ea" w:hAnsi="Arial" w:cs="Arial"/>
                      <w:color w:val="000000" w:themeColor="text1"/>
                      <w:kern w:val="24"/>
                      <w:sz w:val="18"/>
                      <w:szCs w:val="18"/>
                    </w:rPr>
                    <w:t>regulated funds.</w:t>
                  </w:r>
                  <w:r w:rsidR="002A3488">
                    <w:rPr>
                      <w:rFonts w:ascii="Arial" w:eastAsia="+mn-ea" w:hAnsi="Arial" w:cs="Arial"/>
                      <w:color w:val="000000" w:themeColor="text1"/>
                      <w:kern w:val="24"/>
                      <w:sz w:val="18"/>
                      <w:szCs w:val="18"/>
                    </w:rPr>
                    <w:t xml:space="preserve"> </w:t>
                  </w:r>
                  <w:r w:rsidR="00C15C34">
                    <w:rPr>
                      <w:rFonts w:ascii="Arial" w:eastAsia="+mn-ea" w:hAnsi="Arial" w:cs="Arial"/>
                      <w:color w:val="000000" w:themeColor="text1"/>
                      <w:kern w:val="24"/>
                      <w:sz w:val="18"/>
                      <w:szCs w:val="18"/>
                    </w:rPr>
                    <w:t xml:space="preserve">In 2017, the funds in this figure represent up to </w:t>
                  </w:r>
                  <w:r w:rsidR="00EE40C6">
                    <w:rPr>
                      <w:rFonts w:ascii="Arial" w:eastAsia="+mn-ea" w:hAnsi="Arial" w:cs="Arial"/>
                      <w:color w:val="000000" w:themeColor="text1"/>
                      <w:kern w:val="24"/>
                      <w:sz w:val="18"/>
                      <w:szCs w:val="18"/>
                    </w:rPr>
                    <w:t>86</w:t>
                  </w:r>
                  <w:r w:rsidR="00594B99">
                    <w:rPr>
                      <w:rFonts w:ascii="Arial" w:eastAsia="+mn-ea" w:hAnsi="Arial" w:cs="Arial"/>
                      <w:color w:val="000000" w:themeColor="text1"/>
                      <w:kern w:val="24"/>
                      <w:sz w:val="18"/>
                      <w:szCs w:val="18"/>
                    </w:rPr>
                    <w:t>%</w:t>
                  </w:r>
                  <w:r w:rsidR="00C15C34">
                    <w:rPr>
                      <w:rFonts w:ascii="Arial" w:eastAsia="+mn-ea" w:hAnsi="Arial" w:cs="Arial"/>
                      <w:color w:val="000000" w:themeColor="text1"/>
                      <w:kern w:val="24"/>
                      <w:sz w:val="18"/>
                      <w:szCs w:val="18"/>
                    </w:rPr>
                    <w:t xml:space="preserve"> of total assets and </w:t>
                  </w:r>
                  <w:r w:rsidR="00EE40C6">
                    <w:rPr>
                      <w:rFonts w:ascii="Arial" w:eastAsia="+mn-ea" w:hAnsi="Arial" w:cs="Arial"/>
                      <w:color w:val="000000" w:themeColor="text1"/>
                      <w:kern w:val="24"/>
                      <w:sz w:val="18"/>
                      <w:szCs w:val="18"/>
                    </w:rPr>
                    <w:t>87</w:t>
                  </w:r>
                  <w:r w:rsidR="00594B99">
                    <w:rPr>
                      <w:rFonts w:ascii="Arial" w:eastAsia="+mn-ea" w:hAnsi="Arial" w:cs="Arial"/>
                      <w:color w:val="000000" w:themeColor="text1"/>
                      <w:kern w:val="24"/>
                      <w:sz w:val="18"/>
                      <w:szCs w:val="18"/>
                    </w:rPr>
                    <w:t>% of member accounts of APRA</w:t>
                  </w:r>
                  <w:r w:rsidR="00594B99">
                    <w:rPr>
                      <w:rFonts w:ascii="Arial" w:eastAsia="+mn-ea" w:hAnsi="Arial" w:cs="Arial"/>
                      <w:color w:val="000000" w:themeColor="text1"/>
                      <w:kern w:val="24"/>
                      <w:sz w:val="18"/>
                      <w:szCs w:val="18"/>
                    </w:rPr>
                    <w:noBreakHyphen/>
                  </w:r>
                  <w:r w:rsidR="00C15C34">
                    <w:rPr>
                      <w:rFonts w:ascii="Arial" w:eastAsia="+mn-ea" w:hAnsi="Arial" w:cs="Arial"/>
                      <w:color w:val="000000" w:themeColor="text1"/>
                      <w:kern w:val="24"/>
                      <w:sz w:val="18"/>
                      <w:szCs w:val="18"/>
                    </w:rPr>
                    <w:t>regulated funds.</w:t>
                  </w:r>
                </w:p>
              </w:tc>
            </w:tr>
            <w:tr w:rsidR="00C15C34" w:rsidRPr="00A95597" w:rsidTr="00C15C34">
              <w:tblPrEx>
                <w:jc w:val="left"/>
                <w:tblBorders>
                  <w:top w:val="none" w:sz="0" w:space="0" w:color="auto"/>
                  <w:bottom w:val="none" w:sz="0" w:space="0" w:color="auto"/>
                </w:tblBorders>
                <w:tblCellMar>
                  <w:top w:w="0" w:type="dxa"/>
                  <w:left w:w="108" w:type="dxa"/>
                  <w:right w:w="108" w:type="dxa"/>
                </w:tblCellMar>
                <w:tblLook w:val="04A0" w:firstRow="1" w:lastRow="0" w:firstColumn="1" w:lastColumn="0" w:noHBand="0" w:noVBand="1"/>
              </w:tblPrEx>
              <w:trPr>
                <w:gridAfter w:val="1"/>
                <w:wAfter w:w="9" w:type="pct"/>
              </w:trPr>
              <w:tc>
                <w:tcPr>
                  <w:tcW w:w="918" w:type="pct"/>
                  <w:shd w:val="clear" w:color="auto" w:fill="F2F2F2" w:themeFill="background1" w:themeFillShade="F2"/>
                </w:tcPr>
                <w:p w:rsidR="00C15C34" w:rsidRPr="004E69F4" w:rsidRDefault="00C15C34" w:rsidP="00C15C34">
                  <w:pPr>
                    <w:pStyle w:val="Figure"/>
                    <w:spacing w:before="0" w:after="0"/>
                    <w:jc w:val="left"/>
                    <w:rPr>
                      <w:rFonts w:asciiTheme="minorHAnsi" w:hAnsi="Arial" w:cstheme="minorBidi"/>
                      <w:b/>
                      <w:color w:val="000000" w:themeColor="text1"/>
                      <w:kern w:val="24"/>
                      <w:sz w:val="18"/>
                      <w:szCs w:val="18"/>
                    </w:rPr>
                  </w:pPr>
                  <w:r>
                    <w:rPr>
                      <w:rFonts w:asciiTheme="minorHAnsi" w:hAnsi="Arial" w:cstheme="minorBidi"/>
                      <w:b/>
                      <w:color w:val="000000" w:themeColor="text1"/>
                      <w:kern w:val="24"/>
                      <w:sz w:val="18"/>
                      <w:szCs w:val="18"/>
                    </w:rPr>
                    <w:t>Survivor Bias</w:t>
                  </w:r>
                </w:p>
              </w:tc>
              <w:tc>
                <w:tcPr>
                  <w:tcW w:w="1356" w:type="pct"/>
                  <w:shd w:val="clear" w:color="auto" w:fill="F2F2F2" w:themeFill="background1" w:themeFillShade="F2"/>
                </w:tcPr>
                <w:p w:rsidR="00C15C34" w:rsidRPr="00A95597" w:rsidRDefault="00C15C34" w:rsidP="00C15C34">
                  <w:pPr>
                    <w:pStyle w:val="NormalWeb"/>
                    <w:spacing w:before="0" w:beforeAutospacing="0" w:after="0" w:afterAutospacing="0"/>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Yes.</w:t>
                  </w:r>
                </w:p>
              </w:tc>
              <w:tc>
                <w:tcPr>
                  <w:tcW w:w="1356" w:type="pct"/>
                  <w:shd w:val="clear" w:color="auto" w:fill="F2F2F2" w:themeFill="background1" w:themeFillShade="F2"/>
                </w:tcPr>
                <w:p w:rsidR="00C15C34" w:rsidRPr="004E69F4" w:rsidRDefault="00C15C34" w:rsidP="00C15C34">
                  <w:pPr>
                    <w:pStyle w:val="NormalWeb"/>
                    <w:spacing w:before="0" w:beforeAutospacing="0" w:after="0" w:afterAutospacing="0"/>
                    <w:rPr>
                      <w:rFonts w:ascii="Arial" w:eastAsia="+mn-ea" w:hAnsi="Arial" w:cs="Arial"/>
                      <w:b/>
                      <w:color w:val="000000" w:themeColor="text1"/>
                      <w:kern w:val="24"/>
                      <w:sz w:val="18"/>
                      <w:szCs w:val="18"/>
                    </w:rPr>
                  </w:pPr>
                  <w:r>
                    <w:rPr>
                      <w:rFonts w:ascii="Arial" w:eastAsia="+mn-ea" w:hAnsi="Arial" w:cs="Arial"/>
                      <w:b/>
                      <w:color w:val="000000" w:themeColor="text1"/>
                      <w:kern w:val="24"/>
                      <w:sz w:val="18"/>
                      <w:szCs w:val="18"/>
                    </w:rPr>
                    <w:t>Selection Bias</w:t>
                  </w:r>
                </w:p>
              </w:tc>
              <w:tc>
                <w:tcPr>
                  <w:tcW w:w="1360" w:type="pct"/>
                  <w:shd w:val="clear" w:color="auto" w:fill="F2F2F2" w:themeFill="background1" w:themeFillShade="F2"/>
                </w:tcPr>
                <w:p w:rsidR="00C15C34" w:rsidRPr="00A95597" w:rsidRDefault="00C15C34" w:rsidP="00C15C34">
                  <w:pPr>
                    <w:pStyle w:val="NormalWeb"/>
                    <w:spacing w:before="0" w:beforeAutospacing="0" w:after="0" w:afterAutospacing="0"/>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Yes.</w:t>
                  </w:r>
                </w:p>
              </w:tc>
            </w:tr>
          </w:tbl>
          <w:p w:rsidR="00C15C34" w:rsidRDefault="00C15C34" w:rsidP="00C15C34">
            <w:pPr>
              <w:pStyle w:val="Figure"/>
            </w:pPr>
          </w:p>
        </w:tc>
      </w:tr>
      <w:tr w:rsidR="00C15C34" w:rsidRPr="00176D3F" w:rsidTr="00C15C34">
        <w:tc>
          <w:tcPr>
            <w:tcW w:w="5000" w:type="pct"/>
            <w:tcBorders>
              <w:top w:val="nil"/>
              <w:left w:val="nil"/>
              <w:bottom w:val="nil"/>
              <w:right w:val="nil"/>
            </w:tcBorders>
            <w:shd w:val="clear" w:color="auto" w:fill="auto"/>
          </w:tcPr>
          <w:p w:rsidR="00C15C34" w:rsidRPr="00176D3F" w:rsidRDefault="00C15C34" w:rsidP="000010E1">
            <w:pPr>
              <w:pStyle w:val="Note"/>
            </w:pPr>
            <w:r>
              <w:rPr>
                <w:rStyle w:val="NoteLabel"/>
              </w:rPr>
              <w:t>a</w:t>
            </w:r>
            <w:r>
              <w:t xml:space="preserve"> Annualised </w:t>
            </w:r>
            <w:r w:rsidDel="00176AFC">
              <w:t>a</w:t>
            </w:r>
            <w:r>
              <w:t>verage returns for each asset class are calculated by taking the yearly system average return (weighted by fund assets) and calculating the geometric mean over the 10 year period. No benchmark is available for total property and total infrastructure. The listed property benchmark is a weighted combination of domestic and international li</w:t>
            </w:r>
            <w:r w:rsidR="000010E1">
              <w:t>sted property, as described in t</w:t>
            </w:r>
            <w:r>
              <w:t xml:space="preserve">echnical </w:t>
            </w:r>
            <w:r w:rsidR="000010E1">
              <w:t>s</w:t>
            </w:r>
            <w:r>
              <w:t>upplement 4. Observations where funds did not split fixed interest into Australian and international categories have been excluded.</w:t>
            </w:r>
          </w:p>
        </w:tc>
      </w:tr>
      <w:tr w:rsidR="00C15C34" w:rsidTr="00C15C34">
        <w:tc>
          <w:tcPr>
            <w:tcW w:w="5000" w:type="pct"/>
            <w:tcBorders>
              <w:top w:val="nil"/>
              <w:left w:val="nil"/>
              <w:bottom w:val="single" w:sz="6" w:space="0" w:color="78A22F"/>
              <w:right w:val="nil"/>
            </w:tcBorders>
            <w:shd w:val="clear" w:color="auto" w:fill="auto"/>
          </w:tcPr>
          <w:p w:rsidR="00C15C34" w:rsidRDefault="00C15C34" w:rsidP="00C15C34">
            <w:pPr>
              <w:pStyle w:val="Figurespace"/>
            </w:pPr>
          </w:p>
        </w:tc>
      </w:tr>
      <w:tr w:rsidR="00C15C34" w:rsidRPr="000863A5" w:rsidTr="00C15C34">
        <w:tc>
          <w:tcPr>
            <w:tcW w:w="5000" w:type="pct"/>
            <w:tcBorders>
              <w:top w:val="single" w:sz="6" w:space="0" w:color="78A22F"/>
              <w:left w:val="nil"/>
              <w:bottom w:val="nil"/>
              <w:right w:val="nil"/>
            </w:tcBorders>
          </w:tcPr>
          <w:p w:rsidR="00C15C34" w:rsidRPr="00626D32" w:rsidRDefault="00C15C34" w:rsidP="00C15C34">
            <w:pPr>
              <w:pStyle w:val="BoxSpaceBelow"/>
            </w:pPr>
          </w:p>
        </w:tc>
      </w:tr>
    </w:tbl>
    <w:p w:rsidR="00103EC5" w:rsidRDefault="00103EC5" w:rsidP="00103EC5">
      <w:pPr>
        <w:pStyle w:val="BodyText"/>
      </w:pPr>
      <w:r>
        <w:lastRenderedPageBreak/>
        <w:t>The Commission’s analysis is focused on performance relative to indexes, not the absolute level of returns. However, some of the absolute returns in the survey data may not be indicative of returns over different time horizons. For example, funds in the survey reported higher returns on cash than on Australian listed equities (on average), but this would be driven by low or negative returns on equities during the Global Financial Crisis at the start of the time period. Other results appear to be driven by small sample sizes. For example, not</w:t>
      </w:r>
      <w:r>
        <w:noBreakHyphen/>
        <w:t>for</w:t>
      </w:r>
      <w:r>
        <w:noBreakHyphen/>
        <w:t>profit funds reported materially higher average returns for total property than retail funds, even though retail funds reported higher performance for unlisted property. This result mostly reflects that most property investment by not</w:t>
      </w:r>
      <w:r>
        <w:noBreakHyphen/>
        <w:t>for</w:t>
      </w:r>
      <w:r>
        <w:noBreakHyphen/>
        <w:t>profit funds is unlisted, whereas most retail fund property investment is listed. Only a handful of retail funds provided data for unlisted property returns.</w:t>
      </w:r>
    </w:p>
    <w:p w:rsidR="00103EC5" w:rsidRDefault="00103EC5" w:rsidP="00103EC5">
      <w:pPr>
        <w:pStyle w:val="BodyText"/>
      </w:pPr>
      <w:r>
        <w:t>A caveat on these results is that some of the specific indexes used to benchmark each asset class are subject to a range of assumptions (set out in technical supplement 4 and below), and thus, while the best benchmark of what is available, may not be an ideal measure for all funds.</w:t>
      </w:r>
    </w:p>
    <w:p w:rsidR="00C76344" w:rsidRDefault="00C76344" w:rsidP="00C76344">
      <w:pPr>
        <w:pStyle w:val="Heading4"/>
      </w:pPr>
      <w:r>
        <w:t>Fund</w:t>
      </w:r>
      <w:r w:rsidR="001A4F9B">
        <w:noBreakHyphen/>
      </w:r>
      <w:r>
        <w:t>level distributions</w:t>
      </w:r>
    </w:p>
    <w:p w:rsidR="002259FE" w:rsidRPr="002259FE" w:rsidRDefault="002259FE" w:rsidP="00BB1294">
      <w:pPr>
        <w:pStyle w:val="BodyText"/>
      </w:pPr>
      <w:r>
        <w:t>An analysis of the distribution of fund</w:t>
      </w:r>
      <w:r w:rsidR="00CE1A85">
        <w:noBreakHyphen/>
      </w:r>
      <w:r w:rsidR="00AA60BA">
        <w:t xml:space="preserve">level </w:t>
      </w:r>
      <w:r>
        <w:t xml:space="preserve">returns requires data from each fund for the full period </w:t>
      </w:r>
      <w:r w:rsidR="00CE1A85">
        <w:t xml:space="preserve">so </w:t>
      </w:r>
      <w:r>
        <w:t>that</w:t>
      </w:r>
      <w:r w:rsidR="00CE1A85">
        <w:t xml:space="preserve"> all</w:t>
      </w:r>
      <w:r>
        <w:t xml:space="preserve"> funds </w:t>
      </w:r>
      <w:r w:rsidR="00CE1A85">
        <w:t>in the sample ha</w:t>
      </w:r>
      <w:r w:rsidR="00AA60BA">
        <w:t>ve</w:t>
      </w:r>
      <w:r w:rsidR="00CE1A85">
        <w:t xml:space="preserve"> </w:t>
      </w:r>
      <w:r>
        <w:t>face</w:t>
      </w:r>
      <w:r w:rsidR="00CE1A85">
        <w:t>d</w:t>
      </w:r>
      <w:r>
        <w:t xml:space="preserve"> the same set of economic conditions. </w:t>
      </w:r>
      <w:r w:rsidR="00C93885">
        <w:t>A</w:t>
      </w:r>
      <w:r w:rsidR="002A3488">
        <w:t>s a</w:t>
      </w:r>
      <w:r w:rsidR="00C93885">
        <w:t xml:space="preserve"> number of funds did not report </w:t>
      </w:r>
      <w:r>
        <w:t xml:space="preserve">returns prior to 2011 </w:t>
      </w:r>
      <w:r w:rsidR="00C93885">
        <w:t>thus</w:t>
      </w:r>
      <w:r w:rsidR="00AA60BA">
        <w:t>,</w:t>
      </w:r>
      <w:r w:rsidR="00C93885">
        <w:t xml:space="preserve"> to maximise the sample size for this analysis</w:t>
      </w:r>
      <w:r>
        <w:t>, data for 2011 to 2017</w:t>
      </w:r>
      <w:r w:rsidR="00C93885">
        <w:t xml:space="preserve"> </w:t>
      </w:r>
      <w:r w:rsidR="00CE1A85">
        <w:t>have been</w:t>
      </w:r>
      <w:r w:rsidR="00C93885">
        <w:t xml:space="preserve"> used</w:t>
      </w:r>
      <w:r>
        <w:t xml:space="preserve"> </w:t>
      </w:r>
      <w:r w:rsidR="00CE1A85">
        <w:t>instead of</w:t>
      </w:r>
      <w:r>
        <w:t xml:space="preserve"> the full 10</w:t>
      </w:r>
      <w:r w:rsidR="00617DD2">
        <w:noBreakHyphen/>
      </w:r>
      <w:r>
        <w:t>year period. The asset class benchmarks are also calculated for 2011</w:t>
      </w:r>
      <w:r w:rsidR="00CE1A85">
        <w:t xml:space="preserve"> to </w:t>
      </w:r>
      <w:r>
        <w:t>2017.</w:t>
      </w:r>
    </w:p>
    <w:p w:rsidR="00F71E27" w:rsidRDefault="00653248" w:rsidP="008D7683">
      <w:pPr>
        <w:pStyle w:val="BodyText"/>
      </w:pPr>
      <w:r>
        <w:t>T</w:t>
      </w:r>
      <w:r w:rsidR="00091354">
        <w:t xml:space="preserve">he distribution of </w:t>
      </w:r>
      <w:r w:rsidR="00F93C76">
        <w:t xml:space="preserve">reported </w:t>
      </w:r>
      <w:r w:rsidR="00091354">
        <w:t xml:space="preserve">returns for cash and fixed income (both Australian and international) exhibit </w:t>
      </w:r>
      <w:r w:rsidR="002233F1">
        <w:t xml:space="preserve">relatively </w:t>
      </w:r>
      <w:r w:rsidR="00091354">
        <w:t>low variance</w:t>
      </w:r>
      <w:r w:rsidR="002233F1">
        <w:t xml:space="preserve"> across funds</w:t>
      </w:r>
      <w:r w:rsidR="00091354">
        <w:t>, while listed infrastructure</w:t>
      </w:r>
      <w:r w:rsidR="00763C86">
        <w:t xml:space="preserve"> and</w:t>
      </w:r>
      <w:r w:rsidR="00091354">
        <w:t xml:space="preserve"> private equity </w:t>
      </w:r>
      <w:r w:rsidR="00F93C76">
        <w:t>display</w:t>
      </w:r>
      <w:r w:rsidR="00091354">
        <w:t xml:space="preserve"> </w:t>
      </w:r>
      <w:r w:rsidR="002233F1">
        <w:t xml:space="preserve">a </w:t>
      </w:r>
      <w:r w:rsidR="00091354">
        <w:t>high</w:t>
      </w:r>
      <w:r w:rsidR="002233F1">
        <w:t>er</w:t>
      </w:r>
      <w:r w:rsidR="00091354">
        <w:t xml:space="preserve"> variance</w:t>
      </w:r>
      <w:r>
        <w:t xml:space="preserve"> over the period</w:t>
      </w:r>
      <w:r w:rsidR="00091354">
        <w:t xml:space="preserve"> (figure</w:t>
      </w:r>
      <w:r w:rsidR="00CE1A85">
        <w:t> 3</w:t>
      </w:r>
      <w:r w:rsidR="00091354">
        <w:t xml:space="preserve">). A </w:t>
      </w:r>
      <w:r w:rsidR="00F93C76">
        <w:t xml:space="preserve">significant </w:t>
      </w:r>
      <w:r w:rsidR="00091354">
        <w:t xml:space="preserve">percentage of assets </w:t>
      </w:r>
      <w:r w:rsidR="00F93C76">
        <w:t>were held in funds that</w:t>
      </w:r>
      <w:r w:rsidR="00091354">
        <w:t xml:space="preserve"> perform</w:t>
      </w:r>
      <w:r w:rsidR="00F93C76">
        <w:t>ed</w:t>
      </w:r>
      <w:r w:rsidR="00091354">
        <w:t xml:space="preserve"> below the benchmark </w:t>
      </w:r>
      <w:r w:rsidR="00F93C76">
        <w:t xml:space="preserve">for </w:t>
      </w:r>
      <w:r w:rsidR="00F610BE">
        <w:t>international equity (77</w:t>
      </w:r>
      <w:r w:rsidR="00F93C76">
        <w:t> per cent</w:t>
      </w:r>
      <w:r w:rsidR="00F610BE">
        <w:t xml:space="preserve"> of assets below the benchmark), unlisted infrastructure (7</w:t>
      </w:r>
      <w:r w:rsidR="00F93C76">
        <w:t>8 per cent</w:t>
      </w:r>
      <w:r w:rsidR="00601125">
        <w:t xml:space="preserve">) and </w:t>
      </w:r>
      <w:r w:rsidR="00F93C76">
        <w:t>both list</w:t>
      </w:r>
      <w:r w:rsidR="00763C86">
        <w:t>ed</w:t>
      </w:r>
      <w:r w:rsidR="00F93C76">
        <w:t xml:space="preserve"> and unlisted </w:t>
      </w:r>
      <w:r w:rsidR="00F610BE">
        <w:t>property (9</w:t>
      </w:r>
      <w:r w:rsidR="00F93C76">
        <w:t>5 per cent</w:t>
      </w:r>
      <w:r w:rsidR="00F610BE">
        <w:t xml:space="preserve"> and 5</w:t>
      </w:r>
      <w:r w:rsidR="00F93C76">
        <w:t>2 per cent respectively</w:t>
      </w:r>
      <w:r w:rsidR="00F610BE">
        <w:t>)</w:t>
      </w:r>
      <w:r w:rsidR="00BB74DC">
        <w:t xml:space="preserve"> (figure</w:t>
      </w:r>
      <w:r w:rsidR="00617DD2">
        <w:t> </w:t>
      </w:r>
      <w:r w:rsidR="008106A7">
        <w:t>4</w:t>
      </w:r>
      <w:r w:rsidR="00F610BE">
        <w:t>).</w:t>
      </w:r>
    </w:p>
    <w:p w:rsidR="0091539F" w:rsidRDefault="0091539F" w:rsidP="0091539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1539F" w:rsidTr="006F39CD">
        <w:trPr>
          <w:tblHeader/>
        </w:trPr>
        <w:tc>
          <w:tcPr>
            <w:tcW w:w="5000" w:type="pct"/>
            <w:tcBorders>
              <w:top w:val="single" w:sz="6" w:space="0" w:color="78A22F"/>
              <w:left w:val="nil"/>
              <w:bottom w:val="nil"/>
              <w:right w:val="nil"/>
            </w:tcBorders>
            <w:shd w:val="clear" w:color="auto" w:fill="auto"/>
          </w:tcPr>
          <w:p w:rsidR="0091539F" w:rsidRPr="00176D3F" w:rsidRDefault="00622048" w:rsidP="008106A7">
            <w:pPr>
              <w:pStyle w:val="FigureTitle"/>
            </w:pPr>
            <w:r>
              <w:rPr>
                <w:b w:val="0"/>
              </w:rPr>
              <w:t xml:space="preserve">Figure </w:t>
            </w:r>
            <w:r w:rsidR="001345FE">
              <w:rPr>
                <w:b w:val="0"/>
                <w:noProof/>
              </w:rPr>
              <w:t>3</w:t>
            </w:r>
            <w:r w:rsidR="0091539F">
              <w:tab/>
              <w:t>Variation in returns by asset class, 2011–2017</w:t>
            </w:r>
            <w:r w:rsidR="0091539F" w:rsidRPr="00BF73CE">
              <w:rPr>
                <w:rStyle w:val="NoteLabel"/>
                <w:b/>
              </w:rPr>
              <w:t>a</w:t>
            </w:r>
          </w:p>
        </w:tc>
      </w:tr>
      <w:tr w:rsidR="0091539F" w:rsidTr="006F39CD">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566"/>
              <w:gridCol w:w="2313"/>
              <w:gridCol w:w="2312"/>
              <w:gridCol w:w="2314"/>
            </w:tblGrid>
            <w:tr w:rsidR="0091539F" w:rsidRPr="00B1465D" w:rsidTr="006F39CD">
              <w:trPr>
                <w:tblHeader/>
                <w:jc w:val="center"/>
              </w:trPr>
              <w:tc>
                <w:tcPr>
                  <w:tcW w:w="5000" w:type="pct"/>
                  <w:gridSpan w:val="4"/>
                  <w:tcBorders>
                    <w:top w:val="nil"/>
                    <w:bottom w:val="nil"/>
                  </w:tcBorders>
                </w:tcPr>
                <w:p w:rsidR="0023538A" w:rsidRDefault="00CE78CC" w:rsidP="006F39CD">
                  <w:pPr>
                    <w:pStyle w:val="Figure"/>
                    <w:spacing w:before="60" w:after="60"/>
                    <w:rPr>
                      <w:rFonts w:ascii="Arial" w:hAnsi="Arial" w:cs="Arial"/>
                      <w:noProof/>
                      <w:sz w:val="18"/>
                      <w:szCs w:val="18"/>
                    </w:rPr>
                  </w:pPr>
                  <w:r>
                    <w:rPr>
                      <w:rFonts w:ascii="Arial" w:hAnsi="Arial" w:cs="Arial"/>
                      <w:noProof/>
                      <w:sz w:val="18"/>
                      <w:szCs w:val="18"/>
                    </w:rPr>
                    <w:drawing>
                      <wp:inline distT="0" distB="0" distL="0" distR="0" wp14:anchorId="3B0E070F" wp14:editId="24318BF0">
                        <wp:extent cx="5581015" cy="2233295"/>
                        <wp:effectExtent l="0" t="0" r="0" b="0"/>
                        <wp:docPr id="78" name="Picture 78" descr="The figure shows the highest, median, and lowest annualised net investment return for each asset class. There is a large variation between the highest and lowest return for infrastructure and private equity, but smaller variations for cash, fixed income and listed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art_2_errorbar.em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81015" cy="2233295"/>
                                </a:xfrm>
                                <a:prstGeom prst="rect">
                                  <a:avLst/>
                                </a:prstGeom>
                              </pic:spPr>
                            </pic:pic>
                          </a:graphicData>
                        </a:graphic>
                      </wp:inline>
                    </w:drawing>
                  </w:r>
                </w:p>
                <w:p w:rsidR="0091539F" w:rsidRPr="00B1465D" w:rsidRDefault="0023538A" w:rsidP="006F39CD">
                  <w:pPr>
                    <w:pStyle w:val="Figure"/>
                    <w:spacing w:before="60" w:after="60"/>
                    <w:rPr>
                      <w:rFonts w:ascii="Arial" w:hAnsi="Arial" w:cs="Arial"/>
                      <w:sz w:val="18"/>
                      <w:szCs w:val="18"/>
                    </w:rPr>
                  </w:pPr>
                  <w:r>
                    <w:rPr>
                      <w:rFonts w:ascii="Arial" w:hAnsi="Arial" w:cs="Arial"/>
                      <w:noProof/>
                      <w:sz w:val="18"/>
                      <w:szCs w:val="18"/>
                    </w:rPr>
                    <w:drawing>
                      <wp:inline distT="0" distB="0" distL="0" distR="0" wp14:anchorId="1BD24697" wp14:editId="6CEABE82">
                        <wp:extent cx="5581015" cy="2233295"/>
                        <wp:effectExtent l="0" t="0" r="0" b="0"/>
                        <wp:docPr id="27" name="Picture 27" descr="The figure shows the highest, median, and lowest annualised net investment return for each asset class. There is a large variation between the highest and lowest return for infrastructure and private equity, but smaller variations for cash, fixed income and listed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art_2_errorbar_NFP.em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81015" cy="2233295"/>
                                </a:xfrm>
                                <a:prstGeom prst="rect">
                                  <a:avLst/>
                                </a:prstGeom>
                              </pic:spPr>
                            </pic:pic>
                          </a:graphicData>
                        </a:graphic>
                      </wp:inline>
                    </w:drawing>
                  </w:r>
                </w:p>
              </w:tc>
            </w:tr>
            <w:tr w:rsidR="0091539F" w:rsidTr="00E95E36">
              <w:tblPrEx>
                <w:jc w:val="left"/>
                <w:tblBorders>
                  <w:top w:val="none" w:sz="0" w:space="0" w:color="auto"/>
                  <w:bottom w:val="none" w:sz="0" w:space="0" w:color="auto"/>
                </w:tblBorders>
                <w:tblCellMar>
                  <w:top w:w="0" w:type="dxa"/>
                  <w:left w:w="108" w:type="dxa"/>
                  <w:right w:w="108" w:type="dxa"/>
                </w:tblCellMar>
                <w:tblLook w:val="04A0" w:firstRow="1" w:lastRow="0" w:firstColumn="1" w:lastColumn="0" w:noHBand="0" w:noVBand="1"/>
              </w:tblPrEx>
              <w:trPr>
                <w:tblHeader/>
              </w:trPr>
              <w:tc>
                <w:tcPr>
                  <w:tcW w:w="919" w:type="pct"/>
                  <w:shd w:val="clear" w:color="auto" w:fill="F2F2F2" w:themeFill="background1" w:themeFillShade="F2"/>
                </w:tcPr>
                <w:p w:rsidR="0091539F" w:rsidRDefault="0091539F" w:rsidP="006F39CD">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4081" w:type="pct"/>
                  <w:gridSpan w:val="3"/>
                  <w:shd w:val="clear" w:color="auto" w:fill="F2F2F2" w:themeFill="background1" w:themeFillShade="F2"/>
                </w:tcPr>
                <w:p w:rsidR="0091539F" w:rsidRDefault="00B42E05" w:rsidP="006F39CD">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Supplementary f</w:t>
                  </w:r>
                  <w:r w:rsidR="0091539F">
                    <w:rPr>
                      <w:rFonts w:ascii="Arial" w:eastAsia="+mn-ea" w:hAnsi="Arial" w:cs="Arial"/>
                      <w:color w:val="000000" w:themeColor="text1"/>
                      <w:kern w:val="24"/>
                      <w:sz w:val="18"/>
                      <w:szCs w:val="18"/>
                    </w:rPr>
                    <w:t>unds survey and financial market index data (various providers).</w:t>
                  </w:r>
                </w:p>
              </w:tc>
            </w:tr>
            <w:tr w:rsidR="0091539F" w:rsidRPr="001F53B0" w:rsidTr="00E95E36">
              <w:tblPrEx>
                <w:jc w:val="left"/>
                <w:tblBorders>
                  <w:top w:val="none" w:sz="0" w:space="0" w:color="auto"/>
                  <w:bottom w:val="none" w:sz="0" w:space="0" w:color="auto"/>
                </w:tblBorders>
                <w:tblCellMar>
                  <w:top w:w="0" w:type="dxa"/>
                  <w:left w:w="108" w:type="dxa"/>
                  <w:right w:w="108" w:type="dxa"/>
                </w:tblCellMar>
                <w:tblLook w:val="04A0" w:firstRow="1" w:lastRow="0" w:firstColumn="1" w:lastColumn="0" w:noHBand="0" w:noVBand="1"/>
              </w:tblPrEx>
              <w:tc>
                <w:tcPr>
                  <w:tcW w:w="919" w:type="pct"/>
                  <w:shd w:val="clear" w:color="auto" w:fill="F2F2F2" w:themeFill="background1" w:themeFillShade="F2"/>
                </w:tcPr>
                <w:p w:rsidR="0091539F" w:rsidRDefault="0091539F" w:rsidP="006F39CD">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4081" w:type="pct"/>
                  <w:gridSpan w:val="3"/>
                  <w:shd w:val="clear" w:color="auto" w:fill="F2F2F2" w:themeFill="background1" w:themeFillShade="F2"/>
                </w:tcPr>
                <w:p w:rsidR="0091539F" w:rsidRPr="001F53B0" w:rsidRDefault="0091539F" w:rsidP="00594B99">
                  <w:pPr>
                    <w:pStyle w:val="NormalWeb"/>
                    <w:spacing w:before="0" w:beforeAutospacing="0" w:after="0" w:afterAutospacing="0"/>
                    <w:rPr>
                      <w:color w:val="000000" w:themeColor="text1"/>
                    </w:rPr>
                  </w:pPr>
                  <w:r>
                    <w:rPr>
                      <w:rFonts w:ascii="Arial" w:eastAsia="+mn-ea" w:hAnsi="Arial" w:cs="Arial"/>
                      <w:color w:val="000000" w:themeColor="text1"/>
                      <w:kern w:val="24"/>
                      <w:sz w:val="18"/>
                      <w:szCs w:val="18"/>
                    </w:rPr>
                    <w:t xml:space="preserve">In 2017, the funds in this figure represent up to </w:t>
                  </w:r>
                  <w:r w:rsidR="002E16E7">
                    <w:rPr>
                      <w:rFonts w:ascii="Arial" w:eastAsia="+mn-ea" w:hAnsi="Arial" w:cs="Arial"/>
                      <w:color w:val="000000" w:themeColor="text1"/>
                      <w:kern w:val="24"/>
                      <w:sz w:val="18"/>
                      <w:szCs w:val="18"/>
                    </w:rPr>
                    <w:t>6</w:t>
                  </w:r>
                  <w:r>
                    <w:rPr>
                      <w:rFonts w:ascii="Arial" w:eastAsia="+mn-ea" w:hAnsi="Arial" w:cs="Arial"/>
                      <w:color w:val="000000" w:themeColor="text1"/>
                      <w:kern w:val="24"/>
                      <w:sz w:val="18"/>
                      <w:szCs w:val="18"/>
                    </w:rPr>
                    <w:t>6</w:t>
                  </w:r>
                  <w:r w:rsidR="00594B99">
                    <w:rPr>
                      <w:rFonts w:ascii="Arial" w:eastAsia="+mn-ea" w:hAnsi="Arial" w:cs="Arial"/>
                      <w:color w:val="000000" w:themeColor="text1"/>
                      <w:kern w:val="24"/>
                      <w:sz w:val="18"/>
                      <w:szCs w:val="18"/>
                    </w:rPr>
                    <w:t>%</w:t>
                  </w:r>
                  <w:r>
                    <w:rPr>
                      <w:rFonts w:ascii="Arial" w:eastAsia="+mn-ea" w:hAnsi="Arial" w:cs="Arial"/>
                      <w:color w:val="000000" w:themeColor="text1"/>
                      <w:kern w:val="24"/>
                      <w:sz w:val="18"/>
                      <w:szCs w:val="18"/>
                    </w:rPr>
                    <w:t xml:space="preserve"> of total assets and </w:t>
                  </w:r>
                  <w:r w:rsidR="00B63079">
                    <w:rPr>
                      <w:rFonts w:ascii="Arial" w:eastAsia="+mn-ea" w:hAnsi="Arial" w:cs="Arial"/>
                      <w:color w:val="000000" w:themeColor="text1"/>
                      <w:kern w:val="24"/>
                      <w:sz w:val="18"/>
                      <w:szCs w:val="18"/>
                    </w:rPr>
                    <w:t>62</w:t>
                  </w:r>
                  <w:r w:rsidR="00594B99">
                    <w:rPr>
                      <w:rFonts w:ascii="Arial" w:eastAsia="+mn-ea" w:hAnsi="Arial" w:cs="Arial"/>
                      <w:color w:val="000000" w:themeColor="text1"/>
                      <w:kern w:val="24"/>
                      <w:sz w:val="18"/>
                      <w:szCs w:val="18"/>
                    </w:rPr>
                    <w:t>%</w:t>
                  </w:r>
                  <w:r>
                    <w:rPr>
                      <w:rFonts w:ascii="Arial" w:eastAsia="+mn-ea" w:hAnsi="Arial" w:cs="Arial"/>
                      <w:color w:val="000000" w:themeColor="text1"/>
                      <w:kern w:val="24"/>
                      <w:sz w:val="18"/>
                      <w:szCs w:val="18"/>
                    </w:rPr>
                    <w:t xml:space="preserve"> of member accounts of APRA</w:t>
                  </w:r>
                  <w:r w:rsidR="00617DD2">
                    <w:rPr>
                      <w:rFonts w:ascii="Arial" w:eastAsia="+mn-ea" w:hAnsi="Arial" w:cs="Arial"/>
                      <w:color w:val="000000" w:themeColor="text1"/>
                      <w:kern w:val="24"/>
                      <w:sz w:val="18"/>
                      <w:szCs w:val="18"/>
                    </w:rPr>
                    <w:noBreakHyphen/>
                  </w:r>
                  <w:r>
                    <w:rPr>
                      <w:rFonts w:ascii="Arial" w:eastAsia="+mn-ea" w:hAnsi="Arial" w:cs="Arial"/>
                      <w:color w:val="000000" w:themeColor="text1"/>
                      <w:kern w:val="24"/>
                      <w:sz w:val="18"/>
                      <w:szCs w:val="18"/>
                    </w:rPr>
                    <w:t>regulated funds.</w:t>
                  </w:r>
                </w:p>
              </w:tc>
            </w:tr>
            <w:tr w:rsidR="0091539F" w:rsidRPr="00A95597" w:rsidTr="00E95E36">
              <w:tblPrEx>
                <w:jc w:val="left"/>
                <w:tblBorders>
                  <w:top w:val="none" w:sz="0" w:space="0" w:color="auto"/>
                  <w:bottom w:val="none" w:sz="0" w:space="0" w:color="auto"/>
                </w:tblBorders>
                <w:tblCellMar>
                  <w:top w:w="0" w:type="dxa"/>
                  <w:left w:w="108" w:type="dxa"/>
                  <w:right w:w="108" w:type="dxa"/>
                </w:tblCellMar>
                <w:tblLook w:val="04A0" w:firstRow="1" w:lastRow="0" w:firstColumn="1" w:lastColumn="0" w:noHBand="0" w:noVBand="1"/>
              </w:tblPrEx>
              <w:tc>
                <w:tcPr>
                  <w:tcW w:w="919" w:type="pct"/>
                  <w:shd w:val="clear" w:color="auto" w:fill="F2F2F2" w:themeFill="background1" w:themeFillShade="F2"/>
                </w:tcPr>
                <w:p w:rsidR="0091539F" w:rsidRPr="004E69F4" w:rsidRDefault="0091539F" w:rsidP="006F39CD">
                  <w:pPr>
                    <w:pStyle w:val="Figure"/>
                    <w:spacing w:before="0" w:after="0"/>
                    <w:jc w:val="left"/>
                    <w:rPr>
                      <w:rFonts w:asciiTheme="minorHAnsi" w:hAnsi="Arial" w:cstheme="minorBidi"/>
                      <w:b/>
                      <w:color w:val="000000" w:themeColor="text1"/>
                      <w:kern w:val="24"/>
                      <w:sz w:val="18"/>
                      <w:szCs w:val="18"/>
                    </w:rPr>
                  </w:pPr>
                  <w:r>
                    <w:rPr>
                      <w:rFonts w:asciiTheme="minorHAnsi" w:hAnsi="Arial" w:cstheme="minorBidi"/>
                      <w:b/>
                      <w:color w:val="000000" w:themeColor="text1"/>
                      <w:kern w:val="24"/>
                      <w:sz w:val="18"/>
                      <w:szCs w:val="18"/>
                    </w:rPr>
                    <w:t>Survivor Bias</w:t>
                  </w:r>
                </w:p>
              </w:tc>
              <w:tc>
                <w:tcPr>
                  <w:tcW w:w="1360" w:type="pct"/>
                  <w:shd w:val="clear" w:color="auto" w:fill="F2F2F2" w:themeFill="background1" w:themeFillShade="F2"/>
                </w:tcPr>
                <w:p w:rsidR="0091539F" w:rsidRPr="00A95597" w:rsidRDefault="0091539F" w:rsidP="006F39CD">
                  <w:pPr>
                    <w:pStyle w:val="NormalWeb"/>
                    <w:spacing w:before="0" w:beforeAutospacing="0" w:after="0" w:afterAutospacing="0"/>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Yes.</w:t>
                  </w:r>
                </w:p>
              </w:tc>
              <w:tc>
                <w:tcPr>
                  <w:tcW w:w="1360" w:type="pct"/>
                  <w:shd w:val="clear" w:color="auto" w:fill="F2F2F2" w:themeFill="background1" w:themeFillShade="F2"/>
                </w:tcPr>
                <w:p w:rsidR="0091539F" w:rsidRPr="004E69F4" w:rsidRDefault="0091539F" w:rsidP="006F39CD">
                  <w:pPr>
                    <w:pStyle w:val="NormalWeb"/>
                    <w:spacing w:before="0" w:beforeAutospacing="0" w:after="0" w:afterAutospacing="0"/>
                    <w:rPr>
                      <w:rFonts w:ascii="Arial" w:eastAsia="+mn-ea" w:hAnsi="Arial" w:cs="Arial"/>
                      <w:b/>
                      <w:color w:val="000000" w:themeColor="text1"/>
                      <w:kern w:val="24"/>
                      <w:sz w:val="18"/>
                      <w:szCs w:val="18"/>
                    </w:rPr>
                  </w:pPr>
                  <w:r>
                    <w:rPr>
                      <w:rFonts w:ascii="Arial" w:eastAsia="+mn-ea" w:hAnsi="Arial" w:cs="Arial"/>
                      <w:b/>
                      <w:color w:val="000000" w:themeColor="text1"/>
                      <w:kern w:val="24"/>
                      <w:sz w:val="18"/>
                      <w:szCs w:val="18"/>
                    </w:rPr>
                    <w:t>Selection Bias</w:t>
                  </w:r>
                </w:p>
              </w:tc>
              <w:tc>
                <w:tcPr>
                  <w:tcW w:w="1360" w:type="pct"/>
                  <w:shd w:val="clear" w:color="auto" w:fill="F2F2F2" w:themeFill="background1" w:themeFillShade="F2"/>
                </w:tcPr>
                <w:p w:rsidR="0091539F" w:rsidRPr="00A95597" w:rsidRDefault="0091539F" w:rsidP="006F39CD">
                  <w:pPr>
                    <w:pStyle w:val="NormalWeb"/>
                    <w:spacing w:before="0" w:beforeAutospacing="0" w:after="0" w:afterAutospacing="0"/>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Yes.</w:t>
                  </w:r>
                </w:p>
              </w:tc>
            </w:tr>
          </w:tbl>
          <w:p w:rsidR="0091539F" w:rsidRDefault="0091539F" w:rsidP="006F39CD">
            <w:pPr>
              <w:pStyle w:val="Figure"/>
            </w:pPr>
          </w:p>
        </w:tc>
      </w:tr>
      <w:tr w:rsidR="0091539F" w:rsidRPr="00176D3F" w:rsidTr="006F39CD">
        <w:tc>
          <w:tcPr>
            <w:tcW w:w="5000" w:type="pct"/>
            <w:tcBorders>
              <w:top w:val="nil"/>
              <w:left w:val="nil"/>
              <w:bottom w:val="nil"/>
              <w:right w:val="nil"/>
            </w:tcBorders>
            <w:shd w:val="clear" w:color="auto" w:fill="auto"/>
          </w:tcPr>
          <w:p w:rsidR="0091539F" w:rsidRPr="00176D3F" w:rsidRDefault="0091539F" w:rsidP="00ED5C53">
            <w:pPr>
              <w:pStyle w:val="Note"/>
            </w:pPr>
            <w:r>
              <w:rPr>
                <w:rStyle w:val="NoteLabel"/>
              </w:rPr>
              <w:t>a</w:t>
            </w:r>
            <w:r>
              <w:t xml:space="preserve"> </w:t>
            </w:r>
            <w:r w:rsidR="00691D1F">
              <w:t>Annualised returns are calculated by calculating the geometric mean over the period for each fund.</w:t>
            </w:r>
            <w:r>
              <w:t xml:space="preserve"> </w:t>
            </w:r>
            <w:r w:rsidR="00D36CDE">
              <w:t xml:space="preserve">Only asset classes with a sufficient number of observations were used for the </w:t>
            </w:r>
            <w:r w:rsidR="00332BFF">
              <w:t>comparison</w:t>
            </w:r>
            <w:r w:rsidR="00D36CDE">
              <w:t xml:space="preserve"> </w:t>
            </w:r>
            <w:r w:rsidR="00332BFF">
              <w:t>between</w:t>
            </w:r>
            <w:r w:rsidR="00D36CDE">
              <w:t xml:space="preserve"> retail and not</w:t>
            </w:r>
            <w:r w:rsidR="00A178F7">
              <w:noBreakHyphen/>
            </w:r>
            <w:r w:rsidR="00D36CDE">
              <w:t>for</w:t>
            </w:r>
            <w:r w:rsidR="00617DD2">
              <w:noBreakHyphen/>
            </w:r>
            <w:r w:rsidR="00D36CDE">
              <w:t xml:space="preserve">profit funds. </w:t>
            </w:r>
            <w:r>
              <w:t xml:space="preserve">Observations where funds did not split fixed </w:t>
            </w:r>
            <w:r w:rsidR="00222A6A">
              <w:t>inc</w:t>
            </w:r>
            <w:r w:rsidR="00FF636D">
              <w:t>om</w:t>
            </w:r>
            <w:r w:rsidR="00222A6A">
              <w:t>e</w:t>
            </w:r>
            <w:r>
              <w:t xml:space="preserve"> into Australian and international categories have been excluded</w:t>
            </w:r>
            <w:r w:rsidR="00691D1F">
              <w:t>.</w:t>
            </w:r>
          </w:p>
        </w:tc>
      </w:tr>
      <w:tr w:rsidR="0091539F" w:rsidTr="006F39CD">
        <w:tc>
          <w:tcPr>
            <w:tcW w:w="5000" w:type="pct"/>
            <w:tcBorders>
              <w:top w:val="nil"/>
              <w:left w:val="nil"/>
              <w:bottom w:val="single" w:sz="6" w:space="0" w:color="78A22F"/>
              <w:right w:val="nil"/>
            </w:tcBorders>
            <w:shd w:val="clear" w:color="auto" w:fill="auto"/>
          </w:tcPr>
          <w:p w:rsidR="0091539F" w:rsidRDefault="0091539F" w:rsidP="006F39CD">
            <w:pPr>
              <w:pStyle w:val="Figurespace"/>
            </w:pPr>
          </w:p>
        </w:tc>
      </w:tr>
      <w:tr w:rsidR="0091539F" w:rsidRPr="000863A5" w:rsidTr="006F39CD">
        <w:tc>
          <w:tcPr>
            <w:tcW w:w="5000" w:type="pct"/>
            <w:tcBorders>
              <w:top w:val="single" w:sz="6" w:space="0" w:color="78A22F"/>
              <w:left w:val="nil"/>
              <w:bottom w:val="nil"/>
              <w:right w:val="nil"/>
            </w:tcBorders>
          </w:tcPr>
          <w:p w:rsidR="0091539F" w:rsidRPr="00626D32" w:rsidRDefault="0091539F" w:rsidP="006F39CD">
            <w:pPr>
              <w:pStyle w:val="BoxSpaceBelow"/>
            </w:pPr>
          </w:p>
        </w:tc>
      </w:tr>
    </w:tbl>
    <w:p w:rsidR="00D97CB4" w:rsidRDefault="00D97CB4" w:rsidP="009F5D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97CB4" w:rsidTr="009F5DA0">
        <w:trPr>
          <w:tblHeader/>
        </w:trPr>
        <w:tc>
          <w:tcPr>
            <w:tcW w:w="5000" w:type="pct"/>
            <w:tcBorders>
              <w:top w:val="single" w:sz="6" w:space="0" w:color="78A22F"/>
              <w:left w:val="nil"/>
              <w:bottom w:val="nil"/>
              <w:right w:val="nil"/>
            </w:tcBorders>
            <w:shd w:val="clear" w:color="auto" w:fill="auto"/>
          </w:tcPr>
          <w:p w:rsidR="00D97CB4" w:rsidRPr="00176D3F" w:rsidRDefault="00D97CB4" w:rsidP="006C42D1">
            <w:pPr>
              <w:pStyle w:val="FigureTitle"/>
            </w:pPr>
            <w:r w:rsidRPr="00784A05">
              <w:rPr>
                <w:b w:val="0"/>
              </w:rPr>
              <w:t xml:space="preserve">Figure </w:t>
            </w:r>
            <w:bookmarkStart w:id="12" w:name="OLE_LINK19"/>
            <w:r w:rsidR="001345FE">
              <w:rPr>
                <w:b w:val="0"/>
                <w:noProof/>
              </w:rPr>
              <w:t>4</w:t>
            </w:r>
            <w:bookmarkEnd w:id="12"/>
            <w:r>
              <w:tab/>
            </w:r>
            <w:r w:rsidR="006C42D1">
              <w:t>Distribution of returns by asset class, 2011</w:t>
            </w:r>
            <w:r w:rsidR="00570DA6">
              <w:t>–</w:t>
            </w:r>
            <w:r w:rsidR="006C42D1">
              <w:t>2017</w:t>
            </w:r>
            <w:r w:rsidR="00CE1A85" w:rsidRPr="00BF73CE">
              <w:rPr>
                <w:rStyle w:val="NoteLabel"/>
                <w:b/>
              </w:rPr>
              <w:t>a</w:t>
            </w:r>
          </w:p>
        </w:tc>
      </w:tr>
      <w:tr w:rsidR="00D97CB4" w:rsidTr="009F5DA0">
        <w:tc>
          <w:tcPr>
            <w:tcW w:w="5000" w:type="pct"/>
            <w:tcBorders>
              <w:top w:val="nil"/>
              <w:left w:val="nil"/>
              <w:bottom w:val="nil"/>
              <w:right w:val="nil"/>
            </w:tcBorders>
            <w:shd w:val="clear" w:color="auto" w:fill="auto"/>
            <w:tcMar>
              <w:top w:w="28" w:type="dxa"/>
              <w:bottom w:w="28" w:type="dxa"/>
            </w:tcMar>
          </w:tcPr>
          <w:p w:rsidR="00D97CB4" w:rsidRDefault="00072EB3" w:rsidP="009F5DA0">
            <w:pPr>
              <w:pStyle w:val="Figure"/>
            </w:pPr>
            <w:r w:rsidRPr="00072EB3">
              <w:rPr>
                <w:noProof/>
              </w:rPr>
              <w:drawing>
                <wp:inline distT="0" distB="0" distL="0" distR="0" wp14:anchorId="049B6F26" wp14:editId="5A03CA43">
                  <wp:extent cx="5025390" cy="5694045"/>
                  <wp:effectExtent l="0" t="0" r="0" b="1905"/>
                  <wp:docPr id="25" name="Picture 25" descr="This figure shows the distribution of net investment returns across different asset classes, along with the number of funds performing below the benchmark and the percentage of assets they represent. International equity, unlisted infrastructure and property have more than 50 per cent of assets below the bench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25390" cy="5694045"/>
                          </a:xfrm>
                          <a:prstGeom prst="rect">
                            <a:avLst/>
                          </a:prstGeom>
                          <a:noFill/>
                          <a:ln>
                            <a:noFill/>
                          </a:ln>
                        </pic:spPr>
                      </pic:pic>
                    </a:graphicData>
                  </a:graphic>
                </wp:inline>
              </w:drawing>
            </w:r>
          </w:p>
          <w:tbl>
            <w:tblPr>
              <w:tblW w:w="8505" w:type="dxa"/>
              <w:tblLook w:val="04A0" w:firstRow="1" w:lastRow="0" w:firstColumn="1" w:lastColumn="0" w:noHBand="0" w:noVBand="1"/>
            </w:tblPr>
            <w:tblGrid>
              <w:gridCol w:w="1561"/>
              <w:gridCol w:w="2314"/>
              <w:gridCol w:w="2315"/>
              <w:gridCol w:w="2315"/>
            </w:tblGrid>
            <w:tr w:rsidR="0089655D" w:rsidTr="00545545">
              <w:trPr>
                <w:tblHeader/>
              </w:trPr>
              <w:tc>
                <w:tcPr>
                  <w:tcW w:w="917" w:type="pct"/>
                  <w:shd w:val="clear" w:color="auto" w:fill="F2F2F2" w:themeFill="background1" w:themeFillShade="F2"/>
                </w:tcPr>
                <w:p w:rsidR="0089655D" w:rsidRDefault="0089655D" w:rsidP="0089655D">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4077" w:type="pct"/>
                  <w:gridSpan w:val="3"/>
                  <w:shd w:val="clear" w:color="auto" w:fill="F2F2F2" w:themeFill="background1" w:themeFillShade="F2"/>
                </w:tcPr>
                <w:p w:rsidR="0089655D" w:rsidRDefault="00B42E05" w:rsidP="00A178F7">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Supplementary f</w:t>
                  </w:r>
                  <w:r w:rsidR="0089655D">
                    <w:rPr>
                      <w:rFonts w:ascii="Arial" w:eastAsia="+mn-ea" w:hAnsi="Arial" w:cs="Arial"/>
                      <w:color w:val="000000" w:themeColor="text1"/>
                      <w:kern w:val="24"/>
                      <w:sz w:val="18"/>
                      <w:szCs w:val="18"/>
                    </w:rPr>
                    <w:t>unds survey and financial market index data (various providers).</w:t>
                  </w:r>
                </w:p>
              </w:tc>
            </w:tr>
            <w:tr w:rsidR="0089655D" w:rsidTr="00545545">
              <w:tc>
                <w:tcPr>
                  <w:tcW w:w="917" w:type="pct"/>
                  <w:shd w:val="clear" w:color="auto" w:fill="F2F2F2" w:themeFill="background1" w:themeFillShade="F2"/>
                </w:tcPr>
                <w:p w:rsidR="0089655D" w:rsidRDefault="0089655D" w:rsidP="0089655D">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Benchmark</w:t>
                  </w:r>
                </w:p>
              </w:tc>
              <w:tc>
                <w:tcPr>
                  <w:tcW w:w="4077" w:type="pct"/>
                  <w:gridSpan w:val="3"/>
                  <w:shd w:val="clear" w:color="auto" w:fill="F2F2F2" w:themeFill="background1" w:themeFillShade="F2"/>
                </w:tcPr>
                <w:p w:rsidR="0089655D" w:rsidRDefault="0089655D" w:rsidP="0089655D">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Asset</w:t>
                  </w:r>
                  <w:r w:rsidR="00CE1A85">
                    <w:rPr>
                      <w:rFonts w:ascii="Arial" w:eastAsia="+mn-ea" w:hAnsi="Arial" w:cs="Arial"/>
                      <w:color w:val="000000" w:themeColor="text1"/>
                      <w:kern w:val="24"/>
                      <w:sz w:val="18"/>
                      <w:szCs w:val="18"/>
                    </w:rPr>
                    <w:noBreakHyphen/>
                  </w:r>
                  <w:r>
                    <w:rPr>
                      <w:rFonts w:ascii="Arial" w:eastAsia="+mn-ea" w:hAnsi="Arial" w:cs="Arial"/>
                      <w:color w:val="000000" w:themeColor="text1"/>
                      <w:kern w:val="24"/>
                      <w:sz w:val="18"/>
                      <w:szCs w:val="18"/>
                    </w:rPr>
                    <w:t xml:space="preserve">class benchmarks </w:t>
                  </w:r>
                  <w:r w:rsidR="00CE1A85">
                    <w:rPr>
                      <w:rFonts w:ascii="Arial" w:eastAsia="+mn-ea" w:hAnsi="Arial" w:cs="Arial"/>
                      <w:color w:val="000000" w:themeColor="text1"/>
                      <w:kern w:val="24"/>
                      <w:sz w:val="18"/>
                      <w:szCs w:val="18"/>
                    </w:rPr>
                    <w:t xml:space="preserve">as per </w:t>
                  </w:r>
                  <w:r>
                    <w:rPr>
                      <w:rFonts w:ascii="Arial" w:eastAsia="+mn-ea" w:hAnsi="Arial" w:cs="Arial"/>
                      <w:color w:val="000000" w:themeColor="text1"/>
                      <w:kern w:val="24"/>
                      <w:sz w:val="18"/>
                      <w:szCs w:val="18"/>
                    </w:rPr>
                    <w:t>BP2.</w:t>
                  </w:r>
                </w:p>
              </w:tc>
            </w:tr>
            <w:tr w:rsidR="0089655D" w:rsidRPr="001F53B0" w:rsidTr="00545545">
              <w:tc>
                <w:tcPr>
                  <w:tcW w:w="917" w:type="pct"/>
                  <w:shd w:val="clear" w:color="auto" w:fill="F2F2F2" w:themeFill="background1" w:themeFillShade="F2"/>
                </w:tcPr>
                <w:p w:rsidR="0089655D" w:rsidRDefault="0089655D" w:rsidP="0089655D">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4077" w:type="pct"/>
                  <w:gridSpan w:val="3"/>
                  <w:shd w:val="clear" w:color="auto" w:fill="F2F2F2" w:themeFill="background1" w:themeFillShade="F2"/>
                </w:tcPr>
                <w:p w:rsidR="0089655D" w:rsidRPr="001F53B0" w:rsidRDefault="00972994" w:rsidP="006C0AEE">
                  <w:pPr>
                    <w:pStyle w:val="NormalWeb"/>
                    <w:spacing w:before="0" w:beforeAutospacing="0" w:after="0" w:afterAutospacing="0"/>
                    <w:rPr>
                      <w:color w:val="000000" w:themeColor="text1"/>
                    </w:rPr>
                  </w:pPr>
                  <w:r>
                    <w:rPr>
                      <w:rFonts w:ascii="Arial" w:eastAsia="+mn-ea" w:hAnsi="Arial" w:cs="Arial"/>
                      <w:color w:val="000000" w:themeColor="text1"/>
                      <w:kern w:val="24"/>
                      <w:sz w:val="18"/>
                      <w:szCs w:val="18"/>
                    </w:rPr>
                    <w:t xml:space="preserve">In 2017, the funds </w:t>
                  </w:r>
                  <w:r w:rsidR="00833C9B">
                    <w:rPr>
                      <w:rFonts w:ascii="Arial" w:eastAsia="+mn-ea" w:hAnsi="Arial" w:cs="Arial"/>
                      <w:color w:val="000000" w:themeColor="text1"/>
                      <w:kern w:val="24"/>
                      <w:sz w:val="18"/>
                      <w:szCs w:val="18"/>
                    </w:rPr>
                    <w:t xml:space="preserve">in this figure </w:t>
                  </w:r>
                  <w:r>
                    <w:rPr>
                      <w:rFonts w:ascii="Arial" w:eastAsia="+mn-ea" w:hAnsi="Arial" w:cs="Arial"/>
                      <w:color w:val="000000" w:themeColor="text1"/>
                      <w:kern w:val="24"/>
                      <w:sz w:val="18"/>
                      <w:szCs w:val="18"/>
                    </w:rPr>
                    <w:t xml:space="preserve">represent </w:t>
                  </w:r>
                  <w:r w:rsidR="00833C9B">
                    <w:rPr>
                      <w:rFonts w:ascii="Arial" w:eastAsia="+mn-ea" w:hAnsi="Arial" w:cs="Arial"/>
                      <w:color w:val="000000" w:themeColor="text1"/>
                      <w:kern w:val="24"/>
                      <w:sz w:val="18"/>
                      <w:szCs w:val="18"/>
                    </w:rPr>
                    <w:t xml:space="preserve">up to </w:t>
                  </w:r>
                  <w:r w:rsidR="002E16E7">
                    <w:rPr>
                      <w:rFonts w:ascii="Arial" w:eastAsia="+mn-ea" w:hAnsi="Arial" w:cs="Arial"/>
                      <w:color w:val="000000" w:themeColor="text1"/>
                      <w:kern w:val="24"/>
                      <w:sz w:val="18"/>
                      <w:szCs w:val="18"/>
                    </w:rPr>
                    <w:t>6</w:t>
                  </w:r>
                  <w:r w:rsidR="00833C9B">
                    <w:rPr>
                      <w:rFonts w:ascii="Arial" w:eastAsia="+mn-ea" w:hAnsi="Arial" w:cs="Arial"/>
                      <w:color w:val="000000" w:themeColor="text1"/>
                      <w:kern w:val="24"/>
                      <w:sz w:val="18"/>
                      <w:szCs w:val="18"/>
                    </w:rPr>
                    <w:t>6</w:t>
                  </w:r>
                  <w:r w:rsidR="006C0AEE">
                    <w:rPr>
                      <w:rFonts w:ascii="Arial" w:eastAsia="+mn-ea" w:hAnsi="Arial" w:cs="Arial"/>
                      <w:color w:val="000000" w:themeColor="text1"/>
                      <w:kern w:val="24"/>
                      <w:sz w:val="18"/>
                      <w:szCs w:val="18"/>
                    </w:rPr>
                    <w:t>%</w:t>
                  </w:r>
                  <w:r>
                    <w:rPr>
                      <w:rFonts w:ascii="Arial" w:eastAsia="+mn-ea" w:hAnsi="Arial" w:cs="Arial"/>
                      <w:color w:val="000000" w:themeColor="text1"/>
                      <w:kern w:val="24"/>
                      <w:sz w:val="18"/>
                      <w:szCs w:val="18"/>
                    </w:rPr>
                    <w:t xml:space="preserve"> of total assets a</w:t>
                  </w:r>
                  <w:r w:rsidR="00833C9B">
                    <w:rPr>
                      <w:rFonts w:ascii="Arial" w:eastAsia="+mn-ea" w:hAnsi="Arial" w:cs="Arial"/>
                      <w:color w:val="000000" w:themeColor="text1"/>
                      <w:kern w:val="24"/>
                      <w:sz w:val="18"/>
                      <w:szCs w:val="18"/>
                    </w:rPr>
                    <w:t xml:space="preserve">nd </w:t>
                  </w:r>
                  <w:r w:rsidR="00B63079">
                    <w:rPr>
                      <w:rFonts w:ascii="Arial" w:eastAsia="+mn-ea" w:hAnsi="Arial" w:cs="Arial"/>
                      <w:color w:val="000000" w:themeColor="text1"/>
                      <w:kern w:val="24"/>
                      <w:sz w:val="18"/>
                      <w:szCs w:val="18"/>
                    </w:rPr>
                    <w:t>62</w:t>
                  </w:r>
                  <w:r w:rsidR="006C0AEE">
                    <w:rPr>
                      <w:rFonts w:ascii="Arial" w:eastAsia="+mn-ea" w:hAnsi="Arial" w:cs="Arial"/>
                      <w:color w:val="000000" w:themeColor="text1"/>
                      <w:kern w:val="24"/>
                      <w:sz w:val="18"/>
                      <w:szCs w:val="18"/>
                    </w:rPr>
                    <w:t xml:space="preserve">% </w:t>
                  </w:r>
                  <w:r>
                    <w:rPr>
                      <w:rFonts w:ascii="Arial" w:eastAsia="+mn-ea" w:hAnsi="Arial" w:cs="Arial"/>
                      <w:color w:val="000000" w:themeColor="text1"/>
                      <w:kern w:val="24"/>
                      <w:sz w:val="18"/>
                      <w:szCs w:val="18"/>
                    </w:rPr>
                    <w:t>of member accounts of APRA</w:t>
                  </w:r>
                  <w:r w:rsidR="00617DD2">
                    <w:rPr>
                      <w:rFonts w:ascii="Arial" w:eastAsia="+mn-ea" w:hAnsi="Arial" w:cs="Arial"/>
                      <w:color w:val="000000" w:themeColor="text1"/>
                      <w:kern w:val="24"/>
                      <w:sz w:val="18"/>
                      <w:szCs w:val="18"/>
                    </w:rPr>
                    <w:noBreakHyphen/>
                  </w:r>
                  <w:r>
                    <w:rPr>
                      <w:rFonts w:ascii="Arial" w:eastAsia="+mn-ea" w:hAnsi="Arial" w:cs="Arial"/>
                      <w:color w:val="000000" w:themeColor="text1"/>
                      <w:kern w:val="24"/>
                      <w:sz w:val="18"/>
                      <w:szCs w:val="18"/>
                    </w:rPr>
                    <w:t>regulated funds.</w:t>
                  </w:r>
                </w:p>
              </w:tc>
            </w:tr>
            <w:tr w:rsidR="0089655D" w:rsidRPr="00A95597" w:rsidTr="00545545">
              <w:tc>
                <w:tcPr>
                  <w:tcW w:w="917" w:type="pct"/>
                  <w:shd w:val="clear" w:color="auto" w:fill="F2F2F2" w:themeFill="background1" w:themeFillShade="F2"/>
                </w:tcPr>
                <w:p w:rsidR="0089655D" w:rsidRPr="004E69F4" w:rsidRDefault="0089655D" w:rsidP="0089655D">
                  <w:pPr>
                    <w:pStyle w:val="Figure"/>
                    <w:spacing w:before="0" w:after="0"/>
                    <w:jc w:val="left"/>
                    <w:rPr>
                      <w:rFonts w:asciiTheme="minorHAnsi" w:hAnsi="Arial" w:cstheme="minorBidi"/>
                      <w:b/>
                      <w:color w:val="000000" w:themeColor="text1"/>
                      <w:kern w:val="24"/>
                      <w:sz w:val="18"/>
                      <w:szCs w:val="18"/>
                    </w:rPr>
                  </w:pPr>
                  <w:r>
                    <w:rPr>
                      <w:rFonts w:asciiTheme="minorHAnsi" w:hAnsi="Arial" w:cstheme="minorBidi"/>
                      <w:b/>
                      <w:color w:val="000000" w:themeColor="text1"/>
                      <w:kern w:val="24"/>
                      <w:sz w:val="18"/>
                      <w:szCs w:val="18"/>
                    </w:rPr>
                    <w:t>Survivor Bias</w:t>
                  </w:r>
                </w:p>
              </w:tc>
              <w:tc>
                <w:tcPr>
                  <w:tcW w:w="1359" w:type="pct"/>
                  <w:shd w:val="clear" w:color="auto" w:fill="F2F2F2" w:themeFill="background1" w:themeFillShade="F2"/>
                </w:tcPr>
                <w:p w:rsidR="0089655D" w:rsidRPr="00A95597" w:rsidRDefault="0089655D" w:rsidP="0089655D">
                  <w:pPr>
                    <w:pStyle w:val="NormalWeb"/>
                    <w:spacing w:before="0" w:beforeAutospacing="0" w:after="0" w:afterAutospacing="0"/>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Yes.</w:t>
                  </w:r>
                </w:p>
              </w:tc>
              <w:tc>
                <w:tcPr>
                  <w:tcW w:w="1359" w:type="pct"/>
                  <w:shd w:val="clear" w:color="auto" w:fill="F2F2F2" w:themeFill="background1" w:themeFillShade="F2"/>
                </w:tcPr>
                <w:p w:rsidR="0089655D" w:rsidRPr="004E69F4" w:rsidRDefault="0089655D" w:rsidP="0089655D">
                  <w:pPr>
                    <w:pStyle w:val="NormalWeb"/>
                    <w:spacing w:before="0" w:beforeAutospacing="0" w:after="0" w:afterAutospacing="0"/>
                    <w:rPr>
                      <w:rFonts w:ascii="Arial" w:eastAsia="+mn-ea" w:hAnsi="Arial" w:cs="Arial"/>
                      <w:b/>
                      <w:color w:val="000000" w:themeColor="text1"/>
                      <w:kern w:val="24"/>
                      <w:sz w:val="18"/>
                      <w:szCs w:val="18"/>
                    </w:rPr>
                  </w:pPr>
                  <w:r>
                    <w:rPr>
                      <w:rFonts w:ascii="Arial" w:eastAsia="+mn-ea" w:hAnsi="Arial" w:cs="Arial"/>
                      <w:b/>
                      <w:color w:val="000000" w:themeColor="text1"/>
                      <w:kern w:val="24"/>
                      <w:sz w:val="18"/>
                      <w:szCs w:val="18"/>
                    </w:rPr>
                    <w:t>Selection Bias</w:t>
                  </w:r>
                </w:p>
              </w:tc>
              <w:tc>
                <w:tcPr>
                  <w:tcW w:w="1359" w:type="pct"/>
                  <w:shd w:val="clear" w:color="auto" w:fill="F2F2F2" w:themeFill="background1" w:themeFillShade="F2"/>
                </w:tcPr>
                <w:p w:rsidR="0089655D" w:rsidRPr="00A95597" w:rsidRDefault="0089655D" w:rsidP="0089655D">
                  <w:pPr>
                    <w:pStyle w:val="NormalWeb"/>
                    <w:spacing w:before="0" w:beforeAutospacing="0" w:after="0" w:afterAutospacing="0"/>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Yes.</w:t>
                  </w:r>
                </w:p>
              </w:tc>
            </w:tr>
          </w:tbl>
          <w:p w:rsidR="00D97CB4" w:rsidRDefault="00D97CB4" w:rsidP="009F5DA0">
            <w:pPr>
              <w:pStyle w:val="Figure"/>
            </w:pPr>
          </w:p>
        </w:tc>
      </w:tr>
      <w:tr w:rsidR="00D97CB4" w:rsidRPr="00176D3F" w:rsidTr="009F5DA0">
        <w:tc>
          <w:tcPr>
            <w:tcW w:w="5000" w:type="pct"/>
            <w:tcBorders>
              <w:top w:val="nil"/>
              <w:left w:val="nil"/>
              <w:bottom w:val="nil"/>
              <w:right w:val="nil"/>
            </w:tcBorders>
            <w:shd w:val="clear" w:color="auto" w:fill="auto"/>
          </w:tcPr>
          <w:p w:rsidR="00D97CB4" w:rsidRPr="00176D3F" w:rsidRDefault="00D97CB4" w:rsidP="00653248">
            <w:pPr>
              <w:pStyle w:val="Note"/>
            </w:pPr>
            <w:r>
              <w:rPr>
                <w:rStyle w:val="NoteLabel"/>
              </w:rPr>
              <w:t>a</w:t>
            </w:r>
            <w:r>
              <w:t xml:space="preserve"> </w:t>
            </w:r>
            <w:r w:rsidR="0027214D">
              <w:t xml:space="preserve">The dashed line is the asset class </w:t>
            </w:r>
            <w:r w:rsidR="00717C2D">
              <w:t>index over the period</w:t>
            </w:r>
            <w:r w:rsidR="0027214D">
              <w:t xml:space="preserve">. The density </w:t>
            </w:r>
            <w:r w:rsidR="00D339E8">
              <w:t xml:space="preserve">plots are a measure of the distribution of returns at </w:t>
            </w:r>
            <w:r w:rsidR="00070804">
              <w:t>the</w:t>
            </w:r>
            <w:r w:rsidR="00D339E8">
              <w:t xml:space="preserve"> fund level </w:t>
            </w:r>
            <w:r w:rsidR="00070804">
              <w:t>— they are not weighted by assets</w:t>
            </w:r>
            <w:r w:rsidR="0027214D">
              <w:t xml:space="preserve">. </w:t>
            </w:r>
            <w:r w:rsidR="00D339E8">
              <w:t xml:space="preserve">The height of the plots </w:t>
            </w:r>
            <w:r w:rsidR="00070804">
              <w:t xml:space="preserve">indicate </w:t>
            </w:r>
            <w:r w:rsidR="00717C2D">
              <w:t xml:space="preserve">the </w:t>
            </w:r>
            <w:r w:rsidR="00592CEF">
              <w:t xml:space="preserve">number of funds </w:t>
            </w:r>
            <w:r w:rsidR="00717C2D">
              <w:t xml:space="preserve">that </w:t>
            </w:r>
            <w:r w:rsidR="00070804">
              <w:t xml:space="preserve">obtained </w:t>
            </w:r>
            <w:r w:rsidR="00592CEF">
              <w:t>a return of that value (</w:t>
            </w:r>
            <w:r w:rsidR="00070804">
              <w:t xml:space="preserve">a </w:t>
            </w:r>
            <w:r w:rsidR="00592CEF">
              <w:t xml:space="preserve">similar </w:t>
            </w:r>
            <w:r w:rsidR="00070804">
              <w:t>interpretation to</w:t>
            </w:r>
            <w:r w:rsidR="00592CEF">
              <w:t xml:space="preserve"> a histogram)</w:t>
            </w:r>
            <w:r w:rsidR="00D339E8">
              <w:t>.</w:t>
            </w:r>
            <w:r w:rsidR="00070804">
              <w:t xml:space="preserve"> </w:t>
            </w:r>
            <w:r w:rsidR="0027214D">
              <w:t xml:space="preserve">The percentage of assets </w:t>
            </w:r>
            <w:r w:rsidR="00592CEF">
              <w:t xml:space="preserve">that </w:t>
            </w:r>
            <w:r w:rsidR="00CE1A85">
              <w:t xml:space="preserve">are below the benchmark </w:t>
            </w:r>
            <w:r w:rsidR="0027214D">
              <w:t xml:space="preserve">is calculated by dividing the assets from funds </w:t>
            </w:r>
            <w:r w:rsidR="00CE1A85">
              <w:t>below the benchmark</w:t>
            </w:r>
            <w:r w:rsidR="0027214D">
              <w:t xml:space="preserve"> by the total assets invested in an asset class.</w:t>
            </w:r>
            <w:r w:rsidR="00464CF8">
              <w:t xml:space="preserve"> Observations where funds did not split fixed interest </w:t>
            </w:r>
            <w:r w:rsidR="004B2E03">
              <w:t xml:space="preserve">into Australian and international categories </w:t>
            </w:r>
            <w:r w:rsidR="00464CF8">
              <w:t>have been excluded.</w:t>
            </w:r>
          </w:p>
        </w:tc>
      </w:tr>
      <w:tr w:rsidR="00D97CB4" w:rsidTr="009F5DA0">
        <w:tc>
          <w:tcPr>
            <w:tcW w:w="5000" w:type="pct"/>
            <w:tcBorders>
              <w:top w:val="nil"/>
              <w:left w:val="nil"/>
              <w:bottom w:val="single" w:sz="6" w:space="0" w:color="78A22F"/>
              <w:right w:val="nil"/>
            </w:tcBorders>
            <w:shd w:val="clear" w:color="auto" w:fill="auto"/>
          </w:tcPr>
          <w:p w:rsidR="00D97CB4" w:rsidRDefault="00D97CB4" w:rsidP="009F5DA0">
            <w:pPr>
              <w:pStyle w:val="Figurespace"/>
            </w:pPr>
          </w:p>
        </w:tc>
      </w:tr>
      <w:tr w:rsidR="00D97CB4" w:rsidRPr="000863A5" w:rsidTr="009F5DA0">
        <w:tc>
          <w:tcPr>
            <w:tcW w:w="5000" w:type="pct"/>
            <w:tcBorders>
              <w:top w:val="single" w:sz="6" w:space="0" w:color="78A22F"/>
              <w:left w:val="nil"/>
              <w:bottom w:val="nil"/>
              <w:right w:val="nil"/>
            </w:tcBorders>
          </w:tcPr>
          <w:p w:rsidR="00D97CB4" w:rsidRPr="00626D32" w:rsidRDefault="00D97CB4" w:rsidP="009F5DA0">
            <w:pPr>
              <w:pStyle w:val="BoxSpaceBelow"/>
            </w:pPr>
          </w:p>
        </w:tc>
      </w:tr>
    </w:tbl>
    <w:p w:rsidR="00F71E27" w:rsidRDefault="00F71E27" w:rsidP="00F71E27">
      <w:pPr>
        <w:pStyle w:val="BodyText"/>
      </w:pPr>
      <w:r w:rsidRPr="00E7770B">
        <w:lastRenderedPageBreak/>
        <w:t>Within segments, a l</w:t>
      </w:r>
      <w:r w:rsidR="004268DB">
        <w:t>arger proportion of retail fund assets</w:t>
      </w:r>
      <w:r w:rsidRPr="00E7770B">
        <w:t xml:space="preserve"> fall below the benchmark compared to not</w:t>
      </w:r>
      <w:r w:rsidR="00617DD2">
        <w:noBreakHyphen/>
      </w:r>
      <w:r w:rsidRPr="00E7770B">
        <w:t>for</w:t>
      </w:r>
      <w:r w:rsidR="00617DD2">
        <w:noBreakHyphen/>
      </w:r>
      <w:r w:rsidRPr="00E7770B">
        <w:t>profit fund</w:t>
      </w:r>
      <w:r w:rsidR="004268DB">
        <w:t xml:space="preserve"> assets,</w:t>
      </w:r>
      <w:r w:rsidRPr="00E7770B">
        <w:t xml:space="preserve"> in all asset classes excluding listed infrastructure and private equity (table</w:t>
      </w:r>
      <w:r w:rsidR="00617DD2">
        <w:t> </w:t>
      </w:r>
      <w:r w:rsidR="0017408D">
        <w:t>1</w:t>
      </w:r>
      <w:r w:rsidRPr="00E7770B">
        <w:t>). However, a caveat is that some asset classes have a</w:t>
      </w:r>
      <w:r w:rsidR="009B11D9">
        <w:t xml:space="preserve"> </w:t>
      </w:r>
      <w:r w:rsidR="004268DB">
        <w:t>very</w:t>
      </w:r>
      <w:r w:rsidRPr="00E7770B">
        <w:t xml:space="preserve"> small number of retail funds </w:t>
      </w:r>
      <w:r w:rsidR="009B11D9">
        <w:t>than not</w:t>
      </w:r>
      <w:r w:rsidR="009B11D9">
        <w:noBreakHyphen/>
        <w:t>for</w:t>
      </w:r>
      <w:r w:rsidR="009B11D9">
        <w:noBreakHyphen/>
        <w:t xml:space="preserve">profit </w:t>
      </w:r>
      <w:r w:rsidR="00A178F7">
        <w:t xml:space="preserve">funds </w:t>
      </w:r>
      <w:r w:rsidRPr="00E7770B">
        <w:t>reporting their returns over the period 2011</w:t>
      </w:r>
      <w:r>
        <w:t xml:space="preserve"> to </w:t>
      </w:r>
      <w:r w:rsidRPr="00E7770B">
        <w:t>2017</w:t>
      </w:r>
      <w:r>
        <w:t>, and thus the data may not be fully representative of all retail funds in the system.</w:t>
      </w:r>
    </w:p>
    <w:p w:rsidR="006C0326" w:rsidRDefault="006C0326" w:rsidP="00B37F3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C0326" w:rsidTr="00B37F32">
        <w:trPr>
          <w:tblHeader/>
        </w:trPr>
        <w:tc>
          <w:tcPr>
            <w:tcW w:w="5000" w:type="pct"/>
            <w:tcBorders>
              <w:top w:val="single" w:sz="6" w:space="0" w:color="78A22F"/>
              <w:left w:val="nil"/>
              <w:bottom w:val="nil"/>
              <w:right w:val="nil"/>
            </w:tcBorders>
            <w:shd w:val="clear" w:color="auto" w:fill="auto"/>
          </w:tcPr>
          <w:p w:rsidR="006C0326" w:rsidRPr="00784A05" w:rsidRDefault="006C0326" w:rsidP="00A178F7">
            <w:pPr>
              <w:pStyle w:val="TableTitle"/>
            </w:pPr>
            <w:r>
              <w:rPr>
                <w:b w:val="0"/>
              </w:rPr>
              <w:t>Table</w:t>
            </w:r>
            <w:r w:rsidR="00866FEB">
              <w:rPr>
                <w:b w:val="0"/>
              </w:rPr>
              <w:t xml:space="preserve"> </w:t>
            </w:r>
            <w:r w:rsidR="001345FE">
              <w:rPr>
                <w:b w:val="0"/>
                <w:noProof/>
              </w:rPr>
              <w:t>1</w:t>
            </w:r>
            <w:r>
              <w:tab/>
            </w:r>
            <w:r w:rsidR="009208F0">
              <w:t>Distribution of returns by asset class, 2011–2017</w:t>
            </w:r>
          </w:p>
        </w:tc>
      </w:tr>
      <w:tr w:rsidR="006C0326" w:rsidTr="00B37F3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859"/>
              <w:gridCol w:w="3848"/>
              <w:gridCol w:w="1798"/>
            </w:tblGrid>
            <w:tr w:rsidR="00A178F7" w:rsidTr="00A178F7">
              <w:trPr>
                <w:tblHeader/>
              </w:trPr>
              <w:tc>
                <w:tcPr>
                  <w:tcW w:w="1681" w:type="pct"/>
                  <w:tcBorders>
                    <w:top w:val="single" w:sz="6" w:space="0" w:color="BFBFBF"/>
                  </w:tcBorders>
                  <w:shd w:val="clear" w:color="auto" w:fill="auto"/>
                  <w:tcMar>
                    <w:top w:w="28" w:type="dxa"/>
                  </w:tcMar>
                </w:tcPr>
                <w:p w:rsidR="00A178F7" w:rsidRDefault="00A178F7" w:rsidP="006C0326">
                  <w:pPr>
                    <w:pStyle w:val="TableColumnHeading"/>
                    <w:jc w:val="left"/>
                  </w:pPr>
                </w:p>
              </w:tc>
              <w:tc>
                <w:tcPr>
                  <w:tcW w:w="3319" w:type="pct"/>
                  <w:gridSpan w:val="2"/>
                  <w:tcBorders>
                    <w:top w:val="single" w:sz="6" w:space="0" w:color="BFBFBF"/>
                  </w:tcBorders>
                </w:tcPr>
                <w:p w:rsidR="00A178F7" w:rsidRDefault="00A178F7" w:rsidP="006C0326">
                  <w:pPr>
                    <w:pStyle w:val="TableColumnHeading"/>
                    <w:ind w:right="28"/>
                  </w:pPr>
                  <w:r>
                    <w:t>Per cent of assets below benchmark (within the segment)</w:t>
                  </w:r>
                </w:p>
              </w:tc>
            </w:tr>
            <w:tr w:rsidR="00A178F7" w:rsidTr="00A178F7">
              <w:trPr>
                <w:tblHeader/>
              </w:trPr>
              <w:tc>
                <w:tcPr>
                  <w:tcW w:w="1681" w:type="pct"/>
                  <w:tcBorders>
                    <w:bottom w:val="single" w:sz="6" w:space="0" w:color="BFBFBF"/>
                  </w:tcBorders>
                  <w:shd w:val="clear" w:color="auto" w:fill="auto"/>
                  <w:tcMar>
                    <w:top w:w="28" w:type="dxa"/>
                  </w:tcMar>
                </w:tcPr>
                <w:p w:rsidR="00A178F7" w:rsidRDefault="00A178F7" w:rsidP="006C0326">
                  <w:pPr>
                    <w:pStyle w:val="TableColumnHeading"/>
                    <w:jc w:val="left"/>
                  </w:pPr>
                  <w:r>
                    <w:t>Asset class</w:t>
                  </w:r>
                </w:p>
              </w:tc>
              <w:tc>
                <w:tcPr>
                  <w:tcW w:w="2262" w:type="pct"/>
                  <w:tcBorders>
                    <w:bottom w:val="single" w:sz="6" w:space="0" w:color="BFBFBF"/>
                  </w:tcBorders>
                </w:tcPr>
                <w:p w:rsidR="00A178F7" w:rsidRDefault="00A178F7" w:rsidP="006C0326">
                  <w:pPr>
                    <w:pStyle w:val="TableColumnHeading"/>
                    <w:ind w:right="28"/>
                  </w:pPr>
                  <w:r>
                    <w:t>Retail</w:t>
                  </w:r>
                </w:p>
              </w:tc>
              <w:tc>
                <w:tcPr>
                  <w:tcW w:w="1057" w:type="pct"/>
                  <w:tcBorders>
                    <w:bottom w:val="single" w:sz="6" w:space="0" w:color="BFBFBF"/>
                  </w:tcBorders>
                </w:tcPr>
                <w:p w:rsidR="00A178F7" w:rsidRDefault="00A178F7" w:rsidP="006C0326">
                  <w:pPr>
                    <w:pStyle w:val="TableColumnHeading"/>
                    <w:ind w:right="28"/>
                  </w:pPr>
                  <w:r>
                    <w:t>Not</w:t>
                  </w:r>
                  <w:r w:rsidR="00617DD2">
                    <w:noBreakHyphen/>
                  </w:r>
                  <w:r>
                    <w:t>for</w:t>
                  </w:r>
                  <w:r w:rsidR="00617DD2">
                    <w:noBreakHyphen/>
                  </w:r>
                  <w:r>
                    <w:t>profit</w:t>
                  </w:r>
                </w:p>
              </w:tc>
            </w:tr>
            <w:tr w:rsidR="00A178F7" w:rsidTr="00A178F7">
              <w:tc>
                <w:tcPr>
                  <w:tcW w:w="1681" w:type="pct"/>
                  <w:tcBorders>
                    <w:top w:val="single" w:sz="6" w:space="0" w:color="BFBFBF"/>
                  </w:tcBorders>
                </w:tcPr>
                <w:p w:rsidR="00A178F7" w:rsidRDefault="00A178F7" w:rsidP="006C0326">
                  <w:pPr>
                    <w:pStyle w:val="TableUnitsRow"/>
                    <w:jc w:val="left"/>
                  </w:pPr>
                  <w:r>
                    <w:t>Cash</w:t>
                  </w:r>
                </w:p>
              </w:tc>
              <w:tc>
                <w:tcPr>
                  <w:tcW w:w="2262" w:type="pct"/>
                  <w:tcBorders>
                    <w:top w:val="single" w:sz="6" w:space="0" w:color="BFBFBF"/>
                  </w:tcBorders>
                  <w:vAlign w:val="bottom"/>
                </w:tcPr>
                <w:p w:rsidR="00A178F7" w:rsidRDefault="00A178F7" w:rsidP="006C0326">
                  <w:pPr>
                    <w:pStyle w:val="TableUnitsRow"/>
                    <w:ind w:right="28"/>
                  </w:pPr>
                  <w:r>
                    <w:t>3</w:t>
                  </w:r>
                </w:p>
              </w:tc>
              <w:tc>
                <w:tcPr>
                  <w:tcW w:w="1057" w:type="pct"/>
                  <w:tcBorders>
                    <w:top w:val="single" w:sz="6" w:space="0" w:color="BFBFBF"/>
                  </w:tcBorders>
                  <w:vAlign w:val="bottom"/>
                </w:tcPr>
                <w:p w:rsidR="00A178F7" w:rsidRDefault="00A178F7" w:rsidP="006C0326">
                  <w:pPr>
                    <w:pStyle w:val="TableUnitsRow"/>
                    <w:ind w:right="28"/>
                  </w:pPr>
                  <w:r>
                    <w:t>3</w:t>
                  </w:r>
                </w:p>
              </w:tc>
            </w:tr>
            <w:tr w:rsidR="00A178F7" w:rsidTr="00A178F7">
              <w:tc>
                <w:tcPr>
                  <w:tcW w:w="1681" w:type="pct"/>
                  <w:shd w:val="pct5" w:color="auto" w:fill="auto"/>
                </w:tcPr>
                <w:p w:rsidR="00A178F7" w:rsidRDefault="00A178F7" w:rsidP="006C0326">
                  <w:pPr>
                    <w:pStyle w:val="TableBodyText"/>
                    <w:jc w:val="left"/>
                  </w:pPr>
                  <w:r>
                    <w:t>Australian listed equity</w:t>
                  </w:r>
                </w:p>
              </w:tc>
              <w:tc>
                <w:tcPr>
                  <w:tcW w:w="2262" w:type="pct"/>
                  <w:shd w:val="pct5" w:color="auto" w:fill="auto"/>
                  <w:vAlign w:val="bottom"/>
                </w:tcPr>
                <w:p w:rsidR="00A178F7" w:rsidRDefault="00A178F7" w:rsidP="006C0326">
                  <w:pPr>
                    <w:pStyle w:val="TableBodyText"/>
                    <w:ind w:right="28"/>
                  </w:pPr>
                  <w:r>
                    <w:t>45</w:t>
                  </w:r>
                </w:p>
              </w:tc>
              <w:tc>
                <w:tcPr>
                  <w:tcW w:w="1057" w:type="pct"/>
                  <w:shd w:val="pct5" w:color="auto" w:fill="auto"/>
                  <w:vAlign w:val="bottom"/>
                </w:tcPr>
                <w:p w:rsidR="00A178F7" w:rsidRDefault="00A178F7" w:rsidP="006C0326">
                  <w:pPr>
                    <w:pStyle w:val="TableBodyText"/>
                    <w:ind w:right="28"/>
                  </w:pPr>
                  <w:r>
                    <w:t>11</w:t>
                  </w:r>
                </w:p>
              </w:tc>
            </w:tr>
            <w:tr w:rsidR="00A178F7" w:rsidTr="00A178F7">
              <w:tc>
                <w:tcPr>
                  <w:tcW w:w="1681" w:type="pct"/>
                  <w:shd w:val="clear" w:color="auto" w:fill="auto"/>
                </w:tcPr>
                <w:p w:rsidR="00A178F7" w:rsidRDefault="00A178F7" w:rsidP="006C0326">
                  <w:pPr>
                    <w:pStyle w:val="TableBodyText"/>
                    <w:jc w:val="left"/>
                  </w:pPr>
                  <w:r>
                    <w:t>International listed equity</w:t>
                  </w:r>
                </w:p>
              </w:tc>
              <w:tc>
                <w:tcPr>
                  <w:tcW w:w="2262" w:type="pct"/>
                  <w:vAlign w:val="bottom"/>
                </w:tcPr>
                <w:p w:rsidR="00A178F7" w:rsidRDefault="00A178F7" w:rsidP="006C0326">
                  <w:pPr>
                    <w:pStyle w:val="TableBodyText"/>
                    <w:ind w:right="28"/>
                  </w:pPr>
                  <w:r>
                    <w:t>96</w:t>
                  </w:r>
                </w:p>
              </w:tc>
              <w:tc>
                <w:tcPr>
                  <w:tcW w:w="1057" w:type="pct"/>
                  <w:vAlign w:val="bottom"/>
                </w:tcPr>
                <w:p w:rsidR="00A178F7" w:rsidRDefault="00A178F7" w:rsidP="006C0326">
                  <w:pPr>
                    <w:pStyle w:val="TableBodyText"/>
                    <w:ind w:right="28"/>
                  </w:pPr>
                  <w:r>
                    <w:t>62</w:t>
                  </w:r>
                </w:p>
              </w:tc>
            </w:tr>
            <w:tr w:rsidR="00A178F7" w:rsidTr="00A178F7">
              <w:tc>
                <w:tcPr>
                  <w:tcW w:w="1681" w:type="pct"/>
                  <w:shd w:val="pct5" w:color="auto" w:fill="auto"/>
                </w:tcPr>
                <w:p w:rsidR="00A178F7" w:rsidRPr="00A178F7" w:rsidRDefault="00A178F7" w:rsidP="006C0326">
                  <w:pPr>
                    <w:pStyle w:val="TableBodyText"/>
                    <w:jc w:val="left"/>
                  </w:pPr>
                  <w:r w:rsidRPr="00A178F7">
                    <w:t>Australian fixed income</w:t>
                  </w:r>
                </w:p>
              </w:tc>
              <w:tc>
                <w:tcPr>
                  <w:tcW w:w="2262" w:type="pct"/>
                  <w:shd w:val="pct5" w:color="auto" w:fill="auto"/>
                  <w:vAlign w:val="bottom"/>
                </w:tcPr>
                <w:p w:rsidR="00A178F7" w:rsidRPr="00A178F7" w:rsidRDefault="00A178F7" w:rsidP="006C0326">
                  <w:pPr>
                    <w:pStyle w:val="TableBodyText"/>
                    <w:ind w:right="28"/>
                  </w:pPr>
                  <w:r w:rsidRPr="00A178F7">
                    <w:t>61</w:t>
                  </w:r>
                </w:p>
              </w:tc>
              <w:tc>
                <w:tcPr>
                  <w:tcW w:w="1057" w:type="pct"/>
                  <w:shd w:val="pct5" w:color="auto" w:fill="auto"/>
                  <w:vAlign w:val="bottom"/>
                </w:tcPr>
                <w:p w:rsidR="00A178F7" w:rsidRPr="00A178F7" w:rsidRDefault="00A178F7" w:rsidP="006C0326">
                  <w:pPr>
                    <w:pStyle w:val="TableBodyText"/>
                    <w:ind w:right="28"/>
                  </w:pPr>
                  <w:r w:rsidRPr="00A178F7">
                    <w:t>12</w:t>
                  </w:r>
                </w:p>
              </w:tc>
            </w:tr>
            <w:tr w:rsidR="00A178F7" w:rsidTr="00A178F7">
              <w:tc>
                <w:tcPr>
                  <w:tcW w:w="1681" w:type="pct"/>
                  <w:shd w:val="clear" w:color="auto" w:fill="auto"/>
                </w:tcPr>
                <w:p w:rsidR="00A178F7" w:rsidRPr="00A178F7" w:rsidRDefault="00A178F7" w:rsidP="006C0326">
                  <w:pPr>
                    <w:pStyle w:val="TableBodyText"/>
                    <w:jc w:val="left"/>
                  </w:pPr>
                  <w:r w:rsidRPr="00A178F7">
                    <w:t>International fixed income</w:t>
                  </w:r>
                </w:p>
              </w:tc>
              <w:tc>
                <w:tcPr>
                  <w:tcW w:w="2262" w:type="pct"/>
                  <w:vAlign w:val="bottom"/>
                </w:tcPr>
                <w:p w:rsidR="00A178F7" w:rsidRPr="00A178F7" w:rsidRDefault="00A178F7" w:rsidP="006C0326">
                  <w:pPr>
                    <w:pStyle w:val="TableBodyText"/>
                    <w:ind w:right="28"/>
                  </w:pPr>
                  <w:r w:rsidRPr="00A178F7">
                    <w:t>61</w:t>
                  </w:r>
                </w:p>
              </w:tc>
              <w:tc>
                <w:tcPr>
                  <w:tcW w:w="1057" w:type="pct"/>
                  <w:vAlign w:val="bottom"/>
                </w:tcPr>
                <w:p w:rsidR="00A178F7" w:rsidRPr="00A178F7" w:rsidRDefault="00A178F7" w:rsidP="006C0326">
                  <w:pPr>
                    <w:pStyle w:val="TableBodyText"/>
                    <w:ind w:right="28"/>
                  </w:pPr>
                  <w:r w:rsidRPr="00A178F7">
                    <w:t>11</w:t>
                  </w:r>
                </w:p>
              </w:tc>
            </w:tr>
            <w:tr w:rsidR="00A178F7" w:rsidTr="00A178F7">
              <w:tc>
                <w:tcPr>
                  <w:tcW w:w="1681" w:type="pct"/>
                  <w:shd w:val="pct5" w:color="auto" w:fill="auto"/>
                </w:tcPr>
                <w:p w:rsidR="00A178F7" w:rsidRPr="00A178F7" w:rsidRDefault="00A178F7" w:rsidP="006C0326">
                  <w:pPr>
                    <w:pStyle w:val="TableBodyText"/>
                    <w:jc w:val="left"/>
                  </w:pPr>
                  <w:r w:rsidRPr="00A178F7">
                    <w:t>Listed infrastructure</w:t>
                  </w:r>
                </w:p>
              </w:tc>
              <w:tc>
                <w:tcPr>
                  <w:tcW w:w="2262" w:type="pct"/>
                  <w:shd w:val="pct5" w:color="auto" w:fill="auto"/>
                  <w:vAlign w:val="bottom"/>
                </w:tcPr>
                <w:p w:rsidR="00A178F7" w:rsidRPr="00A178F7" w:rsidRDefault="00A178F7" w:rsidP="006C0326">
                  <w:pPr>
                    <w:pStyle w:val="TableBodyText"/>
                    <w:ind w:right="28"/>
                  </w:pPr>
                  <w:r w:rsidRPr="00A178F7">
                    <w:t>10</w:t>
                  </w:r>
                </w:p>
              </w:tc>
              <w:tc>
                <w:tcPr>
                  <w:tcW w:w="1057" w:type="pct"/>
                  <w:shd w:val="pct5" w:color="auto" w:fill="auto"/>
                  <w:vAlign w:val="bottom"/>
                </w:tcPr>
                <w:p w:rsidR="00A178F7" w:rsidRPr="00A178F7" w:rsidRDefault="00A178F7" w:rsidP="006C0326">
                  <w:pPr>
                    <w:pStyle w:val="TableBodyText"/>
                    <w:ind w:right="28"/>
                  </w:pPr>
                  <w:r w:rsidRPr="00A178F7">
                    <w:t>50</w:t>
                  </w:r>
                </w:p>
              </w:tc>
            </w:tr>
            <w:tr w:rsidR="00A178F7" w:rsidTr="00A178F7">
              <w:tc>
                <w:tcPr>
                  <w:tcW w:w="1681" w:type="pct"/>
                  <w:shd w:val="clear" w:color="auto" w:fill="auto"/>
                </w:tcPr>
                <w:p w:rsidR="00A178F7" w:rsidRPr="00A178F7" w:rsidRDefault="00A178F7" w:rsidP="006C0326">
                  <w:pPr>
                    <w:pStyle w:val="TableBodyText"/>
                    <w:jc w:val="left"/>
                  </w:pPr>
                  <w:r w:rsidRPr="00A178F7">
                    <w:t>Unlisted infrastructure</w:t>
                  </w:r>
                </w:p>
              </w:tc>
              <w:tc>
                <w:tcPr>
                  <w:tcW w:w="2262" w:type="pct"/>
                  <w:vAlign w:val="bottom"/>
                </w:tcPr>
                <w:p w:rsidR="00A178F7" w:rsidRPr="00A178F7" w:rsidRDefault="00A178F7" w:rsidP="006C0326">
                  <w:pPr>
                    <w:pStyle w:val="TableBodyText"/>
                    <w:ind w:right="28"/>
                  </w:pPr>
                  <w:r w:rsidRPr="00A178F7">
                    <w:t>100</w:t>
                  </w:r>
                </w:p>
              </w:tc>
              <w:tc>
                <w:tcPr>
                  <w:tcW w:w="1057" w:type="pct"/>
                  <w:vAlign w:val="bottom"/>
                </w:tcPr>
                <w:p w:rsidR="00A178F7" w:rsidRPr="00A178F7" w:rsidRDefault="00A178F7" w:rsidP="006C0326">
                  <w:pPr>
                    <w:pStyle w:val="TableBodyText"/>
                    <w:ind w:right="28"/>
                  </w:pPr>
                  <w:r w:rsidRPr="00A178F7">
                    <w:t>77</w:t>
                  </w:r>
                </w:p>
              </w:tc>
            </w:tr>
            <w:tr w:rsidR="00A178F7" w:rsidTr="00A178F7">
              <w:tc>
                <w:tcPr>
                  <w:tcW w:w="1681" w:type="pct"/>
                  <w:shd w:val="pct5" w:color="auto" w:fill="auto"/>
                </w:tcPr>
                <w:p w:rsidR="00A178F7" w:rsidRPr="00A178F7" w:rsidRDefault="00A178F7" w:rsidP="006C0326">
                  <w:pPr>
                    <w:pStyle w:val="TableBodyText"/>
                    <w:jc w:val="left"/>
                  </w:pPr>
                  <w:r w:rsidRPr="00A178F7">
                    <w:t>Private equity</w:t>
                  </w:r>
                </w:p>
              </w:tc>
              <w:tc>
                <w:tcPr>
                  <w:tcW w:w="2262" w:type="pct"/>
                  <w:shd w:val="pct5" w:color="auto" w:fill="auto"/>
                  <w:vAlign w:val="bottom"/>
                </w:tcPr>
                <w:p w:rsidR="00A178F7" w:rsidRPr="00A178F7" w:rsidRDefault="00A178F7" w:rsidP="006C0326">
                  <w:pPr>
                    <w:pStyle w:val="TableBodyText"/>
                    <w:ind w:right="28"/>
                  </w:pPr>
                  <w:r w:rsidRPr="00A178F7">
                    <w:t>1</w:t>
                  </w:r>
                </w:p>
              </w:tc>
              <w:tc>
                <w:tcPr>
                  <w:tcW w:w="1057" w:type="pct"/>
                  <w:shd w:val="pct5" w:color="auto" w:fill="auto"/>
                  <w:vAlign w:val="bottom"/>
                </w:tcPr>
                <w:p w:rsidR="00A178F7" w:rsidRPr="00A178F7" w:rsidRDefault="00A178F7" w:rsidP="006C0326">
                  <w:pPr>
                    <w:pStyle w:val="TableBodyText"/>
                    <w:ind w:right="28"/>
                  </w:pPr>
                  <w:r w:rsidRPr="00A178F7">
                    <w:t>25</w:t>
                  </w:r>
                </w:p>
              </w:tc>
            </w:tr>
            <w:tr w:rsidR="00A178F7" w:rsidTr="00A178F7">
              <w:tc>
                <w:tcPr>
                  <w:tcW w:w="1681" w:type="pct"/>
                  <w:shd w:val="clear" w:color="auto" w:fill="auto"/>
                </w:tcPr>
                <w:p w:rsidR="00A178F7" w:rsidRPr="00A178F7" w:rsidRDefault="00A178F7" w:rsidP="006C0326">
                  <w:pPr>
                    <w:pStyle w:val="TableBodyText"/>
                    <w:jc w:val="left"/>
                  </w:pPr>
                  <w:r w:rsidRPr="00A178F7">
                    <w:t>Listed property</w:t>
                  </w:r>
                </w:p>
              </w:tc>
              <w:tc>
                <w:tcPr>
                  <w:tcW w:w="2262" w:type="pct"/>
                  <w:vAlign w:val="bottom"/>
                </w:tcPr>
                <w:p w:rsidR="00A178F7" w:rsidRPr="00A178F7" w:rsidRDefault="00A178F7" w:rsidP="006C0326">
                  <w:pPr>
                    <w:pStyle w:val="TableBodyText"/>
                    <w:ind w:right="28"/>
                  </w:pPr>
                  <w:r w:rsidRPr="00A178F7">
                    <w:t>100</w:t>
                  </w:r>
                </w:p>
              </w:tc>
              <w:tc>
                <w:tcPr>
                  <w:tcW w:w="1057" w:type="pct"/>
                  <w:vAlign w:val="bottom"/>
                </w:tcPr>
                <w:p w:rsidR="00A178F7" w:rsidRPr="00A178F7" w:rsidRDefault="00A178F7" w:rsidP="006C0326">
                  <w:pPr>
                    <w:pStyle w:val="TableBodyText"/>
                    <w:ind w:right="28"/>
                  </w:pPr>
                  <w:r w:rsidRPr="00A178F7">
                    <w:t>28</w:t>
                  </w:r>
                </w:p>
              </w:tc>
            </w:tr>
            <w:tr w:rsidR="00A178F7" w:rsidTr="00A178F7">
              <w:tc>
                <w:tcPr>
                  <w:tcW w:w="1681" w:type="pct"/>
                  <w:tcBorders>
                    <w:bottom w:val="single" w:sz="6" w:space="0" w:color="BFBFBF"/>
                  </w:tcBorders>
                  <w:shd w:val="pct5" w:color="auto" w:fill="auto"/>
                </w:tcPr>
                <w:p w:rsidR="00A178F7" w:rsidRPr="00A178F7" w:rsidRDefault="00A178F7" w:rsidP="00A178F7">
                  <w:pPr>
                    <w:pStyle w:val="TableBodyText"/>
                    <w:jc w:val="left"/>
                  </w:pPr>
                  <w:r w:rsidRPr="00A178F7">
                    <w:t>Unlisted property</w:t>
                  </w:r>
                </w:p>
              </w:tc>
              <w:tc>
                <w:tcPr>
                  <w:tcW w:w="2262" w:type="pct"/>
                  <w:tcBorders>
                    <w:bottom w:val="single" w:sz="6" w:space="0" w:color="BFBFBF"/>
                  </w:tcBorders>
                  <w:shd w:val="pct5" w:color="auto" w:fill="auto"/>
                </w:tcPr>
                <w:p w:rsidR="00A178F7" w:rsidRPr="00A178F7" w:rsidRDefault="00A178F7" w:rsidP="00A178F7">
                  <w:pPr>
                    <w:pStyle w:val="TableBodyText"/>
                    <w:ind w:right="28"/>
                  </w:pPr>
                  <w:r w:rsidRPr="00A178F7">
                    <w:t>100</w:t>
                  </w:r>
                </w:p>
              </w:tc>
              <w:tc>
                <w:tcPr>
                  <w:tcW w:w="1057" w:type="pct"/>
                  <w:tcBorders>
                    <w:bottom w:val="single" w:sz="6" w:space="0" w:color="BFBFBF"/>
                  </w:tcBorders>
                  <w:shd w:val="pct5" w:color="auto" w:fill="auto"/>
                </w:tcPr>
                <w:p w:rsidR="00A178F7" w:rsidRPr="00A178F7" w:rsidRDefault="00A178F7" w:rsidP="00A178F7">
                  <w:pPr>
                    <w:pStyle w:val="TableBodyText"/>
                    <w:ind w:right="28"/>
                  </w:pPr>
                  <w:r w:rsidRPr="00A178F7">
                    <w:t>50</w:t>
                  </w:r>
                </w:p>
              </w:tc>
            </w:tr>
          </w:tbl>
          <w:p w:rsidR="006C0326" w:rsidRDefault="006C0326" w:rsidP="00B37F32">
            <w:pPr>
              <w:pStyle w:val="Box"/>
            </w:pPr>
          </w:p>
        </w:tc>
      </w:tr>
      <w:tr w:rsidR="006C0326" w:rsidTr="00B37F32">
        <w:tc>
          <w:tcPr>
            <w:tcW w:w="5000" w:type="pct"/>
            <w:tcBorders>
              <w:top w:val="nil"/>
              <w:left w:val="nil"/>
              <w:bottom w:val="nil"/>
              <w:right w:val="nil"/>
            </w:tcBorders>
            <w:shd w:val="clear" w:color="auto" w:fill="auto"/>
          </w:tcPr>
          <w:p w:rsidR="006C0326" w:rsidRDefault="006C0326" w:rsidP="006C0AEE">
            <w:pPr>
              <w:pStyle w:val="Note"/>
              <w:rPr>
                <w:i/>
              </w:rPr>
            </w:pPr>
            <w:r w:rsidRPr="008E77FE">
              <w:rPr>
                <w:rStyle w:val="NoteLabel"/>
              </w:rPr>
              <w:t>a</w:t>
            </w:r>
            <w:r>
              <w:t xml:space="preserve"> </w:t>
            </w:r>
            <w:r w:rsidR="009208F0">
              <w:rPr>
                <w:rFonts w:eastAsia="+mn-ea" w:cs="Arial"/>
                <w:color w:val="000000" w:themeColor="text1"/>
                <w:kern w:val="24"/>
                <w:szCs w:val="18"/>
              </w:rPr>
              <w:t>In 2017, the funds in this table represent up to 66</w:t>
            </w:r>
            <w:r w:rsidR="006C0AEE">
              <w:rPr>
                <w:rFonts w:eastAsia="+mn-ea" w:cs="Arial"/>
                <w:color w:val="000000" w:themeColor="text1"/>
                <w:kern w:val="24"/>
                <w:szCs w:val="18"/>
              </w:rPr>
              <w:t>%</w:t>
            </w:r>
            <w:r w:rsidR="009208F0">
              <w:rPr>
                <w:rFonts w:eastAsia="+mn-ea" w:cs="Arial"/>
                <w:color w:val="000000" w:themeColor="text1"/>
                <w:kern w:val="24"/>
                <w:szCs w:val="18"/>
              </w:rPr>
              <w:t xml:space="preserve"> of total assets and 62</w:t>
            </w:r>
            <w:r w:rsidR="006C0AEE">
              <w:rPr>
                <w:rFonts w:eastAsia="+mn-ea" w:cs="Arial"/>
                <w:color w:val="000000" w:themeColor="text1"/>
                <w:kern w:val="24"/>
                <w:szCs w:val="18"/>
              </w:rPr>
              <w:t>%</w:t>
            </w:r>
            <w:r w:rsidR="009208F0">
              <w:rPr>
                <w:rFonts w:eastAsia="+mn-ea" w:cs="Arial"/>
                <w:color w:val="000000" w:themeColor="text1"/>
                <w:kern w:val="24"/>
                <w:szCs w:val="18"/>
              </w:rPr>
              <w:t xml:space="preserve"> of member accounts of APRA</w:t>
            </w:r>
            <w:r w:rsidR="00617DD2">
              <w:rPr>
                <w:rFonts w:eastAsia="+mn-ea" w:cs="Arial"/>
                <w:color w:val="000000" w:themeColor="text1"/>
                <w:kern w:val="24"/>
                <w:szCs w:val="18"/>
              </w:rPr>
              <w:noBreakHyphen/>
            </w:r>
            <w:r w:rsidR="009208F0">
              <w:rPr>
                <w:rFonts w:eastAsia="+mn-ea" w:cs="Arial"/>
                <w:color w:val="000000" w:themeColor="text1"/>
                <w:kern w:val="24"/>
                <w:szCs w:val="18"/>
              </w:rPr>
              <w:t>regulated funds. The asset</w:t>
            </w:r>
            <w:r w:rsidR="009208F0">
              <w:rPr>
                <w:rFonts w:eastAsia="+mn-ea" w:cs="Arial"/>
                <w:color w:val="000000" w:themeColor="text1"/>
                <w:kern w:val="24"/>
                <w:szCs w:val="18"/>
              </w:rPr>
              <w:noBreakHyphen/>
              <w:t xml:space="preserve">class benchmarks are as per BP2. </w:t>
            </w:r>
            <w:r w:rsidR="009208F0" w:rsidRPr="00570DA6">
              <w:t>Observations where funds did not split fixed interest into Australian and international categories have</w:t>
            </w:r>
            <w:r w:rsidR="009208F0">
              <w:t xml:space="preserve"> been excluded.</w:t>
            </w:r>
            <w:r w:rsidR="00657E8C">
              <w:t xml:space="preserve"> The total survey coverage indicates the number of retail and not</w:t>
            </w:r>
            <w:r w:rsidR="00617DD2">
              <w:noBreakHyphen/>
            </w:r>
            <w:r w:rsidR="00657E8C">
              <w:t>for</w:t>
            </w:r>
            <w:r w:rsidR="00617DD2">
              <w:noBreakHyphen/>
            </w:r>
            <w:r w:rsidR="00657E8C">
              <w:t xml:space="preserve">profit funds providing </w:t>
            </w:r>
            <w:r w:rsidR="00332BFF">
              <w:t>usable</w:t>
            </w:r>
            <w:r w:rsidR="00657E8C">
              <w:t xml:space="preserve"> data on returns by asset class, but not all of these funds are represented in </w:t>
            </w:r>
            <w:r w:rsidR="00703A70">
              <w:t xml:space="preserve">this table. Only funds </w:t>
            </w:r>
            <w:r w:rsidR="00332BFF">
              <w:t>that</w:t>
            </w:r>
            <w:r w:rsidR="00703A70">
              <w:t xml:space="preserve"> provided returns data for all years between 2011 </w:t>
            </w:r>
            <w:r w:rsidR="00332BFF">
              <w:t>and</w:t>
            </w:r>
            <w:r w:rsidR="00703A70">
              <w:t xml:space="preserve"> 2017 for an asset class are included in this analysis.</w:t>
            </w:r>
          </w:p>
        </w:tc>
      </w:tr>
      <w:tr w:rsidR="006C0326" w:rsidTr="00B37F32">
        <w:tc>
          <w:tcPr>
            <w:tcW w:w="5000" w:type="pct"/>
            <w:tcBorders>
              <w:top w:val="nil"/>
              <w:left w:val="nil"/>
              <w:bottom w:val="nil"/>
              <w:right w:val="nil"/>
            </w:tcBorders>
            <w:shd w:val="clear" w:color="auto" w:fill="auto"/>
          </w:tcPr>
          <w:p w:rsidR="006C0326" w:rsidRDefault="009208F0" w:rsidP="004268DB">
            <w:pPr>
              <w:pStyle w:val="Source"/>
            </w:pPr>
            <w:r>
              <w:rPr>
                <w:i/>
              </w:rPr>
              <w:t>Sources</w:t>
            </w:r>
            <w:r w:rsidRPr="00167F06">
              <w:t xml:space="preserve">: </w:t>
            </w:r>
            <w:r w:rsidR="00B42E05">
              <w:rPr>
                <w:rFonts w:eastAsia="+mn-ea" w:cs="Arial"/>
                <w:color w:val="000000" w:themeColor="text1"/>
                <w:kern w:val="24"/>
                <w:szCs w:val="18"/>
              </w:rPr>
              <w:t>Supplementary f</w:t>
            </w:r>
            <w:r>
              <w:rPr>
                <w:rFonts w:eastAsia="+mn-ea" w:cs="Arial"/>
                <w:color w:val="000000" w:themeColor="text1"/>
                <w:kern w:val="24"/>
                <w:szCs w:val="18"/>
              </w:rPr>
              <w:t>unds survey and financial market index data (various providers).</w:t>
            </w:r>
          </w:p>
        </w:tc>
      </w:tr>
      <w:tr w:rsidR="006C0326" w:rsidTr="00B37F32">
        <w:tc>
          <w:tcPr>
            <w:tcW w:w="5000" w:type="pct"/>
            <w:tcBorders>
              <w:top w:val="nil"/>
              <w:left w:val="nil"/>
              <w:bottom w:val="single" w:sz="6" w:space="0" w:color="78A22F"/>
              <w:right w:val="nil"/>
            </w:tcBorders>
            <w:shd w:val="clear" w:color="auto" w:fill="auto"/>
          </w:tcPr>
          <w:p w:rsidR="006C0326" w:rsidRDefault="006C0326" w:rsidP="00B37F32">
            <w:pPr>
              <w:pStyle w:val="Box"/>
              <w:spacing w:before="0" w:line="120" w:lineRule="exact"/>
            </w:pPr>
          </w:p>
        </w:tc>
      </w:tr>
      <w:tr w:rsidR="006C0326" w:rsidRPr="000863A5" w:rsidTr="00B37F32">
        <w:tc>
          <w:tcPr>
            <w:tcW w:w="5000" w:type="pct"/>
            <w:tcBorders>
              <w:top w:val="single" w:sz="6" w:space="0" w:color="78A22F"/>
              <w:left w:val="nil"/>
              <w:bottom w:val="nil"/>
              <w:right w:val="nil"/>
            </w:tcBorders>
          </w:tcPr>
          <w:p w:rsidR="006C0326" w:rsidRPr="00626D32" w:rsidRDefault="006C0326" w:rsidP="00B37F32">
            <w:pPr>
              <w:pStyle w:val="BoxSpaceBelow"/>
            </w:pPr>
          </w:p>
        </w:tc>
      </w:tr>
    </w:tbl>
    <w:p w:rsidR="000071EE" w:rsidRDefault="000071EE" w:rsidP="000071EE">
      <w:pPr>
        <w:pStyle w:val="Heading3"/>
      </w:pPr>
      <w:bookmarkStart w:id="13" w:name="_Toc528158041"/>
      <w:bookmarkStart w:id="14" w:name="_Toc528229663"/>
      <w:bookmarkStart w:id="15" w:name="_Toc528298313"/>
      <w:r>
        <w:t>Asset</w:t>
      </w:r>
      <w:r w:rsidR="00617DD2">
        <w:noBreakHyphen/>
      </w:r>
      <w:r>
        <w:t xml:space="preserve">class </w:t>
      </w:r>
      <w:r w:rsidR="00840E89">
        <w:t xml:space="preserve">returns </w:t>
      </w:r>
      <w:r>
        <w:t>benchmarking to other countries</w:t>
      </w:r>
      <w:bookmarkEnd w:id="13"/>
      <w:bookmarkEnd w:id="14"/>
      <w:bookmarkEnd w:id="15"/>
    </w:p>
    <w:p w:rsidR="00342C44" w:rsidRPr="00342C44" w:rsidRDefault="00342C44" w:rsidP="008D7683">
      <w:pPr>
        <w:pStyle w:val="BodyText"/>
        <w:rPr>
          <w:i/>
        </w:rPr>
      </w:pPr>
      <w:r w:rsidRPr="00342C44">
        <w:rPr>
          <w:i/>
        </w:rPr>
        <w:t>Does</w:t>
      </w:r>
      <w:r w:rsidR="000D7C62" w:rsidRPr="00342C44">
        <w:rPr>
          <w:i/>
        </w:rPr>
        <w:t xml:space="preserve"> the Aust</w:t>
      </w:r>
      <w:r>
        <w:rPr>
          <w:i/>
        </w:rPr>
        <w:t xml:space="preserve">ralian superannuation system </w:t>
      </w:r>
      <w:r w:rsidR="008B1F28">
        <w:rPr>
          <w:i/>
        </w:rPr>
        <w:t>deliver higher</w:t>
      </w:r>
      <w:r>
        <w:rPr>
          <w:i/>
        </w:rPr>
        <w:t xml:space="preserve"> </w:t>
      </w:r>
      <w:r w:rsidR="000D7C62" w:rsidRPr="00342C44">
        <w:rPr>
          <w:i/>
        </w:rPr>
        <w:t xml:space="preserve">returns to </w:t>
      </w:r>
      <w:r w:rsidR="008B1F28">
        <w:rPr>
          <w:i/>
        </w:rPr>
        <w:t xml:space="preserve">individual </w:t>
      </w:r>
      <w:r w:rsidR="000D7C62" w:rsidRPr="00342C44">
        <w:rPr>
          <w:i/>
        </w:rPr>
        <w:t xml:space="preserve">asset classes </w:t>
      </w:r>
      <w:r w:rsidR="008B1F28">
        <w:rPr>
          <w:i/>
        </w:rPr>
        <w:t>compared to pension funds in</w:t>
      </w:r>
      <w:r>
        <w:rPr>
          <w:i/>
        </w:rPr>
        <w:t xml:space="preserve"> other countries?</w:t>
      </w:r>
    </w:p>
    <w:p w:rsidR="00323A89" w:rsidRDefault="00323A89" w:rsidP="008D7683">
      <w:pPr>
        <w:pStyle w:val="BodyText"/>
      </w:pPr>
      <w:r>
        <w:t xml:space="preserve">International comparisons using </w:t>
      </w:r>
      <w:r w:rsidR="00222A6A">
        <w:t xml:space="preserve">overall </w:t>
      </w:r>
      <w:r>
        <w:t>net returns are fraught due to differences in asset allocation</w:t>
      </w:r>
      <w:r w:rsidR="00222A6A">
        <w:t>, regulatory requirements</w:t>
      </w:r>
      <w:r>
        <w:t xml:space="preserve"> and tax </w:t>
      </w:r>
      <w:r w:rsidR="008529C6">
        <w:t xml:space="preserve">systems </w:t>
      </w:r>
      <w:r>
        <w:t xml:space="preserve">between countries. However, </w:t>
      </w:r>
      <w:r w:rsidR="00E0040E">
        <w:t>it is possible to abstract from these differences by comparing returns at an asset</w:t>
      </w:r>
      <w:r w:rsidR="008106A7">
        <w:noBreakHyphen/>
      </w:r>
      <w:r w:rsidR="00E0040E">
        <w:t>class level (gross of tax but net of investment fees).</w:t>
      </w:r>
      <w:r w:rsidR="00691D1F">
        <w:t xml:space="preserve"> The Commission identified this approach in its </w:t>
      </w:r>
      <w:r w:rsidR="00D11D2F">
        <w:t>s</w:t>
      </w:r>
      <w:r w:rsidR="00691D1F">
        <w:t xml:space="preserve">tage 1 </w:t>
      </w:r>
      <w:r w:rsidR="00332BFF">
        <w:t>s</w:t>
      </w:r>
      <w:r w:rsidR="00691D1F">
        <w:t xml:space="preserve">tudy </w:t>
      </w:r>
      <w:r w:rsidR="00D11D2F">
        <w:t>on</w:t>
      </w:r>
      <w:r w:rsidR="00740616" w:rsidRPr="00740616">
        <w:t xml:space="preserve"> How to Assess Competitiveness and Efficiency</w:t>
      </w:r>
      <w:r w:rsidR="00D11D2F">
        <w:t xml:space="preserve"> </w:t>
      </w:r>
      <w:r w:rsidR="00D11D2F" w:rsidRPr="00D11D2F">
        <w:rPr>
          <w:szCs w:val="24"/>
        </w:rPr>
        <w:t>(PC 2016)</w:t>
      </w:r>
      <w:r w:rsidR="00D11D2F">
        <w:t>,</w:t>
      </w:r>
      <w:r w:rsidR="0086169B">
        <w:t xml:space="preserve"> </w:t>
      </w:r>
      <w:r w:rsidR="00691D1F">
        <w:t>and has only now been able to fulsomely undertake and present the analysis following the ‘second chance’ supplementary survey of funds.</w:t>
      </w:r>
    </w:p>
    <w:p w:rsidR="008B1F28" w:rsidRDefault="008B1F28" w:rsidP="008D7683">
      <w:pPr>
        <w:pStyle w:val="BodyText"/>
      </w:pPr>
      <w:r>
        <w:t>The Commission has</w:t>
      </w:r>
      <w:r w:rsidR="00A76EF5">
        <w:t xml:space="preserve"> compar</w:t>
      </w:r>
      <w:r>
        <w:t>ed</w:t>
      </w:r>
      <w:r w:rsidR="00A76EF5">
        <w:t xml:space="preserve"> </w:t>
      </w:r>
      <w:r w:rsidR="002D1E86">
        <w:t xml:space="preserve">the reported </w:t>
      </w:r>
      <w:r w:rsidR="00A76EF5">
        <w:t>asset</w:t>
      </w:r>
      <w:r>
        <w:noBreakHyphen/>
      </w:r>
      <w:r w:rsidR="00A76EF5">
        <w:t xml:space="preserve">class returns </w:t>
      </w:r>
      <w:r w:rsidR="002D1E86">
        <w:t xml:space="preserve">of </w:t>
      </w:r>
      <w:r w:rsidR="00A76EF5">
        <w:t xml:space="preserve">Australian </w:t>
      </w:r>
      <w:r w:rsidR="002D1E86">
        <w:t xml:space="preserve">superannuation </w:t>
      </w:r>
      <w:r w:rsidR="00A76EF5">
        <w:t xml:space="preserve">funds </w:t>
      </w:r>
      <w:r>
        <w:t xml:space="preserve">over the period </w:t>
      </w:r>
      <w:r w:rsidR="00685AE5">
        <w:t>2008–2017</w:t>
      </w:r>
      <w:r>
        <w:t xml:space="preserve"> to th</w:t>
      </w:r>
      <w:r w:rsidR="00DE3069">
        <w:t>ose</w:t>
      </w:r>
      <w:r w:rsidR="002D1E86">
        <w:t xml:space="preserve"> </w:t>
      </w:r>
      <w:r>
        <w:t>of</w:t>
      </w:r>
      <w:r w:rsidR="002D1E86">
        <w:t xml:space="preserve"> international </w:t>
      </w:r>
      <w:r w:rsidR="00A76EF5">
        <w:t xml:space="preserve">pension funds </w:t>
      </w:r>
      <w:r>
        <w:t xml:space="preserve">over the period </w:t>
      </w:r>
      <w:r>
        <w:lastRenderedPageBreak/>
        <w:t>2007–2016 (gross of tax but net of all investment fees).</w:t>
      </w:r>
      <w:r w:rsidR="00EA75EB">
        <w:rPr>
          <w:rStyle w:val="FootnoteReference"/>
        </w:rPr>
        <w:footnoteReference w:id="2"/>
      </w:r>
      <w:r>
        <w:t xml:space="preserve"> The international data</w:t>
      </w:r>
      <w:r w:rsidR="0086169B">
        <w:t xml:space="preserve"> </w:t>
      </w:r>
      <w:r w:rsidR="00DE3069">
        <w:t xml:space="preserve">were </w:t>
      </w:r>
      <w:r>
        <w:t>purchased from CEM Benchmarking and published in technical supplement 4 to the draft report.</w:t>
      </w:r>
      <w:r w:rsidR="00AE214E">
        <w:t xml:space="preserve"> The analysis in this paper updates the preliminary results in the draft report, which were based on the initial funds survey (with much lower coverage).</w:t>
      </w:r>
    </w:p>
    <w:p w:rsidR="00580AC2" w:rsidRDefault="00AE214E" w:rsidP="008D7683">
      <w:pPr>
        <w:pStyle w:val="BodyText"/>
      </w:pPr>
      <w:r>
        <w:t>The</w:t>
      </w:r>
      <w:r w:rsidR="008B1F28">
        <w:t xml:space="preserve"> comparison</w:t>
      </w:r>
      <w:r w:rsidR="00135431">
        <w:t xml:space="preserve"> </w:t>
      </w:r>
      <w:r w:rsidR="00A76EF5">
        <w:t>suggests that Australian funds perform</w:t>
      </w:r>
      <w:r w:rsidR="002D1E86">
        <w:t>ed</w:t>
      </w:r>
      <w:r w:rsidR="00A76EF5">
        <w:t xml:space="preserve"> </w:t>
      </w:r>
      <w:r w:rsidR="008B1F28">
        <w:t>better</w:t>
      </w:r>
      <w:r w:rsidR="009B240F">
        <w:t>, on average,</w:t>
      </w:r>
      <w:r w:rsidR="0019569F">
        <w:t xml:space="preserve"> than their international peers</w:t>
      </w:r>
      <w:r w:rsidR="008B1F28">
        <w:t xml:space="preserve"> </w:t>
      </w:r>
      <w:r w:rsidR="00A76EF5">
        <w:t>in cash, fixed income (domestic and international), unlisted infrastructure and unlisted property</w:t>
      </w:r>
      <w:r w:rsidR="003B7134">
        <w:t xml:space="preserve"> (figure</w:t>
      </w:r>
      <w:r w:rsidR="00617DD2">
        <w:t> </w:t>
      </w:r>
      <w:r w:rsidR="00143D51">
        <w:t>5</w:t>
      </w:r>
      <w:r w:rsidR="003B7134">
        <w:t>)</w:t>
      </w:r>
      <w:r w:rsidR="00A76EF5">
        <w:t xml:space="preserve">. </w:t>
      </w:r>
      <w:r w:rsidR="002D1E86">
        <w:t>T</w:t>
      </w:r>
      <w:r w:rsidR="00A76EF5">
        <w:t xml:space="preserve">he reverse is true for </w:t>
      </w:r>
      <w:r w:rsidR="002D1E86">
        <w:t xml:space="preserve">domestic </w:t>
      </w:r>
      <w:r w:rsidR="00A76EF5">
        <w:t>listed equity (</w:t>
      </w:r>
      <w:r w:rsidR="00231838">
        <w:t>though this comparison is complicated by each country’s domestic equity market being driven by local economic conditions</w:t>
      </w:r>
      <w:r w:rsidR="00A76EF5">
        <w:t xml:space="preserve">), private equity and listed property. </w:t>
      </w:r>
      <w:r w:rsidR="00611B2E">
        <w:t>While Australia outperform</w:t>
      </w:r>
      <w:r w:rsidR="002D1E86">
        <w:t>ed</w:t>
      </w:r>
      <w:r w:rsidR="00611B2E">
        <w:t xml:space="preserve"> </w:t>
      </w:r>
      <w:r w:rsidR="002D1E86">
        <w:t>international funds</w:t>
      </w:r>
      <w:r w:rsidR="009B240F">
        <w:t xml:space="preserve"> on average</w:t>
      </w:r>
      <w:r w:rsidR="00611B2E">
        <w:t xml:space="preserve"> in unlisted infrastructure, it </w:t>
      </w:r>
      <w:r w:rsidR="002D1E86">
        <w:t xml:space="preserve">was </w:t>
      </w:r>
      <w:r w:rsidR="00611B2E">
        <w:t xml:space="preserve">still below </w:t>
      </w:r>
      <w:r w:rsidR="002D1E86">
        <w:t xml:space="preserve">its </w:t>
      </w:r>
      <w:r w:rsidR="00611B2E">
        <w:t>benchmark.</w:t>
      </w:r>
    </w:p>
    <w:p w:rsidR="008D7683" w:rsidRDefault="008D7683" w:rsidP="008D768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2650E" w:rsidTr="00F8463F">
        <w:trPr>
          <w:tblHeader/>
        </w:trPr>
        <w:tc>
          <w:tcPr>
            <w:tcW w:w="5000" w:type="pct"/>
            <w:tcBorders>
              <w:top w:val="single" w:sz="6" w:space="0" w:color="78A22F"/>
              <w:left w:val="nil"/>
              <w:bottom w:val="nil"/>
              <w:right w:val="nil"/>
            </w:tcBorders>
            <w:shd w:val="clear" w:color="auto" w:fill="auto"/>
          </w:tcPr>
          <w:p w:rsidR="0072650E" w:rsidRPr="0072455F" w:rsidRDefault="0072650E" w:rsidP="0072650E">
            <w:pPr>
              <w:pStyle w:val="FigureTitle"/>
              <w:rPr>
                <w:rStyle w:val="NoteLabel"/>
              </w:rPr>
            </w:pPr>
            <w:r w:rsidRPr="00784A05">
              <w:rPr>
                <w:b w:val="0"/>
              </w:rPr>
              <w:t xml:space="preserve">Figure </w:t>
            </w:r>
            <w:bookmarkStart w:id="16" w:name="OLE_LINK60"/>
            <w:r w:rsidR="001345FE">
              <w:rPr>
                <w:b w:val="0"/>
                <w:noProof/>
              </w:rPr>
              <w:t>5</w:t>
            </w:r>
            <w:bookmarkEnd w:id="16"/>
            <w:r>
              <w:tab/>
            </w:r>
            <w:r w:rsidR="00D84673">
              <w:t>International comparison of asset class returns</w:t>
            </w:r>
            <w:r w:rsidR="00562E01">
              <w:rPr>
                <w:rStyle w:val="NoteLabel"/>
              </w:rPr>
              <w:t>a</w:t>
            </w:r>
          </w:p>
          <w:p w:rsidR="00562E01" w:rsidRPr="00562E01" w:rsidRDefault="00562E01" w:rsidP="00332BFF">
            <w:pPr>
              <w:pStyle w:val="Subtitle"/>
            </w:pPr>
            <w:r>
              <w:t>Ten year returns</w:t>
            </w:r>
            <w:r w:rsidRPr="0072455F">
              <w:rPr>
                <w:rStyle w:val="NoteLabel"/>
              </w:rPr>
              <w:t>a</w:t>
            </w:r>
          </w:p>
        </w:tc>
      </w:tr>
      <w:tr w:rsidR="0072650E" w:rsidTr="00F8463F">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564"/>
              <w:gridCol w:w="2313"/>
              <w:gridCol w:w="2314"/>
              <w:gridCol w:w="2314"/>
            </w:tblGrid>
            <w:tr w:rsidR="0072650E" w:rsidRPr="00B1465D" w:rsidTr="0072650E">
              <w:trPr>
                <w:tblHeader/>
                <w:jc w:val="center"/>
              </w:trPr>
              <w:tc>
                <w:tcPr>
                  <w:tcW w:w="5000" w:type="pct"/>
                  <w:gridSpan w:val="4"/>
                  <w:tcBorders>
                    <w:top w:val="nil"/>
                    <w:bottom w:val="nil"/>
                  </w:tcBorders>
                </w:tcPr>
                <w:p w:rsidR="0072650E" w:rsidRPr="00B1465D" w:rsidRDefault="0072650E" w:rsidP="00F8463F">
                  <w:pPr>
                    <w:pStyle w:val="Figure"/>
                    <w:spacing w:before="60" w:after="60"/>
                    <w:rPr>
                      <w:rFonts w:ascii="Arial" w:hAnsi="Arial" w:cs="Arial"/>
                      <w:sz w:val="18"/>
                      <w:szCs w:val="18"/>
                    </w:rPr>
                  </w:pPr>
                  <w:r>
                    <w:rPr>
                      <w:noProof/>
                    </w:rPr>
                    <w:drawing>
                      <wp:inline distT="0" distB="0" distL="0" distR="0" wp14:anchorId="5E7354CA" wp14:editId="0988AB2B">
                        <wp:extent cx="5581015" cy="3350260"/>
                        <wp:effectExtent l="0" t="0" r="0" b="0"/>
                        <wp:docPr id="26" name="Picture 26" descr="The asset class returns for Australian and international funds are shown in columns, along with the Australian asset class benchmark. Australian funds have returns similar to or better than international funds in all asset classes except domestic listed equity, private equity, and listed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m_2017.em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81015" cy="3350260"/>
                                </a:xfrm>
                                <a:prstGeom prst="rect">
                                  <a:avLst/>
                                </a:prstGeom>
                              </pic:spPr>
                            </pic:pic>
                          </a:graphicData>
                        </a:graphic>
                      </wp:inline>
                    </w:drawing>
                  </w:r>
                </w:p>
              </w:tc>
            </w:tr>
            <w:tr w:rsidR="0072650E" w:rsidTr="0072650E">
              <w:tblPrEx>
                <w:jc w:val="left"/>
                <w:tblBorders>
                  <w:top w:val="none" w:sz="0" w:space="0" w:color="auto"/>
                  <w:bottom w:val="none" w:sz="0" w:space="0" w:color="auto"/>
                </w:tblBorders>
                <w:tblCellMar>
                  <w:top w:w="0" w:type="dxa"/>
                  <w:left w:w="108" w:type="dxa"/>
                  <w:right w:w="108" w:type="dxa"/>
                </w:tblCellMar>
                <w:tblLook w:val="04A0" w:firstRow="1" w:lastRow="0" w:firstColumn="1" w:lastColumn="0" w:noHBand="0" w:noVBand="1"/>
              </w:tblPrEx>
              <w:trPr>
                <w:tblHeader/>
              </w:trPr>
              <w:tc>
                <w:tcPr>
                  <w:tcW w:w="918" w:type="pct"/>
                  <w:shd w:val="clear" w:color="auto" w:fill="F2F2F2" w:themeFill="background1" w:themeFillShade="F2"/>
                </w:tcPr>
                <w:p w:rsidR="0072650E" w:rsidRDefault="0072650E" w:rsidP="0072650E">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4082" w:type="pct"/>
                  <w:gridSpan w:val="3"/>
                  <w:shd w:val="clear" w:color="auto" w:fill="F2F2F2" w:themeFill="background1" w:themeFillShade="F2"/>
                </w:tcPr>
                <w:p w:rsidR="0072650E" w:rsidRDefault="00B42E05" w:rsidP="0072650E">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Supplementary</w:t>
                  </w:r>
                  <w:r w:rsidRPr="0089655D">
                    <w:rPr>
                      <w:rFonts w:ascii="Arial" w:eastAsia="+mn-ea" w:hAnsi="Arial" w:cs="Arial"/>
                      <w:color w:val="000000" w:themeColor="text1"/>
                      <w:kern w:val="24"/>
                      <w:sz w:val="18"/>
                      <w:szCs w:val="18"/>
                    </w:rPr>
                    <w:t xml:space="preserve"> </w:t>
                  </w:r>
                  <w:r>
                    <w:rPr>
                      <w:rFonts w:ascii="Arial" w:eastAsia="+mn-ea" w:hAnsi="Arial" w:cs="Arial"/>
                      <w:color w:val="000000" w:themeColor="text1"/>
                      <w:kern w:val="24"/>
                      <w:sz w:val="18"/>
                      <w:szCs w:val="18"/>
                    </w:rPr>
                    <w:t>f</w:t>
                  </w:r>
                  <w:r w:rsidR="0072650E" w:rsidRPr="0089655D">
                    <w:rPr>
                      <w:rFonts w:ascii="Arial" w:eastAsia="+mn-ea" w:hAnsi="Arial" w:cs="Arial"/>
                      <w:color w:val="000000" w:themeColor="text1"/>
                      <w:kern w:val="24"/>
                      <w:sz w:val="18"/>
                      <w:szCs w:val="18"/>
                    </w:rPr>
                    <w:t xml:space="preserve">unds survey, CEM </w:t>
                  </w:r>
                  <w:r w:rsidR="0072650E">
                    <w:rPr>
                      <w:rFonts w:ascii="Arial" w:eastAsia="+mn-ea" w:hAnsi="Arial" w:cs="Arial"/>
                      <w:color w:val="000000" w:themeColor="text1"/>
                      <w:kern w:val="24"/>
                      <w:sz w:val="18"/>
                      <w:szCs w:val="18"/>
                    </w:rPr>
                    <w:t xml:space="preserve">Benchmarking data, </w:t>
                  </w:r>
                  <w:r w:rsidR="0072650E" w:rsidRPr="0089655D">
                    <w:rPr>
                      <w:rFonts w:ascii="Arial" w:eastAsia="+mn-ea" w:hAnsi="Arial" w:cs="Arial"/>
                      <w:color w:val="000000" w:themeColor="text1"/>
                      <w:kern w:val="24"/>
                      <w:sz w:val="18"/>
                      <w:szCs w:val="18"/>
                    </w:rPr>
                    <w:t>and financial market index data (various providers).</w:t>
                  </w:r>
                </w:p>
              </w:tc>
            </w:tr>
            <w:tr w:rsidR="0072650E" w:rsidTr="0072650E">
              <w:tblPrEx>
                <w:jc w:val="left"/>
                <w:tblBorders>
                  <w:top w:val="none" w:sz="0" w:space="0" w:color="auto"/>
                  <w:bottom w:val="none" w:sz="0" w:space="0" w:color="auto"/>
                </w:tblBorders>
                <w:tblCellMar>
                  <w:top w:w="0" w:type="dxa"/>
                  <w:left w:w="108" w:type="dxa"/>
                  <w:right w:w="108" w:type="dxa"/>
                </w:tblCellMar>
                <w:tblLook w:val="04A0" w:firstRow="1" w:lastRow="0" w:firstColumn="1" w:lastColumn="0" w:noHBand="0" w:noVBand="1"/>
              </w:tblPrEx>
              <w:tc>
                <w:tcPr>
                  <w:tcW w:w="918" w:type="pct"/>
                  <w:shd w:val="clear" w:color="auto" w:fill="F2F2F2" w:themeFill="background1" w:themeFillShade="F2"/>
                </w:tcPr>
                <w:p w:rsidR="0072650E" w:rsidRDefault="0072650E" w:rsidP="0072650E">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Benchmark</w:t>
                  </w:r>
                </w:p>
              </w:tc>
              <w:tc>
                <w:tcPr>
                  <w:tcW w:w="4082" w:type="pct"/>
                  <w:gridSpan w:val="3"/>
                  <w:shd w:val="clear" w:color="auto" w:fill="F2F2F2" w:themeFill="background1" w:themeFillShade="F2"/>
                </w:tcPr>
                <w:p w:rsidR="0072650E" w:rsidRDefault="0072650E" w:rsidP="0072650E">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Asset class benchmarks as per BP2.</w:t>
                  </w:r>
                </w:p>
              </w:tc>
            </w:tr>
            <w:tr w:rsidR="0072650E" w:rsidRPr="001F53B0" w:rsidTr="0072650E">
              <w:tblPrEx>
                <w:jc w:val="left"/>
                <w:tblBorders>
                  <w:top w:val="none" w:sz="0" w:space="0" w:color="auto"/>
                  <w:bottom w:val="none" w:sz="0" w:space="0" w:color="auto"/>
                </w:tblBorders>
                <w:tblCellMar>
                  <w:top w:w="0" w:type="dxa"/>
                  <w:left w:w="108" w:type="dxa"/>
                  <w:right w:w="108" w:type="dxa"/>
                </w:tblCellMar>
                <w:tblLook w:val="04A0" w:firstRow="1" w:lastRow="0" w:firstColumn="1" w:lastColumn="0" w:noHBand="0" w:noVBand="1"/>
              </w:tblPrEx>
              <w:tc>
                <w:tcPr>
                  <w:tcW w:w="918" w:type="pct"/>
                  <w:shd w:val="clear" w:color="auto" w:fill="F2F2F2" w:themeFill="background1" w:themeFillShade="F2"/>
                </w:tcPr>
                <w:p w:rsidR="0072650E" w:rsidRDefault="0072650E" w:rsidP="0072650E">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4082" w:type="pct"/>
                  <w:gridSpan w:val="3"/>
                  <w:shd w:val="clear" w:color="auto" w:fill="F2F2F2" w:themeFill="background1" w:themeFillShade="F2"/>
                </w:tcPr>
                <w:p w:rsidR="0072650E" w:rsidRPr="001F53B0" w:rsidRDefault="0072650E" w:rsidP="006C0AEE">
                  <w:pPr>
                    <w:pStyle w:val="NormalWeb"/>
                    <w:spacing w:before="0" w:beforeAutospacing="0" w:after="0" w:afterAutospacing="0"/>
                    <w:rPr>
                      <w:color w:val="000000" w:themeColor="text1"/>
                    </w:rPr>
                  </w:pPr>
                  <w:r>
                    <w:rPr>
                      <w:rFonts w:ascii="Arial" w:eastAsia="+mn-ea" w:hAnsi="Arial" w:cs="Arial"/>
                      <w:color w:val="000000" w:themeColor="text1"/>
                      <w:kern w:val="24"/>
                      <w:sz w:val="18"/>
                      <w:szCs w:val="18"/>
                    </w:rPr>
                    <w:t xml:space="preserve">In 2017, the </w:t>
                  </w:r>
                  <w:r w:rsidR="00B63079">
                    <w:rPr>
                      <w:rFonts w:ascii="Arial" w:eastAsia="+mn-ea" w:hAnsi="Arial" w:cs="Arial"/>
                      <w:color w:val="000000" w:themeColor="text1"/>
                      <w:kern w:val="24"/>
                      <w:sz w:val="18"/>
                      <w:szCs w:val="18"/>
                    </w:rPr>
                    <w:t xml:space="preserve">Australian </w:t>
                  </w:r>
                  <w:r>
                    <w:rPr>
                      <w:rFonts w:ascii="Arial" w:eastAsia="+mn-ea" w:hAnsi="Arial" w:cs="Arial"/>
                      <w:color w:val="000000" w:themeColor="text1"/>
                      <w:kern w:val="24"/>
                      <w:sz w:val="18"/>
                      <w:szCs w:val="18"/>
                    </w:rPr>
                    <w:t xml:space="preserve">funds in this figure represent up to </w:t>
                  </w:r>
                  <w:r w:rsidR="00B63079">
                    <w:rPr>
                      <w:rFonts w:ascii="Arial" w:eastAsia="+mn-ea" w:hAnsi="Arial" w:cs="Arial"/>
                      <w:color w:val="000000" w:themeColor="text1"/>
                      <w:kern w:val="24"/>
                      <w:sz w:val="18"/>
                      <w:szCs w:val="18"/>
                    </w:rPr>
                    <w:t>86</w:t>
                  </w:r>
                  <w:r w:rsidR="006C0AEE">
                    <w:rPr>
                      <w:rFonts w:ascii="Arial" w:eastAsia="+mn-ea" w:hAnsi="Arial" w:cs="Arial"/>
                      <w:color w:val="000000" w:themeColor="text1"/>
                      <w:kern w:val="24"/>
                      <w:sz w:val="18"/>
                      <w:szCs w:val="18"/>
                    </w:rPr>
                    <w:t xml:space="preserve">% </w:t>
                  </w:r>
                  <w:r>
                    <w:rPr>
                      <w:rFonts w:ascii="Arial" w:eastAsia="+mn-ea" w:hAnsi="Arial" w:cs="Arial"/>
                      <w:color w:val="000000" w:themeColor="text1"/>
                      <w:kern w:val="24"/>
                      <w:sz w:val="18"/>
                      <w:szCs w:val="18"/>
                    </w:rPr>
                    <w:t xml:space="preserve">of total assets and </w:t>
                  </w:r>
                  <w:r w:rsidR="00B63079">
                    <w:rPr>
                      <w:rFonts w:ascii="Arial" w:eastAsia="+mn-ea" w:hAnsi="Arial" w:cs="Arial"/>
                      <w:color w:val="000000" w:themeColor="text1"/>
                      <w:kern w:val="24"/>
                      <w:sz w:val="18"/>
                      <w:szCs w:val="18"/>
                    </w:rPr>
                    <w:t>87</w:t>
                  </w:r>
                  <w:r w:rsidR="006C0AEE">
                    <w:rPr>
                      <w:rFonts w:ascii="Arial" w:eastAsia="+mn-ea" w:hAnsi="Arial" w:cs="Arial"/>
                      <w:color w:val="000000" w:themeColor="text1"/>
                      <w:kern w:val="24"/>
                      <w:sz w:val="18"/>
                      <w:szCs w:val="18"/>
                    </w:rPr>
                    <w:t>%</w:t>
                  </w:r>
                  <w:r>
                    <w:rPr>
                      <w:rFonts w:ascii="Arial" w:eastAsia="+mn-ea" w:hAnsi="Arial" w:cs="Arial"/>
                      <w:color w:val="000000" w:themeColor="text1"/>
                      <w:kern w:val="24"/>
                      <w:sz w:val="18"/>
                      <w:szCs w:val="18"/>
                    </w:rPr>
                    <w:t xml:space="preserve"> of member accounts of APRA</w:t>
                  </w:r>
                  <w:r w:rsidR="00617DD2">
                    <w:rPr>
                      <w:rFonts w:ascii="Arial" w:eastAsia="+mn-ea" w:hAnsi="Arial" w:cs="Arial"/>
                      <w:color w:val="000000" w:themeColor="text1"/>
                      <w:kern w:val="24"/>
                      <w:sz w:val="18"/>
                      <w:szCs w:val="18"/>
                    </w:rPr>
                    <w:noBreakHyphen/>
                  </w:r>
                  <w:r>
                    <w:rPr>
                      <w:rFonts w:ascii="Arial" w:eastAsia="+mn-ea" w:hAnsi="Arial" w:cs="Arial"/>
                      <w:color w:val="000000" w:themeColor="text1"/>
                      <w:kern w:val="24"/>
                      <w:sz w:val="18"/>
                      <w:szCs w:val="18"/>
                    </w:rPr>
                    <w:t>regulated funds.</w:t>
                  </w:r>
                </w:p>
              </w:tc>
            </w:tr>
            <w:tr w:rsidR="0072650E" w:rsidRPr="00A95597" w:rsidTr="0072650E">
              <w:tblPrEx>
                <w:jc w:val="left"/>
                <w:tblBorders>
                  <w:top w:val="none" w:sz="0" w:space="0" w:color="auto"/>
                  <w:bottom w:val="none" w:sz="0" w:space="0" w:color="auto"/>
                </w:tblBorders>
                <w:tblCellMar>
                  <w:top w:w="0" w:type="dxa"/>
                  <w:left w:w="108" w:type="dxa"/>
                  <w:right w:w="108" w:type="dxa"/>
                </w:tblCellMar>
                <w:tblLook w:val="04A0" w:firstRow="1" w:lastRow="0" w:firstColumn="1" w:lastColumn="0" w:noHBand="0" w:noVBand="1"/>
              </w:tblPrEx>
              <w:tc>
                <w:tcPr>
                  <w:tcW w:w="918" w:type="pct"/>
                  <w:shd w:val="clear" w:color="auto" w:fill="F2F2F2" w:themeFill="background1" w:themeFillShade="F2"/>
                </w:tcPr>
                <w:p w:rsidR="0072650E" w:rsidRPr="004E69F4" w:rsidRDefault="0072650E" w:rsidP="0072650E">
                  <w:pPr>
                    <w:pStyle w:val="Figure"/>
                    <w:spacing w:before="0" w:after="0"/>
                    <w:jc w:val="left"/>
                    <w:rPr>
                      <w:rFonts w:asciiTheme="minorHAnsi" w:hAnsi="Arial" w:cstheme="minorBidi"/>
                      <w:b/>
                      <w:color w:val="000000" w:themeColor="text1"/>
                      <w:kern w:val="24"/>
                      <w:sz w:val="18"/>
                      <w:szCs w:val="18"/>
                    </w:rPr>
                  </w:pPr>
                  <w:r>
                    <w:rPr>
                      <w:rFonts w:asciiTheme="minorHAnsi" w:hAnsi="Arial" w:cstheme="minorBidi"/>
                      <w:b/>
                      <w:color w:val="000000" w:themeColor="text1"/>
                      <w:kern w:val="24"/>
                      <w:sz w:val="18"/>
                      <w:szCs w:val="18"/>
                    </w:rPr>
                    <w:t>Survivor Bias</w:t>
                  </w:r>
                </w:p>
              </w:tc>
              <w:tc>
                <w:tcPr>
                  <w:tcW w:w="1360" w:type="pct"/>
                  <w:shd w:val="clear" w:color="auto" w:fill="F2F2F2" w:themeFill="background1" w:themeFillShade="F2"/>
                </w:tcPr>
                <w:p w:rsidR="0072650E" w:rsidRPr="00A95597" w:rsidRDefault="0072650E" w:rsidP="0072650E">
                  <w:pPr>
                    <w:pStyle w:val="NormalWeb"/>
                    <w:spacing w:before="0" w:beforeAutospacing="0" w:after="0" w:afterAutospacing="0"/>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Yes.</w:t>
                  </w:r>
                </w:p>
              </w:tc>
              <w:tc>
                <w:tcPr>
                  <w:tcW w:w="1361" w:type="pct"/>
                  <w:shd w:val="clear" w:color="auto" w:fill="F2F2F2" w:themeFill="background1" w:themeFillShade="F2"/>
                </w:tcPr>
                <w:p w:rsidR="0072650E" w:rsidRPr="004E69F4" w:rsidRDefault="0072650E" w:rsidP="0072650E">
                  <w:pPr>
                    <w:pStyle w:val="NormalWeb"/>
                    <w:spacing w:before="0" w:beforeAutospacing="0" w:after="0" w:afterAutospacing="0"/>
                    <w:rPr>
                      <w:rFonts w:ascii="Arial" w:eastAsia="+mn-ea" w:hAnsi="Arial" w:cs="Arial"/>
                      <w:b/>
                      <w:color w:val="000000" w:themeColor="text1"/>
                      <w:kern w:val="24"/>
                      <w:sz w:val="18"/>
                      <w:szCs w:val="18"/>
                    </w:rPr>
                  </w:pPr>
                  <w:r>
                    <w:rPr>
                      <w:rFonts w:ascii="Arial" w:eastAsia="+mn-ea" w:hAnsi="Arial" w:cs="Arial"/>
                      <w:b/>
                      <w:color w:val="000000" w:themeColor="text1"/>
                      <w:kern w:val="24"/>
                      <w:sz w:val="18"/>
                      <w:szCs w:val="18"/>
                    </w:rPr>
                    <w:t>Selection Bias</w:t>
                  </w:r>
                </w:p>
              </w:tc>
              <w:tc>
                <w:tcPr>
                  <w:tcW w:w="1361" w:type="pct"/>
                  <w:shd w:val="clear" w:color="auto" w:fill="F2F2F2" w:themeFill="background1" w:themeFillShade="F2"/>
                </w:tcPr>
                <w:p w:rsidR="0072650E" w:rsidRPr="00A95597" w:rsidRDefault="0072650E" w:rsidP="0072650E">
                  <w:pPr>
                    <w:pStyle w:val="NormalWeb"/>
                    <w:spacing w:before="0" w:beforeAutospacing="0" w:after="0" w:afterAutospacing="0"/>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Yes.</w:t>
                  </w:r>
                </w:p>
              </w:tc>
            </w:tr>
          </w:tbl>
          <w:p w:rsidR="0072650E" w:rsidRDefault="0072650E" w:rsidP="00F8463F">
            <w:pPr>
              <w:pStyle w:val="Figure"/>
            </w:pPr>
          </w:p>
        </w:tc>
      </w:tr>
      <w:tr w:rsidR="0072650E" w:rsidRPr="00176D3F" w:rsidTr="00F8463F">
        <w:tc>
          <w:tcPr>
            <w:tcW w:w="5000" w:type="pct"/>
            <w:tcBorders>
              <w:top w:val="nil"/>
              <w:left w:val="nil"/>
              <w:bottom w:val="nil"/>
              <w:right w:val="nil"/>
            </w:tcBorders>
            <w:shd w:val="clear" w:color="auto" w:fill="auto"/>
          </w:tcPr>
          <w:p w:rsidR="0072650E" w:rsidRPr="00176D3F" w:rsidRDefault="0072650E" w:rsidP="00332BFF">
            <w:pPr>
              <w:pStyle w:val="Note"/>
            </w:pPr>
            <w:r>
              <w:rPr>
                <w:rStyle w:val="NoteLabel"/>
              </w:rPr>
              <w:t>a</w:t>
            </w:r>
            <w:r>
              <w:t xml:space="preserve"> Australian returns are for 2008–2017 while other country returns are for 2007–2016. The solid line is the asset class benchmark for Australian funds over 2008–2017. The listed property benchmark is a weighted combination of domestic and international listed property, as described in </w:t>
            </w:r>
            <w:r w:rsidR="00332BFF">
              <w:t>t</w:t>
            </w:r>
            <w:r>
              <w:t xml:space="preserve">echnical </w:t>
            </w:r>
            <w:r w:rsidR="00332BFF">
              <w:t>s</w:t>
            </w:r>
            <w:r>
              <w:t>upplement 4.</w:t>
            </w:r>
          </w:p>
        </w:tc>
      </w:tr>
      <w:tr w:rsidR="0072650E" w:rsidTr="00F8463F">
        <w:tc>
          <w:tcPr>
            <w:tcW w:w="5000" w:type="pct"/>
            <w:tcBorders>
              <w:top w:val="nil"/>
              <w:left w:val="nil"/>
              <w:bottom w:val="single" w:sz="6" w:space="0" w:color="78A22F"/>
              <w:right w:val="nil"/>
            </w:tcBorders>
            <w:shd w:val="clear" w:color="auto" w:fill="auto"/>
          </w:tcPr>
          <w:p w:rsidR="0072650E" w:rsidRDefault="0072650E" w:rsidP="00F8463F">
            <w:pPr>
              <w:pStyle w:val="Figurespace"/>
            </w:pPr>
          </w:p>
        </w:tc>
      </w:tr>
      <w:tr w:rsidR="0072650E" w:rsidRPr="000863A5" w:rsidTr="00F8463F">
        <w:tc>
          <w:tcPr>
            <w:tcW w:w="5000" w:type="pct"/>
            <w:tcBorders>
              <w:top w:val="single" w:sz="6" w:space="0" w:color="78A22F"/>
              <w:left w:val="nil"/>
              <w:bottom w:val="nil"/>
              <w:right w:val="nil"/>
            </w:tcBorders>
          </w:tcPr>
          <w:p w:rsidR="0072650E" w:rsidRPr="00626D32" w:rsidRDefault="0072650E" w:rsidP="00F8463F">
            <w:pPr>
              <w:pStyle w:val="BoxSpaceBelow"/>
            </w:pPr>
          </w:p>
        </w:tc>
      </w:tr>
    </w:tbl>
    <w:p w:rsidR="00296753" w:rsidRDefault="00296753" w:rsidP="00296753">
      <w:pPr>
        <w:pStyle w:val="BodyText"/>
      </w:pPr>
      <w:r>
        <w:lastRenderedPageBreak/>
        <w:t>A key caveat, however, is that the time periods differ between the international data and the Australian data. Although both cover a 10</w:t>
      </w:r>
      <w:r>
        <w:noBreakHyphen/>
        <w:t>year period with only a one</w:t>
      </w:r>
      <w:r>
        <w:noBreakHyphen/>
        <w:t>year difference, there is scope for different economic conditions to influence the comparison, in particular, since 2007 was immediately prior to the Global Financial Crisis (this could explain the difference in listed property returns between Australian and international funds). A further caveat, on all international comparisons, is that funds in different countries (or even individual funds within the same country) may report net returns using slightly different methods.</w:t>
      </w:r>
    </w:p>
    <w:p w:rsidR="006127E9" w:rsidRDefault="000071EE" w:rsidP="006127E9">
      <w:pPr>
        <w:pStyle w:val="Heading3"/>
      </w:pPr>
      <w:bookmarkStart w:id="17" w:name="_Toc528158042"/>
      <w:bookmarkStart w:id="18" w:name="_Toc528229664"/>
      <w:bookmarkStart w:id="19" w:name="_Toc528298314"/>
      <w:r w:rsidRPr="006127E9">
        <w:t xml:space="preserve">Investment performance </w:t>
      </w:r>
      <w:r w:rsidR="00511843">
        <w:t>attribution</w:t>
      </w:r>
      <w:bookmarkEnd w:id="17"/>
      <w:bookmarkEnd w:id="18"/>
      <w:bookmarkEnd w:id="19"/>
    </w:p>
    <w:p w:rsidR="00350153" w:rsidRPr="00904B3E" w:rsidRDefault="00350153" w:rsidP="00904B3E">
      <w:pPr>
        <w:pStyle w:val="BodyText"/>
        <w:rPr>
          <w:i/>
        </w:rPr>
      </w:pPr>
      <w:r w:rsidRPr="00904B3E">
        <w:rPr>
          <w:i/>
        </w:rPr>
        <w:t>Do differences in asset allocation, administration expenses, investment expenses and tax explain the performance of the system, segments and funds?</w:t>
      </w:r>
    </w:p>
    <w:p w:rsidR="000E07B1" w:rsidRDefault="009D34CC" w:rsidP="009D34CC">
      <w:pPr>
        <w:pStyle w:val="BodyText"/>
      </w:pPr>
      <w:r>
        <w:t>Several inquiry participants questioned whether the benchmarking analysis in the draft report led to valid and reliable results. Some pointed to the role of randomness in investment performance (for example, Anthony Asher, sub. DR151; I</w:t>
      </w:r>
      <w:r w:rsidR="00866FEB">
        <w:t xml:space="preserve">nvestment </w:t>
      </w:r>
      <w:r>
        <w:t>A</w:t>
      </w:r>
      <w:r w:rsidR="00866FEB">
        <w:t xml:space="preserve">nalytics </w:t>
      </w:r>
      <w:r>
        <w:t>R</w:t>
      </w:r>
      <w:r w:rsidR="00866FEB">
        <w:t>esearch</w:t>
      </w:r>
      <w:r>
        <w:t>, sub. DR192) or noted that the ranking of individual funds’ performance can be sensitive to the specific time period and economic conditions (NAB MLC Wealth, sub. DR174).</w:t>
      </w:r>
    </w:p>
    <w:p w:rsidR="009D34CC" w:rsidRDefault="000E07B1" w:rsidP="009D34CC">
      <w:pPr>
        <w:pStyle w:val="BodyText"/>
      </w:pPr>
      <w:r>
        <w:t xml:space="preserve">However, others </w:t>
      </w:r>
      <w:r w:rsidR="006A5E38">
        <w:t xml:space="preserve">supported </w:t>
      </w:r>
      <w:r>
        <w:t>the methodology</w:t>
      </w:r>
      <w:r w:rsidR="006A5E38">
        <w:t>, arguing that it removes</w:t>
      </w:r>
      <w:r>
        <w:t xml:space="preserve"> much of the ‘noise’ from performance (Geoff Warren, sub. DR118)</w:t>
      </w:r>
      <w:r w:rsidR="00911852">
        <w:t xml:space="preserve"> and that it is ‘a definitive tool to identify where there is long</w:t>
      </w:r>
      <w:r w:rsidR="00911852">
        <w:noBreakHyphen/>
        <w:t>term underperformance in the system’ (Australian Super, sub. DR150, p. 1)</w:t>
      </w:r>
      <w:r>
        <w:t xml:space="preserve">. </w:t>
      </w:r>
      <w:r w:rsidR="005F152F">
        <w:t xml:space="preserve">Indeed, </w:t>
      </w:r>
      <w:r w:rsidR="00A2043E">
        <w:t>APRA</w:t>
      </w:r>
      <w:r w:rsidR="00866FEB">
        <w:t xml:space="preserve"> (sub.</w:t>
      </w:r>
      <w:r w:rsidR="00617DD2">
        <w:t> </w:t>
      </w:r>
      <w:r w:rsidR="00866FEB">
        <w:t>DR204, p. 8)</w:t>
      </w:r>
      <w:r>
        <w:t xml:space="preserve"> argued that </w:t>
      </w:r>
      <w:r w:rsidR="0012071A">
        <w:t>the benchmark</w:t>
      </w:r>
      <w:r w:rsidR="00866FEB">
        <w:t xml:space="preserve"> portfolio</w:t>
      </w:r>
      <w:r w:rsidR="0012071A">
        <w:t>s ‘provide a useful reference point as RSE</w:t>
      </w:r>
      <w:r w:rsidR="00997D6C">
        <w:t xml:space="preserve"> [Registrable Superannuation Entity]</w:t>
      </w:r>
      <w:r w:rsidR="0012071A">
        <w:t xml:space="preserve"> licensees continue to review and enhance their approach to investment performance </w:t>
      </w:r>
      <w:r w:rsidR="00866FEB">
        <w:t>assessment’</w:t>
      </w:r>
      <w:r w:rsidR="0012071A">
        <w:t>.</w:t>
      </w:r>
    </w:p>
    <w:p w:rsidR="00E16344" w:rsidRPr="00904B3E" w:rsidRDefault="009D34CC" w:rsidP="00317F78">
      <w:pPr>
        <w:pStyle w:val="BodyText"/>
      </w:pPr>
      <w:r>
        <w:t>To better understand the nature of investment performance, t</w:t>
      </w:r>
      <w:r w:rsidR="00A8009C">
        <w:t xml:space="preserve">he Commission has </w:t>
      </w:r>
      <w:r w:rsidR="00511843">
        <w:t>undertaken an attribution analysis of</w:t>
      </w:r>
      <w:r w:rsidR="001365EF">
        <w:t xml:space="preserve"> historical</w:t>
      </w:r>
      <w:r w:rsidR="00511843">
        <w:t xml:space="preserve"> </w:t>
      </w:r>
      <w:r w:rsidR="00AE6310">
        <w:t>net returns</w:t>
      </w:r>
      <w:r w:rsidR="0086169B">
        <w:t xml:space="preserve"> </w:t>
      </w:r>
      <w:r w:rsidR="00420C59">
        <w:t xml:space="preserve">for </w:t>
      </w:r>
      <w:r w:rsidR="00AE6310">
        <w:t>the system, some segments, funds and MySuper products</w:t>
      </w:r>
      <w:r w:rsidR="007A72B9">
        <w:t xml:space="preserve"> using confidential APRA</w:t>
      </w:r>
      <w:r w:rsidR="002F6E1F">
        <w:t xml:space="preserve"> fund</w:t>
      </w:r>
      <w:r w:rsidR="002F6E1F">
        <w:noBreakHyphen/>
        <w:t>level</w:t>
      </w:r>
      <w:r w:rsidR="007A72B9">
        <w:t xml:space="preserve"> data</w:t>
      </w:r>
      <w:r w:rsidR="00AE6310">
        <w:t xml:space="preserve">. </w:t>
      </w:r>
      <w:r w:rsidR="00E16344" w:rsidRPr="00904B3E">
        <w:t>Th</w:t>
      </w:r>
      <w:r w:rsidR="005F152F">
        <w:t>e</w:t>
      </w:r>
      <w:r w:rsidR="00E16344" w:rsidRPr="00904B3E">
        <w:t xml:space="preserve"> analysis </w:t>
      </w:r>
      <w:r w:rsidR="00511843">
        <w:t>decomposes net returns into several</w:t>
      </w:r>
      <w:r w:rsidR="00E16344" w:rsidRPr="00904B3E">
        <w:t xml:space="preserve"> measured factors — asset allocation, tax and expenses — </w:t>
      </w:r>
      <w:r w:rsidR="00511843">
        <w:t>to</w:t>
      </w:r>
      <w:r w:rsidR="00511843" w:rsidRPr="00904B3E">
        <w:t xml:space="preserve"> </w:t>
      </w:r>
      <w:r w:rsidR="00511843">
        <w:t>attribute drivers of</w:t>
      </w:r>
      <w:r w:rsidR="00E16344" w:rsidRPr="00904B3E">
        <w:t xml:space="preserve"> differences in investment performance, over the long term and relative to benchmark po</w:t>
      </w:r>
      <w:r w:rsidR="00E16344" w:rsidRPr="00D83150">
        <w:t>rtfolios.</w:t>
      </w:r>
      <w:r w:rsidR="00B261B0">
        <w:t xml:space="preserve"> </w:t>
      </w:r>
      <w:r w:rsidR="007E6083">
        <w:t>What remains is a ‘residual’</w:t>
      </w:r>
      <w:r w:rsidR="00AF1583">
        <w:t>, which is</w:t>
      </w:r>
      <w:r w:rsidR="007E6083">
        <w:t xml:space="preserve"> likely to comprise asset selection (</w:t>
      </w:r>
      <w:r w:rsidR="00122A6B">
        <w:t xml:space="preserve">individual investment decisions </w:t>
      </w:r>
      <w:r w:rsidR="007E6083">
        <w:t xml:space="preserve">within asset classes), </w:t>
      </w:r>
      <w:r w:rsidR="002D2B23">
        <w:t xml:space="preserve">unreported </w:t>
      </w:r>
      <w:r w:rsidR="007E6083">
        <w:t>indirect expenses and measurement error.</w:t>
      </w:r>
    </w:p>
    <w:p w:rsidR="000071EE" w:rsidRDefault="00773F35" w:rsidP="000071EE">
      <w:pPr>
        <w:pStyle w:val="Heading4"/>
      </w:pPr>
      <w:r>
        <w:t>Components of the decompositions</w:t>
      </w:r>
    </w:p>
    <w:p w:rsidR="00A3020A" w:rsidRDefault="00B02BCB" w:rsidP="00B02BCB">
      <w:pPr>
        <w:pStyle w:val="BodyText"/>
      </w:pPr>
      <w:r>
        <w:t xml:space="preserve">The Commission has decomposed </w:t>
      </w:r>
      <w:r w:rsidR="00511843">
        <w:t>historical</w:t>
      </w:r>
      <w:r>
        <w:t xml:space="preserve"> net returns into several components: asset allocation, tax, expenses</w:t>
      </w:r>
      <w:r w:rsidR="008643B1">
        <w:rPr>
          <w:rStyle w:val="FootnoteReference"/>
        </w:rPr>
        <w:footnoteReference w:id="3"/>
      </w:r>
      <w:r>
        <w:t xml:space="preserve"> and a residual</w:t>
      </w:r>
      <w:r w:rsidR="000F43C5">
        <w:t xml:space="preserve"> (figure </w:t>
      </w:r>
      <w:r w:rsidR="00C40120">
        <w:t>6</w:t>
      </w:r>
      <w:r w:rsidR="000F43C5">
        <w:t>)</w:t>
      </w:r>
      <w:r>
        <w:t xml:space="preserve">. </w:t>
      </w:r>
      <w:r w:rsidRPr="00904B3E">
        <w:t>Asset allocation</w:t>
      </w:r>
      <w:r>
        <w:rPr>
          <w:i/>
        </w:rPr>
        <w:t xml:space="preserve"> </w:t>
      </w:r>
      <w:r>
        <w:t xml:space="preserve">effects are calculated using the gross (of all fees and tax) return benchmark — that is, the return to a portfolio of </w:t>
      </w:r>
      <w:r>
        <w:lastRenderedPageBreak/>
        <w:t>market indexes. Tax and expenses are calculated u</w:t>
      </w:r>
      <w:r w:rsidR="00D44C62">
        <w:t>sing APRA or SuperRatings data</w:t>
      </w:r>
      <w:r w:rsidR="00D3160F">
        <w:t>, and then subtracted from the gross return benchmark.</w:t>
      </w:r>
    </w:p>
    <w:p w:rsidR="00D44C62" w:rsidRDefault="00D44C62" w:rsidP="00D44C6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44C62" w:rsidTr="00AC2927">
        <w:trPr>
          <w:tblHeader/>
        </w:trPr>
        <w:tc>
          <w:tcPr>
            <w:tcW w:w="5000" w:type="pct"/>
            <w:tcBorders>
              <w:top w:val="single" w:sz="6" w:space="0" w:color="78A22F"/>
              <w:left w:val="nil"/>
              <w:bottom w:val="nil"/>
              <w:right w:val="nil"/>
            </w:tcBorders>
            <w:shd w:val="clear" w:color="auto" w:fill="auto"/>
          </w:tcPr>
          <w:p w:rsidR="00D44C62" w:rsidRPr="00176D3F" w:rsidRDefault="00D44C62" w:rsidP="006E201E">
            <w:pPr>
              <w:pStyle w:val="FigureTitle"/>
            </w:pPr>
            <w:r w:rsidRPr="00784A05">
              <w:rPr>
                <w:b w:val="0"/>
              </w:rPr>
              <w:t xml:space="preserve">Figure </w:t>
            </w:r>
            <w:bookmarkStart w:id="20" w:name="OLE_LINK12"/>
            <w:r w:rsidR="001345FE">
              <w:rPr>
                <w:b w:val="0"/>
                <w:noProof/>
              </w:rPr>
              <w:t>6</w:t>
            </w:r>
            <w:bookmarkEnd w:id="20"/>
            <w:r>
              <w:tab/>
            </w:r>
            <w:r w:rsidR="00511843">
              <w:t>Attribution analysis: c</w:t>
            </w:r>
            <w:r>
              <w:t>onceptual decomposition of net returns</w:t>
            </w:r>
          </w:p>
        </w:tc>
      </w:tr>
      <w:tr w:rsidR="00D44C62" w:rsidTr="00AC292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44C62" w:rsidRPr="00B1465D" w:rsidTr="00AC2927">
              <w:trPr>
                <w:tblHeader/>
                <w:jc w:val="center"/>
              </w:trPr>
              <w:tc>
                <w:tcPr>
                  <w:tcW w:w="5000" w:type="pct"/>
                  <w:tcBorders>
                    <w:top w:val="nil"/>
                    <w:bottom w:val="nil"/>
                  </w:tcBorders>
                </w:tcPr>
                <w:p w:rsidR="00D44C62" w:rsidRPr="00B1465D" w:rsidRDefault="00E10D91" w:rsidP="00AC2927">
                  <w:pPr>
                    <w:pStyle w:val="Figure"/>
                    <w:spacing w:before="60" w:after="60"/>
                    <w:rPr>
                      <w:rFonts w:ascii="Arial" w:hAnsi="Arial" w:cs="Arial"/>
                      <w:sz w:val="18"/>
                      <w:szCs w:val="18"/>
                    </w:rPr>
                  </w:pPr>
                  <w:r w:rsidRPr="00E10D91">
                    <w:rPr>
                      <w:rFonts w:ascii="Arial" w:hAnsi="Arial" w:cs="Arial"/>
                      <w:sz w:val="18"/>
                      <w:szCs w:val="18"/>
                    </w:rPr>
                    <w:t xml:space="preserve"> </w:t>
                  </w:r>
                  <w:r w:rsidRPr="00E10D91">
                    <w:rPr>
                      <w:rFonts w:ascii="Arial" w:hAnsi="Arial" w:cs="Arial"/>
                      <w:noProof/>
                      <w:sz w:val="18"/>
                      <w:szCs w:val="18"/>
                    </w:rPr>
                    <w:drawing>
                      <wp:inline distT="0" distB="0" distL="0" distR="0" wp14:anchorId="5B1B45AB" wp14:editId="404CA20A">
                        <wp:extent cx="5327890" cy="3086100"/>
                        <wp:effectExtent l="0" t="0" r="6350" b="0"/>
                        <wp:docPr id="31" name="Picture 31" descr="Net returns can be decomposed into gross returns before expenses and tax, tax paid, and expenses. Gross returns can be decomposed into asset allocation and a residual, which encompasses asset selection, measurement error and indirect expenses. Expenses can be split into investment and administration expenses. Governance influences all these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33806" cy="3089527"/>
                                </a:xfrm>
                                <a:prstGeom prst="rect">
                                  <a:avLst/>
                                </a:prstGeom>
                                <a:noFill/>
                                <a:ln>
                                  <a:noFill/>
                                </a:ln>
                              </pic:spPr>
                            </pic:pic>
                          </a:graphicData>
                        </a:graphic>
                      </wp:inline>
                    </w:drawing>
                  </w:r>
                </w:p>
              </w:tc>
            </w:tr>
          </w:tbl>
          <w:p w:rsidR="00D44C62" w:rsidRDefault="00D44C62" w:rsidP="00AC2927">
            <w:pPr>
              <w:pStyle w:val="Figure"/>
            </w:pPr>
          </w:p>
        </w:tc>
      </w:tr>
      <w:tr w:rsidR="00D44C62" w:rsidTr="00AC2927">
        <w:tc>
          <w:tcPr>
            <w:tcW w:w="5000" w:type="pct"/>
            <w:tcBorders>
              <w:top w:val="nil"/>
              <w:left w:val="nil"/>
              <w:bottom w:val="single" w:sz="6" w:space="0" w:color="78A22F"/>
              <w:right w:val="nil"/>
            </w:tcBorders>
            <w:shd w:val="clear" w:color="auto" w:fill="auto"/>
          </w:tcPr>
          <w:p w:rsidR="00D44C62" w:rsidRDefault="00D44C62" w:rsidP="00AC2927">
            <w:pPr>
              <w:pStyle w:val="Figurespace"/>
            </w:pPr>
          </w:p>
        </w:tc>
      </w:tr>
      <w:tr w:rsidR="00D44C62" w:rsidRPr="000863A5" w:rsidTr="00AC2927">
        <w:tc>
          <w:tcPr>
            <w:tcW w:w="5000" w:type="pct"/>
            <w:tcBorders>
              <w:top w:val="single" w:sz="6" w:space="0" w:color="78A22F"/>
              <w:left w:val="nil"/>
              <w:bottom w:val="nil"/>
              <w:right w:val="nil"/>
            </w:tcBorders>
          </w:tcPr>
          <w:p w:rsidR="00D44C62" w:rsidRPr="00626D32" w:rsidRDefault="00D44C62" w:rsidP="00AC2927">
            <w:pPr>
              <w:pStyle w:val="BoxSpaceBelow"/>
            </w:pPr>
          </w:p>
        </w:tc>
      </w:tr>
    </w:tbl>
    <w:p w:rsidR="00296753" w:rsidRDefault="00296753" w:rsidP="00296753">
      <w:pPr>
        <w:pStyle w:val="BodyText"/>
      </w:pPr>
      <w:r>
        <w:t xml:space="preserve">The residual is the component of net returns that remains after the above factors have been subtracted. It is equivalent to the difference between the actual </w:t>
      </w:r>
      <w:r w:rsidRPr="00066DF1">
        <w:rPr>
          <w:i/>
        </w:rPr>
        <w:t>gross</w:t>
      </w:r>
      <w:r>
        <w:t xml:space="preserve"> return for the unit of analysis (from APRA or SuperRatings data) minus the </w:t>
      </w:r>
      <w:r w:rsidRPr="00066DF1">
        <w:rPr>
          <w:i/>
        </w:rPr>
        <w:t>gross</w:t>
      </w:r>
      <w:r>
        <w:t xml:space="preserve"> return benchmark.</w:t>
      </w:r>
    </w:p>
    <w:p w:rsidR="00296753" w:rsidRDefault="00296753" w:rsidP="00296753">
      <w:pPr>
        <w:pStyle w:val="BodyText"/>
      </w:pPr>
      <w:r>
        <w:t>There are several potential drivers of the residual. The primary candidate is asset selection within asset classes, which in this context can be thought of as deviations in gross investment performance from the market average within each asset class. This will inherently vary by fund depending on specific investment strategies, selected asset holdings and choice of investment managers</w:t>
      </w:r>
      <w:r w:rsidDel="00D3160F">
        <w:t>.</w:t>
      </w:r>
      <w:r>
        <w:t xml:space="preserve"> In short, it reflects how well a fund is doing at securing exposure to an asset class, including via its intra</w:t>
      </w:r>
      <w:r>
        <w:noBreakHyphen/>
        <w:t>asset class investment strategy and the investment decisions of fund managers within those sub</w:t>
      </w:r>
      <w:r>
        <w:noBreakHyphen/>
        <w:t>classes (including for direct asset holdings).</w:t>
      </w:r>
    </w:p>
    <w:p w:rsidR="00BF43A9" w:rsidRDefault="00BF43A9" w:rsidP="00BF43A9">
      <w:pPr>
        <w:pStyle w:val="BodyText"/>
      </w:pPr>
      <w:r>
        <w:t>The residual</w:t>
      </w:r>
      <w:r w:rsidDel="000F43C5">
        <w:t xml:space="preserve"> </w:t>
      </w:r>
      <w:r>
        <w:t>could also reflect measurement errors, including inaccuracies in the Commission’s benchmarking assumptions and data sources</w:t>
      </w:r>
      <w:r w:rsidR="00753B50">
        <w:t>. F</w:t>
      </w:r>
      <w:r w:rsidR="00B20504">
        <w:t>or example,</w:t>
      </w:r>
      <w:r w:rsidR="00E558F6">
        <w:t xml:space="preserve"> </w:t>
      </w:r>
      <w:r w:rsidR="008433B0">
        <w:t xml:space="preserve">the </w:t>
      </w:r>
      <w:r>
        <w:t xml:space="preserve">asset allocations </w:t>
      </w:r>
      <w:r w:rsidR="008433B0">
        <w:t>used in the benchmark may not be completely representative for each individual fund</w:t>
      </w:r>
      <w:r>
        <w:t xml:space="preserve">. The residual may also include the effect of indirect expenses which are </w:t>
      </w:r>
      <w:r w:rsidRPr="00066DF1">
        <w:t>implicitly</w:t>
      </w:r>
      <w:r>
        <w:rPr>
          <w:i/>
        </w:rPr>
        <w:t xml:space="preserve"> </w:t>
      </w:r>
      <w:r>
        <w:t xml:space="preserve">captured in returns, but not </w:t>
      </w:r>
      <w:r w:rsidRPr="00066DF1">
        <w:t>explicitly</w:t>
      </w:r>
      <w:r>
        <w:rPr>
          <w:i/>
        </w:rPr>
        <w:t xml:space="preserve"> </w:t>
      </w:r>
      <w:r>
        <w:t>captured in expense data. For example, indirect investment expenses are embedded in APRA data on gross returns, but are not separately disclosed as expenses.</w:t>
      </w:r>
    </w:p>
    <w:p w:rsidR="00B02BCB" w:rsidRDefault="00487915" w:rsidP="00B02BCB">
      <w:pPr>
        <w:pStyle w:val="BodyText"/>
      </w:pPr>
      <w:r>
        <w:lastRenderedPageBreak/>
        <w:t>Importantly, t</w:t>
      </w:r>
      <w:r w:rsidR="00B02BCB">
        <w:t>he residual does not include anything which is not captured in the returns data</w:t>
      </w:r>
      <w:r w:rsidR="00135431">
        <w:t xml:space="preserve">, </w:t>
      </w:r>
      <w:r w:rsidR="00B02BCB">
        <w:t xml:space="preserve">such as most advice fees and insurance premiums. Any fees that are not reflected in the underlying administration and investment expense data similarly </w:t>
      </w:r>
      <w:r w:rsidR="00B02BCB" w:rsidRPr="00066DF1">
        <w:t>cannot be used to</w:t>
      </w:r>
      <w:r w:rsidR="00B02BCB" w:rsidRPr="00190968">
        <w:t xml:space="preserve"> explain the differences in performance across segments and funds in the Commission’s analysis.</w:t>
      </w:r>
    </w:p>
    <w:p w:rsidR="00B02BCB" w:rsidRDefault="00B02BCB" w:rsidP="00B02BCB">
      <w:pPr>
        <w:pStyle w:val="BodyText"/>
      </w:pPr>
      <w:r>
        <w:t>As suggested in the figure, all components of the decomposition</w:t>
      </w:r>
      <w:r w:rsidR="000F43C5">
        <w:t xml:space="preserve"> — not just the residual —</w:t>
      </w:r>
      <w:r>
        <w:t xml:space="preserve"> will </w:t>
      </w:r>
      <w:r w:rsidR="000F43C5">
        <w:t>likely reflect a fund’s overall governance</w:t>
      </w:r>
      <w:r w:rsidR="00417370">
        <w:t xml:space="preserve">, </w:t>
      </w:r>
      <w:r w:rsidR="00122A6B">
        <w:t>as a driver of the key intangibles such as trustee and investment team calibre, investment process and management of conflicts</w:t>
      </w:r>
      <w:r w:rsidR="000F43C5">
        <w:t xml:space="preserve">. </w:t>
      </w:r>
      <w:r>
        <w:t xml:space="preserve">Therefore, </w:t>
      </w:r>
      <w:r w:rsidR="00464877">
        <w:t>full identification of</w:t>
      </w:r>
      <w:r>
        <w:t xml:space="preserve"> </w:t>
      </w:r>
      <w:r w:rsidR="00A3020A">
        <w:t xml:space="preserve">the amount by which </w:t>
      </w:r>
      <w:r>
        <w:t xml:space="preserve">governance affects net returns is impossible with the data available. As a </w:t>
      </w:r>
      <w:r w:rsidR="00E740FF">
        <w:t>‘</w:t>
      </w:r>
      <w:r>
        <w:t>next best</w:t>
      </w:r>
      <w:r w:rsidR="00E740FF">
        <w:t>’</w:t>
      </w:r>
      <w:r>
        <w:t xml:space="preserve">, the Commission </w:t>
      </w:r>
      <w:r w:rsidR="00A3020A">
        <w:t xml:space="preserve">has </w:t>
      </w:r>
      <w:r>
        <w:t>consider</w:t>
      </w:r>
      <w:r w:rsidR="00A3020A">
        <w:t>ed</w:t>
      </w:r>
      <w:r>
        <w:t xml:space="preserve"> how </w:t>
      </w:r>
      <w:r w:rsidR="00511843">
        <w:t xml:space="preserve">proxy </w:t>
      </w:r>
      <w:r>
        <w:t xml:space="preserve">indicators of </w:t>
      </w:r>
      <w:r w:rsidR="00511843">
        <w:t xml:space="preserve">fund </w:t>
      </w:r>
      <w:r>
        <w:t xml:space="preserve">governance </w:t>
      </w:r>
      <w:r w:rsidR="00511843">
        <w:t>efficacy</w:t>
      </w:r>
      <w:r>
        <w:t xml:space="preserve"> may relate to fund</w:t>
      </w:r>
      <w:r w:rsidR="00A3020A">
        <w:noBreakHyphen/>
      </w:r>
      <w:r>
        <w:t>level residuals.</w:t>
      </w:r>
    </w:p>
    <w:p w:rsidR="00AE2C2B" w:rsidRDefault="00511843" w:rsidP="007E07A1">
      <w:pPr>
        <w:pStyle w:val="Heading4"/>
      </w:pPr>
      <w:r>
        <w:t>Attribution</w:t>
      </w:r>
      <w:r w:rsidR="00464877">
        <w:t xml:space="preserve"> m</w:t>
      </w:r>
      <w:r w:rsidR="00773F35">
        <w:t>ethodology</w:t>
      </w:r>
    </w:p>
    <w:p w:rsidR="004C7D16" w:rsidRDefault="002F0EE7" w:rsidP="0021512C">
      <w:pPr>
        <w:pStyle w:val="BodyText"/>
      </w:pPr>
      <w:r>
        <w:t xml:space="preserve">The </w:t>
      </w:r>
      <w:r w:rsidR="001A566D">
        <w:t xml:space="preserve">Commission </w:t>
      </w:r>
      <w:r>
        <w:t>has conducted</w:t>
      </w:r>
      <w:r w:rsidR="001A566D">
        <w:t xml:space="preserve"> two types of decomposition</w:t>
      </w:r>
      <w:r w:rsidR="00511843">
        <w:t xml:space="preserve"> in undertaking attribution analysis of investment performance</w:t>
      </w:r>
      <w:r w:rsidR="001A566D">
        <w:t xml:space="preserve">. </w:t>
      </w:r>
      <w:r w:rsidR="001A5456" w:rsidRPr="0072455F">
        <w:t xml:space="preserve">Absolute </w:t>
      </w:r>
      <w:r w:rsidR="001A5456">
        <w:t>performance</w:t>
      </w:r>
      <w:r w:rsidR="001A5456">
        <w:rPr>
          <w:i/>
        </w:rPr>
        <w:t xml:space="preserve"> </w:t>
      </w:r>
      <w:r w:rsidR="001A566D">
        <w:t xml:space="preserve">decompositions </w:t>
      </w:r>
      <w:r>
        <w:t xml:space="preserve">take a given unit of analysis </w:t>
      </w:r>
      <w:r w:rsidR="00ED03B5">
        <w:t>(system, segment</w:t>
      </w:r>
      <w:r w:rsidR="002133ED">
        <w:t xml:space="preserve">, </w:t>
      </w:r>
      <w:r w:rsidR="00ED03B5">
        <w:t>fund</w:t>
      </w:r>
      <w:r w:rsidR="002133ED">
        <w:t xml:space="preserve"> or product</w:t>
      </w:r>
      <w:r w:rsidR="00ED03B5">
        <w:t xml:space="preserve">) </w:t>
      </w:r>
      <w:r>
        <w:t xml:space="preserve">and </w:t>
      </w:r>
      <w:r w:rsidR="00ED03B5">
        <w:t xml:space="preserve">distinguish the components of </w:t>
      </w:r>
      <w:r>
        <w:t>the net returns for that unit of analysis</w:t>
      </w:r>
      <w:r w:rsidR="004C7D16">
        <w:t>, where:</w:t>
      </w:r>
    </w:p>
    <w:p w:rsidR="00727722" w:rsidRPr="00727722" w:rsidRDefault="00727722" w:rsidP="00727722">
      <w:pPr>
        <w:pStyle w:val="BodyText"/>
        <w:jc w:val="center"/>
        <w:rPr>
          <w:i/>
        </w:rPr>
      </w:pPr>
      <w:r w:rsidRPr="00727722">
        <w:rPr>
          <w:i/>
        </w:rPr>
        <w:t>Net return</w:t>
      </w:r>
      <w:r>
        <w:rPr>
          <w:i/>
        </w:rPr>
        <w:t xml:space="preserve"> </w:t>
      </w:r>
      <w:r w:rsidRPr="00727722">
        <w:rPr>
          <w:i/>
        </w:rPr>
        <w:t>=</w:t>
      </w:r>
      <w:r>
        <w:rPr>
          <w:i/>
        </w:rPr>
        <w:t xml:space="preserve"> </w:t>
      </w:r>
      <w:r w:rsidRPr="00727722">
        <w:rPr>
          <w:i/>
        </w:rPr>
        <w:t>benchmark asset allocation</w:t>
      </w:r>
      <w:r>
        <w:rPr>
          <w:i/>
        </w:rPr>
        <w:t xml:space="preserve"> – </w:t>
      </w:r>
      <w:r w:rsidRPr="00727722">
        <w:rPr>
          <w:i/>
        </w:rPr>
        <w:t>administration expenses</w:t>
      </w:r>
      <w:r>
        <w:rPr>
          <w:i/>
        </w:rPr>
        <w:t xml:space="preserve"> – </w:t>
      </w:r>
      <w:r>
        <w:rPr>
          <w:i/>
        </w:rPr>
        <w:br/>
      </w:r>
      <w:r w:rsidRPr="00727722">
        <w:rPr>
          <w:i/>
        </w:rPr>
        <w:t>investment expenses</w:t>
      </w:r>
      <w:r>
        <w:rPr>
          <w:i/>
        </w:rPr>
        <w:t xml:space="preserve"> – </w:t>
      </w:r>
      <w:r w:rsidRPr="00727722">
        <w:rPr>
          <w:i/>
        </w:rPr>
        <w:t>tax</w:t>
      </w:r>
      <w:r>
        <w:rPr>
          <w:i/>
        </w:rPr>
        <w:t xml:space="preserve"> – </w:t>
      </w:r>
      <w:r w:rsidRPr="00727722">
        <w:rPr>
          <w:i/>
        </w:rPr>
        <w:t>residual</w:t>
      </w:r>
    </w:p>
    <w:p w:rsidR="0028784C" w:rsidRDefault="001A5456" w:rsidP="001A5456">
      <w:pPr>
        <w:pStyle w:val="BodyText"/>
      </w:pPr>
      <w:r>
        <w:t>Relative outperformance</w:t>
      </w:r>
      <w:r w:rsidR="002F0EE7">
        <w:rPr>
          <w:i/>
        </w:rPr>
        <w:t xml:space="preserve"> </w:t>
      </w:r>
      <w:r w:rsidR="002F0EE7">
        <w:t xml:space="preserve">decompositions </w:t>
      </w:r>
      <w:r w:rsidR="002E774A">
        <w:t xml:space="preserve">decompose the total </w:t>
      </w:r>
      <w:r w:rsidR="002E774A" w:rsidRPr="002E774A">
        <w:rPr>
          <w:b/>
        </w:rPr>
        <w:t>out</w:t>
      </w:r>
      <w:r w:rsidR="002E774A">
        <w:t>performance gap between segments and funds</w:t>
      </w:r>
      <w:r w:rsidR="00312121">
        <w:t>.</w:t>
      </w:r>
      <w:r w:rsidR="00157878">
        <w:t xml:space="preserve"> </w:t>
      </w:r>
      <w:r w:rsidR="00312121">
        <w:t>I</w:t>
      </w:r>
      <w:r w:rsidR="002E774A">
        <w:t xml:space="preserve">n the case of </w:t>
      </w:r>
      <w:r w:rsidR="00312121">
        <w:t xml:space="preserve">the </w:t>
      </w:r>
      <w:r w:rsidR="008C7426">
        <w:t>segment</w:t>
      </w:r>
      <w:r w:rsidR="00312121">
        <w:noBreakHyphen/>
        <w:t xml:space="preserve">level </w:t>
      </w:r>
      <w:r>
        <w:t>relative outperformance</w:t>
      </w:r>
      <w:r w:rsidR="00312121">
        <w:t xml:space="preserve"> decomposition</w:t>
      </w:r>
      <w:r w:rsidR="000E027E">
        <w:t>,</w:t>
      </w:r>
      <w:r w:rsidR="008C7426">
        <w:t xml:space="preserve"> </w:t>
      </w:r>
      <w:r w:rsidR="00312121">
        <w:t xml:space="preserve">the </w:t>
      </w:r>
      <w:r w:rsidR="00312121" w:rsidRPr="0072455F">
        <w:rPr>
          <w:b/>
        </w:rPr>
        <w:t>out</w:t>
      </w:r>
      <w:r w:rsidR="00312121">
        <w:t xml:space="preserve">performance gap is calculated by </w:t>
      </w:r>
      <w:r w:rsidR="008C7426">
        <w:t xml:space="preserve">subtracting the outperformance of one </w:t>
      </w:r>
      <w:r w:rsidR="00312121">
        <w:t xml:space="preserve">segment </w:t>
      </w:r>
      <w:r w:rsidR="008C7426">
        <w:t>from the outperformance of the other</w:t>
      </w:r>
      <w:r w:rsidR="005D41B7">
        <w:t>.</w:t>
      </w:r>
      <w:r w:rsidR="002E774A">
        <w:rPr>
          <w:rStyle w:val="FootnoteReference"/>
        </w:rPr>
        <w:footnoteReference w:id="4"/>
      </w:r>
      <w:r w:rsidR="00FD5DE3">
        <w:t xml:space="preserve"> Specifically,</w:t>
      </w:r>
      <w:r w:rsidR="009A1769">
        <w:t xml:space="preserve"> </w:t>
      </w:r>
      <w:r w:rsidR="00312121">
        <w:t>it</w:t>
      </w:r>
      <w:r w:rsidR="0008290E">
        <w:t xml:space="preserve"> </w:t>
      </w:r>
      <w:r w:rsidR="00FD5DE3">
        <w:t>is</w:t>
      </w:r>
      <w:r w:rsidR="0008290E">
        <w:t xml:space="preserve"> </w:t>
      </w:r>
      <w:r w:rsidR="00A32E24">
        <w:t xml:space="preserve">defined </w:t>
      </w:r>
      <w:r w:rsidR="0008290E">
        <w:t>as:</w:t>
      </w:r>
    </w:p>
    <w:p w:rsidR="0028784C" w:rsidRPr="00727722" w:rsidRDefault="007F5080" w:rsidP="00727722">
      <w:pPr>
        <w:pStyle w:val="BodyText"/>
        <w:jc w:val="center"/>
        <w:rPr>
          <w:i/>
        </w:rPr>
      </w:pPr>
      <w:r>
        <w:rPr>
          <w:i/>
        </w:rPr>
        <w:t>(Not</w:t>
      </w:r>
      <w:r>
        <w:rPr>
          <w:i/>
        </w:rPr>
        <w:noBreakHyphen/>
        <w:t>for</w:t>
      </w:r>
      <w:r>
        <w:rPr>
          <w:i/>
        </w:rPr>
        <w:noBreakHyphen/>
      </w:r>
      <w:r w:rsidR="00727722" w:rsidRPr="00727722">
        <w:rPr>
          <w:i/>
        </w:rPr>
        <w:t xml:space="preserve">profit actual performance </w:t>
      </w:r>
      <w:r w:rsidR="00727722">
        <w:rPr>
          <w:i/>
        </w:rPr>
        <w:t>–</w:t>
      </w:r>
      <w:r>
        <w:rPr>
          <w:i/>
        </w:rPr>
        <w:t xml:space="preserve"> Not</w:t>
      </w:r>
      <w:r>
        <w:rPr>
          <w:i/>
        </w:rPr>
        <w:noBreakHyphen/>
        <w:t>for</w:t>
      </w:r>
      <w:r>
        <w:rPr>
          <w:i/>
        </w:rPr>
        <w:noBreakHyphen/>
      </w:r>
      <w:r w:rsidR="00727722" w:rsidRPr="00727722">
        <w:rPr>
          <w:i/>
        </w:rPr>
        <w:t xml:space="preserve">profit benchmark) </w:t>
      </w:r>
      <w:r w:rsidR="00727722">
        <w:rPr>
          <w:i/>
        </w:rPr>
        <w:t>–</w:t>
      </w:r>
      <w:r w:rsidR="00727722" w:rsidRPr="00727722">
        <w:rPr>
          <w:i/>
        </w:rPr>
        <w:t xml:space="preserve"> </w:t>
      </w:r>
      <w:r w:rsidR="00727722">
        <w:rPr>
          <w:i/>
        </w:rPr>
        <w:br/>
      </w:r>
      <w:r w:rsidR="00727722" w:rsidRPr="00727722">
        <w:rPr>
          <w:i/>
        </w:rPr>
        <w:t>(Retail actual performance</w:t>
      </w:r>
      <w:r w:rsidR="00727722">
        <w:rPr>
          <w:i/>
        </w:rPr>
        <w:t xml:space="preserve"> – </w:t>
      </w:r>
      <w:r w:rsidR="00727722" w:rsidRPr="00727722">
        <w:rPr>
          <w:i/>
        </w:rPr>
        <w:t>Retail benchmark)</w:t>
      </w:r>
    </w:p>
    <w:p w:rsidR="0014462C" w:rsidRDefault="00AC4E0E" w:rsidP="0021512C">
      <w:pPr>
        <w:pStyle w:val="BodyText"/>
      </w:pPr>
      <w:r>
        <w:t xml:space="preserve">Which is </w:t>
      </w:r>
      <w:r w:rsidR="00950045">
        <w:t>decomposed as:</w:t>
      </w:r>
    </w:p>
    <w:p w:rsidR="00727722" w:rsidRPr="00727722" w:rsidRDefault="00727722" w:rsidP="00727722">
      <w:pPr>
        <w:pStyle w:val="BodyText"/>
        <w:jc w:val="center"/>
        <w:rPr>
          <w:i/>
        </w:rPr>
      </w:pPr>
      <w:r w:rsidRPr="00727722">
        <w:rPr>
          <w:i/>
        </w:rPr>
        <w:t>Outperformance gap</w:t>
      </w:r>
      <w:r>
        <w:rPr>
          <w:i/>
        </w:rPr>
        <w:t xml:space="preserve"> </w:t>
      </w:r>
      <w:r w:rsidRPr="00727722">
        <w:rPr>
          <w:i/>
        </w:rPr>
        <w:t>=</w:t>
      </w:r>
      <w:r>
        <w:rPr>
          <w:i/>
        </w:rPr>
        <w:t xml:space="preserve"> </w:t>
      </w:r>
      <w:r w:rsidRPr="00727722">
        <w:rPr>
          <w:i/>
        </w:rPr>
        <w:t>administration expense gap</w:t>
      </w:r>
      <w:r>
        <w:rPr>
          <w:i/>
        </w:rPr>
        <w:t xml:space="preserve"> </w:t>
      </w:r>
      <w:r w:rsidRPr="00727722">
        <w:rPr>
          <w:i/>
        </w:rPr>
        <w:t>+</w:t>
      </w:r>
      <w:r>
        <w:rPr>
          <w:i/>
        </w:rPr>
        <w:t xml:space="preserve"> </w:t>
      </w:r>
      <w:r w:rsidRPr="00727722">
        <w:rPr>
          <w:i/>
        </w:rPr>
        <w:t>investment expense gap</w:t>
      </w:r>
      <w:r>
        <w:rPr>
          <w:i/>
        </w:rPr>
        <w:t xml:space="preserve"> </w:t>
      </w:r>
      <w:r w:rsidRPr="00727722">
        <w:rPr>
          <w:i/>
        </w:rPr>
        <w:t>+</w:t>
      </w:r>
      <w:r>
        <w:rPr>
          <w:i/>
        </w:rPr>
        <w:t xml:space="preserve"> </w:t>
      </w:r>
      <w:r>
        <w:rPr>
          <w:i/>
        </w:rPr>
        <w:br/>
      </w:r>
      <w:r w:rsidRPr="00727722">
        <w:rPr>
          <w:i/>
        </w:rPr>
        <w:t>tax gap</w:t>
      </w:r>
      <w:r>
        <w:rPr>
          <w:i/>
        </w:rPr>
        <w:t xml:space="preserve"> </w:t>
      </w:r>
      <w:r w:rsidRPr="00727722">
        <w:rPr>
          <w:i/>
        </w:rPr>
        <w:t>+</w:t>
      </w:r>
      <w:r>
        <w:rPr>
          <w:i/>
        </w:rPr>
        <w:t xml:space="preserve"> </w:t>
      </w:r>
      <w:r w:rsidRPr="00727722">
        <w:rPr>
          <w:i/>
        </w:rPr>
        <w:t>residual gap</w:t>
      </w:r>
    </w:p>
    <w:p w:rsidR="0008290E" w:rsidRDefault="0008290E" w:rsidP="0021512C">
      <w:pPr>
        <w:pStyle w:val="BodyText"/>
      </w:pPr>
      <w:r>
        <w:t>The interpretation in this case is that the larger the total outperformance gap, the better the not</w:t>
      </w:r>
      <w:r w:rsidR="00365E2B">
        <w:noBreakHyphen/>
      </w:r>
      <w:r>
        <w:t>for</w:t>
      </w:r>
      <w:r w:rsidR="00365E2B">
        <w:noBreakHyphen/>
      </w:r>
      <w:r>
        <w:t xml:space="preserve">profit segment is </w:t>
      </w:r>
      <w:r w:rsidR="00F2391D">
        <w:t>performing</w:t>
      </w:r>
      <w:r>
        <w:t xml:space="preserve"> compared to the </w:t>
      </w:r>
      <w:r w:rsidR="00365E2B">
        <w:t>retail</w:t>
      </w:r>
      <w:r>
        <w:t xml:space="preserve"> segment</w:t>
      </w:r>
      <w:r w:rsidR="00F2391D">
        <w:t>, after</w:t>
      </w:r>
      <w:r>
        <w:t xml:space="preserve"> </w:t>
      </w:r>
      <w:r w:rsidRPr="009A1769">
        <w:t>accounting for differences in asset allocation.</w:t>
      </w:r>
    </w:p>
    <w:p w:rsidR="00296753" w:rsidRDefault="00296753" w:rsidP="0021512C">
      <w:pPr>
        <w:pStyle w:val="BodyText"/>
      </w:pPr>
    </w:p>
    <w:p w:rsidR="009E047F" w:rsidRDefault="009E047F" w:rsidP="0021512C">
      <w:pPr>
        <w:pStyle w:val="BodyText"/>
      </w:pPr>
      <w:r>
        <w:lastRenderedPageBreak/>
        <w:t>In terms of the components the outperformance gap is decomposed into, these also represent differences relative to benchmarks. For example, for the tax gap:</w:t>
      </w:r>
    </w:p>
    <w:p w:rsidR="009E047F" w:rsidRDefault="009E047F" w:rsidP="009E047F">
      <w:pPr>
        <w:pStyle w:val="BodyText"/>
        <w:jc w:val="center"/>
      </w:pPr>
      <w:r>
        <w:rPr>
          <w:i/>
        </w:rPr>
        <w:t>Tax gap = (Not</w:t>
      </w:r>
      <w:r w:rsidR="00FB7E7A">
        <w:rPr>
          <w:i/>
        </w:rPr>
        <w:noBreakHyphen/>
      </w:r>
      <w:r>
        <w:rPr>
          <w:i/>
        </w:rPr>
        <w:t>for</w:t>
      </w:r>
      <w:r w:rsidR="00FB7E7A">
        <w:rPr>
          <w:i/>
        </w:rPr>
        <w:noBreakHyphen/>
        <w:t>profit actual tax – Not</w:t>
      </w:r>
      <w:r w:rsidR="00FB7E7A">
        <w:rPr>
          <w:i/>
        </w:rPr>
        <w:noBreakHyphen/>
        <w:t>for</w:t>
      </w:r>
      <w:r w:rsidR="00FB7E7A">
        <w:rPr>
          <w:i/>
        </w:rPr>
        <w:noBreakHyphen/>
      </w:r>
      <w:r>
        <w:rPr>
          <w:i/>
        </w:rPr>
        <w:t xml:space="preserve">profit tax in benchmark) – </w:t>
      </w:r>
      <w:r>
        <w:rPr>
          <w:i/>
        </w:rPr>
        <w:br/>
        <w:t>(Retail actual tax – Retail tax in benchmark)</w:t>
      </w:r>
    </w:p>
    <w:p w:rsidR="00950045" w:rsidRPr="0008290E" w:rsidRDefault="00950045" w:rsidP="0021512C">
      <w:pPr>
        <w:pStyle w:val="BodyText"/>
      </w:pPr>
      <w:r>
        <w:t xml:space="preserve">The difference in asset allocation, while not a component of the </w:t>
      </w:r>
      <w:r w:rsidR="003C57B7">
        <w:t>relative outperformance</w:t>
      </w:r>
      <w:r>
        <w:t xml:space="preserve"> decomposition as such, has been shown on relevant charts for information.</w:t>
      </w:r>
      <w:r w:rsidR="00F71FAC">
        <w:t xml:space="preserve"> Adding the difference in asset allocation to the outperformance gap yields the net returns gap between the segments. </w:t>
      </w:r>
    </w:p>
    <w:p w:rsidR="004248EE" w:rsidRDefault="002E774A" w:rsidP="0021512C">
      <w:pPr>
        <w:pStyle w:val="BodyText"/>
      </w:pPr>
      <w:r>
        <w:t>In the case of fund</w:t>
      </w:r>
      <w:r w:rsidR="00365E2B">
        <w:noBreakHyphen/>
      </w:r>
      <w:r>
        <w:t>level</w:t>
      </w:r>
      <w:r w:rsidR="000E027E">
        <w:t xml:space="preserve"> </w:t>
      </w:r>
      <w:r w:rsidR="00E464EA" w:rsidRPr="0072455F">
        <w:t>relative outperformance</w:t>
      </w:r>
      <w:r w:rsidR="00E464EA">
        <w:t xml:space="preserve"> </w:t>
      </w:r>
      <w:r>
        <w:t>decompositions,</w:t>
      </w:r>
      <w:r w:rsidR="0061237A">
        <w:t xml:space="preserve"> the total </w:t>
      </w:r>
      <w:r w:rsidR="0061237A" w:rsidRPr="009A1769">
        <w:rPr>
          <w:b/>
        </w:rPr>
        <w:t>out</w:t>
      </w:r>
      <w:r w:rsidR="0061237A">
        <w:t xml:space="preserve">performance gap is the fund’s </w:t>
      </w:r>
      <w:r w:rsidR="0061237A" w:rsidRPr="009A1769">
        <w:rPr>
          <w:b/>
        </w:rPr>
        <w:t>out</w:t>
      </w:r>
      <w:r w:rsidR="0061237A">
        <w:t xml:space="preserve">performance minus system outperformance. </w:t>
      </w:r>
      <w:r w:rsidR="00F94134">
        <w:t>F</w:t>
      </w:r>
      <w:r w:rsidR="0008290E">
        <w:t xml:space="preserve">unds with a large and positive total outperformance gap are </w:t>
      </w:r>
      <w:r w:rsidR="00F94134">
        <w:t>performing</w:t>
      </w:r>
      <w:r w:rsidR="0008290E">
        <w:t xml:space="preserve"> better than the system</w:t>
      </w:r>
      <w:r w:rsidR="00F94134">
        <w:t xml:space="preserve"> as a whole</w:t>
      </w:r>
      <w:r w:rsidR="0008290E">
        <w:t xml:space="preserve">, taking into account differences in asset allocation. </w:t>
      </w:r>
      <w:r w:rsidR="00487915">
        <w:t>And</w:t>
      </w:r>
      <w:r w:rsidR="00F94134">
        <w:t xml:space="preserve"> f</w:t>
      </w:r>
      <w:r w:rsidR="0008290E">
        <w:t xml:space="preserve">unds with a negative outperformance gap are </w:t>
      </w:r>
      <w:r w:rsidR="00F94134">
        <w:t xml:space="preserve">performing </w:t>
      </w:r>
      <w:r w:rsidR="0008290E">
        <w:t>worse than the system, even when accounting for differences in asset allocation.</w:t>
      </w:r>
    </w:p>
    <w:p w:rsidR="00E5320E" w:rsidRDefault="00A8664C" w:rsidP="0021512C">
      <w:pPr>
        <w:pStyle w:val="BodyText"/>
      </w:pPr>
      <w:r>
        <w:t>The Commission has used simple arithmetic averages for the decomposition analysis</w:t>
      </w:r>
      <w:r w:rsidR="00AB526A">
        <w:t xml:space="preserve"> because</w:t>
      </w:r>
      <w:r>
        <w:t xml:space="preserve"> g</w:t>
      </w:r>
      <w:r w:rsidR="00B63941">
        <w:t>eometric averages (time</w:t>
      </w:r>
      <w:r w:rsidR="00617DD2">
        <w:noBreakHyphen/>
      </w:r>
      <w:r w:rsidR="00B63941">
        <w:t xml:space="preserve">weighted measures) </w:t>
      </w:r>
      <w:r>
        <w:t xml:space="preserve">are not linear functions of inputs and thus </w:t>
      </w:r>
      <w:r w:rsidR="00B63941">
        <w:t xml:space="preserve">pose </w:t>
      </w:r>
      <w:r w:rsidR="00487915">
        <w:t xml:space="preserve">computational </w:t>
      </w:r>
      <w:r w:rsidR="00B63941">
        <w:t xml:space="preserve">difficulties for decomposing </w:t>
      </w:r>
      <w:r w:rsidR="002D2B23">
        <w:t xml:space="preserve">attribution </w:t>
      </w:r>
      <w:r w:rsidR="00B63941">
        <w:t>quantities.</w:t>
      </w:r>
      <w:r w:rsidR="00E5320E">
        <w:t xml:space="preserve"> </w:t>
      </w:r>
      <w:r w:rsidR="00044A48">
        <w:t>However, the discrepancies are likely to be very small</w:t>
      </w:r>
      <w:r w:rsidR="00AB526A">
        <w:t> — </w:t>
      </w:r>
      <w:r w:rsidR="002149B9">
        <w:t xml:space="preserve">so </w:t>
      </w:r>
      <w:r>
        <w:t>arithmetic average</w:t>
      </w:r>
      <w:r w:rsidR="00773F35">
        <w:t>s</w:t>
      </w:r>
      <w:r w:rsidR="0075500A">
        <w:t xml:space="preserve"> </w:t>
      </w:r>
      <w:r>
        <w:t>provide a reasonable approximation.</w:t>
      </w:r>
    </w:p>
    <w:p w:rsidR="007E048A" w:rsidRDefault="00773F35" w:rsidP="00384870">
      <w:pPr>
        <w:pStyle w:val="BodyText"/>
      </w:pPr>
      <w:r>
        <w:t>The Commission has also conducted simple regression analysis on the fund</w:t>
      </w:r>
      <w:r>
        <w:noBreakHyphen/>
        <w:t xml:space="preserve">level residuals to explore potential correlations </w:t>
      </w:r>
      <w:r w:rsidR="00F50BE4">
        <w:t xml:space="preserve">with </w:t>
      </w:r>
      <w:r>
        <w:t xml:space="preserve">various fund characteristics. While the correlations might suggest avenues of further investigation and analysis by regulators and researchers, the results </w:t>
      </w:r>
      <w:r w:rsidR="007E048A">
        <w:t xml:space="preserve">here </w:t>
      </w:r>
      <w:r w:rsidR="002D2B23">
        <w:t xml:space="preserve">are associative — they </w:t>
      </w:r>
      <w:r w:rsidR="007E048A">
        <w:t>can only indicate correlation, not causation.</w:t>
      </w:r>
    </w:p>
    <w:p w:rsidR="00296753" w:rsidRDefault="00296753">
      <w:pPr>
        <w:rPr>
          <w:rFonts w:ascii="Arial" w:hAnsi="Arial"/>
          <w:szCs w:val="20"/>
        </w:rPr>
      </w:pPr>
      <w:r>
        <w:br w:type="page"/>
      </w:r>
    </w:p>
    <w:p w:rsidR="00A63723" w:rsidRDefault="00E464EA" w:rsidP="00B37CCD">
      <w:pPr>
        <w:pStyle w:val="Heading4"/>
      </w:pPr>
      <w:r>
        <w:lastRenderedPageBreak/>
        <w:t xml:space="preserve">Absolute performance </w:t>
      </w:r>
      <w:r w:rsidR="00DF3F95">
        <w:t>decomposition</w:t>
      </w:r>
      <w:r w:rsidR="00773F35">
        <w:t>: system</w:t>
      </w:r>
    </w:p>
    <w:p w:rsidR="00C3762B" w:rsidRDefault="009E62BE" w:rsidP="00190968">
      <w:pPr>
        <w:pStyle w:val="BodyText"/>
      </w:pPr>
      <w:r>
        <w:t>O</w:t>
      </w:r>
      <w:r w:rsidR="00BE06BE">
        <w:t xml:space="preserve">ver the </w:t>
      </w:r>
      <w:r w:rsidR="00773F35">
        <w:t>13</w:t>
      </w:r>
      <w:r w:rsidR="00773F35">
        <w:noBreakHyphen/>
        <w:t>year</w:t>
      </w:r>
      <w:r w:rsidR="00BE06BE">
        <w:t xml:space="preserve"> period 2005</w:t>
      </w:r>
      <w:r>
        <w:t>–</w:t>
      </w:r>
      <w:r w:rsidR="00BE06BE">
        <w:t>2017</w:t>
      </w:r>
      <w:r>
        <w:t>, i</w:t>
      </w:r>
      <w:r w:rsidR="00BE06BE">
        <w:t xml:space="preserve">nvestment and administration expenses </w:t>
      </w:r>
      <w:r>
        <w:t xml:space="preserve">collectively accounted for </w:t>
      </w:r>
      <w:r w:rsidR="00BE06BE">
        <w:t xml:space="preserve">almost </w:t>
      </w:r>
      <w:r w:rsidR="00773F35">
        <w:t>100 basis points (</w:t>
      </w:r>
      <w:r w:rsidR="00BE06BE">
        <w:t>1 percent</w:t>
      </w:r>
      <w:r w:rsidR="009752E8">
        <w:t>age point</w:t>
      </w:r>
      <w:r w:rsidR="00773F35">
        <w:t>)</w:t>
      </w:r>
      <w:r w:rsidR="0080515A">
        <w:t xml:space="preserve"> </w:t>
      </w:r>
      <w:r>
        <w:t xml:space="preserve">of </w:t>
      </w:r>
      <w:r w:rsidR="001E67AD">
        <w:t xml:space="preserve">gross </w:t>
      </w:r>
      <w:r w:rsidR="00BE06BE">
        <w:t>returns</w:t>
      </w:r>
      <w:r w:rsidR="00511843">
        <w:t xml:space="preserve"> for the APRA</w:t>
      </w:r>
      <w:r w:rsidR="00511843">
        <w:noBreakHyphen/>
        <w:t>regulated system as a whole</w:t>
      </w:r>
      <w:r w:rsidR="00BE06BE">
        <w:t>, while tax had no impact</w:t>
      </w:r>
      <w:r>
        <w:t xml:space="preserve"> (figure 7)</w:t>
      </w:r>
      <w:r w:rsidR="00BE06BE">
        <w:t>. The residual is large</w:t>
      </w:r>
      <w:r w:rsidR="00213382">
        <w:t>,</w:t>
      </w:r>
      <w:r w:rsidR="00BE06BE">
        <w:t xml:space="preserve"> accounting for a further </w:t>
      </w:r>
      <w:r w:rsidR="00CC0311">
        <w:t>90 b</w:t>
      </w:r>
      <w:r w:rsidR="00773F35">
        <w:t xml:space="preserve">asis </w:t>
      </w:r>
      <w:r w:rsidR="00CC0311">
        <w:t>p</w:t>
      </w:r>
      <w:r w:rsidR="00773F35">
        <w:t>oints</w:t>
      </w:r>
      <w:r w:rsidR="00BE06BE">
        <w:t xml:space="preserve"> of returns</w:t>
      </w:r>
      <w:r w:rsidR="001143C3">
        <w:t>, though some of this likely comprises indirect investment expenses — that is, costs which are deducted as an investment fee by investment managers (at the underlying asset level) from the returns that funds earn, but are not reported in APRA data.</w:t>
      </w:r>
    </w:p>
    <w:p w:rsidR="0088640A" w:rsidRDefault="0088640A" w:rsidP="00D6128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8640A" w:rsidTr="00D61289">
        <w:trPr>
          <w:tblHeader/>
        </w:trPr>
        <w:tc>
          <w:tcPr>
            <w:tcW w:w="5000" w:type="pct"/>
            <w:tcBorders>
              <w:top w:val="single" w:sz="6" w:space="0" w:color="78A22F"/>
              <w:left w:val="nil"/>
              <w:bottom w:val="nil"/>
              <w:right w:val="nil"/>
            </w:tcBorders>
            <w:shd w:val="clear" w:color="auto" w:fill="auto"/>
          </w:tcPr>
          <w:p w:rsidR="0088640A" w:rsidRDefault="0088640A" w:rsidP="00D61289">
            <w:pPr>
              <w:pStyle w:val="FigureTitle"/>
            </w:pPr>
            <w:r w:rsidRPr="00784A05">
              <w:rPr>
                <w:b w:val="0"/>
              </w:rPr>
              <w:t xml:space="preserve">Figure </w:t>
            </w:r>
            <w:bookmarkStart w:id="21" w:name="OLE_LINK16"/>
            <w:r w:rsidR="001345FE">
              <w:rPr>
                <w:b w:val="0"/>
                <w:noProof/>
              </w:rPr>
              <w:t>7</w:t>
            </w:r>
            <w:bookmarkEnd w:id="21"/>
            <w:r>
              <w:tab/>
            </w:r>
            <w:r w:rsidR="00E464EA">
              <w:t xml:space="preserve">Absolute performance </w:t>
            </w:r>
            <w:r w:rsidR="00DF3F95">
              <w:t>decomposition</w:t>
            </w:r>
            <w:r w:rsidR="005924BE">
              <w:t>: system level</w:t>
            </w:r>
          </w:p>
          <w:p w:rsidR="0088640A" w:rsidRPr="00176D3F" w:rsidRDefault="00474E1E" w:rsidP="005924BE">
            <w:pPr>
              <w:pStyle w:val="Subtitle"/>
            </w:pPr>
            <w:r>
              <w:t>2005</w:t>
            </w:r>
            <w:r w:rsidR="005D41B7">
              <w:t>–</w:t>
            </w:r>
            <w:r>
              <w:t>2017</w:t>
            </w:r>
          </w:p>
        </w:tc>
      </w:tr>
      <w:tr w:rsidR="0088640A" w:rsidTr="00D6128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8640A" w:rsidRPr="00B1465D" w:rsidTr="00D61289">
              <w:trPr>
                <w:tblHeader/>
                <w:jc w:val="center"/>
              </w:trPr>
              <w:tc>
                <w:tcPr>
                  <w:tcW w:w="5000" w:type="pct"/>
                  <w:tcBorders>
                    <w:top w:val="nil"/>
                    <w:bottom w:val="nil"/>
                  </w:tcBorders>
                </w:tcPr>
                <w:p w:rsidR="008D5771" w:rsidRPr="00B1465D" w:rsidRDefault="00D939DE" w:rsidP="00D61289">
                  <w:pPr>
                    <w:pStyle w:val="Figure"/>
                    <w:spacing w:before="60" w:after="60"/>
                    <w:rPr>
                      <w:rFonts w:ascii="Arial" w:hAnsi="Arial" w:cs="Arial"/>
                      <w:sz w:val="18"/>
                      <w:szCs w:val="18"/>
                    </w:rPr>
                  </w:pPr>
                  <w:r w:rsidRPr="00D939DE">
                    <w:rPr>
                      <w:rFonts w:ascii="Arial" w:hAnsi="Arial" w:cs="Arial"/>
                      <w:sz w:val="18"/>
                      <w:szCs w:val="18"/>
                    </w:rPr>
                    <w:t xml:space="preserve"> </w:t>
                  </w:r>
                  <w:r w:rsidRPr="00D939DE">
                    <w:rPr>
                      <w:rFonts w:ascii="Arial" w:hAnsi="Arial" w:cs="Arial"/>
                      <w:noProof/>
                      <w:sz w:val="18"/>
                      <w:szCs w:val="18"/>
                    </w:rPr>
                    <w:drawing>
                      <wp:inline distT="0" distB="0" distL="0" distR="0" wp14:anchorId="56F12935" wp14:editId="7CC6AC58">
                        <wp:extent cx="5350933" cy="2845277"/>
                        <wp:effectExtent l="0" t="0" r="0" b="0"/>
                        <wp:docPr id="32" name="Picture 32" descr="Half of the gap comes from reported expenses and the other half is in the residual. Asset allocation (the benchmark return) is 8.3 percentage points, tax adds zero, investment expenses detract 0.2, administration expenses detract 0.7, the residual detracts 0.9, and the net return is 6.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53286" cy="2846528"/>
                                </a:xfrm>
                                <a:prstGeom prst="rect">
                                  <a:avLst/>
                                </a:prstGeom>
                                <a:noFill/>
                                <a:ln>
                                  <a:noFill/>
                                </a:ln>
                              </pic:spPr>
                            </pic:pic>
                          </a:graphicData>
                        </a:graphic>
                      </wp:inline>
                    </w:drawing>
                  </w:r>
                  <w:r w:rsidR="00CC0311" w:rsidRPr="00CC0311">
                    <w:rPr>
                      <w:rStyle w:val="CommentReference"/>
                      <w:rFonts w:ascii="Arial" w:hAnsi="Arial" w:cs="Arial"/>
                      <w:b w:val="0"/>
                      <w:vanish w:val="0"/>
                      <w:color w:val="auto"/>
                      <w:sz w:val="18"/>
                      <w:szCs w:val="18"/>
                    </w:rPr>
                    <w:t xml:space="preserve"> </w:t>
                  </w:r>
                </w:p>
                <w:tbl>
                  <w:tblPr>
                    <w:tblW w:w="0" w:type="auto"/>
                    <w:tblLook w:val="04A0" w:firstRow="1" w:lastRow="0" w:firstColumn="1" w:lastColumn="0" w:noHBand="0" w:noVBand="1"/>
                  </w:tblPr>
                  <w:tblGrid>
                    <w:gridCol w:w="1559"/>
                    <w:gridCol w:w="2311"/>
                    <w:gridCol w:w="2312"/>
                    <w:gridCol w:w="2312"/>
                  </w:tblGrid>
                  <w:tr w:rsidR="008D5771" w:rsidTr="0015693C">
                    <w:trPr>
                      <w:tblHeader/>
                    </w:trPr>
                    <w:tc>
                      <w:tcPr>
                        <w:tcW w:w="1559" w:type="dxa"/>
                        <w:shd w:val="clear" w:color="auto" w:fill="F2F2F2" w:themeFill="background1" w:themeFillShade="F2"/>
                      </w:tcPr>
                      <w:p w:rsidR="008D5771" w:rsidRDefault="008D5771" w:rsidP="008D5771">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6935" w:type="dxa"/>
                        <w:gridSpan w:val="3"/>
                        <w:shd w:val="clear" w:color="auto" w:fill="F2F2F2" w:themeFill="background1" w:themeFillShade="F2"/>
                      </w:tcPr>
                      <w:p w:rsidR="008D5771" w:rsidRDefault="008D5771" w:rsidP="008D5771">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PC analysis of APRA confidential data and financial market index data (various providers).</w:t>
                        </w:r>
                      </w:p>
                    </w:tc>
                  </w:tr>
                  <w:tr w:rsidR="008D5771" w:rsidTr="0015693C">
                    <w:tc>
                      <w:tcPr>
                        <w:tcW w:w="1559" w:type="dxa"/>
                        <w:shd w:val="clear" w:color="auto" w:fill="F2F2F2" w:themeFill="background1" w:themeFillShade="F2"/>
                      </w:tcPr>
                      <w:p w:rsidR="008D5771" w:rsidRDefault="008D5771" w:rsidP="008D5771">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Benchmark</w:t>
                        </w:r>
                      </w:p>
                    </w:tc>
                    <w:tc>
                      <w:tcPr>
                        <w:tcW w:w="6935" w:type="dxa"/>
                        <w:gridSpan w:val="3"/>
                        <w:shd w:val="clear" w:color="auto" w:fill="F2F2F2" w:themeFill="background1" w:themeFillShade="F2"/>
                      </w:tcPr>
                      <w:p w:rsidR="008D5771" w:rsidRDefault="008D5771" w:rsidP="008D5771">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System BP2</w:t>
                        </w:r>
                        <w:r w:rsidR="0080515A">
                          <w:rPr>
                            <w:rFonts w:ascii="Arial" w:eastAsia="+mn-ea" w:hAnsi="Arial" w:cs="Arial"/>
                            <w:color w:val="000000" w:themeColor="text1"/>
                            <w:kern w:val="24"/>
                            <w:sz w:val="18"/>
                            <w:szCs w:val="18"/>
                          </w:rPr>
                          <w:t>.</w:t>
                        </w:r>
                      </w:p>
                    </w:tc>
                  </w:tr>
                  <w:tr w:rsidR="008D5771" w:rsidTr="0015693C">
                    <w:tc>
                      <w:tcPr>
                        <w:tcW w:w="1559" w:type="dxa"/>
                        <w:shd w:val="clear" w:color="auto" w:fill="F2F2F2" w:themeFill="background1" w:themeFillShade="F2"/>
                      </w:tcPr>
                      <w:p w:rsidR="008D5771" w:rsidRDefault="008D5771" w:rsidP="008D5771">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gridSpan w:val="3"/>
                        <w:shd w:val="clear" w:color="auto" w:fill="F2F2F2" w:themeFill="background1" w:themeFillShade="F2"/>
                      </w:tcPr>
                      <w:p w:rsidR="008D5771" w:rsidRPr="001F53B0" w:rsidRDefault="008D5771" w:rsidP="002730DF">
                        <w:pPr>
                          <w:pStyle w:val="NormalWeb"/>
                          <w:spacing w:before="0" w:beforeAutospacing="0" w:after="0" w:afterAutospacing="0"/>
                          <w:rPr>
                            <w:color w:val="000000" w:themeColor="text1"/>
                          </w:rPr>
                        </w:pPr>
                        <w:r>
                          <w:rPr>
                            <w:rFonts w:ascii="Arial" w:eastAsia="+mn-ea" w:hAnsi="Arial" w:cs="Arial"/>
                            <w:color w:val="000000" w:themeColor="text1"/>
                            <w:kern w:val="24"/>
                            <w:sz w:val="18"/>
                            <w:szCs w:val="18"/>
                          </w:rPr>
                          <w:t>All APRA</w:t>
                        </w:r>
                        <w:r>
                          <w:rPr>
                            <w:rFonts w:ascii="Arial" w:eastAsia="+mn-ea" w:hAnsi="Arial" w:cs="Arial"/>
                            <w:color w:val="000000" w:themeColor="text1"/>
                            <w:kern w:val="24"/>
                            <w:sz w:val="18"/>
                            <w:szCs w:val="18"/>
                          </w:rPr>
                          <w:noBreakHyphen/>
                          <w:t>regulated</w:t>
                        </w:r>
                        <w:r w:rsidRPr="00A95597">
                          <w:rPr>
                            <w:rFonts w:ascii="Arial" w:eastAsia="+mn-ea" w:hAnsi="Arial" w:cs="Arial"/>
                            <w:color w:val="000000" w:themeColor="text1"/>
                            <w:kern w:val="24"/>
                            <w:sz w:val="18"/>
                            <w:szCs w:val="18"/>
                          </w:rPr>
                          <w:t xml:space="preserve"> funds</w:t>
                        </w:r>
                        <w:r>
                          <w:rPr>
                            <w:rFonts w:ascii="Arial" w:eastAsia="+mn-ea" w:hAnsi="Arial" w:cs="Arial"/>
                            <w:color w:val="000000" w:themeColor="text1"/>
                            <w:kern w:val="24"/>
                            <w:sz w:val="18"/>
                            <w:szCs w:val="18"/>
                          </w:rPr>
                          <w:t>. Excludes e</w:t>
                        </w:r>
                        <w:r w:rsidRPr="00A95597">
                          <w:rPr>
                            <w:rFonts w:ascii="Arial" w:eastAsia="+mn-ea" w:hAnsi="Arial" w:cs="Arial"/>
                            <w:color w:val="000000" w:themeColor="text1"/>
                            <w:kern w:val="24"/>
                            <w:sz w:val="18"/>
                            <w:szCs w:val="18"/>
                          </w:rPr>
                          <w:t>xempt public sector superannuation schemes</w:t>
                        </w:r>
                        <w:r>
                          <w:rPr>
                            <w:rFonts w:ascii="Arial" w:eastAsia="+mn-ea" w:hAnsi="Arial" w:cs="Arial"/>
                            <w:color w:val="000000" w:themeColor="text1"/>
                            <w:kern w:val="24"/>
                            <w:sz w:val="18"/>
                            <w:szCs w:val="18"/>
                          </w:rPr>
                          <w:t>, eligible rollover funds and insurance</w:t>
                        </w:r>
                        <w:r>
                          <w:rPr>
                            <w:rFonts w:ascii="Arial" w:eastAsia="+mn-ea" w:hAnsi="Arial" w:cs="Arial"/>
                            <w:color w:val="000000" w:themeColor="text1"/>
                            <w:kern w:val="24"/>
                            <w:sz w:val="18"/>
                            <w:szCs w:val="18"/>
                          </w:rPr>
                          <w:noBreakHyphen/>
                          <w:t xml:space="preserve">only superannuation funds. </w:t>
                        </w:r>
                      </w:p>
                    </w:tc>
                  </w:tr>
                  <w:tr w:rsidR="008D5771" w:rsidTr="0015693C">
                    <w:tc>
                      <w:tcPr>
                        <w:tcW w:w="1559" w:type="dxa"/>
                        <w:shd w:val="clear" w:color="auto" w:fill="F2F2F2" w:themeFill="background1" w:themeFillShade="F2"/>
                      </w:tcPr>
                      <w:p w:rsidR="008D5771" w:rsidRPr="004E69F4" w:rsidRDefault="008D5771" w:rsidP="008D5771">
                        <w:pPr>
                          <w:pStyle w:val="Figure"/>
                          <w:spacing w:before="0" w:after="0"/>
                          <w:jc w:val="left"/>
                          <w:rPr>
                            <w:rFonts w:asciiTheme="minorHAnsi" w:hAnsi="Arial" w:cstheme="minorBidi"/>
                            <w:b/>
                            <w:color w:val="000000" w:themeColor="text1"/>
                            <w:kern w:val="24"/>
                            <w:sz w:val="18"/>
                            <w:szCs w:val="18"/>
                          </w:rPr>
                        </w:pPr>
                        <w:r>
                          <w:rPr>
                            <w:rFonts w:asciiTheme="minorHAnsi" w:hAnsi="Arial" w:cstheme="minorBidi"/>
                            <w:b/>
                            <w:color w:val="000000" w:themeColor="text1"/>
                            <w:kern w:val="24"/>
                            <w:sz w:val="18"/>
                            <w:szCs w:val="18"/>
                          </w:rPr>
                          <w:t>Survivor Bias</w:t>
                        </w:r>
                      </w:p>
                    </w:tc>
                    <w:tc>
                      <w:tcPr>
                        <w:tcW w:w="2311" w:type="dxa"/>
                        <w:shd w:val="clear" w:color="auto" w:fill="F2F2F2" w:themeFill="background1" w:themeFillShade="F2"/>
                      </w:tcPr>
                      <w:p w:rsidR="008D5771" w:rsidRPr="00A95597" w:rsidRDefault="008D5771" w:rsidP="008D5771">
                        <w:pPr>
                          <w:pStyle w:val="NormalWeb"/>
                          <w:spacing w:before="0" w:beforeAutospacing="0" w:after="0" w:afterAutospacing="0"/>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No.</w:t>
                        </w:r>
                      </w:p>
                    </w:tc>
                    <w:tc>
                      <w:tcPr>
                        <w:tcW w:w="2312" w:type="dxa"/>
                        <w:shd w:val="clear" w:color="auto" w:fill="F2F2F2" w:themeFill="background1" w:themeFillShade="F2"/>
                      </w:tcPr>
                      <w:p w:rsidR="008D5771" w:rsidRPr="004E69F4" w:rsidRDefault="008D5771" w:rsidP="008D5771">
                        <w:pPr>
                          <w:pStyle w:val="NormalWeb"/>
                          <w:spacing w:before="0" w:beforeAutospacing="0" w:after="0" w:afterAutospacing="0"/>
                          <w:rPr>
                            <w:rFonts w:ascii="Arial" w:eastAsia="+mn-ea" w:hAnsi="Arial" w:cs="Arial"/>
                            <w:b/>
                            <w:color w:val="000000" w:themeColor="text1"/>
                            <w:kern w:val="24"/>
                            <w:sz w:val="18"/>
                            <w:szCs w:val="18"/>
                          </w:rPr>
                        </w:pPr>
                        <w:r>
                          <w:rPr>
                            <w:rFonts w:ascii="Arial" w:eastAsia="+mn-ea" w:hAnsi="Arial" w:cs="Arial"/>
                            <w:b/>
                            <w:color w:val="000000" w:themeColor="text1"/>
                            <w:kern w:val="24"/>
                            <w:sz w:val="18"/>
                            <w:szCs w:val="18"/>
                          </w:rPr>
                          <w:t>Selection Bias</w:t>
                        </w:r>
                      </w:p>
                    </w:tc>
                    <w:tc>
                      <w:tcPr>
                        <w:tcW w:w="2312" w:type="dxa"/>
                        <w:shd w:val="clear" w:color="auto" w:fill="F2F2F2" w:themeFill="background1" w:themeFillShade="F2"/>
                      </w:tcPr>
                      <w:p w:rsidR="008D5771" w:rsidRPr="00A95597" w:rsidRDefault="008D5771" w:rsidP="008D5771">
                        <w:pPr>
                          <w:pStyle w:val="NormalWeb"/>
                          <w:spacing w:before="0" w:beforeAutospacing="0" w:after="0" w:afterAutospacing="0"/>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No.</w:t>
                        </w:r>
                      </w:p>
                    </w:tc>
                  </w:tr>
                </w:tbl>
                <w:p w:rsidR="0088640A" w:rsidRPr="00B1465D" w:rsidRDefault="0088640A" w:rsidP="00D61289">
                  <w:pPr>
                    <w:pStyle w:val="Figure"/>
                    <w:spacing w:before="60" w:after="60"/>
                    <w:rPr>
                      <w:rFonts w:ascii="Arial" w:hAnsi="Arial" w:cs="Arial"/>
                      <w:sz w:val="18"/>
                      <w:szCs w:val="18"/>
                    </w:rPr>
                  </w:pPr>
                </w:p>
              </w:tc>
            </w:tr>
          </w:tbl>
          <w:p w:rsidR="0088640A" w:rsidRDefault="0088640A" w:rsidP="00D61289">
            <w:pPr>
              <w:pStyle w:val="Figure"/>
            </w:pPr>
          </w:p>
        </w:tc>
      </w:tr>
      <w:tr w:rsidR="0088640A" w:rsidTr="00D61289">
        <w:tc>
          <w:tcPr>
            <w:tcW w:w="5000" w:type="pct"/>
            <w:tcBorders>
              <w:top w:val="nil"/>
              <w:left w:val="nil"/>
              <w:bottom w:val="single" w:sz="6" w:space="0" w:color="78A22F"/>
              <w:right w:val="nil"/>
            </w:tcBorders>
            <w:shd w:val="clear" w:color="auto" w:fill="auto"/>
          </w:tcPr>
          <w:p w:rsidR="0088640A" w:rsidRDefault="0088640A" w:rsidP="00D61289">
            <w:pPr>
              <w:pStyle w:val="Figurespace"/>
            </w:pPr>
          </w:p>
        </w:tc>
      </w:tr>
      <w:tr w:rsidR="0088640A" w:rsidRPr="000863A5" w:rsidTr="00D61289">
        <w:tc>
          <w:tcPr>
            <w:tcW w:w="5000" w:type="pct"/>
            <w:tcBorders>
              <w:top w:val="single" w:sz="6" w:space="0" w:color="78A22F"/>
              <w:left w:val="nil"/>
              <w:bottom w:val="nil"/>
              <w:right w:val="nil"/>
            </w:tcBorders>
          </w:tcPr>
          <w:p w:rsidR="0088640A" w:rsidRPr="00626D32" w:rsidRDefault="0088640A" w:rsidP="00D61289">
            <w:pPr>
              <w:pStyle w:val="BoxSpaceBelow"/>
            </w:pPr>
          </w:p>
        </w:tc>
      </w:tr>
    </w:tbl>
    <w:p w:rsidR="00296753" w:rsidRDefault="00296753" w:rsidP="00296753">
      <w:pPr>
        <w:pStyle w:val="BodyText"/>
      </w:pPr>
      <w:r>
        <w:t>SuperRatings data (on fees charged on superannuation products) suggest that indirect investment expenses were in the vicinity of 40–50 basis points in 2018. To the extent this is representative of the overall period, this means that indirect investment expenses could likely explain roughly half of the residual.</w:t>
      </w:r>
      <w:r>
        <w:rPr>
          <w:rStyle w:val="FootnoteReference"/>
        </w:rPr>
        <w:footnoteReference w:id="5"/>
      </w:r>
      <w:r>
        <w:t xml:space="preserve"> This would also mean that investment expenses in total are likely to have a similar impact to administration expenses. However, this illustrative estimate does not account for differences in indirect investment expenses over time, though it would likely capture the effect of updated disclosure requirements (under the Australian </w:t>
      </w:r>
      <w:r>
        <w:lastRenderedPageBreak/>
        <w:t>Securities and Investment Commission’s Regulatory Guide 97) on investment costs reported to SuperRatings.</w:t>
      </w:r>
    </w:p>
    <w:p w:rsidR="00250B17" w:rsidRPr="00C23095" w:rsidRDefault="00E464EA" w:rsidP="007E7B7C">
      <w:pPr>
        <w:pStyle w:val="Heading4"/>
      </w:pPr>
      <w:r>
        <w:t>Absolute performance</w:t>
      </w:r>
      <w:r w:rsidR="005924BE">
        <w:t xml:space="preserve"> </w:t>
      </w:r>
      <w:r w:rsidR="00417370">
        <w:t xml:space="preserve">decomposition: </w:t>
      </w:r>
      <w:r w:rsidR="00676DA0">
        <w:t xml:space="preserve">across </w:t>
      </w:r>
      <w:r w:rsidR="00417370">
        <w:t>s</w:t>
      </w:r>
      <w:r w:rsidR="00250B17">
        <w:t>egment</w:t>
      </w:r>
      <w:r w:rsidR="00417370">
        <w:t>s</w:t>
      </w:r>
    </w:p>
    <w:p w:rsidR="00403A7A" w:rsidRDefault="00511843" w:rsidP="00BC2FC7">
      <w:pPr>
        <w:pStyle w:val="BodyText"/>
      </w:pPr>
      <w:r>
        <w:t>The retail segment</w:t>
      </w:r>
      <w:r w:rsidR="00F37BF4">
        <w:t xml:space="preserve"> appear</w:t>
      </w:r>
      <w:r>
        <w:t>s</w:t>
      </w:r>
      <w:r w:rsidR="00F37BF4">
        <w:t xml:space="preserve"> to have deducted more from returns </w:t>
      </w:r>
      <w:r w:rsidR="001C2353">
        <w:t xml:space="preserve">than the system average </w:t>
      </w:r>
      <w:r w:rsidR="00F37BF4">
        <w:t>on the administration side</w:t>
      </w:r>
      <w:r w:rsidR="001C2353">
        <w:t xml:space="preserve"> (figure 8),</w:t>
      </w:r>
      <w:r w:rsidR="00F37BF4">
        <w:t xml:space="preserve"> </w:t>
      </w:r>
      <w:r w:rsidR="001C2353">
        <w:t>w</w:t>
      </w:r>
      <w:r w:rsidR="00F37BF4">
        <w:t>hile</w:t>
      </w:r>
      <w:r>
        <w:t xml:space="preserve"> its average</w:t>
      </w:r>
      <w:r w:rsidR="00F37BF4">
        <w:t xml:space="preserve"> </w:t>
      </w:r>
      <w:r w:rsidR="00903E6F">
        <w:t xml:space="preserve">reported </w:t>
      </w:r>
      <w:r w:rsidR="00F37BF4">
        <w:t>investment expense</w:t>
      </w:r>
      <w:r w:rsidR="00773F35">
        <w:t>s</w:t>
      </w:r>
      <w:r w:rsidR="00F37BF4">
        <w:t xml:space="preserve"> appear to be less than for the system</w:t>
      </w:r>
      <w:r w:rsidR="00091A0E">
        <w:t>.</w:t>
      </w:r>
      <w:r w:rsidR="00F37BF4">
        <w:t xml:space="preserve"> </w:t>
      </w:r>
      <w:r w:rsidR="001C2353">
        <w:t xml:space="preserve">One possibility is that </w:t>
      </w:r>
      <w:r w:rsidR="00F37BF4">
        <w:t>retail funds have</w:t>
      </w:r>
      <w:r>
        <w:t>, on average,</w:t>
      </w:r>
      <w:r w:rsidR="00F37BF4">
        <w:t xml:space="preserve"> higher indirect investment </w:t>
      </w:r>
      <w:r w:rsidR="006748AD">
        <w:t xml:space="preserve">expenses </w:t>
      </w:r>
      <w:r w:rsidR="00F37BF4">
        <w:t xml:space="preserve">which would be bundled into the residual </w:t>
      </w:r>
      <w:r w:rsidR="00F06A2E">
        <w:t>—</w:t>
      </w:r>
      <w:r w:rsidR="00F37BF4">
        <w:t xml:space="preserve"> </w:t>
      </w:r>
      <w:r w:rsidR="00250B17">
        <w:t xml:space="preserve">itself </w:t>
      </w:r>
      <w:r w:rsidR="00F37BF4">
        <w:t>much larger</w:t>
      </w:r>
      <w:r w:rsidR="00463ADD">
        <w:t xml:space="preserve"> (in absolute terms)</w:t>
      </w:r>
      <w:r w:rsidR="00F37BF4">
        <w:t xml:space="preserve"> than for the system. </w:t>
      </w:r>
      <w:r w:rsidR="00F06A2E">
        <w:t xml:space="preserve">However, </w:t>
      </w:r>
      <w:r w:rsidR="000842D7">
        <w:t xml:space="preserve">SuperRatings data suggest </w:t>
      </w:r>
      <w:r w:rsidR="001C2353">
        <w:t>this is not the case</w:t>
      </w:r>
      <w:r w:rsidR="00690E09">
        <w:t xml:space="preserve">. </w:t>
      </w:r>
      <w:r w:rsidR="003D5C24">
        <w:t>In 2018</w:t>
      </w:r>
      <w:r w:rsidR="0080515A">
        <w:t>,</w:t>
      </w:r>
      <w:r w:rsidR="003D5C24">
        <w:t xml:space="preserve"> the </w:t>
      </w:r>
      <w:r w:rsidR="00690E09">
        <w:t>median</w:t>
      </w:r>
      <w:r w:rsidR="003D5C24">
        <w:t xml:space="preserve"> </w:t>
      </w:r>
      <w:r w:rsidR="00690E09">
        <w:t xml:space="preserve">indirect investment </w:t>
      </w:r>
      <w:r w:rsidR="006748AD">
        <w:t xml:space="preserve">fee </w:t>
      </w:r>
      <w:r w:rsidR="0094278B">
        <w:t>for retail products</w:t>
      </w:r>
      <w:r w:rsidR="00690E09">
        <w:t xml:space="preserve"> was 33 basis points</w:t>
      </w:r>
      <w:r w:rsidR="003B1C54">
        <w:t xml:space="preserve">. Assuming these indirect investment </w:t>
      </w:r>
      <w:r w:rsidR="006748AD">
        <w:t xml:space="preserve">expenses </w:t>
      </w:r>
      <w:r w:rsidR="003B1C54">
        <w:t>are representative</w:t>
      </w:r>
      <w:r w:rsidR="00250B17">
        <w:t xml:space="preserve"> (</w:t>
      </w:r>
      <w:r w:rsidR="001C2353">
        <w:t xml:space="preserve">and ignoring </w:t>
      </w:r>
      <w:r w:rsidR="00250B17">
        <w:t>the selection bias in SuperRatings data)</w:t>
      </w:r>
      <w:r w:rsidR="003B1C54">
        <w:t>, this would leave</w:t>
      </w:r>
      <w:r w:rsidR="00690E09">
        <w:t xml:space="preserve"> the majority of the residual </w:t>
      </w:r>
      <w:r w:rsidR="009752E8">
        <w:t>(</w:t>
      </w:r>
      <w:r w:rsidR="003B1C54">
        <w:t xml:space="preserve">about </w:t>
      </w:r>
      <w:r w:rsidR="00950045">
        <w:t>13</w:t>
      </w:r>
      <w:r w:rsidR="003B1C54">
        <w:t>7</w:t>
      </w:r>
      <w:r w:rsidR="009752E8">
        <w:t xml:space="preserve"> basis points) </w:t>
      </w:r>
      <w:r w:rsidR="00690E09">
        <w:t>unexplained.</w:t>
      </w:r>
    </w:p>
    <w:p w:rsidR="00403A7A" w:rsidRDefault="00403A7A" w:rsidP="00D6128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03A7A" w:rsidTr="00D61289">
        <w:trPr>
          <w:tblHeader/>
        </w:trPr>
        <w:tc>
          <w:tcPr>
            <w:tcW w:w="5000" w:type="pct"/>
            <w:tcBorders>
              <w:top w:val="single" w:sz="6" w:space="0" w:color="78A22F"/>
              <w:left w:val="nil"/>
              <w:bottom w:val="nil"/>
              <w:right w:val="nil"/>
            </w:tcBorders>
            <w:shd w:val="clear" w:color="auto" w:fill="auto"/>
          </w:tcPr>
          <w:p w:rsidR="00403A7A" w:rsidRDefault="00403A7A" w:rsidP="00D61289">
            <w:pPr>
              <w:pStyle w:val="FigureTitle"/>
            </w:pPr>
            <w:r w:rsidRPr="00784A05">
              <w:rPr>
                <w:b w:val="0"/>
              </w:rPr>
              <w:t xml:space="preserve">Figure </w:t>
            </w:r>
            <w:bookmarkStart w:id="22" w:name="OLE_LINK18"/>
            <w:r w:rsidR="001345FE">
              <w:rPr>
                <w:b w:val="0"/>
                <w:noProof/>
              </w:rPr>
              <w:t>8</w:t>
            </w:r>
            <w:bookmarkEnd w:id="22"/>
            <w:r>
              <w:tab/>
            </w:r>
            <w:r w:rsidR="00E464EA">
              <w:t xml:space="preserve">Absolute performance </w:t>
            </w:r>
            <w:r>
              <w:t>decomposition</w:t>
            </w:r>
            <w:r w:rsidR="005924BE">
              <w:t xml:space="preserve">: </w:t>
            </w:r>
            <w:r w:rsidR="009A1714">
              <w:t>r</w:t>
            </w:r>
            <w:r w:rsidR="00B2406B">
              <w:t>etail</w:t>
            </w:r>
            <w:r w:rsidR="00DF18F9">
              <w:t xml:space="preserve"> </w:t>
            </w:r>
            <w:r w:rsidR="005924BE">
              <w:t>segment</w:t>
            </w:r>
          </w:p>
          <w:p w:rsidR="00403A7A" w:rsidRPr="00176D3F" w:rsidRDefault="00474E1E" w:rsidP="005924BE">
            <w:pPr>
              <w:pStyle w:val="Subtitle"/>
            </w:pPr>
            <w:r>
              <w:t>2005</w:t>
            </w:r>
            <w:r w:rsidR="00B01777">
              <w:t>–</w:t>
            </w:r>
            <w:r>
              <w:t>2017</w:t>
            </w:r>
          </w:p>
        </w:tc>
      </w:tr>
      <w:tr w:rsidR="00403A7A" w:rsidTr="00D6128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03A7A" w:rsidRPr="00B1465D" w:rsidTr="00D61289">
              <w:trPr>
                <w:tblHeader/>
                <w:jc w:val="center"/>
              </w:trPr>
              <w:tc>
                <w:tcPr>
                  <w:tcW w:w="5000" w:type="pct"/>
                  <w:tcBorders>
                    <w:top w:val="nil"/>
                    <w:bottom w:val="nil"/>
                  </w:tcBorders>
                </w:tcPr>
                <w:p w:rsidR="008D5771" w:rsidRDefault="00460801" w:rsidP="00D61289">
                  <w:pPr>
                    <w:pStyle w:val="Figure"/>
                    <w:spacing w:before="60" w:after="60"/>
                    <w:rPr>
                      <w:rFonts w:ascii="Arial" w:hAnsi="Arial" w:cs="Arial"/>
                      <w:sz w:val="18"/>
                      <w:szCs w:val="18"/>
                    </w:rPr>
                  </w:pPr>
                  <w:r w:rsidRPr="00460801">
                    <w:rPr>
                      <w:rFonts w:ascii="Arial" w:hAnsi="Arial" w:cs="Arial"/>
                      <w:sz w:val="18"/>
                      <w:szCs w:val="18"/>
                    </w:rPr>
                    <w:t xml:space="preserve"> </w:t>
                  </w:r>
                  <w:r w:rsidR="00474C63" w:rsidRPr="00474C63">
                    <w:rPr>
                      <w:rFonts w:ascii="Arial" w:hAnsi="Arial" w:cs="Arial"/>
                      <w:noProof/>
                      <w:sz w:val="18"/>
                      <w:szCs w:val="18"/>
                    </w:rPr>
                    <w:drawing>
                      <wp:inline distT="0" distB="0" distL="0" distR="0" wp14:anchorId="6CCEA0DB" wp14:editId="4DFDD92F">
                        <wp:extent cx="5321300" cy="2829521"/>
                        <wp:effectExtent l="0" t="0" r="0" b="0"/>
                        <wp:docPr id="3" name="Picture 3" descr="Most of the reduction in returns is attributed to the residual. Asset allocation (the benchmark return) is 7.9 percentage points, tax adds 0.1, investment expenses detract 0.1, administration expenses detract 1.1, the residual detracts 1.7, and the net return i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24351" cy="2831143"/>
                                </a:xfrm>
                                <a:prstGeom prst="rect">
                                  <a:avLst/>
                                </a:prstGeom>
                                <a:noFill/>
                                <a:ln>
                                  <a:noFill/>
                                </a:ln>
                              </pic:spPr>
                            </pic:pic>
                          </a:graphicData>
                        </a:graphic>
                      </wp:inline>
                    </w:drawing>
                  </w:r>
                </w:p>
                <w:tbl>
                  <w:tblPr>
                    <w:tblW w:w="0" w:type="auto"/>
                    <w:tblLook w:val="04A0" w:firstRow="1" w:lastRow="0" w:firstColumn="1" w:lastColumn="0" w:noHBand="0" w:noVBand="1"/>
                  </w:tblPr>
                  <w:tblGrid>
                    <w:gridCol w:w="1559"/>
                    <w:gridCol w:w="2311"/>
                    <w:gridCol w:w="2312"/>
                    <w:gridCol w:w="2312"/>
                  </w:tblGrid>
                  <w:tr w:rsidR="008D5771" w:rsidTr="0015693C">
                    <w:trPr>
                      <w:tblHeader/>
                    </w:trPr>
                    <w:tc>
                      <w:tcPr>
                        <w:tcW w:w="1559" w:type="dxa"/>
                        <w:shd w:val="clear" w:color="auto" w:fill="F2F2F2" w:themeFill="background1" w:themeFillShade="F2"/>
                      </w:tcPr>
                      <w:p w:rsidR="008D5771" w:rsidRDefault="008D5771" w:rsidP="008D5771">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6935" w:type="dxa"/>
                        <w:gridSpan w:val="3"/>
                        <w:shd w:val="clear" w:color="auto" w:fill="F2F2F2" w:themeFill="background1" w:themeFillShade="F2"/>
                      </w:tcPr>
                      <w:p w:rsidR="008D5771" w:rsidRDefault="008D5771" w:rsidP="008D5771">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PC analysis of APRA confidential data and financial market index data (various providers).</w:t>
                        </w:r>
                      </w:p>
                    </w:tc>
                  </w:tr>
                  <w:tr w:rsidR="008D5771" w:rsidTr="0015693C">
                    <w:tc>
                      <w:tcPr>
                        <w:tcW w:w="1559" w:type="dxa"/>
                        <w:shd w:val="clear" w:color="auto" w:fill="F2F2F2" w:themeFill="background1" w:themeFillShade="F2"/>
                      </w:tcPr>
                      <w:p w:rsidR="008D5771" w:rsidRDefault="008D5771" w:rsidP="008D5771">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Benchmark</w:t>
                        </w:r>
                      </w:p>
                    </w:tc>
                    <w:tc>
                      <w:tcPr>
                        <w:tcW w:w="6935" w:type="dxa"/>
                        <w:gridSpan w:val="3"/>
                        <w:shd w:val="clear" w:color="auto" w:fill="F2F2F2" w:themeFill="background1" w:themeFillShade="F2"/>
                      </w:tcPr>
                      <w:p w:rsidR="008D5771" w:rsidRDefault="00D873B2" w:rsidP="008D5771">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Retail</w:t>
                        </w:r>
                        <w:r w:rsidR="008D5771">
                          <w:rPr>
                            <w:rFonts w:ascii="Arial" w:eastAsia="+mn-ea" w:hAnsi="Arial" w:cs="Arial"/>
                            <w:color w:val="000000" w:themeColor="text1"/>
                            <w:kern w:val="24"/>
                            <w:sz w:val="18"/>
                            <w:szCs w:val="18"/>
                          </w:rPr>
                          <w:t xml:space="preserve"> </w:t>
                        </w:r>
                        <w:r w:rsidR="00F004AB">
                          <w:rPr>
                            <w:rFonts w:ascii="Arial" w:eastAsia="+mn-ea" w:hAnsi="Arial" w:cs="Arial"/>
                            <w:color w:val="000000" w:themeColor="text1"/>
                            <w:kern w:val="24"/>
                            <w:sz w:val="18"/>
                            <w:szCs w:val="18"/>
                          </w:rPr>
                          <w:t xml:space="preserve">segment </w:t>
                        </w:r>
                        <w:r w:rsidR="008D5771">
                          <w:rPr>
                            <w:rFonts w:ascii="Arial" w:eastAsia="+mn-ea" w:hAnsi="Arial" w:cs="Arial"/>
                            <w:color w:val="000000" w:themeColor="text1"/>
                            <w:kern w:val="24"/>
                            <w:sz w:val="18"/>
                            <w:szCs w:val="18"/>
                          </w:rPr>
                          <w:t>BP2</w:t>
                        </w:r>
                        <w:r w:rsidR="009C0CC4">
                          <w:rPr>
                            <w:rFonts w:ascii="Arial" w:eastAsia="+mn-ea" w:hAnsi="Arial" w:cs="Arial"/>
                            <w:color w:val="000000" w:themeColor="text1"/>
                            <w:kern w:val="24"/>
                            <w:sz w:val="18"/>
                            <w:szCs w:val="18"/>
                          </w:rPr>
                          <w:t>.</w:t>
                        </w:r>
                      </w:p>
                    </w:tc>
                  </w:tr>
                  <w:tr w:rsidR="008D5771" w:rsidTr="0015693C">
                    <w:tc>
                      <w:tcPr>
                        <w:tcW w:w="1559" w:type="dxa"/>
                        <w:shd w:val="clear" w:color="auto" w:fill="F2F2F2" w:themeFill="background1" w:themeFillShade="F2"/>
                      </w:tcPr>
                      <w:p w:rsidR="008D5771" w:rsidRDefault="008D5771" w:rsidP="008D5771">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gridSpan w:val="3"/>
                        <w:shd w:val="clear" w:color="auto" w:fill="F2F2F2" w:themeFill="background1" w:themeFillShade="F2"/>
                      </w:tcPr>
                      <w:p w:rsidR="008D5771" w:rsidRPr="001F53B0" w:rsidRDefault="008D5771" w:rsidP="008D5771">
                        <w:pPr>
                          <w:pStyle w:val="NormalWeb"/>
                          <w:spacing w:before="0" w:beforeAutospacing="0" w:after="0" w:afterAutospacing="0"/>
                          <w:rPr>
                            <w:color w:val="000000" w:themeColor="text1"/>
                          </w:rPr>
                        </w:pPr>
                        <w:r>
                          <w:rPr>
                            <w:rFonts w:ascii="Arial" w:eastAsia="+mn-ea" w:hAnsi="Arial" w:cs="Arial"/>
                            <w:color w:val="000000" w:themeColor="text1"/>
                            <w:kern w:val="24"/>
                            <w:sz w:val="18"/>
                            <w:szCs w:val="18"/>
                          </w:rPr>
                          <w:t>All APRA</w:t>
                        </w:r>
                        <w:r>
                          <w:rPr>
                            <w:rFonts w:ascii="Arial" w:eastAsia="+mn-ea" w:hAnsi="Arial" w:cs="Arial"/>
                            <w:color w:val="000000" w:themeColor="text1"/>
                            <w:kern w:val="24"/>
                            <w:sz w:val="18"/>
                            <w:szCs w:val="18"/>
                          </w:rPr>
                          <w:noBreakHyphen/>
                          <w:t>regulated</w:t>
                        </w:r>
                        <w:r w:rsidRPr="00A95597">
                          <w:rPr>
                            <w:rFonts w:ascii="Arial" w:eastAsia="+mn-ea" w:hAnsi="Arial" w:cs="Arial"/>
                            <w:color w:val="000000" w:themeColor="text1"/>
                            <w:kern w:val="24"/>
                            <w:sz w:val="18"/>
                            <w:szCs w:val="18"/>
                          </w:rPr>
                          <w:t xml:space="preserve"> </w:t>
                        </w:r>
                        <w:r>
                          <w:rPr>
                            <w:rFonts w:ascii="Arial" w:eastAsia="+mn-ea" w:hAnsi="Arial" w:cs="Arial"/>
                            <w:color w:val="000000" w:themeColor="text1"/>
                            <w:kern w:val="24"/>
                            <w:sz w:val="18"/>
                            <w:szCs w:val="18"/>
                          </w:rPr>
                          <w:t xml:space="preserve">for profit </w:t>
                        </w:r>
                        <w:r w:rsidRPr="00A95597">
                          <w:rPr>
                            <w:rFonts w:ascii="Arial" w:eastAsia="+mn-ea" w:hAnsi="Arial" w:cs="Arial"/>
                            <w:color w:val="000000" w:themeColor="text1"/>
                            <w:kern w:val="24"/>
                            <w:sz w:val="18"/>
                            <w:szCs w:val="18"/>
                          </w:rPr>
                          <w:t>funds</w:t>
                        </w:r>
                        <w:r>
                          <w:rPr>
                            <w:rFonts w:ascii="Arial" w:eastAsia="+mn-ea" w:hAnsi="Arial" w:cs="Arial"/>
                            <w:color w:val="000000" w:themeColor="text1"/>
                            <w:kern w:val="24"/>
                            <w:sz w:val="18"/>
                            <w:szCs w:val="18"/>
                          </w:rPr>
                          <w:t>. Excludes e</w:t>
                        </w:r>
                        <w:r w:rsidRPr="00A95597">
                          <w:rPr>
                            <w:rFonts w:ascii="Arial" w:eastAsia="+mn-ea" w:hAnsi="Arial" w:cs="Arial"/>
                            <w:color w:val="000000" w:themeColor="text1"/>
                            <w:kern w:val="24"/>
                            <w:sz w:val="18"/>
                            <w:szCs w:val="18"/>
                          </w:rPr>
                          <w:t>xempt public sector superannuation schemes</w:t>
                        </w:r>
                        <w:r>
                          <w:rPr>
                            <w:rFonts w:ascii="Arial" w:eastAsia="+mn-ea" w:hAnsi="Arial" w:cs="Arial"/>
                            <w:color w:val="000000" w:themeColor="text1"/>
                            <w:kern w:val="24"/>
                            <w:sz w:val="18"/>
                            <w:szCs w:val="18"/>
                          </w:rPr>
                          <w:t>, eligible rollover funds and insurance</w:t>
                        </w:r>
                        <w:r>
                          <w:rPr>
                            <w:rFonts w:ascii="Arial" w:eastAsia="+mn-ea" w:hAnsi="Arial" w:cs="Arial"/>
                            <w:color w:val="000000" w:themeColor="text1"/>
                            <w:kern w:val="24"/>
                            <w:sz w:val="18"/>
                            <w:szCs w:val="18"/>
                          </w:rPr>
                          <w:noBreakHyphen/>
                          <w:t xml:space="preserve">only superannuation funds. </w:t>
                        </w:r>
                      </w:p>
                    </w:tc>
                  </w:tr>
                  <w:tr w:rsidR="008D5771" w:rsidTr="0015693C">
                    <w:tc>
                      <w:tcPr>
                        <w:tcW w:w="1559" w:type="dxa"/>
                        <w:shd w:val="clear" w:color="auto" w:fill="F2F2F2" w:themeFill="background1" w:themeFillShade="F2"/>
                      </w:tcPr>
                      <w:p w:rsidR="008D5771" w:rsidRPr="004E69F4" w:rsidRDefault="008D5771" w:rsidP="008D5771">
                        <w:pPr>
                          <w:pStyle w:val="Figure"/>
                          <w:spacing w:before="0" w:after="0"/>
                          <w:jc w:val="left"/>
                          <w:rPr>
                            <w:rFonts w:asciiTheme="minorHAnsi" w:hAnsi="Arial" w:cstheme="minorBidi"/>
                            <w:b/>
                            <w:color w:val="000000" w:themeColor="text1"/>
                            <w:kern w:val="24"/>
                            <w:sz w:val="18"/>
                            <w:szCs w:val="18"/>
                          </w:rPr>
                        </w:pPr>
                        <w:r>
                          <w:rPr>
                            <w:rFonts w:asciiTheme="minorHAnsi" w:hAnsi="Arial" w:cstheme="minorBidi"/>
                            <w:b/>
                            <w:color w:val="000000" w:themeColor="text1"/>
                            <w:kern w:val="24"/>
                            <w:sz w:val="18"/>
                            <w:szCs w:val="18"/>
                          </w:rPr>
                          <w:t>Survivor Bias</w:t>
                        </w:r>
                      </w:p>
                    </w:tc>
                    <w:tc>
                      <w:tcPr>
                        <w:tcW w:w="2311" w:type="dxa"/>
                        <w:shd w:val="clear" w:color="auto" w:fill="F2F2F2" w:themeFill="background1" w:themeFillShade="F2"/>
                      </w:tcPr>
                      <w:p w:rsidR="008D5771" w:rsidRPr="00A95597" w:rsidRDefault="008D5771" w:rsidP="008D5771">
                        <w:pPr>
                          <w:pStyle w:val="NormalWeb"/>
                          <w:spacing w:before="0" w:beforeAutospacing="0" w:after="0" w:afterAutospacing="0"/>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No.</w:t>
                        </w:r>
                      </w:p>
                    </w:tc>
                    <w:tc>
                      <w:tcPr>
                        <w:tcW w:w="2312" w:type="dxa"/>
                        <w:shd w:val="clear" w:color="auto" w:fill="F2F2F2" w:themeFill="background1" w:themeFillShade="F2"/>
                      </w:tcPr>
                      <w:p w:rsidR="008D5771" w:rsidRPr="004E69F4" w:rsidRDefault="008D5771" w:rsidP="008D5771">
                        <w:pPr>
                          <w:pStyle w:val="NormalWeb"/>
                          <w:spacing w:before="0" w:beforeAutospacing="0" w:after="0" w:afterAutospacing="0"/>
                          <w:rPr>
                            <w:rFonts w:ascii="Arial" w:eastAsia="+mn-ea" w:hAnsi="Arial" w:cs="Arial"/>
                            <w:b/>
                            <w:color w:val="000000" w:themeColor="text1"/>
                            <w:kern w:val="24"/>
                            <w:sz w:val="18"/>
                            <w:szCs w:val="18"/>
                          </w:rPr>
                        </w:pPr>
                        <w:r>
                          <w:rPr>
                            <w:rFonts w:ascii="Arial" w:eastAsia="+mn-ea" w:hAnsi="Arial" w:cs="Arial"/>
                            <w:b/>
                            <w:color w:val="000000" w:themeColor="text1"/>
                            <w:kern w:val="24"/>
                            <w:sz w:val="18"/>
                            <w:szCs w:val="18"/>
                          </w:rPr>
                          <w:t>Selection Bias</w:t>
                        </w:r>
                      </w:p>
                    </w:tc>
                    <w:tc>
                      <w:tcPr>
                        <w:tcW w:w="2312" w:type="dxa"/>
                        <w:shd w:val="clear" w:color="auto" w:fill="F2F2F2" w:themeFill="background1" w:themeFillShade="F2"/>
                      </w:tcPr>
                      <w:p w:rsidR="008D5771" w:rsidRPr="00A95597" w:rsidRDefault="008D5771" w:rsidP="008D5771">
                        <w:pPr>
                          <w:pStyle w:val="NormalWeb"/>
                          <w:spacing w:before="0" w:beforeAutospacing="0" w:after="0" w:afterAutospacing="0"/>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No.</w:t>
                        </w:r>
                      </w:p>
                    </w:tc>
                  </w:tr>
                </w:tbl>
                <w:p w:rsidR="00403A7A" w:rsidRPr="00B1465D" w:rsidRDefault="00403A7A" w:rsidP="00D61289">
                  <w:pPr>
                    <w:pStyle w:val="Figure"/>
                    <w:spacing w:before="60" w:after="60"/>
                    <w:rPr>
                      <w:rFonts w:ascii="Arial" w:hAnsi="Arial" w:cs="Arial"/>
                      <w:sz w:val="18"/>
                      <w:szCs w:val="18"/>
                    </w:rPr>
                  </w:pPr>
                </w:p>
              </w:tc>
            </w:tr>
          </w:tbl>
          <w:p w:rsidR="00403A7A" w:rsidRDefault="00403A7A" w:rsidP="00D61289">
            <w:pPr>
              <w:pStyle w:val="Figure"/>
            </w:pPr>
          </w:p>
        </w:tc>
      </w:tr>
      <w:tr w:rsidR="00403A7A" w:rsidTr="00D61289">
        <w:tc>
          <w:tcPr>
            <w:tcW w:w="5000" w:type="pct"/>
            <w:tcBorders>
              <w:top w:val="nil"/>
              <w:left w:val="nil"/>
              <w:bottom w:val="single" w:sz="6" w:space="0" w:color="78A22F"/>
              <w:right w:val="nil"/>
            </w:tcBorders>
            <w:shd w:val="clear" w:color="auto" w:fill="auto"/>
          </w:tcPr>
          <w:p w:rsidR="00403A7A" w:rsidRDefault="00403A7A" w:rsidP="00D61289">
            <w:pPr>
              <w:pStyle w:val="Figurespace"/>
            </w:pPr>
          </w:p>
        </w:tc>
      </w:tr>
      <w:tr w:rsidR="00403A7A" w:rsidRPr="000863A5" w:rsidTr="00D61289">
        <w:tc>
          <w:tcPr>
            <w:tcW w:w="5000" w:type="pct"/>
            <w:tcBorders>
              <w:top w:val="single" w:sz="6" w:space="0" w:color="78A22F"/>
              <w:left w:val="nil"/>
              <w:bottom w:val="nil"/>
              <w:right w:val="nil"/>
            </w:tcBorders>
          </w:tcPr>
          <w:p w:rsidR="00403A7A" w:rsidRPr="00626D32" w:rsidRDefault="00403A7A" w:rsidP="00D61289">
            <w:pPr>
              <w:pStyle w:val="BoxSpaceBelow"/>
            </w:pPr>
          </w:p>
        </w:tc>
      </w:tr>
    </w:tbl>
    <w:p w:rsidR="00403A7A" w:rsidRDefault="00511843" w:rsidP="00BC2FC7">
      <w:pPr>
        <w:pStyle w:val="BodyText"/>
      </w:pPr>
      <w:r>
        <w:t>The n</w:t>
      </w:r>
      <w:r w:rsidR="00B81307">
        <w:t>ot</w:t>
      </w:r>
      <w:r w:rsidR="00B81307">
        <w:noBreakHyphen/>
        <w:t>for</w:t>
      </w:r>
      <w:r w:rsidR="00B81307">
        <w:noBreakHyphen/>
        <w:t>profit</w:t>
      </w:r>
      <w:r w:rsidR="001C2353">
        <w:t xml:space="preserve"> </w:t>
      </w:r>
      <w:r>
        <w:t>segment</w:t>
      </w:r>
      <w:r w:rsidR="001C2353">
        <w:t xml:space="preserve"> </w:t>
      </w:r>
      <w:r w:rsidR="000A1FBC">
        <w:t>appear</w:t>
      </w:r>
      <w:r>
        <w:t>s</w:t>
      </w:r>
      <w:r w:rsidR="000A1FBC">
        <w:t xml:space="preserve"> to deduct less </w:t>
      </w:r>
      <w:r w:rsidR="001C2353">
        <w:t xml:space="preserve">than the system average </w:t>
      </w:r>
      <w:r w:rsidR="000A1FBC">
        <w:t xml:space="preserve">from members </w:t>
      </w:r>
      <w:r w:rsidR="0023242D">
        <w:t>i</w:t>
      </w:r>
      <w:r w:rsidR="000A1FBC">
        <w:t xml:space="preserve">n administration </w:t>
      </w:r>
      <w:r w:rsidR="006A6F02">
        <w:t>expenses</w:t>
      </w:r>
      <w:r w:rsidR="00B81307">
        <w:t>,</w:t>
      </w:r>
      <w:r w:rsidR="005924BE">
        <w:t xml:space="preserve"> </w:t>
      </w:r>
      <w:r w:rsidR="00B81307">
        <w:t xml:space="preserve">and </w:t>
      </w:r>
      <w:r w:rsidR="00690E09">
        <w:t>slightly more through reported investment expenses</w:t>
      </w:r>
      <w:r w:rsidR="00F004AB">
        <w:t xml:space="preserve"> (figure</w:t>
      </w:r>
      <w:r w:rsidR="00617DD2">
        <w:t> </w:t>
      </w:r>
      <w:r w:rsidR="00F004AB">
        <w:t>9)</w:t>
      </w:r>
      <w:r w:rsidR="00690E09">
        <w:t>.</w:t>
      </w:r>
      <w:r w:rsidR="000A1FBC">
        <w:t xml:space="preserve"> </w:t>
      </w:r>
      <w:r w:rsidR="003C58FF">
        <w:t>The latter result could be due to greater use of in</w:t>
      </w:r>
      <w:r w:rsidR="003C58FF">
        <w:noBreakHyphen/>
        <w:t>house investment by large not</w:t>
      </w:r>
      <w:r w:rsidR="003C58FF">
        <w:noBreakHyphen/>
        <w:t>for</w:t>
      </w:r>
      <w:r w:rsidR="003C58FF">
        <w:noBreakHyphen/>
        <w:t xml:space="preserve">profit funds, meaning a higher </w:t>
      </w:r>
      <w:r w:rsidR="0075500A">
        <w:t>proportion</w:t>
      </w:r>
      <w:r w:rsidR="003C58FF">
        <w:t xml:space="preserve"> of investment expenses would be incurred directly. </w:t>
      </w:r>
      <w:r w:rsidR="000A1FBC">
        <w:t xml:space="preserve">The </w:t>
      </w:r>
      <w:r w:rsidR="000A1FBC">
        <w:lastRenderedPageBreak/>
        <w:t>residual in this case is positive</w:t>
      </w:r>
      <w:r w:rsidR="00690E09">
        <w:t xml:space="preserve">, meaning that the net </w:t>
      </w:r>
      <w:r w:rsidR="007D57F9">
        <w:t xml:space="preserve">effect </w:t>
      </w:r>
      <w:r w:rsidR="00690E09">
        <w:t xml:space="preserve">of all </w:t>
      </w:r>
      <w:r w:rsidR="00B81307">
        <w:t xml:space="preserve">of </w:t>
      </w:r>
      <w:r w:rsidR="00690E09">
        <w:t xml:space="preserve">the </w:t>
      </w:r>
      <w:r w:rsidR="00E87A01">
        <w:t xml:space="preserve">uncaptured components </w:t>
      </w:r>
      <w:r w:rsidR="00B2406B">
        <w:t>(</w:t>
      </w:r>
      <w:r w:rsidR="00E87A01">
        <w:t xml:space="preserve">such as asset selection and indirect investment </w:t>
      </w:r>
      <w:r w:rsidR="006748AD">
        <w:t>expenses</w:t>
      </w:r>
      <w:r w:rsidR="00B2406B">
        <w:t>)</w:t>
      </w:r>
      <w:r w:rsidR="00E87A01">
        <w:t xml:space="preserve"> is positive</w:t>
      </w:r>
      <w:r w:rsidR="000A1FBC">
        <w:t xml:space="preserve">. </w:t>
      </w:r>
      <w:r w:rsidR="00E87A01">
        <w:t xml:space="preserve">SuperRatings data suggest that the median indirect investment </w:t>
      </w:r>
      <w:r w:rsidR="006748AD">
        <w:t xml:space="preserve">fee </w:t>
      </w:r>
      <w:r w:rsidR="007D57F9">
        <w:t>is about</w:t>
      </w:r>
      <w:r w:rsidR="00690E09">
        <w:t xml:space="preserve"> 43 basis points for industry funds</w:t>
      </w:r>
      <w:r w:rsidR="007D57F9">
        <w:t xml:space="preserve">, </w:t>
      </w:r>
      <w:r w:rsidR="00793248">
        <w:t>implying</w:t>
      </w:r>
      <w:r w:rsidR="007D57F9">
        <w:t xml:space="preserve"> that </w:t>
      </w:r>
      <w:r w:rsidR="00E87A01">
        <w:t xml:space="preserve">other factors </w:t>
      </w:r>
      <w:r w:rsidR="007D57F9">
        <w:t>(</w:t>
      </w:r>
      <w:r w:rsidR="00E87A01">
        <w:t>such as asset selection</w:t>
      </w:r>
      <w:r w:rsidR="007D57F9">
        <w:t>)</w:t>
      </w:r>
      <w:r w:rsidR="00E87A01">
        <w:t xml:space="preserve"> </w:t>
      </w:r>
      <w:r w:rsidR="00EA463A">
        <w:t xml:space="preserve">add </w:t>
      </w:r>
      <w:r w:rsidR="00E87A01">
        <w:t>to returns by well over 43 basis points.</w:t>
      </w:r>
    </w:p>
    <w:p w:rsidR="00F37BF4" w:rsidRDefault="00F37BF4" w:rsidP="00D6128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37BF4" w:rsidTr="00D61289">
        <w:trPr>
          <w:tblHeader/>
        </w:trPr>
        <w:tc>
          <w:tcPr>
            <w:tcW w:w="5000" w:type="pct"/>
            <w:tcBorders>
              <w:top w:val="single" w:sz="6" w:space="0" w:color="78A22F"/>
              <w:left w:val="nil"/>
              <w:bottom w:val="nil"/>
              <w:right w:val="nil"/>
            </w:tcBorders>
            <w:shd w:val="clear" w:color="auto" w:fill="auto"/>
          </w:tcPr>
          <w:p w:rsidR="00F37BF4" w:rsidRDefault="00F37BF4" w:rsidP="00D61289">
            <w:pPr>
              <w:pStyle w:val="FigureTitle"/>
            </w:pPr>
            <w:r w:rsidRPr="00784A05">
              <w:rPr>
                <w:b w:val="0"/>
              </w:rPr>
              <w:t xml:space="preserve">Figure </w:t>
            </w:r>
            <w:bookmarkStart w:id="23" w:name="OLE_LINK62"/>
            <w:bookmarkStart w:id="24" w:name="OLE_LINK20"/>
            <w:r w:rsidR="001345FE">
              <w:rPr>
                <w:b w:val="0"/>
                <w:noProof/>
              </w:rPr>
              <w:t>9</w:t>
            </w:r>
            <w:bookmarkEnd w:id="23"/>
            <w:bookmarkEnd w:id="24"/>
            <w:r>
              <w:tab/>
            </w:r>
            <w:r w:rsidR="00E464EA">
              <w:t>Absolute performance</w:t>
            </w:r>
            <w:r w:rsidR="005924BE">
              <w:t xml:space="preserve"> </w:t>
            </w:r>
            <w:r>
              <w:t>decomposition</w:t>
            </w:r>
            <w:r w:rsidR="00DF18F9">
              <w:t xml:space="preserve">: </w:t>
            </w:r>
            <w:r w:rsidR="00793248">
              <w:t>n</w:t>
            </w:r>
            <w:r w:rsidR="00DF18F9">
              <w:t>ot</w:t>
            </w:r>
            <w:r w:rsidR="00DF18F9">
              <w:noBreakHyphen/>
              <w:t>for</w:t>
            </w:r>
            <w:r w:rsidR="00DF18F9">
              <w:noBreakHyphen/>
              <w:t xml:space="preserve">profit </w:t>
            </w:r>
            <w:r w:rsidR="005924BE">
              <w:t>segment</w:t>
            </w:r>
          </w:p>
          <w:p w:rsidR="00F37BF4" w:rsidRPr="00176D3F" w:rsidRDefault="00474E1E" w:rsidP="00D61289">
            <w:pPr>
              <w:pStyle w:val="Subtitle"/>
            </w:pPr>
            <w:r>
              <w:t>2005</w:t>
            </w:r>
            <w:r w:rsidR="00B01777">
              <w:t>–</w:t>
            </w:r>
            <w:r>
              <w:t>2017</w:t>
            </w:r>
          </w:p>
        </w:tc>
      </w:tr>
      <w:tr w:rsidR="00F37BF4" w:rsidTr="00BC2FC7">
        <w:trPr>
          <w:trHeight w:val="4706"/>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37BF4" w:rsidRPr="00B1465D" w:rsidTr="00D61289">
              <w:trPr>
                <w:tblHeader/>
                <w:jc w:val="center"/>
              </w:trPr>
              <w:tc>
                <w:tcPr>
                  <w:tcW w:w="5000" w:type="pct"/>
                  <w:tcBorders>
                    <w:top w:val="nil"/>
                    <w:bottom w:val="nil"/>
                  </w:tcBorders>
                </w:tcPr>
                <w:p w:rsidR="008D5771" w:rsidRDefault="00617DD2" w:rsidP="00D61289">
                  <w:pPr>
                    <w:pStyle w:val="Figure"/>
                    <w:spacing w:before="60" w:after="60"/>
                    <w:rPr>
                      <w:rFonts w:ascii="Arial" w:hAnsi="Arial" w:cs="Arial"/>
                      <w:sz w:val="18"/>
                      <w:szCs w:val="18"/>
                    </w:rPr>
                  </w:pPr>
                  <w:r>
                    <w:rPr>
                      <w:rFonts w:ascii="Arial" w:hAnsi="Arial" w:cs="Arial"/>
                      <w:sz w:val="18"/>
                      <w:szCs w:val="18"/>
                    </w:rPr>
                    <w:t xml:space="preserve"> </w:t>
                  </w:r>
                  <w:r w:rsidR="00D939DE" w:rsidRPr="00D939DE">
                    <w:rPr>
                      <w:rFonts w:ascii="Arial" w:hAnsi="Arial" w:cs="Arial"/>
                      <w:noProof/>
                      <w:sz w:val="18"/>
                      <w:szCs w:val="18"/>
                    </w:rPr>
                    <w:drawing>
                      <wp:inline distT="0" distB="0" distL="0" distR="0" wp14:anchorId="1E81C202" wp14:editId="72FC89B6">
                        <wp:extent cx="5257800" cy="2795755"/>
                        <wp:effectExtent l="0" t="0" r="0" b="0"/>
                        <wp:docPr id="35" name="Picture 35" descr="Expenses account for most of the reduction. Positive residual suggest favourable asset selection. Asset allocation (the benchmark return) is 8.1 percentage points, tax detracts 0.2, investment expenses detract 0.3, administration expenses detract 0.5, the residual adds 0.2, and the net return i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1564" cy="2797756"/>
                                </a:xfrm>
                                <a:prstGeom prst="rect">
                                  <a:avLst/>
                                </a:prstGeom>
                                <a:noFill/>
                                <a:ln>
                                  <a:noFill/>
                                </a:ln>
                              </pic:spPr>
                            </pic:pic>
                          </a:graphicData>
                        </a:graphic>
                      </wp:inline>
                    </w:drawing>
                  </w:r>
                </w:p>
                <w:tbl>
                  <w:tblPr>
                    <w:tblW w:w="0" w:type="auto"/>
                    <w:tblLook w:val="04A0" w:firstRow="1" w:lastRow="0" w:firstColumn="1" w:lastColumn="0" w:noHBand="0" w:noVBand="1"/>
                  </w:tblPr>
                  <w:tblGrid>
                    <w:gridCol w:w="1559"/>
                    <w:gridCol w:w="2311"/>
                    <w:gridCol w:w="2312"/>
                    <w:gridCol w:w="2312"/>
                  </w:tblGrid>
                  <w:tr w:rsidR="008D5771" w:rsidTr="0015693C">
                    <w:trPr>
                      <w:tblHeader/>
                    </w:trPr>
                    <w:tc>
                      <w:tcPr>
                        <w:tcW w:w="1559" w:type="dxa"/>
                        <w:shd w:val="clear" w:color="auto" w:fill="F2F2F2" w:themeFill="background1" w:themeFillShade="F2"/>
                      </w:tcPr>
                      <w:p w:rsidR="008D5771" w:rsidRDefault="008D5771" w:rsidP="008D5771">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6935" w:type="dxa"/>
                        <w:gridSpan w:val="3"/>
                        <w:shd w:val="clear" w:color="auto" w:fill="F2F2F2" w:themeFill="background1" w:themeFillShade="F2"/>
                      </w:tcPr>
                      <w:p w:rsidR="008D5771" w:rsidRDefault="008D5771" w:rsidP="008D5771">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PC analysis of APRA confidential data and financial market index data (various providers).</w:t>
                        </w:r>
                      </w:p>
                    </w:tc>
                  </w:tr>
                  <w:tr w:rsidR="008D5771" w:rsidTr="0015693C">
                    <w:tc>
                      <w:tcPr>
                        <w:tcW w:w="1559" w:type="dxa"/>
                        <w:shd w:val="clear" w:color="auto" w:fill="F2F2F2" w:themeFill="background1" w:themeFillShade="F2"/>
                      </w:tcPr>
                      <w:p w:rsidR="008D5771" w:rsidRDefault="008D5771" w:rsidP="008D5771">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Benchmark</w:t>
                        </w:r>
                      </w:p>
                    </w:tc>
                    <w:tc>
                      <w:tcPr>
                        <w:tcW w:w="6935" w:type="dxa"/>
                        <w:gridSpan w:val="3"/>
                        <w:shd w:val="clear" w:color="auto" w:fill="F2F2F2" w:themeFill="background1" w:themeFillShade="F2"/>
                      </w:tcPr>
                      <w:p w:rsidR="008D5771" w:rsidRDefault="008D5771" w:rsidP="008D5771">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Not</w:t>
                        </w:r>
                        <w:r w:rsidR="00F004AB">
                          <w:rPr>
                            <w:rFonts w:ascii="Arial" w:eastAsia="+mn-ea" w:hAnsi="Arial" w:cs="Arial"/>
                            <w:color w:val="000000" w:themeColor="text1"/>
                            <w:kern w:val="24"/>
                            <w:sz w:val="18"/>
                            <w:szCs w:val="18"/>
                          </w:rPr>
                          <w:noBreakHyphen/>
                        </w:r>
                        <w:r>
                          <w:rPr>
                            <w:rFonts w:ascii="Arial" w:eastAsia="+mn-ea" w:hAnsi="Arial" w:cs="Arial"/>
                            <w:color w:val="000000" w:themeColor="text1"/>
                            <w:kern w:val="24"/>
                            <w:sz w:val="18"/>
                            <w:szCs w:val="18"/>
                          </w:rPr>
                          <w:t>for</w:t>
                        </w:r>
                        <w:r w:rsidR="00F004AB">
                          <w:rPr>
                            <w:rFonts w:ascii="Arial" w:eastAsia="+mn-ea" w:hAnsi="Arial" w:cs="Arial"/>
                            <w:color w:val="000000" w:themeColor="text1"/>
                            <w:kern w:val="24"/>
                            <w:sz w:val="18"/>
                            <w:szCs w:val="18"/>
                          </w:rPr>
                          <w:noBreakHyphen/>
                        </w:r>
                        <w:r>
                          <w:rPr>
                            <w:rFonts w:ascii="Arial" w:eastAsia="+mn-ea" w:hAnsi="Arial" w:cs="Arial"/>
                            <w:color w:val="000000" w:themeColor="text1"/>
                            <w:kern w:val="24"/>
                            <w:sz w:val="18"/>
                            <w:szCs w:val="18"/>
                          </w:rPr>
                          <w:t xml:space="preserve">profit </w:t>
                        </w:r>
                        <w:r w:rsidR="00F004AB">
                          <w:rPr>
                            <w:rFonts w:ascii="Arial" w:eastAsia="+mn-ea" w:hAnsi="Arial" w:cs="Arial"/>
                            <w:color w:val="000000" w:themeColor="text1"/>
                            <w:kern w:val="24"/>
                            <w:sz w:val="18"/>
                            <w:szCs w:val="18"/>
                          </w:rPr>
                          <w:t xml:space="preserve">segment </w:t>
                        </w:r>
                        <w:r>
                          <w:rPr>
                            <w:rFonts w:ascii="Arial" w:eastAsia="+mn-ea" w:hAnsi="Arial" w:cs="Arial"/>
                            <w:color w:val="000000" w:themeColor="text1"/>
                            <w:kern w:val="24"/>
                            <w:sz w:val="18"/>
                            <w:szCs w:val="18"/>
                          </w:rPr>
                          <w:t>BP2</w:t>
                        </w:r>
                        <w:r w:rsidR="00B63022">
                          <w:rPr>
                            <w:rFonts w:ascii="Arial" w:eastAsia="+mn-ea" w:hAnsi="Arial" w:cs="Arial"/>
                            <w:color w:val="000000" w:themeColor="text1"/>
                            <w:kern w:val="24"/>
                            <w:sz w:val="18"/>
                            <w:szCs w:val="18"/>
                          </w:rPr>
                          <w:t>.</w:t>
                        </w:r>
                      </w:p>
                    </w:tc>
                  </w:tr>
                  <w:tr w:rsidR="008D5771" w:rsidTr="0015693C">
                    <w:tc>
                      <w:tcPr>
                        <w:tcW w:w="1559" w:type="dxa"/>
                        <w:shd w:val="clear" w:color="auto" w:fill="F2F2F2" w:themeFill="background1" w:themeFillShade="F2"/>
                      </w:tcPr>
                      <w:p w:rsidR="008D5771" w:rsidRDefault="008D5771" w:rsidP="008D5771">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gridSpan w:val="3"/>
                        <w:shd w:val="clear" w:color="auto" w:fill="F2F2F2" w:themeFill="background1" w:themeFillShade="F2"/>
                      </w:tcPr>
                      <w:p w:rsidR="008D5771" w:rsidRPr="001F53B0" w:rsidRDefault="008D5771" w:rsidP="008D5771">
                        <w:pPr>
                          <w:pStyle w:val="NormalWeb"/>
                          <w:spacing w:before="0" w:beforeAutospacing="0" w:after="0" w:afterAutospacing="0"/>
                          <w:rPr>
                            <w:color w:val="000000" w:themeColor="text1"/>
                          </w:rPr>
                        </w:pPr>
                        <w:r>
                          <w:rPr>
                            <w:rFonts w:ascii="Arial" w:eastAsia="+mn-ea" w:hAnsi="Arial" w:cs="Arial"/>
                            <w:color w:val="000000" w:themeColor="text1"/>
                            <w:kern w:val="24"/>
                            <w:sz w:val="18"/>
                            <w:szCs w:val="18"/>
                          </w:rPr>
                          <w:t>All APRA</w:t>
                        </w:r>
                        <w:r>
                          <w:rPr>
                            <w:rFonts w:ascii="Arial" w:eastAsia="+mn-ea" w:hAnsi="Arial" w:cs="Arial"/>
                            <w:color w:val="000000" w:themeColor="text1"/>
                            <w:kern w:val="24"/>
                            <w:sz w:val="18"/>
                            <w:szCs w:val="18"/>
                          </w:rPr>
                          <w:noBreakHyphen/>
                          <w:t>regulated</w:t>
                        </w:r>
                        <w:r w:rsidRPr="00A95597">
                          <w:rPr>
                            <w:rFonts w:ascii="Arial" w:eastAsia="+mn-ea" w:hAnsi="Arial" w:cs="Arial"/>
                            <w:color w:val="000000" w:themeColor="text1"/>
                            <w:kern w:val="24"/>
                            <w:sz w:val="18"/>
                            <w:szCs w:val="18"/>
                          </w:rPr>
                          <w:t xml:space="preserve"> </w:t>
                        </w:r>
                        <w:r>
                          <w:rPr>
                            <w:rFonts w:ascii="Arial" w:eastAsia="+mn-ea" w:hAnsi="Arial" w:cs="Arial"/>
                            <w:color w:val="000000" w:themeColor="text1"/>
                            <w:kern w:val="24"/>
                            <w:sz w:val="18"/>
                            <w:szCs w:val="18"/>
                          </w:rPr>
                          <w:t xml:space="preserve">not for profit </w:t>
                        </w:r>
                        <w:r w:rsidRPr="00A95597">
                          <w:rPr>
                            <w:rFonts w:ascii="Arial" w:eastAsia="+mn-ea" w:hAnsi="Arial" w:cs="Arial"/>
                            <w:color w:val="000000" w:themeColor="text1"/>
                            <w:kern w:val="24"/>
                            <w:sz w:val="18"/>
                            <w:szCs w:val="18"/>
                          </w:rPr>
                          <w:t>funds</w:t>
                        </w:r>
                        <w:r>
                          <w:rPr>
                            <w:rFonts w:ascii="Arial" w:eastAsia="+mn-ea" w:hAnsi="Arial" w:cs="Arial"/>
                            <w:color w:val="000000" w:themeColor="text1"/>
                            <w:kern w:val="24"/>
                            <w:sz w:val="18"/>
                            <w:szCs w:val="18"/>
                          </w:rPr>
                          <w:t>. Excludes e</w:t>
                        </w:r>
                        <w:r w:rsidRPr="00A95597">
                          <w:rPr>
                            <w:rFonts w:ascii="Arial" w:eastAsia="+mn-ea" w:hAnsi="Arial" w:cs="Arial"/>
                            <w:color w:val="000000" w:themeColor="text1"/>
                            <w:kern w:val="24"/>
                            <w:sz w:val="18"/>
                            <w:szCs w:val="18"/>
                          </w:rPr>
                          <w:t>xempt public sector superannuation schemes</w:t>
                        </w:r>
                        <w:r>
                          <w:rPr>
                            <w:rFonts w:ascii="Arial" w:eastAsia="+mn-ea" w:hAnsi="Arial" w:cs="Arial"/>
                            <w:color w:val="000000" w:themeColor="text1"/>
                            <w:kern w:val="24"/>
                            <w:sz w:val="18"/>
                            <w:szCs w:val="18"/>
                          </w:rPr>
                          <w:t>, eligible rollover funds and insurance</w:t>
                        </w:r>
                        <w:r>
                          <w:rPr>
                            <w:rFonts w:ascii="Arial" w:eastAsia="+mn-ea" w:hAnsi="Arial" w:cs="Arial"/>
                            <w:color w:val="000000" w:themeColor="text1"/>
                            <w:kern w:val="24"/>
                            <w:sz w:val="18"/>
                            <w:szCs w:val="18"/>
                          </w:rPr>
                          <w:noBreakHyphen/>
                          <w:t xml:space="preserve">only superannuation funds. </w:t>
                        </w:r>
                      </w:p>
                    </w:tc>
                  </w:tr>
                  <w:tr w:rsidR="008D5771" w:rsidTr="0015693C">
                    <w:tc>
                      <w:tcPr>
                        <w:tcW w:w="1559" w:type="dxa"/>
                        <w:shd w:val="clear" w:color="auto" w:fill="F2F2F2" w:themeFill="background1" w:themeFillShade="F2"/>
                      </w:tcPr>
                      <w:p w:rsidR="008D5771" w:rsidRPr="004E69F4" w:rsidRDefault="008D5771" w:rsidP="008D5771">
                        <w:pPr>
                          <w:pStyle w:val="Figure"/>
                          <w:spacing w:before="0" w:after="0"/>
                          <w:jc w:val="left"/>
                          <w:rPr>
                            <w:rFonts w:asciiTheme="minorHAnsi" w:hAnsi="Arial" w:cstheme="minorBidi"/>
                            <w:b/>
                            <w:color w:val="000000" w:themeColor="text1"/>
                            <w:kern w:val="24"/>
                            <w:sz w:val="18"/>
                            <w:szCs w:val="18"/>
                          </w:rPr>
                        </w:pPr>
                        <w:r>
                          <w:rPr>
                            <w:rFonts w:asciiTheme="minorHAnsi" w:hAnsi="Arial" w:cstheme="minorBidi"/>
                            <w:b/>
                            <w:color w:val="000000" w:themeColor="text1"/>
                            <w:kern w:val="24"/>
                            <w:sz w:val="18"/>
                            <w:szCs w:val="18"/>
                          </w:rPr>
                          <w:t>Survivor Bias</w:t>
                        </w:r>
                      </w:p>
                    </w:tc>
                    <w:tc>
                      <w:tcPr>
                        <w:tcW w:w="2311" w:type="dxa"/>
                        <w:shd w:val="clear" w:color="auto" w:fill="F2F2F2" w:themeFill="background1" w:themeFillShade="F2"/>
                      </w:tcPr>
                      <w:p w:rsidR="008D5771" w:rsidRPr="00A95597" w:rsidRDefault="008D5771" w:rsidP="008D5771">
                        <w:pPr>
                          <w:pStyle w:val="NormalWeb"/>
                          <w:spacing w:before="0" w:beforeAutospacing="0" w:after="0" w:afterAutospacing="0"/>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No.</w:t>
                        </w:r>
                      </w:p>
                    </w:tc>
                    <w:tc>
                      <w:tcPr>
                        <w:tcW w:w="2312" w:type="dxa"/>
                        <w:shd w:val="clear" w:color="auto" w:fill="F2F2F2" w:themeFill="background1" w:themeFillShade="F2"/>
                      </w:tcPr>
                      <w:p w:rsidR="008D5771" w:rsidRPr="004E69F4" w:rsidRDefault="008D5771" w:rsidP="008D5771">
                        <w:pPr>
                          <w:pStyle w:val="NormalWeb"/>
                          <w:spacing w:before="0" w:beforeAutospacing="0" w:after="0" w:afterAutospacing="0"/>
                          <w:rPr>
                            <w:rFonts w:ascii="Arial" w:eastAsia="+mn-ea" w:hAnsi="Arial" w:cs="Arial"/>
                            <w:b/>
                            <w:color w:val="000000" w:themeColor="text1"/>
                            <w:kern w:val="24"/>
                            <w:sz w:val="18"/>
                            <w:szCs w:val="18"/>
                          </w:rPr>
                        </w:pPr>
                        <w:r>
                          <w:rPr>
                            <w:rFonts w:ascii="Arial" w:eastAsia="+mn-ea" w:hAnsi="Arial" w:cs="Arial"/>
                            <w:b/>
                            <w:color w:val="000000" w:themeColor="text1"/>
                            <w:kern w:val="24"/>
                            <w:sz w:val="18"/>
                            <w:szCs w:val="18"/>
                          </w:rPr>
                          <w:t>Selection Bias</w:t>
                        </w:r>
                      </w:p>
                    </w:tc>
                    <w:tc>
                      <w:tcPr>
                        <w:tcW w:w="2312" w:type="dxa"/>
                        <w:shd w:val="clear" w:color="auto" w:fill="F2F2F2" w:themeFill="background1" w:themeFillShade="F2"/>
                      </w:tcPr>
                      <w:p w:rsidR="008D5771" w:rsidRPr="00A95597" w:rsidRDefault="008D5771" w:rsidP="008D5771">
                        <w:pPr>
                          <w:pStyle w:val="NormalWeb"/>
                          <w:spacing w:before="0" w:beforeAutospacing="0" w:after="0" w:afterAutospacing="0"/>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No.</w:t>
                        </w:r>
                      </w:p>
                    </w:tc>
                  </w:tr>
                </w:tbl>
                <w:p w:rsidR="00F37BF4" w:rsidRPr="00B1465D" w:rsidRDefault="00F37BF4" w:rsidP="00D61289">
                  <w:pPr>
                    <w:pStyle w:val="Figure"/>
                    <w:spacing w:before="60" w:after="60"/>
                    <w:rPr>
                      <w:rFonts w:ascii="Arial" w:hAnsi="Arial" w:cs="Arial"/>
                      <w:sz w:val="18"/>
                      <w:szCs w:val="18"/>
                    </w:rPr>
                  </w:pPr>
                </w:p>
              </w:tc>
            </w:tr>
          </w:tbl>
          <w:p w:rsidR="00F37BF4" w:rsidRDefault="00F37BF4" w:rsidP="00D61289">
            <w:pPr>
              <w:pStyle w:val="Figure"/>
            </w:pPr>
          </w:p>
        </w:tc>
      </w:tr>
      <w:tr w:rsidR="00F37BF4" w:rsidTr="00D61289">
        <w:tc>
          <w:tcPr>
            <w:tcW w:w="5000" w:type="pct"/>
            <w:tcBorders>
              <w:top w:val="nil"/>
              <w:left w:val="nil"/>
              <w:bottom w:val="single" w:sz="6" w:space="0" w:color="78A22F"/>
              <w:right w:val="nil"/>
            </w:tcBorders>
            <w:shd w:val="clear" w:color="auto" w:fill="auto"/>
          </w:tcPr>
          <w:p w:rsidR="00F37BF4" w:rsidRDefault="00F37BF4" w:rsidP="00D61289">
            <w:pPr>
              <w:pStyle w:val="Figurespace"/>
            </w:pPr>
          </w:p>
        </w:tc>
      </w:tr>
      <w:tr w:rsidR="00F37BF4" w:rsidRPr="000863A5" w:rsidTr="00D61289">
        <w:tc>
          <w:tcPr>
            <w:tcW w:w="5000" w:type="pct"/>
            <w:tcBorders>
              <w:top w:val="single" w:sz="6" w:space="0" w:color="78A22F"/>
              <w:left w:val="nil"/>
              <w:bottom w:val="nil"/>
              <w:right w:val="nil"/>
            </w:tcBorders>
          </w:tcPr>
          <w:p w:rsidR="00F37BF4" w:rsidRPr="00626D32" w:rsidRDefault="00F37BF4" w:rsidP="00D61289">
            <w:pPr>
              <w:pStyle w:val="BoxSpaceBelow"/>
            </w:pPr>
          </w:p>
        </w:tc>
      </w:tr>
    </w:tbl>
    <w:p w:rsidR="00463ADD" w:rsidRDefault="00E464EA" w:rsidP="00B37CCD">
      <w:pPr>
        <w:pStyle w:val="Heading4"/>
      </w:pPr>
      <w:r>
        <w:t xml:space="preserve">Relative outperformance </w:t>
      </w:r>
      <w:r w:rsidR="00463ADD">
        <w:t>decompositions</w:t>
      </w:r>
      <w:r w:rsidR="00773F35">
        <w:t xml:space="preserve">: </w:t>
      </w:r>
      <w:r w:rsidR="004D1410">
        <w:t xml:space="preserve">across </w:t>
      </w:r>
      <w:r w:rsidR="00773F35">
        <w:t>segments</w:t>
      </w:r>
    </w:p>
    <w:p w:rsidR="003C1D79" w:rsidRDefault="00474E1E" w:rsidP="009E047F">
      <w:pPr>
        <w:pStyle w:val="BodyText"/>
      </w:pPr>
      <w:r>
        <w:t>Figure</w:t>
      </w:r>
      <w:r w:rsidR="00617DD2">
        <w:t> </w:t>
      </w:r>
      <w:r w:rsidR="00D1141F">
        <w:t>10</w:t>
      </w:r>
      <w:r>
        <w:t xml:space="preserve"> shows </w:t>
      </w:r>
      <w:r w:rsidR="00E464EA">
        <w:t>a relative outperformance</w:t>
      </w:r>
      <w:r>
        <w:t xml:space="preserve"> decomposition of </w:t>
      </w:r>
      <w:r w:rsidR="00511843">
        <w:t>the</w:t>
      </w:r>
      <w:r>
        <w:t xml:space="preserve"> not</w:t>
      </w:r>
      <w:r w:rsidR="00617DD2">
        <w:noBreakHyphen/>
      </w:r>
      <w:r>
        <w:t>for</w:t>
      </w:r>
      <w:r w:rsidR="00617DD2">
        <w:noBreakHyphen/>
      </w:r>
      <w:r>
        <w:t xml:space="preserve">profit </w:t>
      </w:r>
      <w:r w:rsidR="00511843">
        <w:t>segment</w:t>
      </w:r>
      <w:r>
        <w:t xml:space="preserve"> against </w:t>
      </w:r>
      <w:r w:rsidR="00511843">
        <w:t xml:space="preserve">the </w:t>
      </w:r>
      <w:r w:rsidR="00BE00F7">
        <w:t>retai</w:t>
      </w:r>
      <w:r w:rsidR="005924BE">
        <w:t xml:space="preserve">l </w:t>
      </w:r>
      <w:r w:rsidR="00511843">
        <w:t>segment</w:t>
      </w:r>
      <w:r w:rsidR="005924BE">
        <w:t xml:space="preserve">. </w:t>
      </w:r>
      <w:r w:rsidR="008C1103">
        <w:t>‘</w:t>
      </w:r>
      <w:r w:rsidR="009E047F">
        <w:t>A</w:t>
      </w:r>
      <w:r>
        <w:t>sset allocation</w:t>
      </w:r>
      <w:r w:rsidR="008C1103">
        <w:t>’</w:t>
      </w:r>
      <w:r>
        <w:t xml:space="preserve"> refers to the difference in the </w:t>
      </w:r>
      <w:r w:rsidRPr="008C1103">
        <w:t xml:space="preserve">benchmark return </w:t>
      </w:r>
      <w:r>
        <w:t>for the segments</w:t>
      </w:r>
      <w:r w:rsidR="009E047F">
        <w:t xml:space="preserve"> — in this case, t</w:t>
      </w:r>
      <w:r>
        <w:t>he not</w:t>
      </w:r>
      <w:r w:rsidR="00617DD2">
        <w:noBreakHyphen/>
      </w:r>
      <w:r>
        <w:t>for</w:t>
      </w:r>
      <w:r w:rsidR="00617DD2">
        <w:noBreakHyphen/>
      </w:r>
      <w:r>
        <w:t xml:space="preserve">profit </w:t>
      </w:r>
      <w:r w:rsidR="00511843">
        <w:t xml:space="preserve">segment </w:t>
      </w:r>
      <w:r>
        <w:t xml:space="preserve">benchmark </w:t>
      </w:r>
      <w:r w:rsidR="00740EED">
        <w:t>was</w:t>
      </w:r>
      <w:r>
        <w:t xml:space="preserve"> approximately </w:t>
      </w:r>
      <w:r w:rsidR="00D873B2">
        <w:t xml:space="preserve">10 </w:t>
      </w:r>
      <w:r>
        <w:t>b</w:t>
      </w:r>
      <w:r w:rsidR="00B2406B">
        <w:t xml:space="preserve">asis </w:t>
      </w:r>
      <w:r>
        <w:t>p</w:t>
      </w:r>
      <w:r w:rsidR="00B2406B">
        <w:t>oints</w:t>
      </w:r>
      <w:r>
        <w:t xml:space="preserve"> </w:t>
      </w:r>
      <w:r w:rsidR="00740EED">
        <w:t>higher</w:t>
      </w:r>
      <w:r>
        <w:t xml:space="preserve"> than the </w:t>
      </w:r>
      <w:r w:rsidR="00B2406B">
        <w:t>retail</w:t>
      </w:r>
      <w:r>
        <w:t xml:space="preserve"> </w:t>
      </w:r>
      <w:r w:rsidR="00511843">
        <w:t xml:space="preserve">segment </w:t>
      </w:r>
      <w:r>
        <w:t xml:space="preserve">benchmark. </w:t>
      </w:r>
      <w:r w:rsidR="009E047F">
        <w:t xml:space="preserve">As noted above, </w:t>
      </w:r>
      <w:r w:rsidR="008C1103">
        <w:t>‘</w:t>
      </w:r>
      <w:r w:rsidR="009E047F">
        <w:t>t</w:t>
      </w:r>
      <w:r w:rsidR="003C1D79">
        <w:t>ax</w:t>
      </w:r>
      <w:r w:rsidR="008C1103">
        <w:t>’</w:t>
      </w:r>
      <w:r w:rsidR="003C1D79">
        <w:t xml:space="preserve"> (and analogously for </w:t>
      </w:r>
      <w:r w:rsidR="000F6C9C">
        <w:t>investment</w:t>
      </w:r>
      <w:r w:rsidR="00CF2CFE">
        <w:t xml:space="preserve"> expenses</w:t>
      </w:r>
      <w:r w:rsidR="000F6C9C">
        <w:t xml:space="preserve">, </w:t>
      </w:r>
      <w:r w:rsidR="003C1D79">
        <w:t>administration expenses</w:t>
      </w:r>
      <w:r w:rsidR="000F6C9C">
        <w:t xml:space="preserve"> and the residual</w:t>
      </w:r>
      <w:r w:rsidR="003C1D79">
        <w:t>) refers to</w:t>
      </w:r>
      <w:r w:rsidR="009E047F">
        <w:t xml:space="preserve"> the difference between the not</w:t>
      </w:r>
      <w:r w:rsidR="009E047F">
        <w:noBreakHyphen/>
        <w:t>for</w:t>
      </w:r>
      <w:r w:rsidR="009E047F">
        <w:noBreakHyphen/>
        <w:t>profit segment’s tax and its benchmark tax, minus the retail segment’s tax and its benchmark tax.</w:t>
      </w:r>
    </w:p>
    <w:p w:rsidR="00463ADD" w:rsidRDefault="00463ADD" w:rsidP="00060AF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63ADD" w:rsidTr="00060AFB">
        <w:trPr>
          <w:tblHeader/>
        </w:trPr>
        <w:tc>
          <w:tcPr>
            <w:tcW w:w="5000" w:type="pct"/>
            <w:tcBorders>
              <w:top w:val="single" w:sz="6" w:space="0" w:color="78A22F"/>
              <w:left w:val="nil"/>
              <w:bottom w:val="nil"/>
              <w:right w:val="nil"/>
            </w:tcBorders>
            <w:shd w:val="clear" w:color="auto" w:fill="auto"/>
          </w:tcPr>
          <w:p w:rsidR="00463ADD" w:rsidRPr="00463ADD" w:rsidRDefault="00463ADD" w:rsidP="00060AFB">
            <w:pPr>
              <w:pStyle w:val="FigureTitle"/>
            </w:pPr>
            <w:r w:rsidRPr="00784A05">
              <w:rPr>
                <w:b w:val="0"/>
              </w:rPr>
              <w:t xml:space="preserve">Figure </w:t>
            </w:r>
            <w:bookmarkStart w:id="25" w:name="OLE_LINK21"/>
            <w:r w:rsidR="001345FE">
              <w:rPr>
                <w:b w:val="0"/>
                <w:noProof/>
              </w:rPr>
              <w:t>10</w:t>
            </w:r>
            <w:bookmarkEnd w:id="25"/>
            <w:r>
              <w:tab/>
            </w:r>
            <w:r w:rsidR="00E464EA">
              <w:t>Relative outperformance</w:t>
            </w:r>
            <w:r>
              <w:t xml:space="preserve"> decomposition: </w:t>
            </w:r>
            <w:r w:rsidR="00BE00F7">
              <w:t>not</w:t>
            </w:r>
            <w:r>
              <w:noBreakHyphen/>
            </w:r>
            <w:r w:rsidR="00474E1E">
              <w:t>for</w:t>
            </w:r>
            <w:r w:rsidR="00474E1E">
              <w:noBreakHyphen/>
              <w:t xml:space="preserve">profit to </w:t>
            </w:r>
            <w:r w:rsidR="00BE00F7">
              <w:t>retail</w:t>
            </w:r>
            <w:r w:rsidR="00474E1E">
              <w:t xml:space="preserve"> funds</w:t>
            </w:r>
          </w:p>
          <w:p w:rsidR="00F76678" w:rsidRPr="001C7C57" w:rsidRDefault="00474E1E">
            <w:pPr>
              <w:pStyle w:val="Subtitle"/>
              <w:rPr>
                <w:rStyle w:val="DraftingNote"/>
                <w:b w:val="0"/>
                <w:color w:val="auto"/>
                <w:sz w:val="20"/>
                <w:u w:val="none"/>
              </w:rPr>
            </w:pPr>
            <w:r>
              <w:t>2005</w:t>
            </w:r>
            <w:r w:rsidR="00CF2CFE">
              <w:t>–</w:t>
            </w:r>
            <w:r>
              <w:t>2017</w:t>
            </w:r>
          </w:p>
        </w:tc>
      </w:tr>
      <w:tr w:rsidR="00463ADD" w:rsidTr="00060AF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63ADD" w:rsidRPr="00B1465D" w:rsidTr="00060AFB">
              <w:trPr>
                <w:tblHeader/>
                <w:jc w:val="center"/>
              </w:trPr>
              <w:tc>
                <w:tcPr>
                  <w:tcW w:w="5000" w:type="pct"/>
                  <w:tcBorders>
                    <w:top w:val="nil"/>
                    <w:bottom w:val="nil"/>
                  </w:tcBorders>
                </w:tcPr>
                <w:p w:rsidR="008D5771" w:rsidRDefault="00617DD2" w:rsidP="00060AFB">
                  <w:pPr>
                    <w:pStyle w:val="Figure"/>
                    <w:spacing w:before="60" w:after="60"/>
                    <w:rPr>
                      <w:rFonts w:ascii="Arial" w:hAnsi="Arial" w:cs="Arial"/>
                      <w:sz w:val="18"/>
                      <w:szCs w:val="18"/>
                    </w:rPr>
                  </w:pPr>
                  <w:r>
                    <w:rPr>
                      <w:rFonts w:ascii="Arial" w:hAnsi="Arial" w:cs="Arial"/>
                      <w:sz w:val="18"/>
                      <w:szCs w:val="18"/>
                    </w:rPr>
                    <w:t xml:space="preserve"> </w:t>
                  </w:r>
                  <w:r w:rsidR="00D939DE" w:rsidRPr="00D939DE">
                    <w:rPr>
                      <w:rFonts w:ascii="Arial" w:hAnsi="Arial" w:cs="Arial"/>
                      <w:noProof/>
                      <w:sz w:val="18"/>
                      <w:szCs w:val="18"/>
                    </w:rPr>
                    <w:drawing>
                      <wp:inline distT="0" distB="0" distL="0" distR="0" wp14:anchorId="5D3BF3CA" wp14:editId="60048324">
                        <wp:extent cx="5334000" cy="2836274"/>
                        <wp:effectExtent l="0" t="0" r="0" b="0"/>
                        <wp:docPr id="38" name="Picture 38" descr="Outperformance difference (relative to benchmark) across segments mostly attributable to residual. The gap in tax is negative 0.3 percentage points, for investment expense negative 0.2, for administration expense zero, and for the residual positive 2.0. The total outperformance gap is positive 1.6, and the difference in asset allocation (benchmark returns) between the segments is positive 0.1 percentag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36797" cy="2837761"/>
                                </a:xfrm>
                                <a:prstGeom prst="rect">
                                  <a:avLst/>
                                </a:prstGeom>
                                <a:noFill/>
                                <a:ln>
                                  <a:noFill/>
                                </a:ln>
                              </pic:spPr>
                            </pic:pic>
                          </a:graphicData>
                        </a:graphic>
                      </wp:inline>
                    </w:drawing>
                  </w:r>
                </w:p>
                <w:tbl>
                  <w:tblPr>
                    <w:tblW w:w="0" w:type="auto"/>
                    <w:tblLook w:val="04A0" w:firstRow="1" w:lastRow="0" w:firstColumn="1" w:lastColumn="0" w:noHBand="0" w:noVBand="1"/>
                  </w:tblPr>
                  <w:tblGrid>
                    <w:gridCol w:w="1559"/>
                    <w:gridCol w:w="2311"/>
                    <w:gridCol w:w="2312"/>
                    <w:gridCol w:w="2312"/>
                  </w:tblGrid>
                  <w:tr w:rsidR="008D5771" w:rsidTr="0015693C">
                    <w:trPr>
                      <w:tblHeader/>
                    </w:trPr>
                    <w:tc>
                      <w:tcPr>
                        <w:tcW w:w="1559" w:type="dxa"/>
                        <w:shd w:val="clear" w:color="auto" w:fill="F2F2F2" w:themeFill="background1" w:themeFillShade="F2"/>
                      </w:tcPr>
                      <w:p w:rsidR="008D5771" w:rsidRDefault="008D5771" w:rsidP="008D5771">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6935" w:type="dxa"/>
                        <w:gridSpan w:val="3"/>
                        <w:shd w:val="clear" w:color="auto" w:fill="F2F2F2" w:themeFill="background1" w:themeFillShade="F2"/>
                      </w:tcPr>
                      <w:p w:rsidR="008D5771" w:rsidRDefault="008D5771" w:rsidP="008D5771">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PC analysis of APRA confidential data and financial market index data (various providers).</w:t>
                        </w:r>
                      </w:p>
                    </w:tc>
                  </w:tr>
                  <w:tr w:rsidR="008D5771" w:rsidTr="0015693C">
                    <w:tc>
                      <w:tcPr>
                        <w:tcW w:w="1559" w:type="dxa"/>
                        <w:shd w:val="clear" w:color="auto" w:fill="F2F2F2" w:themeFill="background1" w:themeFillShade="F2"/>
                      </w:tcPr>
                      <w:p w:rsidR="008D5771" w:rsidRDefault="008D5771" w:rsidP="008D5771">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Benchmark</w:t>
                        </w:r>
                      </w:p>
                    </w:tc>
                    <w:tc>
                      <w:tcPr>
                        <w:tcW w:w="6935" w:type="dxa"/>
                        <w:gridSpan w:val="3"/>
                        <w:shd w:val="clear" w:color="auto" w:fill="F2F2F2" w:themeFill="background1" w:themeFillShade="F2"/>
                      </w:tcPr>
                      <w:p w:rsidR="008D5771" w:rsidRDefault="008D5771" w:rsidP="008D5771">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System BP2</w:t>
                        </w:r>
                        <w:r w:rsidR="00EE31B8">
                          <w:rPr>
                            <w:rFonts w:ascii="Arial" w:eastAsia="+mn-ea" w:hAnsi="Arial" w:cs="Arial"/>
                            <w:color w:val="000000" w:themeColor="text1"/>
                            <w:kern w:val="24"/>
                            <w:sz w:val="18"/>
                            <w:szCs w:val="18"/>
                          </w:rPr>
                          <w:t>.</w:t>
                        </w:r>
                      </w:p>
                    </w:tc>
                  </w:tr>
                  <w:tr w:rsidR="008D5771" w:rsidTr="0015693C">
                    <w:tc>
                      <w:tcPr>
                        <w:tcW w:w="1559" w:type="dxa"/>
                        <w:shd w:val="clear" w:color="auto" w:fill="F2F2F2" w:themeFill="background1" w:themeFillShade="F2"/>
                      </w:tcPr>
                      <w:p w:rsidR="008D5771" w:rsidRDefault="008D5771" w:rsidP="008D5771">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gridSpan w:val="3"/>
                        <w:shd w:val="clear" w:color="auto" w:fill="F2F2F2" w:themeFill="background1" w:themeFillShade="F2"/>
                      </w:tcPr>
                      <w:p w:rsidR="008D5771" w:rsidRPr="001F53B0" w:rsidRDefault="008D5771" w:rsidP="008D5771">
                        <w:pPr>
                          <w:pStyle w:val="NormalWeb"/>
                          <w:spacing w:before="0" w:beforeAutospacing="0" w:after="0" w:afterAutospacing="0"/>
                          <w:rPr>
                            <w:color w:val="000000" w:themeColor="text1"/>
                          </w:rPr>
                        </w:pPr>
                        <w:r>
                          <w:rPr>
                            <w:rFonts w:ascii="Arial" w:eastAsia="+mn-ea" w:hAnsi="Arial" w:cs="Arial"/>
                            <w:color w:val="000000" w:themeColor="text1"/>
                            <w:kern w:val="24"/>
                            <w:sz w:val="18"/>
                            <w:szCs w:val="18"/>
                          </w:rPr>
                          <w:t>All APRA</w:t>
                        </w:r>
                        <w:r>
                          <w:rPr>
                            <w:rFonts w:ascii="Arial" w:eastAsia="+mn-ea" w:hAnsi="Arial" w:cs="Arial"/>
                            <w:color w:val="000000" w:themeColor="text1"/>
                            <w:kern w:val="24"/>
                            <w:sz w:val="18"/>
                            <w:szCs w:val="18"/>
                          </w:rPr>
                          <w:noBreakHyphen/>
                          <w:t>regulated</w:t>
                        </w:r>
                        <w:r w:rsidRPr="00A95597">
                          <w:rPr>
                            <w:rFonts w:ascii="Arial" w:eastAsia="+mn-ea" w:hAnsi="Arial" w:cs="Arial"/>
                            <w:color w:val="000000" w:themeColor="text1"/>
                            <w:kern w:val="24"/>
                            <w:sz w:val="18"/>
                            <w:szCs w:val="18"/>
                          </w:rPr>
                          <w:t xml:space="preserve"> funds</w:t>
                        </w:r>
                        <w:r>
                          <w:rPr>
                            <w:rFonts w:ascii="Arial" w:eastAsia="+mn-ea" w:hAnsi="Arial" w:cs="Arial"/>
                            <w:color w:val="000000" w:themeColor="text1"/>
                            <w:kern w:val="24"/>
                            <w:sz w:val="18"/>
                            <w:szCs w:val="18"/>
                          </w:rPr>
                          <w:t>. Excludes e</w:t>
                        </w:r>
                        <w:r w:rsidRPr="00A95597">
                          <w:rPr>
                            <w:rFonts w:ascii="Arial" w:eastAsia="+mn-ea" w:hAnsi="Arial" w:cs="Arial"/>
                            <w:color w:val="000000" w:themeColor="text1"/>
                            <w:kern w:val="24"/>
                            <w:sz w:val="18"/>
                            <w:szCs w:val="18"/>
                          </w:rPr>
                          <w:t>xempt public sector superannuation schemes</w:t>
                        </w:r>
                        <w:r>
                          <w:rPr>
                            <w:rFonts w:ascii="Arial" w:eastAsia="+mn-ea" w:hAnsi="Arial" w:cs="Arial"/>
                            <w:color w:val="000000" w:themeColor="text1"/>
                            <w:kern w:val="24"/>
                            <w:sz w:val="18"/>
                            <w:szCs w:val="18"/>
                          </w:rPr>
                          <w:t>, eligible rollover funds and insurance</w:t>
                        </w:r>
                        <w:r>
                          <w:rPr>
                            <w:rFonts w:ascii="Arial" w:eastAsia="+mn-ea" w:hAnsi="Arial" w:cs="Arial"/>
                            <w:color w:val="000000" w:themeColor="text1"/>
                            <w:kern w:val="24"/>
                            <w:sz w:val="18"/>
                            <w:szCs w:val="18"/>
                          </w:rPr>
                          <w:noBreakHyphen/>
                          <w:t xml:space="preserve">only superannuation funds. </w:t>
                        </w:r>
                      </w:p>
                    </w:tc>
                  </w:tr>
                  <w:tr w:rsidR="008D5771" w:rsidTr="0015693C">
                    <w:tc>
                      <w:tcPr>
                        <w:tcW w:w="1559" w:type="dxa"/>
                        <w:shd w:val="clear" w:color="auto" w:fill="F2F2F2" w:themeFill="background1" w:themeFillShade="F2"/>
                      </w:tcPr>
                      <w:p w:rsidR="008D5771" w:rsidRPr="004E69F4" w:rsidRDefault="008D5771" w:rsidP="008D5771">
                        <w:pPr>
                          <w:pStyle w:val="Figure"/>
                          <w:spacing w:before="0" w:after="0"/>
                          <w:jc w:val="left"/>
                          <w:rPr>
                            <w:rFonts w:asciiTheme="minorHAnsi" w:hAnsi="Arial" w:cstheme="minorBidi"/>
                            <w:b/>
                            <w:color w:val="000000" w:themeColor="text1"/>
                            <w:kern w:val="24"/>
                            <w:sz w:val="18"/>
                            <w:szCs w:val="18"/>
                          </w:rPr>
                        </w:pPr>
                        <w:r>
                          <w:rPr>
                            <w:rFonts w:asciiTheme="minorHAnsi" w:hAnsi="Arial" w:cstheme="minorBidi"/>
                            <w:b/>
                            <w:color w:val="000000" w:themeColor="text1"/>
                            <w:kern w:val="24"/>
                            <w:sz w:val="18"/>
                            <w:szCs w:val="18"/>
                          </w:rPr>
                          <w:t>Survivor Bias</w:t>
                        </w:r>
                      </w:p>
                    </w:tc>
                    <w:tc>
                      <w:tcPr>
                        <w:tcW w:w="2311" w:type="dxa"/>
                        <w:shd w:val="clear" w:color="auto" w:fill="F2F2F2" w:themeFill="background1" w:themeFillShade="F2"/>
                      </w:tcPr>
                      <w:p w:rsidR="008D5771" w:rsidRPr="00A95597" w:rsidRDefault="008D5771" w:rsidP="008D5771">
                        <w:pPr>
                          <w:pStyle w:val="NormalWeb"/>
                          <w:spacing w:before="0" w:beforeAutospacing="0" w:after="0" w:afterAutospacing="0"/>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No.</w:t>
                        </w:r>
                      </w:p>
                    </w:tc>
                    <w:tc>
                      <w:tcPr>
                        <w:tcW w:w="2312" w:type="dxa"/>
                        <w:shd w:val="clear" w:color="auto" w:fill="F2F2F2" w:themeFill="background1" w:themeFillShade="F2"/>
                      </w:tcPr>
                      <w:p w:rsidR="008D5771" w:rsidRPr="004E69F4" w:rsidRDefault="008D5771" w:rsidP="008D5771">
                        <w:pPr>
                          <w:pStyle w:val="NormalWeb"/>
                          <w:spacing w:before="0" w:beforeAutospacing="0" w:after="0" w:afterAutospacing="0"/>
                          <w:rPr>
                            <w:rFonts w:ascii="Arial" w:eastAsia="+mn-ea" w:hAnsi="Arial" w:cs="Arial"/>
                            <w:b/>
                            <w:color w:val="000000" w:themeColor="text1"/>
                            <w:kern w:val="24"/>
                            <w:sz w:val="18"/>
                            <w:szCs w:val="18"/>
                          </w:rPr>
                        </w:pPr>
                        <w:r>
                          <w:rPr>
                            <w:rFonts w:ascii="Arial" w:eastAsia="+mn-ea" w:hAnsi="Arial" w:cs="Arial"/>
                            <w:b/>
                            <w:color w:val="000000" w:themeColor="text1"/>
                            <w:kern w:val="24"/>
                            <w:sz w:val="18"/>
                            <w:szCs w:val="18"/>
                          </w:rPr>
                          <w:t>Selection Bias</w:t>
                        </w:r>
                      </w:p>
                    </w:tc>
                    <w:tc>
                      <w:tcPr>
                        <w:tcW w:w="2312" w:type="dxa"/>
                        <w:shd w:val="clear" w:color="auto" w:fill="F2F2F2" w:themeFill="background1" w:themeFillShade="F2"/>
                      </w:tcPr>
                      <w:p w:rsidR="008D5771" w:rsidRPr="00A95597" w:rsidRDefault="008D5771" w:rsidP="008D5771">
                        <w:pPr>
                          <w:pStyle w:val="NormalWeb"/>
                          <w:spacing w:before="0" w:beforeAutospacing="0" w:after="0" w:afterAutospacing="0"/>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No.</w:t>
                        </w:r>
                      </w:p>
                    </w:tc>
                  </w:tr>
                </w:tbl>
                <w:p w:rsidR="00463ADD" w:rsidRPr="00B1465D" w:rsidRDefault="00463ADD" w:rsidP="00060AFB">
                  <w:pPr>
                    <w:pStyle w:val="Figure"/>
                    <w:spacing w:before="60" w:after="60"/>
                    <w:rPr>
                      <w:rFonts w:ascii="Arial" w:hAnsi="Arial" w:cs="Arial"/>
                      <w:sz w:val="18"/>
                      <w:szCs w:val="18"/>
                    </w:rPr>
                  </w:pPr>
                </w:p>
              </w:tc>
            </w:tr>
          </w:tbl>
          <w:p w:rsidR="00463ADD" w:rsidRDefault="00463ADD" w:rsidP="00060AFB">
            <w:pPr>
              <w:pStyle w:val="Figure"/>
            </w:pPr>
          </w:p>
        </w:tc>
      </w:tr>
      <w:tr w:rsidR="00463ADD" w:rsidTr="00060AFB">
        <w:tc>
          <w:tcPr>
            <w:tcW w:w="5000" w:type="pct"/>
            <w:tcBorders>
              <w:top w:val="nil"/>
              <w:left w:val="nil"/>
              <w:bottom w:val="single" w:sz="6" w:space="0" w:color="78A22F"/>
              <w:right w:val="nil"/>
            </w:tcBorders>
            <w:shd w:val="clear" w:color="auto" w:fill="auto"/>
          </w:tcPr>
          <w:p w:rsidR="00463ADD" w:rsidRDefault="00463ADD" w:rsidP="00060AFB">
            <w:pPr>
              <w:pStyle w:val="Figurespace"/>
            </w:pPr>
          </w:p>
        </w:tc>
      </w:tr>
      <w:tr w:rsidR="00463ADD" w:rsidRPr="000863A5" w:rsidTr="00060AFB">
        <w:tc>
          <w:tcPr>
            <w:tcW w:w="5000" w:type="pct"/>
            <w:tcBorders>
              <w:top w:val="single" w:sz="6" w:space="0" w:color="78A22F"/>
              <w:left w:val="nil"/>
              <w:bottom w:val="nil"/>
              <w:right w:val="nil"/>
            </w:tcBorders>
          </w:tcPr>
          <w:p w:rsidR="00463ADD" w:rsidRPr="00626D32" w:rsidRDefault="00463ADD" w:rsidP="00060AFB">
            <w:pPr>
              <w:pStyle w:val="BoxSpaceBelow"/>
            </w:pPr>
          </w:p>
        </w:tc>
      </w:tr>
    </w:tbl>
    <w:p w:rsidR="00296753" w:rsidRDefault="00296753" w:rsidP="00296753">
      <w:pPr>
        <w:pStyle w:val="BodyText"/>
      </w:pPr>
      <w:r>
        <w:t>A</w:t>
      </w:r>
      <w:r w:rsidRPr="009410FF">
        <w:t>bout</w:t>
      </w:r>
      <w:r>
        <w:t xml:space="preserve"> 30 </w:t>
      </w:r>
      <w:r w:rsidRPr="009410FF">
        <w:t>b</w:t>
      </w:r>
      <w:r>
        <w:t xml:space="preserve">asis </w:t>
      </w:r>
      <w:r w:rsidRPr="009410FF">
        <w:t>p</w:t>
      </w:r>
      <w:r>
        <w:t>oints</w:t>
      </w:r>
      <w:r w:rsidRPr="009410FF">
        <w:t xml:space="preserve"> of the total outperformance gap can be explained by not</w:t>
      </w:r>
      <w:r>
        <w:noBreakHyphen/>
      </w:r>
      <w:r w:rsidRPr="009410FF">
        <w:t>for</w:t>
      </w:r>
      <w:r>
        <w:noBreakHyphen/>
        <w:t xml:space="preserve">profit funds paying more </w:t>
      </w:r>
      <w:r w:rsidRPr="009410FF">
        <w:t xml:space="preserve">tax </w:t>
      </w:r>
      <w:r>
        <w:t>compared</w:t>
      </w:r>
      <w:r w:rsidRPr="009410FF">
        <w:t xml:space="preserve"> to their benchmark </w:t>
      </w:r>
      <w:r>
        <w:t>tax</w:t>
      </w:r>
      <w:r w:rsidRPr="009410FF">
        <w:t xml:space="preserve"> than </w:t>
      </w:r>
      <w:r>
        <w:t>retail funds, on average.</w:t>
      </w:r>
      <w:r w:rsidRPr="00E11585">
        <w:rPr>
          <w:rStyle w:val="FootnoteReference"/>
        </w:rPr>
        <w:footnoteReference w:id="6"/>
      </w:r>
      <w:r>
        <w:t xml:space="preserve"> This does not necessarily mean that not</w:t>
      </w:r>
      <w:r w:rsidR="00617DD2">
        <w:noBreakHyphen/>
      </w:r>
      <w:r w:rsidRPr="009410FF">
        <w:t>for</w:t>
      </w:r>
      <w:r w:rsidR="00617DD2">
        <w:noBreakHyphen/>
      </w:r>
      <w:r w:rsidRPr="009410FF">
        <w:t>profit funds</w:t>
      </w:r>
      <w:r>
        <w:t xml:space="preserve"> fare worse on tax management. It could be due to differences in the proportion of assets in the retirement phase between segments, or inaccuracies in the assumptions used to add tax to the benchmarks. </w:t>
      </w:r>
    </w:p>
    <w:p w:rsidR="00296753" w:rsidRDefault="00296753" w:rsidP="00296753">
      <w:pPr>
        <w:pStyle w:val="BodyText"/>
      </w:pPr>
      <w:r>
        <w:t>Not</w:t>
      </w:r>
      <w:r w:rsidR="00617DD2">
        <w:noBreakHyphen/>
      </w:r>
      <w:r w:rsidRPr="009410FF">
        <w:t>for</w:t>
      </w:r>
      <w:r w:rsidR="00617DD2">
        <w:noBreakHyphen/>
      </w:r>
      <w:r w:rsidRPr="009410FF">
        <w:t xml:space="preserve">profit funds </w:t>
      </w:r>
      <w:r>
        <w:t xml:space="preserve">have a larger negative outperformance gap in </w:t>
      </w:r>
      <w:r>
        <w:rPr>
          <w:i/>
        </w:rPr>
        <w:t xml:space="preserve">reported </w:t>
      </w:r>
      <w:r>
        <w:t xml:space="preserve">investment expenses compared to retail funds, on average. </w:t>
      </w:r>
      <w:r w:rsidRPr="009410FF">
        <w:t>Administration expenses do not</w:t>
      </w:r>
      <w:r>
        <w:t xml:space="preserve"> help explain </w:t>
      </w:r>
      <w:r w:rsidRPr="009410FF">
        <w:t>the total outpe</w:t>
      </w:r>
      <w:r w:rsidRPr="00CB1C5E">
        <w:t>rformance gap. This is by construction</w:t>
      </w:r>
      <w:r>
        <w:t>, as t</w:t>
      </w:r>
      <w:r w:rsidRPr="00CB1C5E">
        <w:t xml:space="preserve">he benchmarks use the actual administration expense paid by </w:t>
      </w:r>
      <w:r>
        <w:t>each</w:t>
      </w:r>
      <w:r w:rsidRPr="00CB1C5E">
        <w:t xml:space="preserve"> segment.</w:t>
      </w:r>
    </w:p>
    <w:p w:rsidR="00296753" w:rsidRPr="009410FF" w:rsidRDefault="00296753" w:rsidP="00296753">
      <w:pPr>
        <w:pStyle w:val="BodyText"/>
      </w:pPr>
      <w:r w:rsidRPr="009410FF">
        <w:t xml:space="preserve">Most notably, the difference in outperformance </w:t>
      </w:r>
      <w:r>
        <w:t xml:space="preserve">between the two segments </w:t>
      </w:r>
      <w:r w:rsidRPr="009410FF">
        <w:t>is almost entirely driven by the difference in residuals</w:t>
      </w:r>
      <w:r>
        <w:t xml:space="preserve"> (about 200 basis points)</w:t>
      </w:r>
      <w:r w:rsidRPr="009410FF">
        <w:t xml:space="preserve">. </w:t>
      </w:r>
      <w:r>
        <w:t xml:space="preserve">Based on SuperRatings data, this difference does not appear to be driven by differences in indirect investment expenses (10 basis points). Though SuperRatings data may not reflect the full extent of differences in </w:t>
      </w:r>
      <w:r>
        <w:lastRenderedPageBreak/>
        <w:t>investment expenses, they nevertheless would suggest that the bulk of the difference in residuals is attributable to other factors, predominantly asset selection (within asset classes) and also, potentially, measurement error. This is consistent with results from the Commission’s funds survey, where not</w:t>
      </w:r>
      <w:r w:rsidR="00617DD2">
        <w:noBreakHyphen/>
      </w:r>
      <w:r>
        <w:t>for</w:t>
      </w:r>
      <w:r w:rsidR="00617DD2">
        <w:noBreakHyphen/>
      </w:r>
      <w:r>
        <w:t xml:space="preserve">profit funds performed better than retail funds (on average) in most asset classes. </w:t>
      </w:r>
    </w:p>
    <w:p w:rsidR="005D148E" w:rsidRDefault="00E464EA" w:rsidP="00B37CCD">
      <w:pPr>
        <w:pStyle w:val="Heading4"/>
      </w:pPr>
      <w:r>
        <w:t>Absolute performance</w:t>
      </w:r>
      <w:r w:rsidDel="00E464EA">
        <w:t xml:space="preserve"> </w:t>
      </w:r>
      <w:r w:rsidR="005D148E">
        <w:t>decomposition</w:t>
      </w:r>
      <w:r w:rsidR="00E24697">
        <w:t>s</w:t>
      </w:r>
      <w:r w:rsidR="007160EC">
        <w:t xml:space="preserve">: </w:t>
      </w:r>
      <w:r w:rsidR="00676DA0">
        <w:t xml:space="preserve">across </w:t>
      </w:r>
      <w:r w:rsidR="007160EC">
        <w:t>funds</w:t>
      </w:r>
    </w:p>
    <w:p w:rsidR="00275F94" w:rsidRDefault="00275F94" w:rsidP="00450CDD">
      <w:pPr>
        <w:pStyle w:val="BodyText"/>
      </w:pPr>
      <w:r>
        <w:t>Figure</w:t>
      </w:r>
      <w:r w:rsidR="00617DD2">
        <w:t> </w:t>
      </w:r>
      <w:r w:rsidR="00603A89">
        <w:t>11</w:t>
      </w:r>
      <w:r w:rsidDel="00E65920">
        <w:t xml:space="preserve"> </w:t>
      </w:r>
      <w:r w:rsidR="00E65920">
        <w:t>shows</w:t>
      </w:r>
      <w:r>
        <w:t xml:space="preserve"> </w:t>
      </w:r>
      <w:r w:rsidR="00E464EA">
        <w:t>an absolute performance</w:t>
      </w:r>
      <w:r>
        <w:t xml:space="preserve"> decomposition at the fund level</w:t>
      </w:r>
      <w:r w:rsidR="00EF117B">
        <w:t>, split by not</w:t>
      </w:r>
      <w:r w:rsidR="00617DD2">
        <w:noBreakHyphen/>
      </w:r>
      <w:r w:rsidR="00EF117B">
        <w:t>for</w:t>
      </w:r>
      <w:r w:rsidR="00617DD2">
        <w:noBreakHyphen/>
      </w:r>
      <w:r w:rsidR="00EF117B">
        <w:t xml:space="preserve">profit and </w:t>
      </w:r>
      <w:r w:rsidR="007160EC">
        <w:t xml:space="preserve">retail </w:t>
      </w:r>
      <w:r w:rsidR="00EF117B">
        <w:t>funds</w:t>
      </w:r>
      <w:r>
        <w:t>. Each bar represents the outcomes for a particular fund. As in the draft report, only funds with MySuper products are included</w:t>
      </w:r>
      <w:r w:rsidR="00DC1A79">
        <w:t xml:space="preserve"> (</w:t>
      </w:r>
      <w:r w:rsidR="00DC1A79" w:rsidRPr="00DC1A79">
        <w:t>representing 54</w:t>
      </w:r>
      <w:r w:rsidR="00DC1A79">
        <w:t xml:space="preserve"> per cent of assets and 61 per cent </w:t>
      </w:r>
      <w:r w:rsidR="00DC1A79" w:rsidRPr="00DC1A79">
        <w:t>of member accounts in all APRA regulated funds in 2017)</w:t>
      </w:r>
      <w:r>
        <w:t>, due to the need to make asset allocation adjustments</w:t>
      </w:r>
      <w:r w:rsidR="0063578C">
        <w:t xml:space="preserve"> (</w:t>
      </w:r>
      <w:r w:rsidR="007267BE">
        <w:t xml:space="preserve">since </w:t>
      </w:r>
      <w:r w:rsidR="00D6486A">
        <w:t xml:space="preserve">funds </w:t>
      </w:r>
      <w:r w:rsidR="0063578C">
        <w:t xml:space="preserve">only </w:t>
      </w:r>
      <w:r w:rsidR="00D6486A">
        <w:t xml:space="preserve">reported their </w:t>
      </w:r>
      <w:r w:rsidR="00EE31B8">
        <w:t>default asset</w:t>
      </w:r>
      <w:r w:rsidR="00D6486A">
        <w:t xml:space="preserve"> </w:t>
      </w:r>
      <w:r w:rsidR="0063578C">
        <w:t>allocation</w:t>
      </w:r>
      <w:r w:rsidR="00E92E35">
        <w:t xml:space="preserve"> </w:t>
      </w:r>
      <w:r w:rsidR="0063578C">
        <w:t>to APRA prior to 201</w:t>
      </w:r>
      <w:r w:rsidR="007267BE">
        <w:t>4</w:t>
      </w:r>
      <w:r w:rsidR="0063578C">
        <w:t>)</w:t>
      </w:r>
      <w:r w:rsidR="00EE1567">
        <w:t xml:space="preserve">, as described in technical supplement 4. </w:t>
      </w:r>
      <w:r>
        <w:t>Parts of the bar which extend from zero and above are components which ‘contribute’ to net returns, while parts which exten</w:t>
      </w:r>
      <w:r w:rsidR="00E65920">
        <w:t xml:space="preserve">d </w:t>
      </w:r>
      <w:r>
        <w:t>below zero are components which ‘</w:t>
      </w:r>
      <w:r w:rsidR="00873BF1">
        <w:t>subtract</w:t>
      </w:r>
      <w:r w:rsidR="00D7383C">
        <w:t>’</w:t>
      </w:r>
      <w:r w:rsidR="00873BF1">
        <w:t xml:space="preserve"> from </w:t>
      </w:r>
      <w:r>
        <w:t xml:space="preserve">net returns. The bars have been ordered from left to right in terms of the </w:t>
      </w:r>
      <w:r w:rsidR="00EE1567">
        <w:t xml:space="preserve">total </w:t>
      </w:r>
      <w:r>
        <w:t>net returns delivered, so that the funds with the highes</w:t>
      </w:r>
      <w:r w:rsidR="0048101E">
        <w:t>t</w:t>
      </w:r>
      <w:r w:rsidR="00D6486A">
        <w:t xml:space="preserve"> level of</w:t>
      </w:r>
      <w:r w:rsidR="0048101E">
        <w:t xml:space="preserve"> net returns are on the right.</w:t>
      </w:r>
      <w:r w:rsidR="00290B5C">
        <w:t xml:space="preserve"> Long</w:t>
      </w:r>
      <w:r w:rsidR="00D7383C">
        <w:noBreakHyphen/>
      </w:r>
      <w:r w:rsidR="00290B5C">
        <w:t>term underperforming funds (</w:t>
      </w:r>
      <w:r w:rsidR="00D7383C">
        <w:t>those with a</w:t>
      </w:r>
      <w:r w:rsidR="00290B5C">
        <w:t xml:space="preserve"> 13</w:t>
      </w:r>
      <w:r w:rsidR="00617DD2">
        <w:noBreakHyphen/>
      </w:r>
      <w:r w:rsidR="00290B5C">
        <w:t>year annualised net return</w:t>
      </w:r>
      <w:r w:rsidR="00E92E35">
        <w:t xml:space="preserve"> </w:t>
      </w:r>
      <w:r w:rsidR="00290B5C">
        <w:t xml:space="preserve">below BP2 </w:t>
      </w:r>
      <w:r w:rsidR="00AB4CDD">
        <w:t>minus</w:t>
      </w:r>
      <w:r w:rsidR="00290B5C">
        <w:t xml:space="preserve"> 0.25) are marked with an orange triangle.</w:t>
      </w:r>
      <w:r>
        <w:t xml:space="preserve"> </w:t>
      </w:r>
      <w:r w:rsidR="00E0415F">
        <w:t>Further</w:t>
      </w:r>
      <w:r w:rsidR="00EE1567">
        <w:t>,</w:t>
      </w:r>
      <w:r w:rsidR="00E0415F">
        <w:t xml:space="preserve"> as explained </w:t>
      </w:r>
      <w:r w:rsidR="00EE1567">
        <w:t>later in this paper</w:t>
      </w:r>
      <w:r w:rsidR="00E0415F">
        <w:t>, the Commission’s fund level analysis is now on a gross of tax basis</w:t>
      </w:r>
      <w:r w:rsidR="00EE1567">
        <w:t xml:space="preserve"> (and thus tax is not included in the</w:t>
      </w:r>
      <w:r w:rsidR="00D7383C">
        <w:t>se</w:t>
      </w:r>
      <w:r w:rsidR="00EE1567">
        <w:t xml:space="preserve"> decompositions).</w:t>
      </w:r>
    </w:p>
    <w:p w:rsidR="00592EC4" w:rsidRDefault="00084BEE" w:rsidP="00450CDD">
      <w:pPr>
        <w:pStyle w:val="BodyText"/>
      </w:pPr>
      <w:r>
        <w:t>Asset allocation is the largest driver of total net returns</w:t>
      </w:r>
      <w:r w:rsidRPr="00426D98">
        <w:t xml:space="preserve"> </w:t>
      </w:r>
      <w:r>
        <w:t>across the board, but is not the predominant source of</w:t>
      </w:r>
      <w:r w:rsidDel="00EB3202">
        <w:t xml:space="preserve"> </w:t>
      </w:r>
      <w:r>
        <w:t xml:space="preserve">variation across funds. </w:t>
      </w:r>
      <w:r w:rsidR="0042735B">
        <w:t>Variation in</w:t>
      </w:r>
      <w:r>
        <w:t xml:space="preserve"> fund</w:t>
      </w:r>
      <w:r>
        <w:noBreakHyphen/>
        <w:t>level residuals (</w:t>
      </w:r>
      <w:r w:rsidR="0042735B">
        <w:t xml:space="preserve">a standard deviation of </w:t>
      </w:r>
      <w:r>
        <w:t xml:space="preserve">90 basis points) is much larger than </w:t>
      </w:r>
      <w:r w:rsidR="0042735B">
        <w:t>in</w:t>
      </w:r>
      <w:r>
        <w:t xml:space="preserve"> fund</w:t>
      </w:r>
      <w:r>
        <w:noBreakHyphen/>
        <w:t>level asset allocation effects (</w:t>
      </w:r>
      <w:r w:rsidR="0042735B">
        <w:t xml:space="preserve">standard deviation of </w:t>
      </w:r>
      <w:r>
        <w:t>49 basis points) or administration expenses (</w:t>
      </w:r>
      <w:r w:rsidR="00011120">
        <w:t xml:space="preserve">47 </w:t>
      </w:r>
      <w:r>
        <w:t>basis points). Funds on the right hand side of the chart generally have lower expenses, though these do not appear to differentiate the best funds from the funds in the middle. The higher net returns of the funds on the right seem to be partly reflected in the larger positive residuals. By contrast, funds on the left typically have larger administration expenses, as well as substantial negative residuals.</w:t>
      </w:r>
      <w:r w:rsidR="00290B5C">
        <w:t xml:space="preserve"> There are some funds</w:t>
      </w:r>
      <w:r w:rsidR="00E92E35">
        <w:t xml:space="preserve"> </w:t>
      </w:r>
      <w:r w:rsidR="00523219">
        <w:t>that</w:t>
      </w:r>
      <w:r w:rsidR="00290B5C">
        <w:t xml:space="preserve"> outperform their benchmark, but deliver relatively low </w:t>
      </w:r>
      <w:r w:rsidR="000403C3">
        <w:t>net returns</w:t>
      </w:r>
      <w:r w:rsidR="00C21336">
        <w:t xml:space="preserve"> (in terms of the absolute level)</w:t>
      </w:r>
      <w:r w:rsidR="000403C3">
        <w:t>. However</w:t>
      </w:r>
      <w:r w:rsidR="00C72502">
        <w:t>,</w:t>
      </w:r>
      <w:r w:rsidR="000403C3">
        <w:t xml:space="preserve"> </w:t>
      </w:r>
      <w:r w:rsidR="00290B5C">
        <w:t xml:space="preserve">most funds </w:t>
      </w:r>
      <w:r w:rsidR="00523219">
        <w:t xml:space="preserve">that </w:t>
      </w:r>
      <w:r w:rsidR="00290B5C">
        <w:t xml:space="preserve">outperform their benchmark tend to be towards the right </w:t>
      </w:r>
      <w:r w:rsidR="00C72502">
        <w:t xml:space="preserve">hand side </w:t>
      </w:r>
      <w:r w:rsidR="00290B5C">
        <w:t>of the figure.</w:t>
      </w:r>
    </w:p>
    <w:p w:rsidR="00084BEE" w:rsidRDefault="00084BEE" w:rsidP="00450CDD">
      <w:pPr>
        <w:pStyle w:val="BodyText"/>
      </w:pPr>
      <w:r>
        <w:t xml:space="preserve">The role of indirect investment </w:t>
      </w:r>
      <w:r w:rsidR="006748AD">
        <w:t xml:space="preserve">expenses </w:t>
      </w:r>
      <w:r>
        <w:t xml:space="preserve">cannot be reliably estimated at the fund level using SuperRatings data. </w:t>
      </w:r>
      <w:r w:rsidR="00523219">
        <w:t>D</w:t>
      </w:r>
      <w:r>
        <w:t xml:space="preserve">ata on </w:t>
      </w:r>
      <w:r w:rsidR="00523219">
        <w:t>these costs are</w:t>
      </w:r>
      <w:r>
        <w:t xml:space="preserve"> only available for 43 of the 67 funds in the fund</w:t>
      </w:r>
      <w:r>
        <w:noBreakHyphen/>
        <w:t>level analysis and</w:t>
      </w:r>
      <w:r w:rsidR="00D6486A">
        <w:t>,</w:t>
      </w:r>
      <w:r>
        <w:t xml:space="preserve"> even where </w:t>
      </w:r>
      <w:r w:rsidR="00523219">
        <w:t>they</w:t>
      </w:r>
      <w:r>
        <w:t xml:space="preserve"> exist, the coverage across </w:t>
      </w:r>
      <w:r w:rsidR="00523219">
        <w:t>each</w:t>
      </w:r>
      <w:r>
        <w:t xml:space="preserve"> fund’s assets is unclear. </w:t>
      </w:r>
      <w:r w:rsidR="00523219">
        <w:t>T</w:t>
      </w:r>
      <w:r>
        <w:t xml:space="preserve">he Commission </w:t>
      </w:r>
      <w:r w:rsidR="00873BF1">
        <w:t>attempted a</w:t>
      </w:r>
      <w:r>
        <w:t xml:space="preserve"> </w:t>
      </w:r>
      <w:r w:rsidR="00873BF1">
        <w:t>linear</w:t>
      </w:r>
      <w:r>
        <w:t xml:space="preserve"> regression analysis of the fund</w:t>
      </w:r>
      <w:r>
        <w:noBreakHyphen/>
        <w:t xml:space="preserve">level residuals on fund indirect investment </w:t>
      </w:r>
      <w:r w:rsidR="006748AD">
        <w:t>expenses</w:t>
      </w:r>
      <w:r w:rsidR="00943951">
        <w:t>;</w:t>
      </w:r>
      <w:r w:rsidR="00873BF1">
        <w:t xml:space="preserve"> however</w:t>
      </w:r>
      <w:r w:rsidR="00943951">
        <w:t>,</w:t>
      </w:r>
      <w:r w:rsidR="00873BF1">
        <w:t xml:space="preserve"> the results do not </w:t>
      </w:r>
      <w:r w:rsidR="00943951">
        <w:t>lead to a clear interpretation</w:t>
      </w:r>
      <w:r w:rsidR="00592EC4">
        <w:t>.</w:t>
      </w:r>
      <w:r w:rsidR="00873BF1">
        <w:rPr>
          <w:rStyle w:val="FootnoteReference"/>
        </w:rPr>
        <w:footnoteReference w:id="7"/>
      </w:r>
    </w:p>
    <w:p w:rsidR="00275F94" w:rsidRDefault="00275F94" w:rsidP="00060AF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75F94" w:rsidTr="00060AFB">
        <w:trPr>
          <w:tblHeader/>
        </w:trPr>
        <w:tc>
          <w:tcPr>
            <w:tcW w:w="5000" w:type="pct"/>
            <w:tcBorders>
              <w:top w:val="single" w:sz="6" w:space="0" w:color="78A22F"/>
              <w:left w:val="nil"/>
              <w:bottom w:val="nil"/>
              <w:right w:val="nil"/>
            </w:tcBorders>
            <w:shd w:val="clear" w:color="auto" w:fill="auto"/>
          </w:tcPr>
          <w:p w:rsidR="00275F94" w:rsidRDefault="00275F94" w:rsidP="00060AFB">
            <w:pPr>
              <w:pStyle w:val="FigureTitle"/>
            </w:pPr>
            <w:r w:rsidRPr="00784A05">
              <w:rPr>
                <w:b w:val="0"/>
              </w:rPr>
              <w:t xml:space="preserve">Figure </w:t>
            </w:r>
            <w:bookmarkStart w:id="26" w:name="OLE_LINK44"/>
            <w:r w:rsidR="001345FE">
              <w:rPr>
                <w:b w:val="0"/>
                <w:noProof/>
              </w:rPr>
              <w:t>11</w:t>
            </w:r>
            <w:bookmarkEnd w:id="26"/>
            <w:r>
              <w:tab/>
              <w:t>Fund</w:t>
            </w:r>
            <w:r w:rsidR="00E464EA">
              <w:noBreakHyphen/>
              <w:t>level</w:t>
            </w:r>
            <w:r>
              <w:t xml:space="preserve"> </w:t>
            </w:r>
            <w:r w:rsidR="00E464EA">
              <w:t>absolute performance</w:t>
            </w:r>
            <w:r>
              <w:t xml:space="preserve"> decomposition</w:t>
            </w:r>
            <w:r w:rsidR="000535E6">
              <w:t xml:space="preserve"> (total net returns)</w:t>
            </w:r>
          </w:p>
          <w:p w:rsidR="00F76678" w:rsidRPr="00D77F0F" w:rsidRDefault="00275F94" w:rsidP="00E92E35">
            <w:pPr>
              <w:pStyle w:val="Subtitle"/>
              <w:rPr>
                <w:rStyle w:val="DraftingNote"/>
                <w:b w:val="0"/>
                <w:color w:val="auto"/>
                <w:sz w:val="20"/>
                <w:u w:val="none"/>
              </w:rPr>
            </w:pPr>
            <w:r>
              <w:t>2005</w:t>
            </w:r>
            <w:r w:rsidR="00B01777">
              <w:t>–</w:t>
            </w:r>
            <w:r>
              <w:t>201</w:t>
            </w:r>
            <w:r w:rsidR="00792932">
              <w:t>7</w:t>
            </w:r>
          </w:p>
        </w:tc>
      </w:tr>
      <w:tr w:rsidR="00275F94" w:rsidTr="00060AF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75F94" w:rsidRPr="00B1465D" w:rsidTr="00060AFB">
              <w:trPr>
                <w:tblHeader/>
                <w:jc w:val="center"/>
              </w:trPr>
              <w:tc>
                <w:tcPr>
                  <w:tcW w:w="5000" w:type="pct"/>
                  <w:tcBorders>
                    <w:top w:val="nil"/>
                    <w:bottom w:val="nil"/>
                  </w:tcBorders>
                </w:tcPr>
                <w:p w:rsidR="00792932" w:rsidRPr="00B1465D" w:rsidRDefault="00A80A4A" w:rsidP="00060AFB">
                  <w:pPr>
                    <w:pStyle w:val="Figure"/>
                    <w:spacing w:before="60" w:after="60"/>
                    <w:rPr>
                      <w:rFonts w:ascii="Arial" w:hAnsi="Arial" w:cs="Arial"/>
                      <w:sz w:val="18"/>
                      <w:szCs w:val="18"/>
                    </w:rPr>
                  </w:pPr>
                  <w:r w:rsidRPr="00A80A4A">
                    <w:rPr>
                      <w:rFonts w:ascii="Arial" w:hAnsi="Arial" w:cs="Arial"/>
                      <w:sz w:val="18"/>
                      <w:szCs w:val="18"/>
                    </w:rPr>
                    <w:t xml:space="preserve"> </w:t>
                  </w:r>
                  <w:r w:rsidR="008E6F9A" w:rsidRPr="008E6F9A">
                    <w:rPr>
                      <w:rFonts w:ascii="Arial" w:hAnsi="Arial" w:cs="Arial"/>
                      <w:noProof/>
                      <w:sz w:val="18"/>
                      <w:szCs w:val="18"/>
                    </w:rPr>
                    <w:drawing>
                      <wp:inline distT="0" distB="0" distL="0" distR="0" wp14:anchorId="2827F876" wp14:editId="20738E6D">
                        <wp:extent cx="5324475" cy="6162675"/>
                        <wp:effectExtent l="0" t="0" r="0" b="0"/>
                        <wp:docPr id="47" name="Picture 47" descr="This figure shows the contribution of asset allocation, investment expenses, administration expenses and the residual to total net returns for individual not-for-profit funds and retail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367" r="3077"/>
                                <a:stretch/>
                              </pic:blipFill>
                              <pic:spPr bwMode="auto">
                                <a:xfrm>
                                  <a:off x="0" y="0"/>
                                  <a:ext cx="5324475" cy="6162675"/>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00" w:type="pct"/>
                    <w:tblLook w:val="04A0" w:firstRow="1" w:lastRow="0" w:firstColumn="1" w:lastColumn="0" w:noHBand="0" w:noVBand="1"/>
                  </w:tblPr>
                  <w:tblGrid>
                    <w:gridCol w:w="1609"/>
                    <w:gridCol w:w="2788"/>
                    <w:gridCol w:w="1600"/>
                    <w:gridCol w:w="2507"/>
                  </w:tblGrid>
                  <w:tr w:rsidR="00450CDD" w:rsidTr="00E05B86">
                    <w:trPr>
                      <w:tblHeader/>
                    </w:trPr>
                    <w:tc>
                      <w:tcPr>
                        <w:tcW w:w="946" w:type="pct"/>
                        <w:shd w:val="clear" w:color="auto" w:fill="F2F2F2" w:themeFill="background1" w:themeFillShade="F2"/>
                      </w:tcPr>
                      <w:p w:rsidR="00450CDD" w:rsidRDefault="00450CDD" w:rsidP="00450CDD">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4054" w:type="pct"/>
                        <w:gridSpan w:val="3"/>
                        <w:shd w:val="clear" w:color="auto" w:fill="F2F2F2" w:themeFill="background1" w:themeFillShade="F2"/>
                      </w:tcPr>
                      <w:p w:rsidR="00450CDD" w:rsidRDefault="00450CDD" w:rsidP="00450CDD">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 xml:space="preserve">PC analysis of </w:t>
                        </w:r>
                        <w:r w:rsidRPr="00D079E5">
                          <w:rPr>
                            <w:rFonts w:asciiTheme="minorHAnsi" w:hAnsi="Arial" w:cstheme="minorBidi"/>
                            <w:color w:val="000000" w:themeColor="text1"/>
                            <w:kern w:val="24"/>
                            <w:sz w:val="18"/>
                            <w:szCs w:val="18"/>
                          </w:rPr>
                          <w:t xml:space="preserve">APRA </w:t>
                        </w:r>
                        <w:r>
                          <w:rPr>
                            <w:rFonts w:asciiTheme="minorHAnsi" w:hAnsi="Arial" w:cstheme="minorBidi"/>
                            <w:color w:val="000000" w:themeColor="text1"/>
                            <w:kern w:val="24"/>
                            <w:sz w:val="18"/>
                            <w:szCs w:val="18"/>
                          </w:rPr>
                          <w:t xml:space="preserve">confidential </w:t>
                        </w:r>
                        <w:r w:rsidRPr="00D079E5">
                          <w:rPr>
                            <w:rFonts w:asciiTheme="minorHAnsi" w:hAnsi="Arial" w:cstheme="minorBidi"/>
                            <w:color w:val="000000" w:themeColor="text1"/>
                            <w:kern w:val="24"/>
                            <w:sz w:val="18"/>
                            <w:szCs w:val="18"/>
                          </w:rPr>
                          <w:t>data</w:t>
                        </w:r>
                        <w:r>
                          <w:rPr>
                            <w:rFonts w:asciiTheme="minorHAnsi" w:hAnsi="Arial" w:cstheme="minorBidi"/>
                            <w:color w:val="000000" w:themeColor="text1"/>
                            <w:kern w:val="24"/>
                            <w:sz w:val="18"/>
                            <w:szCs w:val="18"/>
                          </w:rPr>
                          <w:t xml:space="preserve"> and financial market index data (various providers).</w:t>
                        </w:r>
                      </w:p>
                    </w:tc>
                  </w:tr>
                  <w:tr w:rsidR="00450CDD" w:rsidTr="00E05B86">
                    <w:tc>
                      <w:tcPr>
                        <w:tcW w:w="946" w:type="pct"/>
                        <w:shd w:val="clear" w:color="auto" w:fill="F2F2F2" w:themeFill="background1" w:themeFillShade="F2"/>
                      </w:tcPr>
                      <w:p w:rsidR="00450CDD" w:rsidRDefault="00450CDD" w:rsidP="00450CDD">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Benchmark</w:t>
                        </w:r>
                      </w:p>
                    </w:tc>
                    <w:tc>
                      <w:tcPr>
                        <w:tcW w:w="4054" w:type="pct"/>
                        <w:gridSpan w:val="3"/>
                        <w:shd w:val="clear" w:color="auto" w:fill="F2F2F2" w:themeFill="background1" w:themeFillShade="F2"/>
                      </w:tcPr>
                      <w:p w:rsidR="00450CDD" w:rsidRDefault="00450CDD" w:rsidP="00450CDD">
                        <w:pPr>
                          <w:pStyle w:val="Figure"/>
                          <w:spacing w:before="0" w:after="0"/>
                          <w:jc w:val="left"/>
                          <w:rPr>
                            <w:rFonts w:ascii="Arial" w:hAnsi="Arial" w:cs="Arial"/>
                            <w:sz w:val="18"/>
                            <w:szCs w:val="18"/>
                          </w:rPr>
                        </w:pPr>
                        <w:r>
                          <w:rPr>
                            <w:rFonts w:ascii="Arial" w:hAnsi="Arial" w:cs="Arial"/>
                            <w:sz w:val="18"/>
                            <w:szCs w:val="18"/>
                          </w:rPr>
                          <w:t>Fund</w:t>
                        </w:r>
                        <w:r w:rsidR="00D6486A">
                          <w:rPr>
                            <w:rFonts w:ascii="Arial" w:hAnsi="Arial" w:cs="Arial"/>
                            <w:sz w:val="18"/>
                            <w:szCs w:val="18"/>
                          </w:rPr>
                          <w:noBreakHyphen/>
                        </w:r>
                        <w:r>
                          <w:rPr>
                            <w:rFonts w:ascii="Arial" w:hAnsi="Arial" w:cs="Arial"/>
                            <w:sz w:val="18"/>
                            <w:szCs w:val="18"/>
                          </w:rPr>
                          <w:t>tailored BP2.</w:t>
                        </w:r>
                      </w:p>
                    </w:tc>
                  </w:tr>
                  <w:tr w:rsidR="00450CDD" w:rsidRPr="0032089A" w:rsidTr="00E05B86">
                    <w:tc>
                      <w:tcPr>
                        <w:tcW w:w="946" w:type="pct"/>
                        <w:shd w:val="clear" w:color="auto" w:fill="F2F2F2" w:themeFill="background1" w:themeFillShade="F2"/>
                      </w:tcPr>
                      <w:p w:rsidR="00450CDD" w:rsidRDefault="00450CDD" w:rsidP="00450CDD">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4054" w:type="pct"/>
                        <w:gridSpan w:val="3"/>
                        <w:shd w:val="clear" w:color="auto" w:fill="F2F2F2" w:themeFill="background1" w:themeFillShade="F2"/>
                      </w:tcPr>
                      <w:p w:rsidR="00450CDD" w:rsidRPr="0032089A" w:rsidRDefault="00450CDD" w:rsidP="00C57156">
                        <w:pPr>
                          <w:pStyle w:val="NormalWeb"/>
                          <w:rPr>
                            <w:color w:val="000000" w:themeColor="text1"/>
                            <w:sz w:val="18"/>
                            <w:szCs w:val="18"/>
                          </w:rPr>
                        </w:pPr>
                        <w:r w:rsidRPr="00D079E5">
                          <w:rPr>
                            <w:rFonts w:asciiTheme="minorHAnsi" w:hAnsi="Arial" w:cstheme="minorBidi"/>
                            <w:color w:val="000000" w:themeColor="text1"/>
                            <w:kern w:val="24"/>
                            <w:sz w:val="18"/>
                            <w:szCs w:val="18"/>
                          </w:rPr>
                          <w:t xml:space="preserve">All </w:t>
                        </w:r>
                        <w:r>
                          <w:rPr>
                            <w:rFonts w:asciiTheme="minorHAnsi" w:hAnsi="Arial" w:cstheme="minorBidi"/>
                            <w:color w:val="000000" w:themeColor="text1"/>
                            <w:kern w:val="24"/>
                            <w:sz w:val="18"/>
                            <w:szCs w:val="18"/>
                          </w:rPr>
                          <w:t>APRA</w:t>
                        </w:r>
                        <w:r>
                          <w:rPr>
                            <w:rFonts w:asciiTheme="minorHAnsi" w:hAnsi="Arial" w:cstheme="minorBidi"/>
                            <w:color w:val="000000" w:themeColor="text1"/>
                            <w:kern w:val="24"/>
                            <w:sz w:val="18"/>
                            <w:szCs w:val="18"/>
                          </w:rPr>
                          <w:noBreakHyphen/>
                          <w:t>regulated</w:t>
                        </w:r>
                        <w:r w:rsidRPr="00D079E5">
                          <w:rPr>
                            <w:rFonts w:asciiTheme="minorHAnsi" w:hAnsi="Arial" w:cstheme="minorBidi"/>
                            <w:color w:val="000000" w:themeColor="text1"/>
                            <w:kern w:val="24"/>
                            <w:sz w:val="18"/>
                            <w:szCs w:val="18"/>
                          </w:rPr>
                          <w:t xml:space="preserve"> funds with a MySuper product </w:t>
                        </w:r>
                        <w:r>
                          <w:rPr>
                            <w:rFonts w:asciiTheme="minorHAnsi" w:hAnsi="Arial" w:cstheme="minorBidi"/>
                            <w:color w:val="000000" w:themeColor="text1"/>
                            <w:kern w:val="24"/>
                            <w:sz w:val="18"/>
                            <w:szCs w:val="18"/>
                          </w:rPr>
                          <w:t>in the dataset over the full period (</w:t>
                        </w:r>
                        <w:r w:rsidR="00C57156">
                          <w:rPr>
                            <w:rFonts w:asciiTheme="minorHAnsi" w:hAnsi="Arial" w:cstheme="minorBidi"/>
                            <w:color w:val="000000" w:themeColor="text1"/>
                            <w:kern w:val="24"/>
                            <w:sz w:val="18"/>
                            <w:szCs w:val="18"/>
                          </w:rPr>
                          <w:t>54</w:t>
                        </w:r>
                        <w:r>
                          <w:rPr>
                            <w:rFonts w:asciiTheme="minorHAnsi" w:hAnsi="Arial" w:cstheme="minorBidi"/>
                            <w:color w:val="000000" w:themeColor="text1"/>
                            <w:kern w:val="24"/>
                            <w:sz w:val="18"/>
                            <w:szCs w:val="18"/>
                          </w:rPr>
                          <w:t xml:space="preserve">% of assets and </w:t>
                        </w:r>
                        <w:r w:rsidR="00C57156">
                          <w:rPr>
                            <w:rFonts w:asciiTheme="minorHAnsi" w:hAnsi="Arial" w:cstheme="minorBidi"/>
                            <w:color w:val="000000" w:themeColor="text1"/>
                            <w:kern w:val="24"/>
                            <w:sz w:val="18"/>
                            <w:szCs w:val="18"/>
                          </w:rPr>
                          <w:t>61</w:t>
                        </w:r>
                        <w:r>
                          <w:rPr>
                            <w:rFonts w:asciiTheme="minorHAnsi" w:hAnsi="Arial" w:cstheme="minorBidi"/>
                            <w:color w:val="000000" w:themeColor="text1"/>
                            <w:kern w:val="24"/>
                            <w:sz w:val="18"/>
                            <w:szCs w:val="18"/>
                          </w:rPr>
                          <w:t>% of member accounts in all APRA</w:t>
                        </w:r>
                        <w:r>
                          <w:rPr>
                            <w:rFonts w:asciiTheme="minorHAnsi" w:hAnsi="Arial" w:cstheme="minorBidi"/>
                            <w:color w:val="000000" w:themeColor="text1"/>
                            <w:kern w:val="24"/>
                            <w:sz w:val="18"/>
                            <w:szCs w:val="18"/>
                          </w:rPr>
                          <w:noBreakHyphen/>
                          <w:t xml:space="preserve">regulated funds with a MySuper product in </w:t>
                        </w:r>
                        <w:r w:rsidR="003B6B2A">
                          <w:rPr>
                            <w:rFonts w:asciiTheme="minorHAnsi" w:hAnsi="Arial" w:cstheme="minorBidi"/>
                            <w:color w:val="000000" w:themeColor="text1"/>
                            <w:kern w:val="24"/>
                            <w:sz w:val="18"/>
                            <w:szCs w:val="18"/>
                          </w:rPr>
                          <w:t>2017</w:t>
                        </w:r>
                        <w:r>
                          <w:rPr>
                            <w:rFonts w:asciiTheme="minorHAnsi" w:hAnsi="Arial" w:cstheme="minorBidi"/>
                            <w:color w:val="000000" w:themeColor="text1"/>
                            <w:kern w:val="24"/>
                            <w:sz w:val="18"/>
                            <w:szCs w:val="18"/>
                          </w:rPr>
                          <w:t xml:space="preserve">). Over the whole system, the figure represents </w:t>
                        </w:r>
                        <w:r w:rsidR="00C57156">
                          <w:rPr>
                            <w:rFonts w:asciiTheme="minorHAnsi" w:hAnsi="Arial" w:cstheme="minorBidi"/>
                            <w:color w:val="000000" w:themeColor="text1"/>
                            <w:kern w:val="24"/>
                            <w:sz w:val="18"/>
                            <w:szCs w:val="18"/>
                          </w:rPr>
                          <w:t>67</w:t>
                        </w:r>
                        <w:r w:rsidR="00C57156" w:rsidRPr="00D079E5">
                          <w:rPr>
                            <w:rFonts w:asciiTheme="minorHAnsi" w:hAnsi="Arial" w:cstheme="minorBidi"/>
                            <w:color w:val="000000" w:themeColor="text1"/>
                            <w:kern w:val="24"/>
                            <w:sz w:val="18"/>
                            <w:szCs w:val="18"/>
                          </w:rPr>
                          <w:t xml:space="preserve"> </w:t>
                        </w:r>
                        <w:r w:rsidRPr="00D079E5">
                          <w:rPr>
                            <w:rFonts w:asciiTheme="minorHAnsi" w:hAnsi="Arial" w:cstheme="minorBidi"/>
                            <w:color w:val="000000" w:themeColor="text1"/>
                            <w:kern w:val="24"/>
                            <w:sz w:val="18"/>
                            <w:szCs w:val="18"/>
                          </w:rPr>
                          <w:t>funds</w:t>
                        </w:r>
                        <w:r>
                          <w:rPr>
                            <w:rFonts w:asciiTheme="minorHAnsi" w:hAnsi="Arial" w:cstheme="minorBidi"/>
                            <w:color w:val="000000" w:themeColor="text1"/>
                            <w:kern w:val="24"/>
                            <w:sz w:val="18"/>
                            <w:szCs w:val="18"/>
                          </w:rPr>
                          <w:t xml:space="preserve">, </w:t>
                        </w:r>
                        <w:r w:rsidR="00C57156">
                          <w:rPr>
                            <w:rFonts w:asciiTheme="minorHAnsi" w:hAnsi="Arial" w:cstheme="minorBidi"/>
                            <w:color w:val="000000" w:themeColor="text1"/>
                            <w:kern w:val="24"/>
                            <w:sz w:val="18"/>
                            <w:szCs w:val="18"/>
                          </w:rPr>
                          <w:t>27</w:t>
                        </w:r>
                        <w:r>
                          <w:rPr>
                            <w:rFonts w:asciiTheme="minorHAnsi" w:hAnsi="Arial" w:cstheme="minorBidi"/>
                            <w:color w:val="000000" w:themeColor="text1"/>
                            <w:kern w:val="24"/>
                            <w:sz w:val="18"/>
                            <w:szCs w:val="18"/>
                          </w:rPr>
                          <w:t xml:space="preserve">% of </w:t>
                        </w:r>
                        <w:r w:rsidRPr="00D079E5">
                          <w:rPr>
                            <w:rFonts w:asciiTheme="minorHAnsi" w:hAnsi="Arial" w:cstheme="minorBidi"/>
                            <w:color w:val="000000" w:themeColor="text1"/>
                            <w:kern w:val="24"/>
                            <w:sz w:val="18"/>
                            <w:szCs w:val="18"/>
                          </w:rPr>
                          <w:t xml:space="preserve">assets and </w:t>
                        </w:r>
                        <w:r w:rsidR="00C57156">
                          <w:rPr>
                            <w:rFonts w:asciiTheme="minorHAnsi" w:hAnsi="Arial" w:cstheme="minorBidi"/>
                            <w:color w:val="000000" w:themeColor="text1"/>
                            <w:kern w:val="24"/>
                            <w:sz w:val="18"/>
                            <w:szCs w:val="18"/>
                          </w:rPr>
                          <w:t>47</w:t>
                        </w:r>
                        <w:r w:rsidRPr="00D079E5">
                          <w:rPr>
                            <w:rFonts w:asciiTheme="minorHAnsi" w:hAnsi="Arial" w:cstheme="minorBidi"/>
                            <w:color w:val="000000" w:themeColor="text1"/>
                            <w:kern w:val="24"/>
                            <w:sz w:val="18"/>
                            <w:szCs w:val="18"/>
                          </w:rPr>
                          <w:t xml:space="preserve">% of member accounts in </w:t>
                        </w:r>
                        <w:r w:rsidR="003B6B2A">
                          <w:rPr>
                            <w:rFonts w:asciiTheme="minorHAnsi" w:hAnsi="Arial" w:cstheme="minorBidi"/>
                            <w:color w:val="000000" w:themeColor="text1"/>
                            <w:kern w:val="24"/>
                            <w:sz w:val="18"/>
                            <w:szCs w:val="18"/>
                          </w:rPr>
                          <w:t>2017</w:t>
                        </w:r>
                        <w:r>
                          <w:rPr>
                            <w:rFonts w:asciiTheme="minorHAnsi" w:hAnsi="Arial" w:cstheme="minorBidi"/>
                            <w:color w:val="000000" w:themeColor="text1"/>
                            <w:kern w:val="24"/>
                            <w:sz w:val="18"/>
                            <w:szCs w:val="18"/>
                          </w:rPr>
                          <w:t>.</w:t>
                        </w:r>
                      </w:p>
                    </w:tc>
                  </w:tr>
                  <w:tr w:rsidR="00450CDD" w:rsidDel="009516F9" w:rsidTr="00E05B86">
                    <w:tc>
                      <w:tcPr>
                        <w:tcW w:w="946" w:type="pct"/>
                        <w:shd w:val="clear" w:color="auto" w:fill="F2F2F2" w:themeFill="background1" w:themeFillShade="F2"/>
                      </w:tcPr>
                      <w:p w:rsidR="00450CDD" w:rsidRPr="00311D4D" w:rsidRDefault="00450CDD" w:rsidP="00450CDD">
                        <w:pPr>
                          <w:pStyle w:val="Figure"/>
                          <w:spacing w:before="0" w:after="0"/>
                          <w:jc w:val="left"/>
                          <w:rPr>
                            <w:rFonts w:ascii="Arial" w:hAnsi="Arial" w:cs="Arial"/>
                            <w:b/>
                            <w:sz w:val="18"/>
                            <w:szCs w:val="18"/>
                          </w:rPr>
                        </w:pPr>
                        <w:r w:rsidRPr="005F68B0">
                          <w:rPr>
                            <w:rFonts w:ascii="Arial" w:hAnsi="Arial" w:cs="Arial"/>
                            <w:b/>
                            <w:sz w:val="18"/>
                            <w:szCs w:val="18"/>
                          </w:rPr>
                          <w:t>Survivor bias</w:t>
                        </w:r>
                      </w:p>
                    </w:tc>
                    <w:tc>
                      <w:tcPr>
                        <w:tcW w:w="1639" w:type="pct"/>
                        <w:shd w:val="clear" w:color="auto" w:fill="F2F2F2" w:themeFill="background1" w:themeFillShade="F2"/>
                      </w:tcPr>
                      <w:p w:rsidR="00450CDD" w:rsidDel="009516F9" w:rsidRDefault="00450CDD" w:rsidP="00450CDD">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p>
                    </w:tc>
                    <w:tc>
                      <w:tcPr>
                        <w:tcW w:w="941" w:type="pct"/>
                        <w:shd w:val="clear" w:color="auto" w:fill="F2F2F2" w:themeFill="background1" w:themeFillShade="F2"/>
                      </w:tcPr>
                      <w:p w:rsidR="00450CDD" w:rsidRPr="005F68B0" w:rsidDel="009516F9" w:rsidRDefault="00450CDD" w:rsidP="00450CDD">
                        <w:pPr>
                          <w:pStyle w:val="Figure"/>
                          <w:spacing w:before="0" w:after="0"/>
                          <w:jc w:val="left"/>
                          <w:rPr>
                            <w:rFonts w:asciiTheme="minorHAnsi" w:hAnsi="Arial" w:cstheme="minorBidi"/>
                            <w:b/>
                            <w:color w:val="000000" w:themeColor="text1"/>
                            <w:kern w:val="24"/>
                            <w:sz w:val="18"/>
                            <w:szCs w:val="18"/>
                          </w:rPr>
                        </w:pPr>
                        <w:r w:rsidRPr="005F68B0">
                          <w:rPr>
                            <w:rFonts w:asciiTheme="minorHAnsi" w:hAnsi="Arial" w:cstheme="minorBidi"/>
                            <w:b/>
                            <w:color w:val="000000" w:themeColor="text1"/>
                            <w:kern w:val="24"/>
                            <w:sz w:val="18"/>
                            <w:szCs w:val="18"/>
                          </w:rPr>
                          <w:t>Selection bias</w:t>
                        </w:r>
                      </w:p>
                    </w:tc>
                    <w:tc>
                      <w:tcPr>
                        <w:tcW w:w="1474" w:type="pct"/>
                        <w:shd w:val="clear" w:color="auto" w:fill="F2F2F2" w:themeFill="background1" w:themeFillShade="F2"/>
                      </w:tcPr>
                      <w:p w:rsidR="00450CDD" w:rsidDel="009516F9" w:rsidRDefault="00450CDD" w:rsidP="00450CDD">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p>
                    </w:tc>
                  </w:tr>
                </w:tbl>
                <w:p w:rsidR="00275F94" w:rsidRPr="00B1465D" w:rsidRDefault="00275F94" w:rsidP="00060AFB">
                  <w:pPr>
                    <w:pStyle w:val="Figure"/>
                    <w:spacing w:before="60" w:after="60"/>
                    <w:rPr>
                      <w:rFonts w:ascii="Arial" w:hAnsi="Arial" w:cs="Arial"/>
                      <w:sz w:val="18"/>
                      <w:szCs w:val="18"/>
                    </w:rPr>
                  </w:pPr>
                </w:p>
              </w:tc>
            </w:tr>
          </w:tbl>
          <w:p w:rsidR="00275F94" w:rsidRDefault="00275F94" w:rsidP="00060AFB">
            <w:pPr>
              <w:pStyle w:val="Figure"/>
            </w:pPr>
          </w:p>
        </w:tc>
      </w:tr>
      <w:tr w:rsidR="00275F94" w:rsidTr="00060AFB">
        <w:tc>
          <w:tcPr>
            <w:tcW w:w="5000" w:type="pct"/>
            <w:tcBorders>
              <w:top w:val="nil"/>
              <w:left w:val="nil"/>
              <w:bottom w:val="single" w:sz="6" w:space="0" w:color="78A22F"/>
              <w:right w:val="nil"/>
            </w:tcBorders>
            <w:shd w:val="clear" w:color="auto" w:fill="auto"/>
          </w:tcPr>
          <w:p w:rsidR="00275F94" w:rsidRDefault="00275F94" w:rsidP="00060AFB">
            <w:pPr>
              <w:pStyle w:val="Figurespace"/>
            </w:pPr>
          </w:p>
        </w:tc>
      </w:tr>
      <w:tr w:rsidR="00275F94" w:rsidRPr="000863A5" w:rsidTr="00060AFB">
        <w:tc>
          <w:tcPr>
            <w:tcW w:w="5000" w:type="pct"/>
            <w:tcBorders>
              <w:top w:val="single" w:sz="6" w:space="0" w:color="78A22F"/>
              <w:left w:val="nil"/>
              <w:bottom w:val="nil"/>
              <w:right w:val="nil"/>
            </w:tcBorders>
          </w:tcPr>
          <w:p w:rsidR="00275F94" w:rsidRPr="00626D32" w:rsidRDefault="00275F94" w:rsidP="00060AFB">
            <w:pPr>
              <w:pStyle w:val="BoxSpaceBelow"/>
            </w:pPr>
          </w:p>
        </w:tc>
      </w:tr>
    </w:tbl>
    <w:p w:rsidR="00A80A4A" w:rsidRDefault="00E464EA" w:rsidP="00B37CCD">
      <w:pPr>
        <w:pStyle w:val="Heading4"/>
      </w:pPr>
      <w:r>
        <w:lastRenderedPageBreak/>
        <w:t xml:space="preserve">Relative outperformance </w:t>
      </w:r>
      <w:r w:rsidR="00A80A4A">
        <w:t>decomposition</w:t>
      </w:r>
      <w:r w:rsidR="00E24697">
        <w:t>s</w:t>
      </w:r>
      <w:r w:rsidR="007160EC">
        <w:t xml:space="preserve">: </w:t>
      </w:r>
      <w:r w:rsidR="00676DA0">
        <w:t xml:space="preserve">across </w:t>
      </w:r>
      <w:r w:rsidR="007160EC">
        <w:t>funds</w:t>
      </w:r>
    </w:p>
    <w:p w:rsidR="00764881" w:rsidRDefault="008E2A36" w:rsidP="006E4727">
      <w:pPr>
        <w:pStyle w:val="BodyText"/>
      </w:pPr>
      <w:r>
        <w:t>F</w:t>
      </w:r>
      <w:r w:rsidR="00764881">
        <w:t>igure</w:t>
      </w:r>
      <w:r w:rsidR="00617DD2">
        <w:t> </w:t>
      </w:r>
      <w:r w:rsidR="009E4279">
        <w:t>12</w:t>
      </w:r>
      <w:r w:rsidR="00764881">
        <w:t xml:space="preserve"> presents a fund</w:t>
      </w:r>
      <w:r w:rsidR="00E464EA">
        <w:noBreakHyphen/>
        <w:t>level relative outperformance</w:t>
      </w:r>
      <w:r w:rsidR="00E92E35">
        <w:t xml:space="preserve"> </w:t>
      </w:r>
      <w:r w:rsidR="00764881">
        <w:t xml:space="preserve">decomposition </w:t>
      </w:r>
      <w:r w:rsidR="00EF117B">
        <w:t>(split by fund type)</w:t>
      </w:r>
      <w:r w:rsidR="00764881">
        <w:t xml:space="preserve"> </w:t>
      </w:r>
      <w:r>
        <w:t>—</w:t>
      </w:r>
      <w:r w:rsidR="00764881">
        <w:t xml:space="preserve"> where individual fund outperformance is compared against system outperformance.</w:t>
      </w:r>
      <w:r w:rsidR="00362ED8">
        <w:t xml:space="preserve"> Since this </w:t>
      </w:r>
      <w:r>
        <w:t xml:space="preserve">figure </w:t>
      </w:r>
      <w:r w:rsidR="00362ED8">
        <w:t>compar</w:t>
      </w:r>
      <w:r>
        <w:t>e</w:t>
      </w:r>
      <w:r w:rsidR="00362ED8">
        <w:t>s outperformance</w:t>
      </w:r>
      <w:r w:rsidR="007B1E04">
        <w:t xml:space="preserve"> gaps</w:t>
      </w:r>
      <w:r w:rsidR="00362ED8">
        <w:t xml:space="preserve"> (</w:t>
      </w:r>
      <w:r w:rsidR="007B1E04">
        <w:t xml:space="preserve">which are calculated relative to </w:t>
      </w:r>
      <w:r w:rsidR="00362ED8">
        <w:t xml:space="preserve">benchmarks), </w:t>
      </w:r>
      <w:r w:rsidR="00820EC7">
        <w:t xml:space="preserve">differences in </w:t>
      </w:r>
      <w:r w:rsidR="00362ED8">
        <w:t xml:space="preserve">asset allocation </w:t>
      </w:r>
      <w:r w:rsidR="00820EC7">
        <w:t>are</w:t>
      </w:r>
      <w:r w:rsidR="007B1E04">
        <w:t xml:space="preserve"> already</w:t>
      </w:r>
      <w:r w:rsidR="00820EC7">
        <w:t xml:space="preserve"> controlled for</w:t>
      </w:r>
      <w:r w:rsidR="00362ED8">
        <w:t xml:space="preserve">. </w:t>
      </w:r>
      <w:r w:rsidR="00820EC7">
        <w:t>A</w:t>
      </w:r>
      <w:r w:rsidR="00764881">
        <w:t xml:space="preserve">dministration expenses </w:t>
      </w:r>
      <w:r w:rsidR="00820EC7">
        <w:t>are also absent</w:t>
      </w:r>
      <w:r w:rsidR="00764881">
        <w:t xml:space="preserve"> from this chart </w:t>
      </w:r>
      <w:r w:rsidR="00820EC7">
        <w:t>since,</w:t>
      </w:r>
      <w:r w:rsidR="00764881">
        <w:t xml:space="preserve"> by construction, </w:t>
      </w:r>
      <w:r>
        <w:t xml:space="preserve">these expenses are the same in the </w:t>
      </w:r>
      <w:r w:rsidR="00D53A6B">
        <w:t xml:space="preserve">performance </w:t>
      </w:r>
      <w:r>
        <w:t>data and the benchmarks</w:t>
      </w:r>
      <w:r w:rsidR="007B1E04">
        <w:t xml:space="preserve"> (technical supplement 4).</w:t>
      </w:r>
      <w:r w:rsidR="00764881">
        <w:t xml:space="preserve"> This figure provides</w:t>
      </w:r>
      <w:r w:rsidR="00764881" w:rsidDel="00086A92">
        <w:t xml:space="preserve"> </w:t>
      </w:r>
      <w:r w:rsidR="00086A92">
        <w:t>a</w:t>
      </w:r>
      <w:r w:rsidR="00764881">
        <w:t xml:space="preserve"> clear indication that</w:t>
      </w:r>
      <w:r w:rsidR="00E214D6">
        <w:t xml:space="preserve"> residuals play a large role in differences in </w:t>
      </w:r>
      <w:r w:rsidR="00086A92">
        <w:t>fund</w:t>
      </w:r>
      <w:r w:rsidR="00086A92">
        <w:noBreakHyphen/>
        <w:t xml:space="preserve">level </w:t>
      </w:r>
      <w:r w:rsidR="00E214D6">
        <w:t>performance.</w:t>
      </w:r>
    </w:p>
    <w:p w:rsidR="00296753" w:rsidRDefault="00296753" w:rsidP="00296753">
      <w:pPr>
        <w:pStyle w:val="Heading4"/>
      </w:pPr>
      <w:r>
        <w:t>Fund</w:t>
      </w:r>
      <w:r>
        <w:noBreakHyphen/>
        <w:t xml:space="preserve">level residual analysis </w:t>
      </w:r>
    </w:p>
    <w:p w:rsidR="00296753" w:rsidRDefault="00296753" w:rsidP="00296753">
      <w:pPr>
        <w:pStyle w:val="BodyText"/>
      </w:pPr>
      <w:r>
        <w:t xml:space="preserve">While all components of the decomposition are ultimately a reflection of a fund’s overall governance, without data on the factors that influence a fund’s overall strategy in investment and administration it is impossible to fully distinguish the effects of governance. The Commission has undertaken </w:t>
      </w:r>
      <w:r w:rsidRPr="00EF4CE4">
        <w:t>exploratory</w:t>
      </w:r>
      <w:r>
        <w:t xml:space="preserve"> analysis of fund</w:t>
      </w:r>
      <w:r w:rsidR="00617DD2">
        <w:noBreakHyphen/>
      </w:r>
      <w:r>
        <w:t>level residuals (on a gross of tax basis) to identify factors that may be driving the residuals. Factors considered include proxies of fund governance efficacy in an attempt to discern any distinguishable (albeit partial) effects of governance on performance.</w:t>
      </w:r>
    </w:p>
    <w:p w:rsidR="00296753" w:rsidRDefault="00296753" w:rsidP="00296753">
      <w:pPr>
        <w:pStyle w:val="BodyText"/>
      </w:pPr>
      <w:r>
        <w:t>Small sample sizes, dependence of the residuals on the benchmarks, and the assumptions that come with the benchmarks preclude definitive answers on the underlying drivers of investment performance — hence, the analysis is exploratory</w:t>
      </w:r>
      <w:r w:rsidR="00617DD2">
        <w:t>.</w:t>
      </w:r>
    </w:p>
    <w:p w:rsidR="00296753" w:rsidRDefault="00296753" w:rsidP="00296753">
      <w:pPr>
        <w:pStyle w:val="BodyText"/>
      </w:pPr>
      <w:r>
        <w:t>As the residuals are constructed using fund</w:t>
      </w:r>
      <w:r>
        <w:noBreakHyphen/>
        <w:t>level benchmarks, the sample in these analyses consists only of funds that have a MySuper product (representing 54 per cent of assets and 61 per cent of member accounts in funds that had a MySuper product in 2017). Since the residuals are constructed with reference to benchmarks, they may include some degree of measurement error flowing from the specific assumptions and data sources used to construct the benchmarks (as set out in technical supplement 4 and below).</w:t>
      </w:r>
    </w:p>
    <w:p w:rsidR="00296753" w:rsidRDefault="00296753" w:rsidP="00296753">
      <w:pPr>
        <w:pStyle w:val="Heading5"/>
      </w:pPr>
      <w:r>
        <w:t>How long it took for funds to launch their MySuper products</w:t>
      </w:r>
    </w:p>
    <w:p w:rsidR="00296753" w:rsidRPr="00764881" w:rsidRDefault="00296753" w:rsidP="006E4727">
      <w:pPr>
        <w:pStyle w:val="BodyText"/>
      </w:pPr>
      <w:r>
        <w:t>The Commission has examined the length of time each fund took to launch a MySuper product. The MySuper regime was a well</w:t>
      </w:r>
      <w:r w:rsidR="00617DD2">
        <w:noBreakHyphen/>
      </w:r>
      <w:r>
        <w:t>known change in the policy environment with significant lead time of around 3.5 years, from December 2010 (when the government announced it would move to implement the regime) to July 2013. It can be reasonably assumed that funds had the same information, and while some funds may have required more preparation, given the lead time, all funds had the same opportunity to launch a MySuper product at the start of the regime. Variation in the time taken to launch a MySuper product could therefore arguably reflect variation in funds’ capability and readiness to design a MySuper product, as well as the suitability of its precursor products to default members’ needs.</w:t>
      </w:r>
    </w:p>
    <w:p w:rsidR="00A80A4A" w:rsidRDefault="00A80A4A" w:rsidP="00060AF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0A4A" w:rsidTr="00060AFB">
        <w:trPr>
          <w:tblHeader/>
        </w:trPr>
        <w:tc>
          <w:tcPr>
            <w:tcW w:w="5000" w:type="pct"/>
            <w:tcBorders>
              <w:top w:val="single" w:sz="6" w:space="0" w:color="78A22F"/>
              <w:left w:val="nil"/>
              <w:bottom w:val="nil"/>
              <w:right w:val="nil"/>
            </w:tcBorders>
            <w:shd w:val="clear" w:color="auto" w:fill="auto"/>
          </w:tcPr>
          <w:p w:rsidR="00A80A4A" w:rsidRDefault="00A80A4A" w:rsidP="00060AFB">
            <w:pPr>
              <w:pStyle w:val="FigureTitle"/>
            </w:pPr>
            <w:r w:rsidRPr="00784A05">
              <w:rPr>
                <w:b w:val="0"/>
              </w:rPr>
              <w:t xml:space="preserve">Figure </w:t>
            </w:r>
            <w:bookmarkStart w:id="27" w:name="OLE_LINK38"/>
            <w:r w:rsidR="001345FE">
              <w:rPr>
                <w:b w:val="0"/>
                <w:noProof/>
              </w:rPr>
              <w:t>12</w:t>
            </w:r>
            <w:bookmarkEnd w:id="27"/>
            <w:r>
              <w:tab/>
              <w:t>Fund</w:t>
            </w:r>
            <w:r w:rsidR="00E464EA">
              <w:noBreakHyphen/>
              <w:t>level relative outperformance</w:t>
            </w:r>
            <w:r>
              <w:t xml:space="preserve"> decomposition</w:t>
            </w:r>
            <w:r w:rsidR="007933DE">
              <w:t xml:space="preserve"> </w:t>
            </w:r>
            <w:r w:rsidR="009E1355">
              <w:t>(against system outperformance)</w:t>
            </w:r>
          </w:p>
          <w:p w:rsidR="00F76678" w:rsidRPr="00176D3F" w:rsidRDefault="00A80A4A" w:rsidP="001A2531">
            <w:pPr>
              <w:pStyle w:val="Subtitle"/>
            </w:pPr>
            <w:r>
              <w:t>2005</w:t>
            </w:r>
            <w:r w:rsidR="000C0C34">
              <w:t>–</w:t>
            </w:r>
            <w:r>
              <w:t>2017</w:t>
            </w:r>
            <w:r w:rsidR="00F76678">
              <w:t xml:space="preserve"> </w:t>
            </w:r>
          </w:p>
        </w:tc>
      </w:tr>
      <w:tr w:rsidR="00A80A4A" w:rsidTr="00060AF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80A4A" w:rsidRPr="00B1465D" w:rsidTr="00060AFB">
              <w:trPr>
                <w:tblHeader/>
                <w:jc w:val="center"/>
              </w:trPr>
              <w:tc>
                <w:tcPr>
                  <w:tcW w:w="5000" w:type="pct"/>
                  <w:tcBorders>
                    <w:top w:val="nil"/>
                    <w:bottom w:val="nil"/>
                  </w:tcBorders>
                </w:tcPr>
                <w:p w:rsidR="00CA1210" w:rsidRDefault="00851360" w:rsidP="00060AFB">
                  <w:pPr>
                    <w:pStyle w:val="Figure"/>
                    <w:spacing w:before="60" w:after="60"/>
                    <w:rPr>
                      <w:rFonts w:ascii="Arial" w:hAnsi="Arial" w:cs="Arial"/>
                      <w:sz w:val="18"/>
                      <w:szCs w:val="18"/>
                    </w:rPr>
                  </w:pPr>
                  <w:r w:rsidRPr="00851360">
                    <w:rPr>
                      <w:rFonts w:ascii="Arial" w:hAnsi="Arial" w:cs="Arial"/>
                      <w:noProof/>
                      <w:sz w:val="18"/>
                      <w:szCs w:val="18"/>
                    </w:rPr>
                    <w:drawing>
                      <wp:inline distT="0" distB="0" distL="0" distR="0" wp14:anchorId="0C2BB0FC" wp14:editId="03316EAB">
                        <wp:extent cx="5238750" cy="5882619"/>
                        <wp:effectExtent l="0" t="0" r="0" b="0"/>
                        <wp:docPr id="48" name="Picture 48" descr="This figure shows the contribution of outperformance in residual and outperformance in investment expense to the outperformance gap of individual funds relative to the system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8205"/>
                                <a:stretch/>
                              </pic:blipFill>
                              <pic:spPr bwMode="auto">
                                <a:xfrm>
                                  <a:off x="0" y="0"/>
                                  <a:ext cx="5241545" cy="5885757"/>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00" w:type="pct"/>
                    <w:tblLook w:val="04A0" w:firstRow="1" w:lastRow="0" w:firstColumn="1" w:lastColumn="0" w:noHBand="0" w:noVBand="1"/>
                  </w:tblPr>
                  <w:tblGrid>
                    <w:gridCol w:w="1609"/>
                    <w:gridCol w:w="2788"/>
                    <w:gridCol w:w="1600"/>
                    <w:gridCol w:w="2507"/>
                  </w:tblGrid>
                  <w:tr w:rsidR="00851360" w:rsidTr="003B6B2A">
                    <w:trPr>
                      <w:tblHeader/>
                    </w:trPr>
                    <w:tc>
                      <w:tcPr>
                        <w:tcW w:w="946" w:type="pct"/>
                        <w:shd w:val="clear" w:color="auto" w:fill="F2F2F2" w:themeFill="background1" w:themeFillShade="F2"/>
                      </w:tcPr>
                      <w:p w:rsidR="00851360" w:rsidRDefault="00851360" w:rsidP="003B6B2A">
                        <w:pPr>
                          <w:pStyle w:val="Figure"/>
                          <w:spacing w:before="0" w:after="0"/>
                          <w:jc w:val="left"/>
                          <w:rPr>
                            <w:rFonts w:asciiTheme="minorHAnsi" w:hAnsi="Arial" w:cstheme="minorBidi"/>
                            <w:b/>
                            <w:color w:val="000000" w:themeColor="text1"/>
                            <w:kern w:val="24"/>
                            <w:sz w:val="18"/>
                            <w:szCs w:val="18"/>
                          </w:rPr>
                        </w:pPr>
                        <w:r>
                          <w:rPr>
                            <w:rFonts w:asciiTheme="minorHAnsi" w:hAnsi="Arial" w:cstheme="minorBidi"/>
                            <w:b/>
                            <w:color w:val="000000" w:themeColor="text1"/>
                            <w:kern w:val="24"/>
                            <w:sz w:val="18"/>
                            <w:szCs w:val="18"/>
                          </w:rPr>
                          <w:t>Note</w:t>
                        </w:r>
                      </w:p>
                    </w:tc>
                    <w:tc>
                      <w:tcPr>
                        <w:tcW w:w="4054" w:type="pct"/>
                        <w:gridSpan w:val="3"/>
                        <w:shd w:val="clear" w:color="auto" w:fill="F2F2F2" w:themeFill="background1" w:themeFillShade="F2"/>
                      </w:tcPr>
                      <w:p w:rsidR="00851360" w:rsidRDefault="00851360" w:rsidP="003B6B2A">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 xml:space="preserve">One retail fund approximately matched the system exactly on outperformance. </w:t>
                        </w:r>
                      </w:p>
                    </w:tc>
                  </w:tr>
                  <w:tr w:rsidR="003B6B2A" w:rsidTr="003B6B2A">
                    <w:trPr>
                      <w:tblHeader/>
                    </w:trPr>
                    <w:tc>
                      <w:tcPr>
                        <w:tcW w:w="946" w:type="pct"/>
                        <w:shd w:val="clear" w:color="auto" w:fill="F2F2F2" w:themeFill="background1" w:themeFillShade="F2"/>
                      </w:tcPr>
                      <w:p w:rsidR="003B6B2A" w:rsidRDefault="003B6B2A" w:rsidP="003B6B2A">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4054" w:type="pct"/>
                        <w:gridSpan w:val="3"/>
                        <w:shd w:val="clear" w:color="auto" w:fill="F2F2F2" w:themeFill="background1" w:themeFillShade="F2"/>
                      </w:tcPr>
                      <w:p w:rsidR="003B6B2A" w:rsidRDefault="003B6B2A" w:rsidP="003B6B2A">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 xml:space="preserve">PC analysis of </w:t>
                        </w:r>
                        <w:r w:rsidRPr="00D079E5">
                          <w:rPr>
                            <w:rFonts w:asciiTheme="minorHAnsi" w:hAnsi="Arial" w:cstheme="minorBidi"/>
                            <w:color w:val="000000" w:themeColor="text1"/>
                            <w:kern w:val="24"/>
                            <w:sz w:val="18"/>
                            <w:szCs w:val="18"/>
                          </w:rPr>
                          <w:t xml:space="preserve">APRA </w:t>
                        </w:r>
                        <w:r>
                          <w:rPr>
                            <w:rFonts w:asciiTheme="minorHAnsi" w:hAnsi="Arial" w:cstheme="minorBidi"/>
                            <w:color w:val="000000" w:themeColor="text1"/>
                            <w:kern w:val="24"/>
                            <w:sz w:val="18"/>
                            <w:szCs w:val="18"/>
                          </w:rPr>
                          <w:t xml:space="preserve">confidential </w:t>
                        </w:r>
                        <w:r w:rsidRPr="00D079E5">
                          <w:rPr>
                            <w:rFonts w:asciiTheme="minorHAnsi" w:hAnsi="Arial" w:cstheme="minorBidi"/>
                            <w:color w:val="000000" w:themeColor="text1"/>
                            <w:kern w:val="24"/>
                            <w:sz w:val="18"/>
                            <w:szCs w:val="18"/>
                          </w:rPr>
                          <w:t>data</w:t>
                        </w:r>
                        <w:r>
                          <w:rPr>
                            <w:rFonts w:asciiTheme="minorHAnsi" w:hAnsi="Arial" w:cstheme="minorBidi"/>
                            <w:color w:val="000000" w:themeColor="text1"/>
                            <w:kern w:val="24"/>
                            <w:sz w:val="18"/>
                            <w:szCs w:val="18"/>
                          </w:rPr>
                          <w:t xml:space="preserve"> and financial market index data (various providers).</w:t>
                        </w:r>
                      </w:p>
                    </w:tc>
                  </w:tr>
                  <w:tr w:rsidR="003B6B2A" w:rsidTr="003B6B2A">
                    <w:tc>
                      <w:tcPr>
                        <w:tcW w:w="946" w:type="pct"/>
                        <w:shd w:val="clear" w:color="auto" w:fill="F2F2F2" w:themeFill="background1" w:themeFillShade="F2"/>
                      </w:tcPr>
                      <w:p w:rsidR="003B6B2A" w:rsidRDefault="003B6B2A" w:rsidP="003B6B2A">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Benchmark</w:t>
                        </w:r>
                      </w:p>
                    </w:tc>
                    <w:tc>
                      <w:tcPr>
                        <w:tcW w:w="4054" w:type="pct"/>
                        <w:gridSpan w:val="3"/>
                        <w:shd w:val="clear" w:color="auto" w:fill="F2F2F2" w:themeFill="background1" w:themeFillShade="F2"/>
                      </w:tcPr>
                      <w:p w:rsidR="003B6B2A" w:rsidRDefault="003B6B2A" w:rsidP="003B6B2A">
                        <w:pPr>
                          <w:pStyle w:val="Figure"/>
                          <w:spacing w:before="0" w:after="0"/>
                          <w:jc w:val="left"/>
                          <w:rPr>
                            <w:rFonts w:ascii="Arial" w:hAnsi="Arial" w:cs="Arial"/>
                            <w:sz w:val="18"/>
                            <w:szCs w:val="18"/>
                          </w:rPr>
                        </w:pPr>
                        <w:r>
                          <w:rPr>
                            <w:rFonts w:ascii="Arial" w:hAnsi="Arial" w:cs="Arial"/>
                            <w:sz w:val="18"/>
                            <w:szCs w:val="18"/>
                          </w:rPr>
                          <w:t>Fund tailored BP2.</w:t>
                        </w:r>
                      </w:p>
                    </w:tc>
                  </w:tr>
                  <w:tr w:rsidR="003B6B2A" w:rsidRPr="0032089A" w:rsidTr="003B6B2A">
                    <w:tc>
                      <w:tcPr>
                        <w:tcW w:w="946" w:type="pct"/>
                        <w:shd w:val="clear" w:color="auto" w:fill="F2F2F2" w:themeFill="background1" w:themeFillShade="F2"/>
                      </w:tcPr>
                      <w:p w:rsidR="003B6B2A" w:rsidRDefault="003B6B2A" w:rsidP="003B6B2A">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4054" w:type="pct"/>
                        <w:gridSpan w:val="3"/>
                        <w:shd w:val="clear" w:color="auto" w:fill="F2F2F2" w:themeFill="background1" w:themeFillShade="F2"/>
                      </w:tcPr>
                      <w:p w:rsidR="003B6B2A" w:rsidRPr="0032089A" w:rsidRDefault="00B3434D" w:rsidP="003B6B2A">
                        <w:pPr>
                          <w:pStyle w:val="NormalWeb"/>
                          <w:rPr>
                            <w:color w:val="000000" w:themeColor="text1"/>
                            <w:sz w:val="18"/>
                            <w:szCs w:val="18"/>
                          </w:rPr>
                        </w:pPr>
                        <w:r w:rsidRPr="00D079E5">
                          <w:rPr>
                            <w:rFonts w:asciiTheme="minorHAnsi" w:hAnsi="Arial" w:cstheme="minorBidi"/>
                            <w:color w:val="000000" w:themeColor="text1"/>
                            <w:kern w:val="24"/>
                            <w:sz w:val="18"/>
                            <w:szCs w:val="18"/>
                          </w:rPr>
                          <w:t xml:space="preserve">All </w:t>
                        </w:r>
                        <w:r>
                          <w:rPr>
                            <w:rFonts w:asciiTheme="minorHAnsi" w:hAnsi="Arial" w:cstheme="minorBidi"/>
                            <w:color w:val="000000" w:themeColor="text1"/>
                            <w:kern w:val="24"/>
                            <w:sz w:val="18"/>
                            <w:szCs w:val="18"/>
                          </w:rPr>
                          <w:t>APRA</w:t>
                        </w:r>
                        <w:r>
                          <w:rPr>
                            <w:rFonts w:asciiTheme="minorHAnsi" w:hAnsi="Arial" w:cstheme="minorBidi"/>
                            <w:color w:val="000000" w:themeColor="text1"/>
                            <w:kern w:val="24"/>
                            <w:sz w:val="18"/>
                            <w:szCs w:val="18"/>
                          </w:rPr>
                          <w:noBreakHyphen/>
                          <w:t>regulated</w:t>
                        </w:r>
                        <w:r w:rsidRPr="00D079E5">
                          <w:rPr>
                            <w:rFonts w:asciiTheme="minorHAnsi" w:hAnsi="Arial" w:cstheme="minorBidi"/>
                            <w:color w:val="000000" w:themeColor="text1"/>
                            <w:kern w:val="24"/>
                            <w:sz w:val="18"/>
                            <w:szCs w:val="18"/>
                          </w:rPr>
                          <w:t xml:space="preserve"> funds with a MySuper product </w:t>
                        </w:r>
                        <w:r>
                          <w:rPr>
                            <w:rFonts w:asciiTheme="minorHAnsi" w:hAnsi="Arial" w:cstheme="minorBidi"/>
                            <w:color w:val="000000" w:themeColor="text1"/>
                            <w:kern w:val="24"/>
                            <w:sz w:val="18"/>
                            <w:szCs w:val="18"/>
                          </w:rPr>
                          <w:t>in the dataset over the full period (54% of assets and 61% of member accounts in all APRA</w:t>
                        </w:r>
                        <w:r>
                          <w:rPr>
                            <w:rFonts w:asciiTheme="minorHAnsi" w:hAnsi="Arial" w:cstheme="minorBidi"/>
                            <w:color w:val="000000" w:themeColor="text1"/>
                            <w:kern w:val="24"/>
                            <w:sz w:val="18"/>
                            <w:szCs w:val="18"/>
                          </w:rPr>
                          <w:noBreakHyphen/>
                          <w:t>regulated funds with a MySuper product in 2017). Over the whole system, the figure represents 67</w:t>
                        </w:r>
                        <w:r w:rsidRPr="00D079E5">
                          <w:rPr>
                            <w:rFonts w:asciiTheme="minorHAnsi" w:hAnsi="Arial" w:cstheme="minorBidi"/>
                            <w:color w:val="000000" w:themeColor="text1"/>
                            <w:kern w:val="24"/>
                            <w:sz w:val="18"/>
                            <w:szCs w:val="18"/>
                          </w:rPr>
                          <w:t xml:space="preserve"> funds</w:t>
                        </w:r>
                        <w:r>
                          <w:rPr>
                            <w:rFonts w:asciiTheme="minorHAnsi" w:hAnsi="Arial" w:cstheme="minorBidi"/>
                            <w:color w:val="000000" w:themeColor="text1"/>
                            <w:kern w:val="24"/>
                            <w:sz w:val="18"/>
                            <w:szCs w:val="18"/>
                          </w:rPr>
                          <w:t xml:space="preserve">, 27% of </w:t>
                        </w:r>
                        <w:r w:rsidRPr="00D079E5">
                          <w:rPr>
                            <w:rFonts w:asciiTheme="minorHAnsi" w:hAnsi="Arial" w:cstheme="minorBidi"/>
                            <w:color w:val="000000" w:themeColor="text1"/>
                            <w:kern w:val="24"/>
                            <w:sz w:val="18"/>
                            <w:szCs w:val="18"/>
                          </w:rPr>
                          <w:t xml:space="preserve">assets and </w:t>
                        </w:r>
                        <w:r>
                          <w:rPr>
                            <w:rFonts w:asciiTheme="minorHAnsi" w:hAnsi="Arial" w:cstheme="minorBidi"/>
                            <w:color w:val="000000" w:themeColor="text1"/>
                            <w:kern w:val="24"/>
                            <w:sz w:val="18"/>
                            <w:szCs w:val="18"/>
                          </w:rPr>
                          <w:t>47</w:t>
                        </w:r>
                        <w:r w:rsidRPr="00D079E5">
                          <w:rPr>
                            <w:rFonts w:asciiTheme="minorHAnsi" w:hAnsi="Arial" w:cstheme="minorBidi"/>
                            <w:color w:val="000000" w:themeColor="text1"/>
                            <w:kern w:val="24"/>
                            <w:sz w:val="18"/>
                            <w:szCs w:val="18"/>
                          </w:rPr>
                          <w:t xml:space="preserve">% of member accounts in </w:t>
                        </w:r>
                        <w:r>
                          <w:rPr>
                            <w:rFonts w:asciiTheme="minorHAnsi" w:hAnsi="Arial" w:cstheme="minorBidi"/>
                            <w:color w:val="000000" w:themeColor="text1"/>
                            <w:kern w:val="24"/>
                            <w:sz w:val="18"/>
                            <w:szCs w:val="18"/>
                          </w:rPr>
                          <w:t>2017.</w:t>
                        </w:r>
                      </w:p>
                    </w:tc>
                  </w:tr>
                  <w:tr w:rsidR="003B6B2A" w:rsidDel="009516F9" w:rsidTr="003B6B2A">
                    <w:tc>
                      <w:tcPr>
                        <w:tcW w:w="946" w:type="pct"/>
                        <w:shd w:val="clear" w:color="auto" w:fill="F2F2F2" w:themeFill="background1" w:themeFillShade="F2"/>
                      </w:tcPr>
                      <w:p w:rsidR="003B6B2A" w:rsidRPr="00311D4D" w:rsidRDefault="003B6B2A" w:rsidP="003B6B2A">
                        <w:pPr>
                          <w:pStyle w:val="Figure"/>
                          <w:spacing w:before="0" w:after="0"/>
                          <w:jc w:val="left"/>
                          <w:rPr>
                            <w:rFonts w:ascii="Arial" w:hAnsi="Arial" w:cs="Arial"/>
                            <w:b/>
                            <w:sz w:val="18"/>
                            <w:szCs w:val="18"/>
                          </w:rPr>
                        </w:pPr>
                        <w:r w:rsidRPr="005F68B0">
                          <w:rPr>
                            <w:rFonts w:ascii="Arial" w:hAnsi="Arial" w:cs="Arial"/>
                            <w:b/>
                            <w:sz w:val="18"/>
                            <w:szCs w:val="18"/>
                          </w:rPr>
                          <w:t>Survivor bias</w:t>
                        </w:r>
                      </w:p>
                    </w:tc>
                    <w:tc>
                      <w:tcPr>
                        <w:tcW w:w="1639" w:type="pct"/>
                        <w:shd w:val="clear" w:color="auto" w:fill="F2F2F2" w:themeFill="background1" w:themeFillShade="F2"/>
                      </w:tcPr>
                      <w:p w:rsidR="003B6B2A" w:rsidDel="009516F9" w:rsidRDefault="003B6B2A" w:rsidP="003B6B2A">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p>
                    </w:tc>
                    <w:tc>
                      <w:tcPr>
                        <w:tcW w:w="941" w:type="pct"/>
                        <w:shd w:val="clear" w:color="auto" w:fill="F2F2F2" w:themeFill="background1" w:themeFillShade="F2"/>
                      </w:tcPr>
                      <w:p w:rsidR="003B6B2A" w:rsidRPr="005F68B0" w:rsidDel="009516F9" w:rsidRDefault="003B6B2A" w:rsidP="003B6B2A">
                        <w:pPr>
                          <w:pStyle w:val="Figure"/>
                          <w:spacing w:before="0" w:after="0"/>
                          <w:jc w:val="left"/>
                          <w:rPr>
                            <w:rFonts w:asciiTheme="minorHAnsi" w:hAnsi="Arial" w:cstheme="minorBidi"/>
                            <w:b/>
                            <w:color w:val="000000" w:themeColor="text1"/>
                            <w:kern w:val="24"/>
                            <w:sz w:val="18"/>
                            <w:szCs w:val="18"/>
                          </w:rPr>
                        </w:pPr>
                        <w:r w:rsidRPr="005F68B0">
                          <w:rPr>
                            <w:rFonts w:asciiTheme="minorHAnsi" w:hAnsi="Arial" w:cstheme="minorBidi"/>
                            <w:b/>
                            <w:color w:val="000000" w:themeColor="text1"/>
                            <w:kern w:val="24"/>
                            <w:sz w:val="18"/>
                            <w:szCs w:val="18"/>
                          </w:rPr>
                          <w:t>Selection bias</w:t>
                        </w:r>
                      </w:p>
                    </w:tc>
                    <w:tc>
                      <w:tcPr>
                        <w:tcW w:w="1474" w:type="pct"/>
                        <w:shd w:val="clear" w:color="auto" w:fill="F2F2F2" w:themeFill="background1" w:themeFillShade="F2"/>
                      </w:tcPr>
                      <w:p w:rsidR="003B6B2A" w:rsidDel="009516F9" w:rsidRDefault="003B6B2A" w:rsidP="003B6B2A">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p>
                    </w:tc>
                  </w:tr>
                </w:tbl>
                <w:p w:rsidR="00A80A4A" w:rsidRPr="00B1465D" w:rsidRDefault="00A80A4A" w:rsidP="00060AFB">
                  <w:pPr>
                    <w:pStyle w:val="Figure"/>
                    <w:spacing w:before="60" w:after="60"/>
                    <w:rPr>
                      <w:rFonts w:ascii="Arial" w:hAnsi="Arial" w:cs="Arial"/>
                      <w:sz w:val="18"/>
                      <w:szCs w:val="18"/>
                    </w:rPr>
                  </w:pPr>
                </w:p>
              </w:tc>
            </w:tr>
          </w:tbl>
          <w:p w:rsidR="00A80A4A" w:rsidRDefault="00A80A4A" w:rsidP="00060AFB">
            <w:pPr>
              <w:pStyle w:val="Figure"/>
            </w:pPr>
          </w:p>
        </w:tc>
      </w:tr>
      <w:tr w:rsidR="00A80A4A" w:rsidTr="00060AFB">
        <w:tc>
          <w:tcPr>
            <w:tcW w:w="5000" w:type="pct"/>
            <w:tcBorders>
              <w:top w:val="nil"/>
              <w:left w:val="nil"/>
              <w:bottom w:val="single" w:sz="6" w:space="0" w:color="78A22F"/>
              <w:right w:val="nil"/>
            </w:tcBorders>
            <w:shd w:val="clear" w:color="auto" w:fill="auto"/>
          </w:tcPr>
          <w:p w:rsidR="00A80A4A" w:rsidRDefault="00A80A4A" w:rsidP="00060AFB">
            <w:pPr>
              <w:pStyle w:val="Figurespace"/>
            </w:pPr>
          </w:p>
        </w:tc>
      </w:tr>
      <w:tr w:rsidR="00A80A4A" w:rsidRPr="000863A5" w:rsidTr="00060AFB">
        <w:tc>
          <w:tcPr>
            <w:tcW w:w="5000" w:type="pct"/>
            <w:tcBorders>
              <w:top w:val="single" w:sz="6" w:space="0" w:color="78A22F"/>
              <w:left w:val="nil"/>
              <w:bottom w:val="nil"/>
              <w:right w:val="nil"/>
            </w:tcBorders>
          </w:tcPr>
          <w:p w:rsidR="00A80A4A" w:rsidRPr="00626D32" w:rsidRDefault="00A80A4A" w:rsidP="00060AFB">
            <w:pPr>
              <w:pStyle w:val="BoxSpaceBelow"/>
            </w:pPr>
          </w:p>
        </w:tc>
      </w:tr>
    </w:tbl>
    <w:p w:rsidR="001D31A8" w:rsidRDefault="007B49AB" w:rsidP="00423D83">
      <w:pPr>
        <w:pStyle w:val="BodyText"/>
      </w:pPr>
      <w:r>
        <w:lastRenderedPageBreak/>
        <w:t>Table</w:t>
      </w:r>
      <w:r w:rsidR="00617DD2">
        <w:t> </w:t>
      </w:r>
      <w:r w:rsidR="00084BEE">
        <w:t>2</w:t>
      </w:r>
      <w:r>
        <w:t xml:space="preserve"> presents the results of the regression analysis</w:t>
      </w:r>
      <w:r w:rsidR="00112641">
        <w:t>. W</w:t>
      </w:r>
      <w:r w:rsidR="00503BA5">
        <w:t xml:space="preserve">hile the sample sizes are small, there is likely to be </w:t>
      </w:r>
      <w:r w:rsidR="00112641">
        <w:t>a</w:t>
      </w:r>
      <w:r w:rsidR="00503BA5">
        <w:t xml:space="preserve"> negative association </w:t>
      </w:r>
      <w:r w:rsidR="00112641">
        <w:t>—</w:t>
      </w:r>
      <w:r w:rsidR="00503BA5">
        <w:t xml:space="preserve"> the more time it took to launch a MySuper product</w:t>
      </w:r>
      <w:r w:rsidR="00112641">
        <w:t>,</w:t>
      </w:r>
      <w:r w:rsidR="00503BA5">
        <w:t xml:space="preserve"> the more negative the residual</w:t>
      </w:r>
      <w:r>
        <w:t>.</w:t>
      </w:r>
      <w:r w:rsidR="00503BA5">
        <w:t xml:space="preserve"> </w:t>
      </w:r>
      <w:r w:rsidR="000E218A">
        <w:t xml:space="preserve">In this table, each row corresponds to the estimated value of the residual given the number of months taken to launch a MySuper product, </w:t>
      </w:r>
      <w:r w:rsidR="001D31A8">
        <w:t xml:space="preserve">such that </w:t>
      </w:r>
      <w:r w:rsidR="000E218A">
        <w:t>differences between the first row and another row</w:t>
      </w:r>
      <w:r w:rsidR="00C61CE1">
        <w:t xml:space="preserve"> correspond to the marginal effect of a longer launch time.</w:t>
      </w:r>
    </w:p>
    <w:p w:rsidR="007B49AB" w:rsidRDefault="00503BA5" w:rsidP="00423D83">
      <w:pPr>
        <w:pStyle w:val="BodyText"/>
      </w:pPr>
      <w:r>
        <w:t xml:space="preserve">Pooling all the data together </w:t>
      </w:r>
      <w:r w:rsidR="00112641">
        <w:t>(</w:t>
      </w:r>
      <w:r w:rsidR="00736B08">
        <w:t>treating the time taken as a continuous variable</w:t>
      </w:r>
      <w:r w:rsidR="00112641">
        <w:t>)</w:t>
      </w:r>
      <w:r>
        <w:t xml:space="preserve"> </w:t>
      </w:r>
      <w:r w:rsidR="00112641">
        <w:t>suggests</w:t>
      </w:r>
      <w:r>
        <w:t xml:space="preserve"> that there is a</w:t>
      </w:r>
      <w:r w:rsidR="00816B85">
        <w:t>n approximately</w:t>
      </w:r>
      <w:r>
        <w:t xml:space="preserve"> </w:t>
      </w:r>
      <w:r w:rsidR="00816B85">
        <w:t>11</w:t>
      </w:r>
      <w:r w:rsidR="00112641">
        <w:t xml:space="preserve"> </w:t>
      </w:r>
      <w:r>
        <w:t>b</w:t>
      </w:r>
      <w:r w:rsidR="00112641">
        <w:t xml:space="preserve">asis </w:t>
      </w:r>
      <w:r>
        <w:t>p</w:t>
      </w:r>
      <w:r w:rsidR="00112641">
        <w:t>oint</w:t>
      </w:r>
      <w:r>
        <w:t xml:space="preserve"> decrease in the residual for each additional month it took a fund to launch a MySuper product</w:t>
      </w:r>
      <w:r w:rsidR="00112641">
        <w:t xml:space="preserve"> (this is </w:t>
      </w:r>
      <w:r w:rsidR="00736B08">
        <w:t>statistically</w:t>
      </w:r>
      <w:r w:rsidR="00112641">
        <w:t xml:space="preserve"> significant)</w:t>
      </w:r>
      <w:r>
        <w:t xml:space="preserve">. </w:t>
      </w:r>
      <w:r w:rsidR="00112641">
        <w:t>Using dummy variables for each month suggests a less clear</w:t>
      </w:r>
      <w:r w:rsidR="00112641">
        <w:noBreakHyphen/>
        <w:t>cut relationship. T</w:t>
      </w:r>
      <w:r>
        <w:t xml:space="preserve">he average reduction in the residual for funds launching their MySuper product after </w:t>
      </w:r>
      <w:r w:rsidR="001245A7">
        <w:t>three</w:t>
      </w:r>
      <w:r>
        <w:t xml:space="preserve"> months is well over 100</w:t>
      </w:r>
      <w:r w:rsidR="00112641">
        <w:t xml:space="preserve"> </w:t>
      </w:r>
      <w:r>
        <w:t>b</w:t>
      </w:r>
      <w:r w:rsidR="00112641">
        <w:t xml:space="preserve">asis </w:t>
      </w:r>
      <w:r>
        <w:t>p</w:t>
      </w:r>
      <w:r w:rsidR="00112641">
        <w:t>oints in this analysis</w:t>
      </w:r>
      <w:r>
        <w:t xml:space="preserve">, but only </w:t>
      </w:r>
      <w:r w:rsidR="00816B85">
        <w:t xml:space="preserve">8 </w:t>
      </w:r>
      <w:r>
        <w:t>b</w:t>
      </w:r>
      <w:r w:rsidR="00112641">
        <w:t xml:space="preserve">asis </w:t>
      </w:r>
      <w:r>
        <w:t>p</w:t>
      </w:r>
      <w:r w:rsidR="00112641">
        <w:t>oints</w:t>
      </w:r>
      <w:r>
        <w:t xml:space="preserve"> for</w:t>
      </w:r>
      <w:r w:rsidR="00A417A9">
        <w:t xml:space="preserve"> funds that launc</w:t>
      </w:r>
      <w:r w:rsidR="001245A7">
        <w:t>h</w:t>
      </w:r>
      <w:r w:rsidR="00A417A9">
        <w:t>ed after</w:t>
      </w:r>
      <w:r>
        <w:t xml:space="preserve"> </w:t>
      </w:r>
      <w:r w:rsidR="001245A7">
        <w:t>six</w:t>
      </w:r>
      <w:r>
        <w:t xml:space="preserve"> months.</w:t>
      </w:r>
    </w:p>
    <w:p w:rsidR="004D6542" w:rsidRDefault="00736B08" w:rsidP="004302BA">
      <w:pPr>
        <w:pStyle w:val="BodyText"/>
      </w:pPr>
      <w:r>
        <w:t>These results do not appear to be</w:t>
      </w:r>
      <w:r w:rsidR="002E34DC">
        <w:t xml:space="preserve"> </w:t>
      </w:r>
      <w:r w:rsidR="0041211D">
        <w:t xml:space="preserve">clearly </w:t>
      </w:r>
      <w:r>
        <w:t>driven by the not</w:t>
      </w:r>
      <w:r>
        <w:noBreakHyphen/>
        <w:t>for</w:t>
      </w:r>
      <w:r>
        <w:noBreakHyphen/>
        <w:t xml:space="preserve">profit and </w:t>
      </w:r>
      <w:r w:rsidR="002E34DC">
        <w:t>retail</w:t>
      </w:r>
      <w:r>
        <w:t xml:space="preserve"> segmentation.</w:t>
      </w:r>
      <w:r w:rsidR="002E34DC">
        <w:t xml:space="preserve"> A number of not</w:t>
      </w:r>
      <w:r w:rsidR="002E34DC">
        <w:noBreakHyphen/>
        <w:t>for</w:t>
      </w:r>
      <w:r w:rsidR="002E34DC">
        <w:noBreakHyphen/>
        <w:t>profit funds launched their MySuper products late relative to other funds</w:t>
      </w:r>
      <w:r w:rsidR="004D6542">
        <w:t>.</w:t>
      </w:r>
      <w:r w:rsidR="004302BA">
        <w:t xml:space="preserve"> </w:t>
      </w:r>
    </w:p>
    <w:p w:rsidR="007B49AB" w:rsidRDefault="007B49AB" w:rsidP="007B49A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B49AB" w:rsidTr="00F67049">
        <w:trPr>
          <w:tblHeader/>
        </w:trPr>
        <w:tc>
          <w:tcPr>
            <w:tcW w:w="5000" w:type="pct"/>
            <w:tcBorders>
              <w:top w:val="single" w:sz="6" w:space="0" w:color="78A22F"/>
              <w:left w:val="nil"/>
              <w:bottom w:val="nil"/>
              <w:right w:val="nil"/>
            </w:tcBorders>
            <w:shd w:val="clear" w:color="auto" w:fill="auto"/>
          </w:tcPr>
          <w:p w:rsidR="007B49AB" w:rsidRPr="00962200" w:rsidRDefault="007B49AB" w:rsidP="00132667">
            <w:pPr>
              <w:pStyle w:val="TableTitle"/>
              <w:rPr>
                <w:rStyle w:val="NoteLabel"/>
              </w:rPr>
            </w:pPr>
            <w:r>
              <w:rPr>
                <w:b w:val="0"/>
              </w:rPr>
              <w:t xml:space="preserve">Table </w:t>
            </w:r>
            <w:bookmarkStart w:id="28" w:name="OLE_LINK39"/>
            <w:r w:rsidR="001345FE">
              <w:rPr>
                <w:b w:val="0"/>
                <w:noProof/>
              </w:rPr>
              <w:t>2</w:t>
            </w:r>
            <w:bookmarkEnd w:id="28"/>
            <w:r>
              <w:tab/>
            </w:r>
            <w:r w:rsidR="00817DEE">
              <w:t>Residuals and MySuper launch dates</w:t>
            </w:r>
            <w:r w:rsidR="00962200" w:rsidRPr="00962200">
              <w:rPr>
                <w:rStyle w:val="NoteLabel"/>
                <w:b/>
              </w:rPr>
              <w:t>a</w:t>
            </w:r>
          </w:p>
          <w:p w:rsidR="007B49AB" w:rsidRPr="00784A05" w:rsidRDefault="00B64D27" w:rsidP="00CB713B">
            <w:pPr>
              <w:pStyle w:val="Subtitle"/>
            </w:pPr>
            <w:r>
              <w:t>Residuals calculated over 2005–2017</w:t>
            </w:r>
          </w:p>
        </w:tc>
      </w:tr>
      <w:tr w:rsidR="007B49AB" w:rsidTr="00F67049">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570"/>
              <w:gridCol w:w="1415"/>
              <w:gridCol w:w="1272"/>
              <w:gridCol w:w="1132"/>
              <w:gridCol w:w="1152"/>
              <w:gridCol w:w="964"/>
            </w:tblGrid>
            <w:tr w:rsidR="00795F79" w:rsidTr="00962200">
              <w:trPr>
                <w:tblHeader/>
              </w:trPr>
              <w:tc>
                <w:tcPr>
                  <w:tcW w:w="1514" w:type="pct"/>
                  <w:tcBorders>
                    <w:top w:val="single" w:sz="6" w:space="0" w:color="BFBFBF"/>
                    <w:bottom w:val="single" w:sz="6" w:space="0" w:color="BFBFBF"/>
                  </w:tcBorders>
                  <w:shd w:val="clear" w:color="auto" w:fill="auto"/>
                  <w:tcMar>
                    <w:top w:w="28" w:type="dxa"/>
                  </w:tcMar>
                </w:tcPr>
                <w:p w:rsidR="00795F79" w:rsidRDefault="00795F79" w:rsidP="00795F79">
                  <w:pPr>
                    <w:pStyle w:val="TableColumnHeading"/>
                    <w:jc w:val="left"/>
                  </w:pPr>
                  <w:r>
                    <w:t>Months taken to launch MySuper after the start of the MySuper regime</w:t>
                  </w:r>
                  <w:r w:rsidR="00962200">
                    <w:rPr>
                      <w:rStyle w:val="NoteLabel"/>
                    </w:rPr>
                    <w:t>b</w:t>
                  </w:r>
                </w:p>
              </w:tc>
              <w:tc>
                <w:tcPr>
                  <w:tcW w:w="834" w:type="pct"/>
                  <w:tcBorders>
                    <w:top w:val="single" w:sz="6" w:space="0" w:color="BFBFBF"/>
                    <w:bottom w:val="single" w:sz="6" w:space="0" w:color="BFBFBF"/>
                  </w:tcBorders>
                </w:tcPr>
                <w:p w:rsidR="00795F79" w:rsidRDefault="00795F79" w:rsidP="002C08A1">
                  <w:pPr>
                    <w:pStyle w:val="TableColumnHeading"/>
                  </w:pPr>
                  <w:r>
                    <w:t xml:space="preserve">Pooled data model, </w:t>
                  </w:r>
                  <w:r w:rsidR="002C08A1">
                    <w:t>average</w:t>
                  </w:r>
                  <w:r w:rsidR="0044059B">
                    <w:t>s</w:t>
                  </w:r>
                  <w:r w:rsidR="002C08A1">
                    <w:t xml:space="preserve"> </w:t>
                  </w:r>
                  <w:r>
                    <w:t>(bp)</w:t>
                  </w:r>
                </w:p>
              </w:tc>
              <w:tc>
                <w:tcPr>
                  <w:tcW w:w="750" w:type="pct"/>
                  <w:tcBorders>
                    <w:top w:val="single" w:sz="6" w:space="0" w:color="BFBFBF"/>
                    <w:bottom w:val="single" w:sz="6" w:space="0" w:color="BFBFBF"/>
                  </w:tcBorders>
                </w:tcPr>
                <w:p w:rsidR="00795F79" w:rsidRDefault="00795F79" w:rsidP="002C08A1">
                  <w:pPr>
                    <w:pStyle w:val="TableColumnHeading"/>
                    <w:ind w:right="28"/>
                  </w:pPr>
                  <w:r>
                    <w:t>Dummy variable model</w:t>
                  </w:r>
                  <w:r w:rsidR="008C0E63">
                    <w:t xml:space="preserve">, </w:t>
                  </w:r>
                  <w:r w:rsidR="002C08A1">
                    <w:t>average</w:t>
                  </w:r>
                  <w:r w:rsidR="0044059B">
                    <w:t>s</w:t>
                  </w:r>
                  <w:r w:rsidR="008C0E63">
                    <w:t xml:space="preserve"> </w:t>
                  </w:r>
                  <w:r>
                    <w:t>(bp)</w:t>
                  </w:r>
                </w:p>
              </w:tc>
              <w:tc>
                <w:tcPr>
                  <w:tcW w:w="668" w:type="pct"/>
                  <w:tcBorders>
                    <w:top w:val="single" w:sz="6" w:space="0" w:color="BFBFBF"/>
                    <w:bottom w:val="single" w:sz="6" w:space="0" w:color="BFBFBF"/>
                  </w:tcBorders>
                </w:tcPr>
                <w:p w:rsidR="00795F79" w:rsidRDefault="00795F79" w:rsidP="00736B08">
                  <w:pPr>
                    <w:pStyle w:val="TableColumnHeading"/>
                    <w:ind w:right="165"/>
                  </w:pPr>
                  <w:r>
                    <w:t>Number of funds</w:t>
                  </w:r>
                </w:p>
              </w:tc>
              <w:tc>
                <w:tcPr>
                  <w:tcW w:w="665" w:type="pct"/>
                  <w:tcBorders>
                    <w:top w:val="single" w:sz="6" w:space="0" w:color="BFBFBF"/>
                    <w:bottom w:val="single" w:sz="6" w:space="0" w:color="BFBFBF"/>
                  </w:tcBorders>
                </w:tcPr>
                <w:p w:rsidR="00795F79" w:rsidRDefault="00795F79" w:rsidP="00675B07">
                  <w:pPr>
                    <w:pStyle w:val="TableColumnHeading"/>
                    <w:ind w:right="165"/>
                  </w:pPr>
                  <w:r>
                    <w:t>Number of not</w:t>
                  </w:r>
                  <w:r w:rsidR="00617DD2">
                    <w:noBreakHyphen/>
                  </w:r>
                  <w:r>
                    <w:t>for</w:t>
                  </w:r>
                  <w:r w:rsidR="00617DD2">
                    <w:noBreakHyphen/>
                  </w:r>
                  <w:r>
                    <w:t>profit funds</w:t>
                  </w:r>
                </w:p>
              </w:tc>
              <w:tc>
                <w:tcPr>
                  <w:tcW w:w="569" w:type="pct"/>
                  <w:tcBorders>
                    <w:top w:val="single" w:sz="6" w:space="0" w:color="BFBFBF"/>
                    <w:bottom w:val="single" w:sz="6" w:space="0" w:color="BFBFBF"/>
                  </w:tcBorders>
                  <w:shd w:val="clear" w:color="auto" w:fill="auto"/>
                  <w:tcMar>
                    <w:top w:w="28" w:type="dxa"/>
                  </w:tcMar>
                </w:tcPr>
                <w:p w:rsidR="00795F79" w:rsidRDefault="00795F79" w:rsidP="0042735B">
                  <w:pPr>
                    <w:pStyle w:val="TableColumnHeading"/>
                    <w:ind w:right="28"/>
                  </w:pPr>
                  <w:r>
                    <w:t>Number of retail funds</w:t>
                  </w:r>
                </w:p>
              </w:tc>
            </w:tr>
            <w:tr w:rsidR="00A50078" w:rsidTr="00962200">
              <w:tc>
                <w:tcPr>
                  <w:tcW w:w="1514" w:type="pct"/>
                  <w:tcBorders>
                    <w:top w:val="single" w:sz="6" w:space="0" w:color="BFBFBF"/>
                  </w:tcBorders>
                  <w:shd w:val="clear" w:color="auto" w:fill="auto"/>
                </w:tcPr>
                <w:p w:rsidR="00A50078" w:rsidRDefault="00A50078" w:rsidP="00962200">
                  <w:pPr>
                    <w:pStyle w:val="TableBodyText"/>
                    <w:spacing w:before="40"/>
                    <w:jc w:val="left"/>
                  </w:pPr>
                  <w:r>
                    <w:t>Within 1 month</w:t>
                  </w:r>
                </w:p>
              </w:tc>
              <w:tc>
                <w:tcPr>
                  <w:tcW w:w="834" w:type="pct"/>
                  <w:tcBorders>
                    <w:top w:val="single" w:sz="6" w:space="0" w:color="BFBFBF"/>
                  </w:tcBorders>
                  <w:shd w:val="clear" w:color="auto" w:fill="auto"/>
                </w:tcPr>
                <w:p w:rsidR="00A50078" w:rsidRDefault="00617DD2" w:rsidP="00962200">
                  <w:pPr>
                    <w:pStyle w:val="TableBodyText"/>
                    <w:spacing w:before="40"/>
                  </w:pPr>
                  <w:r>
                    <w:noBreakHyphen/>
                  </w:r>
                  <w:r w:rsidR="00A50078" w:rsidRPr="00F023E1">
                    <w:t>11</w:t>
                  </w:r>
                </w:p>
              </w:tc>
              <w:tc>
                <w:tcPr>
                  <w:tcW w:w="750" w:type="pct"/>
                  <w:tcBorders>
                    <w:top w:val="single" w:sz="6" w:space="0" w:color="BFBFBF"/>
                  </w:tcBorders>
                  <w:shd w:val="clear" w:color="auto" w:fill="auto"/>
                </w:tcPr>
                <w:p w:rsidR="00A50078" w:rsidRDefault="00617DD2" w:rsidP="00962200">
                  <w:pPr>
                    <w:pStyle w:val="TableBodyText"/>
                    <w:spacing w:before="40"/>
                  </w:pPr>
                  <w:r>
                    <w:noBreakHyphen/>
                  </w:r>
                  <w:r w:rsidR="00A50078" w:rsidRPr="00F023E1">
                    <w:t>7</w:t>
                  </w:r>
                </w:p>
              </w:tc>
              <w:tc>
                <w:tcPr>
                  <w:tcW w:w="668" w:type="pct"/>
                  <w:tcBorders>
                    <w:top w:val="single" w:sz="6" w:space="0" w:color="BFBFBF"/>
                  </w:tcBorders>
                </w:tcPr>
                <w:p w:rsidR="00A50078" w:rsidRDefault="00A50078" w:rsidP="00962200">
                  <w:pPr>
                    <w:pStyle w:val="TableBodyText"/>
                    <w:spacing w:before="40"/>
                  </w:pPr>
                  <w:r>
                    <w:t>33</w:t>
                  </w:r>
                </w:p>
              </w:tc>
              <w:tc>
                <w:tcPr>
                  <w:tcW w:w="665" w:type="pct"/>
                  <w:tcBorders>
                    <w:top w:val="single" w:sz="6" w:space="0" w:color="BFBFBF"/>
                  </w:tcBorders>
                </w:tcPr>
                <w:p w:rsidR="00A50078" w:rsidRDefault="00A50078" w:rsidP="00962200">
                  <w:pPr>
                    <w:pStyle w:val="TableBodyText"/>
                    <w:spacing w:before="40"/>
                  </w:pPr>
                  <w:r>
                    <w:t>33</w:t>
                  </w:r>
                </w:p>
              </w:tc>
              <w:tc>
                <w:tcPr>
                  <w:tcW w:w="569" w:type="pct"/>
                  <w:tcBorders>
                    <w:top w:val="single" w:sz="6" w:space="0" w:color="BFBFBF"/>
                  </w:tcBorders>
                  <w:shd w:val="clear" w:color="auto" w:fill="auto"/>
                </w:tcPr>
                <w:p w:rsidR="00A50078" w:rsidRDefault="00A50078" w:rsidP="00962200">
                  <w:pPr>
                    <w:pStyle w:val="TableBodyText"/>
                    <w:spacing w:before="40"/>
                    <w:ind w:right="28"/>
                  </w:pPr>
                  <w:r>
                    <w:t>0</w:t>
                  </w:r>
                </w:p>
              </w:tc>
            </w:tr>
            <w:tr w:rsidR="00A50078" w:rsidTr="00962200">
              <w:tc>
                <w:tcPr>
                  <w:tcW w:w="1514" w:type="pct"/>
                  <w:shd w:val="pct5" w:color="auto" w:fill="auto"/>
                </w:tcPr>
                <w:p w:rsidR="00A50078" w:rsidRDefault="00A50078" w:rsidP="00A50078">
                  <w:pPr>
                    <w:pStyle w:val="TableBodyText"/>
                    <w:jc w:val="left"/>
                  </w:pPr>
                  <w:r>
                    <w:t>1</w:t>
                  </w:r>
                </w:p>
              </w:tc>
              <w:tc>
                <w:tcPr>
                  <w:tcW w:w="834" w:type="pct"/>
                  <w:shd w:val="pct5" w:color="auto" w:fill="auto"/>
                </w:tcPr>
                <w:p w:rsidR="00A50078" w:rsidRDefault="00617DD2" w:rsidP="00A50078">
                  <w:pPr>
                    <w:pStyle w:val="TableBodyText"/>
                  </w:pPr>
                  <w:r>
                    <w:noBreakHyphen/>
                  </w:r>
                  <w:r w:rsidR="00A50078" w:rsidRPr="00F023E1">
                    <w:t>22</w:t>
                  </w:r>
                </w:p>
              </w:tc>
              <w:tc>
                <w:tcPr>
                  <w:tcW w:w="750" w:type="pct"/>
                  <w:shd w:val="pct5" w:color="auto" w:fill="auto"/>
                </w:tcPr>
                <w:p w:rsidR="00A50078" w:rsidRDefault="00617DD2" w:rsidP="00A50078">
                  <w:pPr>
                    <w:pStyle w:val="TableBodyText"/>
                  </w:pPr>
                  <w:r>
                    <w:noBreakHyphen/>
                  </w:r>
                  <w:r w:rsidR="00A50078" w:rsidRPr="00F023E1">
                    <w:t>25</w:t>
                  </w:r>
                </w:p>
              </w:tc>
              <w:tc>
                <w:tcPr>
                  <w:tcW w:w="668" w:type="pct"/>
                  <w:shd w:val="pct5" w:color="auto" w:fill="auto"/>
                </w:tcPr>
                <w:p w:rsidR="00A50078" w:rsidRDefault="00A50078" w:rsidP="00A50078">
                  <w:pPr>
                    <w:pStyle w:val="TableBodyText"/>
                  </w:pPr>
                  <w:r>
                    <w:t>8</w:t>
                  </w:r>
                </w:p>
              </w:tc>
              <w:tc>
                <w:tcPr>
                  <w:tcW w:w="665" w:type="pct"/>
                  <w:shd w:val="pct5" w:color="auto" w:fill="auto"/>
                </w:tcPr>
                <w:p w:rsidR="00A50078" w:rsidRDefault="00A50078" w:rsidP="00A50078">
                  <w:pPr>
                    <w:pStyle w:val="TableBodyText"/>
                  </w:pPr>
                  <w:r>
                    <w:t>8</w:t>
                  </w:r>
                </w:p>
              </w:tc>
              <w:tc>
                <w:tcPr>
                  <w:tcW w:w="569" w:type="pct"/>
                  <w:shd w:val="pct5" w:color="auto" w:fill="auto"/>
                </w:tcPr>
                <w:p w:rsidR="00A50078" w:rsidRDefault="00A50078" w:rsidP="00A50078">
                  <w:pPr>
                    <w:pStyle w:val="TableBodyText"/>
                    <w:ind w:right="28"/>
                  </w:pPr>
                  <w:r>
                    <w:t>0</w:t>
                  </w:r>
                </w:p>
              </w:tc>
            </w:tr>
            <w:tr w:rsidR="00A50078" w:rsidTr="00962200">
              <w:tc>
                <w:tcPr>
                  <w:tcW w:w="1514" w:type="pct"/>
                  <w:shd w:val="clear" w:color="auto" w:fill="auto"/>
                </w:tcPr>
                <w:p w:rsidR="00A50078" w:rsidRDefault="00A50078" w:rsidP="00A50078">
                  <w:pPr>
                    <w:pStyle w:val="TableBodyText"/>
                    <w:jc w:val="left"/>
                  </w:pPr>
                  <w:r>
                    <w:t>2</w:t>
                  </w:r>
                </w:p>
              </w:tc>
              <w:tc>
                <w:tcPr>
                  <w:tcW w:w="834" w:type="pct"/>
                  <w:shd w:val="clear" w:color="auto" w:fill="auto"/>
                </w:tcPr>
                <w:p w:rsidR="00A50078" w:rsidRDefault="00617DD2" w:rsidP="00A50078">
                  <w:pPr>
                    <w:pStyle w:val="TableBodyText"/>
                  </w:pPr>
                  <w:r>
                    <w:noBreakHyphen/>
                  </w:r>
                  <w:r w:rsidR="00A50078" w:rsidRPr="00F023E1">
                    <w:t>32</w:t>
                  </w:r>
                </w:p>
              </w:tc>
              <w:tc>
                <w:tcPr>
                  <w:tcW w:w="750" w:type="pct"/>
                  <w:shd w:val="clear" w:color="auto" w:fill="auto"/>
                </w:tcPr>
                <w:p w:rsidR="00A50078" w:rsidRDefault="00617DD2" w:rsidP="00A50078">
                  <w:pPr>
                    <w:pStyle w:val="TableBodyText"/>
                  </w:pPr>
                  <w:r>
                    <w:noBreakHyphen/>
                  </w:r>
                  <w:r w:rsidR="00A50078" w:rsidRPr="00F023E1">
                    <w:t>37</w:t>
                  </w:r>
                </w:p>
              </w:tc>
              <w:tc>
                <w:tcPr>
                  <w:tcW w:w="668" w:type="pct"/>
                </w:tcPr>
                <w:p w:rsidR="00A50078" w:rsidRDefault="00A50078" w:rsidP="00A50078">
                  <w:pPr>
                    <w:pStyle w:val="TableBodyText"/>
                  </w:pPr>
                  <w:r>
                    <w:t>2</w:t>
                  </w:r>
                </w:p>
              </w:tc>
              <w:tc>
                <w:tcPr>
                  <w:tcW w:w="665" w:type="pct"/>
                </w:tcPr>
                <w:p w:rsidR="00A50078" w:rsidRDefault="00A50078" w:rsidP="00A50078">
                  <w:pPr>
                    <w:pStyle w:val="TableBodyText"/>
                  </w:pPr>
                  <w:r>
                    <w:t>2</w:t>
                  </w:r>
                </w:p>
              </w:tc>
              <w:tc>
                <w:tcPr>
                  <w:tcW w:w="569" w:type="pct"/>
                  <w:shd w:val="clear" w:color="auto" w:fill="auto"/>
                </w:tcPr>
                <w:p w:rsidR="00A50078" w:rsidRDefault="00A50078" w:rsidP="00A50078">
                  <w:pPr>
                    <w:pStyle w:val="TableBodyText"/>
                    <w:ind w:right="28"/>
                  </w:pPr>
                  <w:r>
                    <w:t>0</w:t>
                  </w:r>
                </w:p>
              </w:tc>
            </w:tr>
            <w:tr w:rsidR="00A50078" w:rsidTr="00962200">
              <w:tc>
                <w:tcPr>
                  <w:tcW w:w="1514" w:type="pct"/>
                  <w:shd w:val="pct5" w:color="auto" w:fill="auto"/>
                </w:tcPr>
                <w:p w:rsidR="00A50078" w:rsidRDefault="00A50078" w:rsidP="00A50078">
                  <w:pPr>
                    <w:pStyle w:val="TableBodyText"/>
                    <w:jc w:val="left"/>
                  </w:pPr>
                  <w:r>
                    <w:t>3</w:t>
                  </w:r>
                </w:p>
              </w:tc>
              <w:tc>
                <w:tcPr>
                  <w:tcW w:w="834" w:type="pct"/>
                  <w:shd w:val="pct5" w:color="auto" w:fill="auto"/>
                </w:tcPr>
                <w:p w:rsidR="00A50078" w:rsidRDefault="00617DD2" w:rsidP="00A50078">
                  <w:pPr>
                    <w:pStyle w:val="TableBodyText"/>
                  </w:pPr>
                  <w:r>
                    <w:noBreakHyphen/>
                  </w:r>
                  <w:r w:rsidR="00A50078" w:rsidRPr="00F023E1">
                    <w:t>43</w:t>
                  </w:r>
                </w:p>
              </w:tc>
              <w:tc>
                <w:tcPr>
                  <w:tcW w:w="750" w:type="pct"/>
                  <w:shd w:val="pct5" w:color="auto" w:fill="auto"/>
                </w:tcPr>
                <w:p w:rsidR="00A50078" w:rsidRDefault="00617DD2" w:rsidP="00A50078">
                  <w:pPr>
                    <w:pStyle w:val="TableBodyText"/>
                  </w:pPr>
                  <w:r>
                    <w:noBreakHyphen/>
                  </w:r>
                  <w:r w:rsidR="00A50078" w:rsidRPr="00F023E1">
                    <w:t>125</w:t>
                  </w:r>
                </w:p>
              </w:tc>
              <w:tc>
                <w:tcPr>
                  <w:tcW w:w="668" w:type="pct"/>
                  <w:shd w:val="pct5" w:color="auto" w:fill="auto"/>
                </w:tcPr>
                <w:p w:rsidR="00A50078" w:rsidRDefault="00A50078" w:rsidP="00A50078">
                  <w:pPr>
                    <w:pStyle w:val="TableBodyText"/>
                  </w:pPr>
                  <w:r>
                    <w:t>3</w:t>
                  </w:r>
                </w:p>
              </w:tc>
              <w:tc>
                <w:tcPr>
                  <w:tcW w:w="665" w:type="pct"/>
                  <w:shd w:val="pct5" w:color="auto" w:fill="auto"/>
                </w:tcPr>
                <w:p w:rsidR="00A50078" w:rsidRDefault="00A50078" w:rsidP="00A50078">
                  <w:pPr>
                    <w:pStyle w:val="TableBodyText"/>
                  </w:pPr>
                  <w:r>
                    <w:t>0</w:t>
                  </w:r>
                </w:p>
              </w:tc>
              <w:tc>
                <w:tcPr>
                  <w:tcW w:w="569" w:type="pct"/>
                  <w:shd w:val="pct5" w:color="auto" w:fill="auto"/>
                </w:tcPr>
                <w:p w:rsidR="00A50078" w:rsidRDefault="00A50078" w:rsidP="00A50078">
                  <w:pPr>
                    <w:pStyle w:val="TableBodyText"/>
                    <w:ind w:right="28"/>
                  </w:pPr>
                  <w:r>
                    <w:t>3</w:t>
                  </w:r>
                </w:p>
              </w:tc>
            </w:tr>
            <w:tr w:rsidR="00A50078" w:rsidTr="00962200">
              <w:tc>
                <w:tcPr>
                  <w:tcW w:w="1514" w:type="pct"/>
                  <w:shd w:val="clear" w:color="auto" w:fill="auto"/>
                </w:tcPr>
                <w:p w:rsidR="00A50078" w:rsidRDefault="00A50078" w:rsidP="00A50078">
                  <w:pPr>
                    <w:pStyle w:val="TableBodyText"/>
                    <w:jc w:val="left"/>
                  </w:pPr>
                  <w:r>
                    <w:t>4</w:t>
                  </w:r>
                </w:p>
              </w:tc>
              <w:tc>
                <w:tcPr>
                  <w:tcW w:w="834" w:type="pct"/>
                  <w:shd w:val="clear" w:color="auto" w:fill="auto"/>
                </w:tcPr>
                <w:p w:rsidR="00A50078" w:rsidRDefault="00617DD2" w:rsidP="00A50078">
                  <w:pPr>
                    <w:pStyle w:val="TableBodyText"/>
                  </w:pPr>
                  <w:r>
                    <w:noBreakHyphen/>
                  </w:r>
                  <w:r w:rsidR="00A50078" w:rsidRPr="00F023E1">
                    <w:t>54</w:t>
                  </w:r>
                </w:p>
              </w:tc>
              <w:tc>
                <w:tcPr>
                  <w:tcW w:w="750" w:type="pct"/>
                  <w:shd w:val="clear" w:color="auto" w:fill="auto"/>
                </w:tcPr>
                <w:p w:rsidR="00A50078" w:rsidRDefault="00A50078" w:rsidP="00A50078">
                  <w:pPr>
                    <w:pStyle w:val="TableBodyText"/>
                  </w:pPr>
                  <w:r w:rsidRPr="00F023E1">
                    <w:t>+39</w:t>
                  </w:r>
                </w:p>
              </w:tc>
              <w:tc>
                <w:tcPr>
                  <w:tcW w:w="668" w:type="pct"/>
                </w:tcPr>
                <w:p w:rsidR="00A50078" w:rsidRDefault="00A50078" w:rsidP="00A50078">
                  <w:pPr>
                    <w:pStyle w:val="TableBodyText"/>
                  </w:pPr>
                  <w:r>
                    <w:t>4</w:t>
                  </w:r>
                </w:p>
              </w:tc>
              <w:tc>
                <w:tcPr>
                  <w:tcW w:w="665" w:type="pct"/>
                </w:tcPr>
                <w:p w:rsidR="00A50078" w:rsidRDefault="00A50078" w:rsidP="00A50078">
                  <w:pPr>
                    <w:pStyle w:val="TableBodyText"/>
                  </w:pPr>
                  <w:r>
                    <w:t>4</w:t>
                  </w:r>
                </w:p>
              </w:tc>
              <w:tc>
                <w:tcPr>
                  <w:tcW w:w="569" w:type="pct"/>
                  <w:shd w:val="clear" w:color="auto" w:fill="auto"/>
                </w:tcPr>
                <w:p w:rsidR="00A50078" w:rsidRDefault="00A50078" w:rsidP="00A50078">
                  <w:pPr>
                    <w:pStyle w:val="TableBodyText"/>
                    <w:ind w:right="28"/>
                  </w:pPr>
                  <w:r>
                    <w:t>0</w:t>
                  </w:r>
                </w:p>
              </w:tc>
            </w:tr>
            <w:tr w:rsidR="00A50078" w:rsidTr="00962200">
              <w:tc>
                <w:tcPr>
                  <w:tcW w:w="1514" w:type="pct"/>
                  <w:shd w:val="pct5" w:color="auto" w:fill="auto"/>
                </w:tcPr>
                <w:p w:rsidR="00A50078" w:rsidRDefault="00A50078" w:rsidP="00A50078">
                  <w:pPr>
                    <w:pStyle w:val="TableBodyText"/>
                    <w:jc w:val="left"/>
                  </w:pPr>
                  <w:r>
                    <w:t>5</w:t>
                  </w:r>
                </w:p>
              </w:tc>
              <w:tc>
                <w:tcPr>
                  <w:tcW w:w="834" w:type="pct"/>
                  <w:shd w:val="pct5" w:color="auto" w:fill="auto"/>
                </w:tcPr>
                <w:p w:rsidR="00A50078" w:rsidRDefault="00617DD2" w:rsidP="00A50078">
                  <w:pPr>
                    <w:pStyle w:val="TableBodyText"/>
                  </w:pPr>
                  <w:r>
                    <w:noBreakHyphen/>
                  </w:r>
                  <w:r w:rsidR="00A50078" w:rsidRPr="00F023E1">
                    <w:t>64</w:t>
                  </w:r>
                </w:p>
              </w:tc>
              <w:tc>
                <w:tcPr>
                  <w:tcW w:w="750" w:type="pct"/>
                  <w:shd w:val="pct5" w:color="auto" w:fill="auto"/>
                </w:tcPr>
                <w:p w:rsidR="00A50078" w:rsidRDefault="00617DD2" w:rsidP="00A50078">
                  <w:pPr>
                    <w:pStyle w:val="TableBodyText"/>
                  </w:pPr>
                  <w:r>
                    <w:noBreakHyphen/>
                  </w:r>
                  <w:r w:rsidR="00A50078" w:rsidRPr="00F023E1">
                    <w:t>119</w:t>
                  </w:r>
                </w:p>
              </w:tc>
              <w:tc>
                <w:tcPr>
                  <w:tcW w:w="668" w:type="pct"/>
                  <w:shd w:val="pct5" w:color="auto" w:fill="auto"/>
                </w:tcPr>
                <w:p w:rsidR="00A50078" w:rsidRDefault="00A50078" w:rsidP="00A50078">
                  <w:pPr>
                    <w:pStyle w:val="TableBodyText"/>
                  </w:pPr>
                  <w:r>
                    <w:t>10</w:t>
                  </w:r>
                </w:p>
              </w:tc>
              <w:tc>
                <w:tcPr>
                  <w:tcW w:w="665" w:type="pct"/>
                  <w:shd w:val="pct5" w:color="auto" w:fill="auto"/>
                </w:tcPr>
                <w:p w:rsidR="00A50078" w:rsidRDefault="00A50078" w:rsidP="00A50078">
                  <w:pPr>
                    <w:pStyle w:val="TableBodyText"/>
                  </w:pPr>
                  <w:r>
                    <w:t>5</w:t>
                  </w:r>
                </w:p>
              </w:tc>
              <w:tc>
                <w:tcPr>
                  <w:tcW w:w="569" w:type="pct"/>
                  <w:shd w:val="pct5" w:color="auto" w:fill="auto"/>
                </w:tcPr>
                <w:p w:rsidR="00A50078" w:rsidRDefault="00A50078" w:rsidP="00A50078">
                  <w:pPr>
                    <w:pStyle w:val="TableBodyText"/>
                    <w:ind w:right="28"/>
                  </w:pPr>
                  <w:r>
                    <w:t>5</w:t>
                  </w:r>
                </w:p>
              </w:tc>
            </w:tr>
            <w:tr w:rsidR="00A50078" w:rsidTr="00962200">
              <w:tc>
                <w:tcPr>
                  <w:tcW w:w="1514" w:type="pct"/>
                  <w:shd w:val="clear" w:color="auto" w:fill="auto"/>
                </w:tcPr>
                <w:p w:rsidR="00A50078" w:rsidRDefault="00A50078" w:rsidP="00A50078">
                  <w:pPr>
                    <w:pStyle w:val="TableBodyText"/>
                    <w:jc w:val="left"/>
                  </w:pPr>
                  <w:r>
                    <w:t>6</w:t>
                  </w:r>
                </w:p>
              </w:tc>
              <w:tc>
                <w:tcPr>
                  <w:tcW w:w="834" w:type="pct"/>
                  <w:shd w:val="clear" w:color="auto" w:fill="auto"/>
                </w:tcPr>
                <w:p w:rsidR="00A50078" w:rsidRDefault="00617DD2" w:rsidP="00A50078">
                  <w:pPr>
                    <w:pStyle w:val="TableBodyText"/>
                  </w:pPr>
                  <w:r>
                    <w:noBreakHyphen/>
                  </w:r>
                  <w:r w:rsidR="00A50078" w:rsidRPr="00F023E1">
                    <w:t>75</w:t>
                  </w:r>
                </w:p>
              </w:tc>
              <w:tc>
                <w:tcPr>
                  <w:tcW w:w="750" w:type="pct"/>
                  <w:shd w:val="clear" w:color="auto" w:fill="auto"/>
                </w:tcPr>
                <w:p w:rsidR="00A50078" w:rsidRDefault="00617DD2" w:rsidP="00A50078">
                  <w:pPr>
                    <w:pStyle w:val="TableBodyText"/>
                  </w:pPr>
                  <w:r>
                    <w:noBreakHyphen/>
                  </w:r>
                  <w:r w:rsidR="00A50078" w:rsidRPr="00F023E1">
                    <w:t>15</w:t>
                  </w:r>
                </w:p>
              </w:tc>
              <w:tc>
                <w:tcPr>
                  <w:tcW w:w="668" w:type="pct"/>
                </w:tcPr>
                <w:p w:rsidR="00A50078" w:rsidRDefault="00A50078" w:rsidP="00A50078">
                  <w:pPr>
                    <w:pStyle w:val="TableBodyText"/>
                  </w:pPr>
                  <w:r>
                    <w:t>5</w:t>
                  </w:r>
                </w:p>
              </w:tc>
              <w:tc>
                <w:tcPr>
                  <w:tcW w:w="665" w:type="pct"/>
                </w:tcPr>
                <w:p w:rsidR="00A50078" w:rsidRDefault="00A50078" w:rsidP="00A50078">
                  <w:pPr>
                    <w:pStyle w:val="TableBodyText"/>
                  </w:pPr>
                  <w:r>
                    <w:t>3</w:t>
                  </w:r>
                </w:p>
              </w:tc>
              <w:tc>
                <w:tcPr>
                  <w:tcW w:w="569" w:type="pct"/>
                  <w:shd w:val="clear" w:color="auto" w:fill="auto"/>
                </w:tcPr>
                <w:p w:rsidR="00A50078" w:rsidRDefault="00A50078" w:rsidP="00A50078">
                  <w:pPr>
                    <w:pStyle w:val="TableBodyText"/>
                    <w:ind w:right="28"/>
                  </w:pPr>
                  <w:r>
                    <w:t>2</w:t>
                  </w:r>
                </w:p>
              </w:tc>
            </w:tr>
            <w:tr w:rsidR="008C0E63" w:rsidTr="00962200">
              <w:tc>
                <w:tcPr>
                  <w:tcW w:w="1514" w:type="pct"/>
                  <w:tcBorders>
                    <w:bottom w:val="single" w:sz="6" w:space="0" w:color="BFBFBF"/>
                  </w:tcBorders>
                  <w:shd w:val="pct5" w:color="auto" w:fill="auto"/>
                </w:tcPr>
                <w:p w:rsidR="00A50078" w:rsidRDefault="00A50078" w:rsidP="00A50078">
                  <w:pPr>
                    <w:pStyle w:val="TableBodyText"/>
                    <w:jc w:val="left"/>
                  </w:pPr>
                  <w:r>
                    <w:t>7</w:t>
                  </w:r>
                </w:p>
              </w:tc>
              <w:tc>
                <w:tcPr>
                  <w:tcW w:w="834" w:type="pct"/>
                  <w:tcBorders>
                    <w:bottom w:val="single" w:sz="6" w:space="0" w:color="BFBFBF"/>
                  </w:tcBorders>
                  <w:shd w:val="pct5" w:color="auto" w:fill="auto"/>
                </w:tcPr>
                <w:p w:rsidR="00A50078" w:rsidRDefault="00617DD2" w:rsidP="00A50078">
                  <w:pPr>
                    <w:pStyle w:val="TableBodyText"/>
                  </w:pPr>
                  <w:r>
                    <w:noBreakHyphen/>
                  </w:r>
                  <w:r w:rsidR="00A50078" w:rsidRPr="00F023E1">
                    <w:t>86</w:t>
                  </w:r>
                </w:p>
              </w:tc>
              <w:tc>
                <w:tcPr>
                  <w:tcW w:w="750" w:type="pct"/>
                  <w:tcBorders>
                    <w:bottom w:val="single" w:sz="6" w:space="0" w:color="BFBFBF"/>
                  </w:tcBorders>
                  <w:shd w:val="pct5" w:color="auto" w:fill="auto"/>
                </w:tcPr>
                <w:p w:rsidR="00A50078" w:rsidRDefault="00617DD2" w:rsidP="00A50078">
                  <w:pPr>
                    <w:pStyle w:val="TableBodyText"/>
                  </w:pPr>
                  <w:r>
                    <w:noBreakHyphen/>
                  </w:r>
                  <w:r w:rsidR="00A50078" w:rsidRPr="00F023E1">
                    <w:t>56</w:t>
                  </w:r>
                </w:p>
              </w:tc>
              <w:tc>
                <w:tcPr>
                  <w:tcW w:w="668" w:type="pct"/>
                  <w:tcBorders>
                    <w:bottom w:val="single" w:sz="6" w:space="0" w:color="BFBFBF"/>
                  </w:tcBorders>
                  <w:shd w:val="pct5" w:color="auto" w:fill="auto"/>
                </w:tcPr>
                <w:p w:rsidR="00A50078" w:rsidRDefault="00A50078" w:rsidP="00A50078">
                  <w:pPr>
                    <w:pStyle w:val="TableBodyText"/>
                  </w:pPr>
                  <w:r>
                    <w:t>1</w:t>
                  </w:r>
                </w:p>
              </w:tc>
              <w:tc>
                <w:tcPr>
                  <w:tcW w:w="665" w:type="pct"/>
                  <w:tcBorders>
                    <w:bottom w:val="single" w:sz="6" w:space="0" w:color="BFBFBF"/>
                  </w:tcBorders>
                  <w:shd w:val="pct5" w:color="auto" w:fill="auto"/>
                </w:tcPr>
                <w:p w:rsidR="00A50078" w:rsidRDefault="00A50078" w:rsidP="00A50078">
                  <w:pPr>
                    <w:pStyle w:val="TableBodyText"/>
                  </w:pPr>
                  <w:r>
                    <w:t>1</w:t>
                  </w:r>
                </w:p>
              </w:tc>
              <w:tc>
                <w:tcPr>
                  <w:tcW w:w="569" w:type="pct"/>
                  <w:tcBorders>
                    <w:bottom w:val="single" w:sz="6" w:space="0" w:color="BFBFBF"/>
                  </w:tcBorders>
                  <w:shd w:val="pct5" w:color="auto" w:fill="auto"/>
                </w:tcPr>
                <w:p w:rsidR="00A50078" w:rsidRDefault="00A50078" w:rsidP="00A50078">
                  <w:pPr>
                    <w:pStyle w:val="TableBodyText"/>
                    <w:ind w:right="28"/>
                  </w:pPr>
                  <w:r>
                    <w:t>0</w:t>
                  </w:r>
                </w:p>
              </w:tc>
            </w:tr>
          </w:tbl>
          <w:p w:rsidR="007B49AB" w:rsidRDefault="007B49AB" w:rsidP="00F67049">
            <w:pPr>
              <w:pStyle w:val="Box"/>
            </w:pPr>
          </w:p>
        </w:tc>
      </w:tr>
      <w:tr w:rsidR="007B49AB" w:rsidTr="00F67049">
        <w:tc>
          <w:tcPr>
            <w:tcW w:w="5000" w:type="pct"/>
            <w:tcBorders>
              <w:top w:val="nil"/>
              <w:left w:val="nil"/>
              <w:bottom w:val="nil"/>
              <w:right w:val="nil"/>
            </w:tcBorders>
            <w:shd w:val="clear" w:color="auto" w:fill="auto"/>
          </w:tcPr>
          <w:p w:rsidR="007B49AB" w:rsidRDefault="00962200" w:rsidP="00962200">
            <w:pPr>
              <w:pStyle w:val="Note"/>
              <w:rPr>
                <w:i/>
              </w:rPr>
            </w:pPr>
            <w:r>
              <w:rPr>
                <w:rStyle w:val="NoteLabel"/>
              </w:rPr>
              <w:t>a</w:t>
            </w:r>
            <w:r w:rsidR="0044059B">
              <w:t xml:space="preserve"> The linear </w:t>
            </w:r>
            <w:r w:rsidR="00AC4E0E">
              <w:t>trend for the pooled data model and</w:t>
            </w:r>
            <w:r w:rsidR="0044059B">
              <w:t xml:space="preserve"> the 3 and 5 month dummies in the dummy variable model were all significant at </w:t>
            </w:r>
            <w:r w:rsidR="00950045">
              <w:t xml:space="preserve">the </w:t>
            </w:r>
            <w:r w:rsidR="0044059B">
              <w:t>95</w:t>
            </w:r>
            <w:r w:rsidR="00950045">
              <w:t> per cent level</w:t>
            </w:r>
            <w:r w:rsidR="0044059B">
              <w:t>.</w:t>
            </w:r>
            <w:r>
              <w:t xml:space="preserve"> </w:t>
            </w:r>
            <w:r>
              <w:rPr>
                <w:rStyle w:val="NoteLabel"/>
              </w:rPr>
              <w:t>b</w:t>
            </w:r>
            <w:r>
              <w:t xml:space="preserve"> The first row corresponds to the intercept, with each subsequent row adding the corresponding linear trend effect or dummy variable effect to arrive</w:t>
            </w:r>
            <w:r w:rsidR="00EC1F6A">
              <w:t xml:space="preserve"> at</w:t>
            </w:r>
            <w:r>
              <w:t xml:space="preserve"> the averages.</w:t>
            </w:r>
          </w:p>
        </w:tc>
      </w:tr>
      <w:tr w:rsidR="007B49AB" w:rsidTr="00F67049">
        <w:tc>
          <w:tcPr>
            <w:tcW w:w="5000" w:type="pct"/>
            <w:tcBorders>
              <w:top w:val="nil"/>
              <w:left w:val="nil"/>
              <w:bottom w:val="nil"/>
              <w:right w:val="nil"/>
            </w:tcBorders>
            <w:shd w:val="clear" w:color="auto" w:fill="auto"/>
          </w:tcPr>
          <w:p w:rsidR="007B49AB" w:rsidRDefault="00C96AD4" w:rsidP="00F67049">
            <w:pPr>
              <w:pStyle w:val="Source"/>
            </w:pPr>
            <w:r>
              <w:rPr>
                <w:i/>
              </w:rPr>
              <w:t>Source</w:t>
            </w:r>
            <w:r w:rsidRPr="00167F06">
              <w:t xml:space="preserve">: </w:t>
            </w:r>
            <w:r>
              <w:t>PC analysis of APRA confidential data.</w:t>
            </w:r>
          </w:p>
        </w:tc>
      </w:tr>
      <w:tr w:rsidR="007B49AB" w:rsidTr="00F67049">
        <w:tc>
          <w:tcPr>
            <w:tcW w:w="5000" w:type="pct"/>
            <w:tcBorders>
              <w:top w:val="nil"/>
              <w:left w:val="nil"/>
              <w:bottom w:val="single" w:sz="6" w:space="0" w:color="78A22F"/>
              <w:right w:val="nil"/>
            </w:tcBorders>
            <w:shd w:val="clear" w:color="auto" w:fill="auto"/>
          </w:tcPr>
          <w:p w:rsidR="007B49AB" w:rsidRDefault="007B49AB" w:rsidP="00F67049">
            <w:pPr>
              <w:pStyle w:val="Box"/>
              <w:spacing w:before="0" w:line="120" w:lineRule="exact"/>
            </w:pPr>
          </w:p>
        </w:tc>
      </w:tr>
      <w:tr w:rsidR="007B49AB" w:rsidRPr="000863A5" w:rsidTr="00F67049">
        <w:tc>
          <w:tcPr>
            <w:tcW w:w="5000" w:type="pct"/>
            <w:tcBorders>
              <w:top w:val="single" w:sz="6" w:space="0" w:color="78A22F"/>
              <w:left w:val="nil"/>
              <w:bottom w:val="nil"/>
              <w:right w:val="nil"/>
            </w:tcBorders>
          </w:tcPr>
          <w:p w:rsidR="007B49AB" w:rsidRPr="00626D32" w:rsidRDefault="007B49AB" w:rsidP="00F67049">
            <w:pPr>
              <w:pStyle w:val="BoxSpaceBelow"/>
            </w:pPr>
          </w:p>
        </w:tc>
      </w:tr>
    </w:tbl>
    <w:p w:rsidR="004C7EDA" w:rsidRDefault="004C7EDA">
      <w:pPr>
        <w:pStyle w:val="Heading5"/>
      </w:pPr>
      <w:r>
        <w:t xml:space="preserve">How long it took for funds to complete </w:t>
      </w:r>
      <w:r w:rsidR="002548A3">
        <w:t xml:space="preserve">the transfer of default </w:t>
      </w:r>
      <w:r w:rsidR="00AE326B">
        <w:t>assets</w:t>
      </w:r>
      <w:r w:rsidR="002548A3">
        <w:t xml:space="preserve"> to their MySuper product</w:t>
      </w:r>
    </w:p>
    <w:p w:rsidR="00815DC3" w:rsidRDefault="00DE3A39">
      <w:pPr>
        <w:pStyle w:val="BodyText"/>
      </w:pPr>
      <w:r>
        <w:t xml:space="preserve">In </w:t>
      </w:r>
      <w:r w:rsidR="0048081E">
        <w:t>pri</w:t>
      </w:r>
      <w:r w:rsidR="00795F79">
        <w:t>nc</w:t>
      </w:r>
      <w:r w:rsidR="0048081E">
        <w:t>iple</w:t>
      </w:r>
      <w:r>
        <w:t>, the length of time taken</w:t>
      </w:r>
      <w:r w:rsidR="00896543">
        <w:t xml:space="preserve"> by a fund</w:t>
      </w:r>
      <w:r>
        <w:t xml:space="preserve"> to complete the transfer of default assets to their MySuper product should be an indicator of </w:t>
      </w:r>
      <w:r w:rsidR="003719B5">
        <w:t>t</w:t>
      </w:r>
      <w:r w:rsidR="00896543">
        <w:t>he</w:t>
      </w:r>
      <w:r>
        <w:t xml:space="preserve"> fund’s </w:t>
      </w:r>
      <w:r w:rsidR="00415E5B">
        <w:t xml:space="preserve">ability to manage member flows and ability to </w:t>
      </w:r>
      <w:r w:rsidR="0092097C">
        <w:t>move members into a low</w:t>
      </w:r>
      <w:r w:rsidR="0092097C">
        <w:noBreakHyphen/>
        <w:t>fee default product in a timely manner</w:t>
      </w:r>
      <w:r w:rsidR="00415E5B">
        <w:t>. However</w:t>
      </w:r>
      <w:r w:rsidR="0092097C">
        <w:t>,</w:t>
      </w:r>
      <w:r w:rsidR="00415E5B">
        <w:t xml:space="preserve"> </w:t>
      </w:r>
      <w:r w:rsidR="002E34DC">
        <w:lastRenderedPageBreak/>
        <w:t>APRA data only tracked the progress of funds on an annual basis. This frequency of reporting is not granular enough to identify any cle</w:t>
      </w:r>
      <w:r w:rsidR="00084BEE">
        <w:t>ar relationships.</w:t>
      </w:r>
    </w:p>
    <w:p w:rsidR="00084BEE" w:rsidRDefault="00084BEE">
      <w:pPr>
        <w:pStyle w:val="BodyText"/>
      </w:pPr>
      <w:r>
        <w:t xml:space="preserve">The overwhelming majority of funds completed the transfer between 1 and 2 years after the MySuper regime started, leaving the data with little variation to extract a meaningful relationship. </w:t>
      </w:r>
      <w:r w:rsidR="004302BA">
        <w:t>T</w:t>
      </w:r>
      <w:r>
        <w:t xml:space="preserve">he average fund </w:t>
      </w:r>
      <w:r w:rsidR="00FD545A">
        <w:t>that</w:t>
      </w:r>
      <w:r>
        <w:t xml:space="preserve"> completed the transfer after 1 year had a </w:t>
      </w:r>
      <w:r w:rsidR="00816B85">
        <w:t xml:space="preserve">more </w:t>
      </w:r>
      <w:r>
        <w:t>positive residual</w:t>
      </w:r>
      <w:r w:rsidR="00816B85">
        <w:t>,</w:t>
      </w:r>
      <w:r>
        <w:t xml:space="preserve"> </w:t>
      </w:r>
      <w:r w:rsidR="004302BA">
        <w:t xml:space="preserve">at </w:t>
      </w:r>
      <w:r>
        <w:t>1</w:t>
      </w:r>
      <w:r w:rsidR="00816B85">
        <w:t>6</w:t>
      </w:r>
      <w:r>
        <w:t xml:space="preserve"> basis points higher than</w:t>
      </w:r>
      <w:r w:rsidR="003719B5">
        <w:t xml:space="preserve"> </w:t>
      </w:r>
      <w:r w:rsidR="004302BA">
        <w:t xml:space="preserve">for </w:t>
      </w:r>
      <w:r>
        <w:t xml:space="preserve">funds that completed the transfer immediately (table 3). </w:t>
      </w:r>
      <w:r w:rsidR="004302BA">
        <w:t>T</w:t>
      </w:r>
      <w:r>
        <w:t>he associations for funds which completed their transfers after 2 years are distinctly negative</w:t>
      </w:r>
      <w:r w:rsidR="00AC4E0E">
        <w:t xml:space="preserve"> (but not statistically significant)</w:t>
      </w:r>
      <w:r>
        <w:t>.</w:t>
      </w:r>
      <w:r w:rsidR="004302BA">
        <w:t xml:space="preserve"> However, this result could also be</w:t>
      </w:r>
      <w:r w:rsidR="00F5474D">
        <w:t>,</w:t>
      </w:r>
      <w:r w:rsidR="004302BA">
        <w:t xml:space="preserve"> </w:t>
      </w:r>
      <w:r w:rsidR="009A1714">
        <w:t>in part</w:t>
      </w:r>
      <w:r w:rsidR="00F5474D">
        <w:t>,</w:t>
      </w:r>
      <w:r w:rsidR="004302BA">
        <w:t xml:space="preserve"> a direct effect of the delay (to the extent that delay was associated with funds having administrative expenses higher than otherwise for a longer period of time, and thus lower residuals when measured over the whole period), rather than the quality of fund governance per se</w:t>
      </w:r>
      <w:r w:rsidR="003719B5">
        <w:t>.</w:t>
      </w:r>
    </w:p>
    <w:p w:rsidR="00815DC3" w:rsidRDefault="00815DC3" w:rsidP="00815DC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15DC3" w:rsidTr="00815DC3">
        <w:trPr>
          <w:tblHeader/>
        </w:trPr>
        <w:tc>
          <w:tcPr>
            <w:tcW w:w="5000" w:type="pct"/>
            <w:tcBorders>
              <w:top w:val="single" w:sz="6" w:space="0" w:color="78A22F"/>
              <w:left w:val="nil"/>
              <w:bottom w:val="nil"/>
              <w:right w:val="nil"/>
            </w:tcBorders>
            <w:shd w:val="clear" w:color="auto" w:fill="auto"/>
          </w:tcPr>
          <w:p w:rsidR="00815DC3" w:rsidRDefault="00815DC3" w:rsidP="00815DC3">
            <w:pPr>
              <w:pStyle w:val="TableTitle"/>
            </w:pPr>
            <w:r>
              <w:rPr>
                <w:b w:val="0"/>
              </w:rPr>
              <w:t xml:space="preserve">Table </w:t>
            </w:r>
            <w:bookmarkStart w:id="29" w:name="OLE_LINK45"/>
            <w:r w:rsidR="001345FE">
              <w:rPr>
                <w:b w:val="0"/>
                <w:noProof/>
              </w:rPr>
              <w:t>3</w:t>
            </w:r>
            <w:bookmarkEnd w:id="29"/>
            <w:r>
              <w:tab/>
              <w:t>Residuals and completion of MySuper default transfers</w:t>
            </w:r>
          </w:p>
          <w:p w:rsidR="00815DC3" w:rsidRPr="00784A05" w:rsidRDefault="00B64D27" w:rsidP="00815DC3">
            <w:pPr>
              <w:pStyle w:val="Subtitle"/>
            </w:pPr>
            <w:r>
              <w:t>Residuals calculated over 2005–2017</w:t>
            </w:r>
          </w:p>
        </w:tc>
      </w:tr>
      <w:tr w:rsidR="00815DC3" w:rsidTr="00815DC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820"/>
              <w:gridCol w:w="2125"/>
              <w:gridCol w:w="1560"/>
            </w:tblGrid>
            <w:tr w:rsidR="00815DC3" w:rsidTr="00962200">
              <w:trPr>
                <w:tblHeader/>
              </w:trPr>
              <w:tc>
                <w:tcPr>
                  <w:tcW w:w="2834" w:type="pct"/>
                  <w:tcBorders>
                    <w:top w:val="single" w:sz="6" w:space="0" w:color="BFBFBF"/>
                    <w:bottom w:val="single" w:sz="6" w:space="0" w:color="BFBFBF"/>
                  </w:tcBorders>
                  <w:shd w:val="clear" w:color="auto" w:fill="auto"/>
                  <w:tcMar>
                    <w:top w:w="28" w:type="dxa"/>
                  </w:tcMar>
                </w:tcPr>
                <w:p w:rsidR="00815DC3" w:rsidRDefault="00815DC3" w:rsidP="003719B5">
                  <w:pPr>
                    <w:pStyle w:val="TableColumnHeading"/>
                    <w:jc w:val="left"/>
                  </w:pPr>
                  <w:r>
                    <w:t xml:space="preserve">Years </w:t>
                  </w:r>
                  <w:r w:rsidR="00795F79">
                    <w:t>taken to complete MySuper defaul</w:t>
                  </w:r>
                  <w:r w:rsidR="00FD545A">
                    <w:t>t</w:t>
                  </w:r>
                  <w:r w:rsidR="00795F79">
                    <w:t xml:space="preserve"> transfers </w:t>
                  </w:r>
                  <w:r w:rsidR="00F425D5">
                    <w:t xml:space="preserve">after the </w:t>
                  </w:r>
                  <w:r>
                    <w:t>start o</w:t>
                  </w:r>
                  <w:r w:rsidR="00F425D5">
                    <w:t>f the</w:t>
                  </w:r>
                  <w:r>
                    <w:t xml:space="preserve"> MySu</w:t>
                  </w:r>
                  <w:r w:rsidR="00F425D5">
                    <w:t>per Regime</w:t>
                  </w:r>
                  <w:r w:rsidR="0051619C">
                    <w:rPr>
                      <w:rStyle w:val="NoteLabel"/>
                    </w:rPr>
                    <w:t>a</w:t>
                  </w:r>
                </w:p>
              </w:tc>
              <w:tc>
                <w:tcPr>
                  <w:tcW w:w="1249" w:type="pct"/>
                  <w:tcBorders>
                    <w:top w:val="single" w:sz="6" w:space="0" w:color="BFBFBF"/>
                    <w:bottom w:val="single" w:sz="6" w:space="0" w:color="BFBFBF"/>
                  </w:tcBorders>
                </w:tcPr>
                <w:p w:rsidR="00962200" w:rsidRDefault="00815DC3" w:rsidP="00962200">
                  <w:pPr>
                    <w:pStyle w:val="TableColumnHeading"/>
                    <w:ind w:right="28"/>
                  </w:pPr>
                  <w:r>
                    <w:t>Non</w:t>
                  </w:r>
                  <w:r w:rsidR="00962200">
                    <w:noBreakHyphen/>
                  </w:r>
                  <w:r>
                    <w:t xml:space="preserve">linear </w:t>
                  </w:r>
                  <w:r w:rsidR="00962200">
                    <w:t>model,</w:t>
                  </w:r>
                </w:p>
                <w:p w:rsidR="00815DC3" w:rsidRDefault="0044059B" w:rsidP="00962200">
                  <w:pPr>
                    <w:pStyle w:val="TableColumnHeading"/>
                    <w:ind w:right="28"/>
                  </w:pPr>
                  <w:r>
                    <w:t xml:space="preserve">averages </w:t>
                  </w:r>
                  <w:r w:rsidR="00815DC3">
                    <w:t>(bp)</w:t>
                  </w:r>
                </w:p>
              </w:tc>
              <w:tc>
                <w:tcPr>
                  <w:tcW w:w="917" w:type="pct"/>
                  <w:tcBorders>
                    <w:top w:val="single" w:sz="6" w:space="0" w:color="BFBFBF"/>
                    <w:bottom w:val="single" w:sz="6" w:space="0" w:color="BFBFBF"/>
                  </w:tcBorders>
                  <w:shd w:val="clear" w:color="auto" w:fill="auto"/>
                  <w:tcMar>
                    <w:top w:w="28" w:type="dxa"/>
                  </w:tcMar>
                </w:tcPr>
                <w:p w:rsidR="00815DC3" w:rsidRDefault="00815DC3" w:rsidP="00815DC3">
                  <w:pPr>
                    <w:pStyle w:val="TableColumnHeading"/>
                    <w:ind w:right="28"/>
                  </w:pPr>
                  <w:r>
                    <w:t>Number of funds</w:t>
                  </w:r>
                </w:p>
              </w:tc>
            </w:tr>
            <w:tr w:rsidR="0044059B" w:rsidTr="00962200">
              <w:tc>
                <w:tcPr>
                  <w:tcW w:w="2834" w:type="pct"/>
                  <w:tcBorders>
                    <w:top w:val="single" w:sz="6" w:space="0" w:color="BFBFBF"/>
                  </w:tcBorders>
                </w:tcPr>
                <w:p w:rsidR="0044059B" w:rsidRDefault="0044059B" w:rsidP="00962200">
                  <w:pPr>
                    <w:pStyle w:val="TableBodyText"/>
                    <w:spacing w:before="40"/>
                    <w:jc w:val="left"/>
                  </w:pPr>
                  <w:r>
                    <w:t>Within 1 year</w:t>
                  </w:r>
                </w:p>
              </w:tc>
              <w:tc>
                <w:tcPr>
                  <w:tcW w:w="1249" w:type="pct"/>
                  <w:tcBorders>
                    <w:top w:val="single" w:sz="6" w:space="0" w:color="BFBFBF"/>
                  </w:tcBorders>
                </w:tcPr>
                <w:p w:rsidR="0044059B" w:rsidRDefault="00617DD2" w:rsidP="00962200">
                  <w:pPr>
                    <w:pStyle w:val="TableBodyText"/>
                    <w:spacing w:before="40"/>
                    <w:ind w:right="28"/>
                  </w:pPr>
                  <w:r>
                    <w:noBreakHyphen/>
                  </w:r>
                  <w:r w:rsidR="0044059B">
                    <w:t>28</w:t>
                  </w:r>
                </w:p>
              </w:tc>
              <w:tc>
                <w:tcPr>
                  <w:tcW w:w="917" w:type="pct"/>
                  <w:tcBorders>
                    <w:top w:val="single" w:sz="6" w:space="0" w:color="BFBFBF"/>
                  </w:tcBorders>
                </w:tcPr>
                <w:p w:rsidR="0044059B" w:rsidRDefault="0044059B" w:rsidP="00962200">
                  <w:pPr>
                    <w:pStyle w:val="TableBodyText"/>
                    <w:spacing w:before="40"/>
                    <w:ind w:right="28"/>
                  </w:pPr>
                  <w:r>
                    <w:t>15</w:t>
                  </w:r>
                </w:p>
              </w:tc>
            </w:tr>
            <w:tr w:rsidR="00815DC3" w:rsidTr="00962200">
              <w:tc>
                <w:tcPr>
                  <w:tcW w:w="2834" w:type="pct"/>
                  <w:shd w:val="pct5" w:color="auto" w:fill="auto"/>
                </w:tcPr>
                <w:p w:rsidR="00815DC3" w:rsidRDefault="00815DC3" w:rsidP="00815DC3">
                  <w:pPr>
                    <w:pStyle w:val="TableBodyText"/>
                    <w:jc w:val="left"/>
                  </w:pPr>
                  <w:r>
                    <w:t>1</w:t>
                  </w:r>
                </w:p>
              </w:tc>
              <w:tc>
                <w:tcPr>
                  <w:tcW w:w="1249" w:type="pct"/>
                  <w:shd w:val="pct5" w:color="auto" w:fill="auto"/>
                </w:tcPr>
                <w:p w:rsidR="00815DC3" w:rsidRDefault="00617DD2" w:rsidP="00815DC3">
                  <w:pPr>
                    <w:pStyle w:val="TableBodyText"/>
                    <w:ind w:right="28"/>
                  </w:pPr>
                  <w:r>
                    <w:noBreakHyphen/>
                  </w:r>
                  <w:r w:rsidR="0044059B">
                    <w:t>12</w:t>
                  </w:r>
                </w:p>
              </w:tc>
              <w:tc>
                <w:tcPr>
                  <w:tcW w:w="917" w:type="pct"/>
                  <w:shd w:val="pct5" w:color="auto" w:fill="auto"/>
                </w:tcPr>
                <w:p w:rsidR="00815DC3" w:rsidRDefault="00815DC3" w:rsidP="00815DC3">
                  <w:pPr>
                    <w:pStyle w:val="TableBodyText"/>
                    <w:ind w:right="28"/>
                  </w:pPr>
                  <w:r>
                    <w:t>44</w:t>
                  </w:r>
                </w:p>
              </w:tc>
            </w:tr>
            <w:tr w:rsidR="00815DC3" w:rsidTr="00962200">
              <w:tc>
                <w:tcPr>
                  <w:tcW w:w="2834" w:type="pct"/>
                  <w:shd w:val="clear" w:color="auto" w:fill="auto"/>
                </w:tcPr>
                <w:p w:rsidR="00815DC3" w:rsidRDefault="00815DC3" w:rsidP="00815DC3">
                  <w:pPr>
                    <w:pStyle w:val="TableBodyText"/>
                    <w:jc w:val="left"/>
                  </w:pPr>
                  <w:r>
                    <w:t>2</w:t>
                  </w:r>
                </w:p>
              </w:tc>
              <w:tc>
                <w:tcPr>
                  <w:tcW w:w="1249" w:type="pct"/>
                </w:tcPr>
                <w:p w:rsidR="00815DC3" w:rsidRDefault="00617DD2" w:rsidP="00815DC3">
                  <w:pPr>
                    <w:pStyle w:val="TableBodyText"/>
                    <w:ind w:right="28"/>
                  </w:pPr>
                  <w:r>
                    <w:noBreakHyphen/>
                  </w:r>
                  <w:r w:rsidR="0044059B">
                    <w:t>70</w:t>
                  </w:r>
                </w:p>
              </w:tc>
              <w:tc>
                <w:tcPr>
                  <w:tcW w:w="917" w:type="pct"/>
                  <w:shd w:val="clear" w:color="auto" w:fill="auto"/>
                </w:tcPr>
                <w:p w:rsidR="00815DC3" w:rsidRDefault="0051619C" w:rsidP="00815DC3">
                  <w:pPr>
                    <w:pStyle w:val="TableBodyText"/>
                    <w:ind w:right="28"/>
                  </w:pPr>
                  <w:r>
                    <w:t>5</w:t>
                  </w:r>
                </w:p>
              </w:tc>
            </w:tr>
            <w:tr w:rsidR="00815DC3" w:rsidTr="00962200">
              <w:tc>
                <w:tcPr>
                  <w:tcW w:w="2834" w:type="pct"/>
                  <w:shd w:val="pct5" w:color="auto" w:fill="auto"/>
                </w:tcPr>
                <w:p w:rsidR="00815DC3" w:rsidRDefault="00815DC3" w:rsidP="00815DC3">
                  <w:pPr>
                    <w:pStyle w:val="TableBodyText"/>
                    <w:jc w:val="left"/>
                  </w:pPr>
                  <w:r>
                    <w:t>3</w:t>
                  </w:r>
                </w:p>
              </w:tc>
              <w:tc>
                <w:tcPr>
                  <w:tcW w:w="1249" w:type="pct"/>
                  <w:shd w:val="pct5" w:color="auto" w:fill="auto"/>
                </w:tcPr>
                <w:p w:rsidR="00815DC3" w:rsidRDefault="00617DD2" w:rsidP="00815DC3">
                  <w:pPr>
                    <w:pStyle w:val="TableBodyText"/>
                    <w:ind w:right="28"/>
                  </w:pPr>
                  <w:r>
                    <w:noBreakHyphen/>
                  </w:r>
                  <w:r w:rsidR="00815DC3">
                    <w:t>1</w:t>
                  </w:r>
                  <w:r w:rsidR="0044059B">
                    <w:t>96</w:t>
                  </w:r>
                </w:p>
              </w:tc>
              <w:tc>
                <w:tcPr>
                  <w:tcW w:w="917" w:type="pct"/>
                  <w:shd w:val="pct5" w:color="auto" w:fill="auto"/>
                </w:tcPr>
                <w:p w:rsidR="00815DC3" w:rsidRDefault="00815DC3" w:rsidP="00815DC3">
                  <w:pPr>
                    <w:pStyle w:val="TableBodyText"/>
                    <w:ind w:right="28"/>
                  </w:pPr>
                  <w:r>
                    <w:t>1</w:t>
                  </w:r>
                </w:p>
              </w:tc>
            </w:tr>
            <w:tr w:rsidR="00815DC3" w:rsidTr="00962200">
              <w:tc>
                <w:tcPr>
                  <w:tcW w:w="2834" w:type="pct"/>
                  <w:tcBorders>
                    <w:bottom w:val="single" w:sz="6" w:space="0" w:color="BFBFBF"/>
                  </w:tcBorders>
                  <w:shd w:val="clear" w:color="auto" w:fill="auto"/>
                </w:tcPr>
                <w:p w:rsidR="00815DC3" w:rsidRDefault="00815DC3" w:rsidP="00815DC3">
                  <w:pPr>
                    <w:pStyle w:val="TableBodyText"/>
                    <w:jc w:val="left"/>
                  </w:pPr>
                  <w:r>
                    <w:t>4</w:t>
                  </w:r>
                </w:p>
              </w:tc>
              <w:tc>
                <w:tcPr>
                  <w:tcW w:w="1249" w:type="pct"/>
                  <w:tcBorders>
                    <w:bottom w:val="single" w:sz="6" w:space="0" w:color="BFBFBF"/>
                  </w:tcBorders>
                </w:tcPr>
                <w:p w:rsidR="00815DC3" w:rsidRDefault="00617DD2" w:rsidP="00815DC3">
                  <w:pPr>
                    <w:pStyle w:val="TableBodyText"/>
                    <w:ind w:right="28"/>
                  </w:pPr>
                  <w:r>
                    <w:noBreakHyphen/>
                  </w:r>
                  <w:r w:rsidR="00815DC3">
                    <w:t>1</w:t>
                  </w:r>
                  <w:r w:rsidR="0044059B">
                    <w:t>79</w:t>
                  </w:r>
                </w:p>
              </w:tc>
              <w:tc>
                <w:tcPr>
                  <w:tcW w:w="917" w:type="pct"/>
                  <w:tcBorders>
                    <w:bottom w:val="single" w:sz="6" w:space="0" w:color="BFBFBF"/>
                  </w:tcBorders>
                  <w:shd w:val="clear" w:color="auto" w:fill="auto"/>
                </w:tcPr>
                <w:p w:rsidR="00815DC3" w:rsidRDefault="00815DC3" w:rsidP="00815DC3">
                  <w:pPr>
                    <w:pStyle w:val="TableBodyText"/>
                    <w:ind w:right="28"/>
                  </w:pPr>
                  <w:r>
                    <w:t>2</w:t>
                  </w:r>
                </w:p>
              </w:tc>
            </w:tr>
          </w:tbl>
          <w:p w:rsidR="00815DC3" w:rsidRDefault="00815DC3" w:rsidP="00815DC3">
            <w:pPr>
              <w:pStyle w:val="Box"/>
            </w:pPr>
          </w:p>
        </w:tc>
      </w:tr>
      <w:tr w:rsidR="00815DC3" w:rsidTr="00815DC3">
        <w:tc>
          <w:tcPr>
            <w:tcW w:w="5000" w:type="pct"/>
            <w:tcBorders>
              <w:top w:val="nil"/>
              <w:left w:val="nil"/>
              <w:bottom w:val="nil"/>
              <w:right w:val="nil"/>
            </w:tcBorders>
            <w:shd w:val="clear" w:color="auto" w:fill="auto"/>
          </w:tcPr>
          <w:p w:rsidR="00815DC3" w:rsidRDefault="00815DC3" w:rsidP="0044059B">
            <w:pPr>
              <w:pStyle w:val="Note"/>
              <w:rPr>
                <w:i/>
              </w:rPr>
            </w:pPr>
            <w:r w:rsidRPr="008E77FE">
              <w:rPr>
                <w:rStyle w:val="NoteLabel"/>
              </w:rPr>
              <w:t>a</w:t>
            </w:r>
            <w:r>
              <w:t xml:space="preserve"> </w:t>
            </w:r>
            <w:r w:rsidR="0044059B">
              <w:t xml:space="preserve">The first row corresponds to the intercept, with each subsequent row adding the corresponding dummy variable effect to arrive </w:t>
            </w:r>
            <w:r w:rsidR="00F5474D">
              <w:t xml:space="preserve">at </w:t>
            </w:r>
            <w:r w:rsidR="0044059B">
              <w:t>the averages</w:t>
            </w:r>
            <w:r w:rsidR="00896543">
              <w:t>.</w:t>
            </w:r>
          </w:p>
        </w:tc>
      </w:tr>
      <w:tr w:rsidR="00815DC3" w:rsidTr="00815DC3">
        <w:tc>
          <w:tcPr>
            <w:tcW w:w="5000" w:type="pct"/>
            <w:tcBorders>
              <w:top w:val="nil"/>
              <w:left w:val="nil"/>
              <w:bottom w:val="nil"/>
              <w:right w:val="nil"/>
            </w:tcBorders>
            <w:shd w:val="clear" w:color="auto" w:fill="auto"/>
          </w:tcPr>
          <w:p w:rsidR="00815DC3" w:rsidRDefault="00C96AD4" w:rsidP="00815DC3">
            <w:pPr>
              <w:pStyle w:val="Source"/>
            </w:pPr>
            <w:r>
              <w:rPr>
                <w:i/>
              </w:rPr>
              <w:t>Source</w:t>
            </w:r>
            <w:r w:rsidRPr="00167F06">
              <w:t xml:space="preserve">: </w:t>
            </w:r>
            <w:r>
              <w:t>PC analysis of APRA confidential data.</w:t>
            </w:r>
          </w:p>
        </w:tc>
      </w:tr>
      <w:tr w:rsidR="00815DC3" w:rsidTr="00815DC3">
        <w:tc>
          <w:tcPr>
            <w:tcW w:w="5000" w:type="pct"/>
            <w:tcBorders>
              <w:top w:val="nil"/>
              <w:left w:val="nil"/>
              <w:bottom w:val="single" w:sz="6" w:space="0" w:color="78A22F"/>
              <w:right w:val="nil"/>
            </w:tcBorders>
            <w:shd w:val="clear" w:color="auto" w:fill="auto"/>
          </w:tcPr>
          <w:p w:rsidR="00815DC3" w:rsidRDefault="00815DC3" w:rsidP="00815DC3">
            <w:pPr>
              <w:pStyle w:val="Box"/>
              <w:spacing w:before="0" w:line="120" w:lineRule="exact"/>
            </w:pPr>
          </w:p>
        </w:tc>
      </w:tr>
      <w:tr w:rsidR="00815DC3" w:rsidRPr="000863A5" w:rsidTr="00815DC3">
        <w:tc>
          <w:tcPr>
            <w:tcW w:w="5000" w:type="pct"/>
            <w:tcBorders>
              <w:top w:val="single" w:sz="6" w:space="0" w:color="78A22F"/>
              <w:left w:val="nil"/>
              <w:bottom w:val="nil"/>
              <w:right w:val="nil"/>
            </w:tcBorders>
          </w:tcPr>
          <w:p w:rsidR="00815DC3" w:rsidRPr="00626D32" w:rsidRDefault="00815DC3" w:rsidP="00815DC3">
            <w:pPr>
              <w:pStyle w:val="BoxSpaceBelow"/>
            </w:pPr>
          </w:p>
        </w:tc>
      </w:tr>
    </w:tbl>
    <w:p w:rsidR="000A5A7D" w:rsidRDefault="001B0603" w:rsidP="0077392D">
      <w:pPr>
        <w:pStyle w:val="Heading5"/>
      </w:pPr>
      <w:r>
        <w:t>Related parties</w:t>
      </w:r>
    </w:p>
    <w:p w:rsidR="00BE7923" w:rsidRDefault="00CF6204" w:rsidP="001B0603">
      <w:pPr>
        <w:pStyle w:val="BodyText"/>
      </w:pPr>
      <w:r>
        <w:t>The</w:t>
      </w:r>
      <w:r w:rsidR="0048081E">
        <w:t xml:space="preserve"> Commission sought to identify if there was </w:t>
      </w:r>
      <w:r>
        <w:t>a</w:t>
      </w:r>
      <w:r w:rsidR="0048081E">
        <w:t xml:space="preserve"> distinguishable </w:t>
      </w:r>
      <w:r>
        <w:t xml:space="preserve">association between the use of related parties and the residual. This would be an indirect association, since any impact of using related parties on administration or </w:t>
      </w:r>
      <w:r w:rsidR="00903E6F">
        <w:t xml:space="preserve">reported </w:t>
      </w:r>
      <w:r>
        <w:t xml:space="preserve">investment expenses would already have been adjusted for </w:t>
      </w:r>
      <w:r w:rsidR="004E40C5">
        <w:t xml:space="preserve">directly </w:t>
      </w:r>
      <w:r>
        <w:t xml:space="preserve">(and not in the residual). </w:t>
      </w:r>
      <w:r w:rsidR="00B1714B">
        <w:t>It could arise where use of related parties is associated with higher indirect investment expenses, or with a fund’s asset selection (within asset classes). To the extent that</w:t>
      </w:r>
      <w:r w:rsidR="00BE7923">
        <w:t xml:space="preserve"> use of related parties </w:t>
      </w:r>
      <w:r w:rsidR="00B1714B">
        <w:t>reflects</w:t>
      </w:r>
      <w:r w:rsidR="00BE7923">
        <w:t xml:space="preserve"> poorer governance, then </w:t>
      </w:r>
      <w:r w:rsidR="004E40C5">
        <w:t>poor governance</w:t>
      </w:r>
      <w:r w:rsidR="00BE7923">
        <w:t xml:space="preserve"> may </w:t>
      </w:r>
      <w:r w:rsidR="00B1714B">
        <w:t xml:space="preserve">be </w:t>
      </w:r>
      <w:r w:rsidR="00BE7923">
        <w:t>correlate</w:t>
      </w:r>
      <w:r w:rsidR="00B1714B">
        <w:t>d</w:t>
      </w:r>
      <w:r w:rsidR="00BE7923">
        <w:t xml:space="preserve"> with residuals.</w:t>
      </w:r>
    </w:p>
    <w:p w:rsidR="00806711" w:rsidRDefault="00BE7923" w:rsidP="00BE7923">
      <w:pPr>
        <w:pStyle w:val="BodyText"/>
      </w:pPr>
      <w:r>
        <w:t>Table</w:t>
      </w:r>
      <w:r w:rsidR="00617DD2">
        <w:t> </w:t>
      </w:r>
      <w:r w:rsidR="00B1714B">
        <w:t>4</w:t>
      </w:r>
      <w:r>
        <w:t xml:space="preserve"> presents regression analysis of residuals and </w:t>
      </w:r>
      <w:r w:rsidR="007362AA">
        <w:t>calculated service provider expense ratios</w:t>
      </w:r>
      <w:r w:rsidR="00B1714B">
        <w:t xml:space="preserve"> (expenses divided by total fund assets), based on APRA data.</w:t>
      </w:r>
      <w:r>
        <w:t xml:space="preserve"> </w:t>
      </w:r>
      <w:r w:rsidR="00806711">
        <w:t>Expense ratios are used to avoid the problem that larger expenses are likely to be associated with larger funds. The results</w:t>
      </w:r>
      <w:r w:rsidR="003719B5">
        <w:t xml:space="preserve"> </w:t>
      </w:r>
      <w:r w:rsidR="001E5568">
        <w:t xml:space="preserve">suggest </w:t>
      </w:r>
      <w:r w:rsidR="00806711">
        <w:t xml:space="preserve">that increased usage of </w:t>
      </w:r>
      <w:r w:rsidR="00B1714B">
        <w:t>related party service</w:t>
      </w:r>
      <w:r w:rsidR="00806711">
        <w:t xml:space="preserve"> providers is </w:t>
      </w:r>
      <w:r w:rsidR="0042735B">
        <w:t>associated</w:t>
      </w:r>
      <w:r w:rsidR="00806711">
        <w:t xml:space="preserve"> with more negative residuals. The effects are statistically significant at </w:t>
      </w:r>
      <w:r w:rsidR="00B1714B">
        <w:t>the</w:t>
      </w:r>
      <w:r w:rsidR="00806711">
        <w:t xml:space="preserve"> 90</w:t>
      </w:r>
      <w:r w:rsidR="00B1714B">
        <w:t> per cent level</w:t>
      </w:r>
      <w:r w:rsidR="00806711">
        <w:t xml:space="preserve">. An increase in </w:t>
      </w:r>
      <w:r w:rsidR="00B1714B">
        <w:t xml:space="preserve">related party </w:t>
      </w:r>
      <w:r w:rsidR="00806711">
        <w:t xml:space="preserve">service provider expense ratios by 20 basis points (a relatively large </w:t>
      </w:r>
      <w:r w:rsidR="00806711">
        <w:lastRenderedPageBreak/>
        <w:t xml:space="preserve">increase </w:t>
      </w:r>
      <w:r w:rsidR="00892715">
        <w:t>according to</w:t>
      </w:r>
      <w:r w:rsidR="00B1714B">
        <w:t xml:space="preserve"> </w:t>
      </w:r>
      <w:r w:rsidR="00806711">
        <w:t xml:space="preserve">the standard deviation) is associated with a </w:t>
      </w:r>
      <w:r w:rsidR="00C61CE1">
        <w:t>20</w:t>
      </w:r>
      <w:r w:rsidR="00806711">
        <w:t xml:space="preserve"> basis point decrease in the residual.</w:t>
      </w:r>
      <w:r w:rsidR="001E5568">
        <w:t xml:space="preserve"> However, gaps and inconsistencies in the expenses data (especially expenses by related parties) means that these results could </w:t>
      </w:r>
      <w:r w:rsidR="007F2EB4">
        <w:t xml:space="preserve">possibly </w:t>
      </w:r>
      <w:r w:rsidR="001E5568">
        <w:t xml:space="preserve">be driven by </w:t>
      </w:r>
      <w:r w:rsidR="00DF5145">
        <w:t>measurement error.</w:t>
      </w:r>
    </w:p>
    <w:p w:rsidR="001C2B68" w:rsidRDefault="00F5474D" w:rsidP="00BE7923">
      <w:pPr>
        <w:pStyle w:val="BodyText"/>
      </w:pPr>
      <w:r>
        <w:t xml:space="preserve">Table 4 </w:t>
      </w:r>
      <w:r w:rsidR="00A0353F">
        <w:t xml:space="preserve">also </w:t>
      </w:r>
      <w:r>
        <w:t>shows </w:t>
      </w:r>
      <w:r w:rsidR="00B1714B">
        <w:t>the effects for the retail and not</w:t>
      </w:r>
      <w:r w:rsidR="00B1714B">
        <w:noBreakHyphen/>
        <w:t>for</w:t>
      </w:r>
      <w:r w:rsidR="00B1714B">
        <w:noBreakHyphen/>
        <w:t>profit segments</w:t>
      </w:r>
      <w:r>
        <w:t xml:space="preserve">, although it should be noted that small sample sizes make it difficult to separate out these effects. </w:t>
      </w:r>
      <w:r w:rsidR="00806711">
        <w:t xml:space="preserve">The results for retail </w:t>
      </w:r>
      <w:r w:rsidR="001C2B68">
        <w:t>funds may seem counterintuitive but are heavily skewed by the small sample of 10 funds</w:t>
      </w:r>
      <w:r w:rsidR="00B1714B">
        <w:t>,</w:t>
      </w:r>
      <w:r w:rsidR="001C2B68">
        <w:t xml:space="preserve"> and in particular </w:t>
      </w:r>
      <w:r w:rsidR="00B1714B">
        <w:t>two</w:t>
      </w:r>
      <w:r w:rsidR="001C2B68">
        <w:t xml:space="preserve"> funds </w:t>
      </w:r>
      <w:r w:rsidR="001245A7">
        <w:t>that</w:t>
      </w:r>
      <w:r w:rsidR="001C2B68">
        <w:t xml:space="preserve"> deviate significantly from the </w:t>
      </w:r>
      <w:r w:rsidR="004E40C5">
        <w:t xml:space="preserve">broader </w:t>
      </w:r>
      <w:r w:rsidR="001C2B68">
        <w:t>trend. The result for not</w:t>
      </w:r>
      <w:r w:rsidR="00B1714B">
        <w:noBreakHyphen/>
      </w:r>
      <w:r w:rsidR="001C2B68">
        <w:t>for</w:t>
      </w:r>
      <w:r w:rsidR="00B1714B">
        <w:noBreakHyphen/>
      </w:r>
      <w:r w:rsidR="001C2B68">
        <w:t xml:space="preserve">profit funds is consistent with the </w:t>
      </w:r>
      <w:r w:rsidR="00B1714B">
        <w:t xml:space="preserve">overall </w:t>
      </w:r>
      <w:r w:rsidR="001C2B68">
        <w:t xml:space="preserve">sample results, although the </w:t>
      </w:r>
      <w:r w:rsidR="00B1714B">
        <w:t>magnitude</w:t>
      </w:r>
      <w:r w:rsidR="001C2B68">
        <w:t xml:space="preserve"> is diminished. </w:t>
      </w:r>
      <w:r w:rsidR="0009750D">
        <w:t>None of the results by segment are statistically significant.</w:t>
      </w:r>
    </w:p>
    <w:p w:rsidR="00BE7923" w:rsidRDefault="00BE7923" w:rsidP="00BE792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E7923" w:rsidTr="006421EB">
        <w:trPr>
          <w:tblHeader/>
        </w:trPr>
        <w:tc>
          <w:tcPr>
            <w:tcW w:w="5000" w:type="pct"/>
            <w:tcBorders>
              <w:top w:val="single" w:sz="6" w:space="0" w:color="78A22F"/>
              <w:left w:val="nil"/>
              <w:bottom w:val="nil"/>
              <w:right w:val="nil"/>
            </w:tcBorders>
            <w:shd w:val="clear" w:color="auto" w:fill="auto"/>
          </w:tcPr>
          <w:p w:rsidR="00BE7923" w:rsidRDefault="00BE7923" w:rsidP="006421EB">
            <w:pPr>
              <w:pStyle w:val="TableTitle"/>
            </w:pPr>
            <w:r>
              <w:rPr>
                <w:b w:val="0"/>
              </w:rPr>
              <w:t xml:space="preserve">Table </w:t>
            </w:r>
            <w:bookmarkStart w:id="30" w:name="OLE_LINK41"/>
            <w:r w:rsidR="001345FE">
              <w:rPr>
                <w:b w:val="0"/>
                <w:noProof/>
              </w:rPr>
              <w:t>4</w:t>
            </w:r>
            <w:bookmarkEnd w:id="30"/>
            <w:r>
              <w:tab/>
              <w:t>Residuals and related party expense</w:t>
            </w:r>
            <w:r w:rsidR="007362AA">
              <w:t xml:space="preserve"> ratios</w:t>
            </w:r>
            <w:r>
              <w:t xml:space="preserve"> </w:t>
            </w:r>
          </w:p>
          <w:p w:rsidR="00BE7923" w:rsidRPr="00784A05" w:rsidRDefault="00B64D27" w:rsidP="006421EB">
            <w:pPr>
              <w:pStyle w:val="Subtitle"/>
            </w:pPr>
            <w:r>
              <w:t xml:space="preserve">Residuals calculated over 2005–2017; related party data for </w:t>
            </w:r>
            <w:r w:rsidR="00892715">
              <w:t>2017</w:t>
            </w:r>
          </w:p>
        </w:tc>
      </w:tr>
      <w:tr w:rsidR="00BE7923" w:rsidTr="006421E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285"/>
              <w:gridCol w:w="1422"/>
              <w:gridCol w:w="988"/>
              <w:gridCol w:w="1276"/>
              <w:gridCol w:w="1534"/>
            </w:tblGrid>
            <w:tr w:rsidR="00B64D27" w:rsidTr="00660553">
              <w:trPr>
                <w:tblHeader/>
              </w:trPr>
              <w:tc>
                <w:tcPr>
                  <w:tcW w:w="1931" w:type="pct"/>
                  <w:tcBorders>
                    <w:top w:val="single" w:sz="6" w:space="0" w:color="BFBFBF"/>
                    <w:bottom w:val="single" w:sz="6" w:space="0" w:color="BFBFBF"/>
                  </w:tcBorders>
                  <w:shd w:val="clear" w:color="auto" w:fill="auto"/>
                  <w:tcMar>
                    <w:top w:w="28" w:type="dxa"/>
                  </w:tcMar>
                </w:tcPr>
                <w:p w:rsidR="00B64D27" w:rsidRDefault="00B64D27" w:rsidP="006421EB">
                  <w:pPr>
                    <w:pStyle w:val="TableColumnHeading"/>
                    <w:jc w:val="left"/>
                  </w:pPr>
                  <w:r>
                    <w:t>Coefficient</w:t>
                  </w:r>
                </w:p>
              </w:tc>
              <w:tc>
                <w:tcPr>
                  <w:tcW w:w="836" w:type="pct"/>
                  <w:tcBorders>
                    <w:top w:val="single" w:sz="6" w:space="0" w:color="BFBFBF"/>
                    <w:bottom w:val="single" w:sz="6" w:space="0" w:color="BFBFBF"/>
                  </w:tcBorders>
                </w:tcPr>
                <w:p w:rsidR="00B64D27" w:rsidRDefault="00B64D27" w:rsidP="006421EB">
                  <w:pPr>
                    <w:pStyle w:val="TableColumnHeading"/>
                  </w:pPr>
                  <w:r>
                    <w:t>One standard deviation (bp)</w:t>
                  </w:r>
                </w:p>
              </w:tc>
              <w:tc>
                <w:tcPr>
                  <w:tcW w:w="581" w:type="pct"/>
                  <w:tcBorders>
                    <w:top w:val="single" w:sz="6" w:space="0" w:color="BFBFBF"/>
                    <w:bottom w:val="single" w:sz="6" w:space="0" w:color="BFBFBF"/>
                  </w:tcBorders>
                </w:tcPr>
                <w:p w:rsidR="00B64D27" w:rsidRDefault="00B64D27" w:rsidP="006421EB">
                  <w:pPr>
                    <w:pStyle w:val="TableColumnHeading"/>
                  </w:pPr>
                  <w:r>
                    <w:t>All funds (bp)</w:t>
                  </w:r>
                </w:p>
              </w:tc>
              <w:tc>
                <w:tcPr>
                  <w:tcW w:w="750" w:type="pct"/>
                  <w:tcBorders>
                    <w:top w:val="single" w:sz="6" w:space="0" w:color="BFBFBF"/>
                    <w:bottom w:val="single" w:sz="6" w:space="0" w:color="BFBFBF"/>
                  </w:tcBorders>
                  <w:shd w:val="clear" w:color="auto" w:fill="auto"/>
                </w:tcPr>
                <w:p w:rsidR="00B64D27" w:rsidRDefault="00B64D27" w:rsidP="00660553">
                  <w:pPr>
                    <w:pStyle w:val="TableColumnHeading"/>
                  </w:pPr>
                  <w:r>
                    <w:t>Retail funds only (bp)</w:t>
                  </w:r>
                </w:p>
              </w:tc>
              <w:tc>
                <w:tcPr>
                  <w:tcW w:w="902" w:type="pct"/>
                  <w:tcBorders>
                    <w:top w:val="single" w:sz="6" w:space="0" w:color="BFBFBF"/>
                    <w:bottom w:val="single" w:sz="6" w:space="0" w:color="BFBFBF"/>
                  </w:tcBorders>
                  <w:tcMar>
                    <w:top w:w="28" w:type="dxa"/>
                  </w:tcMar>
                </w:tcPr>
                <w:p w:rsidR="00B64D27" w:rsidRDefault="00B64D27" w:rsidP="00660553">
                  <w:pPr>
                    <w:pStyle w:val="TableColumnHeading"/>
                    <w:ind w:right="28"/>
                  </w:pPr>
                  <w:r>
                    <w:t>Not</w:t>
                  </w:r>
                  <w:r w:rsidR="00617DD2">
                    <w:noBreakHyphen/>
                  </w:r>
                  <w:r>
                    <w:t>for</w:t>
                  </w:r>
                  <w:r w:rsidR="00617DD2">
                    <w:noBreakHyphen/>
                  </w:r>
                  <w:r>
                    <w:t>profit funds only (bp)</w:t>
                  </w:r>
                </w:p>
              </w:tc>
            </w:tr>
            <w:tr w:rsidR="003719B5" w:rsidTr="00660553">
              <w:tc>
                <w:tcPr>
                  <w:tcW w:w="1931" w:type="pct"/>
                  <w:tcBorders>
                    <w:top w:val="single" w:sz="6" w:space="0" w:color="BFBFBF"/>
                  </w:tcBorders>
                  <w:shd w:val="clear" w:color="auto" w:fill="auto"/>
                </w:tcPr>
                <w:p w:rsidR="003719B5" w:rsidRDefault="003719B5" w:rsidP="00660553">
                  <w:pPr>
                    <w:pStyle w:val="TableBodyText"/>
                    <w:spacing w:before="40"/>
                    <w:jc w:val="left"/>
                  </w:pPr>
                  <w:r>
                    <w:t>Increase in non</w:t>
                  </w:r>
                  <w:r w:rsidR="00617DD2">
                    <w:noBreakHyphen/>
                  </w:r>
                  <w:r>
                    <w:t>associated service provider expense ratio by 100 bp</w:t>
                  </w:r>
                </w:p>
              </w:tc>
              <w:tc>
                <w:tcPr>
                  <w:tcW w:w="836" w:type="pct"/>
                  <w:tcBorders>
                    <w:top w:val="single" w:sz="6" w:space="0" w:color="BFBFBF"/>
                  </w:tcBorders>
                  <w:shd w:val="clear" w:color="auto" w:fill="auto"/>
                </w:tcPr>
                <w:p w:rsidR="003719B5" w:rsidRDefault="003719B5" w:rsidP="00660553">
                  <w:pPr>
                    <w:pStyle w:val="TableBodyText"/>
                    <w:spacing w:before="40"/>
                  </w:pPr>
                  <w:r w:rsidRPr="00FA5DC8">
                    <w:t>27</w:t>
                  </w:r>
                </w:p>
              </w:tc>
              <w:tc>
                <w:tcPr>
                  <w:tcW w:w="581" w:type="pct"/>
                  <w:tcBorders>
                    <w:top w:val="single" w:sz="6" w:space="0" w:color="BFBFBF"/>
                  </w:tcBorders>
                  <w:shd w:val="clear" w:color="auto" w:fill="auto"/>
                </w:tcPr>
                <w:p w:rsidR="003719B5" w:rsidRDefault="00617DD2" w:rsidP="00660553">
                  <w:pPr>
                    <w:pStyle w:val="TableBodyText"/>
                    <w:spacing w:before="40"/>
                  </w:pPr>
                  <w:r>
                    <w:noBreakHyphen/>
                  </w:r>
                  <w:r w:rsidR="003719B5" w:rsidRPr="00FA5DC8">
                    <w:t>7</w:t>
                  </w:r>
                </w:p>
              </w:tc>
              <w:tc>
                <w:tcPr>
                  <w:tcW w:w="750" w:type="pct"/>
                  <w:tcBorders>
                    <w:top w:val="single" w:sz="6" w:space="0" w:color="BFBFBF"/>
                  </w:tcBorders>
                  <w:shd w:val="clear" w:color="auto" w:fill="auto"/>
                </w:tcPr>
                <w:p w:rsidR="003719B5" w:rsidRDefault="003719B5" w:rsidP="00660553">
                  <w:pPr>
                    <w:pStyle w:val="TableBodyText"/>
                    <w:spacing w:before="40"/>
                  </w:pPr>
                  <w:r w:rsidRPr="00FA5DC8">
                    <w:t>+113</w:t>
                  </w:r>
                </w:p>
              </w:tc>
              <w:tc>
                <w:tcPr>
                  <w:tcW w:w="902" w:type="pct"/>
                  <w:tcBorders>
                    <w:top w:val="single" w:sz="6" w:space="0" w:color="BFBFBF"/>
                  </w:tcBorders>
                </w:tcPr>
                <w:p w:rsidR="003719B5" w:rsidRDefault="00617DD2" w:rsidP="00660553">
                  <w:pPr>
                    <w:pStyle w:val="TableBodyText"/>
                    <w:spacing w:before="40"/>
                    <w:ind w:right="28"/>
                  </w:pPr>
                  <w:r>
                    <w:noBreakHyphen/>
                  </w:r>
                  <w:r w:rsidR="003719B5">
                    <w:t>21</w:t>
                  </w:r>
                </w:p>
              </w:tc>
            </w:tr>
            <w:tr w:rsidR="003719B5" w:rsidTr="00660553">
              <w:tc>
                <w:tcPr>
                  <w:tcW w:w="1931" w:type="pct"/>
                  <w:tcBorders>
                    <w:bottom w:val="single" w:sz="6" w:space="0" w:color="BFBFBF"/>
                  </w:tcBorders>
                  <w:shd w:val="pct5" w:color="auto" w:fill="auto"/>
                </w:tcPr>
                <w:p w:rsidR="003719B5" w:rsidRDefault="003719B5" w:rsidP="003719B5">
                  <w:pPr>
                    <w:pStyle w:val="TableBodyText"/>
                    <w:jc w:val="left"/>
                  </w:pPr>
                  <w:r>
                    <w:t>Increase in related party service provider expense ratio by 100 bp</w:t>
                  </w:r>
                </w:p>
              </w:tc>
              <w:tc>
                <w:tcPr>
                  <w:tcW w:w="836" w:type="pct"/>
                  <w:tcBorders>
                    <w:bottom w:val="single" w:sz="6" w:space="0" w:color="BFBFBF"/>
                  </w:tcBorders>
                  <w:shd w:val="pct5" w:color="auto" w:fill="auto"/>
                </w:tcPr>
                <w:p w:rsidR="003719B5" w:rsidRDefault="003719B5" w:rsidP="003719B5">
                  <w:pPr>
                    <w:pStyle w:val="TableBodyText"/>
                  </w:pPr>
                  <w:r w:rsidRPr="00FA5DC8">
                    <w:t>23</w:t>
                  </w:r>
                </w:p>
              </w:tc>
              <w:tc>
                <w:tcPr>
                  <w:tcW w:w="581" w:type="pct"/>
                  <w:tcBorders>
                    <w:bottom w:val="single" w:sz="6" w:space="0" w:color="BFBFBF"/>
                  </w:tcBorders>
                  <w:shd w:val="pct5" w:color="auto" w:fill="auto"/>
                </w:tcPr>
                <w:p w:rsidR="003719B5" w:rsidRDefault="00617DD2" w:rsidP="003719B5">
                  <w:pPr>
                    <w:pStyle w:val="TableBodyText"/>
                  </w:pPr>
                  <w:r>
                    <w:noBreakHyphen/>
                  </w:r>
                  <w:r w:rsidR="003719B5" w:rsidRPr="00FA5DC8">
                    <w:t>99*</w:t>
                  </w:r>
                </w:p>
              </w:tc>
              <w:tc>
                <w:tcPr>
                  <w:tcW w:w="750" w:type="pct"/>
                  <w:tcBorders>
                    <w:bottom w:val="single" w:sz="6" w:space="0" w:color="BFBFBF"/>
                  </w:tcBorders>
                  <w:shd w:val="pct5" w:color="auto" w:fill="auto"/>
                </w:tcPr>
                <w:p w:rsidR="003719B5" w:rsidRDefault="003719B5" w:rsidP="00660553">
                  <w:pPr>
                    <w:pStyle w:val="TableBodyText"/>
                  </w:pPr>
                  <w:r w:rsidRPr="00FA5DC8">
                    <w:t>+154</w:t>
                  </w:r>
                </w:p>
              </w:tc>
              <w:tc>
                <w:tcPr>
                  <w:tcW w:w="902" w:type="pct"/>
                  <w:tcBorders>
                    <w:bottom w:val="single" w:sz="6" w:space="0" w:color="BFBFBF"/>
                  </w:tcBorders>
                  <w:shd w:val="pct5" w:color="auto" w:fill="auto"/>
                </w:tcPr>
                <w:p w:rsidR="003719B5" w:rsidRDefault="00617DD2" w:rsidP="00660553">
                  <w:pPr>
                    <w:pStyle w:val="TableBodyText"/>
                    <w:ind w:right="28"/>
                  </w:pPr>
                  <w:r>
                    <w:noBreakHyphen/>
                  </w:r>
                  <w:r w:rsidR="003719B5">
                    <w:t>44</w:t>
                  </w:r>
                </w:p>
              </w:tc>
            </w:tr>
          </w:tbl>
          <w:p w:rsidR="00BE7923" w:rsidRDefault="00BE7923" w:rsidP="006421EB">
            <w:pPr>
              <w:pStyle w:val="Box"/>
            </w:pPr>
          </w:p>
        </w:tc>
      </w:tr>
      <w:tr w:rsidR="00BE7923" w:rsidTr="006421EB">
        <w:tc>
          <w:tcPr>
            <w:tcW w:w="5000" w:type="pct"/>
            <w:tcBorders>
              <w:top w:val="nil"/>
              <w:left w:val="nil"/>
              <w:bottom w:val="nil"/>
              <w:right w:val="nil"/>
            </w:tcBorders>
            <w:shd w:val="clear" w:color="auto" w:fill="auto"/>
          </w:tcPr>
          <w:p w:rsidR="00BE7923" w:rsidRDefault="00BE7923" w:rsidP="006421EB">
            <w:pPr>
              <w:pStyle w:val="Note"/>
              <w:rPr>
                <w:i/>
              </w:rPr>
            </w:pPr>
            <w:r>
              <w:t xml:space="preserve">* denotes significance at </w:t>
            </w:r>
            <w:r w:rsidR="001245A7">
              <w:t xml:space="preserve">the </w:t>
            </w:r>
            <w:r>
              <w:t>9</w:t>
            </w:r>
            <w:r w:rsidR="007362AA">
              <w:t>0</w:t>
            </w:r>
            <w:r w:rsidR="001245A7">
              <w:t>% confidence level.</w:t>
            </w:r>
          </w:p>
        </w:tc>
      </w:tr>
      <w:tr w:rsidR="00BE7923" w:rsidTr="006421EB">
        <w:tc>
          <w:tcPr>
            <w:tcW w:w="5000" w:type="pct"/>
            <w:tcBorders>
              <w:top w:val="nil"/>
              <w:left w:val="nil"/>
              <w:bottom w:val="nil"/>
              <w:right w:val="nil"/>
            </w:tcBorders>
            <w:shd w:val="clear" w:color="auto" w:fill="auto"/>
          </w:tcPr>
          <w:p w:rsidR="00BE7923" w:rsidRDefault="00BE7923" w:rsidP="00A544E8">
            <w:pPr>
              <w:pStyle w:val="Source"/>
            </w:pPr>
            <w:r>
              <w:rPr>
                <w:i/>
              </w:rPr>
              <w:t>Source</w:t>
            </w:r>
            <w:r w:rsidRPr="00167F06">
              <w:t xml:space="preserve">: </w:t>
            </w:r>
            <w:r w:rsidR="00A544E8">
              <w:t>PC analysis of APRA confidential data.</w:t>
            </w:r>
          </w:p>
        </w:tc>
      </w:tr>
      <w:tr w:rsidR="00BE7923" w:rsidTr="006421EB">
        <w:tc>
          <w:tcPr>
            <w:tcW w:w="5000" w:type="pct"/>
            <w:tcBorders>
              <w:top w:val="nil"/>
              <w:left w:val="nil"/>
              <w:bottom w:val="single" w:sz="6" w:space="0" w:color="78A22F"/>
              <w:right w:val="nil"/>
            </w:tcBorders>
            <w:shd w:val="clear" w:color="auto" w:fill="auto"/>
          </w:tcPr>
          <w:p w:rsidR="00BE7923" w:rsidRDefault="00BE7923" w:rsidP="006421EB">
            <w:pPr>
              <w:pStyle w:val="Box"/>
              <w:spacing w:before="0" w:line="120" w:lineRule="exact"/>
            </w:pPr>
          </w:p>
        </w:tc>
      </w:tr>
      <w:tr w:rsidR="00BE7923" w:rsidRPr="000863A5" w:rsidTr="006421EB">
        <w:tc>
          <w:tcPr>
            <w:tcW w:w="5000" w:type="pct"/>
            <w:tcBorders>
              <w:top w:val="single" w:sz="6" w:space="0" w:color="78A22F"/>
              <w:left w:val="nil"/>
              <w:bottom w:val="nil"/>
              <w:right w:val="nil"/>
            </w:tcBorders>
          </w:tcPr>
          <w:p w:rsidR="00BE7923" w:rsidRPr="00626D32" w:rsidRDefault="00BE7923" w:rsidP="006421EB">
            <w:pPr>
              <w:pStyle w:val="BoxSpaceBelow"/>
            </w:pPr>
          </w:p>
        </w:tc>
      </w:tr>
    </w:tbl>
    <w:p w:rsidR="00C0208F" w:rsidRDefault="00B6758B" w:rsidP="001B0603">
      <w:pPr>
        <w:pStyle w:val="BodyText"/>
      </w:pPr>
      <w:r>
        <w:t xml:space="preserve">However, these results are subject to </w:t>
      </w:r>
      <w:r w:rsidR="001C2B68">
        <w:t>significant data limitations</w:t>
      </w:r>
      <w:r>
        <w:t xml:space="preserve">, </w:t>
      </w:r>
      <w:r w:rsidR="00704846">
        <w:t>particularly</w:t>
      </w:r>
      <w:r>
        <w:t xml:space="preserve"> in terms of the quality and completeness of data on related party arrangements. </w:t>
      </w:r>
      <w:r w:rsidR="001245A7">
        <w:t>This paper</w:t>
      </w:r>
      <w:r w:rsidR="00C0208F">
        <w:t xml:space="preserve"> also considers related parties in the context of </w:t>
      </w:r>
      <w:r w:rsidR="00B1714B">
        <w:t xml:space="preserve">the </w:t>
      </w:r>
      <w:r w:rsidR="00C0208F">
        <w:t xml:space="preserve">supplementary survey results, </w:t>
      </w:r>
      <w:r w:rsidR="00B1714B">
        <w:t>set out later</w:t>
      </w:r>
      <w:r w:rsidR="00C0208F">
        <w:t>.</w:t>
      </w:r>
    </w:p>
    <w:p w:rsidR="00426D98" w:rsidRDefault="00426D98" w:rsidP="00296753">
      <w:pPr>
        <w:pStyle w:val="Heading5"/>
        <w:spacing w:before="360"/>
      </w:pPr>
      <w:r>
        <w:t>Fund size</w:t>
      </w:r>
    </w:p>
    <w:p w:rsidR="00426D98" w:rsidRPr="00050CDC" w:rsidRDefault="00426D98" w:rsidP="001B0603">
      <w:pPr>
        <w:pStyle w:val="BodyText"/>
      </w:pPr>
      <w:r>
        <w:t xml:space="preserve">Fund size is one possible reason why residuals differ across funds, since larger funds may have access to greater flexibility in how they implement their investment strategy and greater access to different types of assets. </w:t>
      </w:r>
      <w:r w:rsidR="00EF70E1">
        <w:t>T</w:t>
      </w:r>
      <w:r>
        <w:t>he Commission is examining fund size in a separate analysis of the relationship between returns and size</w:t>
      </w:r>
      <w:r w:rsidR="00564932">
        <w:t>.</w:t>
      </w:r>
      <w:r w:rsidR="003719B5">
        <w:t xml:space="preserve"> </w:t>
      </w:r>
      <w:r w:rsidR="00564932">
        <w:t>T</w:t>
      </w:r>
      <w:r w:rsidR="00EF70E1">
        <w:t xml:space="preserve">hat analysis will be </w:t>
      </w:r>
      <w:r w:rsidR="00564932">
        <w:t>published</w:t>
      </w:r>
      <w:r w:rsidR="00EF70E1">
        <w:t xml:space="preserve"> in </w:t>
      </w:r>
      <w:r w:rsidR="00564932">
        <w:t>the</w:t>
      </w:r>
      <w:r w:rsidR="00B6758B">
        <w:t xml:space="preserve"> supplementary </w:t>
      </w:r>
      <w:r w:rsidR="00EF70E1">
        <w:t>paper</w:t>
      </w:r>
      <w:r>
        <w:t xml:space="preserve"> on economies of scale.</w:t>
      </w:r>
    </w:p>
    <w:p w:rsidR="00021C10" w:rsidRDefault="00E464EA" w:rsidP="00E24608">
      <w:pPr>
        <w:pStyle w:val="Heading4"/>
      </w:pPr>
      <w:r>
        <w:t xml:space="preserve">Absolute performance </w:t>
      </w:r>
      <w:r w:rsidR="003E72F8">
        <w:t xml:space="preserve">decomposition: </w:t>
      </w:r>
      <w:r w:rsidR="00676DA0">
        <w:t xml:space="preserve">across </w:t>
      </w:r>
      <w:r w:rsidR="002E08F1" w:rsidRPr="002E08F1">
        <w:t>MySuper product</w:t>
      </w:r>
      <w:r w:rsidR="003E72F8">
        <w:t>s</w:t>
      </w:r>
    </w:p>
    <w:p w:rsidR="00620556" w:rsidRDefault="00620556" w:rsidP="00620556">
      <w:pPr>
        <w:pStyle w:val="BodyText"/>
      </w:pPr>
      <w:r>
        <w:t>Figure</w:t>
      </w:r>
      <w:r w:rsidR="00617DD2">
        <w:t> </w:t>
      </w:r>
      <w:r w:rsidR="00050CDC">
        <w:t>13</w:t>
      </w:r>
      <w:r w:rsidDel="00E65920">
        <w:t xml:space="preserve"> </w:t>
      </w:r>
      <w:r>
        <w:t>shows a</w:t>
      </w:r>
      <w:r w:rsidR="00E464EA">
        <w:t>n absolute performance</w:t>
      </w:r>
      <w:r>
        <w:t xml:space="preserve"> decomposition </w:t>
      </w:r>
      <w:r w:rsidR="003E72F8">
        <w:t>for</w:t>
      </w:r>
      <w:r>
        <w:t xml:space="preserve"> MySuper product</w:t>
      </w:r>
      <w:r w:rsidR="003E72F8">
        <w:t>s</w:t>
      </w:r>
      <w:r>
        <w:t>. As with the fund</w:t>
      </w:r>
      <w:r w:rsidR="00617DD2">
        <w:noBreakHyphen/>
      </w:r>
      <w:r>
        <w:t>level analysis above, each bar represents the outcomes for a particular product</w:t>
      </w:r>
      <w:r w:rsidR="0074604E">
        <w:t xml:space="preserve"> (this analysis uses fees rather than expenses in the decomposition due to the </w:t>
      </w:r>
      <w:r w:rsidR="006831F8">
        <w:t>availability of</w:t>
      </w:r>
      <w:r w:rsidR="0074604E">
        <w:t xml:space="preserve"> data)</w:t>
      </w:r>
      <w:r>
        <w:t>. Parts of the bar which extend from zero and above are components which contribute to net returns, while parts which extend below zero are components which</w:t>
      </w:r>
      <w:r w:rsidR="00A01624">
        <w:t xml:space="preserve"> subtract from</w:t>
      </w:r>
      <w:r>
        <w:t xml:space="preserve"> net returns. The bars have been ordered from left to right in terms of the total net returns delivered, so that the products with the highest net returns are on the right.</w:t>
      </w:r>
    </w:p>
    <w:p w:rsidR="00021C10" w:rsidRDefault="00021C10" w:rsidP="00021C1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1C10" w:rsidTr="00021C10">
        <w:trPr>
          <w:tblHeader/>
        </w:trPr>
        <w:tc>
          <w:tcPr>
            <w:tcW w:w="5000" w:type="pct"/>
            <w:tcBorders>
              <w:top w:val="single" w:sz="6" w:space="0" w:color="78A22F"/>
              <w:left w:val="nil"/>
              <w:bottom w:val="nil"/>
              <w:right w:val="nil"/>
            </w:tcBorders>
            <w:shd w:val="clear" w:color="auto" w:fill="auto"/>
          </w:tcPr>
          <w:p w:rsidR="00021C10" w:rsidRDefault="00021C10" w:rsidP="00021C10">
            <w:pPr>
              <w:pStyle w:val="FigureTitle"/>
            </w:pPr>
            <w:r w:rsidRPr="00784A05">
              <w:rPr>
                <w:b w:val="0"/>
              </w:rPr>
              <w:t xml:space="preserve">Figure </w:t>
            </w:r>
            <w:bookmarkStart w:id="31" w:name="OLE_LINK3"/>
            <w:r w:rsidR="001345FE">
              <w:rPr>
                <w:b w:val="0"/>
                <w:noProof/>
              </w:rPr>
              <w:t>13</w:t>
            </w:r>
            <w:bookmarkEnd w:id="31"/>
            <w:r>
              <w:tab/>
              <w:t xml:space="preserve">MySuper </w:t>
            </w:r>
            <w:r w:rsidR="00E464EA">
              <w:t>product</w:t>
            </w:r>
            <w:r w:rsidR="00E464EA">
              <w:noBreakHyphen/>
              <w:t xml:space="preserve">level absolute performance </w:t>
            </w:r>
            <w:r w:rsidR="00B504A7">
              <w:t>decomposition</w:t>
            </w:r>
            <w:r w:rsidR="00B504A7">
              <w:rPr>
                <w:rStyle w:val="NoteLabel"/>
                <w:b/>
              </w:rPr>
              <w:t>a,b</w:t>
            </w:r>
          </w:p>
          <w:p w:rsidR="00021C10" w:rsidRPr="000C2842" w:rsidRDefault="00021C10" w:rsidP="00021C10">
            <w:pPr>
              <w:pStyle w:val="Subtitle"/>
              <w:rPr>
                <w:rStyle w:val="DraftingNote"/>
                <w:b w:val="0"/>
                <w:color w:val="auto"/>
                <w:sz w:val="20"/>
                <w:u w:val="none"/>
              </w:rPr>
            </w:pPr>
            <w:r>
              <w:t>2008</w:t>
            </w:r>
            <w:r w:rsidR="00564932">
              <w:t>–</w:t>
            </w:r>
            <w:r>
              <w:t>2018</w:t>
            </w:r>
          </w:p>
        </w:tc>
      </w:tr>
      <w:tr w:rsidR="00021C10" w:rsidTr="00021C1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021C10" w:rsidRPr="00B1465D" w:rsidTr="00021C10">
              <w:trPr>
                <w:tblHeader/>
                <w:jc w:val="center"/>
              </w:trPr>
              <w:tc>
                <w:tcPr>
                  <w:tcW w:w="5000" w:type="pct"/>
                  <w:tcBorders>
                    <w:top w:val="nil"/>
                    <w:bottom w:val="nil"/>
                  </w:tcBorders>
                </w:tcPr>
                <w:p w:rsidR="00021C10" w:rsidRPr="00B1465D" w:rsidRDefault="0047297D" w:rsidP="00021C10">
                  <w:pPr>
                    <w:pStyle w:val="Figure"/>
                    <w:spacing w:before="60" w:after="60"/>
                    <w:rPr>
                      <w:rFonts w:ascii="Arial" w:hAnsi="Arial" w:cs="Arial"/>
                      <w:sz w:val="18"/>
                      <w:szCs w:val="18"/>
                    </w:rPr>
                  </w:pPr>
                  <w:r w:rsidRPr="0047297D">
                    <w:rPr>
                      <w:rFonts w:ascii="Arial" w:hAnsi="Arial" w:cs="Arial"/>
                      <w:noProof/>
                      <w:sz w:val="18"/>
                      <w:szCs w:val="18"/>
                    </w:rPr>
                    <w:drawing>
                      <wp:inline distT="0" distB="0" distL="0" distR="0" wp14:anchorId="1A6F55AA" wp14:editId="3C360F6F">
                        <wp:extent cx="5468879" cy="5873750"/>
                        <wp:effectExtent l="0" t="0" r="0" b="0"/>
                        <wp:docPr id="2" name="Picture 2" descr="This figure shows the contribution of asset allocation, investment fees, administration fees and the residual to total net returns for individual not for profit and retail MySuper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70194" cy="5875162"/>
                                </a:xfrm>
                                <a:prstGeom prst="rect">
                                  <a:avLst/>
                                </a:prstGeom>
                                <a:noFill/>
                                <a:ln>
                                  <a:noFill/>
                                </a:ln>
                              </pic:spPr>
                            </pic:pic>
                          </a:graphicData>
                        </a:graphic>
                      </wp:inline>
                    </w:drawing>
                  </w:r>
                  <w:r w:rsidR="00030F4A" w:rsidRPr="00030F4A">
                    <w:rPr>
                      <w:rFonts w:ascii="Arial" w:hAnsi="Arial" w:cs="Arial"/>
                      <w:sz w:val="18"/>
                      <w:szCs w:val="18"/>
                    </w:rPr>
                    <w:t xml:space="preserve"> </w:t>
                  </w:r>
                </w:p>
                <w:tbl>
                  <w:tblPr>
                    <w:tblW w:w="5000" w:type="pct"/>
                    <w:tblLook w:val="04A0" w:firstRow="1" w:lastRow="0" w:firstColumn="1" w:lastColumn="0" w:noHBand="0" w:noVBand="1"/>
                  </w:tblPr>
                  <w:tblGrid>
                    <w:gridCol w:w="1609"/>
                    <w:gridCol w:w="2788"/>
                    <w:gridCol w:w="1601"/>
                    <w:gridCol w:w="2507"/>
                  </w:tblGrid>
                  <w:tr w:rsidR="00021C10" w:rsidTr="00021C10">
                    <w:trPr>
                      <w:tblHeader/>
                    </w:trPr>
                    <w:tc>
                      <w:tcPr>
                        <w:tcW w:w="946" w:type="pct"/>
                        <w:shd w:val="clear" w:color="auto" w:fill="F2F2F2" w:themeFill="background1" w:themeFillShade="F2"/>
                      </w:tcPr>
                      <w:p w:rsidR="00021C10" w:rsidRDefault="00021C10" w:rsidP="00021C10">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4054" w:type="pct"/>
                        <w:gridSpan w:val="3"/>
                        <w:shd w:val="clear" w:color="auto" w:fill="F2F2F2" w:themeFill="background1" w:themeFillShade="F2"/>
                      </w:tcPr>
                      <w:p w:rsidR="00021C10" w:rsidRDefault="00021C10">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PC analysis of SuperRatings, APRA and financial market index data (various providers).</w:t>
                        </w:r>
                      </w:p>
                    </w:tc>
                  </w:tr>
                  <w:tr w:rsidR="00021C10" w:rsidTr="00021C10">
                    <w:tc>
                      <w:tcPr>
                        <w:tcW w:w="946" w:type="pct"/>
                        <w:shd w:val="clear" w:color="auto" w:fill="F2F2F2" w:themeFill="background1" w:themeFillShade="F2"/>
                      </w:tcPr>
                      <w:p w:rsidR="00021C10" w:rsidRDefault="00021C10" w:rsidP="00021C10">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Benchmark</w:t>
                        </w:r>
                      </w:p>
                    </w:tc>
                    <w:tc>
                      <w:tcPr>
                        <w:tcW w:w="4054" w:type="pct"/>
                        <w:gridSpan w:val="3"/>
                        <w:shd w:val="clear" w:color="auto" w:fill="F2F2F2" w:themeFill="background1" w:themeFillShade="F2"/>
                      </w:tcPr>
                      <w:p w:rsidR="00021C10" w:rsidRDefault="00021C10">
                        <w:pPr>
                          <w:pStyle w:val="Figure"/>
                          <w:spacing w:before="0" w:after="0"/>
                          <w:jc w:val="left"/>
                          <w:rPr>
                            <w:rFonts w:ascii="Arial" w:hAnsi="Arial" w:cs="Arial"/>
                            <w:sz w:val="18"/>
                            <w:szCs w:val="18"/>
                          </w:rPr>
                        </w:pPr>
                        <w:r>
                          <w:rPr>
                            <w:rFonts w:ascii="Arial" w:hAnsi="Arial" w:cs="Arial"/>
                            <w:sz w:val="18"/>
                            <w:szCs w:val="18"/>
                          </w:rPr>
                          <w:t>Product</w:t>
                        </w:r>
                        <w:r w:rsidR="00617DD2">
                          <w:rPr>
                            <w:rFonts w:ascii="Arial" w:hAnsi="Arial" w:cs="Arial"/>
                            <w:sz w:val="18"/>
                            <w:szCs w:val="18"/>
                          </w:rPr>
                          <w:noBreakHyphen/>
                        </w:r>
                        <w:r>
                          <w:rPr>
                            <w:rFonts w:ascii="Arial" w:hAnsi="Arial" w:cs="Arial"/>
                            <w:sz w:val="18"/>
                            <w:szCs w:val="18"/>
                          </w:rPr>
                          <w:t>tailored BP2</w:t>
                        </w:r>
                        <w:r w:rsidR="001245A7">
                          <w:rPr>
                            <w:rFonts w:ascii="Arial" w:hAnsi="Arial" w:cs="Arial"/>
                            <w:sz w:val="18"/>
                            <w:szCs w:val="18"/>
                          </w:rPr>
                          <w:t>.</w:t>
                        </w:r>
                      </w:p>
                    </w:tc>
                  </w:tr>
                  <w:tr w:rsidR="00021C10" w:rsidRPr="0032089A" w:rsidTr="00021C10">
                    <w:tc>
                      <w:tcPr>
                        <w:tcW w:w="946" w:type="pct"/>
                        <w:shd w:val="clear" w:color="auto" w:fill="F2F2F2" w:themeFill="background1" w:themeFillShade="F2"/>
                      </w:tcPr>
                      <w:p w:rsidR="00021C10" w:rsidRDefault="00021C10" w:rsidP="00021C10">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4054" w:type="pct"/>
                        <w:gridSpan w:val="3"/>
                        <w:shd w:val="clear" w:color="auto" w:fill="F2F2F2" w:themeFill="background1" w:themeFillShade="F2"/>
                      </w:tcPr>
                      <w:p w:rsidR="00021C10" w:rsidRPr="0032089A" w:rsidRDefault="00021C10" w:rsidP="00021C10">
                        <w:pPr>
                          <w:pStyle w:val="NormalWeb"/>
                          <w:rPr>
                            <w:color w:val="000000" w:themeColor="text1"/>
                            <w:sz w:val="18"/>
                            <w:szCs w:val="18"/>
                          </w:rPr>
                        </w:pPr>
                        <w:r>
                          <w:rPr>
                            <w:rFonts w:asciiTheme="minorHAnsi" w:hAnsi="Arial" w:cstheme="minorBidi"/>
                            <w:color w:val="000000" w:themeColor="text1"/>
                            <w:kern w:val="24"/>
                            <w:sz w:val="18"/>
                            <w:szCs w:val="18"/>
                          </w:rPr>
                          <w:t xml:space="preserve">53 of </w:t>
                        </w:r>
                        <w:r w:rsidR="00B504A7">
                          <w:rPr>
                            <w:rFonts w:asciiTheme="minorHAnsi" w:hAnsi="Arial" w:cstheme="minorBidi"/>
                            <w:color w:val="000000" w:themeColor="text1"/>
                            <w:kern w:val="24"/>
                            <w:sz w:val="18"/>
                            <w:szCs w:val="18"/>
                          </w:rPr>
                          <w:t>105</w:t>
                        </w:r>
                        <w:r>
                          <w:rPr>
                            <w:rFonts w:asciiTheme="minorHAnsi" w:hAnsi="Arial" w:cstheme="minorBidi"/>
                            <w:color w:val="000000" w:themeColor="text1"/>
                            <w:kern w:val="24"/>
                            <w:sz w:val="18"/>
                            <w:szCs w:val="18"/>
                          </w:rPr>
                          <w:t xml:space="preserve"> current MySuper options covering </w:t>
                        </w:r>
                        <w:r w:rsidR="00B660DB">
                          <w:rPr>
                            <w:rFonts w:asciiTheme="minorHAnsi" w:hAnsi="Arial" w:cstheme="minorBidi"/>
                            <w:color w:val="000000" w:themeColor="text1"/>
                            <w:kern w:val="24"/>
                            <w:sz w:val="18"/>
                            <w:szCs w:val="18"/>
                          </w:rPr>
                          <w:t xml:space="preserve">76% of member accounts and 75% </w:t>
                        </w:r>
                        <w:r>
                          <w:rPr>
                            <w:rFonts w:asciiTheme="minorHAnsi" w:hAnsi="Arial" w:cstheme="minorBidi"/>
                            <w:color w:val="000000" w:themeColor="text1"/>
                            <w:kern w:val="24"/>
                            <w:sz w:val="18"/>
                            <w:szCs w:val="18"/>
                          </w:rPr>
                          <w:t xml:space="preserve">of assets in all MySuper products as at </w:t>
                        </w:r>
                        <w:r w:rsidR="00B504A7">
                          <w:rPr>
                            <w:rFonts w:asciiTheme="minorHAnsi" w:hAnsi="Arial" w:cstheme="minorBidi"/>
                            <w:color w:val="000000" w:themeColor="text1"/>
                            <w:kern w:val="24"/>
                            <w:sz w:val="18"/>
                            <w:szCs w:val="18"/>
                          </w:rPr>
                          <w:t xml:space="preserve">June </w:t>
                        </w:r>
                        <w:r>
                          <w:rPr>
                            <w:rFonts w:asciiTheme="minorHAnsi" w:hAnsi="Arial" w:cstheme="minorBidi"/>
                            <w:color w:val="000000" w:themeColor="text1"/>
                            <w:kern w:val="24"/>
                            <w:sz w:val="18"/>
                            <w:szCs w:val="18"/>
                          </w:rPr>
                          <w:t>201</w:t>
                        </w:r>
                        <w:r w:rsidR="00B504A7">
                          <w:rPr>
                            <w:rFonts w:asciiTheme="minorHAnsi" w:hAnsi="Arial" w:cstheme="minorBidi"/>
                            <w:color w:val="000000" w:themeColor="text1"/>
                            <w:kern w:val="24"/>
                            <w:sz w:val="18"/>
                            <w:szCs w:val="18"/>
                          </w:rPr>
                          <w:t>8</w:t>
                        </w:r>
                        <w:r>
                          <w:rPr>
                            <w:rFonts w:asciiTheme="minorHAnsi" w:hAnsi="Arial" w:cstheme="minorBidi"/>
                            <w:color w:val="000000" w:themeColor="text1"/>
                            <w:kern w:val="24"/>
                            <w:sz w:val="18"/>
                            <w:szCs w:val="18"/>
                          </w:rPr>
                          <w:t>.</w:t>
                        </w:r>
                      </w:p>
                    </w:tc>
                  </w:tr>
                  <w:tr w:rsidR="00021C10" w:rsidDel="009516F9" w:rsidTr="00021C10">
                    <w:tc>
                      <w:tcPr>
                        <w:tcW w:w="946" w:type="pct"/>
                        <w:shd w:val="clear" w:color="auto" w:fill="F2F2F2" w:themeFill="background1" w:themeFillShade="F2"/>
                      </w:tcPr>
                      <w:p w:rsidR="00021C10" w:rsidRPr="00311D4D" w:rsidRDefault="00021C10" w:rsidP="00021C10">
                        <w:pPr>
                          <w:pStyle w:val="Figure"/>
                          <w:spacing w:before="0" w:after="0"/>
                          <w:jc w:val="left"/>
                          <w:rPr>
                            <w:rFonts w:ascii="Arial" w:hAnsi="Arial" w:cs="Arial"/>
                            <w:b/>
                            <w:sz w:val="18"/>
                            <w:szCs w:val="18"/>
                          </w:rPr>
                        </w:pPr>
                        <w:r w:rsidRPr="005F68B0">
                          <w:rPr>
                            <w:rFonts w:ascii="Arial" w:hAnsi="Arial" w:cs="Arial"/>
                            <w:b/>
                            <w:sz w:val="18"/>
                            <w:szCs w:val="18"/>
                          </w:rPr>
                          <w:t>Survivor bias</w:t>
                        </w:r>
                      </w:p>
                    </w:tc>
                    <w:tc>
                      <w:tcPr>
                        <w:tcW w:w="1639" w:type="pct"/>
                        <w:shd w:val="clear" w:color="auto" w:fill="F2F2F2" w:themeFill="background1" w:themeFillShade="F2"/>
                      </w:tcPr>
                      <w:p w:rsidR="00021C10" w:rsidDel="009516F9" w:rsidRDefault="00021C10" w:rsidP="00021C10">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r w:rsidR="00B504A7">
                          <w:rPr>
                            <w:rFonts w:asciiTheme="minorHAnsi" w:hAnsi="Arial" w:cstheme="minorBidi"/>
                            <w:color w:val="000000" w:themeColor="text1"/>
                            <w:kern w:val="24"/>
                            <w:sz w:val="18"/>
                            <w:szCs w:val="18"/>
                          </w:rPr>
                          <w:t>.</w:t>
                        </w:r>
                      </w:p>
                    </w:tc>
                    <w:tc>
                      <w:tcPr>
                        <w:tcW w:w="941" w:type="pct"/>
                        <w:shd w:val="clear" w:color="auto" w:fill="F2F2F2" w:themeFill="background1" w:themeFillShade="F2"/>
                      </w:tcPr>
                      <w:p w:rsidR="00021C10" w:rsidRPr="005F68B0" w:rsidDel="009516F9" w:rsidRDefault="00021C10" w:rsidP="00021C10">
                        <w:pPr>
                          <w:pStyle w:val="Figure"/>
                          <w:spacing w:before="0" w:after="0"/>
                          <w:jc w:val="left"/>
                          <w:rPr>
                            <w:rFonts w:asciiTheme="minorHAnsi" w:hAnsi="Arial" w:cstheme="minorBidi"/>
                            <w:b/>
                            <w:color w:val="000000" w:themeColor="text1"/>
                            <w:kern w:val="24"/>
                            <w:sz w:val="18"/>
                            <w:szCs w:val="18"/>
                          </w:rPr>
                        </w:pPr>
                        <w:r w:rsidRPr="005F68B0">
                          <w:rPr>
                            <w:rFonts w:asciiTheme="minorHAnsi" w:hAnsi="Arial" w:cstheme="minorBidi"/>
                            <w:b/>
                            <w:color w:val="000000" w:themeColor="text1"/>
                            <w:kern w:val="24"/>
                            <w:sz w:val="18"/>
                            <w:szCs w:val="18"/>
                          </w:rPr>
                          <w:t>Selection bias</w:t>
                        </w:r>
                      </w:p>
                    </w:tc>
                    <w:tc>
                      <w:tcPr>
                        <w:tcW w:w="1474" w:type="pct"/>
                        <w:shd w:val="clear" w:color="auto" w:fill="F2F2F2" w:themeFill="background1" w:themeFillShade="F2"/>
                      </w:tcPr>
                      <w:p w:rsidR="00021C10" w:rsidDel="009516F9" w:rsidRDefault="00021C10" w:rsidP="00021C10">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p>
                    </w:tc>
                  </w:tr>
                </w:tbl>
                <w:p w:rsidR="00021C10" w:rsidRPr="00B1465D" w:rsidRDefault="00021C10" w:rsidP="00021C10">
                  <w:pPr>
                    <w:pStyle w:val="Figure"/>
                    <w:spacing w:before="60" w:after="60"/>
                    <w:rPr>
                      <w:rFonts w:ascii="Arial" w:hAnsi="Arial" w:cs="Arial"/>
                      <w:sz w:val="18"/>
                      <w:szCs w:val="18"/>
                    </w:rPr>
                  </w:pPr>
                </w:p>
              </w:tc>
            </w:tr>
          </w:tbl>
          <w:p w:rsidR="00021C10" w:rsidRDefault="00021C10" w:rsidP="00021C10">
            <w:pPr>
              <w:pStyle w:val="Figure"/>
            </w:pPr>
          </w:p>
        </w:tc>
      </w:tr>
      <w:tr w:rsidR="00021C10" w:rsidRPr="00176D3F" w:rsidTr="00021C10">
        <w:tc>
          <w:tcPr>
            <w:tcW w:w="5000" w:type="pct"/>
            <w:tcBorders>
              <w:top w:val="nil"/>
              <w:left w:val="nil"/>
              <w:bottom w:val="nil"/>
              <w:right w:val="nil"/>
            </w:tcBorders>
            <w:shd w:val="clear" w:color="auto" w:fill="auto"/>
          </w:tcPr>
          <w:p w:rsidR="00021C10" w:rsidRPr="00176D3F" w:rsidRDefault="00021C10" w:rsidP="00B2708B">
            <w:pPr>
              <w:pStyle w:val="Note"/>
            </w:pPr>
            <w:r>
              <w:rPr>
                <w:rStyle w:val="NoteLabel"/>
              </w:rPr>
              <w:t>a</w:t>
            </w:r>
            <w:r>
              <w:t xml:space="preserve"> </w:t>
            </w:r>
            <w:r w:rsidR="008C4B99">
              <w:t xml:space="preserve">Administration fees are calculated as those charged on a $50 000 balance. </w:t>
            </w:r>
            <w:r w:rsidR="00B504A7">
              <w:rPr>
                <w:rStyle w:val="NoteLabel"/>
              </w:rPr>
              <w:t>b</w:t>
            </w:r>
            <w:r w:rsidR="00B504A7">
              <w:t xml:space="preserve"> Current MySuper products were connected with pre</w:t>
            </w:r>
            <w:r w:rsidR="00617DD2">
              <w:noBreakHyphen/>
            </w:r>
            <w:r w:rsidR="00B504A7">
              <w:t>cursors with the support of SuperRatings where requested. 15 life</w:t>
            </w:r>
            <w:r w:rsidR="00617DD2">
              <w:noBreakHyphen/>
            </w:r>
            <w:r w:rsidR="00B504A7">
              <w:t xml:space="preserve">cycle products are represented by their largest ‘balanced’ (according to SuperRatings definitions) </w:t>
            </w:r>
            <w:r w:rsidR="00AA1929">
              <w:t>stage.</w:t>
            </w:r>
          </w:p>
        </w:tc>
      </w:tr>
      <w:tr w:rsidR="00021C10" w:rsidTr="00021C10">
        <w:tc>
          <w:tcPr>
            <w:tcW w:w="5000" w:type="pct"/>
            <w:tcBorders>
              <w:top w:val="nil"/>
              <w:left w:val="nil"/>
              <w:bottom w:val="single" w:sz="6" w:space="0" w:color="78A22F"/>
              <w:right w:val="nil"/>
            </w:tcBorders>
            <w:shd w:val="clear" w:color="auto" w:fill="auto"/>
          </w:tcPr>
          <w:p w:rsidR="00021C10" w:rsidRDefault="00021C10" w:rsidP="00021C10">
            <w:pPr>
              <w:pStyle w:val="Figurespace"/>
            </w:pPr>
          </w:p>
        </w:tc>
      </w:tr>
      <w:tr w:rsidR="00021C10" w:rsidRPr="000863A5" w:rsidTr="00021C10">
        <w:tc>
          <w:tcPr>
            <w:tcW w:w="5000" w:type="pct"/>
            <w:tcBorders>
              <w:top w:val="single" w:sz="6" w:space="0" w:color="78A22F"/>
              <w:left w:val="nil"/>
              <w:bottom w:val="nil"/>
              <w:right w:val="nil"/>
            </w:tcBorders>
          </w:tcPr>
          <w:p w:rsidR="00021C10" w:rsidRPr="00626D32" w:rsidRDefault="00021C10" w:rsidP="00021C10">
            <w:pPr>
              <w:pStyle w:val="BoxSpaceBelow"/>
            </w:pPr>
          </w:p>
        </w:tc>
      </w:tr>
    </w:tbl>
    <w:p w:rsidR="00296753" w:rsidRDefault="00296753" w:rsidP="00296753">
      <w:pPr>
        <w:pStyle w:val="BodyText"/>
      </w:pPr>
      <w:r>
        <w:lastRenderedPageBreak/>
        <w:t>As with the fund</w:t>
      </w:r>
      <w:r w:rsidR="00617DD2">
        <w:noBreakHyphen/>
      </w:r>
      <w:r>
        <w:t>level analysis, asset allocation is the largest driver of total net returns</w:t>
      </w:r>
      <w:r w:rsidRPr="003E72F8">
        <w:t xml:space="preserve"> </w:t>
      </w:r>
      <w:r>
        <w:t>across the board, but is not the predominant source of</w:t>
      </w:r>
      <w:r w:rsidDel="00EB3202">
        <w:t xml:space="preserve"> </w:t>
      </w:r>
      <w:r>
        <w:t>variation across products. Variation in the product</w:t>
      </w:r>
      <w:r>
        <w:noBreakHyphen/>
        <w:t>level residuals (a standard deviation of 73 basis points) is much larger than in product</w:t>
      </w:r>
      <w:r w:rsidR="00617DD2">
        <w:noBreakHyphen/>
      </w:r>
      <w:r>
        <w:t>level asset allocation effects (41 basis points), administration fees (41 basis points) or investment fees (19 basis points). Lower</w:t>
      </w:r>
      <w:r>
        <w:noBreakHyphen/>
        <w:t>performing products generally have materially higher administration fees and lower residuals.</w:t>
      </w:r>
    </w:p>
    <w:p w:rsidR="00903E6F" w:rsidRPr="009D250B" w:rsidRDefault="00903E6F" w:rsidP="006A59FA">
      <w:pPr>
        <w:pStyle w:val="BodyText"/>
      </w:pPr>
      <w:r>
        <w:t xml:space="preserve">Due to the way that fees are reported for MySuper products, this analysis is likely to largely capture most indirect investment fees — and thus any impact of unreported investment costs on the residual is likely to be much smaller than for the </w:t>
      </w:r>
      <w:r w:rsidR="007F2EB4">
        <w:t xml:space="preserve">system, fund and segment level </w:t>
      </w:r>
      <w:r>
        <w:t>analyses above (which use fund</w:t>
      </w:r>
      <w:r>
        <w:noBreakHyphen/>
        <w:t>level data).</w:t>
      </w:r>
    </w:p>
    <w:p w:rsidR="0096343F" w:rsidRDefault="00903E6F" w:rsidP="004C4D16">
      <w:pPr>
        <w:pStyle w:val="BodyText"/>
      </w:pPr>
      <w:r>
        <w:t>However, t</w:t>
      </w:r>
      <w:r w:rsidR="004C4D16">
        <w:t xml:space="preserve">hree important caveats </w:t>
      </w:r>
      <w:r w:rsidR="00EF70E1">
        <w:t xml:space="preserve">apply to </w:t>
      </w:r>
      <w:r w:rsidR="004C4D16">
        <w:t>th</w:t>
      </w:r>
      <w:r w:rsidR="003418D5">
        <w:t>e MySuper attribution</w:t>
      </w:r>
      <w:r w:rsidR="004C4D16">
        <w:t xml:space="preserve"> analysis</w:t>
      </w:r>
      <w:r w:rsidR="0096343F">
        <w:t>.</w:t>
      </w:r>
    </w:p>
    <w:p w:rsidR="0096343F" w:rsidRDefault="0096343F" w:rsidP="0072455F">
      <w:pPr>
        <w:pStyle w:val="ListBullet"/>
      </w:pPr>
      <w:r>
        <w:t>T</w:t>
      </w:r>
      <w:r w:rsidR="004C4D16">
        <w:t xml:space="preserve">ax cannot be separated out from the net returns because tax liabilities are not reported separately in the SuperRatings data. This means that part of the residual will include tax. Part of the variation in residuals is thus likely attributable to variation in tax liabilities stemming from different investment strategies, or variation in the underlying quality of tax management by funds. </w:t>
      </w:r>
    </w:p>
    <w:p w:rsidR="0096343F" w:rsidRDefault="0096343F" w:rsidP="0072455F">
      <w:pPr>
        <w:pStyle w:val="ListBullet"/>
      </w:pPr>
      <w:r>
        <w:t>N</w:t>
      </w:r>
      <w:r w:rsidR="004C4D16">
        <w:t>et returns are already net of any implicit (indirect) asset</w:t>
      </w:r>
      <w:r w:rsidR="00617DD2">
        <w:noBreakHyphen/>
      </w:r>
      <w:r w:rsidR="004C4D16">
        <w:t xml:space="preserve">based administration fees that funds may charge. </w:t>
      </w:r>
      <w:r w:rsidR="004C0070">
        <w:t>D</w:t>
      </w:r>
      <w:r w:rsidR="004C4D16">
        <w:t xml:space="preserve">ata </w:t>
      </w:r>
      <w:r w:rsidR="004C0070">
        <w:t xml:space="preserve">on these fees </w:t>
      </w:r>
      <w:r w:rsidR="004C4D16">
        <w:t xml:space="preserve">were not </w:t>
      </w:r>
      <w:r w:rsidR="004C0070">
        <w:t>available</w:t>
      </w:r>
      <w:r w:rsidR="004C4D16">
        <w:t>. Netting out reported administration fees</w:t>
      </w:r>
      <w:r w:rsidR="003719B5">
        <w:t xml:space="preserve"> </w:t>
      </w:r>
      <w:r w:rsidR="004C0070">
        <w:t xml:space="preserve">therefore </w:t>
      </w:r>
      <w:r w:rsidR="004C4D16">
        <w:t xml:space="preserve">means that any products with an </w:t>
      </w:r>
      <w:r w:rsidR="00304F7E">
        <w:t>implicit</w:t>
      </w:r>
      <w:r w:rsidR="004C4D16">
        <w:t xml:space="preserve"> asset</w:t>
      </w:r>
      <w:r w:rsidR="00617DD2">
        <w:noBreakHyphen/>
      </w:r>
      <w:r w:rsidR="004C4D16">
        <w:t>based administration fee will have this fee netted out twice. This may explain some of the variation in administration fees.</w:t>
      </w:r>
    </w:p>
    <w:p w:rsidR="004C4D16" w:rsidRDefault="0096343F" w:rsidP="0072455F">
      <w:pPr>
        <w:pStyle w:val="ListBullet"/>
      </w:pPr>
      <w:r>
        <w:t>G</w:t>
      </w:r>
      <w:r w:rsidR="004C4D16">
        <w:t xml:space="preserve">iven data limitations, unlisted infrastructure is not included in the </w:t>
      </w:r>
      <w:r w:rsidR="00A74EE9">
        <w:t>benchmark asset allocation</w:t>
      </w:r>
      <w:r w:rsidR="004C4D16">
        <w:t xml:space="preserve">. This means </w:t>
      </w:r>
      <w:r w:rsidR="003D6F95">
        <w:t>that</w:t>
      </w:r>
      <w:r w:rsidR="004C4D16">
        <w:t xml:space="preserve"> part of the residual may include the difference in performance of unlisted infrastructure compared to listed infrastructure.</w:t>
      </w:r>
    </w:p>
    <w:p w:rsidR="00C9134D" w:rsidRPr="00C9134D" w:rsidRDefault="00231C01">
      <w:pPr>
        <w:pStyle w:val="BodyText"/>
      </w:pPr>
      <w:r>
        <w:t xml:space="preserve">At this stage, the Commission has not conducted </w:t>
      </w:r>
      <w:r w:rsidR="00E464EA">
        <w:t>a relative outperformance</w:t>
      </w:r>
      <w:r w:rsidRPr="00527426">
        <w:t xml:space="preserve"> </w:t>
      </w:r>
      <w:r w:rsidR="00845CF3">
        <w:t>decomposition</w:t>
      </w:r>
      <w:r w:rsidRPr="00527426">
        <w:t xml:space="preserve"> </w:t>
      </w:r>
      <w:r>
        <w:t xml:space="preserve">(between individual products and the average default segment performance). It would be unlikely to add much insight </w:t>
      </w:r>
      <w:r w:rsidR="00D6629F">
        <w:t>beyond</w:t>
      </w:r>
      <w:r>
        <w:t xml:space="preserve"> the fund</w:t>
      </w:r>
      <w:r w:rsidR="00617DD2">
        <w:noBreakHyphen/>
      </w:r>
      <w:r>
        <w:t>level</w:t>
      </w:r>
      <w:r w:rsidR="00E464EA">
        <w:t xml:space="preserve"> </w:t>
      </w:r>
      <w:r>
        <w:t>analysis</w:t>
      </w:r>
      <w:r w:rsidR="00E464EA">
        <w:t xml:space="preserve"> of relative outperformance</w:t>
      </w:r>
      <w:r>
        <w:t xml:space="preserve">, and the combination of the default segment average and tailored benchmarking undertaken </w:t>
      </w:r>
      <w:r w:rsidR="001E0EDE">
        <w:t>below</w:t>
      </w:r>
      <w:r w:rsidR="00FF5D00">
        <w:t>.</w:t>
      </w:r>
    </w:p>
    <w:p w:rsidR="007854F2" w:rsidRDefault="007854F2" w:rsidP="00E24608">
      <w:pPr>
        <w:pStyle w:val="Heading3"/>
      </w:pPr>
      <w:bookmarkStart w:id="32" w:name="_Toc528158043"/>
      <w:bookmarkStart w:id="33" w:name="_Toc528229665"/>
      <w:bookmarkStart w:id="34" w:name="_Toc528298315"/>
      <w:r>
        <w:t xml:space="preserve">Investment performance </w:t>
      </w:r>
      <w:r w:rsidR="00353CD8">
        <w:t>over shorter time periods</w:t>
      </w:r>
      <w:bookmarkEnd w:id="32"/>
      <w:bookmarkEnd w:id="33"/>
      <w:bookmarkEnd w:id="34"/>
    </w:p>
    <w:p w:rsidR="008A5B2A" w:rsidRPr="008A5B2A" w:rsidRDefault="008A5B2A" w:rsidP="008A5B2A">
      <w:pPr>
        <w:pStyle w:val="BodyText"/>
        <w:rPr>
          <w:i/>
        </w:rPr>
      </w:pPr>
      <w:r w:rsidRPr="008A5B2A">
        <w:rPr>
          <w:i/>
        </w:rPr>
        <w:t>Is longer</w:t>
      </w:r>
      <w:r w:rsidRPr="008A5B2A">
        <w:rPr>
          <w:i/>
        </w:rPr>
        <w:noBreakHyphen/>
        <w:t>term investment underperformance relative to benchmark portfolios apparent over shorter time period</w:t>
      </w:r>
      <w:r>
        <w:rPr>
          <w:i/>
        </w:rPr>
        <w:t>s</w:t>
      </w:r>
      <w:r w:rsidRPr="008A5B2A">
        <w:rPr>
          <w:i/>
        </w:rPr>
        <w:t xml:space="preserve"> (at the fund and MySuper product level)?</w:t>
      </w:r>
    </w:p>
    <w:p w:rsidR="00D10106" w:rsidRDefault="00DC361F" w:rsidP="00795199">
      <w:pPr>
        <w:pStyle w:val="BodyText"/>
      </w:pPr>
      <w:r>
        <w:t xml:space="preserve">The Commission has analysed </w:t>
      </w:r>
      <w:r w:rsidR="009230F5">
        <w:t>trends in</w:t>
      </w:r>
      <w:r w:rsidR="00311037">
        <w:t xml:space="preserve"> </w:t>
      </w:r>
      <w:r w:rsidR="009230F5">
        <w:t>investment performance over time,</w:t>
      </w:r>
      <w:r w:rsidR="00D10106">
        <w:t xml:space="preserve"> </w:t>
      </w:r>
      <w:r w:rsidR="00311037">
        <w:t>at both the fund and</w:t>
      </w:r>
      <w:r>
        <w:t xml:space="preserve"> </w:t>
      </w:r>
      <w:r w:rsidR="007911E5">
        <w:t>MySuper product</w:t>
      </w:r>
      <w:r>
        <w:t xml:space="preserve"> level</w:t>
      </w:r>
      <w:r w:rsidR="00F17090">
        <w:t>, to shed light on whether</w:t>
      </w:r>
      <w:r w:rsidR="00D11D2F">
        <w:t xml:space="preserve"> historical</w:t>
      </w:r>
      <w:r w:rsidR="00F17090">
        <w:t xml:space="preserve"> performance over shorter time periods can serve as an indicator of longer</w:t>
      </w:r>
      <w:r w:rsidR="00F17090">
        <w:noBreakHyphen/>
        <w:t xml:space="preserve">term </w:t>
      </w:r>
      <w:r w:rsidR="00085B32">
        <w:t xml:space="preserve">historical </w:t>
      </w:r>
      <w:r w:rsidR="00F17090">
        <w:t>performance</w:t>
      </w:r>
      <w:r>
        <w:t xml:space="preserve">. </w:t>
      </w:r>
      <w:r w:rsidR="009230F5">
        <w:t>This performance is measured relative to benchmark portfolios (BP1 and BP2) tailored to the asset allocation of each fund or product. This</w:t>
      </w:r>
      <w:r w:rsidR="00D10106">
        <w:t xml:space="preserve"> </w:t>
      </w:r>
      <w:r w:rsidR="003D6F95">
        <w:t>approach</w:t>
      </w:r>
      <w:r w:rsidR="00D10106">
        <w:t xml:space="preserve"> means that most fluctuations in </w:t>
      </w:r>
      <w:r w:rsidR="00D10106">
        <w:lastRenderedPageBreak/>
        <w:t>broader investment markets or economic conditions should be controlled for, even over the shorter term.</w:t>
      </w:r>
    </w:p>
    <w:p w:rsidR="0071036E" w:rsidRDefault="0071036E" w:rsidP="0071036E">
      <w:pPr>
        <w:pStyle w:val="BodyText"/>
      </w:pPr>
      <w:r>
        <w:t xml:space="preserve">For MySuper products, there is a noticeable relationship between </w:t>
      </w:r>
      <w:r w:rsidR="00D22197">
        <w:t>historical</w:t>
      </w:r>
      <w:r>
        <w:t xml:space="preserve"> long</w:t>
      </w:r>
      <w:r w:rsidR="00617DD2">
        <w:noBreakHyphen/>
      </w:r>
      <w:r>
        <w:t>term underperformance and consistent short</w:t>
      </w:r>
      <w:r w:rsidR="00617DD2">
        <w:noBreakHyphen/>
      </w:r>
      <w:r>
        <w:t xml:space="preserve">term underperformance (measured as rolling </w:t>
      </w:r>
      <w:r w:rsidR="00D11D2F">
        <w:t>five</w:t>
      </w:r>
      <w:r w:rsidR="00D11D2F">
        <w:noBreakHyphen/>
        <w:t>year</w:t>
      </w:r>
      <w:r>
        <w:t xml:space="preserve"> averages below BP1 or BP2 minus 25 basis points) (figures</w:t>
      </w:r>
      <w:r w:rsidR="00617DD2">
        <w:t> </w:t>
      </w:r>
      <w:r w:rsidR="00845CF3">
        <w:t>14</w:t>
      </w:r>
      <w:r>
        <w:t xml:space="preserve"> and </w:t>
      </w:r>
      <w:r w:rsidR="00845CF3">
        <w:t>15</w:t>
      </w:r>
      <w:r>
        <w:t xml:space="preserve">). </w:t>
      </w:r>
      <w:r w:rsidR="00E114A9">
        <w:t>For example, 68</w:t>
      </w:r>
      <w:r w:rsidR="001E07ED">
        <w:t xml:space="preserve"> </w:t>
      </w:r>
      <w:r w:rsidR="00E114A9">
        <w:t>per cent of MySuper products that underperformed over 11 years underperformed in over 80</w:t>
      </w:r>
      <w:r w:rsidR="00B90680">
        <w:t> </w:t>
      </w:r>
      <w:r w:rsidR="00E114A9">
        <w:t xml:space="preserve">per cent of the </w:t>
      </w:r>
      <w:r w:rsidR="00D11D2F">
        <w:t>five</w:t>
      </w:r>
      <w:r w:rsidR="00617DD2">
        <w:noBreakHyphen/>
      </w:r>
      <w:r w:rsidR="00D11D2F">
        <w:t>year</w:t>
      </w:r>
      <w:r w:rsidR="00E114A9">
        <w:t xml:space="preserve"> rolling averages. </w:t>
      </w:r>
      <w:r>
        <w:t>This relationship is less pronounced at the fund l</w:t>
      </w:r>
      <w:r w:rsidR="00762A34">
        <w:t>evel (figures</w:t>
      </w:r>
      <w:r w:rsidR="00617DD2">
        <w:t> </w:t>
      </w:r>
      <w:r w:rsidR="00845CF3">
        <w:t>16</w:t>
      </w:r>
      <w:r w:rsidR="00762A34">
        <w:t xml:space="preserve"> and </w:t>
      </w:r>
      <w:r w:rsidR="00845CF3">
        <w:t>17</w:t>
      </w:r>
      <w:r w:rsidR="00762A34">
        <w:t>).</w:t>
      </w:r>
      <w:r w:rsidR="00E114A9">
        <w:t xml:space="preserve"> Only 4</w:t>
      </w:r>
      <w:r w:rsidR="00F9614D">
        <w:t>5</w:t>
      </w:r>
      <w:r w:rsidR="00E114A9">
        <w:t xml:space="preserve"> per cent of funds that underperformed over 13 years underperformed in over 80 per cent of the </w:t>
      </w:r>
      <w:r w:rsidR="00D11D2F">
        <w:t>five</w:t>
      </w:r>
      <w:r w:rsidR="00617DD2">
        <w:noBreakHyphen/>
      </w:r>
      <w:r w:rsidR="00D11D2F">
        <w:t>year</w:t>
      </w:r>
      <w:r w:rsidR="00E114A9">
        <w:t xml:space="preserve"> rolling averages.</w:t>
      </w:r>
      <w:r w:rsidR="00762A34">
        <w:t xml:space="preserve"> This is likely due to fund</w:t>
      </w:r>
      <w:r w:rsidR="00B90680">
        <w:noBreakHyphen/>
      </w:r>
      <w:r w:rsidR="00762A34">
        <w:t>level performance being</w:t>
      </w:r>
      <w:r>
        <w:t xml:space="preserve"> the</w:t>
      </w:r>
      <w:r w:rsidR="00D11D2F">
        <w:t xml:space="preserve"> collective</w:t>
      </w:r>
      <w:r w:rsidR="00762A34">
        <w:t xml:space="preserve"> product of</w:t>
      </w:r>
      <w:r>
        <w:t xml:space="preserve"> many different options that may vary in performance</w:t>
      </w:r>
      <w:r w:rsidR="00B90680">
        <w:t xml:space="preserve"> (and which may be established or wound up within the time period)</w:t>
      </w:r>
      <w:r>
        <w:t>, creating more short</w:t>
      </w:r>
      <w:r>
        <w:noBreakHyphen/>
        <w:t>term ‘noise’.</w:t>
      </w:r>
      <w:r w:rsidR="00D11D2F">
        <w:t xml:space="preserve"> </w:t>
      </w:r>
    </w:p>
    <w:p w:rsidR="00197D01" w:rsidRDefault="0071036E" w:rsidP="00197D01">
      <w:pPr>
        <w:pStyle w:val="BodyText"/>
      </w:pPr>
      <w:r>
        <w:t>For both MySuper products and funds, the con</w:t>
      </w:r>
      <w:r w:rsidR="00762A34">
        <w:t>verse hypothesis does not</w:t>
      </w:r>
      <w:r w:rsidR="00F31CC0">
        <w:t xml:space="preserve"> always</w:t>
      </w:r>
      <w:r w:rsidR="00762A34">
        <w:t xml:space="preserve"> hold —</w:t>
      </w:r>
      <w:r>
        <w:t xml:space="preserve"> </w:t>
      </w:r>
      <w:r w:rsidR="006D739C">
        <w:t xml:space="preserve">products and funds that performed </w:t>
      </w:r>
      <w:r w:rsidR="00C26092">
        <w:t xml:space="preserve">relatively </w:t>
      </w:r>
      <w:r w:rsidR="006D739C">
        <w:t>well over the long</w:t>
      </w:r>
      <w:r w:rsidR="006D739C">
        <w:noBreakHyphen/>
        <w:t xml:space="preserve">term also </w:t>
      </w:r>
      <w:r w:rsidR="00E114A9">
        <w:t>often underperform</w:t>
      </w:r>
      <w:r w:rsidR="00D22197">
        <w:t>ed</w:t>
      </w:r>
      <w:r w:rsidR="00E114A9">
        <w:t xml:space="preserve"> in</w:t>
      </w:r>
      <w:r>
        <w:t xml:space="preserve"> rolling </w:t>
      </w:r>
      <w:r w:rsidR="00D11D2F">
        <w:t>five</w:t>
      </w:r>
      <w:r w:rsidR="00617DD2">
        <w:noBreakHyphen/>
      </w:r>
      <w:r w:rsidR="00D11D2F">
        <w:t>year</w:t>
      </w:r>
      <w:r>
        <w:t xml:space="preserve"> periods. For example, </w:t>
      </w:r>
      <w:r w:rsidR="00762A34">
        <w:t>40 per cent of MySuper products</w:t>
      </w:r>
      <w:r>
        <w:t xml:space="preserve"> and 30 per cent of funds </w:t>
      </w:r>
      <w:r w:rsidR="006D739C">
        <w:t>that were better performing (above BP2 minus 25 basis points)</w:t>
      </w:r>
      <w:r w:rsidR="00762A34">
        <w:t xml:space="preserve"> over </w:t>
      </w:r>
      <w:r w:rsidR="00B90680">
        <w:t>the longer time horizon (</w:t>
      </w:r>
      <w:r w:rsidR="00762A34">
        <w:t>11</w:t>
      </w:r>
      <w:r w:rsidR="00B90680">
        <w:t> </w:t>
      </w:r>
      <w:r w:rsidR="00762A34">
        <w:t>and</w:t>
      </w:r>
      <w:r>
        <w:t xml:space="preserve"> 13 years </w:t>
      </w:r>
      <w:r w:rsidR="00B90680">
        <w:t xml:space="preserve">respectively) </w:t>
      </w:r>
      <w:r>
        <w:t xml:space="preserve">underperformed </w:t>
      </w:r>
      <w:r w:rsidR="00762A34">
        <w:t>in</w:t>
      </w:r>
      <w:r>
        <w:t xml:space="preserve"> over </w:t>
      </w:r>
      <w:r w:rsidR="00B90680">
        <w:t>half</w:t>
      </w:r>
      <w:r w:rsidR="00D11D2F">
        <w:t xml:space="preserve"> the </w:t>
      </w:r>
      <w:r w:rsidR="00F31CC0">
        <w:t>five</w:t>
      </w:r>
      <w:r w:rsidR="00D11D2F">
        <w:noBreakHyphen/>
      </w:r>
      <w:r>
        <w:t>year rolling average</w:t>
      </w:r>
      <w:r w:rsidR="00B90680">
        <w:t xml:space="preserve"> period</w:t>
      </w:r>
      <w:r>
        <w:t>s.</w:t>
      </w:r>
    </w:p>
    <w:p w:rsidR="0071036E" w:rsidRDefault="00197D01" w:rsidP="00197D01">
      <w:pPr>
        <w:pStyle w:val="BodyText"/>
      </w:pPr>
      <w:r>
        <w:t>This means that while long</w:t>
      </w:r>
      <w:r>
        <w:noBreakHyphen/>
        <w:t>term underperformance is often comprised of many periods</w:t>
      </w:r>
      <w:r w:rsidR="007F2EB4">
        <w:t xml:space="preserve"> </w:t>
      </w:r>
      <w:r>
        <w:t>of short</w:t>
      </w:r>
      <w:r>
        <w:noBreakHyphen/>
        <w:t>term underperformance, not all funds that underperform in the short term go on to be underperformers in the longer term. Even funds with relatively good performance can experience runs of short</w:t>
      </w:r>
      <w:r>
        <w:noBreakHyphen/>
        <w:t>term underperformance against benchmarks.</w:t>
      </w:r>
    </w:p>
    <w:p w:rsidR="00762A34" w:rsidRDefault="00E1748C" w:rsidP="0091639A">
      <w:pPr>
        <w:pStyle w:val="BodyText"/>
      </w:pPr>
      <w:r>
        <w:t>This analysis has not been extended to individual choice products. As noted in the draft report, the available product</w:t>
      </w:r>
      <w:r>
        <w:noBreakHyphen/>
        <w:t>level data only cover about 13 per cent of assets in the choice segment, meaning there is likely to be strong selection (reporting) bias. As such, analysis over shorter</w:t>
      </w:r>
      <w:r>
        <w:noBreakHyphen/>
        <w:t xml:space="preserve">term horizons is unlikely to capture the </w:t>
      </w:r>
      <w:r w:rsidR="00F17090">
        <w:t>worst</w:t>
      </w:r>
      <w:r>
        <w:t xml:space="preserve"> choice options in the system.</w:t>
      </w:r>
    </w:p>
    <w:p w:rsidR="00762A34" w:rsidRDefault="00762A34" w:rsidP="00762A3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62A34" w:rsidTr="00E114A9">
        <w:trPr>
          <w:tblHeader/>
        </w:trPr>
        <w:tc>
          <w:tcPr>
            <w:tcW w:w="5000" w:type="pct"/>
            <w:tcBorders>
              <w:top w:val="single" w:sz="6" w:space="0" w:color="78A22F"/>
              <w:left w:val="nil"/>
              <w:bottom w:val="nil"/>
              <w:right w:val="nil"/>
            </w:tcBorders>
            <w:shd w:val="clear" w:color="auto" w:fill="auto"/>
          </w:tcPr>
          <w:p w:rsidR="00762A34" w:rsidRDefault="00762A34" w:rsidP="00E114A9">
            <w:pPr>
              <w:pStyle w:val="FigureTitle"/>
            </w:pPr>
            <w:r w:rsidRPr="00784A05">
              <w:rPr>
                <w:b w:val="0"/>
              </w:rPr>
              <w:t xml:space="preserve">Figure </w:t>
            </w:r>
            <w:bookmarkStart w:id="35" w:name="OLE_LINK1"/>
            <w:r w:rsidR="001345FE">
              <w:rPr>
                <w:b w:val="0"/>
                <w:noProof/>
              </w:rPr>
              <w:t>14</w:t>
            </w:r>
            <w:bookmarkEnd w:id="35"/>
            <w:r>
              <w:tab/>
              <w:t xml:space="preserve">MySuper </w:t>
            </w:r>
            <w:r w:rsidR="00D3553E">
              <w:t xml:space="preserve">product </w:t>
            </w:r>
            <w:r>
              <w:t xml:space="preserve">performance: rolling </w:t>
            </w:r>
            <w:r w:rsidR="00D11D2F">
              <w:t>five</w:t>
            </w:r>
            <w:r w:rsidR="00617DD2">
              <w:noBreakHyphen/>
            </w:r>
            <w:r w:rsidR="00D11D2F">
              <w:t>year</w:t>
            </w:r>
            <w:r>
              <w:t xml:space="preserve"> averages</w:t>
            </w:r>
            <w:r>
              <w:rPr>
                <w:rStyle w:val="NoteLabel"/>
                <w:b/>
              </w:rPr>
              <w:t>a,b</w:t>
            </w:r>
          </w:p>
          <w:p w:rsidR="00762A34" w:rsidRPr="000C2842" w:rsidRDefault="00762A34" w:rsidP="0060551F">
            <w:pPr>
              <w:pStyle w:val="Subtitle"/>
              <w:rPr>
                <w:rStyle w:val="DraftingNote"/>
                <w:b w:val="0"/>
                <w:color w:val="auto"/>
                <w:sz w:val="20"/>
                <w:u w:val="none"/>
              </w:rPr>
            </w:pPr>
            <w:r>
              <w:t>2008</w:t>
            </w:r>
            <w:r w:rsidR="003D6F95">
              <w:t>–</w:t>
            </w:r>
            <w:r>
              <w:t>2018</w:t>
            </w:r>
          </w:p>
        </w:tc>
      </w:tr>
      <w:tr w:rsidR="00762A34" w:rsidTr="00E114A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62A34" w:rsidRPr="00B1465D" w:rsidTr="00E114A9">
              <w:trPr>
                <w:tblHeader/>
                <w:jc w:val="center"/>
              </w:trPr>
              <w:tc>
                <w:tcPr>
                  <w:tcW w:w="5000" w:type="pct"/>
                  <w:tcBorders>
                    <w:top w:val="nil"/>
                    <w:bottom w:val="nil"/>
                  </w:tcBorders>
                </w:tcPr>
                <w:p w:rsidR="00762A34" w:rsidRPr="00B1465D" w:rsidRDefault="00E06099" w:rsidP="00E114A9">
                  <w:pPr>
                    <w:pStyle w:val="Figure"/>
                    <w:spacing w:before="60" w:after="60"/>
                    <w:rPr>
                      <w:rFonts w:ascii="Arial" w:hAnsi="Arial" w:cs="Arial"/>
                      <w:sz w:val="18"/>
                      <w:szCs w:val="18"/>
                    </w:rPr>
                  </w:pPr>
                  <w:r w:rsidRPr="00E06099">
                    <w:rPr>
                      <w:rFonts w:ascii="Arial" w:hAnsi="Arial" w:cs="Arial"/>
                      <w:noProof/>
                      <w:sz w:val="18"/>
                      <w:szCs w:val="18"/>
                    </w:rPr>
                    <w:drawing>
                      <wp:inline distT="0" distB="0" distL="0" distR="0" wp14:anchorId="00FAFA68" wp14:editId="37651C88">
                        <wp:extent cx="5494589" cy="6035040"/>
                        <wp:effectExtent l="0" t="0" r="0" b="3810"/>
                        <wp:docPr id="30" name="Picture 30" descr="This line chart shows the rolling 5-year average performance against tailored BP2s from 2008 to 2018. The lines are coloured depending on whether they were a long-term underperformer. Results against BP1 and BP2 are pres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95631" cy="6036185"/>
                                </a:xfrm>
                                <a:prstGeom prst="rect">
                                  <a:avLst/>
                                </a:prstGeom>
                                <a:noFill/>
                                <a:ln>
                                  <a:noFill/>
                                </a:ln>
                              </pic:spPr>
                            </pic:pic>
                          </a:graphicData>
                        </a:graphic>
                      </wp:inline>
                    </w:drawing>
                  </w:r>
                </w:p>
                <w:tbl>
                  <w:tblPr>
                    <w:tblW w:w="5000" w:type="pct"/>
                    <w:tblLook w:val="04A0" w:firstRow="1" w:lastRow="0" w:firstColumn="1" w:lastColumn="0" w:noHBand="0" w:noVBand="1"/>
                  </w:tblPr>
                  <w:tblGrid>
                    <w:gridCol w:w="1609"/>
                    <w:gridCol w:w="2788"/>
                    <w:gridCol w:w="1601"/>
                    <w:gridCol w:w="2507"/>
                  </w:tblGrid>
                  <w:tr w:rsidR="00762A34" w:rsidTr="00E114A9">
                    <w:trPr>
                      <w:tblHeader/>
                    </w:trPr>
                    <w:tc>
                      <w:tcPr>
                        <w:tcW w:w="946" w:type="pct"/>
                        <w:shd w:val="clear" w:color="auto" w:fill="F2F2F2" w:themeFill="background1" w:themeFillShade="F2"/>
                      </w:tcPr>
                      <w:p w:rsidR="00762A34" w:rsidRDefault="00762A34" w:rsidP="00E114A9">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4054" w:type="pct"/>
                        <w:gridSpan w:val="3"/>
                        <w:shd w:val="clear" w:color="auto" w:fill="F2F2F2" w:themeFill="background1" w:themeFillShade="F2"/>
                      </w:tcPr>
                      <w:p w:rsidR="00762A34" w:rsidRDefault="00762A34" w:rsidP="00E114A9">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PC analysis of SuperRatings, APRA, and financial market index data (various providers).</w:t>
                        </w:r>
                      </w:p>
                    </w:tc>
                  </w:tr>
                  <w:tr w:rsidR="00762A34" w:rsidTr="00E114A9">
                    <w:tc>
                      <w:tcPr>
                        <w:tcW w:w="946" w:type="pct"/>
                        <w:shd w:val="clear" w:color="auto" w:fill="F2F2F2" w:themeFill="background1" w:themeFillShade="F2"/>
                      </w:tcPr>
                      <w:p w:rsidR="00762A34" w:rsidRDefault="00762A34" w:rsidP="00E114A9">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Benchmark</w:t>
                        </w:r>
                      </w:p>
                    </w:tc>
                    <w:tc>
                      <w:tcPr>
                        <w:tcW w:w="4054" w:type="pct"/>
                        <w:gridSpan w:val="3"/>
                        <w:shd w:val="clear" w:color="auto" w:fill="F2F2F2" w:themeFill="background1" w:themeFillShade="F2"/>
                      </w:tcPr>
                      <w:p w:rsidR="00762A34" w:rsidRDefault="00762A34" w:rsidP="00E114A9">
                        <w:pPr>
                          <w:pStyle w:val="Figure"/>
                          <w:spacing w:before="0" w:after="0"/>
                          <w:jc w:val="left"/>
                          <w:rPr>
                            <w:rFonts w:ascii="Arial" w:hAnsi="Arial" w:cs="Arial"/>
                            <w:sz w:val="18"/>
                            <w:szCs w:val="18"/>
                          </w:rPr>
                        </w:pPr>
                        <w:r>
                          <w:rPr>
                            <w:rFonts w:ascii="Arial" w:hAnsi="Arial" w:cs="Arial"/>
                            <w:sz w:val="18"/>
                            <w:szCs w:val="18"/>
                          </w:rPr>
                          <w:t>Option tailored BP1</w:t>
                        </w:r>
                        <w:r w:rsidR="00B90680">
                          <w:rPr>
                            <w:rFonts w:ascii="Arial" w:hAnsi="Arial" w:cs="Arial"/>
                            <w:sz w:val="18"/>
                            <w:szCs w:val="18"/>
                          </w:rPr>
                          <w:t xml:space="preserve"> and BP2</w:t>
                        </w:r>
                        <w:r w:rsidR="0060551F">
                          <w:rPr>
                            <w:rFonts w:ascii="Arial" w:hAnsi="Arial" w:cs="Arial"/>
                            <w:sz w:val="18"/>
                            <w:szCs w:val="18"/>
                          </w:rPr>
                          <w:t>.</w:t>
                        </w:r>
                      </w:p>
                    </w:tc>
                  </w:tr>
                  <w:tr w:rsidR="00762A34" w:rsidRPr="0032089A" w:rsidTr="00E114A9">
                    <w:tc>
                      <w:tcPr>
                        <w:tcW w:w="946" w:type="pct"/>
                        <w:shd w:val="clear" w:color="auto" w:fill="F2F2F2" w:themeFill="background1" w:themeFillShade="F2"/>
                      </w:tcPr>
                      <w:p w:rsidR="00762A34" w:rsidRDefault="00762A34" w:rsidP="00E114A9">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4054" w:type="pct"/>
                        <w:gridSpan w:val="3"/>
                        <w:shd w:val="clear" w:color="auto" w:fill="F2F2F2" w:themeFill="background1" w:themeFillShade="F2"/>
                      </w:tcPr>
                      <w:p w:rsidR="00762A34" w:rsidRPr="0032089A" w:rsidRDefault="00762A34" w:rsidP="003719B5">
                        <w:pPr>
                          <w:pStyle w:val="NormalWeb"/>
                          <w:rPr>
                            <w:color w:val="000000" w:themeColor="text1"/>
                            <w:sz w:val="18"/>
                            <w:szCs w:val="18"/>
                          </w:rPr>
                        </w:pPr>
                        <w:r>
                          <w:rPr>
                            <w:rFonts w:asciiTheme="minorHAnsi" w:hAnsi="Arial" w:cstheme="minorBidi"/>
                            <w:color w:val="000000" w:themeColor="text1"/>
                            <w:kern w:val="24"/>
                            <w:sz w:val="18"/>
                            <w:szCs w:val="18"/>
                          </w:rPr>
                          <w:t xml:space="preserve">53 of 105 current MySuper options covering </w:t>
                        </w:r>
                        <w:r w:rsidR="008B0D8D">
                          <w:rPr>
                            <w:rFonts w:asciiTheme="minorHAnsi" w:hAnsi="Arial" w:cstheme="minorBidi"/>
                            <w:color w:val="000000" w:themeColor="text1"/>
                            <w:kern w:val="24"/>
                            <w:sz w:val="18"/>
                            <w:szCs w:val="18"/>
                          </w:rPr>
                          <w:t>76</w:t>
                        </w:r>
                        <w:r>
                          <w:rPr>
                            <w:rFonts w:asciiTheme="minorHAnsi" w:hAnsi="Arial" w:cstheme="minorBidi"/>
                            <w:color w:val="000000" w:themeColor="text1"/>
                            <w:kern w:val="24"/>
                            <w:sz w:val="18"/>
                            <w:szCs w:val="18"/>
                          </w:rPr>
                          <w:t xml:space="preserve">% of member accounts and </w:t>
                        </w:r>
                        <w:r w:rsidR="008B0D8D">
                          <w:rPr>
                            <w:rFonts w:asciiTheme="minorHAnsi" w:hAnsi="Arial" w:cstheme="minorBidi"/>
                            <w:color w:val="000000" w:themeColor="text1"/>
                            <w:kern w:val="24"/>
                            <w:sz w:val="18"/>
                            <w:szCs w:val="18"/>
                          </w:rPr>
                          <w:t>75</w:t>
                        </w:r>
                        <w:r>
                          <w:rPr>
                            <w:rFonts w:asciiTheme="minorHAnsi" w:hAnsi="Arial" w:cstheme="minorBidi"/>
                            <w:color w:val="000000" w:themeColor="text1"/>
                            <w:kern w:val="24"/>
                            <w:sz w:val="18"/>
                            <w:szCs w:val="18"/>
                          </w:rPr>
                          <w:t>% of assets in all MySuper products as at June 2018.</w:t>
                        </w:r>
                      </w:p>
                    </w:tc>
                  </w:tr>
                  <w:tr w:rsidR="00762A34" w:rsidDel="009516F9" w:rsidTr="00E114A9">
                    <w:tc>
                      <w:tcPr>
                        <w:tcW w:w="946" w:type="pct"/>
                        <w:shd w:val="clear" w:color="auto" w:fill="F2F2F2" w:themeFill="background1" w:themeFillShade="F2"/>
                      </w:tcPr>
                      <w:p w:rsidR="00762A34" w:rsidRPr="00311D4D" w:rsidRDefault="00762A34" w:rsidP="00E114A9">
                        <w:pPr>
                          <w:pStyle w:val="Figure"/>
                          <w:spacing w:before="0" w:after="0"/>
                          <w:jc w:val="left"/>
                          <w:rPr>
                            <w:rFonts w:ascii="Arial" w:hAnsi="Arial" w:cs="Arial"/>
                            <w:b/>
                            <w:sz w:val="18"/>
                            <w:szCs w:val="18"/>
                          </w:rPr>
                        </w:pPr>
                        <w:r w:rsidRPr="005F68B0">
                          <w:rPr>
                            <w:rFonts w:ascii="Arial" w:hAnsi="Arial" w:cs="Arial"/>
                            <w:b/>
                            <w:sz w:val="18"/>
                            <w:szCs w:val="18"/>
                          </w:rPr>
                          <w:t>Survivor bias</w:t>
                        </w:r>
                      </w:p>
                    </w:tc>
                    <w:tc>
                      <w:tcPr>
                        <w:tcW w:w="1639" w:type="pct"/>
                        <w:shd w:val="clear" w:color="auto" w:fill="F2F2F2" w:themeFill="background1" w:themeFillShade="F2"/>
                      </w:tcPr>
                      <w:p w:rsidR="00762A34" w:rsidDel="009516F9" w:rsidRDefault="00762A34" w:rsidP="00E114A9">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p>
                    </w:tc>
                    <w:tc>
                      <w:tcPr>
                        <w:tcW w:w="941" w:type="pct"/>
                        <w:shd w:val="clear" w:color="auto" w:fill="F2F2F2" w:themeFill="background1" w:themeFillShade="F2"/>
                      </w:tcPr>
                      <w:p w:rsidR="00762A34" w:rsidRPr="005F68B0" w:rsidDel="009516F9" w:rsidRDefault="00762A34" w:rsidP="00E114A9">
                        <w:pPr>
                          <w:pStyle w:val="Figure"/>
                          <w:spacing w:before="0" w:after="0"/>
                          <w:jc w:val="left"/>
                          <w:rPr>
                            <w:rFonts w:asciiTheme="minorHAnsi" w:hAnsi="Arial" w:cstheme="minorBidi"/>
                            <w:b/>
                            <w:color w:val="000000" w:themeColor="text1"/>
                            <w:kern w:val="24"/>
                            <w:sz w:val="18"/>
                            <w:szCs w:val="18"/>
                          </w:rPr>
                        </w:pPr>
                        <w:r w:rsidRPr="005F68B0">
                          <w:rPr>
                            <w:rFonts w:asciiTheme="minorHAnsi" w:hAnsi="Arial" w:cstheme="minorBidi"/>
                            <w:b/>
                            <w:color w:val="000000" w:themeColor="text1"/>
                            <w:kern w:val="24"/>
                            <w:sz w:val="18"/>
                            <w:szCs w:val="18"/>
                          </w:rPr>
                          <w:t>Selection bias</w:t>
                        </w:r>
                      </w:p>
                    </w:tc>
                    <w:tc>
                      <w:tcPr>
                        <w:tcW w:w="1474" w:type="pct"/>
                        <w:shd w:val="clear" w:color="auto" w:fill="F2F2F2" w:themeFill="background1" w:themeFillShade="F2"/>
                      </w:tcPr>
                      <w:p w:rsidR="00762A34" w:rsidDel="009516F9" w:rsidRDefault="00762A34" w:rsidP="00E114A9">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p>
                    </w:tc>
                  </w:tr>
                </w:tbl>
                <w:p w:rsidR="00762A34" w:rsidRPr="00B1465D" w:rsidRDefault="00762A34" w:rsidP="00E114A9">
                  <w:pPr>
                    <w:pStyle w:val="Figure"/>
                    <w:spacing w:before="60" w:after="60"/>
                    <w:rPr>
                      <w:rFonts w:ascii="Arial" w:hAnsi="Arial" w:cs="Arial"/>
                      <w:sz w:val="18"/>
                      <w:szCs w:val="18"/>
                    </w:rPr>
                  </w:pPr>
                </w:p>
              </w:tc>
            </w:tr>
          </w:tbl>
          <w:p w:rsidR="00762A34" w:rsidRDefault="00762A34" w:rsidP="00E114A9">
            <w:pPr>
              <w:pStyle w:val="Figure"/>
            </w:pPr>
          </w:p>
        </w:tc>
      </w:tr>
      <w:tr w:rsidR="00762A34" w:rsidRPr="00176D3F" w:rsidTr="00E114A9">
        <w:tc>
          <w:tcPr>
            <w:tcW w:w="5000" w:type="pct"/>
            <w:tcBorders>
              <w:top w:val="nil"/>
              <w:left w:val="nil"/>
              <w:bottom w:val="nil"/>
              <w:right w:val="nil"/>
            </w:tcBorders>
            <w:shd w:val="clear" w:color="auto" w:fill="auto"/>
          </w:tcPr>
          <w:p w:rsidR="00762A34" w:rsidRPr="00176D3F" w:rsidRDefault="00762A34" w:rsidP="00E558F6">
            <w:pPr>
              <w:pStyle w:val="Note"/>
            </w:pPr>
            <w:r>
              <w:rPr>
                <w:rStyle w:val="NoteLabel"/>
              </w:rPr>
              <w:t>a</w:t>
            </w:r>
            <w:r>
              <w:t xml:space="preserve"> Current MySuper products were connected with pre</w:t>
            </w:r>
            <w:r w:rsidR="00617DD2">
              <w:noBreakHyphen/>
            </w:r>
            <w:r>
              <w:t>cursors with the support of SuperRatings where requested. 15 life</w:t>
            </w:r>
            <w:r w:rsidR="00617DD2">
              <w:noBreakHyphen/>
            </w:r>
            <w:r>
              <w:t>cycle products are represented by their largest ‘balanced’ (according to SuperRatings definitions) stage.</w:t>
            </w:r>
            <w:r>
              <w:rPr>
                <w:rStyle w:val="NoteLabel"/>
              </w:rPr>
              <w:t xml:space="preserve"> </w:t>
            </w:r>
            <w:r w:rsidRPr="005659BA">
              <w:rPr>
                <w:rStyle w:val="NoteLabel"/>
              </w:rPr>
              <w:t>b</w:t>
            </w:r>
            <w:r>
              <w:rPr>
                <w:rStyle w:val="NoteLabel"/>
              </w:rPr>
              <w:t xml:space="preserve"> </w:t>
            </w:r>
            <w:r>
              <w:t>11</w:t>
            </w:r>
            <w:r w:rsidR="00617DD2">
              <w:noBreakHyphen/>
            </w:r>
            <w:r>
              <w:t xml:space="preserve">year underperformance is defined as </w:t>
            </w:r>
            <w:r w:rsidR="006D739C">
              <w:t>25 basis points</w:t>
            </w:r>
            <w:r>
              <w:t xml:space="preserve"> below a tailored BP.</w:t>
            </w:r>
            <w:r>
              <w:rPr>
                <w:rStyle w:val="NoteLabel"/>
              </w:rPr>
              <w:t xml:space="preserve"> </w:t>
            </w:r>
            <w:r>
              <w:t>BP2 does not include unlisted infrastructure due to data limitations. Net returns are net of investment fees, taxes and implicit asset</w:t>
            </w:r>
            <w:r w:rsidR="00617DD2">
              <w:noBreakHyphen/>
            </w:r>
            <w:r>
              <w:t>based administration fees.</w:t>
            </w:r>
          </w:p>
        </w:tc>
      </w:tr>
      <w:tr w:rsidR="00762A34" w:rsidTr="00E114A9">
        <w:tc>
          <w:tcPr>
            <w:tcW w:w="5000" w:type="pct"/>
            <w:tcBorders>
              <w:top w:val="nil"/>
              <w:left w:val="nil"/>
              <w:bottom w:val="single" w:sz="6" w:space="0" w:color="78A22F"/>
              <w:right w:val="nil"/>
            </w:tcBorders>
            <w:shd w:val="clear" w:color="auto" w:fill="auto"/>
          </w:tcPr>
          <w:p w:rsidR="00762A34" w:rsidRDefault="00762A34" w:rsidP="00E114A9">
            <w:pPr>
              <w:pStyle w:val="Figurespace"/>
            </w:pPr>
          </w:p>
        </w:tc>
      </w:tr>
      <w:tr w:rsidR="00762A34" w:rsidRPr="000863A5" w:rsidTr="00E114A9">
        <w:tc>
          <w:tcPr>
            <w:tcW w:w="5000" w:type="pct"/>
            <w:tcBorders>
              <w:top w:val="single" w:sz="6" w:space="0" w:color="78A22F"/>
              <w:left w:val="nil"/>
              <w:bottom w:val="nil"/>
              <w:right w:val="nil"/>
            </w:tcBorders>
          </w:tcPr>
          <w:p w:rsidR="00762A34" w:rsidRPr="00626D32" w:rsidRDefault="00762A34" w:rsidP="00E114A9">
            <w:pPr>
              <w:pStyle w:val="BoxSpaceBelow"/>
            </w:pPr>
          </w:p>
        </w:tc>
      </w:tr>
    </w:tbl>
    <w:p w:rsidR="00762A34" w:rsidRDefault="00762A34" w:rsidP="00762A3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62A34" w:rsidTr="00E114A9">
        <w:trPr>
          <w:tblHeader/>
        </w:trPr>
        <w:tc>
          <w:tcPr>
            <w:tcW w:w="5000" w:type="pct"/>
            <w:tcBorders>
              <w:top w:val="single" w:sz="6" w:space="0" w:color="78A22F"/>
              <w:left w:val="nil"/>
              <w:bottom w:val="nil"/>
              <w:right w:val="nil"/>
            </w:tcBorders>
            <w:shd w:val="clear" w:color="auto" w:fill="auto"/>
          </w:tcPr>
          <w:p w:rsidR="00762A34" w:rsidRDefault="00762A34" w:rsidP="00E114A9">
            <w:pPr>
              <w:pStyle w:val="FigureTitle"/>
            </w:pPr>
            <w:r w:rsidRPr="00784A05">
              <w:rPr>
                <w:b w:val="0"/>
              </w:rPr>
              <w:t xml:space="preserve">Figure </w:t>
            </w:r>
            <w:bookmarkStart w:id="36" w:name="OLE_LINK32"/>
            <w:r w:rsidR="001345FE">
              <w:rPr>
                <w:b w:val="0"/>
                <w:noProof/>
              </w:rPr>
              <w:t>15</w:t>
            </w:r>
            <w:bookmarkEnd w:id="36"/>
            <w:r>
              <w:tab/>
              <w:t xml:space="preserve">MySuper performance: rolling </w:t>
            </w:r>
            <w:r w:rsidR="00D11D2F">
              <w:t>five</w:t>
            </w:r>
            <w:r w:rsidR="00617DD2">
              <w:noBreakHyphen/>
            </w:r>
            <w:r w:rsidR="00D11D2F">
              <w:t>year</w:t>
            </w:r>
            <w:r>
              <w:t xml:space="preserve"> averages</w:t>
            </w:r>
            <w:r>
              <w:rPr>
                <w:rStyle w:val="NoteLabel"/>
                <w:b/>
              </w:rPr>
              <w:t>a,b</w:t>
            </w:r>
          </w:p>
          <w:p w:rsidR="00762A34" w:rsidRDefault="00762A34" w:rsidP="00E114A9">
            <w:pPr>
              <w:pStyle w:val="Subtitle"/>
            </w:pPr>
            <w:r>
              <w:t xml:space="preserve">Number of underperforming </w:t>
            </w:r>
            <w:r w:rsidR="00D11D2F">
              <w:t>5</w:t>
            </w:r>
            <w:r w:rsidR="00617DD2">
              <w:noBreakHyphen/>
            </w:r>
            <w:r w:rsidR="00D11D2F">
              <w:t>year</w:t>
            </w:r>
            <w:r>
              <w:t xml:space="preserve"> averages and 11</w:t>
            </w:r>
            <w:r w:rsidR="00617DD2">
              <w:noBreakHyphen/>
            </w:r>
            <w:r>
              <w:t xml:space="preserve">year </w:t>
            </w:r>
            <w:r w:rsidR="006B6E0B">
              <w:t>performance</w:t>
            </w:r>
          </w:p>
          <w:p w:rsidR="00762A34" w:rsidRDefault="00762A34" w:rsidP="00E114A9">
            <w:pPr>
              <w:pStyle w:val="Subtitle"/>
            </w:pPr>
            <w:r>
              <w:t>2008</w:t>
            </w:r>
            <w:r w:rsidR="00486C38">
              <w:t>–</w:t>
            </w:r>
            <w:r>
              <w:t>2018</w:t>
            </w:r>
          </w:p>
          <w:p w:rsidR="00822421" w:rsidRPr="000C2842" w:rsidRDefault="00822421" w:rsidP="00E114A9">
            <w:pPr>
              <w:pStyle w:val="Subtitle"/>
              <w:rPr>
                <w:rStyle w:val="DraftingNote"/>
                <w:b w:val="0"/>
                <w:color w:val="auto"/>
                <w:sz w:val="20"/>
                <w:u w:val="none"/>
              </w:rPr>
            </w:pPr>
            <w:r>
              <w:t>Size of circles indicates the size of each product’s assets under management</w:t>
            </w:r>
          </w:p>
        </w:tc>
      </w:tr>
      <w:tr w:rsidR="00762A34" w:rsidTr="00E114A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62A34" w:rsidRPr="00B1465D" w:rsidTr="00E114A9">
              <w:trPr>
                <w:tblHeader/>
                <w:jc w:val="center"/>
              </w:trPr>
              <w:tc>
                <w:tcPr>
                  <w:tcW w:w="5000" w:type="pct"/>
                  <w:tcBorders>
                    <w:top w:val="nil"/>
                    <w:bottom w:val="nil"/>
                  </w:tcBorders>
                </w:tcPr>
                <w:p w:rsidR="00762A34" w:rsidRPr="00B1465D" w:rsidRDefault="00917313" w:rsidP="00E114A9">
                  <w:pPr>
                    <w:pStyle w:val="Figure"/>
                    <w:spacing w:before="60" w:after="60"/>
                    <w:rPr>
                      <w:rFonts w:ascii="Arial" w:hAnsi="Arial" w:cs="Arial"/>
                      <w:sz w:val="18"/>
                      <w:szCs w:val="18"/>
                    </w:rPr>
                  </w:pPr>
                  <w:r w:rsidRPr="00917313">
                    <w:rPr>
                      <w:rFonts w:ascii="Arial" w:hAnsi="Arial" w:cs="Arial"/>
                      <w:noProof/>
                      <w:sz w:val="18"/>
                      <w:szCs w:val="18"/>
                    </w:rPr>
                    <w:drawing>
                      <wp:inline distT="0" distB="0" distL="0" distR="0" wp14:anchorId="3D046274" wp14:editId="6C41C14C">
                        <wp:extent cx="5576570" cy="2916555"/>
                        <wp:effectExtent l="0" t="0" r="5080" b="0"/>
                        <wp:docPr id="36" name="Picture 36" descr="These two bubble charts have performance against BP1 and BP2 on the x axis, and the number of 5-year rolling averages below BP-0.25% on the y axis. &#10;The bubbles are coloured by fund type and sized by assets.&#10;It shows that most 11-year underperformers underperform over 5-year periods, but 11-year non-underperformers have mixed 5-year performances. &#10;" title="MySuper performance: 5-year aver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76570" cy="2916555"/>
                                </a:xfrm>
                                <a:prstGeom prst="rect">
                                  <a:avLst/>
                                </a:prstGeom>
                                <a:noFill/>
                                <a:ln>
                                  <a:noFill/>
                                </a:ln>
                              </pic:spPr>
                            </pic:pic>
                          </a:graphicData>
                        </a:graphic>
                      </wp:inline>
                    </w:drawing>
                  </w:r>
                </w:p>
                <w:tbl>
                  <w:tblPr>
                    <w:tblW w:w="5000" w:type="pct"/>
                    <w:tblLook w:val="04A0" w:firstRow="1" w:lastRow="0" w:firstColumn="1" w:lastColumn="0" w:noHBand="0" w:noVBand="1"/>
                  </w:tblPr>
                  <w:tblGrid>
                    <w:gridCol w:w="1609"/>
                    <w:gridCol w:w="2788"/>
                    <w:gridCol w:w="1601"/>
                    <w:gridCol w:w="2507"/>
                  </w:tblGrid>
                  <w:tr w:rsidR="00762A34" w:rsidTr="00E114A9">
                    <w:trPr>
                      <w:tblHeader/>
                    </w:trPr>
                    <w:tc>
                      <w:tcPr>
                        <w:tcW w:w="946" w:type="pct"/>
                        <w:shd w:val="clear" w:color="auto" w:fill="F2F2F2" w:themeFill="background1" w:themeFillShade="F2"/>
                      </w:tcPr>
                      <w:p w:rsidR="00762A34" w:rsidRDefault="00762A34" w:rsidP="00E114A9">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4054" w:type="pct"/>
                        <w:gridSpan w:val="3"/>
                        <w:shd w:val="clear" w:color="auto" w:fill="F2F2F2" w:themeFill="background1" w:themeFillShade="F2"/>
                      </w:tcPr>
                      <w:p w:rsidR="00762A34" w:rsidRDefault="00762A34" w:rsidP="00E114A9">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PC analysis of SuperRatings, APRA, and financial market index data (various providers).</w:t>
                        </w:r>
                      </w:p>
                    </w:tc>
                  </w:tr>
                  <w:tr w:rsidR="00762A34" w:rsidTr="00E114A9">
                    <w:tc>
                      <w:tcPr>
                        <w:tcW w:w="946" w:type="pct"/>
                        <w:shd w:val="clear" w:color="auto" w:fill="F2F2F2" w:themeFill="background1" w:themeFillShade="F2"/>
                      </w:tcPr>
                      <w:p w:rsidR="00762A34" w:rsidRDefault="00762A34" w:rsidP="00E114A9">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Benchmark</w:t>
                        </w:r>
                      </w:p>
                    </w:tc>
                    <w:tc>
                      <w:tcPr>
                        <w:tcW w:w="4054" w:type="pct"/>
                        <w:gridSpan w:val="3"/>
                        <w:shd w:val="clear" w:color="auto" w:fill="F2F2F2" w:themeFill="background1" w:themeFillShade="F2"/>
                      </w:tcPr>
                      <w:p w:rsidR="00762A34" w:rsidRDefault="00762A34" w:rsidP="00E114A9">
                        <w:pPr>
                          <w:pStyle w:val="Figure"/>
                          <w:spacing w:before="0" w:after="0"/>
                          <w:jc w:val="left"/>
                          <w:rPr>
                            <w:rFonts w:ascii="Arial" w:hAnsi="Arial" w:cs="Arial"/>
                            <w:sz w:val="18"/>
                            <w:szCs w:val="18"/>
                          </w:rPr>
                        </w:pPr>
                        <w:r>
                          <w:rPr>
                            <w:rFonts w:ascii="Arial" w:hAnsi="Arial" w:cs="Arial"/>
                            <w:sz w:val="18"/>
                            <w:szCs w:val="18"/>
                          </w:rPr>
                          <w:t>Option tailored BP1 and BP2</w:t>
                        </w:r>
                        <w:r w:rsidR="0060551F">
                          <w:rPr>
                            <w:rFonts w:ascii="Arial" w:hAnsi="Arial" w:cs="Arial"/>
                            <w:sz w:val="18"/>
                            <w:szCs w:val="18"/>
                          </w:rPr>
                          <w:t>.</w:t>
                        </w:r>
                      </w:p>
                    </w:tc>
                  </w:tr>
                  <w:tr w:rsidR="00762A34" w:rsidRPr="0032089A" w:rsidTr="00E114A9">
                    <w:tc>
                      <w:tcPr>
                        <w:tcW w:w="946" w:type="pct"/>
                        <w:shd w:val="clear" w:color="auto" w:fill="F2F2F2" w:themeFill="background1" w:themeFillShade="F2"/>
                      </w:tcPr>
                      <w:p w:rsidR="00762A34" w:rsidRDefault="00762A34" w:rsidP="00E114A9">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4054" w:type="pct"/>
                        <w:gridSpan w:val="3"/>
                        <w:shd w:val="clear" w:color="auto" w:fill="F2F2F2" w:themeFill="background1" w:themeFillShade="F2"/>
                      </w:tcPr>
                      <w:p w:rsidR="00762A34" w:rsidRPr="0032089A" w:rsidRDefault="00762A34" w:rsidP="00E114A9">
                        <w:pPr>
                          <w:pStyle w:val="NormalWeb"/>
                          <w:rPr>
                            <w:color w:val="000000" w:themeColor="text1"/>
                            <w:sz w:val="18"/>
                            <w:szCs w:val="18"/>
                          </w:rPr>
                        </w:pPr>
                        <w:r>
                          <w:rPr>
                            <w:rFonts w:asciiTheme="minorHAnsi" w:hAnsi="Arial" w:cstheme="minorBidi"/>
                            <w:color w:val="000000" w:themeColor="text1"/>
                            <w:kern w:val="24"/>
                            <w:sz w:val="18"/>
                            <w:szCs w:val="18"/>
                          </w:rPr>
                          <w:t>53 of 105 current MySuper products covering 76% of member accounts and 75% of assets in all MySuper products as at June 2018.</w:t>
                        </w:r>
                      </w:p>
                    </w:tc>
                  </w:tr>
                  <w:tr w:rsidR="00762A34" w:rsidDel="009516F9" w:rsidTr="00E114A9">
                    <w:tc>
                      <w:tcPr>
                        <w:tcW w:w="946" w:type="pct"/>
                        <w:shd w:val="clear" w:color="auto" w:fill="F2F2F2" w:themeFill="background1" w:themeFillShade="F2"/>
                      </w:tcPr>
                      <w:p w:rsidR="00762A34" w:rsidRPr="00311D4D" w:rsidRDefault="00762A34" w:rsidP="00E114A9">
                        <w:pPr>
                          <w:pStyle w:val="Figure"/>
                          <w:spacing w:before="0" w:after="0"/>
                          <w:jc w:val="left"/>
                          <w:rPr>
                            <w:rFonts w:ascii="Arial" w:hAnsi="Arial" w:cs="Arial"/>
                            <w:b/>
                            <w:sz w:val="18"/>
                            <w:szCs w:val="18"/>
                          </w:rPr>
                        </w:pPr>
                        <w:r w:rsidRPr="005F68B0">
                          <w:rPr>
                            <w:rFonts w:ascii="Arial" w:hAnsi="Arial" w:cs="Arial"/>
                            <w:b/>
                            <w:sz w:val="18"/>
                            <w:szCs w:val="18"/>
                          </w:rPr>
                          <w:t>Survivor bias</w:t>
                        </w:r>
                      </w:p>
                    </w:tc>
                    <w:tc>
                      <w:tcPr>
                        <w:tcW w:w="1639" w:type="pct"/>
                        <w:shd w:val="clear" w:color="auto" w:fill="F2F2F2" w:themeFill="background1" w:themeFillShade="F2"/>
                      </w:tcPr>
                      <w:p w:rsidR="00762A34" w:rsidDel="009516F9" w:rsidRDefault="00762A34" w:rsidP="00E114A9">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p>
                    </w:tc>
                    <w:tc>
                      <w:tcPr>
                        <w:tcW w:w="941" w:type="pct"/>
                        <w:shd w:val="clear" w:color="auto" w:fill="F2F2F2" w:themeFill="background1" w:themeFillShade="F2"/>
                      </w:tcPr>
                      <w:p w:rsidR="00762A34" w:rsidRPr="005F68B0" w:rsidDel="009516F9" w:rsidRDefault="00762A34" w:rsidP="00E114A9">
                        <w:pPr>
                          <w:pStyle w:val="Figure"/>
                          <w:spacing w:before="0" w:after="0"/>
                          <w:jc w:val="left"/>
                          <w:rPr>
                            <w:rFonts w:asciiTheme="minorHAnsi" w:hAnsi="Arial" w:cstheme="minorBidi"/>
                            <w:b/>
                            <w:color w:val="000000" w:themeColor="text1"/>
                            <w:kern w:val="24"/>
                            <w:sz w:val="18"/>
                            <w:szCs w:val="18"/>
                          </w:rPr>
                        </w:pPr>
                        <w:r w:rsidRPr="005F68B0">
                          <w:rPr>
                            <w:rFonts w:asciiTheme="minorHAnsi" w:hAnsi="Arial" w:cstheme="minorBidi"/>
                            <w:b/>
                            <w:color w:val="000000" w:themeColor="text1"/>
                            <w:kern w:val="24"/>
                            <w:sz w:val="18"/>
                            <w:szCs w:val="18"/>
                          </w:rPr>
                          <w:t>Selection bias</w:t>
                        </w:r>
                      </w:p>
                    </w:tc>
                    <w:tc>
                      <w:tcPr>
                        <w:tcW w:w="1474" w:type="pct"/>
                        <w:shd w:val="clear" w:color="auto" w:fill="F2F2F2" w:themeFill="background1" w:themeFillShade="F2"/>
                      </w:tcPr>
                      <w:p w:rsidR="00762A34" w:rsidDel="009516F9" w:rsidRDefault="00762A34" w:rsidP="00E114A9">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p>
                    </w:tc>
                  </w:tr>
                </w:tbl>
                <w:p w:rsidR="00762A34" w:rsidRPr="00B1465D" w:rsidRDefault="00762A34" w:rsidP="00E114A9">
                  <w:pPr>
                    <w:pStyle w:val="Figure"/>
                    <w:spacing w:before="60" w:after="60"/>
                    <w:rPr>
                      <w:rFonts w:ascii="Arial" w:hAnsi="Arial" w:cs="Arial"/>
                      <w:sz w:val="18"/>
                      <w:szCs w:val="18"/>
                    </w:rPr>
                  </w:pPr>
                </w:p>
              </w:tc>
            </w:tr>
          </w:tbl>
          <w:p w:rsidR="00762A34" w:rsidRDefault="00762A34" w:rsidP="00E114A9">
            <w:pPr>
              <w:pStyle w:val="Figure"/>
            </w:pPr>
          </w:p>
        </w:tc>
      </w:tr>
      <w:tr w:rsidR="00762A34" w:rsidRPr="00176D3F" w:rsidTr="00E114A9">
        <w:tc>
          <w:tcPr>
            <w:tcW w:w="5000" w:type="pct"/>
            <w:tcBorders>
              <w:top w:val="nil"/>
              <w:left w:val="nil"/>
              <w:bottom w:val="nil"/>
              <w:right w:val="nil"/>
            </w:tcBorders>
            <w:shd w:val="clear" w:color="auto" w:fill="auto"/>
          </w:tcPr>
          <w:p w:rsidR="00762A34" w:rsidRPr="00176D3F" w:rsidRDefault="00762A34" w:rsidP="003719B5">
            <w:pPr>
              <w:pStyle w:val="Note"/>
            </w:pPr>
            <w:r>
              <w:rPr>
                <w:rStyle w:val="NoteLabel"/>
              </w:rPr>
              <w:t>a</w:t>
            </w:r>
            <w:r>
              <w:t xml:space="preserve"> Current MySuper products were connected with pre</w:t>
            </w:r>
            <w:r w:rsidR="00617DD2">
              <w:noBreakHyphen/>
            </w:r>
            <w:r>
              <w:t>cursors with the support of SuperRatings where requested. 15 life</w:t>
            </w:r>
            <w:r w:rsidR="00617DD2">
              <w:noBreakHyphen/>
            </w:r>
            <w:r>
              <w:t>cycle products are represented by their largest ‘balanced’ (according to SuperRatings definitions) stage.</w:t>
            </w:r>
            <w:r w:rsidRPr="005659BA">
              <w:rPr>
                <w:rStyle w:val="NoteLabel"/>
              </w:rPr>
              <w:t xml:space="preserve"> b</w:t>
            </w:r>
            <w:r>
              <w:rPr>
                <w:rStyle w:val="NoteLabel"/>
              </w:rPr>
              <w:t xml:space="preserve"> </w:t>
            </w:r>
            <w:r>
              <w:t>11</w:t>
            </w:r>
            <w:r w:rsidR="00617DD2">
              <w:noBreakHyphen/>
            </w:r>
            <w:r>
              <w:t xml:space="preserve">year underperformance is defined as </w:t>
            </w:r>
            <w:r w:rsidR="006D739C">
              <w:t>25 basis points</w:t>
            </w:r>
            <w:r>
              <w:t xml:space="preserve"> below a tailored BP.</w:t>
            </w:r>
            <w:r w:rsidR="00704846">
              <w:t xml:space="preserve"> </w:t>
            </w:r>
            <w:r>
              <w:t>BP2 does not include unlisted infrastructure due to data limitations. Net returns are net of investment fees, taxes, and implicit asset</w:t>
            </w:r>
            <w:r w:rsidR="00617DD2">
              <w:noBreakHyphen/>
            </w:r>
            <w:r>
              <w:t>based administration fees.</w:t>
            </w:r>
          </w:p>
        </w:tc>
      </w:tr>
      <w:tr w:rsidR="00762A34" w:rsidTr="00E114A9">
        <w:tc>
          <w:tcPr>
            <w:tcW w:w="5000" w:type="pct"/>
            <w:tcBorders>
              <w:top w:val="nil"/>
              <w:left w:val="nil"/>
              <w:bottom w:val="single" w:sz="6" w:space="0" w:color="78A22F"/>
              <w:right w:val="nil"/>
            </w:tcBorders>
            <w:shd w:val="clear" w:color="auto" w:fill="auto"/>
          </w:tcPr>
          <w:p w:rsidR="00762A34" w:rsidRDefault="00762A34" w:rsidP="00E114A9">
            <w:pPr>
              <w:pStyle w:val="Figurespace"/>
            </w:pPr>
          </w:p>
        </w:tc>
      </w:tr>
      <w:tr w:rsidR="00762A34" w:rsidRPr="000863A5" w:rsidTr="00E114A9">
        <w:tc>
          <w:tcPr>
            <w:tcW w:w="5000" w:type="pct"/>
            <w:tcBorders>
              <w:top w:val="single" w:sz="6" w:space="0" w:color="78A22F"/>
              <w:left w:val="nil"/>
              <w:bottom w:val="nil"/>
              <w:right w:val="nil"/>
            </w:tcBorders>
          </w:tcPr>
          <w:p w:rsidR="00762A34" w:rsidRPr="00626D32" w:rsidRDefault="00762A34" w:rsidP="00E114A9">
            <w:pPr>
              <w:pStyle w:val="BoxSpaceBelow"/>
            </w:pPr>
          </w:p>
        </w:tc>
      </w:tr>
    </w:tbl>
    <w:p w:rsidR="00762A34" w:rsidRDefault="00762A34" w:rsidP="00762A34">
      <w:pPr>
        <w:pStyle w:val="BodyText"/>
      </w:pPr>
    </w:p>
    <w:p w:rsidR="00762A34" w:rsidRDefault="00762A34" w:rsidP="00762A3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62A34" w:rsidTr="00E114A9">
        <w:trPr>
          <w:tblHeader/>
        </w:trPr>
        <w:tc>
          <w:tcPr>
            <w:tcW w:w="5000" w:type="pct"/>
            <w:tcBorders>
              <w:top w:val="single" w:sz="6" w:space="0" w:color="78A22F"/>
              <w:left w:val="nil"/>
              <w:bottom w:val="nil"/>
              <w:right w:val="nil"/>
            </w:tcBorders>
            <w:shd w:val="clear" w:color="auto" w:fill="auto"/>
          </w:tcPr>
          <w:p w:rsidR="00762A34" w:rsidRDefault="00762A34" w:rsidP="00E114A9">
            <w:pPr>
              <w:pStyle w:val="FigureTitle"/>
            </w:pPr>
            <w:r w:rsidRPr="00784A05">
              <w:rPr>
                <w:b w:val="0"/>
              </w:rPr>
              <w:t xml:space="preserve">Figure </w:t>
            </w:r>
            <w:bookmarkStart w:id="37" w:name="OLE_LINK33"/>
            <w:r w:rsidR="001345FE">
              <w:rPr>
                <w:b w:val="0"/>
                <w:noProof/>
              </w:rPr>
              <w:t>16</w:t>
            </w:r>
            <w:bookmarkEnd w:id="37"/>
            <w:r>
              <w:tab/>
              <w:t xml:space="preserve">Fund </w:t>
            </w:r>
            <w:r w:rsidR="00704F04">
              <w:t xml:space="preserve">(with MySuper product) </w:t>
            </w:r>
            <w:r>
              <w:t xml:space="preserve">performance: rolling </w:t>
            </w:r>
            <w:r w:rsidR="00D11D2F">
              <w:t>five</w:t>
            </w:r>
            <w:r w:rsidR="00617DD2">
              <w:noBreakHyphen/>
            </w:r>
            <w:r w:rsidR="00D11D2F">
              <w:t>year</w:t>
            </w:r>
            <w:r>
              <w:t xml:space="preserve"> averages</w:t>
            </w:r>
            <w:r w:rsidRPr="0091639A">
              <w:rPr>
                <w:rStyle w:val="NoteLabel"/>
                <w:b/>
              </w:rPr>
              <w:t>a</w:t>
            </w:r>
          </w:p>
          <w:p w:rsidR="00762A34" w:rsidRPr="000C2842" w:rsidRDefault="00762A34" w:rsidP="00704F04">
            <w:pPr>
              <w:pStyle w:val="Subtitle"/>
              <w:rPr>
                <w:rStyle w:val="DraftingNote"/>
                <w:b w:val="0"/>
                <w:color w:val="auto"/>
                <w:sz w:val="20"/>
                <w:u w:val="none"/>
              </w:rPr>
            </w:pPr>
            <w:r>
              <w:t>2005</w:t>
            </w:r>
            <w:r w:rsidR="00704F04">
              <w:t>–</w:t>
            </w:r>
            <w:r>
              <w:t>2017</w:t>
            </w:r>
          </w:p>
        </w:tc>
      </w:tr>
      <w:tr w:rsidR="00762A34" w:rsidTr="00E114A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62A34" w:rsidRPr="00B1465D" w:rsidTr="00E114A9">
              <w:trPr>
                <w:tblHeader/>
                <w:jc w:val="center"/>
              </w:trPr>
              <w:tc>
                <w:tcPr>
                  <w:tcW w:w="5000" w:type="pct"/>
                  <w:tcBorders>
                    <w:top w:val="nil"/>
                    <w:bottom w:val="nil"/>
                  </w:tcBorders>
                </w:tcPr>
                <w:p w:rsidR="00762A34" w:rsidRPr="00B1465D" w:rsidRDefault="008B3528" w:rsidP="00E114A9">
                  <w:pPr>
                    <w:pStyle w:val="Figure"/>
                    <w:spacing w:before="60" w:after="60"/>
                    <w:rPr>
                      <w:rFonts w:ascii="Arial" w:hAnsi="Arial" w:cs="Arial"/>
                      <w:sz w:val="18"/>
                      <w:szCs w:val="18"/>
                    </w:rPr>
                  </w:pPr>
                  <w:r>
                    <w:rPr>
                      <w:rFonts w:ascii="Arial" w:hAnsi="Arial" w:cs="Arial"/>
                      <w:noProof/>
                      <w:sz w:val="18"/>
                      <w:szCs w:val="18"/>
                    </w:rPr>
                    <w:t xml:space="preserve"> </w:t>
                  </w:r>
                  <w:r w:rsidR="00E06099" w:rsidRPr="00E06099">
                    <w:rPr>
                      <w:rFonts w:ascii="Arial" w:hAnsi="Arial" w:cs="Arial"/>
                      <w:noProof/>
                      <w:sz w:val="18"/>
                      <w:szCs w:val="18"/>
                    </w:rPr>
                    <w:drawing>
                      <wp:inline distT="0" distB="0" distL="0" distR="0" wp14:anchorId="31A1738D" wp14:editId="19DAB447">
                        <wp:extent cx="5236608" cy="6080760"/>
                        <wp:effectExtent l="0" t="0" r="0" b="0"/>
                        <wp:docPr id="33" name="Picture 33" descr="This line chart shows rolling 5-year average fund performance against tailored BP2s from 2005 to 2017. The lines are coloured depending on whether they were a long-term underperformer. Results against BP1 and BP2 are pres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36608" cy="6080760"/>
                                </a:xfrm>
                                <a:prstGeom prst="rect">
                                  <a:avLst/>
                                </a:prstGeom>
                                <a:noFill/>
                                <a:ln>
                                  <a:noFill/>
                                </a:ln>
                              </pic:spPr>
                            </pic:pic>
                          </a:graphicData>
                        </a:graphic>
                      </wp:inline>
                    </w:drawing>
                  </w:r>
                </w:p>
                <w:tbl>
                  <w:tblPr>
                    <w:tblW w:w="5000" w:type="pct"/>
                    <w:tblLook w:val="04A0" w:firstRow="1" w:lastRow="0" w:firstColumn="1" w:lastColumn="0" w:noHBand="0" w:noVBand="1"/>
                  </w:tblPr>
                  <w:tblGrid>
                    <w:gridCol w:w="1609"/>
                    <w:gridCol w:w="2788"/>
                    <w:gridCol w:w="1600"/>
                    <w:gridCol w:w="2507"/>
                  </w:tblGrid>
                  <w:tr w:rsidR="00762A34" w:rsidTr="00E114A9">
                    <w:trPr>
                      <w:tblHeader/>
                    </w:trPr>
                    <w:tc>
                      <w:tcPr>
                        <w:tcW w:w="946" w:type="pct"/>
                        <w:shd w:val="clear" w:color="auto" w:fill="F2F2F2" w:themeFill="background1" w:themeFillShade="F2"/>
                      </w:tcPr>
                      <w:p w:rsidR="00762A34" w:rsidRDefault="00762A34" w:rsidP="00E114A9">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4054" w:type="pct"/>
                        <w:gridSpan w:val="3"/>
                        <w:shd w:val="clear" w:color="auto" w:fill="F2F2F2" w:themeFill="background1" w:themeFillShade="F2"/>
                      </w:tcPr>
                      <w:p w:rsidR="00762A34" w:rsidRDefault="00762A34" w:rsidP="00E114A9">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PC analysis of confidential APRA and financial market index data (various providers).</w:t>
                        </w:r>
                      </w:p>
                    </w:tc>
                  </w:tr>
                  <w:tr w:rsidR="00762A34" w:rsidTr="00E114A9">
                    <w:tc>
                      <w:tcPr>
                        <w:tcW w:w="946" w:type="pct"/>
                        <w:shd w:val="clear" w:color="auto" w:fill="F2F2F2" w:themeFill="background1" w:themeFillShade="F2"/>
                      </w:tcPr>
                      <w:p w:rsidR="00762A34" w:rsidRDefault="00762A34" w:rsidP="00E114A9">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Benchmark</w:t>
                        </w:r>
                      </w:p>
                    </w:tc>
                    <w:tc>
                      <w:tcPr>
                        <w:tcW w:w="4054" w:type="pct"/>
                        <w:gridSpan w:val="3"/>
                        <w:shd w:val="clear" w:color="auto" w:fill="F2F2F2" w:themeFill="background1" w:themeFillShade="F2"/>
                      </w:tcPr>
                      <w:p w:rsidR="00762A34" w:rsidRDefault="00762A34" w:rsidP="00E114A9">
                        <w:pPr>
                          <w:pStyle w:val="Figure"/>
                          <w:spacing w:before="0" w:after="0"/>
                          <w:jc w:val="left"/>
                          <w:rPr>
                            <w:rFonts w:ascii="Arial" w:hAnsi="Arial" w:cs="Arial"/>
                            <w:sz w:val="18"/>
                            <w:szCs w:val="18"/>
                          </w:rPr>
                        </w:pPr>
                        <w:r>
                          <w:rPr>
                            <w:rFonts w:ascii="Arial" w:hAnsi="Arial" w:cs="Arial"/>
                            <w:sz w:val="18"/>
                            <w:szCs w:val="18"/>
                          </w:rPr>
                          <w:t>Fund</w:t>
                        </w:r>
                        <w:r w:rsidR="00617DD2">
                          <w:rPr>
                            <w:rFonts w:ascii="Arial" w:hAnsi="Arial" w:cs="Arial"/>
                            <w:sz w:val="18"/>
                            <w:szCs w:val="18"/>
                          </w:rPr>
                          <w:noBreakHyphen/>
                        </w:r>
                        <w:r>
                          <w:rPr>
                            <w:rFonts w:ascii="Arial" w:hAnsi="Arial" w:cs="Arial"/>
                            <w:sz w:val="18"/>
                            <w:szCs w:val="18"/>
                          </w:rPr>
                          <w:t>tailored BP1 and BP2</w:t>
                        </w:r>
                        <w:r w:rsidR="0060551F">
                          <w:rPr>
                            <w:rFonts w:ascii="Arial" w:hAnsi="Arial" w:cs="Arial"/>
                            <w:sz w:val="18"/>
                            <w:szCs w:val="18"/>
                          </w:rPr>
                          <w:t>.</w:t>
                        </w:r>
                      </w:p>
                    </w:tc>
                  </w:tr>
                  <w:tr w:rsidR="00762A34" w:rsidRPr="0032089A" w:rsidTr="00E114A9">
                    <w:tc>
                      <w:tcPr>
                        <w:tcW w:w="946" w:type="pct"/>
                        <w:shd w:val="clear" w:color="auto" w:fill="F2F2F2" w:themeFill="background1" w:themeFillShade="F2"/>
                      </w:tcPr>
                      <w:p w:rsidR="00762A34" w:rsidRDefault="00762A34" w:rsidP="00E114A9">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4054" w:type="pct"/>
                        <w:gridSpan w:val="3"/>
                        <w:shd w:val="clear" w:color="auto" w:fill="F2F2F2" w:themeFill="background1" w:themeFillShade="F2"/>
                      </w:tcPr>
                      <w:p w:rsidR="00762A34" w:rsidRPr="0032089A" w:rsidRDefault="00762A34" w:rsidP="00E114A9">
                        <w:pPr>
                          <w:pStyle w:val="NormalWeb"/>
                          <w:rPr>
                            <w:color w:val="000000" w:themeColor="text1"/>
                            <w:sz w:val="18"/>
                            <w:szCs w:val="18"/>
                          </w:rPr>
                        </w:pPr>
                        <w:r w:rsidRPr="00D079E5">
                          <w:rPr>
                            <w:rFonts w:asciiTheme="minorHAnsi" w:hAnsi="Arial" w:cstheme="minorBidi"/>
                            <w:color w:val="000000" w:themeColor="text1"/>
                            <w:kern w:val="24"/>
                            <w:sz w:val="18"/>
                            <w:szCs w:val="18"/>
                          </w:rPr>
                          <w:t xml:space="preserve">All </w:t>
                        </w:r>
                        <w:r>
                          <w:rPr>
                            <w:rFonts w:asciiTheme="minorHAnsi" w:hAnsi="Arial" w:cstheme="minorBidi"/>
                            <w:color w:val="000000" w:themeColor="text1"/>
                            <w:kern w:val="24"/>
                            <w:sz w:val="18"/>
                            <w:szCs w:val="18"/>
                          </w:rPr>
                          <w:t>APRA</w:t>
                        </w:r>
                        <w:r>
                          <w:rPr>
                            <w:rFonts w:asciiTheme="minorHAnsi" w:hAnsi="Arial" w:cstheme="minorBidi"/>
                            <w:color w:val="000000" w:themeColor="text1"/>
                            <w:kern w:val="24"/>
                            <w:sz w:val="18"/>
                            <w:szCs w:val="18"/>
                          </w:rPr>
                          <w:noBreakHyphen/>
                          <w:t>regulated</w:t>
                        </w:r>
                        <w:r w:rsidRPr="00D079E5">
                          <w:rPr>
                            <w:rFonts w:asciiTheme="minorHAnsi" w:hAnsi="Arial" w:cstheme="minorBidi"/>
                            <w:color w:val="000000" w:themeColor="text1"/>
                            <w:kern w:val="24"/>
                            <w:sz w:val="18"/>
                            <w:szCs w:val="18"/>
                          </w:rPr>
                          <w:t xml:space="preserve"> funds with a MySuper product </w:t>
                        </w:r>
                        <w:r>
                          <w:rPr>
                            <w:rFonts w:asciiTheme="minorHAnsi" w:hAnsi="Arial" w:cstheme="minorBidi"/>
                            <w:color w:val="000000" w:themeColor="text1"/>
                            <w:kern w:val="24"/>
                            <w:sz w:val="18"/>
                            <w:szCs w:val="18"/>
                          </w:rPr>
                          <w:t>in the dataset over the full period (54% of assets and 61% of member accounts in all APRA</w:t>
                        </w:r>
                        <w:r>
                          <w:rPr>
                            <w:rFonts w:asciiTheme="minorHAnsi" w:hAnsi="Arial" w:cstheme="minorBidi"/>
                            <w:color w:val="000000" w:themeColor="text1"/>
                            <w:kern w:val="24"/>
                            <w:sz w:val="18"/>
                            <w:szCs w:val="18"/>
                          </w:rPr>
                          <w:noBreakHyphen/>
                          <w:t>regulated funds with a MySuper product in 2017). Over the whole system, the figure represents 67</w:t>
                        </w:r>
                        <w:r w:rsidRPr="00D079E5">
                          <w:rPr>
                            <w:rFonts w:asciiTheme="minorHAnsi" w:hAnsi="Arial" w:cstheme="minorBidi"/>
                            <w:color w:val="000000" w:themeColor="text1"/>
                            <w:kern w:val="24"/>
                            <w:sz w:val="18"/>
                            <w:szCs w:val="18"/>
                          </w:rPr>
                          <w:t xml:space="preserve"> funds</w:t>
                        </w:r>
                        <w:r>
                          <w:rPr>
                            <w:rFonts w:asciiTheme="minorHAnsi" w:hAnsi="Arial" w:cstheme="minorBidi"/>
                            <w:color w:val="000000" w:themeColor="text1"/>
                            <w:kern w:val="24"/>
                            <w:sz w:val="18"/>
                            <w:szCs w:val="18"/>
                          </w:rPr>
                          <w:t xml:space="preserve">, 27% of </w:t>
                        </w:r>
                        <w:r w:rsidRPr="00D079E5">
                          <w:rPr>
                            <w:rFonts w:asciiTheme="minorHAnsi" w:hAnsi="Arial" w:cstheme="minorBidi"/>
                            <w:color w:val="000000" w:themeColor="text1"/>
                            <w:kern w:val="24"/>
                            <w:sz w:val="18"/>
                            <w:szCs w:val="18"/>
                          </w:rPr>
                          <w:t xml:space="preserve">assets and </w:t>
                        </w:r>
                        <w:r>
                          <w:rPr>
                            <w:rFonts w:asciiTheme="minorHAnsi" w:hAnsi="Arial" w:cstheme="minorBidi"/>
                            <w:color w:val="000000" w:themeColor="text1"/>
                            <w:kern w:val="24"/>
                            <w:sz w:val="18"/>
                            <w:szCs w:val="18"/>
                          </w:rPr>
                          <w:t>47</w:t>
                        </w:r>
                        <w:r w:rsidRPr="00D079E5">
                          <w:rPr>
                            <w:rFonts w:asciiTheme="minorHAnsi" w:hAnsi="Arial" w:cstheme="minorBidi"/>
                            <w:color w:val="000000" w:themeColor="text1"/>
                            <w:kern w:val="24"/>
                            <w:sz w:val="18"/>
                            <w:szCs w:val="18"/>
                          </w:rPr>
                          <w:t xml:space="preserve">% of member accounts in </w:t>
                        </w:r>
                        <w:r>
                          <w:rPr>
                            <w:rFonts w:asciiTheme="minorHAnsi" w:hAnsi="Arial" w:cstheme="minorBidi"/>
                            <w:color w:val="000000" w:themeColor="text1"/>
                            <w:kern w:val="24"/>
                            <w:sz w:val="18"/>
                            <w:szCs w:val="18"/>
                          </w:rPr>
                          <w:t>2017.</w:t>
                        </w:r>
                      </w:p>
                    </w:tc>
                  </w:tr>
                  <w:tr w:rsidR="00762A34" w:rsidDel="009516F9" w:rsidTr="00E114A9">
                    <w:tc>
                      <w:tcPr>
                        <w:tcW w:w="946" w:type="pct"/>
                        <w:shd w:val="clear" w:color="auto" w:fill="F2F2F2" w:themeFill="background1" w:themeFillShade="F2"/>
                      </w:tcPr>
                      <w:p w:rsidR="00762A34" w:rsidRPr="00311D4D" w:rsidRDefault="00762A34" w:rsidP="00E114A9">
                        <w:pPr>
                          <w:pStyle w:val="Figure"/>
                          <w:spacing w:before="0" w:after="0"/>
                          <w:jc w:val="left"/>
                          <w:rPr>
                            <w:rFonts w:ascii="Arial" w:hAnsi="Arial" w:cs="Arial"/>
                            <w:b/>
                            <w:sz w:val="18"/>
                            <w:szCs w:val="18"/>
                          </w:rPr>
                        </w:pPr>
                        <w:r w:rsidRPr="005F68B0">
                          <w:rPr>
                            <w:rFonts w:ascii="Arial" w:hAnsi="Arial" w:cs="Arial"/>
                            <w:b/>
                            <w:sz w:val="18"/>
                            <w:szCs w:val="18"/>
                          </w:rPr>
                          <w:t>Survivor bias</w:t>
                        </w:r>
                      </w:p>
                    </w:tc>
                    <w:tc>
                      <w:tcPr>
                        <w:tcW w:w="1639" w:type="pct"/>
                        <w:shd w:val="clear" w:color="auto" w:fill="F2F2F2" w:themeFill="background1" w:themeFillShade="F2"/>
                      </w:tcPr>
                      <w:p w:rsidR="00762A34" w:rsidDel="009516F9" w:rsidRDefault="00762A34" w:rsidP="00E114A9">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p>
                    </w:tc>
                    <w:tc>
                      <w:tcPr>
                        <w:tcW w:w="941" w:type="pct"/>
                        <w:shd w:val="clear" w:color="auto" w:fill="F2F2F2" w:themeFill="background1" w:themeFillShade="F2"/>
                      </w:tcPr>
                      <w:p w:rsidR="00762A34" w:rsidRPr="005F68B0" w:rsidDel="009516F9" w:rsidRDefault="00762A34" w:rsidP="00E114A9">
                        <w:pPr>
                          <w:pStyle w:val="Figure"/>
                          <w:spacing w:before="0" w:after="0"/>
                          <w:jc w:val="left"/>
                          <w:rPr>
                            <w:rFonts w:asciiTheme="minorHAnsi" w:hAnsi="Arial" w:cstheme="minorBidi"/>
                            <w:b/>
                            <w:color w:val="000000" w:themeColor="text1"/>
                            <w:kern w:val="24"/>
                            <w:sz w:val="18"/>
                            <w:szCs w:val="18"/>
                          </w:rPr>
                        </w:pPr>
                        <w:r w:rsidRPr="005F68B0">
                          <w:rPr>
                            <w:rFonts w:asciiTheme="minorHAnsi" w:hAnsi="Arial" w:cstheme="minorBidi"/>
                            <w:b/>
                            <w:color w:val="000000" w:themeColor="text1"/>
                            <w:kern w:val="24"/>
                            <w:sz w:val="18"/>
                            <w:szCs w:val="18"/>
                          </w:rPr>
                          <w:t>Selection bias</w:t>
                        </w:r>
                      </w:p>
                    </w:tc>
                    <w:tc>
                      <w:tcPr>
                        <w:tcW w:w="1474" w:type="pct"/>
                        <w:shd w:val="clear" w:color="auto" w:fill="F2F2F2" w:themeFill="background1" w:themeFillShade="F2"/>
                      </w:tcPr>
                      <w:p w:rsidR="00762A34" w:rsidDel="009516F9" w:rsidRDefault="00762A34" w:rsidP="00E114A9">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p>
                    </w:tc>
                  </w:tr>
                </w:tbl>
                <w:p w:rsidR="00762A34" w:rsidRPr="00B1465D" w:rsidRDefault="00762A34" w:rsidP="00E114A9">
                  <w:pPr>
                    <w:pStyle w:val="Figure"/>
                    <w:spacing w:before="60" w:after="60"/>
                    <w:rPr>
                      <w:rFonts w:ascii="Arial" w:hAnsi="Arial" w:cs="Arial"/>
                      <w:sz w:val="18"/>
                      <w:szCs w:val="18"/>
                    </w:rPr>
                  </w:pPr>
                </w:p>
              </w:tc>
            </w:tr>
          </w:tbl>
          <w:p w:rsidR="00762A34" w:rsidRDefault="00762A34" w:rsidP="00E114A9">
            <w:pPr>
              <w:pStyle w:val="Figure"/>
            </w:pPr>
          </w:p>
        </w:tc>
      </w:tr>
      <w:tr w:rsidR="00762A34" w:rsidRPr="00176D3F" w:rsidTr="00E114A9">
        <w:tc>
          <w:tcPr>
            <w:tcW w:w="5000" w:type="pct"/>
            <w:tcBorders>
              <w:top w:val="nil"/>
              <w:left w:val="nil"/>
              <w:bottom w:val="nil"/>
              <w:right w:val="nil"/>
            </w:tcBorders>
            <w:shd w:val="clear" w:color="auto" w:fill="auto"/>
          </w:tcPr>
          <w:p w:rsidR="00762A34" w:rsidRPr="00176D3F" w:rsidRDefault="00762A34" w:rsidP="003719B5">
            <w:pPr>
              <w:pStyle w:val="Note"/>
            </w:pPr>
            <w:r>
              <w:rPr>
                <w:rStyle w:val="NoteLabel"/>
              </w:rPr>
              <w:t>a</w:t>
            </w:r>
            <w:r>
              <w:t xml:space="preserve"> 13</w:t>
            </w:r>
            <w:r w:rsidR="00617DD2">
              <w:noBreakHyphen/>
            </w:r>
            <w:r>
              <w:t xml:space="preserve">year underperformance is defined as </w:t>
            </w:r>
            <w:r w:rsidR="006D739C">
              <w:t>25 basis points</w:t>
            </w:r>
            <w:r>
              <w:t xml:space="preserve"> below a tailored BP. </w:t>
            </w:r>
          </w:p>
        </w:tc>
      </w:tr>
      <w:tr w:rsidR="00762A34" w:rsidTr="00E114A9">
        <w:tc>
          <w:tcPr>
            <w:tcW w:w="5000" w:type="pct"/>
            <w:tcBorders>
              <w:top w:val="nil"/>
              <w:left w:val="nil"/>
              <w:bottom w:val="single" w:sz="6" w:space="0" w:color="78A22F"/>
              <w:right w:val="nil"/>
            </w:tcBorders>
            <w:shd w:val="clear" w:color="auto" w:fill="auto"/>
          </w:tcPr>
          <w:p w:rsidR="00762A34" w:rsidRDefault="00762A34" w:rsidP="00E114A9">
            <w:pPr>
              <w:pStyle w:val="Figurespace"/>
            </w:pPr>
          </w:p>
        </w:tc>
      </w:tr>
      <w:tr w:rsidR="00762A34" w:rsidRPr="000863A5" w:rsidTr="00E114A9">
        <w:tc>
          <w:tcPr>
            <w:tcW w:w="5000" w:type="pct"/>
            <w:tcBorders>
              <w:top w:val="single" w:sz="6" w:space="0" w:color="78A22F"/>
              <w:left w:val="nil"/>
              <w:bottom w:val="nil"/>
              <w:right w:val="nil"/>
            </w:tcBorders>
          </w:tcPr>
          <w:p w:rsidR="00762A34" w:rsidRPr="00626D32" w:rsidRDefault="00762A34" w:rsidP="00E114A9">
            <w:pPr>
              <w:pStyle w:val="BoxSpaceBelow"/>
            </w:pPr>
          </w:p>
        </w:tc>
      </w:tr>
    </w:tbl>
    <w:p w:rsidR="00762A34" w:rsidRDefault="00762A34" w:rsidP="00762A3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62A34" w:rsidTr="00E114A9">
        <w:trPr>
          <w:tblHeader/>
        </w:trPr>
        <w:tc>
          <w:tcPr>
            <w:tcW w:w="5000" w:type="pct"/>
            <w:tcBorders>
              <w:top w:val="single" w:sz="6" w:space="0" w:color="78A22F"/>
              <w:left w:val="nil"/>
              <w:bottom w:val="nil"/>
              <w:right w:val="nil"/>
            </w:tcBorders>
            <w:shd w:val="clear" w:color="auto" w:fill="auto"/>
          </w:tcPr>
          <w:p w:rsidR="00762A34" w:rsidRDefault="00762A34" w:rsidP="00E114A9">
            <w:pPr>
              <w:pStyle w:val="FigureTitle"/>
            </w:pPr>
            <w:r w:rsidRPr="00784A05">
              <w:rPr>
                <w:b w:val="0"/>
              </w:rPr>
              <w:t xml:space="preserve">Figure </w:t>
            </w:r>
            <w:bookmarkStart w:id="38" w:name="OLE_LINK46"/>
            <w:r w:rsidR="001345FE">
              <w:rPr>
                <w:b w:val="0"/>
                <w:noProof/>
              </w:rPr>
              <w:t>17</w:t>
            </w:r>
            <w:bookmarkEnd w:id="38"/>
            <w:r>
              <w:tab/>
              <w:t xml:space="preserve">Fund </w:t>
            </w:r>
            <w:r w:rsidR="00704F04">
              <w:t xml:space="preserve">(with MySuper product) </w:t>
            </w:r>
            <w:r>
              <w:t xml:space="preserve">performance: rolling </w:t>
            </w:r>
            <w:r w:rsidR="00D11D2F">
              <w:t>five</w:t>
            </w:r>
            <w:r w:rsidR="00617DD2">
              <w:noBreakHyphen/>
            </w:r>
            <w:r w:rsidR="00D11D2F">
              <w:t>year</w:t>
            </w:r>
            <w:r>
              <w:t xml:space="preserve"> averages</w:t>
            </w:r>
            <w:r>
              <w:rPr>
                <w:rStyle w:val="NoteLabel"/>
                <w:b/>
              </w:rPr>
              <w:t>a</w:t>
            </w:r>
          </w:p>
          <w:p w:rsidR="00762A34" w:rsidRDefault="00762A34" w:rsidP="00E114A9">
            <w:pPr>
              <w:pStyle w:val="Subtitle"/>
            </w:pPr>
            <w:r>
              <w:t xml:space="preserve">Number of underperforming </w:t>
            </w:r>
            <w:r w:rsidR="00D11D2F">
              <w:t>5</w:t>
            </w:r>
            <w:r w:rsidR="00617DD2">
              <w:noBreakHyphen/>
            </w:r>
            <w:r w:rsidR="00D11D2F">
              <w:t>year</w:t>
            </w:r>
            <w:r>
              <w:t xml:space="preserve"> averages and 13</w:t>
            </w:r>
            <w:r w:rsidR="00617DD2">
              <w:noBreakHyphen/>
            </w:r>
            <w:r>
              <w:t>year performance</w:t>
            </w:r>
          </w:p>
          <w:p w:rsidR="00762A34" w:rsidRPr="000C2842" w:rsidRDefault="00704F04" w:rsidP="00E114A9">
            <w:pPr>
              <w:pStyle w:val="Subtitle"/>
              <w:rPr>
                <w:rStyle w:val="DraftingNote"/>
                <w:b w:val="0"/>
                <w:color w:val="auto"/>
                <w:sz w:val="20"/>
                <w:u w:val="none"/>
              </w:rPr>
            </w:pPr>
            <w:r>
              <w:t>2005–</w:t>
            </w:r>
            <w:r w:rsidR="00762A34">
              <w:t>2017</w:t>
            </w:r>
          </w:p>
        </w:tc>
      </w:tr>
      <w:tr w:rsidR="00762A34" w:rsidTr="00E114A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62A34" w:rsidRPr="00B1465D" w:rsidTr="00E114A9">
              <w:trPr>
                <w:tblHeader/>
                <w:jc w:val="center"/>
              </w:trPr>
              <w:tc>
                <w:tcPr>
                  <w:tcW w:w="5000" w:type="pct"/>
                  <w:tcBorders>
                    <w:top w:val="nil"/>
                    <w:bottom w:val="nil"/>
                  </w:tcBorders>
                </w:tcPr>
                <w:p w:rsidR="00762A34" w:rsidRPr="00B1465D" w:rsidRDefault="005024C3" w:rsidP="00E114A9">
                  <w:pPr>
                    <w:pStyle w:val="Figure"/>
                    <w:spacing w:before="60" w:after="60"/>
                    <w:rPr>
                      <w:rFonts w:ascii="Arial" w:hAnsi="Arial" w:cs="Arial"/>
                      <w:sz w:val="18"/>
                      <w:szCs w:val="18"/>
                    </w:rPr>
                  </w:pPr>
                  <w:r w:rsidRPr="005024C3">
                    <w:rPr>
                      <w:rFonts w:ascii="Arial" w:hAnsi="Arial" w:cs="Arial"/>
                      <w:noProof/>
                      <w:sz w:val="18"/>
                      <w:szCs w:val="18"/>
                    </w:rPr>
                    <w:drawing>
                      <wp:inline distT="0" distB="0" distL="0" distR="0" wp14:anchorId="7642C947" wp14:editId="7B309F8D">
                        <wp:extent cx="5577840" cy="2910840"/>
                        <wp:effectExtent l="0" t="0" r="3810" b="3810"/>
                        <wp:docPr id="12" name="Picture 12" descr="These two bubble charts have fund performance against BP1 and BP2 on the x axis, and the number of 5-year rolling averages below BP-0.25% on the y axis. &#10;&#10;The bubbles are coloured by fund type and sized by assets.&#10;&#10;It shows that most 13-year underperformers underperform over 5-year periods, but 11-year non-underperformers have mixed 5-year performa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77840" cy="2910840"/>
                                </a:xfrm>
                                <a:prstGeom prst="rect">
                                  <a:avLst/>
                                </a:prstGeom>
                                <a:noFill/>
                                <a:ln>
                                  <a:noFill/>
                                </a:ln>
                              </pic:spPr>
                            </pic:pic>
                          </a:graphicData>
                        </a:graphic>
                      </wp:inline>
                    </w:drawing>
                  </w:r>
                </w:p>
                <w:tbl>
                  <w:tblPr>
                    <w:tblW w:w="5000" w:type="pct"/>
                    <w:tblLook w:val="04A0" w:firstRow="1" w:lastRow="0" w:firstColumn="1" w:lastColumn="0" w:noHBand="0" w:noVBand="1"/>
                  </w:tblPr>
                  <w:tblGrid>
                    <w:gridCol w:w="1609"/>
                    <w:gridCol w:w="2788"/>
                    <w:gridCol w:w="1601"/>
                    <w:gridCol w:w="2507"/>
                  </w:tblGrid>
                  <w:tr w:rsidR="00762A34" w:rsidTr="00E114A9">
                    <w:trPr>
                      <w:tblHeader/>
                    </w:trPr>
                    <w:tc>
                      <w:tcPr>
                        <w:tcW w:w="946" w:type="pct"/>
                        <w:shd w:val="clear" w:color="auto" w:fill="F2F2F2" w:themeFill="background1" w:themeFillShade="F2"/>
                      </w:tcPr>
                      <w:p w:rsidR="00762A34" w:rsidRDefault="00762A34" w:rsidP="00E114A9">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4054" w:type="pct"/>
                        <w:gridSpan w:val="3"/>
                        <w:shd w:val="clear" w:color="auto" w:fill="F2F2F2" w:themeFill="background1" w:themeFillShade="F2"/>
                      </w:tcPr>
                      <w:p w:rsidR="00762A34" w:rsidRDefault="00762A34" w:rsidP="00E114A9">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PC analysis of confidential APRA and financial market index data (various providers).</w:t>
                        </w:r>
                      </w:p>
                    </w:tc>
                  </w:tr>
                  <w:tr w:rsidR="00762A34" w:rsidTr="00E114A9">
                    <w:tc>
                      <w:tcPr>
                        <w:tcW w:w="946" w:type="pct"/>
                        <w:shd w:val="clear" w:color="auto" w:fill="F2F2F2" w:themeFill="background1" w:themeFillShade="F2"/>
                      </w:tcPr>
                      <w:p w:rsidR="00762A34" w:rsidRDefault="00762A34" w:rsidP="00E114A9">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Benchmark</w:t>
                        </w:r>
                      </w:p>
                    </w:tc>
                    <w:tc>
                      <w:tcPr>
                        <w:tcW w:w="4054" w:type="pct"/>
                        <w:gridSpan w:val="3"/>
                        <w:shd w:val="clear" w:color="auto" w:fill="F2F2F2" w:themeFill="background1" w:themeFillShade="F2"/>
                      </w:tcPr>
                      <w:p w:rsidR="00762A34" w:rsidRDefault="00B90680" w:rsidP="00704846">
                        <w:pPr>
                          <w:pStyle w:val="Figure"/>
                          <w:spacing w:before="0" w:after="0"/>
                          <w:jc w:val="left"/>
                          <w:rPr>
                            <w:rFonts w:ascii="Arial" w:hAnsi="Arial" w:cs="Arial"/>
                            <w:sz w:val="18"/>
                            <w:szCs w:val="18"/>
                          </w:rPr>
                        </w:pPr>
                        <w:r>
                          <w:rPr>
                            <w:rFonts w:ascii="Arial" w:hAnsi="Arial" w:cs="Arial"/>
                            <w:sz w:val="18"/>
                            <w:szCs w:val="18"/>
                          </w:rPr>
                          <w:t>Fund</w:t>
                        </w:r>
                        <w:r w:rsidR="00704846">
                          <w:rPr>
                            <w:rFonts w:ascii="Arial" w:hAnsi="Arial" w:cs="Arial"/>
                            <w:sz w:val="18"/>
                            <w:szCs w:val="18"/>
                          </w:rPr>
                          <w:noBreakHyphen/>
                        </w:r>
                        <w:r w:rsidR="00762A34">
                          <w:rPr>
                            <w:rFonts w:ascii="Arial" w:hAnsi="Arial" w:cs="Arial"/>
                            <w:sz w:val="18"/>
                            <w:szCs w:val="18"/>
                          </w:rPr>
                          <w:t>tailored BP1 and BP2</w:t>
                        </w:r>
                        <w:r w:rsidR="0060551F">
                          <w:rPr>
                            <w:rFonts w:ascii="Arial" w:hAnsi="Arial" w:cs="Arial"/>
                            <w:sz w:val="18"/>
                            <w:szCs w:val="18"/>
                          </w:rPr>
                          <w:t>.</w:t>
                        </w:r>
                      </w:p>
                    </w:tc>
                  </w:tr>
                  <w:tr w:rsidR="00762A34" w:rsidRPr="0032089A" w:rsidTr="00E114A9">
                    <w:tc>
                      <w:tcPr>
                        <w:tcW w:w="946" w:type="pct"/>
                        <w:shd w:val="clear" w:color="auto" w:fill="F2F2F2" w:themeFill="background1" w:themeFillShade="F2"/>
                      </w:tcPr>
                      <w:p w:rsidR="00762A34" w:rsidRDefault="00762A34" w:rsidP="00E114A9">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4054" w:type="pct"/>
                        <w:gridSpan w:val="3"/>
                        <w:shd w:val="clear" w:color="auto" w:fill="F2F2F2" w:themeFill="background1" w:themeFillShade="F2"/>
                      </w:tcPr>
                      <w:p w:rsidR="00762A34" w:rsidRPr="0032089A" w:rsidRDefault="00762A34" w:rsidP="00E114A9">
                        <w:pPr>
                          <w:pStyle w:val="NormalWeb"/>
                          <w:rPr>
                            <w:color w:val="000000" w:themeColor="text1"/>
                            <w:sz w:val="18"/>
                            <w:szCs w:val="18"/>
                          </w:rPr>
                        </w:pPr>
                        <w:r w:rsidRPr="00D079E5">
                          <w:rPr>
                            <w:rFonts w:asciiTheme="minorHAnsi" w:hAnsi="Arial" w:cstheme="minorBidi"/>
                            <w:color w:val="000000" w:themeColor="text1"/>
                            <w:kern w:val="24"/>
                            <w:sz w:val="18"/>
                            <w:szCs w:val="18"/>
                          </w:rPr>
                          <w:t xml:space="preserve">All </w:t>
                        </w:r>
                        <w:r>
                          <w:rPr>
                            <w:rFonts w:asciiTheme="minorHAnsi" w:hAnsi="Arial" w:cstheme="minorBidi"/>
                            <w:color w:val="000000" w:themeColor="text1"/>
                            <w:kern w:val="24"/>
                            <w:sz w:val="18"/>
                            <w:szCs w:val="18"/>
                          </w:rPr>
                          <w:t>APRA</w:t>
                        </w:r>
                        <w:r>
                          <w:rPr>
                            <w:rFonts w:asciiTheme="minorHAnsi" w:hAnsi="Arial" w:cstheme="minorBidi"/>
                            <w:color w:val="000000" w:themeColor="text1"/>
                            <w:kern w:val="24"/>
                            <w:sz w:val="18"/>
                            <w:szCs w:val="18"/>
                          </w:rPr>
                          <w:noBreakHyphen/>
                          <w:t>regulated</w:t>
                        </w:r>
                        <w:r w:rsidRPr="00D079E5">
                          <w:rPr>
                            <w:rFonts w:asciiTheme="minorHAnsi" w:hAnsi="Arial" w:cstheme="minorBidi"/>
                            <w:color w:val="000000" w:themeColor="text1"/>
                            <w:kern w:val="24"/>
                            <w:sz w:val="18"/>
                            <w:szCs w:val="18"/>
                          </w:rPr>
                          <w:t xml:space="preserve"> funds with a MySuper product </w:t>
                        </w:r>
                        <w:r>
                          <w:rPr>
                            <w:rFonts w:asciiTheme="minorHAnsi" w:hAnsi="Arial" w:cstheme="minorBidi"/>
                            <w:color w:val="000000" w:themeColor="text1"/>
                            <w:kern w:val="24"/>
                            <w:sz w:val="18"/>
                            <w:szCs w:val="18"/>
                          </w:rPr>
                          <w:t>in the dataset over the full period (54% of assets and 61% of member accounts in all APRA</w:t>
                        </w:r>
                        <w:r>
                          <w:rPr>
                            <w:rFonts w:asciiTheme="minorHAnsi" w:hAnsi="Arial" w:cstheme="minorBidi"/>
                            <w:color w:val="000000" w:themeColor="text1"/>
                            <w:kern w:val="24"/>
                            <w:sz w:val="18"/>
                            <w:szCs w:val="18"/>
                          </w:rPr>
                          <w:noBreakHyphen/>
                          <w:t>regulated funds with a MySuper product in 2017). Over the whole system, the figure represents 67</w:t>
                        </w:r>
                        <w:r w:rsidRPr="00D079E5">
                          <w:rPr>
                            <w:rFonts w:asciiTheme="minorHAnsi" w:hAnsi="Arial" w:cstheme="minorBidi"/>
                            <w:color w:val="000000" w:themeColor="text1"/>
                            <w:kern w:val="24"/>
                            <w:sz w:val="18"/>
                            <w:szCs w:val="18"/>
                          </w:rPr>
                          <w:t xml:space="preserve"> funds</w:t>
                        </w:r>
                        <w:r>
                          <w:rPr>
                            <w:rFonts w:asciiTheme="minorHAnsi" w:hAnsi="Arial" w:cstheme="minorBidi"/>
                            <w:color w:val="000000" w:themeColor="text1"/>
                            <w:kern w:val="24"/>
                            <w:sz w:val="18"/>
                            <w:szCs w:val="18"/>
                          </w:rPr>
                          <w:t xml:space="preserve">, 27% of </w:t>
                        </w:r>
                        <w:r w:rsidRPr="00D079E5">
                          <w:rPr>
                            <w:rFonts w:asciiTheme="minorHAnsi" w:hAnsi="Arial" w:cstheme="minorBidi"/>
                            <w:color w:val="000000" w:themeColor="text1"/>
                            <w:kern w:val="24"/>
                            <w:sz w:val="18"/>
                            <w:szCs w:val="18"/>
                          </w:rPr>
                          <w:t xml:space="preserve">assets and </w:t>
                        </w:r>
                        <w:r>
                          <w:rPr>
                            <w:rFonts w:asciiTheme="minorHAnsi" w:hAnsi="Arial" w:cstheme="minorBidi"/>
                            <w:color w:val="000000" w:themeColor="text1"/>
                            <w:kern w:val="24"/>
                            <w:sz w:val="18"/>
                            <w:szCs w:val="18"/>
                          </w:rPr>
                          <w:t>47</w:t>
                        </w:r>
                        <w:r w:rsidRPr="00D079E5">
                          <w:rPr>
                            <w:rFonts w:asciiTheme="minorHAnsi" w:hAnsi="Arial" w:cstheme="minorBidi"/>
                            <w:color w:val="000000" w:themeColor="text1"/>
                            <w:kern w:val="24"/>
                            <w:sz w:val="18"/>
                            <w:szCs w:val="18"/>
                          </w:rPr>
                          <w:t xml:space="preserve">% of member accounts in </w:t>
                        </w:r>
                        <w:r>
                          <w:rPr>
                            <w:rFonts w:asciiTheme="minorHAnsi" w:hAnsi="Arial" w:cstheme="minorBidi"/>
                            <w:color w:val="000000" w:themeColor="text1"/>
                            <w:kern w:val="24"/>
                            <w:sz w:val="18"/>
                            <w:szCs w:val="18"/>
                          </w:rPr>
                          <w:t>2017.</w:t>
                        </w:r>
                      </w:p>
                    </w:tc>
                  </w:tr>
                  <w:tr w:rsidR="00762A34" w:rsidDel="009516F9" w:rsidTr="00E114A9">
                    <w:tc>
                      <w:tcPr>
                        <w:tcW w:w="946" w:type="pct"/>
                        <w:shd w:val="clear" w:color="auto" w:fill="F2F2F2" w:themeFill="background1" w:themeFillShade="F2"/>
                      </w:tcPr>
                      <w:p w:rsidR="00762A34" w:rsidRPr="00311D4D" w:rsidRDefault="00762A34" w:rsidP="00E114A9">
                        <w:pPr>
                          <w:pStyle w:val="Figure"/>
                          <w:spacing w:before="0" w:after="0"/>
                          <w:jc w:val="left"/>
                          <w:rPr>
                            <w:rFonts w:ascii="Arial" w:hAnsi="Arial" w:cs="Arial"/>
                            <w:b/>
                            <w:sz w:val="18"/>
                            <w:szCs w:val="18"/>
                          </w:rPr>
                        </w:pPr>
                        <w:r w:rsidRPr="005F68B0">
                          <w:rPr>
                            <w:rFonts w:ascii="Arial" w:hAnsi="Arial" w:cs="Arial"/>
                            <w:b/>
                            <w:sz w:val="18"/>
                            <w:szCs w:val="18"/>
                          </w:rPr>
                          <w:t>Survivor bias</w:t>
                        </w:r>
                      </w:p>
                    </w:tc>
                    <w:tc>
                      <w:tcPr>
                        <w:tcW w:w="1639" w:type="pct"/>
                        <w:shd w:val="clear" w:color="auto" w:fill="F2F2F2" w:themeFill="background1" w:themeFillShade="F2"/>
                      </w:tcPr>
                      <w:p w:rsidR="00762A34" w:rsidDel="009516F9" w:rsidRDefault="00762A34" w:rsidP="00E114A9">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p>
                    </w:tc>
                    <w:tc>
                      <w:tcPr>
                        <w:tcW w:w="941" w:type="pct"/>
                        <w:shd w:val="clear" w:color="auto" w:fill="F2F2F2" w:themeFill="background1" w:themeFillShade="F2"/>
                      </w:tcPr>
                      <w:p w:rsidR="00762A34" w:rsidRPr="005F68B0" w:rsidDel="009516F9" w:rsidRDefault="00762A34" w:rsidP="00E114A9">
                        <w:pPr>
                          <w:pStyle w:val="Figure"/>
                          <w:spacing w:before="0" w:after="0"/>
                          <w:jc w:val="left"/>
                          <w:rPr>
                            <w:rFonts w:asciiTheme="minorHAnsi" w:hAnsi="Arial" w:cstheme="minorBidi"/>
                            <w:b/>
                            <w:color w:val="000000" w:themeColor="text1"/>
                            <w:kern w:val="24"/>
                            <w:sz w:val="18"/>
                            <w:szCs w:val="18"/>
                          </w:rPr>
                        </w:pPr>
                        <w:r w:rsidRPr="005F68B0">
                          <w:rPr>
                            <w:rFonts w:asciiTheme="minorHAnsi" w:hAnsi="Arial" w:cstheme="minorBidi"/>
                            <w:b/>
                            <w:color w:val="000000" w:themeColor="text1"/>
                            <w:kern w:val="24"/>
                            <w:sz w:val="18"/>
                            <w:szCs w:val="18"/>
                          </w:rPr>
                          <w:t>Selection bias</w:t>
                        </w:r>
                      </w:p>
                    </w:tc>
                    <w:tc>
                      <w:tcPr>
                        <w:tcW w:w="1474" w:type="pct"/>
                        <w:shd w:val="clear" w:color="auto" w:fill="F2F2F2" w:themeFill="background1" w:themeFillShade="F2"/>
                      </w:tcPr>
                      <w:p w:rsidR="00762A34" w:rsidDel="009516F9" w:rsidRDefault="00762A34" w:rsidP="00E114A9">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p>
                    </w:tc>
                  </w:tr>
                </w:tbl>
                <w:p w:rsidR="00762A34" w:rsidRPr="00B1465D" w:rsidRDefault="00762A34" w:rsidP="00E114A9">
                  <w:pPr>
                    <w:pStyle w:val="Figure"/>
                    <w:spacing w:before="60" w:after="60"/>
                    <w:rPr>
                      <w:rFonts w:ascii="Arial" w:hAnsi="Arial" w:cs="Arial"/>
                      <w:sz w:val="18"/>
                      <w:szCs w:val="18"/>
                    </w:rPr>
                  </w:pPr>
                </w:p>
              </w:tc>
            </w:tr>
          </w:tbl>
          <w:p w:rsidR="00762A34" w:rsidRDefault="00762A34" w:rsidP="00E114A9">
            <w:pPr>
              <w:pStyle w:val="Figure"/>
            </w:pPr>
          </w:p>
        </w:tc>
      </w:tr>
      <w:tr w:rsidR="00BC4A51" w:rsidRPr="00176D3F" w:rsidTr="00AB5451">
        <w:tc>
          <w:tcPr>
            <w:tcW w:w="5000" w:type="pct"/>
            <w:tcBorders>
              <w:top w:val="nil"/>
              <w:left w:val="nil"/>
              <w:bottom w:val="nil"/>
              <w:right w:val="nil"/>
            </w:tcBorders>
            <w:shd w:val="clear" w:color="auto" w:fill="auto"/>
          </w:tcPr>
          <w:p w:rsidR="00BC4A51" w:rsidRPr="00176D3F" w:rsidRDefault="00BC4A51" w:rsidP="00AB5451">
            <w:pPr>
              <w:pStyle w:val="Note"/>
            </w:pPr>
            <w:r>
              <w:rPr>
                <w:rStyle w:val="NoteLabel"/>
              </w:rPr>
              <w:t>a</w:t>
            </w:r>
            <w:r>
              <w:t xml:space="preserve"> 13</w:t>
            </w:r>
            <w:r w:rsidR="00617DD2">
              <w:noBreakHyphen/>
            </w:r>
            <w:r>
              <w:t xml:space="preserve">year underperformance is defined as </w:t>
            </w:r>
            <w:r w:rsidR="006D739C">
              <w:t>25 basis points</w:t>
            </w:r>
            <w:r>
              <w:t xml:space="preserve"> below a tailored BP. </w:t>
            </w:r>
          </w:p>
        </w:tc>
      </w:tr>
      <w:tr w:rsidR="00762A34" w:rsidTr="00E114A9">
        <w:tc>
          <w:tcPr>
            <w:tcW w:w="5000" w:type="pct"/>
            <w:tcBorders>
              <w:top w:val="nil"/>
              <w:left w:val="nil"/>
              <w:bottom w:val="single" w:sz="6" w:space="0" w:color="78A22F"/>
              <w:right w:val="nil"/>
            </w:tcBorders>
            <w:shd w:val="clear" w:color="auto" w:fill="auto"/>
          </w:tcPr>
          <w:p w:rsidR="00762A34" w:rsidRDefault="00762A34" w:rsidP="00E114A9">
            <w:pPr>
              <w:pStyle w:val="Figurespace"/>
            </w:pPr>
          </w:p>
        </w:tc>
      </w:tr>
      <w:tr w:rsidR="00762A34" w:rsidRPr="000863A5" w:rsidTr="00E114A9">
        <w:tc>
          <w:tcPr>
            <w:tcW w:w="5000" w:type="pct"/>
            <w:tcBorders>
              <w:top w:val="single" w:sz="6" w:space="0" w:color="78A22F"/>
              <w:left w:val="nil"/>
              <w:bottom w:val="nil"/>
              <w:right w:val="nil"/>
            </w:tcBorders>
          </w:tcPr>
          <w:p w:rsidR="00762A34" w:rsidRPr="00626D32" w:rsidRDefault="00762A34" w:rsidP="00E114A9">
            <w:pPr>
              <w:pStyle w:val="BoxSpaceBelow"/>
            </w:pPr>
          </w:p>
        </w:tc>
      </w:tr>
    </w:tbl>
    <w:p w:rsidR="00090C9E" w:rsidRDefault="00090C9E" w:rsidP="000C2842">
      <w:pPr>
        <w:pStyle w:val="Heading3"/>
      </w:pPr>
      <w:bookmarkStart w:id="39" w:name="_Toc528158044"/>
      <w:bookmarkStart w:id="40" w:name="_Toc528229666"/>
      <w:bookmarkStart w:id="41" w:name="_Toc528298316"/>
      <w:r>
        <w:t>Updates</w:t>
      </w:r>
      <w:r w:rsidR="00085B32">
        <w:t xml:space="preserve"> and adjustments</w:t>
      </w:r>
      <w:r>
        <w:t xml:space="preserve"> to </w:t>
      </w:r>
      <w:r w:rsidR="00085B32">
        <w:t xml:space="preserve">the (draft report) </w:t>
      </w:r>
      <w:r>
        <w:t>benchmarks</w:t>
      </w:r>
      <w:bookmarkEnd w:id="39"/>
      <w:bookmarkEnd w:id="40"/>
      <w:bookmarkEnd w:id="41"/>
    </w:p>
    <w:p w:rsidR="00B2730B" w:rsidRDefault="00090C9E" w:rsidP="00090C9E">
      <w:pPr>
        <w:pStyle w:val="BodyText"/>
      </w:pPr>
      <w:r>
        <w:t xml:space="preserve">The Commission has updated the data sources and assumptions it has used for its investment performance benchmarks (as originally set out for the draft report in technical supplement 4). This was done in response to feedback on the draft report (in the form of submissions and public hearings), as well as further targeted consultations with selected industry and academic experts. </w:t>
      </w:r>
      <w:r w:rsidR="00B2730B">
        <w:t xml:space="preserve">These updates led to some changes to the benchmarking results, mostly at the fund level (described below). Notably, </w:t>
      </w:r>
      <w:r w:rsidR="00B2730B" w:rsidRPr="00443BE2">
        <w:t xml:space="preserve">the number of members in underperforming funds </w:t>
      </w:r>
      <w:r w:rsidR="00B2730B">
        <w:t xml:space="preserve">and MySuper products </w:t>
      </w:r>
      <w:r w:rsidR="00B2730B" w:rsidRPr="00443BE2">
        <w:t>has not materially changed</w:t>
      </w:r>
      <w:r w:rsidR="00B2730B">
        <w:t xml:space="preserve"> from that presented in the draft report</w:t>
      </w:r>
      <w:r w:rsidR="00B2730B" w:rsidRPr="00443BE2">
        <w:t>.</w:t>
      </w:r>
    </w:p>
    <w:p w:rsidR="00090C9E" w:rsidRDefault="003952B5" w:rsidP="00090C9E">
      <w:pPr>
        <w:pStyle w:val="BodyText"/>
      </w:pPr>
      <w:r>
        <w:t>The focus here is on areas where feedback has materially informed changes on specific methodological issues; other issues raised in submissions will be addressed in the final report.</w:t>
      </w:r>
      <w:r w:rsidR="00B2730B">
        <w:t xml:space="preserve"> </w:t>
      </w:r>
      <w:r w:rsidR="00090C9E">
        <w:t xml:space="preserve">The assumptions that were revisited are set out below; all other assumptions and data </w:t>
      </w:r>
      <w:r w:rsidR="00090C9E">
        <w:lastRenderedPageBreak/>
        <w:t>sources remain the same as in the draft report. Further adjustments to data or assumptions may be made for the final report as necessary.</w:t>
      </w:r>
    </w:p>
    <w:p w:rsidR="00090C9E" w:rsidRPr="004539F2" w:rsidRDefault="00090C9E" w:rsidP="00090C9E">
      <w:pPr>
        <w:pStyle w:val="Heading4"/>
      </w:pPr>
      <w:r w:rsidRPr="004539F2">
        <w:t>New data</w:t>
      </w:r>
    </w:p>
    <w:p w:rsidR="00090C9E" w:rsidRDefault="00090C9E" w:rsidP="00090C9E">
      <w:pPr>
        <w:pStyle w:val="BodyText"/>
      </w:pPr>
      <w:r>
        <w:t>An additional year of data has been added to the analysis of system, segment and fund</w:t>
      </w:r>
      <w:r>
        <w:noBreakHyphen/>
        <w:t>level returns, which now covers a 13</w:t>
      </w:r>
      <w:r>
        <w:noBreakHyphen/>
        <w:t>year period (2005–2017). An additional year has also been added to the analysis of MySuper (and default predecessor) product returns, which now covers an 11</w:t>
      </w:r>
      <w:r>
        <w:noBreakHyphen/>
        <w:t>year period (2008–2018).</w:t>
      </w:r>
      <w:r w:rsidR="00357965">
        <w:t xml:space="preserve"> The sample </w:t>
      </w:r>
      <w:r w:rsidR="00231C01">
        <w:t xml:space="preserve">coverage </w:t>
      </w:r>
      <w:r w:rsidR="00357965">
        <w:t xml:space="preserve">has </w:t>
      </w:r>
      <w:r w:rsidR="00231C01">
        <w:t xml:space="preserve">not materially changed (detailed </w:t>
      </w:r>
      <w:r w:rsidR="001E0EDE">
        <w:t>below</w:t>
      </w:r>
      <w:r w:rsidR="00231C01">
        <w:t>).</w:t>
      </w:r>
    </w:p>
    <w:p w:rsidR="00090C9E" w:rsidRDefault="00090C9E" w:rsidP="00090C9E">
      <w:pPr>
        <w:pStyle w:val="Heading4"/>
      </w:pPr>
      <w:r>
        <w:t>Hedging ratios</w:t>
      </w:r>
    </w:p>
    <w:p w:rsidR="00090C9E" w:rsidRDefault="00090C9E" w:rsidP="00090C9E">
      <w:pPr>
        <w:pStyle w:val="BodyText"/>
      </w:pPr>
      <w:r>
        <w:t>Several</w:t>
      </w:r>
      <w:r w:rsidR="00E85FA3">
        <w:t xml:space="preserve"> inquiry</w:t>
      </w:r>
      <w:r>
        <w:t xml:space="preserve"> participants questioned the Commission’s use of constant, system</w:t>
      </w:r>
      <w:r>
        <w:noBreakHyphen/>
        <w:t>wide hedging ratios for international asset classes</w:t>
      </w:r>
      <w:r w:rsidR="00E85FA3">
        <w:t xml:space="preserve"> in the draft report: </w:t>
      </w:r>
      <w:r>
        <w:t>30 per cent for international equities and 80 per cent for international fixed interest. Some argued that hedging ratios change materially over time (for example, NAB MLC Wealth, sub. DR174), or that some funds may have hedging ratios materially different from the assumption (for example, First State Super, sub. DR165).</w:t>
      </w:r>
    </w:p>
    <w:p w:rsidR="00090C9E" w:rsidRDefault="00090C9E" w:rsidP="00090C9E">
      <w:pPr>
        <w:pStyle w:val="BodyText"/>
      </w:pPr>
      <w:r>
        <w:t xml:space="preserve">Very little data are available on hedging ratios for international fixed interest. Confidential APRA data suggest an average ratio of 62 per cent over the period 2014–2017, whereas a recent survey by NAB estimated </w:t>
      </w:r>
      <w:r w:rsidRPr="0030427D">
        <w:t>88</w:t>
      </w:r>
      <w:r>
        <w:t> per cent</w:t>
      </w:r>
      <w:r w:rsidRPr="0030427D">
        <w:t xml:space="preserve"> in 2017</w:t>
      </w:r>
      <w:r>
        <w:t xml:space="preserve"> (up from 72 per cent two years prior) </w:t>
      </w:r>
      <w:r w:rsidRPr="00A848D7">
        <w:rPr>
          <w:szCs w:val="24"/>
        </w:rPr>
        <w:t>(NAB 2017, p. 8)</w:t>
      </w:r>
      <w:r>
        <w:t xml:space="preserve">. Experts consulted by the Commission </w:t>
      </w:r>
      <w:r w:rsidR="00E85FA3">
        <w:t xml:space="preserve">expected </w:t>
      </w:r>
      <w:r>
        <w:t>that hedging would be close to 100 per cent. As such, there are no strong evidential grounds for deviating from the assumptions in the draft report.</w:t>
      </w:r>
    </w:p>
    <w:p w:rsidR="00090C9E" w:rsidRDefault="00090C9E" w:rsidP="00090C9E">
      <w:pPr>
        <w:pStyle w:val="BodyText"/>
      </w:pPr>
      <w:r>
        <w:t>While sufficient data on hedging ratios at a fund or product level are not available, the Commission has examined data on hedging ratios over time at a system level. For international equities, confidential APRA data indicate an average ratio of 28 per cent over the period 2014–2017. Separate data from Chant West’s asset allocation survey indicate a simple average ratio of 27 per cent over the period 2010–2018 (covering 50 products across a range of fund types) (Chant West, pers. comm., 29 August 2018). In both cases, there is only modest variation between years. As such, the Commission has opted to keep its hedging ratio for international equities unchanged.</w:t>
      </w:r>
    </w:p>
    <w:p w:rsidR="00090C9E" w:rsidRPr="004B397C" w:rsidRDefault="00090C9E" w:rsidP="00090C9E">
      <w:pPr>
        <w:pStyle w:val="Heading4"/>
      </w:pPr>
      <w:r>
        <w:t>Private equity</w:t>
      </w:r>
    </w:p>
    <w:p w:rsidR="00240D28" w:rsidRDefault="00090C9E" w:rsidP="00240D28">
      <w:pPr>
        <w:pStyle w:val="BodyText"/>
      </w:pPr>
      <w:r w:rsidRPr="00307A07">
        <w:t>The use of an Australian private equity index was questioned by some participants, who argued that a global index may be more reflective of how super</w:t>
      </w:r>
      <w:r w:rsidR="00EA2799">
        <w:t>annuation</w:t>
      </w:r>
      <w:r w:rsidRPr="00307A07">
        <w:t xml:space="preserve"> funds invest (Geoff Warren, sub. DR118; Sunsuper, sub.</w:t>
      </w:r>
      <w:r w:rsidR="00617DD2">
        <w:t> </w:t>
      </w:r>
      <w:r w:rsidRPr="00307A07">
        <w:t>DR197). The Commission has now obtained the Cambridge Associates Private Equity index, and updated the benchmarks to reflect the system average domestic–international split in private equity investment from SuperRatings data, varied by year</w:t>
      </w:r>
      <w:r w:rsidR="00390B82">
        <w:t xml:space="preserve"> and segment</w:t>
      </w:r>
      <w:r w:rsidRPr="00307A07">
        <w:t xml:space="preserve"> (</w:t>
      </w:r>
      <w:r>
        <w:t>table </w:t>
      </w:r>
      <w:r w:rsidR="00D0431C">
        <w:t>5</w:t>
      </w:r>
      <w:r w:rsidRPr="00307A07">
        <w:t>).</w:t>
      </w:r>
      <w:r>
        <w:t xml:space="preserve"> </w:t>
      </w:r>
      <w:r w:rsidR="00D90998">
        <w:t>For fund</w:t>
      </w:r>
      <w:r w:rsidR="00240D28">
        <w:noBreakHyphen/>
      </w:r>
      <w:r w:rsidR="00D90998">
        <w:t xml:space="preserve">level analysis, the corresponding </w:t>
      </w:r>
      <w:r w:rsidR="00D90998">
        <w:lastRenderedPageBreak/>
        <w:t>fund</w:t>
      </w:r>
      <w:r w:rsidR="00240D28">
        <w:noBreakHyphen/>
      </w:r>
      <w:r w:rsidR="00D90998">
        <w:t xml:space="preserve">type </w:t>
      </w:r>
      <w:r w:rsidR="00240D28">
        <w:t>shares</w:t>
      </w:r>
      <w:r w:rsidR="00D90998">
        <w:t xml:space="preserve"> are used.</w:t>
      </w:r>
      <w:r>
        <w:t xml:space="preserve"> The</w:t>
      </w:r>
      <w:r w:rsidR="00416B5A">
        <w:t xml:space="preserve"> system</w:t>
      </w:r>
      <w:r w:rsidR="00240D28">
        <w:noBreakHyphen/>
      </w:r>
      <w:r w:rsidR="00416B5A">
        <w:t xml:space="preserve">level </w:t>
      </w:r>
      <w:r w:rsidR="00240D28">
        <w:t>shares</w:t>
      </w:r>
      <w:r>
        <w:t xml:space="preserve"> are broadly consistent with ABS data that indicate most private equity investment by Australian entities is domestic </w:t>
      </w:r>
      <w:r w:rsidRPr="00E804F4">
        <w:rPr>
          <w:szCs w:val="24"/>
        </w:rPr>
        <w:t>(ABS 2018)</w:t>
      </w:r>
      <w:r>
        <w:t>.</w:t>
      </w:r>
    </w:p>
    <w:p w:rsidR="00090C9E" w:rsidRDefault="00090C9E" w:rsidP="00240D28">
      <w:pPr>
        <w:pStyle w:val="BodyText"/>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90C9E" w:rsidTr="00B02BCB">
        <w:trPr>
          <w:tblHeader/>
        </w:trPr>
        <w:tc>
          <w:tcPr>
            <w:tcW w:w="5000" w:type="pct"/>
            <w:tcBorders>
              <w:top w:val="single" w:sz="6" w:space="0" w:color="78A22F"/>
              <w:left w:val="nil"/>
              <w:bottom w:val="nil"/>
              <w:right w:val="nil"/>
            </w:tcBorders>
            <w:shd w:val="clear" w:color="auto" w:fill="auto"/>
          </w:tcPr>
          <w:p w:rsidR="00090C9E" w:rsidRDefault="00090C9E" w:rsidP="00B02BCB">
            <w:pPr>
              <w:pStyle w:val="TableTitle"/>
            </w:pPr>
            <w:r>
              <w:rPr>
                <w:b w:val="0"/>
              </w:rPr>
              <w:t xml:space="preserve">Table </w:t>
            </w:r>
            <w:bookmarkStart w:id="42" w:name="OLE_LINK6"/>
            <w:bookmarkStart w:id="43" w:name="OLE_LINK7"/>
            <w:r w:rsidR="001345FE">
              <w:rPr>
                <w:b w:val="0"/>
                <w:noProof/>
              </w:rPr>
              <w:t>5</w:t>
            </w:r>
            <w:bookmarkEnd w:id="42"/>
            <w:bookmarkEnd w:id="43"/>
            <w:r>
              <w:tab/>
              <w:t>Assumed share of domestic private equity</w:t>
            </w:r>
            <w:r w:rsidRPr="00C641C8">
              <w:rPr>
                <w:rStyle w:val="NoteLabel"/>
                <w:b/>
              </w:rPr>
              <w:t>a</w:t>
            </w:r>
          </w:p>
          <w:p w:rsidR="00090C9E" w:rsidRPr="00784A05" w:rsidRDefault="00090C9E" w:rsidP="00B02BCB">
            <w:pPr>
              <w:pStyle w:val="Subtitle"/>
            </w:pPr>
            <w:r>
              <w:t>Percentage of total private equity</w:t>
            </w:r>
          </w:p>
        </w:tc>
      </w:tr>
      <w:tr w:rsidR="00090C9E" w:rsidTr="00B02BCB">
        <w:tc>
          <w:tcPr>
            <w:tcW w:w="5000" w:type="pct"/>
            <w:tcBorders>
              <w:top w:val="nil"/>
              <w:left w:val="nil"/>
              <w:bottom w:val="nil"/>
              <w:right w:val="nil"/>
            </w:tcBorders>
            <w:shd w:val="clear" w:color="auto" w:fill="auto"/>
          </w:tcPr>
          <w:tbl>
            <w:tblPr>
              <w:tblW w:w="4988" w:type="pct"/>
              <w:tblCellMar>
                <w:top w:w="28" w:type="dxa"/>
                <w:left w:w="0" w:type="dxa"/>
                <w:right w:w="0" w:type="dxa"/>
              </w:tblCellMar>
              <w:tblLook w:val="0000" w:firstRow="0" w:lastRow="0" w:firstColumn="0" w:lastColumn="0" w:noHBand="0" w:noVBand="0"/>
            </w:tblPr>
            <w:tblGrid>
              <w:gridCol w:w="922"/>
              <w:gridCol w:w="581"/>
              <w:gridCol w:w="583"/>
              <w:gridCol w:w="583"/>
              <w:gridCol w:w="582"/>
              <w:gridCol w:w="580"/>
              <w:gridCol w:w="582"/>
              <w:gridCol w:w="582"/>
              <w:gridCol w:w="582"/>
              <w:gridCol w:w="580"/>
              <w:gridCol w:w="582"/>
              <w:gridCol w:w="582"/>
              <w:gridCol w:w="582"/>
              <w:gridCol w:w="582"/>
            </w:tblGrid>
            <w:tr w:rsidR="00240D28" w:rsidTr="00D0164D">
              <w:trPr>
                <w:tblHeader/>
              </w:trPr>
              <w:tc>
                <w:tcPr>
                  <w:tcW w:w="543" w:type="pct"/>
                  <w:tcBorders>
                    <w:top w:val="single" w:sz="6" w:space="0" w:color="BFBFBF"/>
                    <w:bottom w:val="single" w:sz="6" w:space="0" w:color="BFBFBF"/>
                  </w:tcBorders>
                </w:tcPr>
                <w:p w:rsidR="00390B82" w:rsidRDefault="00240D28" w:rsidP="00240D28">
                  <w:pPr>
                    <w:pStyle w:val="TableColumnHeading"/>
                    <w:jc w:val="left"/>
                  </w:pPr>
                  <w:r>
                    <w:t>Segment</w:t>
                  </w:r>
                </w:p>
              </w:tc>
              <w:tc>
                <w:tcPr>
                  <w:tcW w:w="342" w:type="pct"/>
                  <w:tcBorders>
                    <w:top w:val="single" w:sz="6" w:space="0" w:color="BFBFBF"/>
                    <w:bottom w:val="single" w:sz="6" w:space="0" w:color="BFBFBF"/>
                  </w:tcBorders>
                </w:tcPr>
                <w:p w:rsidR="00390B82" w:rsidRDefault="00390B82" w:rsidP="00240D28">
                  <w:pPr>
                    <w:pStyle w:val="TableColumnHeading"/>
                  </w:pPr>
                  <w:r>
                    <w:t>2005</w:t>
                  </w:r>
                </w:p>
              </w:tc>
              <w:tc>
                <w:tcPr>
                  <w:tcW w:w="343" w:type="pct"/>
                  <w:tcBorders>
                    <w:top w:val="single" w:sz="6" w:space="0" w:color="BFBFBF"/>
                    <w:bottom w:val="single" w:sz="6" w:space="0" w:color="BFBFBF"/>
                  </w:tcBorders>
                </w:tcPr>
                <w:p w:rsidR="00390B82" w:rsidRDefault="00390B82" w:rsidP="00240D28">
                  <w:pPr>
                    <w:pStyle w:val="TableColumnHeading"/>
                  </w:pPr>
                  <w:r>
                    <w:t>2006</w:t>
                  </w:r>
                </w:p>
              </w:tc>
              <w:tc>
                <w:tcPr>
                  <w:tcW w:w="343" w:type="pct"/>
                  <w:tcBorders>
                    <w:top w:val="single" w:sz="6" w:space="0" w:color="BFBFBF"/>
                    <w:bottom w:val="single" w:sz="6" w:space="0" w:color="BFBFBF"/>
                  </w:tcBorders>
                </w:tcPr>
                <w:p w:rsidR="00390B82" w:rsidRDefault="00390B82" w:rsidP="00240D28">
                  <w:pPr>
                    <w:pStyle w:val="TableColumnHeading"/>
                  </w:pPr>
                  <w:r>
                    <w:t>2007</w:t>
                  </w:r>
                </w:p>
              </w:tc>
              <w:tc>
                <w:tcPr>
                  <w:tcW w:w="343" w:type="pct"/>
                  <w:tcBorders>
                    <w:top w:val="single" w:sz="6" w:space="0" w:color="BFBFBF"/>
                    <w:bottom w:val="single" w:sz="6" w:space="0" w:color="BFBFBF"/>
                  </w:tcBorders>
                </w:tcPr>
                <w:p w:rsidR="00390B82" w:rsidRDefault="00390B82" w:rsidP="00240D28">
                  <w:pPr>
                    <w:pStyle w:val="TableColumnHeading"/>
                  </w:pPr>
                  <w:r>
                    <w:t>2008</w:t>
                  </w:r>
                </w:p>
              </w:tc>
              <w:tc>
                <w:tcPr>
                  <w:tcW w:w="342" w:type="pct"/>
                  <w:tcBorders>
                    <w:top w:val="single" w:sz="6" w:space="0" w:color="BFBFBF"/>
                    <w:bottom w:val="single" w:sz="6" w:space="0" w:color="BFBFBF"/>
                  </w:tcBorders>
                </w:tcPr>
                <w:p w:rsidR="00390B82" w:rsidRDefault="00390B82" w:rsidP="00240D28">
                  <w:pPr>
                    <w:pStyle w:val="TableColumnHeading"/>
                  </w:pPr>
                  <w:r>
                    <w:t>2009</w:t>
                  </w:r>
                </w:p>
              </w:tc>
              <w:tc>
                <w:tcPr>
                  <w:tcW w:w="343" w:type="pct"/>
                  <w:tcBorders>
                    <w:top w:val="single" w:sz="6" w:space="0" w:color="BFBFBF"/>
                    <w:bottom w:val="single" w:sz="6" w:space="0" w:color="BFBFBF"/>
                  </w:tcBorders>
                </w:tcPr>
                <w:p w:rsidR="00390B82" w:rsidRDefault="00390B82" w:rsidP="00240D28">
                  <w:pPr>
                    <w:pStyle w:val="TableColumnHeading"/>
                  </w:pPr>
                  <w:r>
                    <w:t>2010</w:t>
                  </w:r>
                </w:p>
              </w:tc>
              <w:tc>
                <w:tcPr>
                  <w:tcW w:w="343" w:type="pct"/>
                  <w:tcBorders>
                    <w:top w:val="single" w:sz="6" w:space="0" w:color="BFBFBF"/>
                    <w:bottom w:val="single" w:sz="6" w:space="0" w:color="BFBFBF"/>
                  </w:tcBorders>
                </w:tcPr>
                <w:p w:rsidR="00390B82" w:rsidRDefault="00390B82" w:rsidP="00240D28">
                  <w:pPr>
                    <w:pStyle w:val="TableColumnHeading"/>
                  </w:pPr>
                  <w:r>
                    <w:t>2011</w:t>
                  </w:r>
                </w:p>
              </w:tc>
              <w:tc>
                <w:tcPr>
                  <w:tcW w:w="343" w:type="pct"/>
                  <w:tcBorders>
                    <w:top w:val="single" w:sz="6" w:space="0" w:color="BFBFBF"/>
                    <w:bottom w:val="single" w:sz="6" w:space="0" w:color="BFBFBF"/>
                  </w:tcBorders>
                </w:tcPr>
                <w:p w:rsidR="00390B82" w:rsidRDefault="00390B82" w:rsidP="00240D28">
                  <w:pPr>
                    <w:pStyle w:val="TableColumnHeading"/>
                  </w:pPr>
                  <w:r>
                    <w:t>2012</w:t>
                  </w:r>
                </w:p>
              </w:tc>
              <w:tc>
                <w:tcPr>
                  <w:tcW w:w="342" w:type="pct"/>
                  <w:tcBorders>
                    <w:top w:val="single" w:sz="6" w:space="0" w:color="BFBFBF"/>
                    <w:bottom w:val="single" w:sz="6" w:space="0" w:color="BFBFBF"/>
                  </w:tcBorders>
                </w:tcPr>
                <w:p w:rsidR="00390B82" w:rsidRDefault="00390B82" w:rsidP="00240D28">
                  <w:pPr>
                    <w:pStyle w:val="TableColumnHeading"/>
                  </w:pPr>
                  <w:r>
                    <w:t>2013</w:t>
                  </w:r>
                </w:p>
              </w:tc>
              <w:tc>
                <w:tcPr>
                  <w:tcW w:w="343" w:type="pct"/>
                  <w:tcBorders>
                    <w:top w:val="single" w:sz="6" w:space="0" w:color="BFBFBF"/>
                    <w:bottom w:val="single" w:sz="6" w:space="0" w:color="BFBFBF"/>
                  </w:tcBorders>
                </w:tcPr>
                <w:p w:rsidR="00390B82" w:rsidRDefault="00390B82" w:rsidP="00240D28">
                  <w:pPr>
                    <w:pStyle w:val="TableColumnHeading"/>
                  </w:pPr>
                  <w:r>
                    <w:t>2014</w:t>
                  </w:r>
                </w:p>
              </w:tc>
              <w:tc>
                <w:tcPr>
                  <w:tcW w:w="343" w:type="pct"/>
                  <w:tcBorders>
                    <w:top w:val="single" w:sz="6" w:space="0" w:color="BFBFBF"/>
                    <w:bottom w:val="single" w:sz="6" w:space="0" w:color="BFBFBF"/>
                  </w:tcBorders>
                  <w:shd w:val="clear" w:color="auto" w:fill="auto"/>
                  <w:tcMar>
                    <w:top w:w="28" w:type="dxa"/>
                  </w:tcMar>
                </w:tcPr>
                <w:p w:rsidR="00390B82" w:rsidRDefault="00390B82" w:rsidP="00240D28">
                  <w:pPr>
                    <w:pStyle w:val="TableColumnHeading"/>
                  </w:pPr>
                  <w:r>
                    <w:t>2015</w:t>
                  </w:r>
                </w:p>
              </w:tc>
              <w:tc>
                <w:tcPr>
                  <w:tcW w:w="343" w:type="pct"/>
                  <w:tcBorders>
                    <w:top w:val="single" w:sz="6" w:space="0" w:color="BFBFBF"/>
                    <w:bottom w:val="single" w:sz="6" w:space="0" w:color="BFBFBF"/>
                  </w:tcBorders>
                </w:tcPr>
                <w:p w:rsidR="00390B82" w:rsidRDefault="00390B82" w:rsidP="004E277D">
                  <w:pPr>
                    <w:pStyle w:val="TableColumnHeading"/>
                  </w:pPr>
                  <w:r>
                    <w:t>2016</w:t>
                  </w:r>
                </w:p>
              </w:tc>
              <w:tc>
                <w:tcPr>
                  <w:tcW w:w="343" w:type="pct"/>
                  <w:tcBorders>
                    <w:top w:val="single" w:sz="6" w:space="0" w:color="BFBFBF"/>
                    <w:bottom w:val="single" w:sz="6" w:space="0" w:color="BFBFBF"/>
                  </w:tcBorders>
                  <w:shd w:val="clear" w:color="auto" w:fill="auto"/>
                  <w:tcMar>
                    <w:top w:w="28" w:type="dxa"/>
                  </w:tcMar>
                </w:tcPr>
                <w:p w:rsidR="00390B82" w:rsidRDefault="00390B82" w:rsidP="00390B82">
                  <w:pPr>
                    <w:pStyle w:val="TableColumnHeading"/>
                    <w:ind w:right="28"/>
                  </w:pPr>
                  <w:r>
                    <w:t>2017</w:t>
                  </w:r>
                </w:p>
              </w:tc>
            </w:tr>
            <w:tr w:rsidR="00240D28" w:rsidTr="00D0164D">
              <w:tc>
                <w:tcPr>
                  <w:tcW w:w="543" w:type="pct"/>
                  <w:tcBorders>
                    <w:top w:val="single" w:sz="6" w:space="0" w:color="BFBFBF"/>
                  </w:tcBorders>
                </w:tcPr>
                <w:p w:rsidR="00390B82" w:rsidRDefault="00390B82" w:rsidP="00240D28">
                  <w:pPr>
                    <w:pStyle w:val="TableBodyText"/>
                    <w:spacing w:before="40"/>
                    <w:jc w:val="left"/>
                  </w:pPr>
                  <w:r>
                    <w:t>System</w:t>
                  </w:r>
                </w:p>
              </w:tc>
              <w:tc>
                <w:tcPr>
                  <w:tcW w:w="342" w:type="pct"/>
                  <w:tcBorders>
                    <w:top w:val="single" w:sz="6" w:space="0" w:color="BFBFBF"/>
                  </w:tcBorders>
                </w:tcPr>
                <w:p w:rsidR="00390B82" w:rsidRPr="00240D28" w:rsidRDefault="00390B82" w:rsidP="00240D28">
                  <w:pPr>
                    <w:pStyle w:val="TableBodyText"/>
                    <w:spacing w:before="40"/>
                  </w:pPr>
                  <w:r w:rsidRPr="00240D28">
                    <w:t>63.8</w:t>
                  </w:r>
                </w:p>
              </w:tc>
              <w:tc>
                <w:tcPr>
                  <w:tcW w:w="343" w:type="pct"/>
                  <w:tcBorders>
                    <w:top w:val="single" w:sz="6" w:space="0" w:color="BFBFBF"/>
                  </w:tcBorders>
                </w:tcPr>
                <w:p w:rsidR="00390B82" w:rsidRPr="00240D28" w:rsidRDefault="00390B82" w:rsidP="00240D28">
                  <w:pPr>
                    <w:pStyle w:val="TableBodyText"/>
                    <w:spacing w:before="40"/>
                  </w:pPr>
                  <w:r w:rsidRPr="00240D28">
                    <w:t>37.7</w:t>
                  </w:r>
                </w:p>
              </w:tc>
              <w:tc>
                <w:tcPr>
                  <w:tcW w:w="343" w:type="pct"/>
                  <w:tcBorders>
                    <w:top w:val="single" w:sz="6" w:space="0" w:color="BFBFBF"/>
                  </w:tcBorders>
                </w:tcPr>
                <w:p w:rsidR="00390B82" w:rsidRPr="00240D28" w:rsidRDefault="00390B82" w:rsidP="00240D28">
                  <w:pPr>
                    <w:pStyle w:val="TableBodyText"/>
                    <w:spacing w:before="40"/>
                  </w:pPr>
                  <w:r w:rsidRPr="00240D28">
                    <w:t>45.2</w:t>
                  </w:r>
                </w:p>
              </w:tc>
              <w:tc>
                <w:tcPr>
                  <w:tcW w:w="343" w:type="pct"/>
                  <w:tcBorders>
                    <w:top w:val="single" w:sz="6" w:space="0" w:color="BFBFBF"/>
                  </w:tcBorders>
                </w:tcPr>
                <w:p w:rsidR="00390B82" w:rsidRPr="00240D28" w:rsidRDefault="00390B82" w:rsidP="00240D28">
                  <w:pPr>
                    <w:pStyle w:val="TableBodyText"/>
                    <w:spacing w:before="40"/>
                  </w:pPr>
                  <w:r w:rsidRPr="00240D28">
                    <w:t>51.2</w:t>
                  </w:r>
                </w:p>
              </w:tc>
              <w:tc>
                <w:tcPr>
                  <w:tcW w:w="342" w:type="pct"/>
                  <w:tcBorders>
                    <w:top w:val="single" w:sz="6" w:space="0" w:color="BFBFBF"/>
                  </w:tcBorders>
                </w:tcPr>
                <w:p w:rsidR="00390B82" w:rsidRPr="00240D28" w:rsidRDefault="00390B82" w:rsidP="00240D28">
                  <w:pPr>
                    <w:pStyle w:val="TableBodyText"/>
                    <w:spacing w:before="40"/>
                  </w:pPr>
                  <w:r w:rsidRPr="00240D28">
                    <w:t>68.5</w:t>
                  </w:r>
                </w:p>
              </w:tc>
              <w:tc>
                <w:tcPr>
                  <w:tcW w:w="343" w:type="pct"/>
                  <w:tcBorders>
                    <w:top w:val="single" w:sz="6" w:space="0" w:color="BFBFBF"/>
                  </w:tcBorders>
                </w:tcPr>
                <w:p w:rsidR="00390B82" w:rsidRPr="00240D28" w:rsidRDefault="00390B82" w:rsidP="00240D28">
                  <w:pPr>
                    <w:pStyle w:val="TableBodyText"/>
                    <w:spacing w:before="40"/>
                  </w:pPr>
                  <w:r w:rsidRPr="00240D28">
                    <w:t>62.5</w:t>
                  </w:r>
                </w:p>
              </w:tc>
              <w:tc>
                <w:tcPr>
                  <w:tcW w:w="343" w:type="pct"/>
                  <w:tcBorders>
                    <w:top w:val="single" w:sz="6" w:space="0" w:color="BFBFBF"/>
                  </w:tcBorders>
                </w:tcPr>
                <w:p w:rsidR="00390B82" w:rsidRPr="00240D28" w:rsidRDefault="00390B82" w:rsidP="00240D28">
                  <w:pPr>
                    <w:pStyle w:val="TableBodyText"/>
                    <w:spacing w:before="40"/>
                  </w:pPr>
                  <w:r w:rsidRPr="00240D28">
                    <w:t>69.8</w:t>
                  </w:r>
                </w:p>
              </w:tc>
              <w:tc>
                <w:tcPr>
                  <w:tcW w:w="343" w:type="pct"/>
                  <w:tcBorders>
                    <w:top w:val="single" w:sz="6" w:space="0" w:color="BFBFBF"/>
                  </w:tcBorders>
                </w:tcPr>
                <w:p w:rsidR="00390B82" w:rsidRPr="00240D28" w:rsidRDefault="00390B82" w:rsidP="00240D28">
                  <w:pPr>
                    <w:pStyle w:val="TableBodyText"/>
                    <w:spacing w:before="40"/>
                  </w:pPr>
                  <w:r w:rsidRPr="00240D28">
                    <w:t>66.7</w:t>
                  </w:r>
                </w:p>
              </w:tc>
              <w:tc>
                <w:tcPr>
                  <w:tcW w:w="342" w:type="pct"/>
                  <w:tcBorders>
                    <w:top w:val="single" w:sz="6" w:space="0" w:color="BFBFBF"/>
                  </w:tcBorders>
                </w:tcPr>
                <w:p w:rsidR="00390B82" w:rsidRPr="00240D28" w:rsidRDefault="00390B82" w:rsidP="00240D28">
                  <w:pPr>
                    <w:pStyle w:val="TableBodyText"/>
                    <w:spacing w:before="40"/>
                  </w:pPr>
                  <w:r w:rsidRPr="00240D28">
                    <w:t>70.9</w:t>
                  </w:r>
                </w:p>
              </w:tc>
              <w:tc>
                <w:tcPr>
                  <w:tcW w:w="343" w:type="pct"/>
                  <w:tcBorders>
                    <w:top w:val="single" w:sz="6" w:space="0" w:color="BFBFBF"/>
                  </w:tcBorders>
                </w:tcPr>
                <w:p w:rsidR="00390B82" w:rsidRPr="00240D28" w:rsidRDefault="00390B82" w:rsidP="00240D28">
                  <w:pPr>
                    <w:pStyle w:val="TableBodyText"/>
                    <w:spacing w:before="40"/>
                  </w:pPr>
                  <w:r w:rsidRPr="00240D28">
                    <w:t>69.8</w:t>
                  </w:r>
                </w:p>
              </w:tc>
              <w:tc>
                <w:tcPr>
                  <w:tcW w:w="343" w:type="pct"/>
                  <w:tcBorders>
                    <w:top w:val="single" w:sz="6" w:space="0" w:color="BFBFBF"/>
                  </w:tcBorders>
                  <w:shd w:val="clear" w:color="auto" w:fill="auto"/>
                </w:tcPr>
                <w:p w:rsidR="00390B82" w:rsidRPr="00240D28" w:rsidRDefault="00390B82" w:rsidP="00240D28">
                  <w:pPr>
                    <w:pStyle w:val="TableBodyText"/>
                    <w:spacing w:before="40"/>
                  </w:pPr>
                  <w:r w:rsidRPr="00240D28">
                    <w:t>72.0</w:t>
                  </w:r>
                </w:p>
              </w:tc>
              <w:tc>
                <w:tcPr>
                  <w:tcW w:w="343" w:type="pct"/>
                  <w:tcBorders>
                    <w:top w:val="single" w:sz="6" w:space="0" w:color="BFBFBF"/>
                  </w:tcBorders>
                </w:tcPr>
                <w:p w:rsidR="00390B82" w:rsidRPr="00240D28" w:rsidRDefault="00390B82" w:rsidP="00240D28">
                  <w:pPr>
                    <w:pStyle w:val="TableBodyText"/>
                    <w:spacing w:before="40"/>
                  </w:pPr>
                  <w:r w:rsidRPr="00240D28">
                    <w:t>75.4</w:t>
                  </w:r>
                </w:p>
              </w:tc>
              <w:tc>
                <w:tcPr>
                  <w:tcW w:w="343" w:type="pct"/>
                  <w:tcBorders>
                    <w:top w:val="single" w:sz="6" w:space="0" w:color="BFBFBF"/>
                  </w:tcBorders>
                  <w:shd w:val="clear" w:color="auto" w:fill="auto"/>
                </w:tcPr>
                <w:p w:rsidR="00390B82" w:rsidRPr="00240D28" w:rsidRDefault="00390B82" w:rsidP="00240D28">
                  <w:pPr>
                    <w:pStyle w:val="TableBodyText"/>
                    <w:spacing w:before="40"/>
                    <w:ind w:right="28"/>
                  </w:pPr>
                  <w:r w:rsidRPr="00240D28">
                    <w:t>76.1</w:t>
                  </w:r>
                </w:p>
              </w:tc>
            </w:tr>
            <w:tr w:rsidR="00240D28" w:rsidTr="00D0164D">
              <w:tc>
                <w:tcPr>
                  <w:tcW w:w="543" w:type="pct"/>
                  <w:shd w:val="pct5" w:color="auto" w:fill="auto"/>
                </w:tcPr>
                <w:p w:rsidR="00390B82" w:rsidRDefault="00390B82" w:rsidP="00240D28">
                  <w:pPr>
                    <w:pStyle w:val="TableBodyText"/>
                    <w:jc w:val="left"/>
                  </w:pPr>
                  <w:r>
                    <w:t>Corporate</w:t>
                  </w:r>
                </w:p>
              </w:tc>
              <w:tc>
                <w:tcPr>
                  <w:tcW w:w="342" w:type="pct"/>
                  <w:shd w:val="pct5" w:color="auto" w:fill="auto"/>
                  <w:vAlign w:val="bottom"/>
                </w:tcPr>
                <w:p w:rsidR="00390B82" w:rsidRPr="00240D28" w:rsidRDefault="00366A38" w:rsidP="00240D28">
                  <w:pPr>
                    <w:pStyle w:val="TableBodyText"/>
                  </w:pPr>
                  <w:r w:rsidRPr="00240D28">
                    <w:t>41.4</w:t>
                  </w:r>
                </w:p>
              </w:tc>
              <w:tc>
                <w:tcPr>
                  <w:tcW w:w="343" w:type="pct"/>
                  <w:shd w:val="pct5" w:color="auto" w:fill="auto"/>
                  <w:vAlign w:val="bottom"/>
                </w:tcPr>
                <w:p w:rsidR="00390B82" w:rsidRPr="00240D28" w:rsidRDefault="00366A38" w:rsidP="00240D28">
                  <w:pPr>
                    <w:pStyle w:val="TableBodyText"/>
                  </w:pPr>
                  <w:r w:rsidRPr="00240D28">
                    <w:t>41.4</w:t>
                  </w:r>
                </w:p>
              </w:tc>
              <w:tc>
                <w:tcPr>
                  <w:tcW w:w="343" w:type="pct"/>
                  <w:shd w:val="pct5" w:color="auto" w:fill="auto"/>
                  <w:vAlign w:val="bottom"/>
                </w:tcPr>
                <w:p w:rsidR="00390B82" w:rsidRPr="00240D28" w:rsidRDefault="00366A38" w:rsidP="00240D28">
                  <w:pPr>
                    <w:pStyle w:val="TableBodyText"/>
                  </w:pPr>
                  <w:r w:rsidRPr="00240D28">
                    <w:t>60.0</w:t>
                  </w:r>
                </w:p>
              </w:tc>
              <w:tc>
                <w:tcPr>
                  <w:tcW w:w="343" w:type="pct"/>
                  <w:shd w:val="pct5" w:color="auto" w:fill="auto"/>
                  <w:vAlign w:val="bottom"/>
                </w:tcPr>
                <w:p w:rsidR="00390B82" w:rsidRPr="00240D28" w:rsidRDefault="00366A38" w:rsidP="00240D28">
                  <w:pPr>
                    <w:pStyle w:val="TableBodyText"/>
                  </w:pPr>
                  <w:r w:rsidRPr="00240D28">
                    <w:t>65.0</w:t>
                  </w:r>
                </w:p>
              </w:tc>
              <w:tc>
                <w:tcPr>
                  <w:tcW w:w="342" w:type="pct"/>
                  <w:shd w:val="pct5" w:color="auto" w:fill="auto"/>
                  <w:vAlign w:val="bottom"/>
                </w:tcPr>
                <w:p w:rsidR="00390B82" w:rsidRPr="00240D28" w:rsidRDefault="00366A38" w:rsidP="00240D28">
                  <w:pPr>
                    <w:pStyle w:val="TableBodyText"/>
                  </w:pPr>
                  <w:r w:rsidRPr="00240D28">
                    <w:t>75.0</w:t>
                  </w:r>
                </w:p>
              </w:tc>
              <w:tc>
                <w:tcPr>
                  <w:tcW w:w="343" w:type="pct"/>
                  <w:shd w:val="pct5" w:color="auto" w:fill="auto"/>
                  <w:vAlign w:val="bottom"/>
                </w:tcPr>
                <w:p w:rsidR="00390B82" w:rsidRPr="00240D28" w:rsidRDefault="00366A38" w:rsidP="00240D28">
                  <w:pPr>
                    <w:pStyle w:val="TableBodyText"/>
                  </w:pPr>
                  <w:r w:rsidRPr="00240D28">
                    <w:t>33.4</w:t>
                  </w:r>
                </w:p>
              </w:tc>
              <w:tc>
                <w:tcPr>
                  <w:tcW w:w="343" w:type="pct"/>
                  <w:shd w:val="pct5" w:color="auto" w:fill="auto"/>
                  <w:vAlign w:val="bottom"/>
                </w:tcPr>
                <w:p w:rsidR="00390B82" w:rsidRPr="00240D28" w:rsidRDefault="00366A38" w:rsidP="00240D28">
                  <w:pPr>
                    <w:pStyle w:val="TableBodyText"/>
                  </w:pPr>
                  <w:r w:rsidRPr="00240D28">
                    <w:t>43.8</w:t>
                  </w:r>
                </w:p>
              </w:tc>
              <w:tc>
                <w:tcPr>
                  <w:tcW w:w="343" w:type="pct"/>
                  <w:shd w:val="pct5" w:color="auto" w:fill="auto"/>
                  <w:vAlign w:val="bottom"/>
                </w:tcPr>
                <w:p w:rsidR="00390B82" w:rsidRPr="00240D28" w:rsidRDefault="00366A38" w:rsidP="00240D28">
                  <w:pPr>
                    <w:pStyle w:val="TableBodyText"/>
                  </w:pPr>
                  <w:r w:rsidRPr="00240D28">
                    <w:t>48.5</w:t>
                  </w:r>
                </w:p>
              </w:tc>
              <w:tc>
                <w:tcPr>
                  <w:tcW w:w="342" w:type="pct"/>
                  <w:shd w:val="pct5" w:color="auto" w:fill="auto"/>
                  <w:vAlign w:val="bottom"/>
                </w:tcPr>
                <w:p w:rsidR="00390B82" w:rsidRPr="00240D28" w:rsidRDefault="00366A38" w:rsidP="00240D28">
                  <w:pPr>
                    <w:pStyle w:val="TableBodyText"/>
                  </w:pPr>
                  <w:r w:rsidRPr="00240D28">
                    <w:t>52.8</w:t>
                  </w:r>
                </w:p>
              </w:tc>
              <w:tc>
                <w:tcPr>
                  <w:tcW w:w="343" w:type="pct"/>
                  <w:shd w:val="pct5" w:color="auto" w:fill="auto"/>
                  <w:vAlign w:val="bottom"/>
                </w:tcPr>
                <w:p w:rsidR="00390B82" w:rsidRPr="00240D28" w:rsidRDefault="00366A38" w:rsidP="00240D28">
                  <w:pPr>
                    <w:pStyle w:val="TableBodyText"/>
                  </w:pPr>
                  <w:r w:rsidRPr="00240D28">
                    <w:t>37.0</w:t>
                  </w:r>
                </w:p>
              </w:tc>
              <w:tc>
                <w:tcPr>
                  <w:tcW w:w="343" w:type="pct"/>
                  <w:shd w:val="pct5" w:color="auto" w:fill="auto"/>
                  <w:vAlign w:val="bottom"/>
                </w:tcPr>
                <w:p w:rsidR="00390B82" w:rsidRPr="00240D28" w:rsidRDefault="00366A38" w:rsidP="00240D28">
                  <w:pPr>
                    <w:pStyle w:val="TableBodyText"/>
                  </w:pPr>
                  <w:r w:rsidRPr="00240D28">
                    <w:t>0.0</w:t>
                  </w:r>
                </w:p>
              </w:tc>
              <w:tc>
                <w:tcPr>
                  <w:tcW w:w="343" w:type="pct"/>
                  <w:shd w:val="pct5" w:color="auto" w:fill="auto"/>
                  <w:vAlign w:val="bottom"/>
                </w:tcPr>
                <w:p w:rsidR="00390B82" w:rsidRPr="00240D28" w:rsidRDefault="00366A38" w:rsidP="00240D28">
                  <w:pPr>
                    <w:pStyle w:val="TableBodyText"/>
                  </w:pPr>
                  <w:r w:rsidRPr="00240D28">
                    <w:t>0.0</w:t>
                  </w:r>
                </w:p>
              </w:tc>
              <w:tc>
                <w:tcPr>
                  <w:tcW w:w="343" w:type="pct"/>
                  <w:shd w:val="pct5" w:color="auto" w:fill="auto"/>
                  <w:vAlign w:val="bottom"/>
                </w:tcPr>
                <w:p w:rsidR="00390B82" w:rsidRPr="00240D28" w:rsidRDefault="00366A38" w:rsidP="00240D28">
                  <w:pPr>
                    <w:pStyle w:val="TableBodyText"/>
                    <w:ind w:right="28"/>
                  </w:pPr>
                  <w:r w:rsidRPr="00240D28">
                    <w:t>39.6</w:t>
                  </w:r>
                </w:p>
              </w:tc>
            </w:tr>
            <w:tr w:rsidR="00240D28" w:rsidTr="00D0164D">
              <w:tc>
                <w:tcPr>
                  <w:tcW w:w="543" w:type="pct"/>
                </w:tcPr>
                <w:p w:rsidR="00390B82" w:rsidRDefault="00390B82" w:rsidP="00240D28">
                  <w:pPr>
                    <w:pStyle w:val="TableBodyText"/>
                    <w:jc w:val="left"/>
                  </w:pPr>
                  <w:r>
                    <w:t>Industry</w:t>
                  </w:r>
                </w:p>
              </w:tc>
              <w:tc>
                <w:tcPr>
                  <w:tcW w:w="342" w:type="pct"/>
                  <w:vAlign w:val="bottom"/>
                </w:tcPr>
                <w:p w:rsidR="00390B82" w:rsidRPr="00240D28" w:rsidRDefault="00366A38" w:rsidP="00240D28">
                  <w:pPr>
                    <w:pStyle w:val="TableBodyText"/>
                  </w:pPr>
                  <w:r w:rsidRPr="00240D28">
                    <w:t>49.8</w:t>
                  </w:r>
                </w:p>
              </w:tc>
              <w:tc>
                <w:tcPr>
                  <w:tcW w:w="343" w:type="pct"/>
                  <w:vAlign w:val="bottom"/>
                </w:tcPr>
                <w:p w:rsidR="00390B82" w:rsidRPr="00240D28" w:rsidRDefault="00366A38" w:rsidP="00240D28">
                  <w:pPr>
                    <w:pStyle w:val="TableBodyText"/>
                  </w:pPr>
                  <w:r w:rsidRPr="00240D28">
                    <w:t>33.6</w:t>
                  </w:r>
                </w:p>
              </w:tc>
              <w:tc>
                <w:tcPr>
                  <w:tcW w:w="343" w:type="pct"/>
                  <w:vAlign w:val="bottom"/>
                </w:tcPr>
                <w:p w:rsidR="00390B82" w:rsidRPr="00240D28" w:rsidRDefault="00366A38" w:rsidP="00240D28">
                  <w:pPr>
                    <w:pStyle w:val="TableBodyText"/>
                  </w:pPr>
                  <w:r w:rsidRPr="00240D28">
                    <w:t>39.6</w:t>
                  </w:r>
                </w:p>
              </w:tc>
              <w:tc>
                <w:tcPr>
                  <w:tcW w:w="343" w:type="pct"/>
                  <w:vAlign w:val="bottom"/>
                </w:tcPr>
                <w:p w:rsidR="00390B82" w:rsidRPr="00240D28" w:rsidRDefault="00366A38" w:rsidP="00240D28">
                  <w:pPr>
                    <w:pStyle w:val="TableBodyText"/>
                  </w:pPr>
                  <w:r w:rsidRPr="00240D28">
                    <w:t>45.6</w:t>
                  </w:r>
                </w:p>
              </w:tc>
              <w:tc>
                <w:tcPr>
                  <w:tcW w:w="342" w:type="pct"/>
                  <w:vAlign w:val="bottom"/>
                </w:tcPr>
                <w:p w:rsidR="00390B82" w:rsidRPr="00240D28" w:rsidRDefault="00366A38" w:rsidP="00240D28">
                  <w:pPr>
                    <w:pStyle w:val="TableBodyText"/>
                  </w:pPr>
                  <w:r w:rsidRPr="00240D28">
                    <w:t>53.7</w:t>
                  </w:r>
                </w:p>
              </w:tc>
              <w:tc>
                <w:tcPr>
                  <w:tcW w:w="343" w:type="pct"/>
                  <w:vAlign w:val="bottom"/>
                </w:tcPr>
                <w:p w:rsidR="00390B82" w:rsidRPr="00240D28" w:rsidRDefault="00366A38" w:rsidP="00240D28">
                  <w:pPr>
                    <w:pStyle w:val="TableBodyText"/>
                  </w:pPr>
                  <w:r w:rsidRPr="00240D28">
                    <w:t>45.0</w:t>
                  </w:r>
                </w:p>
              </w:tc>
              <w:tc>
                <w:tcPr>
                  <w:tcW w:w="343" w:type="pct"/>
                  <w:vAlign w:val="bottom"/>
                </w:tcPr>
                <w:p w:rsidR="00390B82" w:rsidRPr="00240D28" w:rsidRDefault="00366A38" w:rsidP="00240D28">
                  <w:pPr>
                    <w:pStyle w:val="TableBodyText"/>
                  </w:pPr>
                  <w:r w:rsidRPr="00240D28">
                    <w:t>36.2</w:t>
                  </w:r>
                </w:p>
              </w:tc>
              <w:tc>
                <w:tcPr>
                  <w:tcW w:w="343" w:type="pct"/>
                  <w:vAlign w:val="bottom"/>
                </w:tcPr>
                <w:p w:rsidR="00390B82" w:rsidRPr="00240D28" w:rsidRDefault="00366A38" w:rsidP="00240D28">
                  <w:pPr>
                    <w:pStyle w:val="TableBodyText"/>
                  </w:pPr>
                  <w:r w:rsidRPr="00240D28">
                    <w:t>52.0</w:t>
                  </w:r>
                </w:p>
              </w:tc>
              <w:tc>
                <w:tcPr>
                  <w:tcW w:w="342" w:type="pct"/>
                  <w:vAlign w:val="bottom"/>
                </w:tcPr>
                <w:p w:rsidR="00390B82" w:rsidRPr="00240D28" w:rsidRDefault="00366A38" w:rsidP="00240D28">
                  <w:pPr>
                    <w:pStyle w:val="TableBodyText"/>
                  </w:pPr>
                  <w:r w:rsidRPr="00240D28">
                    <w:t>53.4</w:t>
                  </w:r>
                </w:p>
              </w:tc>
              <w:tc>
                <w:tcPr>
                  <w:tcW w:w="343" w:type="pct"/>
                  <w:vAlign w:val="bottom"/>
                </w:tcPr>
                <w:p w:rsidR="00390B82" w:rsidRPr="00240D28" w:rsidRDefault="00366A38" w:rsidP="00240D28">
                  <w:pPr>
                    <w:pStyle w:val="TableBodyText"/>
                  </w:pPr>
                  <w:r w:rsidRPr="00240D28">
                    <w:t>54.2</w:t>
                  </w:r>
                </w:p>
              </w:tc>
              <w:tc>
                <w:tcPr>
                  <w:tcW w:w="343" w:type="pct"/>
                  <w:shd w:val="clear" w:color="auto" w:fill="auto"/>
                  <w:vAlign w:val="bottom"/>
                </w:tcPr>
                <w:p w:rsidR="00390B82" w:rsidRPr="00240D28" w:rsidRDefault="00366A38" w:rsidP="00240D28">
                  <w:pPr>
                    <w:pStyle w:val="TableBodyText"/>
                  </w:pPr>
                  <w:r w:rsidRPr="00240D28">
                    <w:t>57.7</w:t>
                  </w:r>
                </w:p>
              </w:tc>
              <w:tc>
                <w:tcPr>
                  <w:tcW w:w="343" w:type="pct"/>
                  <w:vAlign w:val="bottom"/>
                </w:tcPr>
                <w:p w:rsidR="00390B82" w:rsidRPr="00240D28" w:rsidRDefault="00366A38" w:rsidP="00240D28">
                  <w:pPr>
                    <w:pStyle w:val="TableBodyText"/>
                  </w:pPr>
                  <w:r w:rsidRPr="00240D28">
                    <w:t>63.2</w:t>
                  </w:r>
                </w:p>
              </w:tc>
              <w:tc>
                <w:tcPr>
                  <w:tcW w:w="343" w:type="pct"/>
                  <w:shd w:val="clear" w:color="auto" w:fill="auto"/>
                  <w:vAlign w:val="bottom"/>
                </w:tcPr>
                <w:p w:rsidR="00390B82" w:rsidRPr="00240D28" w:rsidRDefault="00366A38" w:rsidP="00240D28">
                  <w:pPr>
                    <w:pStyle w:val="TableBodyText"/>
                    <w:ind w:right="28"/>
                  </w:pPr>
                  <w:r w:rsidRPr="00240D28">
                    <w:t>63.2</w:t>
                  </w:r>
                </w:p>
              </w:tc>
            </w:tr>
            <w:tr w:rsidR="00240D28" w:rsidTr="00D0164D">
              <w:tc>
                <w:tcPr>
                  <w:tcW w:w="543" w:type="pct"/>
                  <w:shd w:val="pct5" w:color="auto" w:fill="auto"/>
                </w:tcPr>
                <w:p w:rsidR="00390B82" w:rsidRDefault="00390B82" w:rsidP="00240D28">
                  <w:pPr>
                    <w:pStyle w:val="TableBodyText"/>
                    <w:jc w:val="left"/>
                  </w:pPr>
                  <w:r>
                    <w:t>Public Sector</w:t>
                  </w:r>
                </w:p>
              </w:tc>
              <w:tc>
                <w:tcPr>
                  <w:tcW w:w="342" w:type="pct"/>
                  <w:shd w:val="pct5" w:color="auto" w:fill="auto"/>
                  <w:vAlign w:val="bottom"/>
                </w:tcPr>
                <w:p w:rsidR="00390B82" w:rsidRPr="00240D28" w:rsidRDefault="00366A38" w:rsidP="00240D28">
                  <w:pPr>
                    <w:pStyle w:val="TableBodyText"/>
                  </w:pPr>
                  <w:r w:rsidRPr="00240D28">
                    <w:t>77.5</w:t>
                  </w:r>
                </w:p>
              </w:tc>
              <w:tc>
                <w:tcPr>
                  <w:tcW w:w="343" w:type="pct"/>
                  <w:shd w:val="pct5" w:color="auto" w:fill="auto"/>
                  <w:vAlign w:val="bottom"/>
                </w:tcPr>
                <w:p w:rsidR="00390B82" w:rsidRPr="00240D28" w:rsidRDefault="00366A38" w:rsidP="00240D28">
                  <w:pPr>
                    <w:pStyle w:val="TableBodyText"/>
                  </w:pPr>
                  <w:r w:rsidRPr="00240D28">
                    <w:t>46.9</w:t>
                  </w:r>
                </w:p>
              </w:tc>
              <w:tc>
                <w:tcPr>
                  <w:tcW w:w="343" w:type="pct"/>
                  <w:shd w:val="pct5" w:color="auto" w:fill="auto"/>
                  <w:vAlign w:val="bottom"/>
                </w:tcPr>
                <w:p w:rsidR="00390B82" w:rsidRPr="00240D28" w:rsidRDefault="00366A38" w:rsidP="00240D28">
                  <w:pPr>
                    <w:pStyle w:val="TableBodyText"/>
                  </w:pPr>
                  <w:r w:rsidRPr="00240D28">
                    <w:t>44.0</w:t>
                  </w:r>
                </w:p>
              </w:tc>
              <w:tc>
                <w:tcPr>
                  <w:tcW w:w="343" w:type="pct"/>
                  <w:shd w:val="pct5" w:color="auto" w:fill="auto"/>
                  <w:vAlign w:val="bottom"/>
                </w:tcPr>
                <w:p w:rsidR="00390B82" w:rsidRPr="00240D28" w:rsidRDefault="00366A38" w:rsidP="00240D28">
                  <w:pPr>
                    <w:pStyle w:val="TableBodyText"/>
                  </w:pPr>
                  <w:r w:rsidRPr="00240D28">
                    <w:t>47.9</w:t>
                  </w:r>
                </w:p>
              </w:tc>
              <w:tc>
                <w:tcPr>
                  <w:tcW w:w="342" w:type="pct"/>
                  <w:shd w:val="pct5" w:color="auto" w:fill="auto"/>
                  <w:vAlign w:val="bottom"/>
                </w:tcPr>
                <w:p w:rsidR="00390B82" w:rsidRPr="00240D28" w:rsidRDefault="00366A38" w:rsidP="00240D28">
                  <w:pPr>
                    <w:pStyle w:val="TableBodyText"/>
                  </w:pPr>
                  <w:r w:rsidRPr="00240D28">
                    <w:t>65.8</w:t>
                  </w:r>
                </w:p>
              </w:tc>
              <w:tc>
                <w:tcPr>
                  <w:tcW w:w="343" w:type="pct"/>
                  <w:shd w:val="pct5" w:color="auto" w:fill="auto"/>
                  <w:vAlign w:val="bottom"/>
                </w:tcPr>
                <w:p w:rsidR="00390B82" w:rsidRPr="00240D28" w:rsidRDefault="00366A38" w:rsidP="00240D28">
                  <w:pPr>
                    <w:pStyle w:val="TableBodyText"/>
                  </w:pPr>
                  <w:r w:rsidRPr="00240D28">
                    <w:t>66.8</w:t>
                  </w:r>
                </w:p>
              </w:tc>
              <w:tc>
                <w:tcPr>
                  <w:tcW w:w="343" w:type="pct"/>
                  <w:shd w:val="pct5" w:color="auto" w:fill="auto"/>
                  <w:vAlign w:val="bottom"/>
                </w:tcPr>
                <w:p w:rsidR="00390B82" w:rsidRPr="00240D28" w:rsidRDefault="00366A38" w:rsidP="00240D28">
                  <w:pPr>
                    <w:pStyle w:val="TableBodyText"/>
                  </w:pPr>
                  <w:r w:rsidRPr="00240D28">
                    <w:t>82.3</w:t>
                  </w:r>
                </w:p>
              </w:tc>
              <w:tc>
                <w:tcPr>
                  <w:tcW w:w="343" w:type="pct"/>
                  <w:shd w:val="pct5" w:color="auto" w:fill="auto"/>
                  <w:vAlign w:val="bottom"/>
                </w:tcPr>
                <w:p w:rsidR="00390B82" w:rsidRPr="00240D28" w:rsidRDefault="00366A38" w:rsidP="00240D28">
                  <w:pPr>
                    <w:pStyle w:val="TableBodyText"/>
                  </w:pPr>
                  <w:r w:rsidRPr="00240D28">
                    <w:t>92.4</w:t>
                  </w:r>
                </w:p>
              </w:tc>
              <w:tc>
                <w:tcPr>
                  <w:tcW w:w="342" w:type="pct"/>
                  <w:shd w:val="pct5" w:color="auto" w:fill="auto"/>
                  <w:vAlign w:val="bottom"/>
                </w:tcPr>
                <w:p w:rsidR="00390B82" w:rsidRPr="00240D28" w:rsidRDefault="00366A38" w:rsidP="00240D28">
                  <w:pPr>
                    <w:pStyle w:val="TableBodyText"/>
                  </w:pPr>
                  <w:r w:rsidRPr="00240D28">
                    <w:t>91.8</w:t>
                  </w:r>
                </w:p>
              </w:tc>
              <w:tc>
                <w:tcPr>
                  <w:tcW w:w="343" w:type="pct"/>
                  <w:shd w:val="pct5" w:color="auto" w:fill="auto"/>
                  <w:vAlign w:val="bottom"/>
                </w:tcPr>
                <w:p w:rsidR="00390B82" w:rsidRPr="00240D28" w:rsidRDefault="00366A38" w:rsidP="00240D28">
                  <w:pPr>
                    <w:pStyle w:val="TableBodyText"/>
                  </w:pPr>
                  <w:r w:rsidRPr="00240D28">
                    <w:t>95.6</w:t>
                  </w:r>
                </w:p>
              </w:tc>
              <w:tc>
                <w:tcPr>
                  <w:tcW w:w="343" w:type="pct"/>
                  <w:shd w:val="pct5" w:color="auto" w:fill="auto"/>
                  <w:vAlign w:val="bottom"/>
                </w:tcPr>
                <w:p w:rsidR="00390B82" w:rsidRPr="00240D28" w:rsidRDefault="00366A38" w:rsidP="00240D28">
                  <w:pPr>
                    <w:pStyle w:val="TableBodyText"/>
                  </w:pPr>
                  <w:r w:rsidRPr="00240D28">
                    <w:t>99.0</w:t>
                  </w:r>
                </w:p>
              </w:tc>
              <w:tc>
                <w:tcPr>
                  <w:tcW w:w="343" w:type="pct"/>
                  <w:shd w:val="pct5" w:color="auto" w:fill="auto"/>
                  <w:vAlign w:val="bottom"/>
                </w:tcPr>
                <w:p w:rsidR="00390B82" w:rsidRPr="00240D28" w:rsidRDefault="00366A38" w:rsidP="00240D28">
                  <w:pPr>
                    <w:pStyle w:val="TableBodyText"/>
                  </w:pPr>
                  <w:r w:rsidRPr="00240D28">
                    <w:t>99.8</w:t>
                  </w:r>
                </w:p>
              </w:tc>
              <w:tc>
                <w:tcPr>
                  <w:tcW w:w="343" w:type="pct"/>
                  <w:shd w:val="pct5" w:color="auto" w:fill="auto"/>
                  <w:vAlign w:val="bottom"/>
                </w:tcPr>
                <w:p w:rsidR="00390B82" w:rsidRPr="00240D28" w:rsidRDefault="00366A38" w:rsidP="00240D28">
                  <w:pPr>
                    <w:pStyle w:val="TableBodyText"/>
                    <w:ind w:right="28"/>
                  </w:pPr>
                  <w:r w:rsidRPr="00240D28">
                    <w:t>97.9</w:t>
                  </w:r>
                </w:p>
              </w:tc>
            </w:tr>
            <w:tr w:rsidR="00240D28" w:rsidTr="00294B2D">
              <w:tc>
                <w:tcPr>
                  <w:tcW w:w="543" w:type="pct"/>
                  <w:tcBorders>
                    <w:bottom w:val="single" w:sz="6" w:space="0" w:color="BFBFBF"/>
                  </w:tcBorders>
                </w:tcPr>
                <w:p w:rsidR="00366A38" w:rsidRDefault="00366A38" w:rsidP="00240D28">
                  <w:pPr>
                    <w:pStyle w:val="TableBodyText"/>
                    <w:jc w:val="left"/>
                  </w:pPr>
                  <w:r>
                    <w:t>Retail</w:t>
                  </w:r>
                </w:p>
              </w:tc>
              <w:tc>
                <w:tcPr>
                  <w:tcW w:w="342" w:type="pct"/>
                  <w:tcBorders>
                    <w:bottom w:val="single" w:sz="6" w:space="0" w:color="BFBFBF"/>
                  </w:tcBorders>
                  <w:vAlign w:val="bottom"/>
                </w:tcPr>
                <w:p w:rsidR="00366A38" w:rsidRPr="00240D28" w:rsidRDefault="00366A38" w:rsidP="00240D28">
                  <w:pPr>
                    <w:pStyle w:val="TableBodyText"/>
                  </w:pPr>
                  <w:r w:rsidRPr="00240D28">
                    <w:t>90.1</w:t>
                  </w:r>
                </w:p>
              </w:tc>
              <w:tc>
                <w:tcPr>
                  <w:tcW w:w="343" w:type="pct"/>
                  <w:tcBorders>
                    <w:bottom w:val="single" w:sz="6" w:space="0" w:color="BFBFBF"/>
                  </w:tcBorders>
                  <w:vAlign w:val="bottom"/>
                </w:tcPr>
                <w:p w:rsidR="00366A38" w:rsidRPr="00240D28" w:rsidRDefault="00366A38" w:rsidP="00240D28">
                  <w:pPr>
                    <w:pStyle w:val="TableBodyText"/>
                  </w:pPr>
                  <w:r w:rsidRPr="00240D28">
                    <w:t>36.2</w:t>
                  </w:r>
                </w:p>
              </w:tc>
              <w:tc>
                <w:tcPr>
                  <w:tcW w:w="343" w:type="pct"/>
                  <w:tcBorders>
                    <w:bottom w:val="single" w:sz="6" w:space="0" w:color="BFBFBF"/>
                  </w:tcBorders>
                  <w:vAlign w:val="bottom"/>
                </w:tcPr>
                <w:p w:rsidR="00366A38" w:rsidRPr="00240D28" w:rsidRDefault="00366A38" w:rsidP="00240D28">
                  <w:pPr>
                    <w:pStyle w:val="TableBodyText"/>
                  </w:pPr>
                  <w:r w:rsidRPr="00240D28">
                    <w:t>71.9</w:t>
                  </w:r>
                </w:p>
              </w:tc>
              <w:tc>
                <w:tcPr>
                  <w:tcW w:w="343" w:type="pct"/>
                  <w:tcBorders>
                    <w:bottom w:val="single" w:sz="6" w:space="0" w:color="BFBFBF"/>
                  </w:tcBorders>
                  <w:vAlign w:val="bottom"/>
                </w:tcPr>
                <w:p w:rsidR="00366A38" w:rsidRPr="00240D28" w:rsidRDefault="00366A38" w:rsidP="00240D28">
                  <w:pPr>
                    <w:pStyle w:val="TableBodyText"/>
                  </w:pPr>
                  <w:r w:rsidRPr="00240D28">
                    <w:t>83.0</w:t>
                  </w:r>
                </w:p>
              </w:tc>
              <w:tc>
                <w:tcPr>
                  <w:tcW w:w="342" w:type="pct"/>
                  <w:tcBorders>
                    <w:bottom w:val="single" w:sz="6" w:space="0" w:color="BFBFBF"/>
                  </w:tcBorders>
                  <w:vAlign w:val="bottom"/>
                </w:tcPr>
                <w:p w:rsidR="00366A38" w:rsidRPr="00240D28" w:rsidRDefault="00366A38" w:rsidP="00240D28">
                  <w:pPr>
                    <w:pStyle w:val="TableBodyText"/>
                  </w:pPr>
                  <w:r w:rsidRPr="00240D28">
                    <w:t>97.4</w:t>
                  </w:r>
                </w:p>
              </w:tc>
              <w:tc>
                <w:tcPr>
                  <w:tcW w:w="343" w:type="pct"/>
                  <w:tcBorders>
                    <w:bottom w:val="single" w:sz="6" w:space="0" w:color="BFBFBF"/>
                  </w:tcBorders>
                  <w:vAlign w:val="bottom"/>
                </w:tcPr>
                <w:p w:rsidR="00366A38" w:rsidRPr="00240D28" w:rsidRDefault="00366A38" w:rsidP="00240D28">
                  <w:pPr>
                    <w:pStyle w:val="TableBodyText"/>
                  </w:pPr>
                  <w:r w:rsidRPr="00240D28">
                    <w:t>97.4</w:t>
                  </w:r>
                </w:p>
              </w:tc>
              <w:tc>
                <w:tcPr>
                  <w:tcW w:w="343" w:type="pct"/>
                  <w:tcBorders>
                    <w:bottom w:val="single" w:sz="6" w:space="0" w:color="BFBFBF"/>
                  </w:tcBorders>
                  <w:vAlign w:val="bottom"/>
                </w:tcPr>
                <w:p w:rsidR="00366A38" w:rsidRPr="00240D28" w:rsidRDefault="00366A38" w:rsidP="00240D28">
                  <w:pPr>
                    <w:pStyle w:val="TableBodyText"/>
                  </w:pPr>
                  <w:r w:rsidRPr="00240D28">
                    <w:t>98.6</w:t>
                  </w:r>
                </w:p>
              </w:tc>
              <w:tc>
                <w:tcPr>
                  <w:tcW w:w="343" w:type="pct"/>
                  <w:tcBorders>
                    <w:bottom w:val="single" w:sz="6" w:space="0" w:color="BFBFBF"/>
                  </w:tcBorders>
                  <w:vAlign w:val="bottom"/>
                </w:tcPr>
                <w:p w:rsidR="00366A38" w:rsidRPr="00240D28" w:rsidRDefault="00366A38" w:rsidP="00240D28">
                  <w:pPr>
                    <w:pStyle w:val="TableBodyText"/>
                  </w:pPr>
                  <w:r w:rsidRPr="00240D28">
                    <w:t>97.3</w:t>
                  </w:r>
                </w:p>
              </w:tc>
              <w:tc>
                <w:tcPr>
                  <w:tcW w:w="342" w:type="pct"/>
                  <w:tcBorders>
                    <w:bottom w:val="single" w:sz="6" w:space="0" w:color="BFBFBF"/>
                  </w:tcBorders>
                  <w:vAlign w:val="bottom"/>
                </w:tcPr>
                <w:p w:rsidR="00366A38" w:rsidRPr="00240D28" w:rsidRDefault="00366A38" w:rsidP="00240D28">
                  <w:pPr>
                    <w:pStyle w:val="TableBodyText"/>
                  </w:pPr>
                  <w:r w:rsidRPr="00240D28">
                    <w:t>99.6</w:t>
                  </w:r>
                </w:p>
              </w:tc>
              <w:tc>
                <w:tcPr>
                  <w:tcW w:w="343" w:type="pct"/>
                  <w:tcBorders>
                    <w:bottom w:val="single" w:sz="6" w:space="0" w:color="BFBFBF"/>
                  </w:tcBorders>
                  <w:vAlign w:val="bottom"/>
                </w:tcPr>
                <w:p w:rsidR="00366A38" w:rsidRPr="00240D28" w:rsidRDefault="00366A38" w:rsidP="00240D28">
                  <w:pPr>
                    <w:pStyle w:val="TableBodyText"/>
                  </w:pPr>
                  <w:r w:rsidRPr="00240D28">
                    <w:t>99.7</w:t>
                  </w:r>
                </w:p>
              </w:tc>
              <w:tc>
                <w:tcPr>
                  <w:tcW w:w="343" w:type="pct"/>
                  <w:tcBorders>
                    <w:bottom w:val="single" w:sz="6" w:space="0" w:color="BFBFBF"/>
                  </w:tcBorders>
                  <w:shd w:val="clear" w:color="auto" w:fill="auto"/>
                  <w:vAlign w:val="bottom"/>
                </w:tcPr>
                <w:p w:rsidR="00366A38" w:rsidRPr="00240D28" w:rsidRDefault="00366A38" w:rsidP="00240D28">
                  <w:pPr>
                    <w:pStyle w:val="TableBodyText"/>
                  </w:pPr>
                  <w:r w:rsidRPr="00240D28">
                    <w:t>100.0</w:t>
                  </w:r>
                </w:p>
              </w:tc>
              <w:tc>
                <w:tcPr>
                  <w:tcW w:w="343" w:type="pct"/>
                  <w:tcBorders>
                    <w:bottom w:val="single" w:sz="6" w:space="0" w:color="BFBFBF"/>
                  </w:tcBorders>
                  <w:vAlign w:val="bottom"/>
                </w:tcPr>
                <w:p w:rsidR="00366A38" w:rsidRPr="00240D28" w:rsidRDefault="00366A38" w:rsidP="00240D28">
                  <w:pPr>
                    <w:pStyle w:val="TableBodyText"/>
                  </w:pPr>
                  <w:r w:rsidRPr="00240D28">
                    <w:t>100.0</w:t>
                  </w:r>
                </w:p>
              </w:tc>
              <w:tc>
                <w:tcPr>
                  <w:tcW w:w="343" w:type="pct"/>
                  <w:tcBorders>
                    <w:bottom w:val="single" w:sz="6" w:space="0" w:color="BFBFBF"/>
                  </w:tcBorders>
                  <w:shd w:val="clear" w:color="auto" w:fill="auto"/>
                  <w:vAlign w:val="bottom"/>
                </w:tcPr>
                <w:p w:rsidR="00366A38" w:rsidRPr="00240D28" w:rsidRDefault="00366A38" w:rsidP="00240D28">
                  <w:pPr>
                    <w:pStyle w:val="TableBodyText"/>
                    <w:ind w:right="28"/>
                  </w:pPr>
                  <w:r w:rsidRPr="00240D28">
                    <w:t>100.0</w:t>
                  </w:r>
                </w:p>
              </w:tc>
            </w:tr>
          </w:tbl>
          <w:p w:rsidR="00090C9E" w:rsidRDefault="00090C9E" w:rsidP="00B02BCB">
            <w:pPr>
              <w:pStyle w:val="Box"/>
            </w:pPr>
          </w:p>
        </w:tc>
      </w:tr>
      <w:tr w:rsidR="00090C9E" w:rsidTr="00B02BCB">
        <w:tc>
          <w:tcPr>
            <w:tcW w:w="5000" w:type="pct"/>
            <w:tcBorders>
              <w:top w:val="nil"/>
              <w:left w:val="nil"/>
              <w:bottom w:val="nil"/>
              <w:right w:val="nil"/>
            </w:tcBorders>
            <w:shd w:val="clear" w:color="auto" w:fill="auto"/>
          </w:tcPr>
          <w:p w:rsidR="00090C9E" w:rsidRDefault="00090C9E" w:rsidP="00B02BCB">
            <w:pPr>
              <w:pStyle w:val="Note"/>
              <w:rPr>
                <w:i/>
              </w:rPr>
            </w:pPr>
            <w:r w:rsidRPr="008E77FE">
              <w:rPr>
                <w:rStyle w:val="NoteLabel"/>
              </w:rPr>
              <w:t>a</w:t>
            </w:r>
            <w:r>
              <w:t xml:space="preserve"> Based on</w:t>
            </w:r>
            <w:r w:rsidR="009B7094">
              <w:t xml:space="preserve"> a sample including 140 options</w:t>
            </w:r>
            <w:r>
              <w:t xml:space="preserve"> with available data</w:t>
            </w:r>
            <w:r w:rsidR="009B7094">
              <w:t xml:space="preserve"> in 2017 and 27 options with available data in 2006. </w:t>
            </w:r>
          </w:p>
        </w:tc>
      </w:tr>
      <w:tr w:rsidR="00090C9E" w:rsidTr="00B02BCB">
        <w:tc>
          <w:tcPr>
            <w:tcW w:w="5000" w:type="pct"/>
            <w:tcBorders>
              <w:top w:val="nil"/>
              <w:left w:val="nil"/>
              <w:bottom w:val="nil"/>
              <w:right w:val="nil"/>
            </w:tcBorders>
            <w:shd w:val="clear" w:color="auto" w:fill="auto"/>
          </w:tcPr>
          <w:p w:rsidR="00090C9E" w:rsidRDefault="00090C9E" w:rsidP="00B02BCB">
            <w:pPr>
              <w:pStyle w:val="Source"/>
            </w:pPr>
            <w:r>
              <w:rPr>
                <w:i/>
              </w:rPr>
              <w:t>Source</w:t>
            </w:r>
            <w:r w:rsidRPr="00167F06">
              <w:t xml:space="preserve">: </w:t>
            </w:r>
            <w:r>
              <w:t>PC analysis of SuperRatings data.</w:t>
            </w:r>
          </w:p>
        </w:tc>
      </w:tr>
      <w:tr w:rsidR="00090C9E" w:rsidTr="00B02BCB">
        <w:tc>
          <w:tcPr>
            <w:tcW w:w="5000" w:type="pct"/>
            <w:tcBorders>
              <w:top w:val="nil"/>
              <w:left w:val="nil"/>
              <w:bottom w:val="single" w:sz="6" w:space="0" w:color="78A22F"/>
              <w:right w:val="nil"/>
            </w:tcBorders>
            <w:shd w:val="clear" w:color="auto" w:fill="auto"/>
          </w:tcPr>
          <w:p w:rsidR="00090C9E" w:rsidRDefault="00090C9E" w:rsidP="00B02BCB">
            <w:pPr>
              <w:pStyle w:val="Box"/>
              <w:spacing w:before="0" w:line="120" w:lineRule="exact"/>
            </w:pPr>
          </w:p>
        </w:tc>
      </w:tr>
      <w:tr w:rsidR="00090C9E" w:rsidRPr="000863A5" w:rsidTr="00B02BCB">
        <w:tc>
          <w:tcPr>
            <w:tcW w:w="5000" w:type="pct"/>
            <w:tcBorders>
              <w:top w:val="single" w:sz="6" w:space="0" w:color="78A22F"/>
              <w:left w:val="nil"/>
              <w:bottom w:val="nil"/>
              <w:right w:val="nil"/>
            </w:tcBorders>
          </w:tcPr>
          <w:p w:rsidR="00090C9E" w:rsidRPr="00626D32" w:rsidRDefault="00090C9E" w:rsidP="00B02BCB">
            <w:pPr>
              <w:pStyle w:val="BoxSpaceBelow"/>
            </w:pPr>
          </w:p>
        </w:tc>
      </w:tr>
    </w:tbl>
    <w:p w:rsidR="00090C9E" w:rsidRDefault="00090C9E" w:rsidP="00090C9E">
      <w:pPr>
        <w:pStyle w:val="Heading4"/>
      </w:pPr>
      <w:r>
        <w:t>Other assets</w:t>
      </w:r>
    </w:p>
    <w:p w:rsidR="00090C9E" w:rsidRDefault="00090C9E" w:rsidP="00090C9E">
      <w:pPr>
        <w:pStyle w:val="BodyText"/>
      </w:pPr>
      <w:r>
        <w:t>Several participants questioned the use of equities indexes to proxy for the ‘other’ assets class in benchmarks, noting that equities are often poorly correlated with the assets in this class (such as hedge funds and commodities), and that some of these assets are more defensive in character (Chant West, sub. DR191; NAB MLC Wealth, sub. DR174; Sunsuper, sub. DR197; Geoff Warren, sub. </w:t>
      </w:r>
      <w:r w:rsidRPr="00E166BA">
        <w:t xml:space="preserve">DR118). </w:t>
      </w:r>
      <w:r w:rsidRPr="00C00A97">
        <w:t>To reflect this, the Commission has decided to use a simple mix of 50 per cent equities and 50 per cent fixed interest (with each split evenly into the relevant domestic and international ind</w:t>
      </w:r>
      <w:r>
        <w:t>ex</w:t>
      </w:r>
      <w:r w:rsidRPr="00C00A97">
        <w:t>es).</w:t>
      </w:r>
    </w:p>
    <w:p w:rsidR="00090C9E" w:rsidRDefault="00090C9E" w:rsidP="00090C9E">
      <w:pPr>
        <w:pStyle w:val="Heading4"/>
      </w:pPr>
      <w:r>
        <w:t xml:space="preserve">Indirect investment </w:t>
      </w:r>
      <w:r w:rsidR="006748AD">
        <w:t>expenses</w:t>
      </w:r>
    </w:p>
    <w:p w:rsidR="00090C9E" w:rsidRDefault="00090C9E" w:rsidP="00090C9E">
      <w:pPr>
        <w:pStyle w:val="BodyText"/>
      </w:pPr>
      <w:r>
        <w:t xml:space="preserve">In the draft report, the Commission applied an allowance to benchmarks for indirect investment </w:t>
      </w:r>
      <w:r w:rsidR="006748AD">
        <w:t xml:space="preserve">expenses </w:t>
      </w:r>
      <w:r>
        <w:t>that are not reflected in asset</w:t>
      </w:r>
      <w:r>
        <w:noBreakHyphen/>
        <w:t>class investment costs, including custodian, valuation and search costs. The allowance was 15 basis points (0.15 percentage points) for BP1 and 40 basis points for BP2, based on pre</w:t>
      </w:r>
      <w:r w:rsidR="00EA2799">
        <w:noBreakHyphen/>
      </w:r>
      <w:r>
        <w:t>draft report consultation with experts.</w:t>
      </w:r>
    </w:p>
    <w:p w:rsidR="00090C9E" w:rsidRDefault="00090C9E" w:rsidP="00090C9E">
      <w:pPr>
        <w:pStyle w:val="BodyText"/>
      </w:pPr>
      <w:r>
        <w:t>There was little feedback on this assumption in submissions. However, further consultation with industry experts and academics has informed the Commission’s decision to reduce this allowance to 10 basis points for all benchmarks. This reflects estimates provided to the Commission that custodian and search costs are likely to be within the range of 1–10 basis points (with 10 chosen as a conservative approach). Most valuation costs are likely to be reflected in asset prices or investment management costs, and thus do not require a separate adjustment to the benchmarks.</w:t>
      </w:r>
    </w:p>
    <w:p w:rsidR="00090C9E" w:rsidRDefault="00090C9E" w:rsidP="00090C9E">
      <w:pPr>
        <w:pStyle w:val="Heading4"/>
      </w:pPr>
      <w:r>
        <w:lastRenderedPageBreak/>
        <w:t>Unlisted property</w:t>
      </w:r>
    </w:p>
    <w:p w:rsidR="00090C9E" w:rsidRDefault="00090C9E" w:rsidP="00090C9E">
      <w:pPr>
        <w:pStyle w:val="BodyText"/>
      </w:pPr>
      <w:r>
        <w:t xml:space="preserve">Some participants raised concerns </w:t>
      </w:r>
      <w:r w:rsidR="00AA0B48">
        <w:t xml:space="preserve">about </w:t>
      </w:r>
      <w:r>
        <w:t>the treatment of the unlisted property asset class in the draft report where</w:t>
      </w:r>
      <w:r w:rsidR="0072754F">
        <w:t>,</w:t>
      </w:r>
      <w:r>
        <w:t xml:space="preserve"> due to data availability</w:t>
      </w:r>
      <w:r w:rsidR="0072754F">
        <w:t>,</w:t>
      </w:r>
      <w:r>
        <w:t xml:space="preserve"> the Commission used a domestic unlisted index for all unlisted property from 2008 onwards, and listed indexes for the year</w:t>
      </w:r>
      <w:r w:rsidR="00054958">
        <w:t>s</w:t>
      </w:r>
      <w:r>
        <w:t xml:space="preserve"> 2005</w:t>
      </w:r>
      <w:r w:rsidR="00054958">
        <w:t xml:space="preserve"> to </w:t>
      </w:r>
      <w:r>
        <w:t xml:space="preserve">2007 plus an imputed illiquidity premium. Chant West (sub. DR191) argued that this could have overstated BP2 by about </w:t>
      </w:r>
      <w:r w:rsidR="006D739C">
        <w:t>25 basis points</w:t>
      </w:r>
      <w:r>
        <w:t>, given much higher returns to listed property (relative to unlisted) during those years. Both Chant West and AustralianSuper (sub.</w:t>
      </w:r>
      <w:r w:rsidR="00617DD2">
        <w:t> </w:t>
      </w:r>
      <w:r>
        <w:t>DR150) argued that the use of a listed index plus illiquidity premium should be applied across the whole period, not just three years. Sunsuper (sub.</w:t>
      </w:r>
      <w:r w:rsidR="00617DD2">
        <w:t> </w:t>
      </w:r>
      <w:r>
        <w:t>DR197) submitted that it would be better to combine a set of regional listed indexes to proxy for a global index.</w:t>
      </w:r>
    </w:p>
    <w:p w:rsidR="00612AB3" w:rsidRDefault="00090C9E" w:rsidP="00EA2799">
      <w:pPr>
        <w:pStyle w:val="BodyText"/>
      </w:pPr>
      <w:r>
        <w:t xml:space="preserve">The Commission has </w:t>
      </w:r>
      <w:r w:rsidR="00EA2799">
        <w:t>since been able to obtain data for the Mercer Unlisted Property Index (Australia) for the years 2005–2007</w:t>
      </w:r>
      <w:r w:rsidR="000D6ABE">
        <w:t xml:space="preserve"> (provided by Mercer to the Commission upon request)</w:t>
      </w:r>
      <w:r w:rsidR="00EA2799">
        <w:t>.</w:t>
      </w:r>
      <w:r w:rsidR="00F01E07">
        <w:t xml:space="preserve"> These data indicate </w:t>
      </w:r>
      <w:r w:rsidR="00C330FB">
        <w:t xml:space="preserve">an average return over those three years of </w:t>
      </w:r>
      <w:r w:rsidR="003269D8">
        <w:t>16.6</w:t>
      </w:r>
      <w:r w:rsidR="00C330FB">
        <w:t xml:space="preserve"> per cent, compared to </w:t>
      </w:r>
      <w:r w:rsidR="003269D8">
        <w:t>25.1</w:t>
      </w:r>
      <w:r w:rsidR="00C330FB">
        <w:t> per cent under the assumptions used in the draft report.</w:t>
      </w:r>
      <w:r w:rsidR="00612AB3">
        <w:t xml:space="preserve"> The unlisted property benchmark now comprises an unlisted index for the full time period.</w:t>
      </w:r>
    </w:p>
    <w:p w:rsidR="00BC3670" w:rsidRDefault="00BC3670" w:rsidP="00090C9E">
      <w:pPr>
        <w:pStyle w:val="Heading4"/>
      </w:pPr>
      <w:r>
        <w:t>Unlisted infrastructure</w:t>
      </w:r>
    </w:p>
    <w:p w:rsidR="00BC3670" w:rsidRPr="00BC3670" w:rsidRDefault="00BC3670" w:rsidP="005532A9">
      <w:pPr>
        <w:pStyle w:val="BodyText"/>
      </w:pPr>
      <w:r>
        <w:t xml:space="preserve">Analysis of funds survey data (described above) indicates that many funds’ returns </w:t>
      </w:r>
      <w:r w:rsidR="00054958">
        <w:t xml:space="preserve">to </w:t>
      </w:r>
      <w:r w:rsidR="00D0673F">
        <w:t>unlisted</w:t>
      </w:r>
      <w:r w:rsidR="00054958">
        <w:t xml:space="preserve"> infrastructure</w:t>
      </w:r>
      <w:r>
        <w:t xml:space="preserve"> were well below the index over the period. This may suggest that the specific index used — the </w:t>
      </w:r>
      <w:r w:rsidR="00432DB8">
        <w:t>MSCI/IPD Unlisted Infrastructure Index</w:t>
      </w:r>
      <w:r w:rsidR="00617DD2">
        <w:t xml:space="preserve"> </w:t>
      </w:r>
      <w:r>
        <w:t xml:space="preserve">— is not representative of the Australian superannuation system. </w:t>
      </w:r>
      <w:r w:rsidR="00054958">
        <w:t>For example, the country composition of superannuation funds’ holdings may differ to that in the index</w:t>
      </w:r>
      <w:r w:rsidR="009A50C7">
        <w:t>,</w:t>
      </w:r>
      <w:r w:rsidR="00054958">
        <w:t xml:space="preserve"> which was 54 per cent Australian unlisted infrastructure at June 2018</w:t>
      </w:r>
      <w:r w:rsidR="009A50C7">
        <w:t xml:space="preserve"> </w:t>
      </w:r>
      <w:r w:rsidR="009A50C7" w:rsidRPr="009A50C7">
        <w:rPr>
          <w:szCs w:val="24"/>
        </w:rPr>
        <w:t>(MSCI 2018)</w:t>
      </w:r>
      <w:r w:rsidR="00054958">
        <w:t xml:space="preserve">. </w:t>
      </w:r>
      <w:r>
        <w:t xml:space="preserve">However, consultation with relevant </w:t>
      </w:r>
      <w:r w:rsidR="000D6ABE">
        <w:t xml:space="preserve">industry </w:t>
      </w:r>
      <w:r>
        <w:t>experts suggests that the index is likely to be a suitable benchmark for Australian funds, and in the absence of an alternative index the Commission has decided not to make any change.</w:t>
      </w:r>
    </w:p>
    <w:p w:rsidR="00090C9E" w:rsidRDefault="00090C9E" w:rsidP="00090C9E">
      <w:pPr>
        <w:pStyle w:val="Heading4"/>
      </w:pPr>
      <w:r>
        <w:t>Tax</w:t>
      </w:r>
    </w:p>
    <w:p w:rsidR="00090C9E" w:rsidRDefault="00090C9E" w:rsidP="00090C9E">
      <w:pPr>
        <w:pStyle w:val="BodyText"/>
      </w:pPr>
      <w:r>
        <w:t>The Commission subtracted the median tax paid by superannuation funds (as reported to APRA) from each year in the benchmarks in the draft report, combined with sensitivity testing at flat rates of 5 and 7.5 per cent.</w:t>
      </w:r>
      <w:r w:rsidR="005F08A3">
        <w:rPr>
          <w:rStyle w:val="FootnoteReference"/>
        </w:rPr>
        <w:footnoteReference w:id="8"/>
      </w:r>
      <w:r>
        <w:t xml:space="preserve"> (For the fund</w:t>
      </w:r>
      <w:r w:rsidR="00617DD2">
        <w:noBreakHyphen/>
      </w:r>
      <w:r>
        <w:t>level analysis, each fund’s individual tax rate was applied). At the time, the Commission understood that the APRA data reflected actual tax paid. Several participants criticised this approach, given it does not reflect accrued or deferred tax liabilities, arguing instead that long</w:t>
      </w:r>
      <w:r>
        <w:noBreakHyphen/>
        <w:t>term average tax rates should be used (AustralianSuper, sub. DR150) or, alternatively, a flat rate of 6.0 to 7.5 per cent (Chant West, sub. DR191).</w:t>
      </w:r>
    </w:p>
    <w:p w:rsidR="00090C9E" w:rsidRDefault="00090C9E" w:rsidP="00090C9E">
      <w:pPr>
        <w:pStyle w:val="BodyText"/>
      </w:pPr>
      <w:r>
        <w:lastRenderedPageBreak/>
        <w:t xml:space="preserve">On further investigation, the Commission has ascertained that the APRA data do, in fact, include an allowance for deferred tax liabilities. </w:t>
      </w:r>
      <w:r w:rsidR="00D1120D">
        <w:t>Combined with the fact that net returns in APRA datasets are calculated using the same tax data,</w:t>
      </w:r>
      <w:r>
        <w:t xml:space="preserve"> the APRA tax rates have been retained for benchmarking at the system level. However, rather than using the median rate across the system, an average tax rate has been used (weighted by each fund’s investment earnings), by year. Segment averages have also been applied for the retail and not</w:t>
      </w:r>
      <w:r>
        <w:noBreakHyphen/>
        <w:t>for</w:t>
      </w:r>
      <w:r>
        <w:noBreakHyphen/>
        <w:t>profit analyses.</w:t>
      </w:r>
    </w:p>
    <w:p w:rsidR="0089668F" w:rsidRDefault="0089668F" w:rsidP="00090C9E">
      <w:pPr>
        <w:pStyle w:val="BodyText"/>
      </w:pPr>
      <w:r>
        <w:t>Further, to avoid complexities where some funds experience investment earnings close to zero in some years (and thus have very high or low tax rates), the Commission has decided to do all fund</w:t>
      </w:r>
      <w:r>
        <w:noBreakHyphen/>
        <w:t>level benchmarking on a gross</w:t>
      </w:r>
      <w:r w:rsidR="00617DD2">
        <w:noBreakHyphen/>
      </w:r>
      <w:r>
        <w:t>of</w:t>
      </w:r>
      <w:r>
        <w:noBreakHyphen/>
        <w:t>tax basis.</w:t>
      </w:r>
    </w:p>
    <w:p w:rsidR="00FF272A" w:rsidRDefault="00090C9E" w:rsidP="00090C9E">
      <w:pPr>
        <w:pStyle w:val="BodyText"/>
      </w:pPr>
      <w:r>
        <w:t>Some participants also questioned the use of fund</w:t>
      </w:r>
      <w:r>
        <w:noBreakHyphen/>
        <w:t>level tax rates for benchmarking MySuper products, as the fund level data would include (untaxed) earnings in the retirement phase (ASFA, sub. DR148). The Commission has now</w:t>
      </w:r>
      <w:r w:rsidDel="00FF272A">
        <w:t xml:space="preserve"> </w:t>
      </w:r>
      <w:r>
        <w:t>used APRA MySuper data from 2014</w:t>
      </w:r>
      <w:r w:rsidR="006972A5">
        <w:t>–</w:t>
      </w:r>
      <w:r>
        <w:t>2018 to impute historical tax rates. This was done by taking the average fund</w:t>
      </w:r>
      <w:r w:rsidR="00617DD2">
        <w:noBreakHyphen/>
      </w:r>
      <w:r>
        <w:t>level tax rate, and adding the average difference (across 2014</w:t>
      </w:r>
      <w:r w:rsidR="006972A5">
        <w:t>–</w:t>
      </w:r>
      <w:r>
        <w:t>2018) between the average MySuper tax rate and the average fund</w:t>
      </w:r>
      <w:r w:rsidR="00617DD2">
        <w:noBreakHyphen/>
      </w:r>
      <w:r>
        <w:t>level tax rate</w:t>
      </w:r>
      <w:r w:rsidR="007424DD">
        <w:t>. This produced an average rate from 2008 to 2018 of around 5.8 per cent</w:t>
      </w:r>
      <w:r>
        <w:t>.</w:t>
      </w:r>
    </w:p>
    <w:p w:rsidR="0067580E" w:rsidRDefault="00FF272A" w:rsidP="0067580E">
      <w:pPr>
        <w:pStyle w:val="BodyText"/>
      </w:pPr>
      <w:r>
        <w:t>Since crediting</w:t>
      </w:r>
      <w:r>
        <w:noBreakHyphen/>
        <w:t xml:space="preserve">rate data (from SuperRatings) are used for the </w:t>
      </w:r>
      <w:r w:rsidRPr="0067580E">
        <w:t xml:space="preserve">analysis of MySuper products, </w:t>
      </w:r>
      <w:r w:rsidRPr="00B41E06">
        <w:t>a</w:t>
      </w:r>
      <w:r w:rsidR="00090C9E" w:rsidRPr="00B41E06">
        <w:t>n upward adjustment has also been made to offset insurance</w:t>
      </w:r>
      <w:r w:rsidR="00090C9E" w:rsidRPr="00B41E06">
        <w:noBreakHyphen/>
        <w:t>related deductions</w:t>
      </w:r>
      <w:r w:rsidR="0067580E" w:rsidRPr="00B41E06">
        <w:t>.</w:t>
      </w:r>
      <w:r w:rsidR="0067580E" w:rsidRPr="003925F3">
        <w:t xml:space="preserve"> </w:t>
      </w:r>
      <w:r w:rsidR="00CA3FF4">
        <w:t>F</w:t>
      </w:r>
      <w:r w:rsidR="0067580E" w:rsidRPr="0067580E">
        <w:t xml:space="preserve">unds can deduct the cost of insurance premiums from their </w:t>
      </w:r>
      <w:r w:rsidR="0067580E" w:rsidRPr="00B41E06">
        <w:t>overall tax liability, the benefits of which in practice are expected to flow back to members in the form of lower insura</w:t>
      </w:r>
      <w:r w:rsidR="0067580E" w:rsidRPr="00342A28">
        <w:t xml:space="preserve">nce costs. </w:t>
      </w:r>
      <w:r w:rsidR="00F80ACF">
        <w:t>F</w:t>
      </w:r>
      <w:r w:rsidR="00664807">
        <w:t xml:space="preserve">unds typically include </w:t>
      </w:r>
      <w:r w:rsidR="00F80ACF">
        <w:t xml:space="preserve">these </w:t>
      </w:r>
      <w:r w:rsidR="00664807">
        <w:t>deductions i</w:t>
      </w:r>
      <w:r w:rsidR="00F80ACF">
        <w:t xml:space="preserve">n the income </w:t>
      </w:r>
      <w:r w:rsidR="00342A28">
        <w:t xml:space="preserve">tax </w:t>
      </w:r>
      <w:r w:rsidR="00F80ACF">
        <w:t>item when reporting to APRA (rather than in the contributions tax item)</w:t>
      </w:r>
      <w:r w:rsidR="00CA3FF4">
        <w:t xml:space="preserve">. </w:t>
      </w:r>
      <w:r w:rsidR="0067580E" w:rsidRPr="00342A28">
        <w:t xml:space="preserve">Because net returns calculated using crediting rates </w:t>
      </w:r>
      <w:r w:rsidR="0067580E">
        <w:t>are gross of any insurance premiums, the amount of any insurance</w:t>
      </w:r>
      <w:r w:rsidR="0067580E">
        <w:noBreakHyphen/>
        <w:t>related deductions needs to be offset from the MySuper tax data such that the tax calculation only pertains to investment earnings.</w:t>
      </w:r>
    </w:p>
    <w:p w:rsidR="00090C9E" w:rsidRDefault="001B7FA7" w:rsidP="00E0187B">
      <w:pPr>
        <w:pStyle w:val="Heading3"/>
      </w:pPr>
      <w:bookmarkStart w:id="44" w:name="_Toc528158045"/>
      <w:bookmarkStart w:id="45" w:name="_Toc528229667"/>
      <w:bookmarkStart w:id="46" w:name="_Toc528298317"/>
      <w:r>
        <w:t xml:space="preserve">How have the </w:t>
      </w:r>
      <w:r w:rsidR="00090C9E">
        <w:t>main benchmarking results</w:t>
      </w:r>
      <w:r>
        <w:t xml:space="preserve"> changed?</w:t>
      </w:r>
      <w:bookmarkEnd w:id="44"/>
      <w:bookmarkEnd w:id="45"/>
      <w:bookmarkEnd w:id="46"/>
    </w:p>
    <w:p w:rsidR="007A010A" w:rsidRDefault="00643F2B" w:rsidP="00BF43B9">
      <w:pPr>
        <w:pStyle w:val="BodyText"/>
      </w:pPr>
      <w:r>
        <w:t xml:space="preserve">In the main, the </w:t>
      </w:r>
      <w:r w:rsidR="007F2EB4">
        <w:t xml:space="preserve">draft report’s </w:t>
      </w:r>
      <w:r>
        <w:t>qualitative results have not changed</w:t>
      </w:r>
      <w:r w:rsidR="007F2EB4">
        <w:t xml:space="preserve"> in the Commission’s updated performance distribution analysis</w:t>
      </w:r>
      <w:r>
        <w:t>:</w:t>
      </w:r>
    </w:p>
    <w:p w:rsidR="007A010A" w:rsidRDefault="0039078C" w:rsidP="008134D5">
      <w:pPr>
        <w:pStyle w:val="ListBullet"/>
      </w:pPr>
      <w:r>
        <w:t>net returns for the</w:t>
      </w:r>
      <w:r w:rsidR="007A010A">
        <w:t xml:space="preserve"> system continue to fall just short of BP1 and below BP2 by a</w:t>
      </w:r>
      <w:r w:rsidR="0060551F">
        <w:t xml:space="preserve"> </w:t>
      </w:r>
      <w:r w:rsidR="006A7E16">
        <w:t xml:space="preserve">material </w:t>
      </w:r>
      <w:r w:rsidR="007A010A">
        <w:t>margin</w:t>
      </w:r>
    </w:p>
    <w:p w:rsidR="00BF43B9" w:rsidRDefault="0039078C" w:rsidP="008134D5">
      <w:pPr>
        <w:pStyle w:val="ListBullet"/>
      </w:pPr>
      <w:r>
        <w:t>the retail</w:t>
      </w:r>
      <w:r w:rsidR="007A010A">
        <w:t xml:space="preserve"> </w:t>
      </w:r>
      <w:r>
        <w:t xml:space="preserve">segment </w:t>
      </w:r>
      <w:r w:rsidR="007A010A">
        <w:t>continue</w:t>
      </w:r>
      <w:r>
        <w:t>s</w:t>
      </w:r>
      <w:r w:rsidR="007A010A">
        <w:t xml:space="preserve"> to fall short of </w:t>
      </w:r>
      <w:r>
        <w:t xml:space="preserve">both </w:t>
      </w:r>
      <w:r w:rsidR="007A010A">
        <w:t>BP1 and BP2</w:t>
      </w:r>
    </w:p>
    <w:p w:rsidR="007A010A" w:rsidRDefault="0039078C" w:rsidP="008134D5">
      <w:pPr>
        <w:pStyle w:val="ListBullet"/>
      </w:pPr>
      <w:r>
        <w:t>the n</w:t>
      </w:r>
      <w:r w:rsidR="007A010A">
        <w:t>ot</w:t>
      </w:r>
      <w:r w:rsidR="00617DD2">
        <w:noBreakHyphen/>
      </w:r>
      <w:r w:rsidR="007A010A">
        <w:t>for</w:t>
      </w:r>
      <w:r w:rsidR="00617DD2">
        <w:noBreakHyphen/>
      </w:r>
      <w:r w:rsidR="007A010A">
        <w:t xml:space="preserve">profit </w:t>
      </w:r>
      <w:r>
        <w:t>segment</w:t>
      </w:r>
      <w:r w:rsidR="007A010A">
        <w:t xml:space="preserve"> continue</w:t>
      </w:r>
      <w:r>
        <w:t>s</w:t>
      </w:r>
      <w:r w:rsidR="007A010A">
        <w:t xml:space="preserve"> to outperform </w:t>
      </w:r>
      <w:r>
        <w:t xml:space="preserve">both </w:t>
      </w:r>
      <w:r w:rsidR="007A010A">
        <w:t>BP1 and BP2.</w:t>
      </w:r>
    </w:p>
    <w:p w:rsidR="007A010A" w:rsidRDefault="007A010A">
      <w:pPr>
        <w:pStyle w:val="BodyText"/>
      </w:pPr>
      <w:r>
        <w:t>However</w:t>
      </w:r>
      <w:r w:rsidR="0039078C">
        <w:t>,</w:t>
      </w:r>
      <w:r>
        <w:t xml:space="preserve"> the </w:t>
      </w:r>
      <w:r w:rsidR="0039078C">
        <w:t>number</w:t>
      </w:r>
      <w:r w:rsidR="002C1B23">
        <w:t xml:space="preserve"> of funds performing above BP2</w:t>
      </w:r>
      <w:r w:rsidR="0039078C">
        <w:t xml:space="preserve"> tailored to </w:t>
      </w:r>
      <w:r w:rsidR="002C1B23">
        <w:t xml:space="preserve">their </w:t>
      </w:r>
      <w:r w:rsidR="0039078C">
        <w:t>own asset allocation (over a 13</w:t>
      </w:r>
      <w:r w:rsidR="0039078C">
        <w:noBreakHyphen/>
        <w:t>year period) has fallen</w:t>
      </w:r>
      <w:r w:rsidR="00693FE8">
        <w:t xml:space="preserve"> (figure </w:t>
      </w:r>
      <w:r w:rsidR="00B224D1">
        <w:t>18</w:t>
      </w:r>
      <w:r w:rsidR="00693FE8">
        <w:t>)</w:t>
      </w:r>
      <w:r w:rsidR="0039078C">
        <w:t>.</w:t>
      </w:r>
    </w:p>
    <w:p w:rsidR="002C1B23" w:rsidRDefault="002C1B23" w:rsidP="002C1B2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C1B23" w:rsidTr="003B64CB">
        <w:trPr>
          <w:tblHeader/>
        </w:trPr>
        <w:tc>
          <w:tcPr>
            <w:tcW w:w="5000" w:type="pct"/>
            <w:tcBorders>
              <w:top w:val="single" w:sz="6" w:space="0" w:color="78A22F"/>
              <w:left w:val="nil"/>
              <w:bottom w:val="nil"/>
              <w:right w:val="nil"/>
            </w:tcBorders>
            <w:shd w:val="clear" w:color="auto" w:fill="auto"/>
          </w:tcPr>
          <w:p w:rsidR="002C1B23" w:rsidRDefault="002C1B23" w:rsidP="003B64CB">
            <w:pPr>
              <w:pStyle w:val="FigureTitle"/>
            </w:pPr>
            <w:r w:rsidRPr="00784A05">
              <w:rPr>
                <w:b w:val="0"/>
              </w:rPr>
              <w:t xml:space="preserve">Figure </w:t>
            </w:r>
            <w:bookmarkStart w:id="47" w:name="OLE_LINK34"/>
            <w:r w:rsidR="001345FE">
              <w:rPr>
                <w:b w:val="0"/>
                <w:noProof/>
              </w:rPr>
              <w:t>18</w:t>
            </w:r>
            <w:bookmarkEnd w:id="47"/>
            <w:r>
              <w:tab/>
            </w:r>
            <w:r w:rsidR="0039078C">
              <w:t>Individual funds (with MySuper products): 4 million accounts are in underperforming funds</w:t>
            </w:r>
          </w:p>
          <w:p w:rsidR="002C1B23" w:rsidRDefault="0039078C" w:rsidP="0039078C">
            <w:pPr>
              <w:pStyle w:val="Subtitle"/>
            </w:pPr>
            <w:r>
              <w:t>Performance relative to individual funds’ benchmark portfolios, 2005–</w:t>
            </w:r>
            <w:r w:rsidR="002C1B23">
              <w:t>2017</w:t>
            </w:r>
          </w:p>
          <w:p w:rsidR="002C1B23" w:rsidRPr="00176D3F" w:rsidRDefault="0039078C" w:rsidP="003B64CB">
            <w:pPr>
              <w:pStyle w:val="Subtitle"/>
            </w:pPr>
            <w:r>
              <w:t>Size of circles indicates the size of each fund’s assets under management</w:t>
            </w:r>
          </w:p>
        </w:tc>
      </w:tr>
      <w:tr w:rsidR="002C1B23" w:rsidTr="003B64CB">
        <w:trPr>
          <w:hidden w:val="0"/>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C1B23" w:rsidRPr="00B1465D" w:rsidTr="003B64CB">
              <w:trPr>
                <w:tblHeader/>
                <w:jc w:val="center"/>
                <w:hidden w:val="0"/>
              </w:trPr>
              <w:tc>
                <w:tcPr>
                  <w:tcW w:w="5000" w:type="pct"/>
                  <w:tcBorders>
                    <w:top w:val="nil"/>
                    <w:bottom w:val="nil"/>
                  </w:tcBorders>
                </w:tcPr>
                <w:p w:rsidR="002C1B23" w:rsidRPr="00B1465D" w:rsidRDefault="00B94BEF" w:rsidP="003B64CB">
                  <w:pPr>
                    <w:pStyle w:val="Figure"/>
                    <w:spacing w:before="60" w:after="60"/>
                    <w:rPr>
                      <w:rFonts w:ascii="Arial" w:hAnsi="Arial" w:cs="Arial"/>
                      <w:sz w:val="18"/>
                      <w:szCs w:val="18"/>
                    </w:rPr>
                  </w:pPr>
                  <w:r w:rsidRPr="00B94BEF">
                    <w:rPr>
                      <w:rStyle w:val="CommentReference"/>
                      <w:rFonts w:ascii="Arial" w:hAnsi="Arial" w:cs="Arial"/>
                      <w:b w:val="0"/>
                      <w:noProof/>
                      <w:vanish w:val="0"/>
                      <w:color w:val="auto"/>
                      <w:sz w:val="18"/>
                      <w:szCs w:val="18"/>
                    </w:rPr>
                    <w:drawing>
                      <wp:inline distT="0" distB="0" distL="0" distR="0" wp14:anchorId="1365E0AE" wp14:editId="466941D0">
                        <wp:extent cx="5402580" cy="4145280"/>
                        <wp:effectExtent l="0" t="0" r="0" b="0"/>
                        <wp:docPr id="7" name="Picture 7" descr="This is a bubble chart showing the performance of individual funds against fund-tailored BP2s. Bubbles are coloured by fund type. The X axis is just the ranking of the funds. 29 funds underperformed their benchmark by 25 basis points or more, comprising 4 million member accounts and $195 billion in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2580" cy="4145280"/>
                                </a:xfrm>
                                <a:prstGeom prst="rect">
                                  <a:avLst/>
                                </a:prstGeom>
                                <a:noFill/>
                                <a:ln>
                                  <a:noFill/>
                                </a:ln>
                              </pic:spPr>
                            </pic:pic>
                          </a:graphicData>
                        </a:graphic>
                      </wp:inline>
                    </w:drawing>
                  </w:r>
                  <w:r w:rsidR="00A61F7C" w:rsidRPr="00A61F7C">
                    <w:rPr>
                      <w:rStyle w:val="CommentReference"/>
                      <w:rFonts w:ascii="Arial" w:hAnsi="Arial" w:cs="Arial"/>
                      <w:b w:val="0"/>
                      <w:vanish w:val="0"/>
                      <w:color w:val="auto"/>
                      <w:sz w:val="18"/>
                      <w:szCs w:val="18"/>
                    </w:rPr>
                    <w:t xml:space="preserve"> </w:t>
                  </w:r>
                </w:p>
                <w:tbl>
                  <w:tblPr>
                    <w:tblW w:w="5000" w:type="pct"/>
                    <w:tblLook w:val="04A0" w:firstRow="1" w:lastRow="0" w:firstColumn="1" w:lastColumn="0" w:noHBand="0" w:noVBand="1"/>
                  </w:tblPr>
                  <w:tblGrid>
                    <w:gridCol w:w="1609"/>
                    <w:gridCol w:w="2788"/>
                    <w:gridCol w:w="1601"/>
                    <w:gridCol w:w="2507"/>
                  </w:tblGrid>
                  <w:tr w:rsidR="002C1B23" w:rsidTr="003B64CB">
                    <w:trPr>
                      <w:tblHeader/>
                    </w:trPr>
                    <w:tc>
                      <w:tcPr>
                        <w:tcW w:w="946" w:type="pct"/>
                        <w:shd w:val="clear" w:color="auto" w:fill="F2F2F2" w:themeFill="background1" w:themeFillShade="F2"/>
                      </w:tcPr>
                      <w:p w:rsidR="002C1B23" w:rsidRDefault="002C1B23" w:rsidP="002C1B23">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4054" w:type="pct"/>
                        <w:gridSpan w:val="3"/>
                        <w:shd w:val="clear" w:color="auto" w:fill="F2F2F2" w:themeFill="background1" w:themeFillShade="F2"/>
                      </w:tcPr>
                      <w:p w:rsidR="002C1B23" w:rsidRDefault="002C1B23" w:rsidP="002C1B23">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 xml:space="preserve">PC analysis of </w:t>
                        </w:r>
                        <w:r w:rsidRPr="00D079E5">
                          <w:rPr>
                            <w:rFonts w:asciiTheme="minorHAnsi" w:hAnsi="Arial" w:cstheme="minorBidi"/>
                            <w:color w:val="000000" w:themeColor="text1"/>
                            <w:kern w:val="24"/>
                            <w:sz w:val="18"/>
                            <w:szCs w:val="18"/>
                          </w:rPr>
                          <w:t xml:space="preserve">APRA </w:t>
                        </w:r>
                        <w:r>
                          <w:rPr>
                            <w:rFonts w:asciiTheme="minorHAnsi" w:hAnsi="Arial" w:cstheme="minorBidi"/>
                            <w:color w:val="000000" w:themeColor="text1"/>
                            <w:kern w:val="24"/>
                            <w:sz w:val="18"/>
                            <w:szCs w:val="18"/>
                          </w:rPr>
                          <w:t xml:space="preserve">confidential </w:t>
                        </w:r>
                        <w:r w:rsidRPr="00D079E5">
                          <w:rPr>
                            <w:rFonts w:asciiTheme="minorHAnsi" w:hAnsi="Arial" w:cstheme="minorBidi"/>
                            <w:color w:val="000000" w:themeColor="text1"/>
                            <w:kern w:val="24"/>
                            <w:sz w:val="18"/>
                            <w:szCs w:val="18"/>
                          </w:rPr>
                          <w:t>data</w:t>
                        </w:r>
                        <w:r>
                          <w:rPr>
                            <w:rFonts w:asciiTheme="minorHAnsi" w:hAnsi="Arial" w:cstheme="minorBidi"/>
                            <w:color w:val="000000" w:themeColor="text1"/>
                            <w:kern w:val="24"/>
                            <w:sz w:val="18"/>
                            <w:szCs w:val="18"/>
                          </w:rPr>
                          <w:t xml:space="preserve"> and financial market index data (various providers).</w:t>
                        </w:r>
                      </w:p>
                    </w:tc>
                  </w:tr>
                  <w:tr w:rsidR="002C1B23" w:rsidTr="003B64CB">
                    <w:tc>
                      <w:tcPr>
                        <w:tcW w:w="946" w:type="pct"/>
                        <w:shd w:val="clear" w:color="auto" w:fill="F2F2F2" w:themeFill="background1" w:themeFillShade="F2"/>
                      </w:tcPr>
                      <w:p w:rsidR="002C1B23" w:rsidRDefault="002C1B23" w:rsidP="002C1B23">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Benchmark</w:t>
                        </w:r>
                      </w:p>
                    </w:tc>
                    <w:tc>
                      <w:tcPr>
                        <w:tcW w:w="4054" w:type="pct"/>
                        <w:gridSpan w:val="3"/>
                        <w:shd w:val="clear" w:color="auto" w:fill="F2F2F2" w:themeFill="background1" w:themeFillShade="F2"/>
                      </w:tcPr>
                      <w:p w:rsidR="002C1B23" w:rsidRDefault="002C1B23" w:rsidP="002C1B23">
                        <w:pPr>
                          <w:pStyle w:val="Figure"/>
                          <w:spacing w:before="0" w:after="0"/>
                          <w:jc w:val="left"/>
                          <w:rPr>
                            <w:rFonts w:ascii="Arial" w:hAnsi="Arial" w:cs="Arial"/>
                            <w:sz w:val="18"/>
                            <w:szCs w:val="18"/>
                          </w:rPr>
                        </w:pPr>
                        <w:r>
                          <w:rPr>
                            <w:rFonts w:ascii="Arial" w:hAnsi="Arial" w:cs="Arial"/>
                            <w:sz w:val="18"/>
                            <w:szCs w:val="18"/>
                          </w:rPr>
                          <w:t>Fund tailored BP2.</w:t>
                        </w:r>
                      </w:p>
                    </w:tc>
                  </w:tr>
                  <w:tr w:rsidR="002C1B23" w:rsidRPr="0032089A" w:rsidTr="003B64CB">
                    <w:tc>
                      <w:tcPr>
                        <w:tcW w:w="946" w:type="pct"/>
                        <w:shd w:val="clear" w:color="auto" w:fill="F2F2F2" w:themeFill="background1" w:themeFillShade="F2"/>
                      </w:tcPr>
                      <w:p w:rsidR="002C1B23" w:rsidRDefault="002C1B23" w:rsidP="002C1B23">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4054" w:type="pct"/>
                        <w:gridSpan w:val="3"/>
                        <w:shd w:val="clear" w:color="auto" w:fill="F2F2F2" w:themeFill="background1" w:themeFillShade="F2"/>
                      </w:tcPr>
                      <w:p w:rsidR="002C1B23" w:rsidRPr="0032089A" w:rsidRDefault="00B3434D" w:rsidP="002C1B23">
                        <w:pPr>
                          <w:pStyle w:val="NormalWeb"/>
                          <w:rPr>
                            <w:color w:val="000000" w:themeColor="text1"/>
                            <w:sz w:val="18"/>
                            <w:szCs w:val="18"/>
                          </w:rPr>
                        </w:pPr>
                        <w:r w:rsidRPr="00D079E5">
                          <w:rPr>
                            <w:rFonts w:asciiTheme="minorHAnsi" w:hAnsi="Arial" w:cstheme="minorBidi"/>
                            <w:color w:val="000000" w:themeColor="text1"/>
                            <w:kern w:val="24"/>
                            <w:sz w:val="18"/>
                            <w:szCs w:val="18"/>
                          </w:rPr>
                          <w:t xml:space="preserve">All </w:t>
                        </w:r>
                        <w:r>
                          <w:rPr>
                            <w:rFonts w:asciiTheme="minorHAnsi" w:hAnsi="Arial" w:cstheme="minorBidi"/>
                            <w:color w:val="000000" w:themeColor="text1"/>
                            <w:kern w:val="24"/>
                            <w:sz w:val="18"/>
                            <w:szCs w:val="18"/>
                          </w:rPr>
                          <w:t>APRA</w:t>
                        </w:r>
                        <w:r>
                          <w:rPr>
                            <w:rFonts w:asciiTheme="minorHAnsi" w:hAnsi="Arial" w:cstheme="minorBidi"/>
                            <w:color w:val="000000" w:themeColor="text1"/>
                            <w:kern w:val="24"/>
                            <w:sz w:val="18"/>
                            <w:szCs w:val="18"/>
                          </w:rPr>
                          <w:noBreakHyphen/>
                          <w:t>regulated</w:t>
                        </w:r>
                        <w:r w:rsidRPr="00D079E5">
                          <w:rPr>
                            <w:rFonts w:asciiTheme="minorHAnsi" w:hAnsi="Arial" w:cstheme="minorBidi"/>
                            <w:color w:val="000000" w:themeColor="text1"/>
                            <w:kern w:val="24"/>
                            <w:sz w:val="18"/>
                            <w:szCs w:val="18"/>
                          </w:rPr>
                          <w:t xml:space="preserve"> funds with a MySuper product </w:t>
                        </w:r>
                        <w:r>
                          <w:rPr>
                            <w:rFonts w:asciiTheme="minorHAnsi" w:hAnsi="Arial" w:cstheme="minorBidi"/>
                            <w:color w:val="000000" w:themeColor="text1"/>
                            <w:kern w:val="24"/>
                            <w:sz w:val="18"/>
                            <w:szCs w:val="18"/>
                          </w:rPr>
                          <w:t>in the dataset over the full period (54% of assets and 61% of member accounts in all APRA</w:t>
                        </w:r>
                        <w:r>
                          <w:rPr>
                            <w:rFonts w:asciiTheme="minorHAnsi" w:hAnsi="Arial" w:cstheme="minorBidi"/>
                            <w:color w:val="000000" w:themeColor="text1"/>
                            <w:kern w:val="24"/>
                            <w:sz w:val="18"/>
                            <w:szCs w:val="18"/>
                          </w:rPr>
                          <w:noBreakHyphen/>
                          <w:t>regulated funds with a MySuper product in 2017). Over the whole system, the figure represents 67</w:t>
                        </w:r>
                        <w:r w:rsidRPr="00D079E5">
                          <w:rPr>
                            <w:rFonts w:asciiTheme="minorHAnsi" w:hAnsi="Arial" w:cstheme="minorBidi"/>
                            <w:color w:val="000000" w:themeColor="text1"/>
                            <w:kern w:val="24"/>
                            <w:sz w:val="18"/>
                            <w:szCs w:val="18"/>
                          </w:rPr>
                          <w:t xml:space="preserve"> funds</w:t>
                        </w:r>
                        <w:r>
                          <w:rPr>
                            <w:rFonts w:asciiTheme="minorHAnsi" w:hAnsi="Arial" w:cstheme="minorBidi"/>
                            <w:color w:val="000000" w:themeColor="text1"/>
                            <w:kern w:val="24"/>
                            <w:sz w:val="18"/>
                            <w:szCs w:val="18"/>
                          </w:rPr>
                          <w:t xml:space="preserve">, 27% of </w:t>
                        </w:r>
                        <w:r w:rsidRPr="00D079E5">
                          <w:rPr>
                            <w:rFonts w:asciiTheme="minorHAnsi" w:hAnsi="Arial" w:cstheme="minorBidi"/>
                            <w:color w:val="000000" w:themeColor="text1"/>
                            <w:kern w:val="24"/>
                            <w:sz w:val="18"/>
                            <w:szCs w:val="18"/>
                          </w:rPr>
                          <w:t xml:space="preserve">assets and </w:t>
                        </w:r>
                        <w:r>
                          <w:rPr>
                            <w:rFonts w:asciiTheme="minorHAnsi" w:hAnsi="Arial" w:cstheme="minorBidi"/>
                            <w:color w:val="000000" w:themeColor="text1"/>
                            <w:kern w:val="24"/>
                            <w:sz w:val="18"/>
                            <w:szCs w:val="18"/>
                          </w:rPr>
                          <w:t>47</w:t>
                        </w:r>
                        <w:r w:rsidRPr="00D079E5">
                          <w:rPr>
                            <w:rFonts w:asciiTheme="minorHAnsi" w:hAnsi="Arial" w:cstheme="minorBidi"/>
                            <w:color w:val="000000" w:themeColor="text1"/>
                            <w:kern w:val="24"/>
                            <w:sz w:val="18"/>
                            <w:szCs w:val="18"/>
                          </w:rPr>
                          <w:t xml:space="preserve">% of member accounts in </w:t>
                        </w:r>
                        <w:r>
                          <w:rPr>
                            <w:rFonts w:asciiTheme="minorHAnsi" w:hAnsi="Arial" w:cstheme="minorBidi"/>
                            <w:color w:val="000000" w:themeColor="text1"/>
                            <w:kern w:val="24"/>
                            <w:sz w:val="18"/>
                            <w:szCs w:val="18"/>
                          </w:rPr>
                          <w:t>2017.</w:t>
                        </w:r>
                      </w:p>
                    </w:tc>
                  </w:tr>
                  <w:tr w:rsidR="002C1B23" w:rsidDel="009516F9" w:rsidTr="003B64CB">
                    <w:tc>
                      <w:tcPr>
                        <w:tcW w:w="946" w:type="pct"/>
                        <w:shd w:val="clear" w:color="auto" w:fill="F2F2F2" w:themeFill="background1" w:themeFillShade="F2"/>
                      </w:tcPr>
                      <w:p w:rsidR="002C1B23" w:rsidRPr="00311D4D" w:rsidRDefault="002C1B23" w:rsidP="002C1B23">
                        <w:pPr>
                          <w:pStyle w:val="Figure"/>
                          <w:spacing w:before="0" w:after="0"/>
                          <w:jc w:val="left"/>
                          <w:rPr>
                            <w:rFonts w:ascii="Arial" w:hAnsi="Arial" w:cs="Arial"/>
                            <w:b/>
                            <w:sz w:val="18"/>
                            <w:szCs w:val="18"/>
                          </w:rPr>
                        </w:pPr>
                        <w:r w:rsidRPr="005F68B0">
                          <w:rPr>
                            <w:rFonts w:ascii="Arial" w:hAnsi="Arial" w:cs="Arial"/>
                            <w:b/>
                            <w:sz w:val="18"/>
                            <w:szCs w:val="18"/>
                          </w:rPr>
                          <w:t>Survivor bias</w:t>
                        </w:r>
                      </w:p>
                    </w:tc>
                    <w:tc>
                      <w:tcPr>
                        <w:tcW w:w="1639" w:type="pct"/>
                        <w:shd w:val="clear" w:color="auto" w:fill="F2F2F2" w:themeFill="background1" w:themeFillShade="F2"/>
                      </w:tcPr>
                      <w:p w:rsidR="002C1B23" w:rsidDel="009516F9" w:rsidRDefault="002C1B23" w:rsidP="002C1B23">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p>
                    </w:tc>
                    <w:tc>
                      <w:tcPr>
                        <w:tcW w:w="941" w:type="pct"/>
                        <w:shd w:val="clear" w:color="auto" w:fill="F2F2F2" w:themeFill="background1" w:themeFillShade="F2"/>
                      </w:tcPr>
                      <w:p w:rsidR="002C1B23" w:rsidRPr="005F68B0" w:rsidDel="009516F9" w:rsidRDefault="002C1B23" w:rsidP="002C1B23">
                        <w:pPr>
                          <w:pStyle w:val="Figure"/>
                          <w:spacing w:before="0" w:after="0"/>
                          <w:jc w:val="left"/>
                          <w:rPr>
                            <w:rFonts w:asciiTheme="minorHAnsi" w:hAnsi="Arial" w:cstheme="minorBidi"/>
                            <w:b/>
                            <w:color w:val="000000" w:themeColor="text1"/>
                            <w:kern w:val="24"/>
                            <w:sz w:val="18"/>
                            <w:szCs w:val="18"/>
                          </w:rPr>
                        </w:pPr>
                        <w:r w:rsidRPr="005F68B0">
                          <w:rPr>
                            <w:rFonts w:asciiTheme="minorHAnsi" w:hAnsi="Arial" w:cstheme="minorBidi"/>
                            <w:b/>
                            <w:color w:val="000000" w:themeColor="text1"/>
                            <w:kern w:val="24"/>
                            <w:sz w:val="18"/>
                            <w:szCs w:val="18"/>
                          </w:rPr>
                          <w:t>Selection bias</w:t>
                        </w:r>
                      </w:p>
                    </w:tc>
                    <w:tc>
                      <w:tcPr>
                        <w:tcW w:w="1474" w:type="pct"/>
                        <w:shd w:val="clear" w:color="auto" w:fill="F2F2F2" w:themeFill="background1" w:themeFillShade="F2"/>
                      </w:tcPr>
                      <w:p w:rsidR="002C1B23" w:rsidDel="009516F9" w:rsidRDefault="002C1B23" w:rsidP="002C1B23">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p>
                    </w:tc>
                  </w:tr>
                  <w:tr w:rsidR="0066083C" w:rsidDel="009516F9" w:rsidTr="0066083C">
                    <w:tc>
                      <w:tcPr>
                        <w:tcW w:w="946" w:type="pct"/>
                        <w:shd w:val="clear" w:color="auto" w:fill="F2F2F2" w:themeFill="background1" w:themeFillShade="F2"/>
                      </w:tcPr>
                      <w:p w:rsidR="0066083C" w:rsidRPr="0066083C" w:rsidRDefault="0066083C" w:rsidP="0066083C">
                        <w:pPr>
                          <w:pStyle w:val="Figure"/>
                          <w:spacing w:before="0" w:after="0"/>
                          <w:jc w:val="left"/>
                          <w:rPr>
                            <w:rFonts w:ascii="Arial" w:hAnsi="Arial" w:cs="Arial"/>
                            <w:b/>
                            <w:sz w:val="18"/>
                            <w:szCs w:val="18"/>
                          </w:rPr>
                        </w:pPr>
                        <w:r w:rsidRPr="0072455F">
                          <w:rPr>
                            <w:rFonts w:ascii="Arial" w:hAnsi="Arial"/>
                            <w:b/>
                            <w:sz w:val="18"/>
                          </w:rPr>
                          <w:t>Further results</w:t>
                        </w:r>
                      </w:p>
                    </w:tc>
                    <w:tc>
                      <w:tcPr>
                        <w:tcW w:w="4054" w:type="pct"/>
                        <w:gridSpan w:val="3"/>
                        <w:shd w:val="clear" w:color="auto" w:fill="F2F2F2" w:themeFill="background1" w:themeFillShade="F2"/>
                      </w:tcPr>
                      <w:p w:rsidR="0066083C" w:rsidRDefault="0022386F" w:rsidP="004E277D">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 xml:space="preserve">Of the 29 underperforming funds, </w:t>
                        </w:r>
                        <w:r w:rsidR="00A61F7C">
                          <w:rPr>
                            <w:rFonts w:asciiTheme="minorHAnsi" w:hAnsi="Arial" w:cstheme="minorBidi"/>
                            <w:color w:val="000000" w:themeColor="text1"/>
                            <w:kern w:val="24"/>
                            <w:sz w:val="18"/>
                            <w:szCs w:val="18"/>
                          </w:rPr>
                          <w:t>15</w:t>
                        </w:r>
                        <w:r>
                          <w:rPr>
                            <w:rFonts w:asciiTheme="minorHAnsi" w:hAnsi="Arial" w:cstheme="minorBidi"/>
                            <w:color w:val="000000" w:themeColor="text1"/>
                            <w:kern w:val="24"/>
                            <w:sz w:val="18"/>
                            <w:szCs w:val="18"/>
                          </w:rPr>
                          <w:t xml:space="preserve"> were industry funds, </w:t>
                        </w:r>
                        <w:r w:rsidR="00A61F7C">
                          <w:rPr>
                            <w:rFonts w:asciiTheme="minorHAnsi" w:hAnsi="Arial" w:cstheme="minorBidi"/>
                            <w:color w:val="000000" w:themeColor="text1"/>
                            <w:kern w:val="24"/>
                            <w:sz w:val="18"/>
                            <w:szCs w:val="18"/>
                          </w:rPr>
                          <w:t>8</w:t>
                        </w:r>
                        <w:r>
                          <w:rPr>
                            <w:rFonts w:asciiTheme="minorHAnsi" w:hAnsi="Arial" w:cstheme="minorBidi"/>
                            <w:color w:val="000000" w:themeColor="text1"/>
                            <w:kern w:val="24"/>
                            <w:sz w:val="18"/>
                            <w:szCs w:val="18"/>
                          </w:rPr>
                          <w:t xml:space="preserve"> retail funds, </w:t>
                        </w:r>
                        <w:r w:rsidR="00A61F7C">
                          <w:rPr>
                            <w:rFonts w:asciiTheme="minorHAnsi" w:hAnsi="Arial" w:cstheme="minorBidi"/>
                            <w:color w:val="000000" w:themeColor="text1"/>
                            <w:kern w:val="24"/>
                            <w:sz w:val="18"/>
                            <w:szCs w:val="18"/>
                          </w:rPr>
                          <w:t>3</w:t>
                        </w:r>
                        <w:r>
                          <w:rPr>
                            <w:rFonts w:asciiTheme="minorHAnsi" w:hAnsi="Arial" w:cstheme="minorBidi"/>
                            <w:color w:val="000000" w:themeColor="text1"/>
                            <w:kern w:val="24"/>
                            <w:sz w:val="18"/>
                            <w:szCs w:val="18"/>
                          </w:rPr>
                          <w:t xml:space="preserve"> public sector funds and </w:t>
                        </w:r>
                        <w:r w:rsidR="00A61F7C">
                          <w:rPr>
                            <w:rFonts w:asciiTheme="minorHAnsi" w:hAnsi="Arial" w:cstheme="minorBidi"/>
                            <w:color w:val="000000" w:themeColor="text1"/>
                            <w:kern w:val="24"/>
                            <w:sz w:val="18"/>
                            <w:szCs w:val="18"/>
                          </w:rPr>
                          <w:t>3</w:t>
                        </w:r>
                        <w:r>
                          <w:rPr>
                            <w:rFonts w:asciiTheme="minorHAnsi" w:hAnsi="Arial" w:cstheme="minorBidi"/>
                            <w:color w:val="000000" w:themeColor="text1"/>
                            <w:kern w:val="24"/>
                            <w:sz w:val="18"/>
                            <w:szCs w:val="18"/>
                          </w:rPr>
                          <w:t xml:space="preserve"> corporate</w:t>
                        </w:r>
                        <w:r w:rsidR="004E277D">
                          <w:rPr>
                            <w:rFonts w:asciiTheme="minorHAnsi" w:hAnsi="Arial" w:cstheme="minorBidi"/>
                            <w:color w:val="000000" w:themeColor="text1"/>
                            <w:kern w:val="24"/>
                            <w:sz w:val="18"/>
                            <w:szCs w:val="18"/>
                          </w:rPr>
                          <w:t xml:space="preserve">. </w:t>
                        </w:r>
                        <w:r w:rsidR="00A61F7C">
                          <w:rPr>
                            <w:rFonts w:asciiTheme="minorHAnsi" w:hAnsi="Arial" w:cstheme="minorBidi"/>
                            <w:color w:val="000000" w:themeColor="text1"/>
                            <w:kern w:val="24"/>
                            <w:sz w:val="18"/>
                            <w:szCs w:val="18"/>
                          </w:rPr>
                          <w:t>12</w:t>
                        </w:r>
                        <w:r w:rsidR="0066083C">
                          <w:rPr>
                            <w:rFonts w:asciiTheme="minorHAnsi" w:hAnsi="Arial" w:cstheme="minorBidi"/>
                            <w:color w:val="000000" w:themeColor="text1"/>
                            <w:kern w:val="24"/>
                            <w:sz w:val="18"/>
                            <w:szCs w:val="18"/>
                          </w:rPr>
                          <w:t xml:space="preserve"> </w:t>
                        </w:r>
                        <w:r w:rsidR="0066083C" w:rsidRPr="0066083C">
                          <w:rPr>
                            <w:rFonts w:asciiTheme="minorHAnsi" w:hAnsi="Arial" w:cstheme="minorBidi"/>
                            <w:color w:val="000000" w:themeColor="text1"/>
                            <w:kern w:val="24"/>
                            <w:sz w:val="18"/>
                            <w:szCs w:val="18"/>
                          </w:rPr>
                          <w:t xml:space="preserve">funds performed less than </w:t>
                        </w:r>
                        <w:r w:rsidR="006D739C">
                          <w:rPr>
                            <w:rFonts w:asciiTheme="minorHAnsi" w:hAnsi="Arial" w:cstheme="minorBidi"/>
                            <w:color w:val="000000" w:themeColor="text1"/>
                            <w:kern w:val="24"/>
                            <w:sz w:val="18"/>
                            <w:szCs w:val="18"/>
                          </w:rPr>
                          <w:t>25 basis points</w:t>
                        </w:r>
                        <w:r w:rsidR="0066083C" w:rsidRPr="0066083C">
                          <w:rPr>
                            <w:rFonts w:asciiTheme="minorHAnsi" w:hAnsi="Arial" w:cstheme="minorBidi"/>
                            <w:color w:val="000000" w:themeColor="text1"/>
                            <w:kern w:val="24"/>
                            <w:sz w:val="18"/>
                            <w:szCs w:val="18"/>
                          </w:rPr>
                          <w:t xml:space="preserve"> below BP2 (</w:t>
                        </w:r>
                        <w:r w:rsidR="00A61F7C">
                          <w:rPr>
                            <w:rFonts w:asciiTheme="minorHAnsi" w:hAnsi="Arial" w:cstheme="minorBidi"/>
                            <w:color w:val="000000" w:themeColor="text1"/>
                            <w:kern w:val="24"/>
                            <w:sz w:val="18"/>
                            <w:szCs w:val="18"/>
                          </w:rPr>
                          <w:t>2.1 million</w:t>
                        </w:r>
                        <w:r w:rsidR="0066083C">
                          <w:rPr>
                            <w:rFonts w:asciiTheme="minorHAnsi" w:hAnsi="Arial" w:cstheme="minorBidi"/>
                            <w:color w:val="000000" w:themeColor="text1"/>
                            <w:kern w:val="24"/>
                            <w:sz w:val="18"/>
                            <w:szCs w:val="18"/>
                          </w:rPr>
                          <w:t> </w:t>
                        </w:r>
                        <w:r w:rsidR="0066083C" w:rsidRPr="0066083C">
                          <w:rPr>
                            <w:rFonts w:asciiTheme="minorHAnsi" w:hAnsi="Arial" w:cstheme="minorBidi"/>
                            <w:color w:val="000000" w:themeColor="text1"/>
                            <w:kern w:val="24"/>
                            <w:sz w:val="18"/>
                            <w:szCs w:val="18"/>
                          </w:rPr>
                          <w:t>member accounts and $</w:t>
                        </w:r>
                        <w:r w:rsidR="00A61F7C">
                          <w:rPr>
                            <w:rFonts w:asciiTheme="minorHAnsi" w:hAnsi="Arial" w:cstheme="minorBidi"/>
                            <w:color w:val="000000" w:themeColor="text1"/>
                            <w:kern w:val="24"/>
                            <w:sz w:val="18"/>
                            <w:szCs w:val="18"/>
                          </w:rPr>
                          <w:t>81.8</w:t>
                        </w:r>
                        <w:r w:rsidR="0066083C">
                          <w:rPr>
                            <w:rFonts w:asciiTheme="minorHAnsi" w:hAnsi="Arial" w:cstheme="minorBidi"/>
                            <w:color w:val="000000" w:themeColor="text1"/>
                            <w:kern w:val="24"/>
                            <w:sz w:val="18"/>
                            <w:szCs w:val="18"/>
                          </w:rPr>
                          <w:t> </w:t>
                        </w:r>
                        <w:r w:rsidR="0066083C" w:rsidRPr="0066083C">
                          <w:rPr>
                            <w:rFonts w:asciiTheme="minorHAnsi" w:hAnsi="Arial" w:cstheme="minorBidi"/>
                            <w:color w:val="000000" w:themeColor="text1"/>
                            <w:kern w:val="24"/>
                            <w:sz w:val="18"/>
                            <w:szCs w:val="18"/>
                          </w:rPr>
                          <w:t>billion in assets).</w:t>
                        </w:r>
                      </w:p>
                    </w:tc>
                  </w:tr>
                  <w:tr w:rsidR="0066083C" w:rsidDel="009516F9" w:rsidTr="0066083C">
                    <w:tc>
                      <w:tcPr>
                        <w:tcW w:w="946" w:type="pct"/>
                        <w:shd w:val="clear" w:color="auto" w:fill="F2F2F2" w:themeFill="background1" w:themeFillShade="F2"/>
                      </w:tcPr>
                      <w:p w:rsidR="0066083C" w:rsidRPr="0072455F" w:rsidRDefault="0066083C" w:rsidP="0066083C">
                        <w:pPr>
                          <w:pStyle w:val="Figure"/>
                          <w:spacing w:before="0" w:after="0"/>
                          <w:jc w:val="left"/>
                          <w:rPr>
                            <w:rFonts w:ascii="Arial" w:hAnsi="Arial"/>
                            <w:b/>
                            <w:i/>
                            <w:sz w:val="18"/>
                          </w:rPr>
                        </w:pPr>
                        <w:r w:rsidRPr="0072455F">
                          <w:rPr>
                            <w:rFonts w:asciiTheme="minorHAnsi" w:hAnsi="Arial"/>
                            <w:b/>
                            <w:i/>
                            <w:color w:val="000000" w:themeColor="text1"/>
                            <w:kern w:val="24"/>
                            <w:sz w:val="18"/>
                          </w:rPr>
                          <w:t>Draft report benchmarking</w:t>
                        </w:r>
                      </w:p>
                    </w:tc>
                    <w:tc>
                      <w:tcPr>
                        <w:tcW w:w="4054" w:type="pct"/>
                        <w:gridSpan w:val="3"/>
                        <w:shd w:val="clear" w:color="auto" w:fill="F2F2F2" w:themeFill="background1" w:themeFillShade="F2"/>
                      </w:tcPr>
                      <w:p w:rsidR="0066083C" w:rsidRPr="0072455F" w:rsidRDefault="0066083C" w:rsidP="00913791">
                        <w:pPr>
                          <w:pStyle w:val="Figure"/>
                          <w:spacing w:before="0" w:after="0"/>
                          <w:jc w:val="left"/>
                          <w:rPr>
                            <w:rFonts w:asciiTheme="minorHAnsi" w:hAnsi="Arial"/>
                            <w:i/>
                            <w:color w:val="000000" w:themeColor="text1"/>
                            <w:kern w:val="24"/>
                            <w:sz w:val="18"/>
                          </w:rPr>
                        </w:pPr>
                        <w:r w:rsidRPr="0072455F">
                          <w:rPr>
                            <w:rFonts w:asciiTheme="minorHAnsi" w:hAnsi="Arial"/>
                            <w:i/>
                            <w:color w:val="000000" w:themeColor="text1"/>
                            <w:kern w:val="24"/>
                            <w:sz w:val="18"/>
                          </w:rPr>
                          <w:t>47 funds above benchmark (9.8 million member accounts, $448 billion i</w:t>
                        </w:r>
                        <w:r w:rsidRPr="0066083C">
                          <w:rPr>
                            <w:rFonts w:asciiTheme="minorHAnsi" w:hAnsi="Arial" w:cstheme="minorBidi"/>
                            <w:i/>
                            <w:color w:val="000000" w:themeColor="text1"/>
                            <w:kern w:val="24"/>
                            <w:sz w:val="18"/>
                            <w:szCs w:val="18"/>
                          </w:rPr>
                          <w:t>n assets)</w:t>
                        </w:r>
                        <w:r>
                          <w:rPr>
                            <w:rFonts w:asciiTheme="minorHAnsi" w:hAnsi="Arial" w:cstheme="minorBidi"/>
                            <w:i/>
                            <w:color w:val="000000" w:themeColor="text1"/>
                            <w:kern w:val="24"/>
                            <w:sz w:val="18"/>
                            <w:szCs w:val="18"/>
                          </w:rPr>
                          <w:t>;</w:t>
                        </w:r>
                        <w:r w:rsidRPr="0072455F">
                          <w:rPr>
                            <w:rFonts w:asciiTheme="minorHAnsi" w:hAnsi="Arial"/>
                            <w:i/>
                            <w:color w:val="000000" w:themeColor="text1"/>
                            <w:kern w:val="24"/>
                            <w:sz w:val="18"/>
                          </w:rPr>
                          <w:t xml:space="preserve"> 20 funds underperform (4.6 million member account</w:t>
                        </w:r>
                        <w:r w:rsidR="00913791">
                          <w:rPr>
                            <w:rFonts w:asciiTheme="minorHAnsi" w:hAnsi="Arial"/>
                            <w:i/>
                            <w:color w:val="000000" w:themeColor="text1"/>
                            <w:kern w:val="24"/>
                            <w:sz w:val="18"/>
                          </w:rPr>
                          <w:t>s</w:t>
                        </w:r>
                        <w:r w:rsidRPr="0072455F">
                          <w:rPr>
                            <w:rFonts w:asciiTheme="minorHAnsi" w:hAnsi="Arial"/>
                            <w:i/>
                            <w:color w:val="000000" w:themeColor="text1"/>
                            <w:kern w:val="24"/>
                            <w:sz w:val="18"/>
                          </w:rPr>
                          <w:t xml:space="preserve"> and $197 billion in assets)</w:t>
                        </w:r>
                        <w:r>
                          <w:rPr>
                            <w:rFonts w:asciiTheme="minorHAnsi" w:hAnsi="Arial" w:cstheme="minorBidi"/>
                            <w:i/>
                            <w:color w:val="000000" w:themeColor="text1"/>
                            <w:kern w:val="24"/>
                            <w:sz w:val="18"/>
                            <w:szCs w:val="18"/>
                          </w:rPr>
                          <w:t>; 7 </w:t>
                        </w:r>
                        <w:r w:rsidR="00913791">
                          <w:rPr>
                            <w:rFonts w:asciiTheme="minorHAnsi" w:hAnsi="Arial" w:cstheme="minorBidi"/>
                            <w:i/>
                            <w:color w:val="000000" w:themeColor="text1"/>
                            <w:kern w:val="24"/>
                            <w:sz w:val="18"/>
                            <w:szCs w:val="18"/>
                          </w:rPr>
                          <w:t>funds less than 25 basis points</w:t>
                        </w:r>
                        <w:r>
                          <w:rPr>
                            <w:rFonts w:asciiTheme="minorHAnsi" w:hAnsi="Arial" w:cstheme="minorBidi"/>
                            <w:i/>
                            <w:color w:val="000000" w:themeColor="text1"/>
                            <w:kern w:val="24"/>
                            <w:sz w:val="18"/>
                            <w:szCs w:val="18"/>
                          </w:rPr>
                          <w:t xml:space="preserve"> below BP2 </w:t>
                        </w:r>
                        <w:r w:rsidRPr="0066083C">
                          <w:rPr>
                            <w:rFonts w:asciiTheme="minorHAnsi" w:hAnsi="Arial" w:cstheme="minorBidi"/>
                            <w:i/>
                            <w:color w:val="000000" w:themeColor="text1"/>
                            <w:kern w:val="24"/>
                            <w:sz w:val="18"/>
                            <w:szCs w:val="18"/>
                          </w:rPr>
                          <w:t>(262 000 member accounts and $18.8 billion in assets)</w:t>
                        </w:r>
                        <w:r>
                          <w:rPr>
                            <w:rFonts w:asciiTheme="minorHAnsi" w:hAnsi="Arial" w:cstheme="minorBidi"/>
                            <w:i/>
                            <w:color w:val="000000" w:themeColor="text1"/>
                            <w:kern w:val="24"/>
                            <w:sz w:val="18"/>
                            <w:szCs w:val="18"/>
                          </w:rPr>
                          <w:t xml:space="preserve"> </w:t>
                        </w:r>
                        <w:r w:rsidRPr="0066083C">
                          <w:rPr>
                            <w:rFonts w:asciiTheme="minorHAnsi" w:hAnsi="Arial" w:cstheme="minorBidi"/>
                            <w:i/>
                            <w:color w:val="000000" w:themeColor="text1"/>
                            <w:kern w:val="24"/>
                            <w:sz w:val="18"/>
                            <w:szCs w:val="18"/>
                          </w:rPr>
                          <w:t>(figure</w:t>
                        </w:r>
                        <w:r w:rsidR="00617DD2">
                          <w:rPr>
                            <w:rFonts w:asciiTheme="minorHAnsi" w:hAnsi="Arial" w:cstheme="minorBidi"/>
                            <w:i/>
                            <w:color w:val="000000" w:themeColor="text1"/>
                            <w:kern w:val="24"/>
                            <w:sz w:val="18"/>
                            <w:szCs w:val="18"/>
                          </w:rPr>
                          <w:t> </w:t>
                        </w:r>
                        <w:r w:rsidRPr="0066083C">
                          <w:rPr>
                            <w:rFonts w:asciiTheme="minorHAnsi" w:hAnsi="Arial" w:cstheme="minorBidi"/>
                            <w:i/>
                            <w:color w:val="000000" w:themeColor="text1"/>
                            <w:kern w:val="24"/>
                            <w:sz w:val="18"/>
                            <w:szCs w:val="18"/>
                          </w:rPr>
                          <w:t>2.9 in draft report)</w:t>
                        </w:r>
                        <w:r>
                          <w:rPr>
                            <w:rFonts w:asciiTheme="minorHAnsi" w:hAnsi="Arial" w:cstheme="minorBidi"/>
                            <w:i/>
                            <w:color w:val="000000" w:themeColor="text1"/>
                            <w:kern w:val="24"/>
                            <w:sz w:val="18"/>
                            <w:szCs w:val="18"/>
                          </w:rPr>
                          <w:t>.</w:t>
                        </w:r>
                      </w:p>
                    </w:tc>
                  </w:tr>
                </w:tbl>
                <w:p w:rsidR="002C1B23" w:rsidRPr="00B1465D" w:rsidRDefault="002C1B23" w:rsidP="003B64CB">
                  <w:pPr>
                    <w:pStyle w:val="Figure"/>
                    <w:spacing w:before="60" w:after="60"/>
                    <w:rPr>
                      <w:rFonts w:ascii="Arial" w:hAnsi="Arial" w:cs="Arial"/>
                      <w:sz w:val="18"/>
                      <w:szCs w:val="18"/>
                    </w:rPr>
                  </w:pPr>
                </w:p>
              </w:tc>
            </w:tr>
          </w:tbl>
          <w:p w:rsidR="002C1B23" w:rsidRDefault="002C1B23" w:rsidP="003B64CB">
            <w:pPr>
              <w:pStyle w:val="Figure"/>
            </w:pPr>
          </w:p>
        </w:tc>
      </w:tr>
      <w:tr w:rsidR="002C1B23" w:rsidTr="003B64CB">
        <w:tc>
          <w:tcPr>
            <w:tcW w:w="5000" w:type="pct"/>
            <w:tcBorders>
              <w:top w:val="nil"/>
              <w:left w:val="nil"/>
              <w:bottom w:val="single" w:sz="6" w:space="0" w:color="78A22F"/>
              <w:right w:val="nil"/>
            </w:tcBorders>
            <w:shd w:val="clear" w:color="auto" w:fill="auto"/>
          </w:tcPr>
          <w:p w:rsidR="002C1B23" w:rsidRDefault="002C1B23" w:rsidP="003B64CB">
            <w:pPr>
              <w:pStyle w:val="Figurespace"/>
            </w:pPr>
          </w:p>
        </w:tc>
      </w:tr>
      <w:tr w:rsidR="002C1B23" w:rsidRPr="000863A5" w:rsidTr="003B64CB">
        <w:tc>
          <w:tcPr>
            <w:tcW w:w="5000" w:type="pct"/>
            <w:tcBorders>
              <w:top w:val="single" w:sz="6" w:space="0" w:color="78A22F"/>
              <w:left w:val="nil"/>
              <w:bottom w:val="nil"/>
              <w:right w:val="nil"/>
            </w:tcBorders>
          </w:tcPr>
          <w:p w:rsidR="002C1B23" w:rsidRPr="00626D32" w:rsidRDefault="002C1B23" w:rsidP="003B64CB">
            <w:pPr>
              <w:pStyle w:val="BoxSpaceBelow"/>
            </w:pPr>
          </w:p>
        </w:tc>
      </w:tr>
    </w:tbl>
    <w:p w:rsidR="00F4364A" w:rsidRDefault="00F4364A" w:rsidP="000E1706">
      <w:pPr>
        <w:pStyle w:val="BodyText"/>
      </w:pPr>
      <w:r>
        <w:t xml:space="preserve">Previously, 47 funds were above their benchmark (accounting for 9.8 million member accounts and $448 billion in assets). This has now reduced to 26 funds (with 7.2 million member accounts and $405 billion in assets). The proportion of assets and accounts in underperforming funds has largely remained steady, but the composition has changed, as </w:t>
      </w:r>
      <w:r>
        <w:lastRenderedPageBreak/>
        <w:t>there are now 29 underperforming funds, compared to 20. These results suggest that some small funds moved from being outperformers to the buffer zone (between BP2 and 25 basis points below), and that some small funds in the buffer zone are now classed as underperformers, offset by a handful of larger underperforming funds moving into the buffer zone.</w:t>
      </w:r>
    </w:p>
    <w:p w:rsidR="000E1706" w:rsidRDefault="000E1706" w:rsidP="000E1706">
      <w:pPr>
        <w:pStyle w:val="BodyText"/>
      </w:pPr>
      <w:r>
        <w:t>In the draft report, the Commission benchmarked the 10</w:t>
      </w:r>
      <w:r>
        <w:noBreakHyphen/>
        <w:t xml:space="preserve">year performance of 66 MySuper products and their </w:t>
      </w:r>
      <w:r w:rsidR="001B7FA7">
        <w:t xml:space="preserve">relevant </w:t>
      </w:r>
      <w:r>
        <w:t>pre</w:t>
      </w:r>
      <w:r w:rsidR="00617DD2">
        <w:noBreakHyphen/>
      </w:r>
      <w:r>
        <w:t xml:space="preserve">cursors against a BP2 calibrated from the </w:t>
      </w:r>
      <w:r w:rsidR="00076391">
        <w:t>default</w:t>
      </w:r>
      <w:r w:rsidR="00076391">
        <w:noBreakHyphen/>
        <w:t xml:space="preserve">segment </w:t>
      </w:r>
      <w:r>
        <w:t>average asset allocation. The Commission has updated this analysis to an 11</w:t>
      </w:r>
      <w:r w:rsidR="00617DD2">
        <w:noBreakHyphen/>
      </w:r>
      <w:r>
        <w:t>year sample</w:t>
      </w:r>
      <w:r w:rsidR="005A7971">
        <w:t xml:space="preserve"> (</w:t>
      </w:r>
      <w:r w:rsidR="003E5794">
        <w:t xml:space="preserve">covering the period </w:t>
      </w:r>
      <w:r w:rsidR="005A7971">
        <w:t>2008–2018)</w:t>
      </w:r>
      <w:r w:rsidR="003E5794">
        <w:t>.</w:t>
      </w:r>
    </w:p>
    <w:p w:rsidR="002D19D3" w:rsidRDefault="002D19D3" w:rsidP="005A7971">
      <w:pPr>
        <w:pStyle w:val="BodyText"/>
      </w:pPr>
      <w:r>
        <w:t xml:space="preserve">The sample size for the </w:t>
      </w:r>
      <w:r w:rsidR="00076391">
        <w:t>default</w:t>
      </w:r>
      <w:r w:rsidR="00076391">
        <w:noBreakHyphen/>
        <w:t>segment</w:t>
      </w:r>
      <w:r w:rsidR="00A87B50">
        <w:t xml:space="preserve"> </w:t>
      </w:r>
      <w:r>
        <w:t xml:space="preserve">analysis has fallen by </w:t>
      </w:r>
      <w:r w:rsidR="00104718">
        <w:t>two</w:t>
      </w:r>
      <w:r>
        <w:t xml:space="preserve"> (66 down to 6</w:t>
      </w:r>
      <w:r w:rsidR="00104718">
        <w:t>4</w:t>
      </w:r>
      <w:r w:rsidR="00DB1DD0">
        <w:t>), but the coverage of accounts and assets has lifted slightly (75 and 73 per</w:t>
      </w:r>
      <w:r w:rsidR="00076391">
        <w:t xml:space="preserve"> </w:t>
      </w:r>
      <w:r w:rsidR="00DB1DD0">
        <w:t>cent</w:t>
      </w:r>
      <w:r w:rsidR="00313799">
        <w:t xml:space="preserve"> respectively</w:t>
      </w:r>
      <w:r w:rsidR="00DB1DD0">
        <w:t>, to 78 and 77 per</w:t>
      </w:r>
      <w:r w:rsidR="00076391">
        <w:t xml:space="preserve"> </w:t>
      </w:r>
      <w:r w:rsidR="00DB1DD0">
        <w:t>cent). This is likely due to a combination of some out</w:t>
      </w:r>
      <w:r w:rsidR="00DB1DD0">
        <w:noBreakHyphen/>
        <w:t>of</w:t>
      </w:r>
      <w:r w:rsidR="00DB1DD0">
        <w:noBreakHyphen/>
        <w:t>sample smaller products merging with larger ones, and strong growth for in</w:t>
      </w:r>
      <w:r w:rsidR="00DB1DD0">
        <w:noBreakHyphen/>
        <w:t>sample products</w:t>
      </w:r>
      <w:r w:rsidR="005A7971">
        <w:t>.</w:t>
      </w:r>
    </w:p>
    <w:p w:rsidR="000E1706" w:rsidRDefault="002D19D3" w:rsidP="000E1706">
      <w:pPr>
        <w:pStyle w:val="BodyText"/>
      </w:pPr>
      <w:r>
        <w:t xml:space="preserve">There is </w:t>
      </w:r>
      <w:r w:rsidR="000E1706">
        <w:t>little change in the number of unde</w:t>
      </w:r>
      <w:r>
        <w:t>rperformers</w:t>
      </w:r>
      <w:r w:rsidR="000E1706">
        <w:t xml:space="preserve"> </w:t>
      </w:r>
      <w:r>
        <w:t>(</w:t>
      </w:r>
      <w:r w:rsidR="000E1706">
        <w:t>26 down to 23</w:t>
      </w:r>
      <w:r>
        <w:t>)</w:t>
      </w:r>
      <w:r w:rsidR="00DB1DD0">
        <w:t>, the affected accounts (</w:t>
      </w:r>
      <w:r w:rsidR="00313799">
        <w:t xml:space="preserve">from </w:t>
      </w:r>
      <w:r w:rsidR="00DB1DD0">
        <w:t>1.7</w:t>
      </w:r>
      <w:r w:rsidR="00313799">
        <w:t xml:space="preserve"> million</w:t>
      </w:r>
      <w:r w:rsidR="00DB1DD0">
        <w:t xml:space="preserve"> up to 1.8 million),</w:t>
      </w:r>
      <w:r w:rsidR="002B521B">
        <w:t xml:space="preserve"> </w:t>
      </w:r>
      <w:r w:rsidR="00A87B50">
        <w:t xml:space="preserve">or </w:t>
      </w:r>
      <w:r w:rsidR="00DB1DD0">
        <w:t>the affected assets (steady at $62 billion</w:t>
      </w:r>
      <w:r>
        <w:t>)</w:t>
      </w:r>
      <w:r w:rsidR="00C33AA5">
        <w:t xml:space="preserve"> (figure </w:t>
      </w:r>
      <w:r w:rsidR="00B224D1">
        <w:t>19</w:t>
      </w:r>
      <w:r w:rsidR="00C33AA5">
        <w:t>)</w:t>
      </w:r>
      <w:r w:rsidR="00B224D1">
        <w:t>.</w:t>
      </w:r>
    </w:p>
    <w:p w:rsidR="00B224D1" w:rsidRDefault="00B224D1" w:rsidP="00B224D1">
      <w:pPr>
        <w:pStyle w:val="BodyText"/>
      </w:pPr>
      <w:r>
        <w:t>The Commission has also conducted additional benchmarking against BP2s calibrated to each individual MySuper product’s asset allocation (including representative life</w:t>
      </w:r>
      <w:r>
        <w:noBreakHyphen/>
        <w:t>cycle investment options), over the same 11</w:t>
      </w:r>
      <w:r>
        <w:noBreakHyphen/>
        <w:t>year period. The key benefit of this new analysis is that it controls for differences between the default segment average asset allocation, and each individual product’s asset allocation.</w:t>
      </w:r>
    </w:p>
    <w:p w:rsidR="00B224D1" w:rsidRDefault="00B224D1" w:rsidP="00B224D1">
      <w:pPr>
        <w:pStyle w:val="BodyText"/>
      </w:pPr>
      <w:r>
        <w:t>Data quality limited this sample to 53 products. Several adjustments were needed to ensure the asset allocation data were suitable for this analysis (the key principle was to ensure that each option’s asset allocation summed to 100 and was consistent with the reported growth/defensive ratio, which all 53 options had data on). The methodology will be detailed in full in the final report.</w:t>
      </w:r>
    </w:p>
    <w:p w:rsidR="00B224D1" w:rsidRPr="005A7971" w:rsidRDefault="00B224D1" w:rsidP="000E1706">
      <w:pPr>
        <w:pStyle w:val="BodyText"/>
      </w:pPr>
      <w:r>
        <w:t>This analysis found 19 underperforming products, representing 1.7 million member accounts and $66 billion in assets (figure 20). This includes 9 (of the 19 in the sample) representative life</w:t>
      </w:r>
      <w:r w:rsidR="00617DD2">
        <w:noBreakHyphen/>
      </w:r>
      <w:r>
        <w:t>cycle options. The analysis did not produce materially different results to the segment average BP2. This suggests that differences between the product</w:t>
      </w:r>
      <w:r w:rsidR="00617DD2">
        <w:noBreakHyphen/>
      </w:r>
      <w:r>
        <w:t xml:space="preserve">level and MySuper average asset allocations were not strong drivers of the original results against the MySuper average BP2. Of the 53 products that were benchmarked against a tailored BP2, only one that underperformed the segment average BP2 did </w:t>
      </w:r>
      <w:r>
        <w:rPr>
          <w:i/>
        </w:rPr>
        <w:t xml:space="preserve">not </w:t>
      </w:r>
      <w:r>
        <w:t>also underperform its tailored BP2. This finding is consistent with the MySuper product performan</w:t>
      </w:r>
      <w:r w:rsidR="0060551F">
        <w:t xml:space="preserve">ce decomposition analysis above, which </w:t>
      </w:r>
      <w:r>
        <w:t xml:space="preserve">did not find differences in asset allocation </w:t>
      </w:r>
      <w:r w:rsidR="0060551F">
        <w:t>to be</w:t>
      </w:r>
      <w:r>
        <w:t xml:space="preserve"> a major driver of differences in performance.</w:t>
      </w:r>
    </w:p>
    <w:p w:rsidR="007D78ED" w:rsidRDefault="007D78ED" w:rsidP="007D78E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78ED" w:rsidTr="006826BE">
        <w:trPr>
          <w:tblHeader/>
        </w:trPr>
        <w:tc>
          <w:tcPr>
            <w:tcW w:w="5000" w:type="pct"/>
            <w:tcBorders>
              <w:top w:val="single" w:sz="6" w:space="0" w:color="78A22F"/>
              <w:left w:val="nil"/>
              <w:bottom w:val="nil"/>
              <w:right w:val="nil"/>
            </w:tcBorders>
            <w:shd w:val="clear" w:color="auto" w:fill="auto"/>
          </w:tcPr>
          <w:p w:rsidR="007D78ED" w:rsidRDefault="007D78ED" w:rsidP="006826BE">
            <w:pPr>
              <w:pStyle w:val="FigureTitle"/>
            </w:pPr>
            <w:r w:rsidRPr="00784A05">
              <w:rPr>
                <w:b w:val="0"/>
              </w:rPr>
              <w:t xml:space="preserve">Figure </w:t>
            </w:r>
            <w:bookmarkStart w:id="48" w:name="OLE_LINK43"/>
            <w:r w:rsidR="001345FE">
              <w:rPr>
                <w:b w:val="0"/>
                <w:noProof/>
              </w:rPr>
              <w:t>19</w:t>
            </w:r>
            <w:bookmarkEnd w:id="48"/>
            <w:r>
              <w:tab/>
              <w:t xml:space="preserve">MySuper performance: </w:t>
            </w:r>
            <w:r w:rsidR="00491E49">
              <w:t xml:space="preserve">MySuper average </w:t>
            </w:r>
            <w:r w:rsidR="001725B9">
              <w:t>benchmark</w:t>
            </w:r>
            <w:r w:rsidR="001725B9">
              <w:rPr>
                <w:rStyle w:val="NoteLabel"/>
                <w:b/>
              </w:rPr>
              <w:t>a,b,c</w:t>
            </w:r>
          </w:p>
          <w:p w:rsidR="007D78ED" w:rsidRDefault="007D78ED" w:rsidP="007D78ED">
            <w:pPr>
              <w:pStyle w:val="Subtitle"/>
            </w:pPr>
            <w:r>
              <w:t>Performance relative to MySuper average asset allocation, 2008</w:t>
            </w:r>
            <w:r w:rsidR="00A87B50">
              <w:t>–</w:t>
            </w:r>
            <w:r>
              <w:t>2018</w:t>
            </w:r>
          </w:p>
          <w:p w:rsidR="007D78ED" w:rsidRPr="000C2842" w:rsidRDefault="007D78ED">
            <w:pPr>
              <w:pStyle w:val="Subtitle"/>
              <w:rPr>
                <w:rStyle w:val="DraftingNote"/>
                <w:b w:val="0"/>
                <w:color w:val="auto"/>
                <w:sz w:val="20"/>
                <w:u w:val="none"/>
              </w:rPr>
            </w:pPr>
            <w:r>
              <w:t xml:space="preserve">Size of circles indicates the size of each fund’s assets under management </w:t>
            </w:r>
          </w:p>
        </w:tc>
      </w:tr>
      <w:tr w:rsidR="007D78ED" w:rsidTr="006826B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D78ED" w:rsidRPr="00B1465D" w:rsidTr="006826BE">
              <w:trPr>
                <w:tblHeader/>
                <w:jc w:val="center"/>
              </w:trPr>
              <w:tc>
                <w:tcPr>
                  <w:tcW w:w="5000" w:type="pct"/>
                  <w:tcBorders>
                    <w:top w:val="nil"/>
                    <w:bottom w:val="nil"/>
                  </w:tcBorders>
                </w:tcPr>
                <w:p w:rsidR="007D78ED" w:rsidRPr="00B1465D" w:rsidRDefault="00710A57" w:rsidP="006826BE">
                  <w:pPr>
                    <w:pStyle w:val="Figure"/>
                    <w:spacing w:before="60" w:after="60"/>
                    <w:rPr>
                      <w:rFonts w:ascii="Arial" w:hAnsi="Arial" w:cs="Arial"/>
                      <w:sz w:val="18"/>
                      <w:szCs w:val="18"/>
                    </w:rPr>
                  </w:pPr>
                  <w:r w:rsidRPr="00710A57">
                    <w:rPr>
                      <w:rFonts w:ascii="Arial" w:hAnsi="Arial" w:cs="Arial"/>
                      <w:sz w:val="18"/>
                      <w:szCs w:val="18"/>
                    </w:rPr>
                    <w:t xml:space="preserve"> </w:t>
                  </w:r>
                  <w:r w:rsidR="00104718" w:rsidRPr="00104718">
                    <w:rPr>
                      <w:rFonts w:ascii="Arial" w:hAnsi="Arial" w:cs="Arial"/>
                      <w:noProof/>
                      <w:sz w:val="18"/>
                      <w:szCs w:val="18"/>
                    </w:rPr>
                    <w:drawing>
                      <wp:inline distT="0" distB="0" distL="0" distR="0" wp14:anchorId="4F0E90CB" wp14:editId="7CD5997A">
                        <wp:extent cx="5257800" cy="4197341"/>
                        <wp:effectExtent l="0" t="0" r="0" b="0"/>
                        <wp:docPr id="45" name="Picture 45" descr="This figure shows the distribution of performance for MySuper products, over 11 years, against a benchmark tailored to default segment average asset allocation (BP2). &#10;&#10;The bubbles are coloured by fund type, and sized by assets under management. &#10;&#10;The product bubbles are ranked from worse performing to best performing. &#10;&#10;19 products underperform (25 basis points under BP2), accounted for 1.8m accounts and $62b in assets. The 10 best performing products account for more more – 6.2 million accounts and $264b in assets. &#10;" title="MySuper performance; average bench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57800" cy="4197341"/>
                                </a:xfrm>
                                <a:prstGeom prst="rect">
                                  <a:avLst/>
                                </a:prstGeom>
                                <a:noFill/>
                                <a:ln>
                                  <a:noFill/>
                                </a:ln>
                              </pic:spPr>
                            </pic:pic>
                          </a:graphicData>
                        </a:graphic>
                      </wp:inline>
                    </w:drawing>
                  </w:r>
                </w:p>
                <w:tbl>
                  <w:tblPr>
                    <w:tblW w:w="5000" w:type="pct"/>
                    <w:tblLook w:val="04A0" w:firstRow="1" w:lastRow="0" w:firstColumn="1" w:lastColumn="0" w:noHBand="0" w:noVBand="1"/>
                  </w:tblPr>
                  <w:tblGrid>
                    <w:gridCol w:w="1609"/>
                    <w:gridCol w:w="2788"/>
                    <w:gridCol w:w="1600"/>
                    <w:gridCol w:w="2507"/>
                  </w:tblGrid>
                  <w:tr w:rsidR="002E0307" w:rsidTr="006826BE">
                    <w:trPr>
                      <w:tblHeader/>
                    </w:trPr>
                    <w:tc>
                      <w:tcPr>
                        <w:tcW w:w="946" w:type="pct"/>
                        <w:shd w:val="clear" w:color="auto" w:fill="F2F2F2" w:themeFill="background1" w:themeFillShade="F2"/>
                      </w:tcPr>
                      <w:p w:rsidR="002E0307" w:rsidRDefault="002E0307" w:rsidP="002E0307">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4054" w:type="pct"/>
                        <w:gridSpan w:val="3"/>
                        <w:shd w:val="clear" w:color="auto" w:fill="F2F2F2" w:themeFill="background1" w:themeFillShade="F2"/>
                      </w:tcPr>
                      <w:p w:rsidR="002E0307" w:rsidRDefault="002E0307" w:rsidP="002E0307">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PC analysis of SuperRatings, APRA, and financial market index data (various providers).</w:t>
                        </w:r>
                      </w:p>
                    </w:tc>
                  </w:tr>
                  <w:tr w:rsidR="002E0307" w:rsidTr="006826BE">
                    <w:tc>
                      <w:tcPr>
                        <w:tcW w:w="946" w:type="pct"/>
                        <w:shd w:val="clear" w:color="auto" w:fill="F2F2F2" w:themeFill="background1" w:themeFillShade="F2"/>
                      </w:tcPr>
                      <w:p w:rsidR="002E0307" w:rsidRDefault="002E0307" w:rsidP="002E0307">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Benchmark</w:t>
                        </w:r>
                      </w:p>
                    </w:tc>
                    <w:tc>
                      <w:tcPr>
                        <w:tcW w:w="4054" w:type="pct"/>
                        <w:gridSpan w:val="3"/>
                        <w:shd w:val="clear" w:color="auto" w:fill="F2F2F2" w:themeFill="background1" w:themeFillShade="F2"/>
                      </w:tcPr>
                      <w:p w:rsidR="002E0307" w:rsidRDefault="002E0307" w:rsidP="002E0307">
                        <w:pPr>
                          <w:pStyle w:val="Figure"/>
                          <w:spacing w:before="0" w:after="0"/>
                          <w:jc w:val="left"/>
                          <w:rPr>
                            <w:rFonts w:ascii="Arial" w:hAnsi="Arial" w:cs="Arial"/>
                            <w:sz w:val="18"/>
                            <w:szCs w:val="18"/>
                          </w:rPr>
                        </w:pPr>
                        <w:r>
                          <w:rPr>
                            <w:rFonts w:ascii="Arial" w:hAnsi="Arial" w:cs="Arial"/>
                            <w:sz w:val="18"/>
                            <w:szCs w:val="18"/>
                          </w:rPr>
                          <w:t>MySuper average BP2</w:t>
                        </w:r>
                        <w:r w:rsidR="0060551F">
                          <w:rPr>
                            <w:rFonts w:ascii="Arial" w:hAnsi="Arial" w:cs="Arial"/>
                            <w:sz w:val="18"/>
                            <w:szCs w:val="18"/>
                          </w:rPr>
                          <w:t>.</w:t>
                        </w:r>
                      </w:p>
                    </w:tc>
                  </w:tr>
                  <w:tr w:rsidR="002E0307" w:rsidRPr="0032089A" w:rsidTr="006826BE">
                    <w:tc>
                      <w:tcPr>
                        <w:tcW w:w="946" w:type="pct"/>
                        <w:shd w:val="clear" w:color="auto" w:fill="F2F2F2" w:themeFill="background1" w:themeFillShade="F2"/>
                      </w:tcPr>
                      <w:p w:rsidR="002E0307" w:rsidRDefault="002E0307" w:rsidP="002E0307">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4054" w:type="pct"/>
                        <w:gridSpan w:val="3"/>
                        <w:shd w:val="clear" w:color="auto" w:fill="F2F2F2" w:themeFill="background1" w:themeFillShade="F2"/>
                      </w:tcPr>
                      <w:p w:rsidR="002E0307" w:rsidRPr="0032089A" w:rsidRDefault="002E0307" w:rsidP="002E0307">
                        <w:pPr>
                          <w:pStyle w:val="NormalWeb"/>
                          <w:rPr>
                            <w:color w:val="000000" w:themeColor="text1"/>
                            <w:sz w:val="18"/>
                            <w:szCs w:val="18"/>
                          </w:rPr>
                        </w:pPr>
                        <w:r>
                          <w:rPr>
                            <w:rFonts w:asciiTheme="minorHAnsi" w:hAnsi="Arial" w:cstheme="minorBidi"/>
                            <w:color w:val="000000" w:themeColor="text1"/>
                            <w:kern w:val="24"/>
                            <w:sz w:val="18"/>
                            <w:szCs w:val="18"/>
                          </w:rPr>
                          <w:t>6</w:t>
                        </w:r>
                        <w:r w:rsidR="00104718">
                          <w:rPr>
                            <w:rFonts w:asciiTheme="minorHAnsi" w:hAnsi="Arial" w:cstheme="minorBidi"/>
                            <w:color w:val="000000" w:themeColor="text1"/>
                            <w:kern w:val="24"/>
                            <w:sz w:val="18"/>
                            <w:szCs w:val="18"/>
                          </w:rPr>
                          <w:t>4</w:t>
                        </w:r>
                        <w:r>
                          <w:rPr>
                            <w:rFonts w:asciiTheme="minorHAnsi" w:hAnsi="Arial" w:cstheme="minorBidi"/>
                            <w:color w:val="000000" w:themeColor="text1"/>
                            <w:kern w:val="24"/>
                            <w:sz w:val="18"/>
                            <w:szCs w:val="18"/>
                          </w:rPr>
                          <w:t xml:space="preserve"> of 105 current MySuper products covering 78% of member accounts and 77% of assets in all MySuper products as at June 2018.</w:t>
                        </w:r>
                      </w:p>
                    </w:tc>
                  </w:tr>
                  <w:tr w:rsidR="002E0307" w:rsidDel="009516F9" w:rsidTr="006826BE">
                    <w:tc>
                      <w:tcPr>
                        <w:tcW w:w="946" w:type="pct"/>
                        <w:shd w:val="clear" w:color="auto" w:fill="F2F2F2" w:themeFill="background1" w:themeFillShade="F2"/>
                      </w:tcPr>
                      <w:p w:rsidR="002E0307" w:rsidRPr="00311D4D" w:rsidRDefault="002E0307" w:rsidP="002E0307">
                        <w:pPr>
                          <w:pStyle w:val="Figure"/>
                          <w:spacing w:before="0" w:after="0"/>
                          <w:jc w:val="left"/>
                          <w:rPr>
                            <w:rFonts w:ascii="Arial" w:hAnsi="Arial" w:cs="Arial"/>
                            <w:b/>
                            <w:sz w:val="18"/>
                            <w:szCs w:val="18"/>
                          </w:rPr>
                        </w:pPr>
                        <w:r w:rsidRPr="005F68B0">
                          <w:rPr>
                            <w:rFonts w:ascii="Arial" w:hAnsi="Arial" w:cs="Arial"/>
                            <w:b/>
                            <w:sz w:val="18"/>
                            <w:szCs w:val="18"/>
                          </w:rPr>
                          <w:t>Survivor bias</w:t>
                        </w:r>
                      </w:p>
                    </w:tc>
                    <w:tc>
                      <w:tcPr>
                        <w:tcW w:w="1639" w:type="pct"/>
                        <w:shd w:val="clear" w:color="auto" w:fill="F2F2F2" w:themeFill="background1" w:themeFillShade="F2"/>
                      </w:tcPr>
                      <w:p w:rsidR="002E0307" w:rsidDel="009516F9" w:rsidRDefault="002E0307" w:rsidP="002E0307">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p>
                    </w:tc>
                    <w:tc>
                      <w:tcPr>
                        <w:tcW w:w="941" w:type="pct"/>
                        <w:shd w:val="clear" w:color="auto" w:fill="F2F2F2" w:themeFill="background1" w:themeFillShade="F2"/>
                      </w:tcPr>
                      <w:p w:rsidR="002E0307" w:rsidRPr="005F68B0" w:rsidDel="009516F9" w:rsidRDefault="002E0307" w:rsidP="002E0307">
                        <w:pPr>
                          <w:pStyle w:val="Figure"/>
                          <w:spacing w:before="0" w:after="0"/>
                          <w:jc w:val="left"/>
                          <w:rPr>
                            <w:rFonts w:asciiTheme="minorHAnsi" w:hAnsi="Arial" w:cstheme="minorBidi"/>
                            <w:b/>
                            <w:color w:val="000000" w:themeColor="text1"/>
                            <w:kern w:val="24"/>
                            <w:sz w:val="18"/>
                            <w:szCs w:val="18"/>
                          </w:rPr>
                        </w:pPr>
                        <w:r w:rsidRPr="005F68B0">
                          <w:rPr>
                            <w:rFonts w:asciiTheme="minorHAnsi" w:hAnsi="Arial" w:cstheme="minorBidi"/>
                            <w:b/>
                            <w:color w:val="000000" w:themeColor="text1"/>
                            <w:kern w:val="24"/>
                            <w:sz w:val="18"/>
                            <w:szCs w:val="18"/>
                          </w:rPr>
                          <w:t>Selection bias</w:t>
                        </w:r>
                      </w:p>
                    </w:tc>
                    <w:tc>
                      <w:tcPr>
                        <w:tcW w:w="1474" w:type="pct"/>
                        <w:shd w:val="clear" w:color="auto" w:fill="F2F2F2" w:themeFill="background1" w:themeFillShade="F2"/>
                      </w:tcPr>
                      <w:p w:rsidR="002E0307" w:rsidDel="009516F9" w:rsidRDefault="002E0307" w:rsidP="002E0307">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p>
                    </w:tc>
                  </w:tr>
                  <w:tr w:rsidR="001860D7" w:rsidDel="009516F9" w:rsidTr="001860D7">
                    <w:tc>
                      <w:tcPr>
                        <w:tcW w:w="946" w:type="pct"/>
                        <w:shd w:val="clear" w:color="auto" w:fill="F2F2F2" w:themeFill="background1" w:themeFillShade="F2"/>
                      </w:tcPr>
                      <w:p w:rsidR="001860D7" w:rsidRPr="005F68B0" w:rsidRDefault="001860D7" w:rsidP="001860D7">
                        <w:pPr>
                          <w:pStyle w:val="Figure"/>
                          <w:spacing w:before="0" w:after="0"/>
                          <w:jc w:val="left"/>
                          <w:rPr>
                            <w:rFonts w:ascii="Arial" w:hAnsi="Arial" w:cs="Arial"/>
                            <w:b/>
                            <w:sz w:val="18"/>
                            <w:szCs w:val="18"/>
                          </w:rPr>
                        </w:pPr>
                        <w:r w:rsidRPr="00963D19">
                          <w:rPr>
                            <w:rFonts w:ascii="Arial" w:hAnsi="Arial" w:cs="Arial"/>
                            <w:b/>
                            <w:sz w:val="18"/>
                            <w:szCs w:val="18"/>
                          </w:rPr>
                          <w:t>Further results</w:t>
                        </w:r>
                      </w:p>
                    </w:tc>
                    <w:tc>
                      <w:tcPr>
                        <w:tcW w:w="4054" w:type="pct"/>
                        <w:gridSpan w:val="3"/>
                        <w:shd w:val="clear" w:color="auto" w:fill="F2F2F2" w:themeFill="background1" w:themeFillShade="F2"/>
                      </w:tcPr>
                      <w:p w:rsidR="001860D7" w:rsidRDefault="001860D7" w:rsidP="00913791">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Of the 2</w:t>
                        </w:r>
                        <w:r w:rsidR="004A42FD">
                          <w:rPr>
                            <w:rFonts w:asciiTheme="minorHAnsi" w:hAnsi="Arial" w:cstheme="minorBidi"/>
                            <w:color w:val="000000" w:themeColor="text1"/>
                            <w:kern w:val="24"/>
                            <w:sz w:val="18"/>
                            <w:szCs w:val="18"/>
                          </w:rPr>
                          <w:t>3</w:t>
                        </w:r>
                        <w:r>
                          <w:rPr>
                            <w:rFonts w:asciiTheme="minorHAnsi" w:hAnsi="Arial" w:cstheme="minorBidi"/>
                            <w:color w:val="000000" w:themeColor="text1"/>
                            <w:kern w:val="24"/>
                            <w:sz w:val="18"/>
                            <w:szCs w:val="18"/>
                          </w:rPr>
                          <w:t xml:space="preserve"> underperforming products, </w:t>
                        </w:r>
                        <w:r w:rsidR="004A42FD">
                          <w:rPr>
                            <w:rFonts w:asciiTheme="minorHAnsi" w:hAnsi="Arial" w:cstheme="minorBidi"/>
                            <w:color w:val="000000" w:themeColor="text1"/>
                            <w:kern w:val="24"/>
                            <w:sz w:val="18"/>
                            <w:szCs w:val="18"/>
                          </w:rPr>
                          <w:t>7</w:t>
                        </w:r>
                        <w:r>
                          <w:rPr>
                            <w:rFonts w:asciiTheme="minorHAnsi" w:hAnsi="Arial" w:cstheme="minorBidi"/>
                            <w:color w:val="000000" w:themeColor="text1"/>
                            <w:kern w:val="24"/>
                            <w:sz w:val="18"/>
                            <w:szCs w:val="18"/>
                          </w:rPr>
                          <w:t xml:space="preserve"> were in industry funds, </w:t>
                        </w:r>
                        <w:r w:rsidR="004A42FD">
                          <w:rPr>
                            <w:rFonts w:asciiTheme="minorHAnsi" w:hAnsi="Arial" w:cstheme="minorBidi"/>
                            <w:color w:val="000000" w:themeColor="text1"/>
                            <w:kern w:val="24"/>
                            <w:sz w:val="18"/>
                            <w:szCs w:val="18"/>
                          </w:rPr>
                          <w:t>14</w:t>
                        </w:r>
                        <w:r>
                          <w:rPr>
                            <w:rFonts w:asciiTheme="minorHAnsi" w:hAnsi="Arial" w:cstheme="minorBidi"/>
                            <w:color w:val="000000" w:themeColor="text1"/>
                            <w:kern w:val="24"/>
                            <w:sz w:val="18"/>
                            <w:szCs w:val="18"/>
                          </w:rPr>
                          <w:t xml:space="preserve"> </w:t>
                        </w:r>
                        <w:r w:rsidR="00913791">
                          <w:rPr>
                            <w:rFonts w:asciiTheme="minorHAnsi" w:hAnsi="Arial" w:cstheme="minorBidi"/>
                            <w:color w:val="000000" w:themeColor="text1"/>
                            <w:kern w:val="24"/>
                            <w:sz w:val="18"/>
                            <w:szCs w:val="18"/>
                          </w:rPr>
                          <w:t xml:space="preserve">in </w:t>
                        </w:r>
                        <w:r>
                          <w:rPr>
                            <w:rFonts w:asciiTheme="minorHAnsi" w:hAnsi="Arial" w:cstheme="minorBidi"/>
                            <w:color w:val="000000" w:themeColor="text1"/>
                            <w:kern w:val="24"/>
                            <w:sz w:val="18"/>
                            <w:szCs w:val="18"/>
                          </w:rPr>
                          <w:t xml:space="preserve">retail funds, </w:t>
                        </w:r>
                        <w:r w:rsidR="004A42FD">
                          <w:rPr>
                            <w:rFonts w:asciiTheme="minorHAnsi" w:hAnsi="Arial" w:cstheme="minorBidi"/>
                            <w:color w:val="000000" w:themeColor="text1"/>
                            <w:kern w:val="24"/>
                            <w:sz w:val="18"/>
                            <w:szCs w:val="18"/>
                          </w:rPr>
                          <w:t>1</w:t>
                        </w:r>
                        <w:r w:rsidR="00A304C8">
                          <w:rPr>
                            <w:rFonts w:asciiTheme="minorHAnsi" w:hAnsi="Arial" w:cstheme="minorBidi"/>
                            <w:color w:val="000000" w:themeColor="text1"/>
                            <w:kern w:val="24"/>
                            <w:sz w:val="18"/>
                            <w:szCs w:val="18"/>
                          </w:rPr>
                          <w:t> </w:t>
                        </w:r>
                        <w:r w:rsidR="00913791">
                          <w:rPr>
                            <w:rFonts w:asciiTheme="minorHAnsi" w:hAnsi="Arial" w:cstheme="minorBidi"/>
                            <w:color w:val="000000" w:themeColor="text1"/>
                            <w:kern w:val="24"/>
                            <w:sz w:val="18"/>
                            <w:szCs w:val="18"/>
                          </w:rPr>
                          <w:t xml:space="preserve">in a </w:t>
                        </w:r>
                        <w:r>
                          <w:rPr>
                            <w:rFonts w:asciiTheme="minorHAnsi" w:hAnsi="Arial" w:cstheme="minorBidi"/>
                            <w:color w:val="000000" w:themeColor="text1"/>
                            <w:kern w:val="24"/>
                            <w:sz w:val="18"/>
                            <w:szCs w:val="18"/>
                          </w:rPr>
                          <w:t xml:space="preserve">public sector fund and </w:t>
                        </w:r>
                        <w:r w:rsidR="004A42FD">
                          <w:rPr>
                            <w:rFonts w:asciiTheme="minorHAnsi" w:hAnsi="Arial" w:cstheme="minorBidi"/>
                            <w:color w:val="000000" w:themeColor="text1"/>
                            <w:kern w:val="24"/>
                            <w:sz w:val="18"/>
                            <w:szCs w:val="18"/>
                          </w:rPr>
                          <w:t>1</w:t>
                        </w:r>
                        <w:r w:rsidR="00913791">
                          <w:rPr>
                            <w:rFonts w:asciiTheme="minorHAnsi" w:hAnsi="Arial" w:cstheme="minorBidi"/>
                            <w:color w:val="000000" w:themeColor="text1"/>
                            <w:kern w:val="24"/>
                            <w:sz w:val="18"/>
                            <w:szCs w:val="18"/>
                          </w:rPr>
                          <w:t xml:space="preserve"> in a</w:t>
                        </w:r>
                        <w:r>
                          <w:rPr>
                            <w:rFonts w:asciiTheme="minorHAnsi" w:hAnsi="Arial" w:cstheme="minorBidi"/>
                            <w:color w:val="000000" w:themeColor="text1"/>
                            <w:kern w:val="24"/>
                            <w:sz w:val="18"/>
                            <w:szCs w:val="18"/>
                          </w:rPr>
                          <w:t xml:space="preserve"> corporate fund.</w:t>
                        </w:r>
                        <w:r w:rsidR="002F4498">
                          <w:rPr>
                            <w:rFonts w:asciiTheme="minorHAnsi" w:hAnsi="Arial" w:cstheme="minorBidi"/>
                            <w:color w:val="000000" w:themeColor="text1"/>
                            <w:kern w:val="24"/>
                            <w:sz w:val="18"/>
                            <w:szCs w:val="18"/>
                          </w:rPr>
                          <w:t xml:space="preserve"> </w:t>
                        </w:r>
                        <w:r w:rsidR="008D158A">
                          <w:rPr>
                            <w:rFonts w:asciiTheme="minorHAnsi" w:hAnsi="Arial" w:cstheme="minorBidi"/>
                            <w:color w:val="000000" w:themeColor="text1"/>
                            <w:kern w:val="24"/>
                            <w:sz w:val="18"/>
                            <w:szCs w:val="18"/>
                          </w:rPr>
                          <w:t>24</w:t>
                        </w:r>
                        <w:r>
                          <w:rPr>
                            <w:rFonts w:asciiTheme="minorHAnsi" w:hAnsi="Arial" w:cstheme="minorBidi"/>
                            <w:color w:val="000000" w:themeColor="text1"/>
                            <w:kern w:val="24"/>
                            <w:sz w:val="18"/>
                            <w:szCs w:val="18"/>
                          </w:rPr>
                          <w:t xml:space="preserve"> products performed above BP2 but </w:t>
                        </w:r>
                        <w:r w:rsidR="00913791">
                          <w:rPr>
                            <w:rFonts w:asciiTheme="minorHAnsi" w:hAnsi="Arial" w:cstheme="minorBidi"/>
                            <w:color w:val="000000" w:themeColor="text1"/>
                            <w:kern w:val="24"/>
                            <w:sz w:val="18"/>
                            <w:szCs w:val="18"/>
                          </w:rPr>
                          <w:t xml:space="preserve">are </w:t>
                        </w:r>
                        <w:r>
                          <w:rPr>
                            <w:rFonts w:asciiTheme="minorHAnsi" w:hAnsi="Arial" w:cstheme="minorBidi"/>
                            <w:color w:val="000000" w:themeColor="text1"/>
                            <w:kern w:val="24"/>
                            <w:sz w:val="18"/>
                            <w:szCs w:val="18"/>
                          </w:rPr>
                          <w:t>not in the top 10 (</w:t>
                        </w:r>
                        <w:r w:rsidR="008D158A">
                          <w:rPr>
                            <w:rFonts w:asciiTheme="minorHAnsi" w:hAnsi="Arial" w:cstheme="minorBidi"/>
                            <w:color w:val="000000" w:themeColor="text1"/>
                            <w:kern w:val="24"/>
                            <w:sz w:val="18"/>
                            <w:szCs w:val="18"/>
                          </w:rPr>
                          <w:t>3.5</w:t>
                        </w:r>
                        <w:r>
                          <w:rPr>
                            <w:rFonts w:asciiTheme="minorHAnsi" w:hAnsi="Arial" w:cstheme="minorBidi"/>
                            <w:color w:val="000000" w:themeColor="text1"/>
                            <w:kern w:val="24"/>
                            <w:sz w:val="18"/>
                            <w:szCs w:val="18"/>
                          </w:rPr>
                          <w:t xml:space="preserve"> million member account</w:t>
                        </w:r>
                        <w:r w:rsidR="008D158A">
                          <w:rPr>
                            <w:rFonts w:asciiTheme="minorHAnsi" w:hAnsi="Arial" w:cstheme="minorBidi"/>
                            <w:color w:val="000000" w:themeColor="text1"/>
                            <w:kern w:val="24"/>
                            <w:sz w:val="18"/>
                            <w:szCs w:val="18"/>
                          </w:rPr>
                          <w:t>s</w:t>
                        </w:r>
                        <w:r>
                          <w:rPr>
                            <w:rFonts w:asciiTheme="minorHAnsi" w:hAnsi="Arial" w:cstheme="minorBidi"/>
                            <w:color w:val="000000" w:themeColor="text1"/>
                            <w:kern w:val="24"/>
                            <w:sz w:val="18"/>
                            <w:szCs w:val="18"/>
                          </w:rPr>
                          <w:t xml:space="preserve"> and $</w:t>
                        </w:r>
                        <w:r w:rsidR="008D158A">
                          <w:rPr>
                            <w:rFonts w:asciiTheme="minorHAnsi" w:hAnsi="Arial" w:cstheme="minorBidi"/>
                            <w:color w:val="000000" w:themeColor="text1"/>
                            <w:kern w:val="24"/>
                            <w:sz w:val="18"/>
                            <w:szCs w:val="18"/>
                          </w:rPr>
                          <w:t>18</w:t>
                        </w:r>
                        <w:r w:rsidR="0003281C">
                          <w:rPr>
                            <w:rFonts w:asciiTheme="minorHAnsi" w:hAnsi="Arial" w:cstheme="minorBidi"/>
                            <w:color w:val="000000" w:themeColor="text1"/>
                            <w:kern w:val="24"/>
                            <w:sz w:val="18"/>
                            <w:szCs w:val="18"/>
                          </w:rPr>
                          <w:t>4</w:t>
                        </w:r>
                        <w:r>
                          <w:rPr>
                            <w:rFonts w:asciiTheme="minorHAnsi" w:hAnsi="Arial" w:cstheme="minorBidi"/>
                            <w:color w:val="000000" w:themeColor="text1"/>
                            <w:kern w:val="24"/>
                            <w:sz w:val="18"/>
                            <w:szCs w:val="18"/>
                          </w:rPr>
                          <w:t xml:space="preserve"> billion in assets</w:t>
                        </w:r>
                        <w:r w:rsidR="005B3AA9">
                          <w:rPr>
                            <w:rFonts w:asciiTheme="minorHAnsi" w:hAnsi="Arial" w:cstheme="minorBidi"/>
                            <w:color w:val="000000" w:themeColor="text1"/>
                            <w:kern w:val="24"/>
                            <w:sz w:val="18"/>
                            <w:szCs w:val="18"/>
                          </w:rPr>
                          <w:t>)</w:t>
                        </w:r>
                        <w:r>
                          <w:rPr>
                            <w:rFonts w:asciiTheme="minorHAnsi" w:hAnsi="Arial" w:cstheme="minorBidi"/>
                            <w:color w:val="000000" w:themeColor="text1"/>
                            <w:kern w:val="24"/>
                            <w:sz w:val="18"/>
                            <w:szCs w:val="18"/>
                          </w:rPr>
                          <w:t xml:space="preserve">. </w:t>
                        </w:r>
                        <w:r w:rsidR="008D158A">
                          <w:rPr>
                            <w:rFonts w:asciiTheme="minorHAnsi" w:hAnsi="Arial" w:cstheme="minorBidi"/>
                            <w:color w:val="000000" w:themeColor="text1"/>
                            <w:kern w:val="24"/>
                            <w:sz w:val="18"/>
                            <w:szCs w:val="18"/>
                          </w:rPr>
                          <w:t>7</w:t>
                        </w:r>
                        <w:r w:rsidR="00A304C8">
                          <w:rPr>
                            <w:rFonts w:asciiTheme="minorHAnsi" w:hAnsi="Arial" w:cstheme="minorBidi"/>
                            <w:color w:val="000000" w:themeColor="text1"/>
                            <w:kern w:val="24"/>
                            <w:sz w:val="18"/>
                            <w:szCs w:val="18"/>
                          </w:rPr>
                          <w:t> </w:t>
                        </w:r>
                        <w:r>
                          <w:rPr>
                            <w:rFonts w:asciiTheme="minorHAnsi" w:hAnsi="Arial" w:cstheme="minorBidi"/>
                            <w:color w:val="000000" w:themeColor="text1"/>
                            <w:kern w:val="24"/>
                            <w:sz w:val="18"/>
                            <w:szCs w:val="18"/>
                          </w:rPr>
                          <w:t>products</w:t>
                        </w:r>
                        <w:r w:rsidRPr="0066083C">
                          <w:rPr>
                            <w:rFonts w:asciiTheme="minorHAnsi" w:hAnsi="Arial" w:cstheme="minorBidi"/>
                            <w:color w:val="000000" w:themeColor="text1"/>
                            <w:kern w:val="24"/>
                            <w:sz w:val="18"/>
                            <w:szCs w:val="18"/>
                          </w:rPr>
                          <w:t xml:space="preserve"> performed less than </w:t>
                        </w:r>
                        <w:r w:rsidR="006D739C">
                          <w:rPr>
                            <w:rFonts w:asciiTheme="minorHAnsi" w:hAnsi="Arial" w:cstheme="minorBidi"/>
                            <w:color w:val="000000" w:themeColor="text1"/>
                            <w:kern w:val="24"/>
                            <w:sz w:val="18"/>
                            <w:szCs w:val="18"/>
                          </w:rPr>
                          <w:t>25 basis points</w:t>
                        </w:r>
                        <w:r w:rsidRPr="0066083C">
                          <w:rPr>
                            <w:rFonts w:asciiTheme="minorHAnsi" w:hAnsi="Arial" w:cstheme="minorBidi"/>
                            <w:color w:val="000000" w:themeColor="text1"/>
                            <w:kern w:val="24"/>
                            <w:sz w:val="18"/>
                            <w:szCs w:val="18"/>
                          </w:rPr>
                          <w:t xml:space="preserve"> below BP2 (</w:t>
                        </w:r>
                        <w:r w:rsidR="008D158A">
                          <w:rPr>
                            <w:rFonts w:asciiTheme="minorHAnsi" w:hAnsi="Arial" w:cstheme="minorBidi"/>
                            <w:color w:val="000000" w:themeColor="text1"/>
                            <w:kern w:val="24"/>
                            <w:sz w:val="18"/>
                            <w:szCs w:val="18"/>
                          </w:rPr>
                          <w:t>180 000</w:t>
                        </w:r>
                        <w:r>
                          <w:rPr>
                            <w:rFonts w:asciiTheme="minorHAnsi" w:hAnsi="Arial" w:cstheme="minorBidi"/>
                            <w:color w:val="000000" w:themeColor="text1"/>
                            <w:kern w:val="24"/>
                            <w:sz w:val="18"/>
                            <w:szCs w:val="18"/>
                          </w:rPr>
                          <w:t> </w:t>
                        </w:r>
                        <w:r w:rsidRPr="0066083C">
                          <w:rPr>
                            <w:rFonts w:asciiTheme="minorHAnsi" w:hAnsi="Arial" w:cstheme="minorBidi"/>
                            <w:color w:val="000000" w:themeColor="text1"/>
                            <w:kern w:val="24"/>
                            <w:sz w:val="18"/>
                            <w:szCs w:val="18"/>
                          </w:rPr>
                          <w:t>member accounts and $</w:t>
                        </w:r>
                        <w:r w:rsidR="008D158A">
                          <w:rPr>
                            <w:rFonts w:asciiTheme="minorHAnsi" w:hAnsi="Arial" w:cstheme="minorBidi"/>
                            <w:color w:val="000000" w:themeColor="text1"/>
                            <w:kern w:val="24"/>
                            <w:sz w:val="18"/>
                            <w:szCs w:val="18"/>
                          </w:rPr>
                          <w:t>7</w:t>
                        </w:r>
                        <w:r>
                          <w:rPr>
                            <w:rFonts w:asciiTheme="minorHAnsi" w:hAnsi="Arial" w:cstheme="minorBidi"/>
                            <w:color w:val="000000" w:themeColor="text1"/>
                            <w:kern w:val="24"/>
                            <w:sz w:val="18"/>
                            <w:szCs w:val="18"/>
                          </w:rPr>
                          <w:t> </w:t>
                        </w:r>
                        <w:r w:rsidRPr="0066083C">
                          <w:rPr>
                            <w:rFonts w:asciiTheme="minorHAnsi" w:hAnsi="Arial" w:cstheme="minorBidi"/>
                            <w:color w:val="000000" w:themeColor="text1"/>
                            <w:kern w:val="24"/>
                            <w:sz w:val="18"/>
                            <w:szCs w:val="18"/>
                          </w:rPr>
                          <w:t>billion in assets).</w:t>
                        </w:r>
                      </w:p>
                    </w:tc>
                  </w:tr>
                  <w:tr w:rsidR="001860D7" w:rsidDel="009516F9" w:rsidTr="001860D7">
                    <w:tc>
                      <w:tcPr>
                        <w:tcW w:w="946" w:type="pct"/>
                        <w:shd w:val="clear" w:color="auto" w:fill="F2F2F2" w:themeFill="background1" w:themeFillShade="F2"/>
                      </w:tcPr>
                      <w:p w:rsidR="001860D7" w:rsidRDefault="001860D7" w:rsidP="001860D7">
                        <w:pPr>
                          <w:pStyle w:val="Figure"/>
                          <w:spacing w:before="0" w:after="0"/>
                          <w:jc w:val="left"/>
                          <w:rPr>
                            <w:rFonts w:ascii="Arial" w:hAnsi="Arial" w:cs="Arial"/>
                            <w:b/>
                            <w:sz w:val="18"/>
                            <w:szCs w:val="18"/>
                          </w:rPr>
                        </w:pPr>
                        <w:r w:rsidRPr="00963D19">
                          <w:rPr>
                            <w:rFonts w:asciiTheme="minorHAnsi" w:hAnsi="Arial" w:cstheme="minorBidi"/>
                            <w:b/>
                            <w:i/>
                            <w:color w:val="000000" w:themeColor="text1"/>
                            <w:kern w:val="24"/>
                            <w:sz w:val="18"/>
                            <w:szCs w:val="18"/>
                          </w:rPr>
                          <w:t>Draft report benchmarking</w:t>
                        </w:r>
                      </w:p>
                    </w:tc>
                    <w:tc>
                      <w:tcPr>
                        <w:tcW w:w="4054" w:type="pct"/>
                        <w:gridSpan w:val="3"/>
                        <w:shd w:val="clear" w:color="auto" w:fill="F2F2F2" w:themeFill="background1" w:themeFillShade="F2"/>
                      </w:tcPr>
                      <w:p w:rsidR="001860D7" w:rsidRDefault="001860D7" w:rsidP="001860D7">
                        <w:pPr>
                          <w:pStyle w:val="Figure"/>
                          <w:spacing w:before="0" w:after="0"/>
                          <w:jc w:val="left"/>
                          <w:rPr>
                            <w:rFonts w:asciiTheme="minorHAnsi" w:hAnsi="Arial" w:cstheme="minorBidi"/>
                            <w:i/>
                            <w:color w:val="000000" w:themeColor="text1"/>
                            <w:kern w:val="24"/>
                            <w:sz w:val="18"/>
                            <w:szCs w:val="18"/>
                          </w:rPr>
                        </w:pPr>
                        <w:r w:rsidRPr="002F4498">
                          <w:rPr>
                            <w:rFonts w:asciiTheme="minorHAnsi" w:hAnsi="Arial" w:cstheme="minorBidi"/>
                            <w:i/>
                            <w:color w:val="000000" w:themeColor="text1"/>
                            <w:kern w:val="24"/>
                            <w:sz w:val="18"/>
                            <w:szCs w:val="18"/>
                          </w:rPr>
                          <w:t>10 best performing products (6.1 million member accounts, $225 billion in assets); 26 products underperform (1.7 million member account</w:t>
                        </w:r>
                        <w:r w:rsidR="00913791">
                          <w:rPr>
                            <w:rFonts w:asciiTheme="minorHAnsi" w:hAnsi="Arial" w:cstheme="minorBidi"/>
                            <w:i/>
                            <w:color w:val="000000" w:themeColor="text1"/>
                            <w:kern w:val="24"/>
                            <w:sz w:val="18"/>
                            <w:szCs w:val="18"/>
                          </w:rPr>
                          <w:t>s</w:t>
                        </w:r>
                        <w:r w:rsidRPr="002F4498">
                          <w:rPr>
                            <w:rFonts w:asciiTheme="minorHAnsi" w:hAnsi="Arial" w:cstheme="minorBidi"/>
                            <w:i/>
                            <w:color w:val="000000" w:themeColor="text1"/>
                            <w:kern w:val="24"/>
                            <w:sz w:val="18"/>
                            <w:szCs w:val="18"/>
                          </w:rPr>
                          <w:t xml:space="preserve"> and $62 billion in assets); </w:t>
                        </w:r>
                      </w:p>
                      <w:p w:rsidR="001860D7" w:rsidRDefault="001860D7" w:rsidP="001860D7">
                        <w:pPr>
                          <w:pStyle w:val="Figure"/>
                          <w:spacing w:before="0" w:after="0"/>
                          <w:jc w:val="left"/>
                          <w:rPr>
                            <w:rFonts w:asciiTheme="minorHAnsi" w:hAnsi="Arial" w:cstheme="minorBidi"/>
                            <w:color w:val="000000" w:themeColor="text1"/>
                            <w:kern w:val="24"/>
                            <w:sz w:val="18"/>
                            <w:szCs w:val="18"/>
                          </w:rPr>
                        </w:pPr>
                        <w:r w:rsidRPr="001860D7">
                          <w:rPr>
                            <w:rFonts w:asciiTheme="minorHAnsi" w:hAnsi="Arial" w:cstheme="minorBidi"/>
                            <w:i/>
                            <w:color w:val="000000" w:themeColor="text1"/>
                            <w:kern w:val="24"/>
                            <w:sz w:val="18"/>
                            <w:szCs w:val="18"/>
                          </w:rPr>
                          <w:t>22 MySuper products above BP2 but not in the top 10 (3 million member accounts and $150 billion in assets)</w:t>
                        </w:r>
                        <w:r>
                          <w:rPr>
                            <w:rFonts w:asciiTheme="minorHAnsi" w:hAnsi="Arial" w:cstheme="minorBidi"/>
                            <w:i/>
                            <w:color w:val="000000" w:themeColor="text1"/>
                            <w:kern w:val="24"/>
                            <w:sz w:val="18"/>
                            <w:szCs w:val="18"/>
                          </w:rPr>
                          <w:t>; 10</w:t>
                        </w:r>
                        <w:r w:rsidRPr="001860D7">
                          <w:rPr>
                            <w:rFonts w:asciiTheme="minorHAnsi" w:hAnsi="Arial" w:cstheme="minorBidi"/>
                            <w:i/>
                            <w:color w:val="000000" w:themeColor="text1"/>
                            <w:kern w:val="24"/>
                            <w:sz w:val="18"/>
                            <w:szCs w:val="18"/>
                          </w:rPr>
                          <w:t xml:space="preserve"> products less than </w:t>
                        </w:r>
                        <w:r w:rsidR="006D739C">
                          <w:rPr>
                            <w:rFonts w:asciiTheme="minorHAnsi" w:hAnsi="Arial" w:cstheme="minorBidi"/>
                            <w:i/>
                            <w:color w:val="000000" w:themeColor="text1"/>
                            <w:kern w:val="24"/>
                            <w:sz w:val="18"/>
                            <w:szCs w:val="18"/>
                          </w:rPr>
                          <w:t>25 basis points</w:t>
                        </w:r>
                        <w:r w:rsidR="00913791">
                          <w:rPr>
                            <w:rFonts w:asciiTheme="minorHAnsi" w:hAnsi="Arial" w:cstheme="minorBidi"/>
                            <w:i/>
                            <w:color w:val="000000" w:themeColor="text1"/>
                            <w:kern w:val="24"/>
                            <w:sz w:val="18"/>
                            <w:szCs w:val="18"/>
                          </w:rPr>
                          <w:t xml:space="preserve"> below BP2 (428 </w:t>
                        </w:r>
                        <w:r w:rsidRPr="001860D7">
                          <w:rPr>
                            <w:rFonts w:asciiTheme="minorHAnsi" w:hAnsi="Arial" w:cstheme="minorBidi"/>
                            <w:i/>
                            <w:color w:val="000000" w:themeColor="text1"/>
                            <w:kern w:val="24"/>
                            <w:sz w:val="18"/>
                            <w:szCs w:val="18"/>
                          </w:rPr>
                          <w:t>000 member accounts and $29 billion in assets)</w:t>
                        </w:r>
                        <w:r>
                          <w:rPr>
                            <w:rFonts w:asciiTheme="minorHAnsi" w:hAnsi="Arial" w:cstheme="minorBidi"/>
                            <w:i/>
                            <w:color w:val="000000" w:themeColor="text1"/>
                            <w:kern w:val="24"/>
                            <w:sz w:val="18"/>
                            <w:szCs w:val="18"/>
                          </w:rPr>
                          <w:t xml:space="preserve"> (figure</w:t>
                        </w:r>
                        <w:r w:rsidR="00617DD2">
                          <w:rPr>
                            <w:rFonts w:asciiTheme="minorHAnsi" w:hAnsi="Arial" w:cstheme="minorBidi"/>
                            <w:i/>
                            <w:color w:val="000000" w:themeColor="text1"/>
                            <w:kern w:val="24"/>
                            <w:sz w:val="18"/>
                            <w:szCs w:val="18"/>
                          </w:rPr>
                          <w:t> </w:t>
                        </w:r>
                        <w:r>
                          <w:rPr>
                            <w:rFonts w:asciiTheme="minorHAnsi" w:hAnsi="Arial" w:cstheme="minorBidi"/>
                            <w:i/>
                            <w:color w:val="000000" w:themeColor="text1"/>
                            <w:kern w:val="24"/>
                            <w:sz w:val="18"/>
                            <w:szCs w:val="18"/>
                          </w:rPr>
                          <w:t>2.13</w:t>
                        </w:r>
                        <w:r w:rsidRPr="0066083C">
                          <w:rPr>
                            <w:rFonts w:asciiTheme="minorHAnsi" w:hAnsi="Arial" w:cstheme="minorBidi"/>
                            <w:i/>
                            <w:color w:val="000000" w:themeColor="text1"/>
                            <w:kern w:val="24"/>
                            <w:sz w:val="18"/>
                            <w:szCs w:val="18"/>
                          </w:rPr>
                          <w:t xml:space="preserve"> </w:t>
                        </w:r>
                        <w:r w:rsidR="00913791">
                          <w:rPr>
                            <w:rFonts w:asciiTheme="minorHAnsi" w:hAnsi="Arial" w:cstheme="minorBidi"/>
                            <w:i/>
                            <w:color w:val="000000" w:themeColor="text1"/>
                            <w:kern w:val="24"/>
                            <w:sz w:val="18"/>
                            <w:szCs w:val="18"/>
                          </w:rPr>
                          <w:t>i</w:t>
                        </w:r>
                        <w:r w:rsidRPr="0066083C">
                          <w:rPr>
                            <w:rFonts w:asciiTheme="minorHAnsi" w:hAnsi="Arial" w:cstheme="minorBidi"/>
                            <w:i/>
                            <w:color w:val="000000" w:themeColor="text1"/>
                            <w:kern w:val="24"/>
                            <w:sz w:val="18"/>
                            <w:szCs w:val="18"/>
                          </w:rPr>
                          <w:t>n draft report)</w:t>
                        </w:r>
                        <w:r>
                          <w:rPr>
                            <w:rFonts w:asciiTheme="minorHAnsi" w:hAnsi="Arial" w:cstheme="minorBidi"/>
                            <w:i/>
                            <w:color w:val="000000" w:themeColor="text1"/>
                            <w:kern w:val="24"/>
                            <w:sz w:val="18"/>
                            <w:szCs w:val="18"/>
                          </w:rPr>
                          <w:t>.</w:t>
                        </w:r>
                      </w:p>
                    </w:tc>
                  </w:tr>
                </w:tbl>
                <w:p w:rsidR="007D78ED" w:rsidRPr="00B1465D" w:rsidRDefault="007D78ED" w:rsidP="006826BE">
                  <w:pPr>
                    <w:pStyle w:val="Figure"/>
                    <w:spacing w:before="60" w:after="60"/>
                    <w:rPr>
                      <w:rFonts w:ascii="Arial" w:hAnsi="Arial" w:cs="Arial"/>
                      <w:sz w:val="18"/>
                      <w:szCs w:val="18"/>
                    </w:rPr>
                  </w:pPr>
                </w:p>
              </w:tc>
            </w:tr>
          </w:tbl>
          <w:p w:rsidR="007D78ED" w:rsidRDefault="007D78ED" w:rsidP="006826BE">
            <w:pPr>
              <w:pStyle w:val="Figure"/>
            </w:pPr>
          </w:p>
        </w:tc>
      </w:tr>
      <w:tr w:rsidR="007D78ED" w:rsidRPr="00176D3F" w:rsidTr="006826BE">
        <w:tc>
          <w:tcPr>
            <w:tcW w:w="5000" w:type="pct"/>
            <w:tcBorders>
              <w:top w:val="nil"/>
              <w:left w:val="nil"/>
              <w:bottom w:val="nil"/>
              <w:right w:val="nil"/>
            </w:tcBorders>
            <w:shd w:val="clear" w:color="auto" w:fill="auto"/>
          </w:tcPr>
          <w:p w:rsidR="007D78ED" w:rsidRPr="00176D3F" w:rsidRDefault="007D78ED">
            <w:pPr>
              <w:pStyle w:val="Note"/>
            </w:pPr>
            <w:r>
              <w:rPr>
                <w:rStyle w:val="NoteLabel"/>
              </w:rPr>
              <w:t>a</w:t>
            </w:r>
            <w:r>
              <w:t xml:space="preserve"> Current MySuper products were connected with pre</w:t>
            </w:r>
            <w:r w:rsidR="00617DD2">
              <w:noBreakHyphen/>
            </w:r>
            <w:r>
              <w:t xml:space="preserve">cursors with the support of </w:t>
            </w:r>
            <w:r w:rsidR="000E1706">
              <w:t>SuperRatings where requested. 19</w:t>
            </w:r>
            <w:r>
              <w:t xml:space="preserve"> life</w:t>
            </w:r>
            <w:r w:rsidR="00617DD2">
              <w:noBreakHyphen/>
            </w:r>
            <w:r>
              <w:t xml:space="preserve">cycle products are represented by their largest ‘balanced’ (according to SuperRatings definitions) </w:t>
            </w:r>
            <w:r w:rsidR="00470D20">
              <w:t>stage, but only the assets and accounts in the representative stage are counted.</w:t>
            </w:r>
            <w:r w:rsidR="001725B9">
              <w:rPr>
                <w:rStyle w:val="NoteLabel"/>
              </w:rPr>
              <w:t xml:space="preserve"> b </w:t>
            </w:r>
            <w:r w:rsidR="001725B9">
              <w:t xml:space="preserve">BP2 does not include unlisted infrastructure due to data limitations. </w:t>
            </w:r>
            <w:r w:rsidR="001725B9">
              <w:rPr>
                <w:rStyle w:val="NoteLabel"/>
              </w:rPr>
              <w:t xml:space="preserve">c </w:t>
            </w:r>
            <w:r w:rsidR="001725B9">
              <w:t>Net returns are net of investment fees, taxes, and implicit asset</w:t>
            </w:r>
            <w:r w:rsidR="00617DD2">
              <w:noBreakHyphen/>
            </w:r>
            <w:r w:rsidR="001725B9">
              <w:t>based administration fees.</w:t>
            </w:r>
          </w:p>
        </w:tc>
      </w:tr>
      <w:tr w:rsidR="007D78ED" w:rsidTr="006826BE">
        <w:tc>
          <w:tcPr>
            <w:tcW w:w="5000" w:type="pct"/>
            <w:tcBorders>
              <w:top w:val="nil"/>
              <w:left w:val="nil"/>
              <w:bottom w:val="single" w:sz="6" w:space="0" w:color="78A22F"/>
              <w:right w:val="nil"/>
            </w:tcBorders>
            <w:shd w:val="clear" w:color="auto" w:fill="auto"/>
          </w:tcPr>
          <w:p w:rsidR="007D78ED" w:rsidRDefault="007D78ED" w:rsidP="006826BE">
            <w:pPr>
              <w:pStyle w:val="Figurespace"/>
            </w:pPr>
          </w:p>
        </w:tc>
      </w:tr>
      <w:tr w:rsidR="007D78ED" w:rsidRPr="000863A5" w:rsidTr="006826BE">
        <w:tc>
          <w:tcPr>
            <w:tcW w:w="5000" w:type="pct"/>
            <w:tcBorders>
              <w:top w:val="single" w:sz="6" w:space="0" w:color="78A22F"/>
              <w:left w:val="nil"/>
              <w:bottom w:val="nil"/>
              <w:right w:val="nil"/>
            </w:tcBorders>
          </w:tcPr>
          <w:p w:rsidR="007D78ED" w:rsidRPr="00626D32" w:rsidRDefault="007D78ED" w:rsidP="006826BE">
            <w:pPr>
              <w:pStyle w:val="BoxSpaceBelow"/>
            </w:pPr>
          </w:p>
        </w:tc>
      </w:tr>
    </w:tbl>
    <w:p w:rsidR="000C6529" w:rsidRDefault="000C6529" w:rsidP="000C652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C6529" w:rsidTr="006826BE">
        <w:trPr>
          <w:tblHeader/>
        </w:trPr>
        <w:tc>
          <w:tcPr>
            <w:tcW w:w="5000" w:type="pct"/>
            <w:tcBorders>
              <w:top w:val="single" w:sz="6" w:space="0" w:color="78A22F"/>
              <w:left w:val="nil"/>
              <w:bottom w:val="nil"/>
              <w:right w:val="nil"/>
            </w:tcBorders>
            <w:shd w:val="clear" w:color="auto" w:fill="auto"/>
          </w:tcPr>
          <w:p w:rsidR="000C6529" w:rsidRDefault="000C6529" w:rsidP="006826BE">
            <w:pPr>
              <w:pStyle w:val="FigureTitle"/>
            </w:pPr>
            <w:r w:rsidRPr="00784A05">
              <w:rPr>
                <w:b w:val="0"/>
              </w:rPr>
              <w:t xml:space="preserve">Figure </w:t>
            </w:r>
            <w:bookmarkStart w:id="49" w:name="OLE_LINK42"/>
            <w:r w:rsidR="001345FE">
              <w:rPr>
                <w:b w:val="0"/>
                <w:noProof/>
              </w:rPr>
              <w:t>20</w:t>
            </w:r>
            <w:bookmarkEnd w:id="49"/>
            <w:r>
              <w:tab/>
              <w:t xml:space="preserve">MySuper performance: tailored </w:t>
            </w:r>
            <w:r w:rsidR="001725B9">
              <w:t>benchmark</w:t>
            </w:r>
            <w:r w:rsidR="001725B9">
              <w:rPr>
                <w:rStyle w:val="NoteLabel"/>
                <w:b/>
              </w:rPr>
              <w:t>a,b,c</w:t>
            </w:r>
          </w:p>
          <w:p w:rsidR="000C6529" w:rsidRDefault="000C6529" w:rsidP="006826BE">
            <w:pPr>
              <w:pStyle w:val="Subtitle"/>
            </w:pPr>
            <w:r>
              <w:t>Performance relative to individual products’ benchmark portfolio, 2008</w:t>
            </w:r>
            <w:r w:rsidR="00617DD2">
              <w:t>–</w:t>
            </w:r>
            <w:r>
              <w:t>2018</w:t>
            </w:r>
          </w:p>
          <w:p w:rsidR="000C6529" w:rsidRPr="000C2842" w:rsidRDefault="000C6529" w:rsidP="006826BE">
            <w:pPr>
              <w:pStyle w:val="Subtitle"/>
              <w:rPr>
                <w:rStyle w:val="DraftingNote"/>
                <w:b w:val="0"/>
                <w:color w:val="auto"/>
                <w:sz w:val="20"/>
                <w:u w:val="none"/>
              </w:rPr>
            </w:pPr>
            <w:r>
              <w:t xml:space="preserve">Size of circles indicates the size of each fund’s assets under management </w:t>
            </w:r>
          </w:p>
        </w:tc>
      </w:tr>
      <w:tr w:rsidR="000C6529" w:rsidTr="006826B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C6529" w:rsidRPr="00B1465D" w:rsidTr="006826BE">
              <w:trPr>
                <w:tblHeader/>
                <w:jc w:val="center"/>
              </w:trPr>
              <w:tc>
                <w:tcPr>
                  <w:tcW w:w="5000" w:type="pct"/>
                  <w:tcBorders>
                    <w:top w:val="nil"/>
                    <w:bottom w:val="nil"/>
                  </w:tcBorders>
                </w:tcPr>
                <w:p w:rsidR="000C6529" w:rsidRPr="00B1465D" w:rsidRDefault="00A01624" w:rsidP="006826BE">
                  <w:pPr>
                    <w:pStyle w:val="Figure"/>
                    <w:spacing w:before="60" w:after="60"/>
                    <w:rPr>
                      <w:rFonts w:ascii="Arial" w:hAnsi="Arial" w:cs="Arial"/>
                      <w:sz w:val="18"/>
                      <w:szCs w:val="18"/>
                    </w:rPr>
                  </w:pPr>
                  <w:r w:rsidRPr="00A01624">
                    <w:rPr>
                      <w:rFonts w:ascii="Arial" w:hAnsi="Arial" w:cs="Arial"/>
                      <w:noProof/>
                      <w:sz w:val="18"/>
                      <w:szCs w:val="18"/>
                    </w:rPr>
                    <w:drawing>
                      <wp:inline distT="0" distB="0" distL="0" distR="0" wp14:anchorId="296DE671" wp14:editId="782E401C">
                        <wp:extent cx="5397500" cy="4311650"/>
                        <wp:effectExtent l="0" t="0" r="0" b="0"/>
                        <wp:docPr id="37" name="Picture 37" descr="This figure shows the distribution of performance for MySuper products, over 11 years, against a benchmark tailored to their individual asset allocation (BP2). &#10;&#10;The product bubbles are coloured by fund type, and sized by assets under management. &#10;&#10;The product bubbles are ranked from worse performing to best performing. &#10;&#10;19 products underperform (25 basis points under BP2), accounted for 1.7m accounts and $66b in assets. The 10 best performing products account for more more – 5 million accounts and $188b in assets. &#10;" title="MySuper performance: tailored bench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97500" cy="4311650"/>
                                </a:xfrm>
                                <a:prstGeom prst="rect">
                                  <a:avLst/>
                                </a:prstGeom>
                                <a:noFill/>
                                <a:ln>
                                  <a:noFill/>
                                </a:ln>
                              </pic:spPr>
                            </pic:pic>
                          </a:graphicData>
                        </a:graphic>
                      </wp:inline>
                    </w:drawing>
                  </w:r>
                </w:p>
                <w:tbl>
                  <w:tblPr>
                    <w:tblW w:w="5000" w:type="pct"/>
                    <w:tblLook w:val="04A0" w:firstRow="1" w:lastRow="0" w:firstColumn="1" w:lastColumn="0" w:noHBand="0" w:noVBand="1"/>
                  </w:tblPr>
                  <w:tblGrid>
                    <w:gridCol w:w="1609"/>
                    <w:gridCol w:w="2788"/>
                    <w:gridCol w:w="1600"/>
                    <w:gridCol w:w="2507"/>
                  </w:tblGrid>
                  <w:tr w:rsidR="000C6529" w:rsidTr="006826BE">
                    <w:trPr>
                      <w:tblHeader/>
                    </w:trPr>
                    <w:tc>
                      <w:tcPr>
                        <w:tcW w:w="946" w:type="pct"/>
                        <w:shd w:val="clear" w:color="auto" w:fill="F2F2F2" w:themeFill="background1" w:themeFillShade="F2"/>
                      </w:tcPr>
                      <w:p w:rsidR="000C6529" w:rsidRDefault="000C6529" w:rsidP="006826BE">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4054" w:type="pct"/>
                        <w:gridSpan w:val="3"/>
                        <w:shd w:val="clear" w:color="auto" w:fill="F2F2F2" w:themeFill="background1" w:themeFillShade="F2"/>
                      </w:tcPr>
                      <w:p w:rsidR="000C6529" w:rsidRDefault="000C6529" w:rsidP="006826BE">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PC analysis of SuperRatings, APRA, and financial market index data (various providers).</w:t>
                        </w:r>
                      </w:p>
                    </w:tc>
                  </w:tr>
                  <w:tr w:rsidR="000C6529" w:rsidTr="006826BE">
                    <w:tc>
                      <w:tcPr>
                        <w:tcW w:w="946" w:type="pct"/>
                        <w:shd w:val="clear" w:color="auto" w:fill="F2F2F2" w:themeFill="background1" w:themeFillShade="F2"/>
                      </w:tcPr>
                      <w:p w:rsidR="000C6529" w:rsidRDefault="000C6529" w:rsidP="006826BE">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Benchmark</w:t>
                        </w:r>
                      </w:p>
                    </w:tc>
                    <w:tc>
                      <w:tcPr>
                        <w:tcW w:w="4054" w:type="pct"/>
                        <w:gridSpan w:val="3"/>
                        <w:shd w:val="clear" w:color="auto" w:fill="F2F2F2" w:themeFill="background1" w:themeFillShade="F2"/>
                      </w:tcPr>
                      <w:p w:rsidR="000C6529" w:rsidRDefault="000C6529" w:rsidP="006826BE">
                        <w:pPr>
                          <w:pStyle w:val="Figure"/>
                          <w:spacing w:before="0" w:after="0"/>
                          <w:jc w:val="left"/>
                          <w:rPr>
                            <w:rFonts w:ascii="Arial" w:hAnsi="Arial" w:cs="Arial"/>
                            <w:sz w:val="18"/>
                            <w:szCs w:val="18"/>
                          </w:rPr>
                        </w:pPr>
                        <w:r>
                          <w:rPr>
                            <w:rFonts w:ascii="Arial" w:hAnsi="Arial" w:cs="Arial"/>
                            <w:sz w:val="18"/>
                            <w:szCs w:val="18"/>
                          </w:rPr>
                          <w:t>Product</w:t>
                        </w:r>
                        <w:r w:rsidR="00617DD2">
                          <w:rPr>
                            <w:rFonts w:ascii="Arial" w:hAnsi="Arial" w:cs="Arial"/>
                            <w:sz w:val="18"/>
                            <w:szCs w:val="18"/>
                          </w:rPr>
                          <w:noBreakHyphen/>
                        </w:r>
                        <w:r>
                          <w:rPr>
                            <w:rFonts w:ascii="Arial" w:hAnsi="Arial" w:cs="Arial"/>
                            <w:sz w:val="18"/>
                            <w:szCs w:val="18"/>
                          </w:rPr>
                          <w:t>tailored BP2</w:t>
                        </w:r>
                        <w:r w:rsidR="0060551F">
                          <w:rPr>
                            <w:rFonts w:ascii="Arial" w:hAnsi="Arial" w:cs="Arial"/>
                            <w:sz w:val="18"/>
                            <w:szCs w:val="18"/>
                          </w:rPr>
                          <w:t>.</w:t>
                        </w:r>
                      </w:p>
                    </w:tc>
                  </w:tr>
                  <w:tr w:rsidR="000C6529" w:rsidRPr="0032089A" w:rsidTr="006826BE">
                    <w:tc>
                      <w:tcPr>
                        <w:tcW w:w="946" w:type="pct"/>
                        <w:shd w:val="clear" w:color="auto" w:fill="F2F2F2" w:themeFill="background1" w:themeFillShade="F2"/>
                      </w:tcPr>
                      <w:p w:rsidR="000C6529" w:rsidRDefault="000C6529" w:rsidP="006826BE">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4054" w:type="pct"/>
                        <w:gridSpan w:val="3"/>
                        <w:shd w:val="clear" w:color="auto" w:fill="F2F2F2" w:themeFill="background1" w:themeFillShade="F2"/>
                      </w:tcPr>
                      <w:p w:rsidR="000C6529" w:rsidRPr="0032089A" w:rsidRDefault="000C6529" w:rsidP="006826BE">
                        <w:pPr>
                          <w:pStyle w:val="NormalWeb"/>
                          <w:rPr>
                            <w:color w:val="000000" w:themeColor="text1"/>
                            <w:sz w:val="18"/>
                            <w:szCs w:val="18"/>
                          </w:rPr>
                        </w:pPr>
                        <w:r>
                          <w:rPr>
                            <w:rFonts w:asciiTheme="minorHAnsi" w:hAnsi="Arial" w:cstheme="minorBidi"/>
                            <w:color w:val="000000" w:themeColor="text1"/>
                            <w:kern w:val="24"/>
                            <w:sz w:val="18"/>
                            <w:szCs w:val="18"/>
                          </w:rPr>
                          <w:t xml:space="preserve">53 of 105 current MySuper products covering </w:t>
                        </w:r>
                        <w:r w:rsidR="00910F44">
                          <w:rPr>
                            <w:rFonts w:asciiTheme="minorHAnsi" w:hAnsi="Arial" w:cstheme="minorBidi"/>
                            <w:color w:val="000000" w:themeColor="text1"/>
                            <w:kern w:val="24"/>
                            <w:sz w:val="18"/>
                            <w:szCs w:val="18"/>
                          </w:rPr>
                          <w:t>76</w:t>
                        </w:r>
                        <w:r>
                          <w:rPr>
                            <w:rFonts w:asciiTheme="minorHAnsi" w:hAnsi="Arial" w:cstheme="minorBidi"/>
                            <w:color w:val="000000" w:themeColor="text1"/>
                            <w:kern w:val="24"/>
                            <w:sz w:val="18"/>
                            <w:szCs w:val="18"/>
                          </w:rPr>
                          <w:t xml:space="preserve">% of member accounts and </w:t>
                        </w:r>
                        <w:r w:rsidR="00910F44">
                          <w:rPr>
                            <w:rFonts w:asciiTheme="minorHAnsi" w:hAnsi="Arial" w:cstheme="minorBidi"/>
                            <w:color w:val="000000" w:themeColor="text1"/>
                            <w:kern w:val="24"/>
                            <w:sz w:val="18"/>
                            <w:szCs w:val="18"/>
                          </w:rPr>
                          <w:t>75</w:t>
                        </w:r>
                        <w:r>
                          <w:rPr>
                            <w:rFonts w:asciiTheme="minorHAnsi" w:hAnsi="Arial" w:cstheme="minorBidi"/>
                            <w:color w:val="000000" w:themeColor="text1"/>
                            <w:kern w:val="24"/>
                            <w:sz w:val="18"/>
                            <w:szCs w:val="18"/>
                          </w:rPr>
                          <w:t>% of assets in all MySuper products as at June 2018.</w:t>
                        </w:r>
                      </w:p>
                    </w:tc>
                  </w:tr>
                  <w:tr w:rsidR="000C6529" w:rsidDel="009516F9" w:rsidTr="006826BE">
                    <w:tc>
                      <w:tcPr>
                        <w:tcW w:w="946" w:type="pct"/>
                        <w:shd w:val="clear" w:color="auto" w:fill="F2F2F2" w:themeFill="background1" w:themeFillShade="F2"/>
                      </w:tcPr>
                      <w:p w:rsidR="000C6529" w:rsidRPr="00311D4D" w:rsidRDefault="000C6529" w:rsidP="006826BE">
                        <w:pPr>
                          <w:pStyle w:val="Figure"/>
                          <w:spacing w:before="0" w:after="0"/>
                          <w:jc w:val="left"/>
                          <w:rPr>
                            <w:rFonts w:ascii="Arial" w:hAnsi="Arial" w:cs="Arial"/>
                            <w:b/>
                            <w:sz w:val="18"/>
                            <w:szCs w:val="18"/>
                          </w:rPr>
                        </w:pPr>
                        <w:r w:rsidRPr="005F68B0">
                          <w:rPr>
                            <w:rFonts w:ascii="Arial" w:hAnsi="Arial" w:cs="Arial"/>
                            <w:b/>
                            <w:sz w:val="18"/>
                            <w:szCs w:val="18"/>
                          </w:rPr>
                          <w:t>Survivor bias</w:t>
                        </w:r>
                      </w:p>
                    </w:tc>
                    <w:tc>
                      <w:tcPr>
                        <w:tcW w:w="1639" w:type="pct"/>
                        <w:shd w:val="clear" w:color="auto" w:fill="F2F2F2" w:themeFill="background1" w:themeFillShade="F2"/>
                      </w:tcPr>
                      <w:p w:rsidR="000C6529" w:rsidDel="009516F9" w:rsidRDefault="000C6529" w:rsidP="006826BE">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p>
                    </w:tc>
                    <w:tc>
                      <w:tcPr>
                        <w:tcW w:w="941" w:type="pct"/>
                        <w:shd w:val="clear" w:color="auto" w:fill="F2F2F2" w:themeFill="background1" w:themeFillShade="F2"/>
                      </w:tcPr>
                      <w:p w:rsidR="000C6529" w:rsidRPr="005F68B0" w:rsidDel="009516F9" w:rsidRDefault="000C6529" w:rsidP="006826BE">
                        <w:pPr>
                          <w:pStyle w:val="Figure"/>
                          <w:spacing w:before="0" w:after="0"/>
                          <w:jc w:val="left"/>
                          <w:rPr>
                            <w:rFonts w:asciiTheme="minorHAnsi" w:hAnsi="Arial" w:cstheme="minorBidi"/>
                            <w:b/>
                            <w:color w:val="000000" w:themeColor="text1"/>
                            <w:kern w:val="24"/>
                            <w:sz w:val="18"/>
                            <w:szCs w:val="18"/>
                          </w:rPr>
                        </w:pPr>
                        <w:r w:rsidRPr="005F68B0">
                          <w:rPr>
                            <w:rFonts w:asciiTheme="minorHAnsi" w:hAnsi="Arial" w:cstheme="minorBidi"/>
                            <w:b/>
                            <w:color w:val="000000" w:themeColor="text1"/>
                            <w:kern w:val="24"/>
                            <w:sz w:val="18"/>
                            <w:szCs w:val="18"/>
                          </w:rPr>
                          <w:t>Selection bias</w:t>
                        </w:r>
                      </w:p>
                    </w:tc>
                    <w:tc>
                      <w:tcPr>
                        <w:tcW w:w="1474" w:type="pct"/>
                        <w:shd w:val="clear" w:color="auto" w:fill="F2F2F2" w:themeFill="background1" w:themeFillShade="F2"/>
                      </w:tcPr>
                      <w:p w:rsidR="000C6529" w:rsidDel="009516F9" w:rsidRDefault="000C6529" w:rsidP="006826BE">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p>
                    </w:tc>
                  </w:tr>
                  <w:tr w:rsidR="005E619D" w:rsidDel="009516F9" w:rsidTr="005E619D">
                    <w:tc>
                      <w:tcPr>
                        <w:tcW w:w="946" w:type="pct"/>
                        <w:shd w:val="clear" w:color="auto" w:fill="F2F2F2" w:themeFill="background1" w:themeFillShade="F2"/>
                      </w:tcPr>
                      <w:p w:rsidR="005E619D" w:rsidRPr="005F68B0" w:rsidRDefault="005E619D" w:rsidP="005E619D">
                        <w:pPr>
                          <w:pStyle w:val="Figure"/>
                          <w:spacing w:before="0" w:after="0"/>
                          <w:jc w:val="left"/>
                          <w:rPr>
                            <w:rFonts w:ascii="Arial" w:hAnsi="Arial" w:cs="Arial"/>
                            <w:b/>
                            <w:sz w:val="18"/>
                            <w:szCs w:val="18"/>
                          </w:rPr>
                        </w:pPr>
                        <w:r w:rsidRPr="00963D19">
                          <w:rPr>
                            <w:rFonts w:ascii="Arial" w:hAnsi="Arial" w:cs="Arial"/>
                            <w:b/>
                            <w:sz w:val="18"/>
                            <w:szCs w:val="18"/>
                          </w:rPr>
                          <w:t>Further results</w:t>
                        </w:r>
                      </w:p>
                    </w:tc>
                    <w:tc>
                      <w:tcPr>
                        <w:tcW w:w="4054" w:type="pct"/>
                        <w:gridSpan w:val="3"/>
                        <w:shd w:val="clear" w:color="auto" w:fill="F2F2F2" w:themeFill="background1" w:themeFillShade="F2"/>
                      </w:tcPr>
                      <w:p w:rsidR="005E619D" w:rsidRDefault="005E619D" w:rsidP="00FD74C7">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 xml:space="preserve">Of the 19 underperforming products, </w:t>
                        </w:r>
                        <w:r w:rsidR="00DE7C9E">
                          <w:rPr>
                            <w:rFonts w:asciiTheme="minorHAnsi" w:hAnsi="Arial" w:cstheme="minorBidi"/>
                            <w:color w:val="000000" w:themeColor="text1"/>
                            <w:kern w:val="24"/>
                            <w:sz w:val="18"/>
                            <w:szCs w:val="18"/>
                          </w:rPr>
                          <w:t>6</w:t>
                        </w:r>
                        <w:r>
                          <w:rPr>
                            <w:rFonts w:asciiTheme="minorHAnsi" w:hAnsi="Arial" w:cstheme="minorBidi"/>
                            <w:color w:val="000000" w:themeColor="text1"/>
                            <w:kern w:val="24"/>
                            <w:sz w:val="18"/>
                            <w:szCs w:val="18"/>
                          </w:rPr>
                          <w:t xml:space="preserve"> were in industry funds, </w:t>
                        </w:r>
                        <w:r w:rsidR="00DE7C9E">
                          <w:rPr>
                            <w:rFonts w:asciiTheme="minorHAnsi" w:hAnsi="Arial" w:cstheme="minorBidi"/>
                            <w:color w:val="000000" w:themeColor="text1"/>
                            <w:kern w:val="24"/>
                            <w:sz w:val="18"/>
                            <w:szCs w:val="18"/>
                          </w:rPr>
                          <w:t>11</w:t>
                        </w:r>
                        <w:r>
                          <w:rPr>
                            <w:rFonts w:asciiTheme="minorHAnsi" w:hAnsi="Arial" w:cstheme="minorBidi"/>
                            <w:color w:val="000000" w:themeColor="text1"/>
                            <w:kern w:val="24"/>
                            <w:sz w:val="18"/>
                            <w:szCs w:val="18"/>
                          </w:rPr>
                          <w:t xml:space="preserve"> </w:t>
                        </w:r>
                        <w:r w:rsidR="00913791">
                          <w:rPr>
                            <w:rFonts w:asciiTheme="minorHAnsi" w:hAnsi="Arial" w:cstheme="minorBidi"/>
                            <w:color w:val="000000" w:themeColor="text1"/>
                            <w:kern w:val="24"/>
                            <w:sz w:val="18"/>
                            <w:szCs w:val="18"/>
                          </w:rPr>
                          <w:t xml:space="preserve">in </w:t>
                        </w:r>
                        <w:r>
                          <w:rPr>
                            <w:rFonts w:asciiTheme="minorHAnsi" w:hAnsi="Arial" w:cstheme="minorBidi"/>
                            <w:color w:val="000000" w:themeColor="text1"/>
                            <w:kern w:val="24"/>
                            <w:sz w:val="18"/>
                            <w:szCs w:val="18"/>
                          </w:rPr>
                          <w:t xml:space="preserve">retail funds, </w:t>
                        </w:r>
                        <w:r w:rsidR="00DE7C9E">
                          <w:rPr>
                            <w:rFonts w:asciiTheme="minorHAnsi" w:hAnsi="Arial" w:cstheme="minorBidi"/>
                            <w:color w:val="000000" w:themeColor="text1"/>
                            <w:kern w:val="24"/>
                            <w:sz w:val="18"/>
                            <w:szCs w:val="18"/>
                          </w:rPr>
                          <w:t>2</w:t>
                        </w:r>
                        <w:r w:rsidR="00A304C8">
                          <w:rPr>
                            <w:rFonts w:asciiTheme="minorHAnsi" w:hAnsi="Arial" w:cstheme="minorBidi"/>
                            <w:color w:val="000000" w:themeColor="text1"/>
                            <w:kern w:val="24"/>
                            <w:sz w:val="18"/>
                            <w:szCs w:val="18"/>
                          </w:rPr>
                          <w:t> </w:t>
                        </w:r>
                        <w:r w:rsidR="00913791">
                          <w:rPr>
                            <w:rFonts w:asciiTheme="minorHAnsi" w:hAnsi="Arial" w:cstheme="minorBidi"/>
                            <w:color w:val="000000" w:themeColor="text1"/>
                            <w:kern w:val="24"/>
                            <w:sz w:val="18"/>
                            <w:szCs w:val="18"/>
                          </w:rPr>
                          <w:t xml:space="preserve">in </w:t>
                        </w:r>
                        <w:r>
                          <w:rPr>
                            <w:rFonts w:asciiTheme="minorHAnsi" w:hAnsi="Arial" w:cstheme="minorBidi"/>
                            <w:color w:val="000000" w:themeColor="text1"/>
                            <w:kern w:val="24"/>
                            <w:sz w:val="18"/>
                            <w:szCs w:val="18"/>
                          </w:rPr>
                          <w:t xml:space="preserve">public sector funds and </w:t>
                        </w:r>
                        <w:r w:rsidR="00DE7C9E">
                          <w:rPr>
                            <w:rFonts w:asciiTheme="minorHAnsi" w:hAnsi="Arial" w:cstheme="minorBidi"/>
                            <w:color w:val="000000" w:themeColor="text1"/>
                            <w:kern w:val="24"/>
                            <w:sz w:val="18"/>
                            <w:szCs w:val="18"/>
                          </w:rPr>
                          <w:t>zero</w:t>
                        </w:r>
                        <w:r>
                          <w:rPr>
                            <w:rFonts w:asciiTheme="minorHAnsi" w:hAnsi="Arial" w:cstheme="minorBidi"/>
                            <w:color w:val="000000" w:themeColor="text1"/>
                            <w:kern w:val="24"/>
                            <w:sz w:val="18"/>
                            <w:szCs w:val="18"/>
                          </w:rPr>
                          <w:t xml:space="preserve"> </w:t>
                        </w:r>
                        <w:r w:rsidR="00913791">
                          <w:rPr>
                            <w:rFonts w:asciiTheme="minorHAnsi" w:hAnsi="Arial" w:cstheme="minorBidi"/>
                            <w:color w:val="000000" w:themeColor="text1"/>
                            <w:kern w:val="24"/>
                            <w:sz w:val="18"/>
                            <w:szCs w:val="18"/>
                          </w:rPr>
                          <w:t xml:space="preserve">in </w:t>
                        </w:r>
                        <w:r>
                          <w:rPr>
                            <w:rFonts w:asciiTheme="minorHAnsi" w:hAnsi="Arial" w:cstheme="minorBidi"/>
                            <w:color w:val="000000" w:themeColor="text1"/>
                            <w:kern w:val="24"/>
                            <w:sz w:val="18"/>
                            <w:szCs w:val="18"/>
                          </w:rPr>
                          <w:t>corporate funds.</w:t>
                        </w:r>
                        <w:r w:rsidR="00A304C8">
                          <w:rPr>
                            <w:rFonts w:asciiTheme="minorHAnsi" w:hAnsi="Arial" w:cstheme="minorBidi"/>
                            <w:color w:val="000000" w:themeColor="text1"/>
                            <w:kern w:val="24"/>
                            <w:sz w:val="18"/>
                            <w:szCs w:val="18"/>
                          </w:rPr>
                          <w:t xml:space="preserve"> </w:t>
                        </w:r>
                        <w:r w:rsidR="00DE7C9E">
                          <w:rPr>
                            <w:rFonts w:asciiTheme="minorHAnsi" w:hAnsi="Arial" w:cstheme="minorBidi"/>
                            <w:color w:val="000000" w:themeColor="text1"/>
                            <w:kern w:val="24"/>
                            <w:sz w:val="18"/>
                            <w:szCs w:val="18"/>
                          </w:rPr>
                          <w:t>21</w:t>
                        </w:r>
                        <w:r>
                          <w:rPr>
                            <w:rFonts w:asciiTheme="minorHAnsi" w:hAnsi="Arial" w:cstheme="minorBidi"/>
                            <w:color w:val="000000" w:themeColor="text1"/>
                            <w:kern w:val="24"/>
                            <w:sz w:val="18"/>
                            <w:szCs w:val="18"/>
                          </w:rPr>
                          <w:t xml:space="preserve"> products performed above BP2 but </w:t>
                        </w:r>
                        <w:r w:rsidR="00913791">
                          <w:rPr>
                            <w:rFonts w:asciiTheme="minorHAnsi" w:hAnsi="Arial" w:cstheme="minorBidi"/>
                            <w:color w:val="000000" w:themeColor="text1"/>
                            <w:kern w:val="24"/>
                            <w:sz w:val="18"/>
                            <w:szCs w:val="18"/>
                          </w:rPr>
                          <w:t xml:space="preserve">are </w:t>
                        </w:r>
                        <w:r>
                          <w:rPr>
                            <w:rFonts w:asciiTheme="minorHAnsi" w:hAnsi="Arial" w:cstheme="minorBidi"/>
                            <w:color w:val="000000" w:themeColor="text1"/>
                            <w:kern w:val="24"/>
                            <w:sz w:val="18"/>
                            <w:szCs w:val="18"/>
                          </w:rPr>
                          <w:t>not in the top 10 (</w:t>
                        </w:r>
                        <w:r w:rsidR="00DE7C9E">
                          <w:rPr>
                            <w:rFonts w:asciiTheme="minorHAnsi" w:hAnsi="Arial" w:cstheme="minorBidi"/>
                            <w:color w:val="000000" w:themeColor="text1"/>
                            <w:kern w:val="24"/>
                            <w:sz w:val="18"/>
                            <w:szCs w:val="18"/>
                          </w:rPr>
                          <w:t>4.5</w:t>
                        </w:r>
                        <w:r>
                          <w:rPr>
                            <w:rFonts w:asciiTheme="minorHAnsi" w:hAnsi="Arial" w:cstheme="minorBidi"/>
                            <w:color w:val="000000" w:themeColor="text1"/>
                            <w:kern w:val="24"/>
                            <w:sz w:val="18"/>
                            <w:szCs w:val="18"/>
                          </w:rPr>
                          <w:t xml:space="preserve"> million member account</w:t>
                        </w:r>
                        <w:r w:rsidR="00DE7C9E">
                          <w:rPr>
                            <w:rFonts w:asciiTheme="minorHAnsi" w:hAnsi="Arial" w:cstheme="minorBidi"/>
                            <w:color w:val="000000" w:themeColor="text1"/>
                            <w:kern w:val="24"/>
                            <w:sz w:val="18"/>
                            <w:szCs w:val="18"/>
                          </w:rPr>
                          <w:t>s</w:t>
                        </w:r>
                        <w:r>
                          <w:rPr>
                            <w:rFonts w:asciiTheme="minorHAnsi" w:hAnsi="Arial" w:cstheme="minorBidi"/>
                            <w:color w:val="000000" w:themeColor="text1"/>
                            <w:kern w:val="24"/>
                            <w:sz w:val="18"/>
                            <w:szCs w:val="18"/>
                          </w:rPr>
                          <w:t xml:space="preserve"> and $</w:t>
                        </w:r>
                        <w:r w:rsidR="00DE7C9E">
                          <w:rPr>
                            <w:rFonts w:asciiTheme="minorHAnsi" w:hAnsi="Arial" w:cstheme="minorBidi"/>
                            <w:color w:val="000000" w:themeColor="text1"/>
                            <w:kern w:val="24"/>
                            <w:sz w:val="18"/>
                            <w:szCs w:val="18"/>
                          </w:rPr>
                          <w:t>242</w:t>
                        </w:r>
                        <w:r>
                          <w:rPr>
                            <w:rFonts w:asciiTheme="minorHAnsi" w:hAnsi="Arial" w:cstheme="minorBidi"/>
                            <w:color w:val="000000" w:themeColor="text1"/>
                            <w:kern w:val="24"/>
                            <w:sz w:val="18"/>
                            <w:szCs w:val="18"/>
                          </w:rPr>
                          <w:t xml:space="preserve"> billion in assets). </w:t>
                        </w:r>
                        <w:r w:rsidR="00DE7C9E">
                          <w:rPr>
                            <w:rFonts w:asciiTheme="minorHAnsi" w:hAnsi="Arial" w:cstheme="minorBidi"/>
                            <w:color w:val="000000" w:themeColor="text1"/>
                            <w:kern w:val="24"/>
                            <w:sz w:val="18"/>
                            <w:szCs w:val="18"/>
                          </w:rPr>
                          <w:t>3</w:t>
                        </w:r>
                        <w:r w:rsidR="00A304C8">
                          <w:rPr>
                            <w:rFonts w:asciiTheme="minorHAnsi" w:hAnsi="Arial" w:cstheme="minorBidi"/>
                            <w:color w:val="000000" w:themeColor="text1"/>
                            <w:kern w:val="24"/>
                            <w:sz w:val="18"/>
                            <w:szCs w:val="18"/>
                          </w:rPr>
                          <w:t> </w:t>
                        </w:r>
                        <w:r>
                          <w:rPr>
                            <w:rFonts w:asciiTheme="minorHAnsi" w:hAnsi="Arial" w:cstheme="minorBidi"/>
                            <w:color w:val="000000" w:themeColor="text1"/>
                            <w:kern w:val="24"/>
                            <w:sz w:val="18"/>
                            <w:szCs w:val="18"/>
                          </w:rPr>
                          <w:t>products</w:t>
                        </w:r>
                        <w:r w:rsidRPr="0066083C">
                          <w:rPr>
                            <w:rFonts w:asciiTheme="minorHAnsi" w:hAnsi="Arial" w:cstheme="minorBidi"/>
                            <w:color w:val="000000" w:themeColor="text1"/>
                            <w:kern w:val="24"/>
                            <w:sz w:val="18"/>
                            <w:szCs w:val="18"/>
                          </w:rPr>
                          <w:t xml:space="preserve"> performed less than </w:t>
                        </w:r>
                        <w:r w:rsidR="006D739C">
                          <w:rPr>
                            <w:rFonts w:asciiTheme="minorHAnsi" w:hAnsi="Arial" w:cstheme="minorBidi"/>
                            <w:color w:val="000000" w:themeColor="text1"/>
                            <w:kern w:val="24"/>
                            <w:sz w:val="18"/>
                            <w:szCs w:val="18"/>
                          </w:rPr>
                          <w:t>25 basis points</w:t>
                        </w:r>
                        <w:r w:rsidRPr="0066083C">
                          <w:rPr>
                            <w:rFonts w:asciiTheme="minorHAnsi" w:hAnsi="Arial" w:cstheme="minorBidi"/>
                            <w:color w:val="000000" w:themeColor="text1"/>
                            <w:kern w:val="24"/>
                            <w:sz w:val="18"/>
                            <w:szCs w:val="18"/>
                          </w:rPr>
                          <w:t xml:space="preserve"> below BP2 (</w:t>
                        </w:r>
                        <w:r w:rsidR="00DE7C9E">
                          <w:rPr>
                            <w:rFonts w:asciiTheme="minorHAnsi" w:hAnsi="Arial" w:cstheme="minorBidi"/>
                            <w:color w:val="000000" w:themeColor="text1"/>
                            <w:kern w:val="24"/>
                            <w:sz w:val="18"/>
                            <w:szCs w:val="18"/>
                          </w:rPr>
                          <w:t>182 000</w:t>
                        </w:r>
                        <w:r>
                          <w:rPr>
                            <w:rFonts w:asciiTheme="minorHAnsi" w:hAnsi="Arial" w:cstheme="minorBidi"/>
                            <w:color w:val="000000" w:themeColor="text1"/>
                            <w:kern w:val="24"/>
                            <w:sz w:val="18"/>
                            <w:szCs w:val="18"/>
                          </w:rPr>
                          <w:t> </w:t>
                        </w:r>
                        <w:r w:rsidRPr="0066083C">
                          <w:rPr>
                            <w:rFonts w:asciiTheme="minorHAnsi" w:hAnsi="Arial" w:cstheme="minorBidi"/>
                            <w:color w:val="000000" w:themeColor="text1"/>
                            <w:kern w:val="24"/>
                            <w:sz w:val="18"/>
                            <w:szCs w:val="18"/>
                          </w:rPr>
                          <w:t>member accounts and $</w:t>
                        </w:r>
                        <w:r w:rsidR="00DE7C9E">
                          <w:rPr>
                            <w:rFonts w:asciiTheme="minorHAnsi" w:hAnsi="Arial" w:cstheme="minorBidi"/>
                            <w:color w:val="000000" w:themeColor="text1"/>
                            <w:kern w:val="24"/>
                            <w:sz w:val="18"/>
                            <w:szCs w:val="18"/>
                          </w:rPr>
                          <w:t>9</w:t>
                        </w:r>
                        <w:r>
                          <w:rPr>
                            <w:rFonts w:asciiTheme="minorHAnsi" w:hAnsi="Arial" w:cstheme="minorBidi"/>
                            <w:color w:val="000000" w:themeColor="text1"/>
                            <w:kern w:val="24"/>
                            <w:sz w:val="18"/>
                            <w:szCs w:val="18"/>
                          </w:rPr>
                          <w:t> </w:t>
                        </w:r>
                        <w:r w:rsidRPr="0066083C">
                          <w:rPr>
                            <w:rFonts w:asciiTheme="minorHAnsi" w:hAnsi="Arial" w:cstheme="minorBidi"/>
                            <w:color w:val="000000" w:themeColor="text1"/>
                            <w:kern w:val="24"/>
                            <w:sz w:val="18"/>
                            <w:szCs w:val="18"/>
                          </w:rPr>
                          <w:t>billion in assets).</w:t>
                        </w:r>
                      </w:p>
                    </w:tc>
                  </w:tr>
                </w:tbl>
                <w:p w:rsidR="000C6529" w:rsidRPr="00B1465D" w:rsidRDefault="000C6529" w:rsidP="006826BE">
                  <w:pPr>
                    <w:pStyle w:val="Figure"/>
                    <w:spacing w:before="60" w:after="60"/>
                    <w:rPr>
                      <w:rFonts w:ascii="Arial" w:hAnsi="Arial" w:cs="Arial"/>
                      <w:sz w:val="18"/>
                      <w:szCs w:val="18"/>
                    </w:rPr>
                  </w:pPr>
                </w:p>
              </w:tc>
            </w:tr>
          </w:tbl>
          <w:p w:rsidR="000C6529" w:rsidRDefault="000C6529" w:rsidP="006826BE">
            <w:pPr>
              <w:pStyle w:val="Figure"/>
            </w:pPr>
          </w:p>
        </w:tc>
      </w:tr>
      <w:tr w:rsidR="00FD74C7" w:rsidTr="003F7190">
        <w:tc>
          <w:tcPr>
            <w:tcW w:w="5000" w:type="pct"/>
            <w:tcBorders>
              <w:top w:val="nil"/>
              <w:left w:val="nil"/>
              <w:bottom w:val="single" w:sz="6" w:space="0" w:color="78A22F"/>
              <w:right w:val="nil"/>
            </w:tcBorders>
            <w:shd w:val="clear" w:color="auto" w:fill="auto"/>
          </w:tcPr>
          <w:p w:rsidR="00FD74C7" w:rsidRDefault="00FD74C7" w:rsidP="003F7190">
            <w:pPr>
              <w:pStyle w:val="Figurespace"/>
            </w:pPr>
          </w:p>
        </w:tc>
      </w:tr>
      <w:tr w:rsidR="00FD74C7" w:rsidRPr="000863A5" w:rsidTr="003F7190">
        <w:tc>
          <w:tcPr>
            <w:tcW w:w="5000" w:type="pct"/>
            <w:tcBorders>
              <w:top w:val="single" w:sz="6" w:space="0" w:color="78A22F"/>
              <w:left w:val="nil"/>
              <w:bottom w:val="nil"/>
              <w:right w:val="nil"/>
            </w:tcBorders>
          </w:tcPr>
          <w:p w:rsidR="00FD74C7" w:rsidRPr="00626D32" w:rsidRDefault="00FD74C7" w:rsidP="003F7190">
            <w:pPr>
              <w:pStyle w:val="BoxSpaceBelow"/>
            </w:pPr>
          </w:p>
        </w:tc>
      </w:tr>
    </w:tbl>
    <w:p w:rsidR="000071EE" w:rsidRDefault="000071EE" w:rsidP="000071EE">
      <w:pPr>
        <w:pStyle w:val="Heading2"/>
      </w:pPr>
      <w:bookmarkStart w:id="50" w:name="_Toc528158046"/>
      <w:bookmarkStart w:id="51" w:name="_Toc528229668"/>
      <w:bookmarkStart w:id="52" w:name="_Toc528298318"/>
      <w:r>
        <w:t>Fees and costs</w:t>
      </w:r>
      <w:bookmarkEnd w:id="50"/>
      <w:bookmarkEnd w:id="51"/>
      <w:bookmarkEnd w:id="52"/>
    </w:p>
    <w:p w:rsidR="00002B97" w:rsidRPr="00002B97" w:rsidRDefault="00B86ADD" w:rsidP="0017328B">
      <w:pPr>
        <w:pStyle w:val="BodyText"/>
      </w:pPr>
      <w:r>
        <w:t>In its</w:t>
      </w:r>
      <w:r w:rsidR="00FA01C5">
        <w:t xml:space="preserve"> draft report</w:t>
      </w:r>
      <w:r>
        <w:t>, the Commission</w:t>
      </w:r>
      <w:r w:rsidR="00FA01C5">
        <w:t xml:space="preserve"> found that t</w:t>
      </w:r>
      <w:r w:rsidR="00184DAA">
        <w:t>here is a high dispersion of f</w:t>
      </w:r>
      <w:r w:rsidR="001049C4">
        <w:t xml:space="preserve">ees and costs </w:t>
      </w:r>
      <w:r w:rsidR="00184DAA">
        <w:t>across funds and products</w:t>
      </w:r>
      <w:r w:rsidR="00FA01C5">
        <w:t xml:space="preserve"> in the superannuation system</w:t>
      </w:r>
      <w:r w:rsidR="001049C4">
        <w:t xml:space="preserve">. </w:t>
      </w:r>
      <w:r w:rsidR="009D07A2">
        <w:t>In preparation for the final report, the Commission has undertaken a</w:t>
      </w:r>
      <w:r w:rsidR="002F5D30">
        <w:t xml:space="preserve"> </w:t>
      </w:r>
      <w:r>
        <w:t xml:space="preserve">more granular analysis of </w:t>
      </w:r>
      <w:r w:rsidR="0060551F">
        <w:t>t</w:t>
      </w:r>
      <w:r w:rsidR="00990A7E">
        <w:t>h</w:t>
      </w:r>
      <w:r w:rsidR="00F45B3B">
        <w:t>is</w:t>
      </w:r>
      <w:r w:rsidR="00990A7E">
        <w:t xml:space="preserve"> dispersion</w:t>
      </w:r>
      <w:r w:rsidR="00806664">
        <w:t xml:space="preserve">, </w:t>
      </w:r>
      <w:r w:rsidR="00FA01C5">
        <w:t xml:space="preserve">including </w:t>
      </w:r>
      <w:r w:rsidR="00F45B3B">
        <w:t xml:space="preserve">for </w:t>
      </w:r>
      <w:r w:rsidR="00FA01C5">
        <w:t>advice and administration fees.</w:t>
      </w:r>
    </w:p>
    <w:p w:rsidR="001F3815" w:rsidRDefault="0060551F" w:rsidP="001F3815">
      <w:pPr>
        <w:pStyle w:val="Heading3"/>
      </w:pPr>
      <w:bookmarkStart w:id="53" w:name="_Toc528158047"/>
      <w:bookmarkStart w:id="54" w:name="_Toc528229669"/>
      <w:bookmarkStart w:id="55" w:name="_Toc528298319"/>
      <w:r>
        <w:lastRenderedPageBreak/>
        <w:t>The high</w:t>
      </w:r>
      <w:r>
        <w:noBreakHyphen/>
      </w:r>
      <w:r w:rsidR="001F3815">
        <w:t>fee tail</w:t>
      </w:r>
      <w:bookmarkEnd w:id="53"/>
      <w:bookmarkEnd w:id="54"/>
      <w:bookmarkEnd w:id="55"/>
    </w:p>
    <w:p w:rsidR="00D82EC1" w:rsidRPr="0017328B" w:rsidRDefault="0060551F" w:rsidP="0017328B">
      <w:pPr>
        <w:pStyle w:val="BodyText"/>
        <w:rPr>
          <w:i/>
        </w:rPr>
      </w:pPr>
      <w:r>
        <w:rPr>
          <w:i/>
        </w:rPr>
        <w:t>Is the ‘tail’ of high</w:t>
      </w:r>
      <w:r>
        <w:rPr>
          <w:i/>
        </w:rPr>
        <w:noBreakHyphen/>
      </w:r>
      <w:r w:rsidR="00D82EC1" w:rsidRPr="0017328B">
        <w:rPr>
          <w:i/>
        </w:rPr>
        <w:t>fee products concentrated in specific parts of the system?</w:t>
      </w:r>
    </w:p>
    <w:p w:rsidR="002E6A9F" w:rsidRDefault="00245B7F" w:rsidP="00245B7F">
      <w:pPr>
        <w:pStyle w:val="BodyText"/>
      </w:pPr>
      <w:r>
        <w:t xml:space="preserve">In the draft report, the Commission identified </w:t>
      </w:r>
      <w:r w:rsidR="001F3815">
        <w:t xml:space="preserve">a </w:t>
      </w:r>
      <w:r>
        <w:t>number</w:t>
      </w:r>
      <w:r w:rsidR="001F3815">
        <w:t xml:space="preserve"> of products with</w:t>
      </w:r>
      <w:r w:rsidR="00AE0D1D">
        <w:t xml:space="preserve"> </w:t>
      </w:r>
      <w:r w:rsidR="00A536AA">
        <w:t xml:space="preserve">disclosed </w:t>
      </w:r>
      <w:r w:rsidR="001F3815">
        <w:t>administration and investment fees</w:t>
      </w:r>
      <w:r w:rsidR="00A536AA">
        <w:t xml:space="preserve"> </w:t>
      </w:r>
      <w:r w:rsidR="001F3815">
        <w:t>that</w:t>
      </w:r>
      <w:r w:rsidR="00800333">
        <w:t xml:space="preserve"> together</w:t>
      </w:r>
      <w:r w:rsidR="001F3815">
        <w:t xml:space="preserve"> exceed 1.5 per cent of assets</w:t>
      </w:r>
      <w:r>
        <w:t xml:space="preserve">. These were </w:t>
      </w:r>
      <w:r w:rsidR="001F3815">
        <w:t>defined as the high</w:t>
      </w:r>
      <w:r w:rsidR="001F3815">
        <w:noBreakHyphen/>
        <w:t xml:space="preserve">fee ‘tail’. </w:t>
      </w:r>
      <w:r w:rsidR="00FA01C5">
        <w:t>This section examines more closely</w:t>
      </w:r>
      <w:r w:rsidR="0017328B">
        <w:t xml:space="preserve"> </w:t>
      </w:r>
      <w:r>
        <w:t>the characteristics of the high fee tail</w:t>
      </w:r>
      <w:r w:rsidR="00A8185C">
        <w:t>, drawing on an expanded set of products in the SuperRatings dataset</w:t>
      </w:r>
      <w:r>
        <w:t>.</w:t>
      </w:r>
      <w:r w:rsidR="007E1526">
        <w:rPr>
          <w:rStyle w:val="FootnoteReference"/>
        </w:rPr>
        <w:footnoteReference w:id="9"/>
      </w:r>
      <w:r w:rsidR="002E6A9F">
        <w:t xml:space="preserve"> </w:t>
      </w:r>
      <w:r w:rsidR="00425E83">
        <w:t xml:space="preserve">The SuperRatings sample </w:t>
      </w:r>
      <w:r w:rsidR="0017328B">
        <w:t>comprises only</w:t>
      </w:r>
      <w:r w:rsidR="00425E83">
        <w:t xml:space="preserve"> APRA</w:t>
      </w:r>
      <w:r w:rsidR="00617DD2">
        <w:noBreakHyphen/>
      </w:r>
      <w:r w:rsidR="00425E83">
        <w:t>regulated funds</w:t>
      </w:r>
      <w:r w:rsidR="0017328B">
        <w:t>. I</w:t>
      </w:r>
      <w:r w:rsidR="00425E83">
        <w:t xml:space="preserve">n 2017, </w:t>
      </w:r>
      <w:r w:rsidR="0017328B">
        <w:t xml:space="preserve">it included </w:t>
      </w:r>
      <w:r w:rsidR="001710A0">
        <w:t>3</w:t>
      </w:r>
      <w:r w:rsidR="00DC5293">
        <w:t>60</w:t>
      </w:r>
      <w:r w:rsidR="001710A0">
        <w:t xml:space="preserve"> products</w:t>
      </w:r>
      <w:r w:rsidR="00425E83">
        <w:t xml:space="preserve"> </w:t>
      </w:r>
      <w:r w:rsidR="002A2CE2">
        <w:t xml:space="preserve">containing </w:t>
      </w:r>
      <w:r w:rsidR="008138EC">
        <w:t>79 </w:t>
      </w:r>
      <w:r w:rsidR="002A2CE2">
        <w:t xml:space="preserve">per cent of total assets and </w:t>
      </w:r>
      <w:r w:rsidR="008138EC">
        <w:t>79 </w:t>
      </w:r>
      <w:r w:rsidR="002A2CE2">
        <w:t>per cent of member accounts.</w:t>
      </w:r>
    </w:p>
    <w:p w:rsidR="001F3815" w:rsidRDefault="005D100C" w:rsidP="001F3815">
      <w:pPr>
        <w:pStyle w:val="BodyText"/>
      </w:pPr>
      <w:r>
        <w:t>At</w:t>
      </w:r>
      <w:r w:rsidR="002D6AE4">
        <w:t xml:space="preserve"> </w:t>
      </w:r>
      <w:r w:rsidR="00CB7537">
        <w:t>June</w:t>
      </w:r>
      <w:r w:rsidR="002D6AE4">
        <w:t xml:space="preserve"> 2017, t</w:t>
      </w:r>
      <w:r w:rsidR="001F3815">
        <w:t>h</w:t>
      </w:r>
      <w:r w:rsidR="002D6AE4">
        <w:t>e</w:t>
      </w:r>
      <w:r w:rsidR="001F3815">
        <w:t xml:space="preserve"> </w:t>
      </w:r>
      <w:r>
        <w:t>high</w:t>
      </w:r>
      <w:r>
        <w:noBreakHyphen/>
        <w:t xml:space="preserve">fee </w:t>
      </w:r>
      <w:r w:rsidR="001F3815">
        <w:t>tail account</w:t>
      </w:r>
      <w:r>
        <w:t>ed</w:t>
      </w:r>
      <w:r w:rsidR="001F3815">
        <w:t xml:space="preserve"> for </w:t>
      </w:r>
      <w:r w:rsidR="002D6AE4">
        <w:t>17</w:t>
      </w:r>
      <w:r w:rsidR="001F3815">
        <w:t xml:space="preserve"> per cent of member accounts, </w:t>
      </w:r>
      <w:r w:rsidR="002D6AE4">
        <w:t>17</w:t>
      </w:r>
      <w:r w:rsidR="001F3815">
        <w:t xml:space="preserve"> per cent of assets and 26 per cent of products.</w:t>
      </w:r>
      <w:r w:rsidR="00372D55">
        <w:t xml:space="preserve"> </w:t>
      </w:r>
      <w:r w:rsidR="001F3815">
        <w:t>The tail has narrowed over time on a variety of measures (table </w:t>
      </w:r>
      <w:r w:rsidR="00E71389">
        <w:t>6</w:t>
      </w:r>
      <w:r w:rsidR="001F3815">
        <w:t xml:space="preserve">). For example, the share of member accounts in the tail has fallen from </w:t>
      </w:r>
      <w:r w:rsidR="00FD3453">
        <w:t>31</w:t>
      </w:r>
      <w:r w:rsidR="001F3815">
        <w:t xml:space="preserve"> per cent in </w:t>
      </w:r>
      <w:r w:rsidR="00FD3453">
        <w:t>2009</w:t>
      </w:r>
      <w:r w:rsidR="001F3815">
        <w:t xml:space="preserve"> to </w:t>
      </w:r>
      <w:r w:rsidR="00FD3453">
        <w:t>17</w:t>
      </w:r>
      <w:r w:rsidR="001F3815">
        <w:t xml:space="preserve"> per cent in </w:t>
      </w:r>
      <w:r w:rsidR="00FD3453">
        <w:t>2017</w:t>
      </w:r>
      <w:r w:rsidR="001F3815">
        <w:t xml:space="preserve">. </w:t>
      </w:r>
      <w:r w:rsidR="000973D4">
        <w:t>However, these figures may be an underestimate of the true extent of high</w:t>
      </w:r>
      <w:r w:rsidR="000973D4">
        <w:noBreakHyphen/>
        <w:t xml:space="preserve">fee products in the system due to selection bias in the SuperRatings dataset (funds with </w:t>
      </w:r>
      <w:r w:rsidR="001D507E">
        <w:t>under</w:t>
      </w:r>
      <w:r w:rsidR="000973D4">
        <w:t xml:space="preserve">performing products </w:t>
      </w:r>
      <w:r w:rsidR="001D507E">
        <w:t>are</w:t>
      </w:r>
      <w:r w:rsidR="00AE0D1D">
        <w:t xml:space="preserve"> less</w:t>
      </w:r>
      <w:r w:rsidR="001D507E">
        <w:t xml:space="preserve"> likely t</w:t>
      </w:r>
      <w:r w:rsidR="00AE0D1D">
        <w:t>o</w:t>
      </w:r>
      <w:r w:rsidR="000973D4">
        <w:t xml:space="preserve"> volunteer the</w:t>
      </w:r>
      <w:r w:rsidR="00F45B3B">
        <w:t>ir</w:t>
      </w:r>
      <w:r w:rsidR="000973D4">
        <w:t xml:space="preserve"> data).</w:t>
      </w:r>
    </w:p>
    <w:p w:rsidR="001F3815" w:rsidRDefault="001F3815" w:rsidP="00A37ECC">
      <w:pPr>
        <w:pStyle w:val="BoxSpaceAbove"/>
        <w:spacing w:before="24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F3815" w:rsidTr="00914455">
        <w:trPr>
          <w:tblHeader/>
        </w:trPr>
        <w:tc>
          <w:tcPr>
            <w:tcW w:w="5000" w:type="pct"/>
            <w:tcBorders>
              <w:top w:val="single" w:sz="6" w:space="0" w:color="78A22F"/>
              <w:left w:val="nil"/>
              <w:bottom w:val="nil"/>
              <w:right w:val="nil"/>
            </w:tcBorders>
            <w:shd w:val="clear" w:color="auto" w:fill="auto"/>
          </w:tcPr>
          <w:p w:rsidR="001F3815" w:rsidRDefault="001F3815" w:rsidP="00914455">
            <w:pPr>
              <w:pStyle w:val="TableTitle"/>
            </w:pPr>
            <w:r>
              <w:rPr>
                <w:b w:val="0"/>
              </w:rPr>
              <w:t xml:space="preserve">Table </w:t>
            </w:r>
            <w:bookmarkStart w:id="56" w:name="OLE_LINK22"/>
            <w:r w:rsidR="001345FE">
              <w:rPr>
                <w:b w:val="0"/>
                <w:noProof/>
              </w:rPr>
              <w:t>6</w:t>
            </w:r>
            <w:bookmarkEnd w:id="56"/>
            <w:r>
              <w:tab/>
              <w:t>The tail of high fees has narrowed over time</w:t>
            </w:r>
          </w:p>
          <w:p w:rsidR="001F3815" w:rsidRPr="00784A05" w:rsidRDefault="005D100C" w:rsidP="00806664">
            <w:pPr>
              <w:pStyle w:val="Subtitle"/>
            </w:pPr>
            <w:r>
              <w:t>Products with fees exceeding 1.5 per cent</w:t>
            </w:r>
            <w:r w:rsidR="00806664">
              <w:t xml:space="preserve"> </w:t>
            </w:r>
            <w:r>
              <w:t>of assets</w:t>
            </w:r>
          </w:p>
        </w:tc>
      </w:tr>
      <w:tr w:rsidR="001F3815" w:rsidTr="0091445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8"/>
              <w:gridCol w:w="2126"/>
              <w:gridCol w:w="2126"/>
              <w:gridCol w:w="2125"/>
            </w:tblGrid>
            <w:tr w:rsidR="001F3815" w:rsidTr="00914455">
              <w:trPr>
                <w:tblHeader/>
              </w:trPr>
              <w:tc>
                <w:tcPr>
                  <w:tcW w:w="1251" w:type="pct"/>
                  <w:tcBorders>
                    <w:top w:val="single" w:sz="6" w:space="0" w:color="BFBFBF"/>
                    <w:bottom w:val="single" w:sz="6" w:space="0" w:color="BFBFBF"/>
                  </w:tcBorders>
                  <w:shd w:val="clear" w:color="auto" w:fill="auto"/>
                  <w:tcMar>
                    <w:top w:w="28" w:type="dxa"/>
                  </w:tcMar>
                </w:tcPr>
                <w:p w:rsidR="001F3815" w:rsidRDefault="005D100C" w:rsidP="00914455">
                  <w:pPr>
                    <w:pStyle w:val="TableColumnHeading"/>
                    <w:jc w:val="left"/>
                  </w:pPr>
                  <w:r>
                    <w:t>Year</w:t>
                  </w:r>
                </w:p>
              </w:tc>
              <w:tc>
                <w:tcPr>
                  <w:tcW w:w="1250" w:type="pct"/>
                  <w:tcBorders>
                    <w:top w:val="single" w:sz="6" w:space="0" w:color="BFBFBF"/>
                    <w:bottom w:val="single" w:sz="6" w:space="0" w:color="BFBFBF"/>
                  </w:tcBorders>
                </w:tcPr>
                <w:p w:rsidR="001F3815" w:rsidRDefault="00856444" w:rsidP="00914455">
                  <w:pPr>
                    <w:pStyle w:val="TableColumnHeading"/>
                  </w:pPr>
                  <w:r>
                    <w:t xml:space="preserve">Share </w:t>
                  </w:r>
                  <w:r w:rsidR="00B74B40">
                    <w:t>of m</w:t>
                  </w:r>
                  <w:r w:rsidR="001F3815">
                    <w:t>ember accounts</w:t>
                  </w:r>
                  <w:r w:rsidR="0052102D">
                    <w:t xml:space="preserve"> in dataset</w:t>
                  </w:r>
                </w:p>
              </w:tc>
              <w:tc>
                <w:tcPr>
                  <w:tcW w:w="1250" w:type="pct"/>
                  <w:tcBorders>
                    <w:top w:val="single" w:sz="6" w:space="0" w:color="BFBFBF"/>
                    <w:bottom w:val="single" w:sz="6" w:space="0" w:color="BFBFBF"/>
                  </w:tcBorders>
                  <w:shd w:val="clear" w:color="auto" w:fill="auto"/>
                  <w:tcMar>
                    <w:top w:w="28" w:type="dxa"/>
                  </w:tcMar>
                </w:tcPr>
                <w:p w:rsidR="001F3815" w:rsidRDefault="00856444" w:rsidP="00914455">
                  <w:pPr>
                    <w:pStyle w:val="TableColumnHeading"/>
                  </w:pPr>
                  <w:r>
                    <w:t xml:space="preserve">Share </w:t>
                  </w:r>
                  <w:r w:rsidR="00B74B40">
                    <w:t>of a</w:t>
                  </w:r>
                  <w:r w:rsidR="001F3815">
                    <w:t>ssets</w:t>
                  </w:r>
                  <w:r w:rsidR="0052102D">
                    <w:t xml:space="preserve"> in dataset</w:t>
                  </w:r>
                </w:p>
              </w:tc>
              <w:tc>
                <w:tcPr>
                  <w:tcW w:w="1249" w:type="pct"/>
                  <w:tcBorders>
                    <w:top w:val="single" w:sz="6" w:space="0" w:color="BFBFBF"/>
                    <w:bottom w:val="single" w:sz="6" w:space="0" w:color="BFBFBF"/>
                  </w:tcBorders>
                  <w:shd w:val="clear" w:color="auto" w:fill="auto"/>
                  <w:tcMar>
                    <w:top w:w="28" w:type="dxa"/>
                  </w:tcMar>
                </w:tcPr>
                <w:p w:rsidR="001F3815" w:rsidRDefault="00856444" w:rsidP="00914455">
                  <w:pPr>
                    <w:pStyle w:val="TableColumnHeading"/>
                    <w:ind w:right="28"/>
                  </w:pPr>
                  <w:r>
                    <w:t xml:space="preserve">Share </w:t>
                  </w:r>
                  <w:r w:rsidR="00B74B40">
                    <w:t>of p</w:t>
                  </w:r>
                  <w:r w:rsidR="001F3815">
                    <w:t>roducts</w:t>
                  </w:r>
                  <w:r w:rsidR="0052102D">
                    <w:t xml:space="preserve"> in dataset</w:t>
                  </w:r>
                </w:p>
              </w:tc>
            </w:tr>
            <w:tr w:rsidR="001F3815" w:rsidTr="00914455">
              <w:tc>
                <w:tcPr>
                  <w:tcW w:w="1251" w:type="pct"/>
                  <w:tcBorders>
                    <w:top w:val="single" w:sz="6" w:space="0" w:color="BFBFBF"/>
                  </w:tcBorders>
                </w:tcPr>
                <w:p w:rsidR="001F3815" w:rsidRDefault="001F3815" w:rsidP="00914455">
                  <w:pPr>
                    <w:pStyle w:val="TableUnitsRow"/>
                    <w:jc w:val="left"/>
                  </w:pPr>
                </w:p>
              </w:tc>
              <w:tc>
                <w:tcPr>
                  <w:tcW w:w="1250" w:type="pct"/>
                  <w:tcBorders>
                    <w:top w:val="single" w:sz="6" w:space="0" w:color="BFBFBF"/>
                  </w:tcBorders>
                </w:tcPr>
                <w:p w:rsidR="001F3815" w:rsidRDefault="00856444" w:rsidP="00914455">
                  <w:pPr>
                    <w:pStyle w:val="TableUnitsRow"/>
                  </w:pPr>
                  <w:r>
                    <w:t>%</w:t>
                  </w:r>
                </w:p>
              </w:tc>
              <w:tc>
                <w:tcPr>
                  <w:tcW w:w="1250" w:type="pct"/>
                  <w:tcBorders>
                    <w:top w:val="single" w:sz="6" w:space="0" w:color="BFBFBF"/>
                  </w:tcBorders>
                </w:tcPr>
                <w:p w:rsidR="001F3815" w:rsidRDefault="00856444" w:rsidP="00914455">
                  <w:pPr>
                    <w:pStyle w:val="TableUnitsRow"/>
                  </w:pPr>
                  <w:r>
                    <w:t>%</w:t>
                  </w:r>
                </w:p>
              </w:tc>
              <w:tc>
                <w:tcPr>
                  <w:tcW w:w="1249" w:type="pct"/>
                  <w:tcBorders>
                    <w:top w:val="single" w:sz="6" w:space="0" w:color="BFBFBF"/>
                  </w:tcBorders>
                </w:tcPr>
                <w:p w:rsidR="001F3815" w:rsidRDefault="00856444" w:rsidP="00914455">
                  <w:pPr>
                    <w:pStyle w:val="TableUnitsRow"/>
                    <w:ind w:right="28"/>
                  </w:pPr>
                  <w:r>
                    <w:t>%</w:t>
                  </w:r>
                </w:p>
              </w:tc>
            </w:tr>
            <w:tr w:rsidR="001F3815" w:rsidTr="00644D5B">
              <w:tc>
                <w:tcPr>
                  <w:tcW w:w="1251" w:type="pct"/>
                </w:tcPr>
                <w:p w:rsidR="001F3815" w:rsidRDefault="00FD3453" w:rsidP="00914455">
                  <w:pPr>
                    <w:pStyle w:val="TableBodyText"/>
                    <w:jc w:val="left"/>
                  </w:pPr>
                  <w:r>
                    <w:t>2009</w:t>
                  </w:r>
                </w:p>
              </w:tc>
              <w:tc>
                <w:tcPr>
                  <w:tcW w:w="1250" w:type="pct"/>
                </w:tcPr>
                <w:p w:rsidR="001F3815" w:rsidRDefault="00FD3453" w:rsidP="00914455">
                  <w:pPr>
                    <w:pStyle w:val="TableBodyText"/>
                  </w:pPr>
                  <w:r>
                    <w:t>3</w:t>
                  </w:r>
                  <w:r w:rsidR="00416ED2">
                    <w:t>1</w:t>
                  </w:r>
                </w:p>
              </w:tc>
              <w:tc>
                <w:tcPr>
                  <w:tcW w:w="1250" w:type="pct"/>
                </w:tcPr>
                <w:p w:rsidR="001F3815" w:rsidRDefault="00FD3453" w:rsidP="00914455">
                  <w:pPr>
                    <w:pStyle w:val="TableBodyText"/>
                  </w:pPr>
                  <w:r>
                    <w:t>38</w:t>
                  </w:r>
                </w:p>
              </w:tc>
              <w:tc>
                <w:tcPr>
                  <w:tcW w:w="1249" w:type="pct"/>
                </w:tcPr>
                <w:p w:rsidR="001F3815" w:rsidRDefault="00FD3453" w:rsidP="00914455">
                  <w:pPr>
                    <w:pStyle w:val="TableBodyText"/>
                    <w:ind w:right="28"/>
                  </w:pPr>
                  <w:r>
                    <w:t>4</w:t>
                  </w:r>
                  <w:r w:rsidR="00416ED2">
                    <w:t>4</w:t>
                  </w:r>
                </w:p>
              </w:tc>
            </w:tr>
            <w:tr w:rsidR="001F3815" w:rsidTr="00644D5B">
              <w:tc>
                <w:tcPr>
                  <w:tcW w:w="1251" w:type="pct"/>
                  <w:shd w:val="pct5" w:color="auto" w:fill="auto"/>
                </w:tcPr>
                <w:p w:rsidR="001F3815" w:rsidRDefault="00FD3453" w:rsidP="00914455">
                  <w:pPr>
                    <w:pStyle w:val="TableBodyText"/>
                    <w:jc w:val="left"/>
                  </w:pPr>
                  <w:r>
                    <w:t>2013</w:t>
                  </w:r>
                </w:p>
              </w:tc>
              <w:tc>
                <w:tcPr>
                  <w:tcW w:w="1250" w:type="pct"/>
                  <w:shd w:val="pct5" w:color="auto" w:fill="auto"/>
                </w:tcPr>
                <w:p w:rsidR="001F3815" w:rsidRDefault="00FD3453" w:rsidP="00914455">
                  <w:pPr>
                    <w:pStyle w:val="TableBodyText"/>
                  </w:pPr>
                  <w:r>
                    <w:t>3</w:t>
                  </w:r>
                  <w:r w:rsidR="00425E83">
                    <w:t>2</w:t>
                  </w:r>
                </w:p>
              </w:tc>
              <w:tc>
                <w:tcPr>
                  <w:tcW w:w="1250" w:type="pct"/>
                  <w:shd w:val="pct5" w:color="auto" w:fill="auto"/>
                </w:tcPr>
                <w:p w:rsidR="001F3815" w:rsidRDefault="00FD3453" w:rsidP="00914455">
                  <w:pPr>
                    <w:pStyle w:val="TableBodyText"/>
                  </w:pPr>
                  <w:r>
                    <w:t>3</w:t>
                  </w:r>
                  <w:r w:rsidR="00425E83">
                    <w:t>3</w:t>
                  </w:r>
                </w:p>
              </w:tc>
              <w:tc>
                <w:tcPr>
                  <w:tcW w:w="1249" w:type="pct"/>
                  <w:shd w:val="pct5" w:color="auto" w:fill="auto"/>
                </w:tcPr>
                <w:p w:rsidR="001F3815" w:rsidRDefault="00416ED2" w:rsidP="00914455">
                  <w:pPr>
                    <w:pStyle w:val="TableBodyText"/>
                    <w:ind w:right="28"/>
                  </w:pPr>
                  <w:r>
                    <w:t>40</w:t>
                  </w:r>
                </w:p>
              </w:tc>
            </w:tr>
            <w:tr w:rsidR="001F3815" w:rsidTr="00914455">
              <w:tc>
                <w:tcPr>
                  <w:tcW w:w="1251" w:type="pct"/>
                  <w:tcBorders>
                    <w:bottom w:val="single" w:sz="6" w:space="0" w:color="BFBFBF"/>
                  </w:tcBorders>
                  <w:shd w:val="clear" w:color="auto" w:fill="auto"/>
                </w:tcPr>
                <w:p w:rsidR="001F3815" w:rsidRDefault="00FD3453" w:rsidP="00914455">
                  <w:pPr>
                    <w:pStyle w:val="TableBodyText"/>
                    <w:jc w:val="left"/>
                  </w:pPr>
                  <w:r>
                    <w:t>2017</w:t>
                  </w:r>
                </w:p>
              </w:tc>
              <w:tc>
                <w:tcPr>
                  <w:tcW w:w="1250" w:type="pct"/>
                  <w:tcBorders>
                    <w:bottom w:val="single" w:sz="6" w:space="0" w:color="BFBFBF"/>
                  </w:tcBorders>
                </w:tcPr>
                <w:p w:rsidR="001F3815" w:rsidRDefault="00FD3453" w:rsidP="00914455">
                  <w:pPr>
                    <w:pStyle w:val="TableBodyText"/>
                  </w:pPr>
                  <w:r>
                    <w:t>1</w:t>
                  </w:r>
                  <w:r w:rsidR="00416ED2">
                    <w:t>7</w:t>
                  </w:r>
                </w:p>
              </w:tc>
              <w:tc>
                <w:tcPr>
                  <w:tcW w:w="1250" w:type="pct"/>
                  <w:tcBorders>
                    <w:bottom w:val="single" w:sz="6" w:space="0" w:color="BFBFBF"/>
                  </w:tcBorders>
                  <w:shd w:val="clear" w:color="auto" w:fill="auto"/>
                </w:tcPr>
                <w:p w:rsidR="001F3815" w:rsidRDefault="00FD3453" w:rsidP="00914455">
                  <w:pPr>
                    <w:pStyle w:val="TableBodyText"/>
                  </w:pPr>
                  <w:r>
                    <w:t>17</w:t>
                  </w:r>
                </w:p>
              </w:tc>
              <w:tc>
                <w:tcPr>
                  <w:tcW w:w="1249" w:type="pct"/>
                  <w:tcBorders>
                    <w:bottom w:val="single" w:sz="6" w:space="0" w:color="BFBFBF"/>
                  </w:tcBorders>
                  <w:shd w:val="clear" w:color="auto" w:fill="auto"/>
                </w:tcPr>
                <w:p w:rsidR="001F3815" w:rsidRDefault="001F3815" w:rsidP="00914455">
                  <w:pPr>
                    <w:pStyle w:val="TableBodyText"/>
                    <w:ind w:right="28"/>
                  </w:pPr>
                  <w:r>
                    <w:t>2</w:t>
                  </w:r>
                  <w:r w:rsidR="00416ED2">
                    <w:t>6</w:t>
                  </w:r>
                </w:p>
              </w:tc>
            </w:tr>
          </w:tbl>
          <w:p w:rsidR="001F3815" w:rsidRDefault="001F3815" w:rsidP="00914455">
            <w:pPr>
              <w:pStyle w:val="Box"/>
            </w:pPr>
          </w:p>
        </w:tc>
      </w:tr>
      <w:tr w:rsidR="00091A0E" w:rsidRPr="00176D3F" w:rsidTr="00B715F4">
        <w:tblPrEx>
          <w:tblBorders>
            <w:top w:val="single" w:sz="6" w:space="0" w:color="78A22F"/>
            <w:left w:val="single" w:sz="6" w:space="0" w:color="78A22F"/>
            <w:bottom w:val="single" w:sz="6" w:space="0" w:color="78A22F"/>
            <w:right w:val="single" w:sz="6" w:space="0" w:color="78A22F"/>
          </w:tblBorders>
        </w:tblPrEx>
        <w:tc>
          <w:tcPr>
            <w:tcW w:w="5000" w:type="pct"/>
            <w:tcBorders>
              <w:top w:val="nil"/>
              <w:left w:val="nil"/>
              <w:bottom w:val="nil"/>
              <w:right w:val="nil"/>
            </w:tcBorders>
            <w:shd w:val="clear" w:color="auto" w:fill="auto"/>
          </w:tcPr>
          <w:p w:rsidR="00091A0E" w:rsidRPr="00176D3F" w:rsidRDefault="00091A0E" w:rsidP="00B715F4">
            <w:pPr>
              <w:pStyle w:val="Source"/>
            </w:pPr>
            <w:r>
              <w:rPr>
                <w:i/>
              </w:rPr>
              <w:t>S</w:t>
            </w:r>
            <w:r w:rsidRPr="00784A05">
              <w:rPr>
                <w:i/>
              </w:rPr>
              <w:t>ource</w:t>
            </w:r>
            <w:r w:rsidRPr="00176D3F">
              <w:t xml:space="preserve">: </w:t>
            </w:r>
            <w:r w:rsidRPr="00776F40">
              <w:t>PC analysis of SuperRatings data</w:t>
            </w:r>
            <w:r>
              <w:t>.</w:t>
            </w:r>
          </w:p>
        </w:tc>
      </w:tr>
      <w:tr w:rsidR="001F3815" w:rsidTr="00914455">
        <w:tc>
          <w:tcPr>
            <w:tcW w:w="5000" w:type="pct"/>
            <w:tcBorders>
              <w:top w:val="nil"/>
              <w:left w:val="nil"/>
              <w:bottom w:val="single" w:sz="6" w:space="0" w:color="78A22F"/>
              <w:right w:val="nil"/>
            </w:tcBorders>
            <w:shd w:val="clear" w:color="auto" w:fill="auto"/>
          </w:tcPr>
          <w:p w:rsidR="001F3815" w:rsidRDefault="001F3815" w:rsidP="00914455">
            <w:pPr>
              <w:pStyle w:val="Box"/>
              <w:spacing w:before="0" w:line="120" w:lineRule="exact"/>
            </w:pPr>
          </w:p>
        </w:tc>
      </w:tr>
      <w:tr w:rsidR="001F3815" w:rsidRPr="000863A5" w:rsidTr="00914455">
        <w:tc>
          <w:tcPr>
            <w:tcW w:w="5000" w:type="pct"/>
            <w:tcBorders>
              <w:top w:val="single" w:sz="6" w:space="0" w:color="78A22F"/>
              <w:left w:val="nil"/>
              <w:bottom w:val="nil"/>
              <w:right w:val="nil"/>
            </w:tcBorders>
          </w:tcPr>
          <w:p w:rsidR="001F3815" w:rsidRPr="00626D32" w:rsidRDefault="001F3815" w:rsidP="00914455">
            <w:pPr>
              <w:pStyle w:val="BoxSpaceBelow"/>
            </w:pPr>
          </w:p>
        </w:tc>
      </w:tr>
    </w:tbl>
    <w:p w:rsidR="000D439F" w:rsidRDefault="000D439F" w:rsidP="00EA251F">
      <w:pPr>
        <w:pStyle w:val="BodyText"/>
      </w:pPr>
      <w:r>
        <w:t>The data suggest that most of the difference in fees between products in the tail and not in the tail is due to administration fees (figure 2</w:t>
      </w:r>
      <w:r w:rsidR="00F4364A">
        <w:t>1</w:t>
      </w:r>
      <w:r>
        <w:t>).</w:t>
      </w:r>
    </w:p>
    <w:p w:rsidR="00A37ECC" w:rsidRDefault="00A37ECC" w:rsidP="00A37ECC">
      <w:pPr>
        <w:pStyle w:val="BodyText"/>
        <w:spacing w:before="120"/>
      </w:pPr>
      <w:r>
        <w:t>There were 92 products in the high</w:t>
      </w:r>
      <w:r>
        <w:noBreakHyphen/>
        <w:t>fee tail in June 2017, with assets valued at $213 billion (table 7). This included three MySuper products — two from retail funds and one from an industry fund — all of which are among the underperforming default products over the period 2008–2018 in the Commission’s investment performance analysis.</w:t>
      </w:r>
    </w:p>
    <w:p w:rsidR="00A37ECC" w:rsidRDefault="00A37ECC" w:rsidP="00A37ECC">
      <w:pPr>
        <w:pStyle w:val="BodyText"/>
        <w:spacing w:before="120"/>
      </w:pPr>
      <w:r>
        <w:t>Retail funds accounted for 89 of the products in the tail at June 2017, or 97 per cent of the tail. The three other products in the tail were offered by industry funds. Because of the high representation of retail products in the tail, the average fee for retail products (weighted by assets) also lies in the tail, at 1.6 per cent of assets in June 2017.</w:t>
      </w:r>
    </w:p>
    <w:p w:rsidR="000D439F" w:rsidRDefault="000D439F" w:rsidP="000D439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D439F" w:rsidTr="000D439F">
        <w:trPr>
          <w:tblHeader/>
        </w:trPr>
        <w:tc>
          <w:tcPr>
            <w:tcW w:w="5000" w:type="pct"/>
            <w:tcBorders>
              <w:top w:val="single" w:sz="6" w:space="0" w:color="78A22F"/>
              <w:left w:val="nil"/>
              <w:bottom w:val="nil"/>
              <w:right w:val="nil"/>
            </w:tcBorders>
            <w:shd w:val="clear" w:color="auto" w:fill="auto"/>
          </w:tcPr>
          <w:p w:rsidR="000D439F" w:rsidRDefault="000D439F" w:rsidP="000D439F">
            <w:pPr>
              <w:pStyle w:val="FigureTitle"/>
            </w:pPr>
            <w:r w:rsidRPr="00784A05">
              <w:rPr>
                <w:b w:val="0"/>
              </w:rPr>
              <w:t xml:space="preserve">Figure </w:t>
            </w:r>
            <w:bookmarkStart w:id="57" w:name="OLE_LINK23"/>
            <w:r w:rsidR="001345FE">
              <w:rPr>
                <w:b w:val="0"/>
                <w:noProof/>
              </w:rPr>
              <w:t>21</w:t>
            </w:r>
            <w:bookmarkEnd w:id="57"/>
            <w:r>
              <w:tab/>
            </w:r>
            <w:bookmarkStart w:id="58" w:name="OLE_LINK56"/>
            <w:r w:rsidRPr="00F302DB">
              <w:t xml:space="preserve">Administration fees </w:t>
            </w:r>
            <w:r>
              <w:t>especially</w:t>
            </w:r>
            <w:r w:rsidRPr="00F302DB">
              <w:t xml:space="preserve"> higher for products in the tail</w:t>
            </w:r>
            <w:bookmarkEnd w:id="58"/>
          </w:p>
          <w:p w:rsidR="000D439F" w:rsidRPr="00176D3F" w:rsidRDefault="000D439F" w:rsidP="000D439F">
            <w:pPr>
              <w:pStyle w:val="Subtitle"/>
            </w:pPr>
            <w:bookmarkStart w:id="59" w:name="OLE_LINK57"/>
            <w:r w:rsidRPr="00776F40">
              <w:t>Fees as per cent of assets, 2017</w:t>
            </w:r>
            <w:bookmarkEnd w:id="59"/>
          </w:p>
        </w:tc>
      </w:tr>
      <w:tr w:rsidR="000D439F" w:rsidTr="000D439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D439F" w:rsidRPr="00B1465D" w:rsidTr="000D439F">
              <w:trPr>
                <w:tblHeader/>
                <w:jc w:val="center"/>
              </w:trPr>
              <w:tc>
                <w:tcPr>
                  <w:tcW w:w="5000" w:type="pct"/>
                  <w:tcBorders>
                    <w:top w:val="nil"/>
                    <w:bottom w:val="nil"/>
                  </w:tcBorders>
                </w:tcPr>
                <w:p w:rsidR="000D439F" w:rsidRPr="00B1465D" w:rsidRDefault="009A3412" w:rsidP="000D439F">
                  <w:pPr>
                    <w:pStyle w:val="Figure"/>
                    <w:spacing w:before="60" w:after="60"/>
                    <w:rPr>
                      <w:rFonts w:ascii="Arial" w:hAnsi="Arial" w:cs="Arial"/>
                      <w:sz w:val="18"/>
                      <w:szCs w:val="18"/>
                    </w:rPr>
                  </w:pPr>
                  <w:r>
                    <w:rPr>
                      <w:rFonts w:ascii="Arial" w:hAnsi="Arial" w:cs="Arial"/>
                      <w:noProof/>
                      <w:sz w:val="18"/>
                      <w:szCs w:val="18"/>
                    </w:rPr>
                    <w:drawing>
                      <wp:inline distT="0" distB="0" distL="0" distR="0" wp14:anchorId="215E61D1" wp14:editId="3CDB5B47">
                        <wp:extent cx="5076825" cy="2716274"/>
                        <wp:effectExtent l="0" t="0" r="0" b="8255"/>
                        <wp:docPr id="8" name="Picture 8" descr="This figure shows advertised administration and investment fees in 2017 for products in the tail compared with products not in the tail. It shows that while products in the tail charge higher investment fees (around 45 basis points higher), the difference is even larger for administration fees (around 71 basis points hig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86233" cy="2721308"/>
                                </a:xfrm>
                                <a:prstGeom prst="rect">
                                  <a:avLst/>
                                </a:prstGeom>
                                <a:noFill/>
                              </pic:spPr>
                            </pic:pic>
                          </a:graphicData>
                        </a:graphic>
                      </wp:inline>
                    </w:drawing>
                  </w:r>
                </w:p>
              </w:tc>
            </w:tr>
          </w:tbl>
          <w:p w:rsidR="000D439F" w:rsidRDefault="000D439F" w:rsidP="000D439F">
            <w:pPr>
              <w:pStyle w:val="Figure"/>
            </w:pPr>
          </w:p>
        </w:tc>
      </w:tr>
      <w:tr w:rsidR="000D439F" w:rsidRPr="00176D3F" w:rsidTr="000D439F">
        <w:tc>
          <w:tcPr>
            <w:tcW w:w="5000" w:type="pct"/>
            <w:tcBorders>
              <w:top w:val="nil"/>
              <w:left w:val="nil"/>
              <w:bottom w:val="nil"/>
              <w:right w:val="nil"/>
            </w:tcBorders>
            <w:shd w:val="clear" w:color="auto" w:fill="auto"/>
          </w:tcPr>
          <w:p w:rsidR="000D439F" w:rsidRPr="00176D3F" w:rsidRDefault="000D439F" w:rsidP="000D439F">
            <w:pPr>
              <w:pStyle w:val="Source"/>
            </w:pPr>
            <w:r>
              <w:rPr>
                <w:i/>
              </w:rPr>
              <w:t>S</w:t>
            </w:r>
            <w:r w:rsidRPr="00784A05">
              <w:rPr>
                <w:i/>
              </w:rPr>
              <w:t>ource</w:t>
            </w:r>
            <w:r w:rsidRPr="00176D3F">
              <w:t xml:space="preserve">: </w:t>
            </w:r>
            <w:r w:rsidRPr="00776F40">
              <w:t>PC analysis of SuperRatings data</w:t>
            </w:r>
            <w:r>
              <w:t>.</w:t>
            </w:r>
          </w:p>
        </w:tc>
      </w:tr>
      <w:tr w:rsidR="000D439F" w:rsidTr="000D439F">
        <w:tc>
          <w:tcPr>
            <w:tcW w:w="5000" w:type="pct"/>
            <w:tcBorders>
              <w:top w:val="nil"/>
              <w:left w:val="nil"/>
              <w:bottom w:val="single" w:sz="6" w:space="0" w:color="78A22F"/>
              <w:right w:val="nil"/>
            </w:tcBorders>
            <w:shd w:val="clear" w:color="auto" w:fill="auto"/>
          </w:tcPr>
          <w:p w:rsidR="000D439F" w:rsidRDefault="000D439F" w:rsidP="000D439F">
            <w:pPr>
              <w:pStyle w:val="Figurespace"/>
            </w:pPr>
          </w:p>
        </w:tc>
      </w:tr>
      <w:tr w:rsidR="000D439F" w:rsidRPr="000863A5" w:rsidTr="000D439F">
        <w:tc>
          <w:tcPr>
            <w:tcW w:w="5000" w:type="pct"/>
            <w:tcBorders>
              <w:top w:val="single" w:sz="6" w:space="0" w:color="78A22F"/>
              <w:left w:val="nil"/>
              <w:bottom w:val="nil"/>
              <w:right w:val="nil"/>
            </w:tcBorders>
          </w:tcPr>
          <w:p w:rsidR="000D439F" w:rsidRPr="00626D32" w:rsidRDefault="000D439F" w:rsidP="000D439F">
            <w:pPr>
              <w:pStyle w:val="BoxSpaceBelow"/>
            </w:pPr>
          </w:p>
        </w:tc>
      </w:tr>
    </w:tbl>
    <w:p w:rsidR="009F3A4C" w:rsidRDefault="00030D56" w:rsidP="009F3A4C">
      <w:pPr>
        <w:pStyle w:val="BodyText"/>
      </w:pPr>
      <w:r>
        <w:t>Almost half of the retail products in the tail are closed to new members (referred to as ‘legacy’ products in the draft).</w:t>
      </w:r>
      <w:r w:rsidR="00E211B1">
        <w:t xml:space="preserve"> </w:t>
      </w:r>
      <w:r w:rsidR="00936B67">
        <w:t xml:space="preserve">All legacy products in the tail are retail products. </w:t>
      </w:r>
      <w:r w:rsidR="002F1601">
        <w:t>Retail l</w:t>
      </w:r>
      <w:r w:rsidR="00E211B1">
        <w:t>egacy products account for</w:t>
      </w:r>
      <w:r w:rsidR="008029BE">
        <w:t xml:space="preserve"> </w:t>
      </w:r>
      <w:r w:rsidR="00A23D72">
        <w:t>almost $100 b</w:t>
      </w:r>
      <w:r w:rsidR="008029BE">
        <w:t>illion (or</w:t>
      </w:r>
      <w:r w:rsidR="00DC16A6">
        <w:t xml:space="preserve"> </w:t>
      </w:r>
      <w:r w:rsidR="00A23D72">
        <w:t>4</w:t>
      </w:r>
      <w:r w:rsidR="00D441F5">
        <w:t>6</w:t>
      </w:r>
      <w:r w:rsidR="00E211B1">
        <w:t> per cent</w:t>
      </w:r>
      <w:r w:rsidR="00A23D72">
        <w:t>)</w:t>
      </w:r>
      <w:r w:rsidR="00E211B1">
        <w:t xml:space="preserve"> of </w:t>
      </w:r>
      <w:r w:rsidR="00A23D72">
        <w:t>assets</w:t>
      </w:r>
      <w:r w:rsidR="00E211B1">
        <w:t xml:space="preserve"> in the tail</w:t>
      </w:r>
      <w:r w:rsidR="008029BE">
        <w:t xml:space="preserve">, </w:t>
      </w:r>
      <w:r w:rsidR="00E211B1">
        <w:t>and</w:t>
      </w:r>
      <w:r w:rsidR="008029BE">
        <w:t xml:space="preserve"> </w:t>
      </w:r>
      <w:r w:rsidR="00A23D72">
        <w:t>almost 2 million</w:t>
      </w:r>
      <w:r w:rsidR="008029BE">
        <w:t xml:space="preserve"> (or</w:t>
      </w:r>
      <w:r w:rsidR="00E211B1">
        <w:t xml:space="preserve"> </w:t>
      </w:r>
      <w:r w:rsidR="00A23D72">
        <w:t xml:space="preserve">60 </w:t>
      </w:r>
      <w:r w:rsidR="00DC16A6">
        <w:t>per cent</w:t>
      </w:r>
      <w:r w:rsidR="008029BE">
        <w:t>)</w:t>
      </w:r>
      <w:r w:rsidR="00E211B1">
        <w:t xml:space="preserve"> </w:t>
      </w:r>
      <w:r w:rsidR="00A23D72">
        <w:t>member accounts</w:t>
      </w:r>
      <w:r w:rsidR="00E71389">
        <w:t>.</w:t>
      </w:r>
    </w:p>
    <w:p w:rsidR="00E71389" w:rsidRDefault="00E71389" w:rsidP="009F3A4C">
      <w:pPr>
        <w:pStyle w:val="BodyText"/>
      </w:pPr>
      <w:r>
        <w:t xml:space="preserve">As of June 2017, there was no indication in the SuperRatings data of a decline in the share of legacy products in the tail. </w:t>
      </w:r>
      <w:r w:rsidR="00F54E04">
        <w:t>The number of legacy products in the tail ha</w:t>
      </w:r>
      <w:r w:rsidR="00E13890">
        <w:t>s</w:t>
      </w:r>
      <w:r w:rsidR="00F54E04">
        <w:t xml:space="preserve"> remained largely unchanged since 2015 while the</w:t>
      </w:r>
      <w:r w:rsidR="00E13890">
        <w:t xml:space="preserve"> total</w:t>
      </w:r>
      <w:r w:rsidR="00F54E04">
        <w:t xml:space="preserve"> number of products in the tail has fallen, with the result that </w:t>
      </w:r>
      <w:r>
        <w:t>the share of legacy products has risen each year since 2015</w:t>
      </w:r>
      <w:r w:rsidR="00F54E04">
        <w:t>.</w:t>
      </w:r>
    </w:p>
    <w:p w:rsidR="009F3A4C" w:rsidRDefault="009F3A4C" w:rsidP="009F3A4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F3A4C" w:rsidTr="009F3A4C">
        <w:trPr>
          <w:tblHeader/>
        </w:trPr>
        <w:tc>
          <w:tcPr>
            <w:tcW w:w="5000" w:type="pct"/>
            <w:tcBorders>
              <w:top w:val="single" w:sz="6" w:space="0" w:color="78A22F"/>
              <w:left w:val="nil"/>
              <w:bottom w:val="nil"/>
              <w:right w:val="nil"/>
            </w:tcBorders>
            <w:shd w:val="clear" w:color="auto" w:fill="auto"/>
          </w:tcPr>
          <w:p w:rsidR="009F3A4C" w:rsidRDefault="009F3A4C" w:rsidP="009F3A4C">
            <w:pPr>
              <w:pStyle w:val="TableTitle"/>
            </w:pPr>
            <w:r>
              <w:rPr>
                <w:b w:val="0"/>
              </w:rPr>
              <w:t xml:space="preserve">Table </w:t>
            </w:r>
            <w:bookmarkStart w:id="60" w:name="OLE_LINK25"/>
            <w:r w:rsidR="001345FE">
              <w:rPr>
                <w:b w:val="0"/>
                <w:noProof/>
              </w:rPr>
              <w:t>7</w:t>
            </w:r>
            <w:bookmarkEnd w:id="60"/>
            <w:r>
              <w:tab/>
              <w:t>Products in the tail by fund type</w:t>
            </w:r>
          </w:p>
          <w:p w:rsidR="009F3A4C" w:rsidRPr="00784A05" w:rsidRDefault="00C34105" w:rsidP="009F3A4C">
            <w:pPr>
              <w:pStyle w:val="Subtitle"/>
            </w:pPr>
            <w:r w:rsidRPr="00C34105">
              <w:t>Products with fees exceeding 1.5 per cent of assets</w:t>
            </w:r>
          </w:p>
        </w:tc>
      </w:tr>
      <w:tr w:rsidR="009F3A4C" w:rsidTr="009F3A4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002"/>
              <w:gridCol w:w="1536"/>
              <w:gridCol w:w="2125"/>
              <w:gridCol w:w="1842"/>
            </w:tblGrid>
            <w:tr w:rsidR="009F3A4C" w:rsidTr="00935163">
              <w:trPr>
                <w:tblHeader/>
              </w:trPr>
              <w:tc>
                <w:tcPr>
                  <w:tcW w:w="1764" w:type="pct"/>
                  <w:tcBorders>
                    <w:top w:val="single" w:sz="6" w:space="0" w:color="BFBFBF"/>
                    <w:bottom w:val="single" w:sz="6" w:space="0" w:color="BFBFBF"/>
                  </w:tcBorders>
                  <w:shd w:val="clear" w:color="auto" w:fill="auto"/>
                  <w:tcMar>
                    <w:top w:w="28" w:type="dxa"/>
                  </w:tcMar>
                </w:tcPr>
                <w:p w:rsidR="009F3A4C" w:rsidRDefault="009F3A4C" w:rsidP="009F3A4C">
                  <w:pPr>
                    <w:pStyle w:val="TableColumnHeading"/>
                    <w:jc w:val="left"/>
                  </w:pPr>
                </w:p>
              </w:tc>
              <w:tc>
                <w:tcPr>
                  <w:tcW w:w="903" w:type="pct"/>
                  <w:tcBorders>
                    <w:top w:val="single" w:sz="6" w:space="0" w:color="BFBFBF"/>
                    <w:bottom w:val="single" w:sz="6" w:space="0" w:color="BFBFBF"/>
                  </w:tcBorders>
                </w:tcPr>
                <w:p w:rsidR="009F3A4C" w:rsidRDefault="006B270B" w:rsidP="009F3A4C">
                  <w:pPr>
                    <w:pStyle w:val="TableColumnHeading"/>
                  </w:pPr>
                  <w:r>
                    <w:t>Products</w:t>
                  </w:r>
                </w:p>
              </w:tc>
              <w:tc>
                <w:tcPr>
                  <w:tcW w:w="1249" w:type="pct"/>
                  <w:tcBorders>
                    <w:top w:val="single" w:sz="6" w:space="0" w:color="BFBFBF"/>
                    <w:bottom w:val="single" w:sz="6" w:space="0" w:color="BFBFBF"/>
                  </w:tcBorders>
                  <w:shd w:val="clear" w:color="auto" w:fill="auto"/>
                  <w:tcMar>
                    <w:top w:w="28" w:type="dxa"/>
                  </w:tcMar>
                </w:tcPr>
                <w:p w:rsidR="009F3A4C" w:rsidRDefault="00D147A3" w:rsidP="009F3A4C">
                  <w:pPr>
                    <w:pStyle w:val="TableColumnHeading"/>
                  </w:pPr>
                  <w:r>
                    <w:t>M</w:t>
                  </w:r>
                  <w:r w:rsidR="009F3A4C">
                    <w:t>ember accounts</w:t>
                  </w:r>
                </w:p>
              </w:tc>
              <w:tc>
                <w:tcPr>
                  <w:tcW w:w="1083" w:type="pct"/>
                  <w:tcBorders>
                    <w:top w:val="single" w:sz="6" w:space="0" w:color="BFBFBF"/>
                    <w:bottom w:val="single" w:sz="6" w:space="0" w:color="BFBFBF"/>
                  </w:tcBorders>
                  <w:shd w:val="clear" w:color="auto" w:fill="auto"/>
                  <w:tcMar>
                    <w:top w:w="28" w:type="dxa"/>
                  </w:tcMar>
                </w:tcPr>
                <w:p w:rsidR="009F3A4C" w:rsidRDefault="00D147A3" w:rsidP="009F3A4C">
                  <w:pPr>
                    <w:pStyle w:val="TableColumnHeading"/>
                    <w:ind w:right="28"/>
                  </w:pPr>
                  <w:r>
                    <w:t>A</w:t>
                  </w:r>
                  <w:r w:rsidR="009F3A4C">
                    <w:t>ssets</w:t>
                  </w:r>
                </w:p>
              </w:tc>
            </w:tr>
            <w:tr w:rsidR="008458DD" w:rsidTr="00935163">
              <w:tc>
                <w:tcPr>
                  <w:tcW w:w="1764" w:type="pct"/>
                  <w:tcBorders>
                    <w:top w:val="single" w:sz="6" w:space="0" w:color="BFBFBF"/>
                  </w:tcBorders>
                </w:tcPr>
                <w:p w:rsidR="008458DD" w:rsidRDefault="008458DD" w:rsidP="009F3A4C">
                  <w:pPr>
                    <w:pStyle w:val="TableUnitsRow"/>
                    <w:jc w:val="left"/>
                  </w:pPr>
                </w:p>
              </w:tc>
              <w:tc>
                <w:tcPr>
                  <w:tcW w:w="903" w:type="pct"/>
                  <w:tcBorders>
                    <w:top w:val="single" w:sz="6" w:space="0" w:color="BFBFBF"/>
                  </w:tcBorders>
                </w:tcPr>
                <w:p w:rsidR="008458DD" w:rsidRDefault="00CF5A02" w:rsidP="009F3A4C">
                  <w:pPr>
                    <w:pStyle w:val="TableUnitsRow"/>
                  </w:pPr>
                  <w:r>
                    <w:t>No.</w:t>
                  </w:r>
                </w:p>
              </w:tc>
              <w:tc>
                <w:tcPr>
                  <w:tcW w:w="1249" w:type="pct"/>
                  <w:tcBorders>
                    <w:top w:val="single" w:sz="6" w:space="0" w:color="BFBFBF"/>
                  </w:tcBorders>
                </w:tcPr>
                <w:p w:rsidR="008458DD" w:rsidRDefault="006B270B" w:rsidP="009F3A4C">
                  <w:pPr>
                    <w:pStyle w:val="TableUnitsRow"/>
                  </w:pPr>
                  <w:r>
                    <w:t>m</w:t>
                  </w:r>
                </w:p>
              </w:tc>
              <w:tc>
                <w:tcPr>
                  <w:tcW w:w="1083" w:type="pct"/>
                  <w:tcBorders>
                    <w:top w:val="single" w:sz="6" w:space="0" w:color="BFBFBF"/>
                  </w:tcBorders>
                </w:tcPr>
                <w:p w:rsidR="008458DD" w:rsidRDefault="008458DD" w:rsidP="009F3A4C">
                  <w:pPr>
                    <w:pStyle w:val="TableUnitsRow"/>
                    <w:ind w:right="28"/>
                  </w:pPr>
                  <w:r>
                    <w:t>$</w:t>
                  </w:r>
                  <w:r w:rsidR="006B270B">
                    <w:t>b</w:t>
                  </w:r>
                </w:p>
              </w:tc>
            </w:tr>
            <w:tr w:rsidR="009F3A4C" w:rsidTr="00935163">
              <w:tc>
                <w:tcPr>
                  <w:tcW w:w="1764" w:type="pct"/>
                  <w:shd w:val="pct5" w:color="auto" w:fill="auto"/>
                </w:tcPr>
                <w:p w:rsidR="009F3A4C" w:rsidRDefault="009F3A4C" w:rsidP="009F3A4C">
                  <w:pPr>
                    <w:pStyle w:val="TableUnitsRow"/>
                    <w:jc w:val="left"/>
                  </w:pPr>
                  <w:r>
                    <w:t>Retail</w:t>
                  </w:r>
                </w:p>
              </w:tc>
              <w:tc>
                <w:tcPr>
                  <w:tcW w:w="903" w:type="pct"/>
                  <w:shd w:val="pct5" w:color="auto" w:fill="auto"/>
                </w:tcPr>
                <w:p w:rsidR="009F3A4C" w:rsidRDefault="008458DD" w:rsidP="009F3A4C">
                  <w:pPr>
                    <w:pStyle w:val="TableUnitsRow"/>
                  </w:pPr>
                  <w:r>
                    <w:t>89</w:t>
                  </w:r>
                </w:p>
              </w:tc>
              <w:tc>
                <w:tcPr>
                  <w:tcW w:w="1249" w:type="pct"/>
                  <w:shd w:val="pct5" w:color="auto" w:fill="auto"/>
                </w:tcPr>
                <w:p w:rsidR="009F3A4C" w:rsidRDefault="004C7B30" w:rsidP="009F3A4C">
                  <w:pPr>
                    <w:pStyle w:val="TableUnitsRow"/>
                  </w:pPr>
                  <w:r>
                    <w:t>3</w:t>
                  </w:r>
                  <w:r w:rsidR="00C34105">
                    <w:t>.1</w:t>
                  </w:r>
                </w:p>
              </w:tc>
              <w:tc>
                <w:tcPr>
                  <w:tcW w:w="1083" w:type="pct"/>
                  <w:shd w:val="pct5" w:color="auto" w:fill="auto"/>
                </w:tcPr>
                <w:p w:rsidR="009F3A4C" w:rsidRDefault="00820C3F" w:rsidP="009F3A4C">
                  <w:pPr>
                    <w:pStyle w:val="TableUnitsRow"/>
                    <w:ind w:right="28"/>
                  </w:pPr>
                  <w:r>
                    <w:t>20</w:t>
                  </w:r>
                  <w:r w:rsidR="00C611F9">
                    <w:t>9</w:t>
                  </w:r>
                </w:p>
              </w:tc>
            </w:tr>
            <w:tr w:rsidR="004C7B30" w:rsidTr="00935163">
              <w:tc>
                <w:tcPr>
                  <w:tcW w:w="1764" w:type="pct"/>
                  <w:shd w:val="clear" w:color="auto" w:fill="auto"/>
                </w:tcPr>
                <w:p w:rsidR="004C7B30" w:rsidRDefault="004C7B30" w:rsidP="009F3A4C">
                  <w:pPr>
                    <w:pStyle w:val="TableUnitsRow"/>
                    <w:jc w:val="left"/>
                  </w:pPr>
                  <w:r>
                    <w:t xml:space="preserve"> of which, open to new members</w:t>
                  </w:r>
                </w:p>
              </w:tc>
              <w:tc>
                <w:tcPr>
                  <w:tcW w:w="903" w:type="pct"/>
                  <w:shd w:val="clear" w:color="auto" w:fill="auto"/>
                </w:tcPr>
                <w:p w:rsidR="004C7B30" w:rsidRDefault="004C7B30" w:rsidP="009F3A4C">
                  <w:pPr>
                    <w:pStyle w:val="TableUnitsRow"/>
                  </w:pPr>
                  <w:r>
                    <w:t>46</w:t>
                  </w:r>
                </w:p>
              </w:tc>
              <w:tc>
                <w:tcPr>
                  <w:tcW w:w="1249" w:type="pct"/>
                  <w:shd w:val="clear" w:color="auto" w:fill="auto"/>
                </w:tcPr>
                <w:p w:rsidR="004C7B30" w:rsidRDefault="004C7B30" w:rsidP="009F3A4C">
                  <w:pPr>
                    <w:pStyle w:val="TableUnitsRow"/>
                  </w:pPr>
                  <w:r>
                    <w:t>1</w:t>
                  </w:r>
                  <w:r w:rsidR="00C34105">
                    <w:t>.2</w:t>
                  </w:r>
                </w:p>
              </w:tc>
              <w:tc>
                <w:tcPr>
                  <w:tcW w:w="1083" w:type="pct"/>
                  <w:shd w:val="clear" w:color="auto" w:fill="auto"/>
                </w:tcPr>
                <w:p w:rsidR="004C7B30" w:rsidRDefault="004C7B30" w:rsidP="004C7B30">
                  <w:pPr>
                    <w:pStyle w:val="TableUnitsRow"/>
                    <w:ind w:right="28"/>
                  </w:pPr>
                  <w:r>
                    <w:t>110</w:t>
                  </w:r>
                </w:p>
              </w:tc>
            </w:tr>
            <w:tr w:rsidR="008458DD" w:rsidTr="00935163">
              <w:tc>
                <w:tcPr>
                  <w:tcW w:w="1764" w:type="pct"/>
                </w:tcPr>
                <w:p w:rsidR="008458DD" w:rsidRDefault="008458DD" w:rsidP="008458DD">
                  <w:pPr>
                    <w:pStyle w:val="TableUnitsRow"/>
                    <w:jc w:val="left"/>
                  </w:pPr>
                  <w:r>
                    <w:t xml:space="preserve"> of which, closed to new members</w:t>
                  </w:r>
                </w:p>
              </w:tc>
              <w:tc>
                <w:tcPr>
                  <w:tcW w:w="903" w:type="pct"/>
                </w:tcPr>
                <w:p w:rsidR="008458DD" w:rsidRDefault="00583399" w:rsidP="009F3A4C">
                  <w:pPr>
                    <w:pStyle w:val="TableUnitsRow"/>
                  </w:pPr>
                  <w:r>
                    <w:t>43</w:t>
                  </w:r>
                </w:p>
              </w:tc>
              <w:tc>
                <w:tcPr>
                  <w:tcW w:w="1249" w:type="pct"/>
                </w:tcPr>
                <w:p w:rsidR="008458DD" w:rsidRDefault="00F00578" w:rsidP="009F3A4C">
                  <w:pPr>
                    <w:pStyle w:val="TableUnitsRow"/>
                  </w:pPr>
                  <w:r>
                    <w:t>2.0</w:t>
                  </w:r>
                </w:p>
              </w:tc>
              <w:tc>
                <w:tcPr>
                  <w:tcW w:w="1083" w:type="pct"/>
                </w:tcPr>
                <w:p w:rsidR="008458DD" w:rsidRDefault="00C611F9" w:rsidP="009F3A4C">
                  <w:pPr>
                    <w:pStyle w:val="TableUnitsRow"/>
                    <w:ind w:right="28"/>
                  </w:pPr>
                  <w:r>
                    <w:t>99</w:t>
                  </w:r>
                </w:p>
              </w:tc>
            </w:tr>
            <w:tr w:rsidR="009F3A4C" w:rsidTr="00935163">
              <w:tc>
                <w:tcPr>
                  <w:tcW w:w="1764" w:type="pct"/>
                  <w:shd w:val="pct5" w:color="auto" w:fill="auto"/>
                </w:tcPr>
                <w:p w:rsidR="009F3A4C" w:rsidRDefault="009C1090" w:rsidP="009F3A4C">
                  <w:pPr>
                    <w:pStyle w:val="TableBodyText"/>
                    <w:jc w:val="left"/>
                  </w:pPr>
                  <w:r>
                    <w:t>Not</w:t>
                  </w:r>
                  <w:r>
                    <w:noBreakHyphen/>
                    <w:t>for</w:t>
                  </w:r>
                  <w:r>
                    <w:noBreakHyphen/>
                    <w:t>profit</w:t>
                  </w:r>
                </w:p>
              </w:tc>
              <w:tc>
                <w:tcPr>
                  <w:tcW w:w="903" w:type="pct"/>
                  <w:shd w:val="pct5" w:color="auto" w:fill="auto"/>
                </w:tcPr>
                <w:p w:rsidR="009F3A4C" w:rsidRDefault="008458DD" w:rsidP="009F3A4C">
                  <w:pPr>
                    <w:pStyle w:val="TableBodyText"/>
                  </w:pPr>
                  <w:r>
                    <w:t>3</w:t>
                  </w:r>
                </w:p>
              </w:tc>
              <w:tc>
                <w:tcPr>
                  <w:tcW w:w="1249" w:type="pct"/>
                  <w:shd w:val="pct5" w:color="auto" w:fill="auto"/>
                </w:tcPr>
                <w:p w:rsidR="009F3A4C" w:rsidRDefault="00C34105" w:rsidP="009F3A4C">
                  <w:pPr>
                    <w:pStyle w:val="TableBodyText"/>
                  </w:pPr>
                  <w:r>
                    <w:t>0.</w:t>
                  </w:r>
                  <w:r w:rsidR="0046514E" w:rsidRPr="0046514E">
                    <w:t>1</w:t>
                  </w:r>
                </w:p>
              </w:tc>
              <w:tc>
                <w:tcPr>
                  <w:tcW w:w="1083" w:type="pct"/>
                  <w:shd w:val="pct5" w:color="auto" w:fill="auto"/>
                </w:tcPr>
                <w:p w:rsidR="009F3A4C" w:rsidRDefault="00820C3F" w:rsidP="009F3A4C">
                  <w:pPr>
                    <w:pStyle w:val="TableBodyText"/>
                    <w:ind w:right="28"/>
                  </w:pPr>
                  <w:r>
                    <w:t>4</w:t>
                  </w:r>
                </w:p>
              </w:tc>
            </w:tr>
            <w:tr w:rsidR="009F3A4C" w:rsidTr="00935163">
              <w:tc>
                <w:tcPr>
                  <w:tcW w:w="1764" w:type="pct"/>
                  <w:tcBorders>
                    <w:bottom w:val="single" w:sz="6" w:space="0" w:color="BFBFBF"/>
                  </w:tcBorders>
                  <w:shd w:val="clear" w:color="auto" w:fill="auto"/>
                </w:tcPr>
                <w:p w:rsidR="009F3A4C" w:rsidRDefault="009F3A4C" w:rsidP="009F3A4C">
                  <w:pPr>
                    <w:pStyle w:val="TableBodyText"/>
                    <w:jc w:val="left"/>
                  </w:pPr>
                  <w:r>
                    <w:t>Total</w:t>
                  </w:r>
                </w:p>
              </w:tc>
              <w:tc>
                <w:tcPr>
                  <w:tcW w:w="903" w:type="pct"/>
                  <w:tcBorders>
                    <w:bottom w:val="single" w:sz="6" w:space="0" w:color="BFBFBF"/>
                  </w:tcBorders>
                </w:tcPr>
                <w:p w:rsidR="009F3A4C" w:rsidRDefault="008458DD" w:rsidP="009F3A4C">
                  <w:pPr>
                    <w:pStyle w:val="TableBodyText"/>
                  </w:pPr>
                  <w:r>
                    <w:t>92</w:t>
                  </w:r>
                </w:p>
              </w:tc>
              <w:tc>
                <w:tcPr>
                  <w:tcW w:w="1249" w:type="pct"/>
                  <w:tcBorders>
                    <w:bottom w:val="single" w:sz="6" w:space="0" w:color="BFBFBF"/>
                  </w:tcBorders>
                  <w:shd w:val="clear" w:color="auto" w:fill="auto"/>
                </w:tcPr>
                <w:p w:rsidR="009F3A4C" w:rsidRDefault="004C7B30" w:rsidP="009F3A4C">
                  <w:pPr>
                    <w:pStyle w:val="TableBodyText"/>
                  </w:pPr>
                  <w:r>
                    <w:t>3</w:t>
                  </w:r>
                  <w:r w:rsidR="00C34105">
                    <w:t>.2</w:t>
                  </w:r>
                </w:p>
              </w:tc>
              <w:tc>
                <w:tcPr>
                  <w:tcW w:w="1083" w:type="pct"/>
                  <w:tcBorders>
                    <w:bottom w:val="single" w:sz="6" w:space="0" w:color="BFBFBF"/>
                  </w:tcBorders>
                  <w:shd w:val="clear" w:color="auto" w:fill="auto"/>
                </w:tcPr>
                <w:p w:rsidR="009F3A4C" w:rsidRDefault="00820C3F" w:rsidP="009F3A4C">
                  <w:pPr>
                    <w:pStyle w:val="TableBodyText"/>
                    <w:ind w:right="28"/>
                  </w:pPr>
                  <w:r>
                    <w:t>21</w:t>
                  </w:r>
                  <w:r w:rsidR="00C611F9">
                    <w:t>3</w:t>
                  </w:r>
                </w:p>
              </w:tc>
            </w:tr>
          </w:tbl>
          <w:p w:rsidR="009F3A4C" w:rsidRDefault="009F3A4C" w:rsidP="009F3A4C">
            <w:pPr>
              <w:pStyle w:val="Box"/>
            </w:pPr>
          </w:p>
        </w:tc>
      </w:tr>
      <w:tr w:rsidR="00091A0E" w:rsidTr="00B715F4">
        <w:tc>
          <w:tcPr>
            <w:tcW w:w="5000" w:type="pct"/>
            <w:tcBorders>
              <w:top w:val="nil"/>
              <w:left w:val="nil"/>
              <w:bottom w:val="nil"/>
              <w:right w:val="nil"/>
            </w:tcBorders>
            <w:shd w:val="clear" w:color="auto" w:fill="auto"/>
          </w:tcPr>
          <w:p w:rsidR="00091A0E" w:rsidRDefault="00091A0E" w:rsidP="00B715F4">
            <w:pPr>
              <w:pStyle w:val="Source"/>
            </w:pPr>
            <w:r>
              <w:rPr>
                <w:i/>
              </w:rPr>
              <w:t>Source</w:t>
            </w:r>
            <w:r w:rsidRPr="00167F06">
              <w:t xml:space="preserve">: </w:t>
            </w:r>
            <w:r w:rsidRPr="00CE3044">
              <w:t>PC analysis of SuperRatings data.</w:t>
            </w:r>
          </w:p>
        </w:tc>
      </w:tr>
      <w:tr w:rsidR="009F3A4C" w:rsidTr="009F3A4C">
        <w:tc>
          <w:tcPr>
            <w:tcW w:w="5000" w:type="pct"/>
            <w:tcBorders>
              <w:top w:val="nil"/>
              <w:left w:val="nil"/>
              <w:bottom w:val="single" w:sz="6" w:space="0" w:color="78A22F"/>
              <w:right w:val="nil"/>
            </w:tcBorders>
            <w:shd w:val="clear" w:color="auto" w:fill="auto"/>
          </w:tcPr>
          <w:p w:rsidR="009F3A4C" w:rsidRDefault="009F3A4C" w:rsidP="009F3A4C">
            <w:pPr>
              <w:pStyle w:val="Box"/>
              <w:spacing w:before="0" w:line="120" w:lineRule="exact"/>
            </w:pPr>
          </w:p>
        </w:tc>
      </w:tr>
      <w:tr w:rsidR="009F3A4C" w:rsidRPr="000863A5" w:rsidTr="009F3A4C">
        <w:tc>
          <w:tcPr>
            <w:tcW w:w="5000" w:type="pct"/>
            <w:tcBorders>
              <w:top w:val="single" w:sz="6" w:space="0" w:color="78A22F"/>
              <w:left w:val="nil"/>
              <w:bottom w:val="nil"/>
              <w:right w:val="nil"/>
            </w:tcBorders>
          </w:tcPr>
          <w:p w:rsidR="009F3A4C" w:rsidRPr="00626D32" w:rsidRDefault="009F3A4C" w:rsidP="009F3A4C">
            <w:pPr>
              <w:pStyle w:val="BoxSpaceBelow"/>
            </w:pPr>
          </w:p>
        </w:tc>
      </w:tr>
    </w:tbl>
    <w:p w:rsidR="000D439F" w:rsidRDefault="004F59E2" w:rsidP="001F3815">
      <w:pPr>
        <w:pStyle w:val="BodyText"/>
      </w:pPr>
      <w:r>
        <w:lastRenderedPageBreak/>
        <w:t xml:space="preserve">There is a larger tail </w:t>
      </w:r>
      <w:r w:rsidR="00DE2377">
        <w:t>for</w:t>
      </w:r>
      <w:r>
        <w:t xml:space="preserve"> retirement products than </w:t>
      </w:r>
      <w:r w:rsidR="00DE2377">
        <w:t>for</w:t>
      </w:r>
      <w:r>
        <w:t xml:space="preserve"> accumulation products (figure </w:t>
      </w:r>
      <w:r w:rsidR="00A37ECC">
        <w:t>22</w:t>
      </w:r>
      <w:r>
        <w:t xml:space="preserve">). </w:t>
      </w:r>
      <w:r w:rsidR="00930991">
        <w:t>In part t</w:t>
      </w:r>
      <w:r>
        <w:t xml:space="preserve">his </w:t>
      </w:r>
      <w:r w:rsidR="00930991">
        <w:t xml:space="preserve">may </w:t>
      </w:r>
      <w:r>
        <w:t>ref</w:t>
      </w:r>
      <w:r w:rsidR="00DD7436">
        <w:t>l</w:t>
      </w:r>
      <w:r>
        <w:t>ect</w:t>
      </w:r>
      <w:r w:rsidR="00DD7436">
        <w:t xml:space="preserve"> that administration costs are typically higher for retirement products </w:t>
      </w:r>
      <w:r w:rsidR="000D439F">
        <w:t xml:space="preserve">— which could be an indicator of less competition in the retirement segment </w:t>
      </w:r>
      <w:r w:rsidR="00CF7F84">
        <w:t>(draft report, figure </w:t>
      </w:r>
      <w:r w:rsidR="00DD7436">
        <w:t xml:space="preserve">3.8). </w:t>
      </w:r>
      <w:r w:rsidR="00930991">
        <w:t xml:space="preserve">Because of this and other factors, </w:t>
      </w:r>
      <w:r w:rsidR="001F3815">
        <w:t>retirement products are over</w:t>
      </w:r>
      <w:r w:rsidR="001F3815">
        <w:noBreakHyphen/>
        <w:t xml:space="preserve">represented in the </w:t>
      </w:r>
      <w:r w:rsidR="00100FBE">
        <w:t>overall</w:t>
      </w:r>
      <w:r w:rsidR="009F5DC3">
        <w:t xml:space="preserve"> high</w:t>
      </w:r>
      <w:r w:rsidR="009F5DC3">
        <w:noBreakHyphen/>
        <w:t>fee</w:t>
      </w:r>
      <w:r w:rsidR="00100FBE">
        <w:t xml:space="preserve"> </w:t>
      </w:r>
      <w:r w:rsidR="001F3815">
        <w:t>tail. Retirement products account for 3</w:t>
      </w:r>
      <w:r w:rsidR="006F4A78">
        <w:t>3</w:t>
      </w:r>
      <w:r w:rsidR="001F3815">
        <w:t xml:space="preserve"> per cent of </w:t>
      </w:r>
      <w:r w:rsidR="006F4A78">
        <w:t xml:space="preserve">assets </w:t>
      </w:r>
      <w:r w:rsidR="001F3815">
        <w:t xml:space="preserve">in the tail, but just 15 per cent of </w:t>
      </w:r>
      <w:r w:rsidR="006F4A78">
        <w:t xml:space="preserve">assets in products </w:t>
      </w:r>
      <w:r w:rsidR="001F3815">
        <w:t>below the tail.</w:t>
      </w:r>
    </w:p>
    <w:p w:rsidR="009B4940" w:rsidRDefault="009B4940" w:rsidP="009B4940">
      <w:pPr>
        <w:pStyle w:val="BodyText"/>
      </w:pPr>
      <w:r>
        <w:t>Turning from products to funds, in the SuperRatings database in June 2017, 29 per cent of funds had products in the high fee tail (table </w:t>
      </w:r>
      <w:r w:rsidR="00E17D56">
        <w:t>8</w:t>
      </w:r>
      <w:r>
        <w:t>). This proportion was 65 per cent for retail funds and 3 per cent for not</w:t>
      </w:r>
      <w:r>
        <w:noBreakHyphen/>
        <w:t>for</w:t>
      </w:r>
      <w:r>
        <w:noBreakHyphen/>
        <w:t>profit funds. 14 retail funds (out of 40) did not have a high fee product, and 56 not</w:t>
      </w:r>
      <w:r>
        <w:noBreakHyphen/>
        <w:t>for</w:t>
      </w:r>
      <w:r>
        <w:noBreakHyphen/>
        <w:t>profit funds (out of 58) did not have a high fee product.</w:t>
      </w:r>
    </w:p>
    <w:p w:rsidR="009B4940" w:rsidRDefault="009B4940" w:rsidP="009B494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B4940" w:rsidTr="00AB5451">
        <w:trPr>
          <w:tblHeader/>
        </w:trPr>
        <w:tc>
          <w:tcPr>
            <w:tcW w:w="5000" w:type="pct"/>
            <w:tcBorders>
              <w:top w:val="single" w:sz="6" w:space="0" w:color="78A22F"/>
              <w:left w:val="nil"/>
              <w:bottom w:val="nil"/>
              <w:right w:val="nil"/>
            </w:tcBorders>
            <w:shd w:val="clear" w:color="auto" w:fill="auto"/>
          </w:tcPr>
          <w:p w:rsidR="009B4940" w:rsidRDefault="009B4940" w:rsidP="00AB5451">
            <w:pPr>
              <w:pStyle w:val="TableTitle"/>
            </w:pPr>
            <w:r>
              <w:rPr>
                <w:b w:val="0"/>
              </w:rPr>
              <w:t xml:space="preserve">Table </w:t>
            </w:r>
            <w:bookmarkStart w:id="61" w:name="OLE_LINK24"/>
            <w:r w:rsidR="001345FE">
              <w:rPr>
                <w:b w:val="0"/>
                <w:noProof/>
              </w:rPr>
              <w:t>8</w:t>
            </w:r>
            <w:bookmarkEnd w:id="61"/>
            <w:r>
              <w:tab/>
            </w:r>
            <w:bookmarkStart w:id="62" w:name="OLE_LINK59"/>
            <w:r>
              <w:t>What fund types are in the high fee tail?</w:t>
            </w:r>
            <w:bookmarkEnd w:id="62"/>
          </w:p>
          <w:p w:rsidR="009B4940" w:rsidRPr="00784A05" w:rsidRDefault="009B4940" w:rsidP="00AB5451">
            <w:pPr>
              <w:pStyle w:val="Subtitle"/>
            </w:pPr>
            <w:bookmarkStart w:id="63" w:name="OLE_LINK58"/>
            <w:r>
              <w:t>Funds with p</w:t>
            </w:r>
            <w:r w:rsidRPr="008E5683">
              <w:t>roducts with fees exceeding 1.5 per cent of assets</w:t>
            </w:r>
            <w:r>
              <w:t>, June</w:t>
            </w:r>
            <w:r w:rsidRPr="008E5683">
              <w:t xml:space="preserve"> </w:t>
            </w:r>
            <w:r>
              <w:t>2017</w:t>
            </w:r>
            <w:bookmarkEnd w:id="63"/>
          </w:p>
        </w:tc>
      </w:tr>
      <w:tr w:rsidR="009B4940" w:rsidTr="00AB5451">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8"/>
              <w:gridCol w:w="2126"/>
              <w:gridCol w:w="2126"/>
              <w:gridCol w:w="2125"/>
            </w:tblGrid>
            <w:tr w:rsidR="009B4940" w:rsidTr="00AB5451">
              <w:trPr>
                <w:tblHeader/>
              </w:trPr>
              <w:tc>
                <w:tcPr>
                  <w:tcW w:w="1251" w:type="pct"/>
                  <w:tcBorders>
                    <w:top w:val="single" w:sz="6" w:space="0" w:color="BFBFBF"/>
                    <w:bottom w:val="single" w:sz="6" w:space="0" w:color="BFBFBF"/>
                  </w:tcBorders>
                  <w:shd w:val="clear" w:color="auto" w:fill="auto"/>
                  <w:tcMar>
                    <w:top w:w="28" w:type="dxa"/>
                  </w:tcMar>
                </w:tcPr>
                <w:p w:rsidR="009B4940" w:rsidRDefault="009B4940" w:rsidP="00AB5451">
                  <w:pPr>
                    <w:pStyle w:val="TableColumnHeading"/>
                    <w:jc w:val="left"/>
                  </w:pPr>
                </w:p>
              </w:tc>
              <w:tc>
                <w:tcPr>
                  <w:tcW w:w="1250" w:type="pct"/>
                  <w:tcBorders>
                    <w:top w:val="single" w:sz="6" w:space="0" w:color="BFBFBF"/>
                    <w:bottom w:val="single" w:sz="6" w:space="0" w:color="BFBFBF"/>
                  </w:tcBorders>
                </w:tcPr>
                <w:p w:rsidR="009B4940" w:rsidRDefault="009B4940" w:rsidP="00AB5451">
                  <w:pPr>
                    <w:pStyle w:val="TableColumnHeading"/>
                  </w:pPr>
                  <w:r>
                    <w:t>Funds in the tail</w:t>
                  </w:r>
                </w:p>
              </w:tc>
              <w:tc>
                <w:tcPr>
                  <w:tcW w:w="1250" w:type="pct"/>
                  <w:tcBorders>
                    <w:top w:val="single" w:sz="6" w:space="0" w:color="BFBFBF"/>
                    <w:bottom w:val="single" w:sz="6" w:space="0" w:color="BFBFBF"/>
                  </w:tcBorders>
                  <w:shd w:val="clear" w:color="auto" w:fill="auto"/>
                  <w:tcMar>
                    <w:top w:w="28" w:type="dxa"/>
                  </w:tcMar>
                </w:tcPr>
                <w:p w:rsidR="009B4940" w:rsidRDefault="009B4940" w:rsidP="00AB5451">
                  <w:pPr>
                    <w:pStyle w:val="TableColumnHeading"/>
                  </w:pPr>
                  <w:r>
                    <w:t>Funds in the dataset</w:t>
                  </w:r>
                </w:p>
              </w:tc>
              <w:tc>
                <w:tcPr>
                  <w:tcW w:w="1249" w:type="pct"/>
                  <w:tcBorders>
                    <w:top w:val="single" w:sz="6" w:space="0" w:color="BFBFBF"/>
                    <w:bottom w:val="single" w:sz="6" w:space="0" w:color="BFBFBF"/>
                  </w:tcBorders>
                  <w:shd w:val="clear" w:color="auto" w:fill="auto"/>
                  <w:tcMar>
                    <w:top w:w="28" w:type="dxa"/>
                  </w:tcMar>
                </w:tcPr>
                <w:p w:rsidR="009B4940" w:rsidRDefault="009B4940" w:rsidP="00AB5451">
                  <w:pPr>
                    <w:pStyle w:val="TableColumnHeading"/>
                    <w:ind w:right="28"/>
                  </w:pPr>
                  <w:r>
                    <w:t>Share of funds in the tail by fund type</w:t>
                  </w:r>
                </w:p>
              </w:tc>
            </w:tr>
            <w:tr w:rsidR="009B4940" w:rsidTr="00AB5451">
              <w:tc>
                <w:tcPr>
                  <w:tcW w:w="1251" w:type="pct"/>
                  <w:tcBorders>
                    <w:top w:val="single" w:sz="6" w:space="0" w:color="BFBFBF"/>
                  </w:tcBorders>
                </w:tcPr>
                <w:p w:rsidR="009B4940" w:rsidRDefault="009B4940" w:rsidP="00AB5451">
                  <w:pPr>
                    <w:pStyle w:val="TableUnitsRow"/>
                    <w:jc w:val="left"/>
                  </w:pPr>
                </w:p>
              </w:tc>
              <w:tc>
                <w:tcPr>
                  <w:tcW w:w="1250" w:type="pct"/>
                  <w:tcBorders>
                    <w:top w:val="single" w:sz="6" w:space="0" w:color="BFBFBF"/>
                  </w:tcBorders>
                </w:tcPr>
                <w:p w:rsidR="009B4940" w:rsidRDefault="00935163" w:rsidP="00AB5451">
                  <w:pPr>
                    <w:pStyle w:val="TableUnitsRow"/>
                  </w:pPr>
                  <w:r>
                    <w:t>No.</w:t>
                  </w:r>
                </w:p>
              </w:tc>
              <w:tc>
                <w:tcPr>
                  <w:tcW w:w="1250" w:type="pct"/>
                  <w:tcBorders>
                    <w:top w:val="single" w:sz="6" w:space="0" w:color="BFBFBF"/>
                  </w:tcBorders>
                </w:tcPr>
                <w:p w:rsidR="009B4940" w:rsidRDefault="00935163" w:rsidP="00AB5451">
                  <w:pPr>
                    <w:pStyle w:val="TableUnitsRow"/>
                  </w:pPr>
                  <w:r>
                    <w:t>No.</w:t>
                  </w:r>
                </w:p>
              </w:tc>
              <w:tc>
                <w:tcPr>
                  <w:tcW w:w="1249" w:type="pct"/>
                  <w:tcBorders>
                    <w:top w:val="single" w:sz="6" w:space="0" w:color="BFBFBF"/>
                  </w:tcBorders>
                </w:tcPr>
                <w:p w:rsidR="009B4940" w:rsidRDefault="009B4940" w:rsidP="00AB5451">
                  <w:pPr>
                    <w:pStyle w:val="TableUnitsRow"/>
                    <w:ind w:right="28"/>
                  </w:pPr>
                  <w:r>
                    <w:t>%</w:t>
                  </w:r>
                </w:p>
              </w:tc>
            </w:tr>
            <w:tr w:rsidR="009B4940" w:rsidTr="00935163">
              <w:tc>
                <w:tcPr>
                  <w:tcW w:w="1251" w:type="pct"/>
                </w:tcPr>
                <w:p w:rsidR="009B4940" w:rsidRDefault="009B4940" w:rsidP="00AB5451">
                  <w:pPr>
                    <w:pStyle w:val="TableBodyText"/>
                    <w:jc w:val="left"/>
                  </w:pPr>
                  <w:r>
                    <w:t>Retail</w:t>
                  </w:r>
                </w:p>
              </w:tc>
              <w:tc>
                <w:tcPr>
                  <w:tcW w:w="1250" w:type="pct"/>
                </w:tcPr>
                <w:p w:rsidR="009B4940" w:rsidRDefault="009B4940" w:rsidP="00AB5451">
                  <w:pPr>
                    <w:pStyle w:val="TableBodyText"/>
                  </w:pPr>
                  <w:r>
                    <w:t>26</w:t>
                  </w:r>
                </w:p>
              </w:tc>
              <w:tc>
                <w:tcPr>
                  <w:tcW w:w="1250" w:type="pct"/>
                </w:tcPr>
                <w:p w:rsidR="009B4940" w:rsidRDefault="009B4940" w:rsidP="00AB5451">
                  <w:pPr>
                    <w:pStyle w:val="TableBodyText"/>
                  </w:pPr>
                  <w:r>
                    <w:t>40</w:t>
                  </w:r>
                </w:p>
              </w:tc>
              <w:tc>
                <w:tcPr>
                  <w:tcW w:w="1249" w:type="pct"/>
                </w:tcPr>
                <w:p w:rsidR="009B4940" w:rsidRDefault="009B4940" w:rsidP="00AB5451">
                  <w:pPr>
                    <w:pStyle w:val="TableBodyText"/>
                    <w:ind w:right="28"/>
                  </w:pPr>
                  <w:r>
                    <w:t>65</w:t>
                  </w:r>
                </w:p>
              </w:tc>
            </w:tr>
            <w:tr w:rsidR="009B4940" w:rsidTr="00935163">
              <w:tc>
                <w:tcPr>
                  <w:tcW w:w="1251" w:type="pct"/>
                  <w:shd w:val="pct5" w:color="auto" w:fill="auto"/>
                </w:tcPr>
                <w:p w:rsidR="009B4940" w:rsidRDefault="009B4940" w:rsidP="00AB5451">
                  <w:pPr>
                    <w:pStyle w:val="TableBodyText"/>
                    <w:jc w:val="left"/>
                  </w:pPr>
                  <w:r>
                    <w:t>Not</w:t>
                  </w:r>
                  <w:r>
                    <w:noBreakHyphen/>
                    <w:t>for</w:t>
                  </w:r>
                  <w:r>
                    <w:noBreakHyphen/>
                    <w:t>profit</w:t>
                  </w:r>
                </w:p>
              </w:tc>
              <w:tc>
                <w:tcPr>
                  <w:tcW w:w="1250" w:type="pct"/>
                  <w:shd w:val="pct5" w:color="auto" w:fill="auto"/>
                </w:tcPr>
                <w:p w:rsidR="009B4940" w:rsidRDefault="009B4940" w:rsidP="00AB5451">
                  <w:pPr>
                    <w:pStyle w:val="TableBodyText"/>
                  </w:pPr>
                  <w:r>
                    <w:t>2</w:t>
                  </w:r>
                </w:p>
              </w:tc>
              <w:tc>
                <w:tcPr>
                  <w:tcW w:w="1250" w:type="pct"/>
                  <w:shd w:val="pct5" w:color="auto" w:fill="auto"/>
                </w:tcPr>
                <w:p w:rsidR="009B4940" w:rsidRDefault="009B4940" w:rsidP="00AB5451">
                  <w:pPr>
                    <w:pStyle w:val="TableBodyText"/>
                  </w:pPr>
                  <w:r>
                    <w:t>58</w:t>
                  </w:r>
                </w:p>
              </w:tc>
              <w:tc>
                <w:tcPr>
                  <w:tcW w:w="1249" w:type="pct"/>
                  <w:shd w:val="pct5" w:color="auto" w:fill="auto"/>
                </w:tcPr>
                <w:p w:rsidR="009B4940" w:rsidRDefault="009B4940" w:rsidP="00AB5451">
                  <w:pPr>
                    <w:pStyle w:val="TableBodyText"/>
                    <w:ind w:right="28"/>
                  </w:pPr>
                  <w:r>
                    <w:t>3</w:t>
                  </w:r>
                </w:p>
              </w:tc>
            </w:tr>
            <w:tr w:rsidR="009B4940" w:rsidTr="00AB5451">
              <w:tc>
                <w:tcPr>
                  <w:tcW w:w="1251" w:type="pct"/>
                  <w:tcBorders>
                    <w:bottom w:val="single" w:sz="6" w:space="0" w:color="BFBFBF"/>
                  </w:tcBorders>
                  <w:shd w:val="clear" w:color="auto" w:fill="auto"/>
                </w:tcPr>
                <w:p w:rsidR="009B4940" w:rsidRDefault="009B4940" w:rsidP="00AB5451">
                  <w:pPr>
                    <w:pStyle w:val="TableBodyText"/>
                    <w:jc w:val="left"/>
                  </w:pPr>
                  <w:r>
                    <w:t>Total</w:t>
                  </w:r>
                </w:p>
              </w:tc>
              <w:tc>
                <w:tcPr>
                  <w:tcW w:w="1250" w:type="pct"/>
                  <w:tcBorders>
                    <w:bottom w:val="single" w:sz="6" w:space="0" w:color="BFBFBF"/>
                  </w:tcBorders>
                </w:tcPr>
                <w:p w:rsidR="009B4940" w:rsidRDefault="009B4940" w:rsidP="00AB5451">
                  <w:pPr>
                    <w:pStyle w:val="TableBodyText"/>
                  </w:pPr>
                  <w:r>
                    <w:t>28</w:t>
                  </w:r>
                </w:p>
              </w:tc>
              <w:tc>
                <w:tcPr>
                  <w:tcW w:w="1250" w:type="pct"/>
                  <w:tcBorders>
                    <w:bottom w:val="single" w:sz="6" w:space="0" w:color="BFBFBF"/>
                  </w:tcBorders>
                  <w:shd w:val="clear" w:color="auto" w:fill="auto"/>
                </w:tcPr>
                <w:p w:rsidR="009B4940" w:rsidRDefault="009B4940" w:rsidP="00AB5451">
                  <w:pPr>
                    <w:pStyle w:val="TableBodyText"/>
                  </w:pPr>
                  <w:r>
                    <w:t>98</w:t>
                  </w:r>
                </w:p>
              </w:tc>
              <w:tc>
                <w:tcPr>
                  <w:tcW w:w="1249" w:type="pct"/>
                  <w:tcBorders>
                    <w:bottom w:val="single" w:sz="6" w:space="0" w:color="BFBFBF"/>
                  </w:tcBorders>
                  <w:shd w:val="clear" w:color="auto" w:fill="auto"/>
                </w:tcPr>
                <w:p w:rsidR="009B4940" w:rsidRDefault="009B4940" w:rsidP="00AB5451">
                  <w:pPr>
                    <w:pStyle w:val="TableBodyText"/>
                    <w:ind w:right="28"/>
                  </w:pPr>
                  <w:r>
                    <w:t>29</w:t>
                  </w:r>
                </w:p>
              </w:tc>
            </w:tr>
          </w:tbl>
          <w:p w:rsidR="009B4940" w:rsidRDefault="009B4940" w:rsidP="00AB5451">
            <w:pPr>
              <w:pStyle w:val="Box"/>
            </w:pPr>
          </w:p>
        </w:tc>
      </w:tr>
      <w:tr w:rsidR="009B4940" w:rsidTr="00AB5451">
        <w:tc>
          <w:tcPr>
            <w:tcW w:w="5000" w:type="pct"/>
            <w:tcBorders>
              <w:top w:val="nil"/>
              <w:left w:val="nil"/>
              <w:bottom w:val="nil"/>
              <w:right w:val="nil"/>
            </w:tcBorders>
            <w:shd w:val="clear" w:color="auto" w:fill="auto"/>
          </w:tcPr>
          <w:p w:rsidR="009B4940" w:rsidRDefault="009B4940" w:rsidP="00AB5451">
            <w:pPr>
              <w:pStyle w:val="Source"/>
            </w:pPr>
            <w:r>
              <w:rPr>
                <w:i/>
              </w:rPr>
              <w:t>Source</w:t>
            </w:r>
            <w:r w:rsidRPr="00167F06">
              <w:t xml:space="preserve">: </w:t>
            </w:r>
            <w:r w:rsidRPr="00CE3044">
              <w:t>PC analysis of SuperRatings data.</w:t>
            </w:r>
          </w:p>
        </w:tc>
      </w:tr>
      <w:tr w:rsidR="009B4940" w:rsidTr="00AB5451">
        <w:tc>
          <w:tcPr>
            <w:tcW w:w="5000" w:type="pct"/>
            <w:tcBorders>
              <w:top w:val="nil"/>
              <w:left w:val="nil"/>
              <w:bottom w:val="single" w:sz="6" w:space="0" w:color="78A22F"/>
              <w:right w:val="nil"/>
            </w:tcBorders>
            <w:shd w:val="clear" w:color="auto" w:fill="auto"/>
          </w:tcPr>
          <w:p w:rsidR="009B4940" w:rsidRDefault="009B4940" w:rsidP="00AB5451">
            <w:pPr>
              <w:pStyle w:val="Box"/>
              <w:spacing w:before="0" w:line="120" w:lineRule="exact"/>
            </w:pPr>
          </w:p>
        </w:tc>
      </w:tr>
      <w:tr w:rsidR="009B4940" w:rsidRPr="000863A5" w:rsidTr="00AB5451">
        <w:tc>
          <w:tcPr>
            <w:tcW w:w="5000" w:type="pct"/>
            <w:tcBorders>
              <w:top w:val="single" w:sz="6" w:space="0" w:color="78A22F"/>
              <w:left w:val="nil"/>
              <w:bottom w:val="nil"/>
              <w:right w:val="nil"/>
            </w:tcBorders>
          </w:tcPr>
          <w:p w:rsidR="009B4940" w:rsidRPr="00626D32" w:rsidRDefault="009B4940" w:rsidP="00AB5451">
            <w:pPr>
              <w:pStyle w:val="BoxSpaceBelow"/>
            </w:pPr>
          </w:p>
        </w:tc>
      </w:tr>
    </w:tbl>
    <w:p w:rsidR="005172ED" w:rsidRDefault="005172ED" w:rsidP="0072455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5172ED" w:rsidTr="004F59E2">
        <w:trPr>
          <w:tblHeader/>
        </w:trPr>
        <w:tc>
          <w:tcPr>
            <w:tcW w:w="5000" w:type="pct"/>
            <w:tcBorders>
              <w:top w:val="single" w:sz="6" w:space="0" w:color="78A22F"/>
              <w:left w:val="nil"/>
              <w:bottom w:val="nil"/>
              <w:right w:val="nil"/>
            </w:tcBorders>
            <w:shd w:val="clear" w:color="auto" w:fill="auto"/>
          </w:tcPr>
          <w:p w:rsidR="005172ED" w:rsidRDefault="005172ED" w:rsidP="004F59E2">
            <w:pPr>
              <w:pStyle w:val="FigureTitle"/>
            </w:pPr>
            <w:r w:rsidRPr="00784A05">
              <w:rPr>
                <w:b w:val="0"/>
              </w:rPr>
              <w:t xml:space="preserve">Figure </w:t>
            </w:r>
            <w:bookmarkStart w:id="64" w:name="OLE_LINK26"/>
            <w:r w:rsidR="001345FE">
              <w:rPr>
                <w:b w:val="0"/>
                <w:noProof/>
              </w:rPr>
              <w:t>22</w:t>
            </w:r>
            <w:bookmarkEnd w:id="64"/>
            <w:r>
              <w:tab/>
            </w:r>
            <w:bookmarkStart w:id="65" w:name="OLE_LINK55"/>
            <w:r w:rsidR="004F59E2">
              <w:t xml:space="preserve">There is a </w:t>
            </w:r>
            <w:r w:rsidR="009B4940">
              <w:t xml:space="preserve">greater </w:t>
            </w:r>
            <w:r w:rsidR="004F59E2">
              <w:t xml:space="preserve">dispersion of </w:t>
            </w:r>
            <w:r w:rsidR="00DB302B">
              <w:t xml:space="preserve">fees on </w:t>
            </w:r>
            <w:r w:rsidR="004F59E2">
              <w:t>r</w:t>
            </w:r>
            <w:r>
              <w:t xml:space="preserve">etirement products </w:t>
            </w:r>
            <w:r w:rsidR="004F59E2">
              <w:t>than accumulation products</w:t>
            </w:r>
            <w:bookmarkEnd w:id="65"/>
          </w:p>
          <w:p w:rsidR="005172ED" w:rsidRPr="00176D3F" w:rsidRDefault="005172ED" w:rsidP="00CF7F84">
            <w:pPr>
              <w:pStyle w:val="Subtitle"/>
              <w:tabs>
                <w:tab w:val="left" w:pos="2535"/>
              </w:tabs>
            </w:pPr>
            <w:r>
              <w:t>2017</w:t>
            </w:r>
            <w:r w:rsidR="00CF7F84">
              <w:tab/>
            </w:r>
          </w:p>
        </w:tc>
      </w:tr>
      <w:tr w:rsidR="005172ED" w:rsidTr="004F59E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5172ED" w:rsidRPr="00B1465D" w:rsidTr="005172ED">
              <w:trPr>
                <w:trHeight w:val="120"/>
                <w:tblHeader/>
                <w:jc w:val="center"/>
              </w:trPr>
              <w:tc>
                <w:tcPr>
                  <w:tcW w:w="5000" w:type="pct"/>
                  <w:tcBorders>
                    <w:top w:val="nil"/>
                    <w:bottom w:val="nil"/>
                  </w:tcBorders>
                </w:tcPr>
                <w:p w:rsidR="005172ED" w:rsidRPr="00B1465D" w:rsidRDefault="009A3412" w:rsidP="004F59E2">
                  <w:pPr>
                    <w:pStyle w:val="Figure"/>
                    <w:spacing w:before="60" w:after="60"/>
                    <w:rPr>
                      <w:rFonts w:ascii="Arial" w:hAnsi="Arial" w:cs="Arial"/>
                      <w:sz w:val="18"/>
                      <w:szCs w:val="18"/>
                    </w:rPr>
                  </w:pPr>
                  <w:r>
                    <w:rPr>
                      <w:rFonts w:ascii="Arial" w:hAnsi="Arial" w:cs="Arial"/>
                      <w:noProof/>
                      <w:sz w:val="18"/>
                      <w:szCs w:val="18"/>
                    </w:rPr>
                    <w:drawing>
                      <wp:inline distT="0" distB="0" distL="0" distR="0" wp14:anchorId="46499027" wp14:editId="0F2C0E73">
                        <wp:extent cx="4743450" cy="2732242"/>
                        <wp:effectExtent l="0" t="0" r="0" b="0"/>
                        <wp:docPr id="13" name="Picture 13" descr="This figure shows the dispersion of base fees (the sum of administration and investment fees) as a per cent share of assets in 2017 for accumulation products and for retirement products. It shows that the distribution of member accounts in retirement products is skewed more towards higher fees than member accounts in accumulation products, including a larger proportion of member accounts with fees over 1.5 per cent of ass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43450" cy="2732242"/>
                                </a:xfrm>
                                <a:prstGeom prst="rect">
                                  <a:avLst/>
                                </a:prstGeom>
                                <a:noFill/>
                              </pic:spPr>
                            </pic:pic>
                          </a:graphicData>
                        </a:graphic>
                      </wp:inline>
                    </w:drawing>
                  </w:r>
                </w:p>
              </w:tc>
            </w:tr>
          </w:tbl>
          <w:p w:rsidR="005172ED" w:rsidRDefault="005172ED" w:rsidP="004F59E2">
            <w:pPr>
              <w:pStyle w:val="Figure"/>
            </w:pPr>
          </w:p>
        </w:tc>
      </w:tr>
      <w:tr w:rsidR="005172ED" w:rsidRPr="00176D3F" w:rsidTr="004F59E2">
        <w:tc>
          <w:tcPr>
            <w:tcW w:w="5000" w:type="pct"/>
            <w:tcBorders>
              <w:top w:val="nil"/>
              <w:left w:val="nil"/>
              <w:bottom w:val="nil"/>
              <w:right w:val="nil"/>
            </w:tcBorders>
            <w:shd w:val="clear" w:color="auto" w:fill="auto"/>
          </w:tcPr>
          <w:p w:rsidR="005172ED" w:rsidRPr="00176D3F" w:rsidRDefault="000C2A47" w:rsidP="004F59E2">
            <w:pPr>
              <w:pStyle w:val="Source"/>
            </w:pPr>
            <w:r>
              <w:rPr>
                <w:i/>
              </w:rPr>
              <w:t>S</w:t>
            </w:r>
            <w:r w:rsidR="005172ED" w:rsidRPr="00784A05">
              <w:rPr>
                <w:i/>
              </w:rPr>
              <w:t>ource</w:t>
            </w:r>
            <w:r w:rsidR="005172ED" w:rsidRPr="00176D3F">
              <w:t xml:space="preserve">: </w:t>
            </w:r>
            <w:r w:rsidRPr="000C2A47">
              <w:t>PC analysis of SuperRatings data</w:t>
            </w:r>
            <w:r w:rsidR="0026665D">
              <w:t>.</w:t>
            </w:r>
          </w:p>
        </w:tc>
      </w:tr>
      <w:tr w:rsidR="005172ED" w:rsidTr="004F59E2">
        <w:tc>
          <w:tcPr>
            <w:tcW w:w="5000" w:type="pct"/>
            <w:tcBorders>
              <w:top w:val="nil"/>
              <w:left w:val="nil"/>
              <w:bottom w:val="single" w:sz="6" w:space="0" w:color="78A22F"/>
              <w:right w:val="nil"/>
            </w:tcBorders>
            <w:shd w:val="clear" w:color="auto" w:fill="auto"/>
          </w:tcPr>
          <w:p w:rsidR="005172ED" w:rsidRDefault="005172ED" w:rsidP="004F59E2">
            <w:pPr>
              <w:pStyle w:val="Figurespace"/>
            </w:pPr>
          </w:p>
        </w:tc>
      </w:tr>
      <w:tr w:rsidR="005172ED" w:rsidRPr="000863A5" w:rsidTr="004F59E2">
        <w:tc>
          <w:tcPr>
            <w:tcW w:w="5000" w:type="pct"/>
            <w:tcBorders>
              <w:top w:val="single" w:sz="6" w:space="0" w:color="78A22F"/>
              <w:left w:val="nil"/>
              <w:bottom w:val="nil"/>
              <w:right w:val="nil"/>
            </w:tcBorders>
          </w:tcPr>
          <w:p w:rsidR="005172ED" w:rsidRPr="00626D32" w:rsidRDefault="005172ED" w:rsidP="004F59E2">
            <w:pPr>
              <w:pStyle w:val="BoxSpaceBelow"/>
            </w:pPr>
          </w:p>
        </w:tc>
      </w:tr>
    </w:tbl>
    <w:p w:rsidR="00F6365D" w:rsidRDefault="00F6365D" w:rsidP="00F6365D">
      <w:pPr>
        <w:pStyle w:val="Heading3"/>
        <w:rPr>
          <w:i/>
        </w:rPr>
      </w:pPr>
      <w:bookmarkStart w:id="66" w:name="_Toc528158048"/>
      <w:bookmarkStart w:id="67" w:name="_Toc528229670"/>
      <w:bookmarkStart w:id="68" w:name="_Toc528298320"/>
      <w:r w:rsidRPr="00F6365D">
        <w:lastRenderedPageBreak/>
        <w:t>Financial</w:t>
      </w:r>
      <w:r>
        <w:t xml:space="preserve"> advice fees</w:t>
      </w:r>
      <w:bookmarkEnd w:id="66"/>
      <w:bookmarkEnd w:id="67"/>
      <w:bookmarkEnd w:id="68"/>
    </w:p>
    <w:p w:rsidR="00D82EC1" w:rsidRPr="00F6365D" w:rsidRDefault="00F6365D" w:rsidP="00F6365D">
      <w:pPr>
        <w:pStyle w:val="BodyText"/>
        <w:rPr>
          <w:i/>
        </w:rPr>
      </w:pPr>
      <w:r>
        <w:rPr>
          <w:i/>
        </w:rPr>
        <w:t>A</w:t>
      </w:r>
      <w:r w:rsidR="00D82EC1" w:rsidRPr="00F6365D">
        <w:rPr>
          <w:i/>
        </w:rPr>
        <w:t>re high financial advice fees concentrated in specific parts of the system?</w:t>
      </w:r>
    </w:p>
    <w:p w:rsidR="001E52B5" w:rsidRPr="00F6365D" w:rsidRDefault="0012496F" w:rsidP="00F6365D">
      <w:pPr>
        <w:pStyle w:val="BodyText"/>
      </w:pPr>
      <w:r>
        <w:t>While</w:t>
      </w:r>
      <w:r w:rsidR="00192B07">
        <w:t xml:space="preserve"> financial</w:t>
      </w:r>
      <w:r>
        <w:t xml:space="preserve"> advice can benefit members, a</w:t>
      </w:r>
      <w:r w:rsidR="001E52B5" w:rsidRPr="00F6365D">
        <w:t xml:space="preserve">dvice fees </w:t>
      </w:r>
      <w:r>
        <w:t xml:space="preserve">themselves </w:t>
      </w:r>
      <w:r w:rsidR="001E52B5" w:rsidRPr="00F6365D">
        <w:t>erode member balances.</w:t>
      </w:r>
      <w:r w:rsidR="00941FB8" w:rsidRPr="00F6365D" w:rsidDel="00430878">
        <w:t xml:space="preserve"> </w:t>
      </w:r>
      <w:r w:rsidR="00430878" w:rsidRPr="00F6365D">
        <w:t>This section</w:t>
      </w:r>
      <w:r w:rsidR="00941FB8" w:rsidRPr="00F6365D">
        <w:t xml:space="preserve"> </w:t>
      </w:r>
      <w:r w:rsidR="00842CC2" w:rsidRPr="00F6365D">
        <w:t>presents</w:t>
      </w:r>
      <w:r w:rsidR="00941FB8" w:rsidRPr="00F6365D">
        <w:t xml:space="preserve"> </w:t>
      </w:r>
      <w:r w:rsidR="00AB33A4" w:rsidRPr="00F6365D">
        <w:t xml:space="preserve">advice </w:t>
      </w:r>
      <w:r w:rsidR="00941FB8" w:rsidRPr="00F6365D">
        <w:t>fee revenue data published by APRA</w:t>
      </w:r>
      <w:r w:rsidR="00842CC2" w:rsidRPr="00F6365D">
        <w:t xml:space="preserve"> </w:t>
      </w:r>
      <w:r w:rsidR="00520ECB" w:rsidRPr="00F6365D">
        <w:t xml:space="preserve">and by the Royal Commission into Misconduct in the Banking, Superannuation and Financial Services Industry (the </w:t>
      </w:r>
      <w:r w:rsidR="00790B5A">
        <w:t xml:space="preserve">Financial Services </w:t>
      </w:r>
      <w:r w:rsidR="00520ECB" w:rsidRPr="00F6365D">
        <w:t>Royal Commission)</w:t>
      </w:r>
      <w:r w:rsidR="00842CC2" w:rsidRPr="00F6365D">
        <w:t>.</w:t>
      </w:r>
    </w:p>
    <w:p w:rsidR="00B907B2" w:rsidRDefault="00BC3714" w:rsidP="005437D7">
      <w:pPr>
        <w:pStyle w:val="BodyText"/>
      </w:pPr>
      <w:r>
        <w:t>APRA</w:t>
      </w:r>
      <w:r w:rsidR="0012496F">
        <w:t xml:space="preserve"> data indicate </w:t>
      </w:r>
      <w:r w:rsidR="00B907B2">
        <w:t>that advice fee revenue is hea</w:t>
      </w:r>
      <w:r w:rsidR="00D17C01">
        <w:t xml:space="preserve">vily concentrated in the retail </w:t>
      </w:r>
      <w:r w:rsidR="00B907B2">
        <w:t>segment</w:t>
      </w:r>
      <w:r w:rsidR="0012496F">
        <w:t> (figure 2</w:t>
      </w:r>
      <w:r w:rsidR="007D24A2">
        <w:t>3</w:t>
      </w:r>
      <w:r w:rsidR="0012496F">
        <w:t>)</w:t>
      </w:r>
      <w:r w:rsidR="00B907B2">
        <w:t>.</w:t>
      </w:r>
      <w:r w:rsidR="0012496F" w:rsidRPr="00BC3714">
        <w:rPr>
          <w:rStyle w:val="FootnoteReference"/>
        </w:rPr>
        <w:footnoteReference w:id="10"/>
      </w:r>
      <w:r w:rsidR="00B907B2">
        <w:t xml:space="preserve"> </w:t>
      </w:r>
      <w:r w:rsidR="00B907B2" w:rsidRPr="00C5509E">
        <w:t xml:space="preserve">In the </w:t>
      </w:r>
      <w:r w:rsidR="00B907B2">
        <w:t xml:space="preserve">publicly available </w:t>
      </w:r>
      <w:r w:rsidR="00B907B2" w:rsidRPr="00C5509E">
        <w:t xml:space="preserve">APRA </w:t>
      </w:r>
      <w:r w:rsidR="00B907B2">
        <w:t>fund level</w:t>
      </w:r>
      <w:r w:rsidR="00B907B2" w:rsidRPr="00C5509E">
        <w:t xml:space="preserve"> data, 82 funds </w:t>
      </w:r>
      <w:r w:rsidR="00B907B2">
        <w:t xml:space="preserve">reported </w:t>
      </w:r>
      <w:r w:rsidR="00B907B2" w:rsidRPr="00C5509E">
        <w:t>collect</w:t>
      </w:r>
      <w:r w:rsidR="00B907B2">
        <w:t>ing</w:t>
      </w:r>
      <w:r w:rsidR="00B907B2" w:rsidRPr="00C5509E">
        <w:t xml:space="preserve"> advice related fee revenue</w:t>
      </w:r>
      <w:r w:rsidR="00B907B2">
        <w:t xml:space="preserve"> in June 2017, totalling $1.6 billion</w:t>
      </w:r>
      <w:r w:rsidR="00B907B2" w:rsidRPr="00C5509E">
        <w:t xml:space="preserve">. Ten funds </w:t>
      </w:r>
      <w:r w:rsidR="00B907B2">
        <w:t>accounted for</w:t>
      </w:r>
      <w:r w:rsidR="00B907B2" w:rsidRPr="00C5509E">
        <w:t xml:space="preserve"> over 90 per cent of </w:t>
      </w:r>
      <w:r w:rsidR="00B907B2">
        <w:t>this</w:t>
      </w:r>
      <w:r w:rsidR="00335311">
        <w:t xml:space="preserve"> </w:t>
      </w:r>
      <w:r w:rsidR="00B907B2">
        <w:t>revenue, totalling $1.4 billion</w:t>
      </w:r>
      <w:r w:rsidR="00A97708">
        <w:t xml:space="preserve"> </w:t>
      </w:r>
      <w:r w:rsidR="0012496F">
        <w:t xml:space="preserve">in 2017 </w:t>
      </w:r>
      <w:r w:rsidR="00A97708">
        <w:t>— or $341 per member account</w:t>
      </w:r>
      <w:r w:rsidR="003042AF">
        <w:t xml:space="preserve"> in those funds</w:t>
      </w:r>
      <w:r w:rsidR="00A97708">
        <w:t>, on average</w:t>
      </w:r>
      <w:r w:rsidR="00B907B2">
        <w:t> (table </w:t>
      </w:r>
      <w:r w:rsidR="00E17D56">
        <w:t>9</w:t>
      </w:r>
      <w:r w:rsidR="00B907B2">
        <w:t xml:space="preserve">). </w:t>
      </w:r>
      <w:r w:rsidR="003F7C61">
        <w:t>A</w:t>
      </w:r>
      <w:r w:rsidR="00B907B2" w:rsidRPr="00C5509E">
        <w:t>ll</w:t>
      </w:r>
      <w:r w:rsidR="003F7C61">
        <w:t xml:space="preserve"> were</w:t>
      </w:r>
      <w:r w:rsidR="00B907B2" w:rsidRPr="00C5509E">
        <w:t xml:space="preserve"> retail funds. For these ten funds, advice fees constitute</w:t>
      </w:r>
      <w:r w:rsidR="00B907B2">
        <w:t>d</w:t>
      </w:r>
      <w:r w:rsidR="00B907B2" w:rsidRPr="00C5509E">
        <w:t xml:space="preserve"> 37</w:t>
      </w:r>
      <w:r w:rsidR="007A4B52">
        <w:t> </w:t>
      </w:r>
      <w:r w:rsidR="00B907B2" w:rsidRPr="00C5509E">
        <w:t xml:space="preserve">per cent of collected </w:t>
      </w:r>
      <w:r w:rsidR="00B907B2">
        <w:t xml:space="preserve">total </w:t>
      </w:r>
      <w:r w:rsidR="00B907B2" w:rsidRPr="00C5509E">
        <w:t>fee revenue</w:t>
      </w:r>
      <w:r w:rsidR="00B907B2">
        <w:t>.</w:t>
      </w:r>
    </w:p>
    <w:p w:rsidR="00A50995" w:rsidRDefault="00A50995" w:rsidP="00EF7FF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50995" w:rsidTr="00EF7FF1">
        <w:trPr>
          <w:tblHeader/>
        </w:trPr>
        <w:tc>
          <w:tcPr>
            <w:tcW w:w="5000" w:type="pct"/>
            <w:tcBorders>
              <w:top w:val="single" w:sz="6" w:space="0" w:color="78A22F"/>
              <w:left w:val="nil"/>
              <w:bottom w:val="nil"/>
              <w:right w:val="nil"/>
            </w:tcBorders>
            <w:shd w:val="clear" w:color="auto" w:fill="auto"/>
          </w:tcPr>
          <w:p w:rsidR="00A50995" w:rsidRDefault="00A50995" w:rsidP="00EF7FF1">
            <w:pPr>
              <w:pStyle w:val="FigureTitle"/>
            </w:pPr>
            <w:r w:rsidRPr="00784A05">
              <w:rPr>
                <w:b w:val="0"/>
              </w:rPr>
              <w:t xml:space="preserve">Figure </w:t>
            </w:r>
            <w:bookmarkStart w:id="69" w:name="OLE_LINK27"/>
            <w:r w:rsidR="001345FE">
              <w:rPr>
                <w:b w:val="0"/>
                <w:noProof/>
              </w:rPr>
              <w:t>23</w:t>
            </w:r>
            <w:bookmarkEnd w:id="69"/>
            <w:r>
              <w:tab/>
            </w:r>
            <w:r w:rsidR="00B907B2">
              <w:t>Advice f</w:t>
            </w:r>
            <w:r>
              <w:t xml:space="preserve">ee revenue varies </w:t>
            </w:r>
            <w:r w:rsidR="00B907B2">
              <w:t xml:space="preserve">markedly </w:t>
            </w:r>
            <w:r>
              <w:t>between fund types</w:t>
            </w:r>
            <w:r w:rsidR="00CB2172" w:rsidRPr="00B907B2">
              <w:rPr>
                <w:rStyle w:val="NoteLabel"/>
                <w:b/>
              </w:rPr>
              <w:t>a</w:t>
            </w:r>
            <w:r w:rsidR="00BC3714">
              <w:rPr>
                <w:rStyle w:val="NoteLabel"/>
                <w:b/>
              </w:rPr>
              <w:t>,b</w:t>
            </w:r>
          </w:p>
          <w:p w:rsidR="00A50995" w:rsidRPr="00176D3F" w:rsidRDefault="00A50995" w:rsidP="00A50995">
            <w:pPr>
              <w:pStyle w:val="Subtitle"/>
            </w:pPr>
            <w:r>
              <w:t>APRA</w:t>
            </w:r>
            <w:r>
              <w:noBreakHyphen/>
              <w:t>regulated funds, 2014</w:t>
            </w:r>
            <w:r w:rsidR="003042AF">
              <w:t>–</w:t>
            </w:r>
            <w:r>
              <w:t>2017</w:t>
            </w:r>
            <w:r w:rsidR="00B907B2">
              <w:t xml:space="preserve"> (years end June)</w:t>
            </w:r>
          </w:p>
        </w:tc>
      </w:tr>
      <w:tr w:rsidR="00A50995" w:rsidTr="00EF7FF1">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A50995" w:rsidRPr="00B1465D" w:rsidTr="00BC1461">
              <w:trPr>
                <w:trHeight w:val="120"/>
                <w:tblHeader/>
                <w:jc w:val="center"/>
              </w:trPr>
              <w:tc>
                <w:tcPr>
                  <w:tcW w:w="5000" w:type="pct"/>
                  <w:tcBorders>
                    <w:top w:val="nil"/>
                    <w:bottom w:val="nil"/>
                  </w:tcBorders>
                </w:tcPr>
                <w:p w:rsidR="00A50995" w:rsidRPr="00B1465D" w:rsidRDefault="00830D60" w:rsidP="00EF7FF1">
                  <w:pPr>
                    <w:pStyle w:val="Figure"/>
                    <w:spacing w:before="60" w:after="60"/>
                    <w:rPr>
                      <w:rFonts w:ascii="Arial" w:hAnsi="Arial" w:cs="Arial"/>
                      <w:sz w:val="18"/>
                      <w:szCs w:val="18"/>
                    </w:rPr>
                  </w:pPr>
                  <w:r>
                    <w:rPr>
                      <w:rFonts w:ascii="Arial" w:hAnsi="Arial" w:cs="Arial"/>
                      <w:noProof/>
                      <w:sz w:val="18"/>
                      <w:szCs w:val="18"/>
                    </w:rPr>
                    <w:drawing>
                      <wp:inline distT="0" distB="0" distL="0" distR="0" wp14:anchorId="283302EF" wp14:editId="4804444B">
                        <wp:extent cx="5362575" cy="2545481"/>
                        <wp:effectExtent l="0" t="0" r="0" b="7620"/>
                        <wp:docPr id="9" name="Picture 9" descr="This figure shows the revenue from different categories of fees as a per cent share of assets in the years 2014 to 2017. Fee categories are investment, administration, advice and other. It shows that retail funds collect higher fee revenues than other fund types (industry, corporate and public sector) across all fee catego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79263" cy="2553402"/>
                                </a:xfrm>
                                <a:prstGeom prst="rect">
                                  <a:avLst/>
                                </a:prstGeom>
                                <a:noFill/>
                              </pic:spPr>
                            </pic:pic>
                          </a:graphicData>
                        </a:graphic>
                      </wp:inline>
                    </w:drawing>
                  </w:r>
                </w:p>
              </w:tc>
            </w:tr>
          </w:tbl>
          <w:p w:rsidR="00A50995" w:rsidRDefault="00A50995" w:rsidP="00EF7FF1">
            <w:pPr>
              <w:pStyle w:val="Figure"/>
            </w:pPr>
          </w:p>
        </w:tc>
      </w:tr>
      <w:tr w:rsidR="00A50995" w:rsidRPr="00176D3F" w:rsidTr="00EF7FF1">
        <w:tc>
          <w:tcPr>
            <w:tcW w:w="5000" w:type="pct"/>
            <w:tcBorders>
              <w:top w:val="nil"/>
              <w:left w:val="nil"/>
              <w:bottom w:val="nil"/>
              <w:right w:val="nil"/>
            </w:tcBorders>
            <w:shd w:val="clear" w:color="auto" w:fill="auto"/>
          </w:tcPr>
          <w:p w:rsidR="00A50995" w:rsidRPr="00176D3F" w:rsidRDefault="00A50995" w:rsidP="00EF7FF1">
            <w:pPr>
              <w:pStyle w:val="Note"/>
            </w:pPr>
            <w:r>
              <w:rPr>
                <w:rStyle w:val="NoteLabel"/>
              </w:rPr>
              <w:t>a</w:t>
            </w:r>
            <w:r>
              <w:t xml:space="preserve"> </w:t>
            </w:r>
            <w:r w:rsidRPr="00A50995">
              <w:t>Non</w:t>
            </w:r>
            <w:r w:rsidR="00617DD2">
              <w:noBreakHyphen/>
            </w:r>
            <w:r w:rsidRPr="00A50995">
              <w:t>reporting of investment fee revenue by some funds distorts the comparison</w:t>
            </w:r>
            <w:r w:rsidR="007970A1">
              <w:t>, and may explain why average fee revenue for retail funds (about 1.0 per cent</w:t>
            </w:r>
            <w:r w:rsidR="003042AF">
              <w:t xml:space="preserve"> of assets</w:t>
            </w:r>
            <w:r w:rsidR="007970A1">
              <w:t xml:space="preserve">) is below average </w:t>
            </w:r>
            <w:r w:rsidR="004A7A3B">
              <w:t xml:space="preserve">total </w:t>
            </w:r>
            <w:r w:rsidR="007970A1">
              <w:t>fees disclosed in SuperRatings data (about 1.6 per cent</w:t>
            </w:r>
            <w:r w:rsidR="003042AF">
              <w:t xml:space="preserve"> of assets</w:t>
            </w:r>
            <w:r w:rsidR="007970A1">
              <w:t>)</w:t>
            </w:r>
            <w:r w:rsidRPr="00A50995">
              <w:t>.</w:t>
            </w:r>
            <w:r>
              <w:t xml:space="preserve"> </w:t>
            </w:r>
            <w:r w:rsidR="00BC3714">
              <w:rPr>
                <w:rStyle w:val="NoteLabel"/>
              </w:rPr>
              <w:t>b</w:t>
            </w:r>
            <w:r w:rsidR="00BC3714">
              <w:t xml:space="preserve"> </w:t>
            </w:r>
            <w:r w:rsidR="00CB2172">
              <w:t>Advice</w:t>
            </w:r>
            <w:r w:rsidR="00BC3714">
              <w:t xml:space="preserve"> fees in this figure include </w:t>
            </w:r>
            <w:r w:rsidR="00CB2172">
              <w:t xml:space="preserve">activity fees </w:t>
            </w:r>
            <w:r w:rsidR="004C72AD">
              <w:t>in APRA data</w:t>
            </w:r>
            <w:r w:rsidR="00CB2172">
              <w:t xml:space="preserve"> </w:t>
            </w:r>
            <w:r w:rsidR="00BC3714">
              <w:t>that were received for the purpose of advice.</w:t>
            </w:r>
          </w:p>
        </w:tc>
      </w:tr>
      <w:tr w:rsidR="00A50995" w:rsidRPr="00176D3F" w:rsidTr="00EF7FF1">
        <w:tc>
          <w:tcPr>
            <w:tcW w:w="5000" w:type="pct"/>
            <w:tcBorders>
              <w:top w:val="nil"/>
              <w:left w:val="nil"/>
              <w:bottom w:val="nil"/>
              <w:right w:val="nil"/>
            </w:tcBorders>
            <w:shd w:val="clear" w:color="auto" w:fill="auto"/>
          </w:tcPr>
          <w:p w:rsidR="00A50995" w:rsidRPr="00176D3F" w:rsidRDefault="00A50995" w:rsidP="00D17C01">
            <w:pPr>
              <w:pStyle w:val="Source"/>
            </w:pPr>
            <w:r>
              <w:rPr>
                <w:i/>
              </w:rPr>
              <w:t>S</w:t>
            </w:r>
            <w:r w:rsidRPr="00784A05">
              <w:rPr>
                <w:i/>
              </w:rPr>
              <w:t>ource</w:t>
            </w:r>
            <w:r w:rsidR="00617DD2">
              <w:rPr>
                <w:i/>
              </w:rPr>
              <w:t>s</w:t>
            </w:r>
            <w:r w:rsidR="00BC1461">
              <w:t>:</w:t>
            </w:r>
            <w:r w:rsidRPr="00176D3F">
              <w:t xml:space="preserve"> </w:t>
            </w:r>
            <w:r w:rsidR="00F3744B" w:rsidRPr="00F3744B">
              <w:t>PC analysis based on APRA</w:t>
            </w:r>
            <w:r w:rsidR="00A90AFD">
              <w:t> </w:t>
            </w:r>
            <w:r w:rsidR="00E80C7F" w:rsidRPr="00E80C7F">
              <w:rPr>
                <w:rFonts w:cs="Arial"/>
              </w:rPr>
              <w:t>(2018a</w:t>
            </w:r>
            <w:r w:rsidR="00F3744B" w:rsidRPr="00F3744B">
              <w:t>, tables</w:t>
            </w:r>
            <w:r w:rsidR="00617DD2">
              <w:t> </w:t>
            </w:r>
            <w:r w:rsidR="00F3744B" w:rsidRPr="00F3744B">
              <w:t>4a</w:t>
            </w:r>
            <w:r w:rsidR="00B97884">
              <w:t xml:space="preserve"> and </w:t>
            </w:r>
            <w:r w:rsidR="00F3744B" w:rsidRPr="00F3744B">
              <w:t>6b</w:t>
            </w:r>
            <w:r w:rsidR="00D17C01">
              <w:t>)</w:t>
            </w:r>
            <w:r w:rsidR="00F3744B" w:rsidRPr="00F3744B">
              <w:t>; APRA</w:t>
            </w:r>
            <w:r w:rsidR="00D92A9C">
              <w:t> </w:t>
            </w:r>
            <w:r w:rsidR="0005055D" w:rsidRPr="0005055D">
              <w:rPr>
                <w:rFonts w:cs="Arial"/>
              </w:rPr>
              <w:t>(2018e</w:t>
            </w:r>
            <w:r w:rsidR="00D17C01">
              <w:rPr>
                <w:rFonts w:cs="Arial"/>
              </w:rPr>
              <w:t>, table 7</w:t>
            </w:r>
            <w:r w:rsidR="0005055D" w:rsidRPr="0005055D">
              <w:rPr>
                <w:rFonts w:cs="Arial"/>
              </w:rPr>
              <w:t>)</w:t>
            </w:r>
            <w:r w:rsidR="00F3744B" w:rsidRPr="00F3744B">
              <w:t>.</w:t>
            </w:r>
          </w:p>
        </w:tc>
      </w:tr>
      <w:tr w:rsidR="00A50995" w:rsidTr="00EF7FF1">
        <w:tc>
          <w:tcPr>
            <w:tcW w:w="5000" w:type="pct"/>
            <w:tcBorders>
              <w:top w:val="nil"/>
              <w:left w:val="nil"/>
              <w:bottom w:val="single" w:sz="6" w:space="0" w:color="78A22F"/>
              <w:right w:val="nil"/>
            </w:tcBorders>
            <w:shd w:val="clear" w:color="auto" w:fill="auto"/>
          </w:tcPr>
          <w:p w:rsidR="00A50995" w:rsidRDefault="00A50995" w:rsidP="00EF7FF1">
            <w:pPr>
              <w:pStyle w:val="Figurespace"/>
            </w:pPr>
          </w:p>
        </w:tc>
      </w:tr>
      <w:tr w:rsidR="00A50995" w:rsidRPr="000863A5" w:rsidTr="00EF7FF1">
        <w:tc>
          <w:tcPr>
            <w:tcW w:w="5000" w:type="pct"/>
            <w:tcBorders>
              <w:top w:val="single" w:sz="6" w:space="0" w:color="78A22F"/>
              <w:left w:val="nil"/>
              <w:bottom w:val="nil"/>
              <w:right w:val="nil"/>
            </w:tcBorders>
          </w:tcPr>
          <w:p w:rsidR="00A50995" w:rsidRPr="00626D32" w:rsidRDefault="00A50995" w:rsidP="00EF7FF1">
            <w:pPr>
              <w:pStyle w:val="BoxSpaceBelow"/>
            </w:pPr>
          </w:p>
        </w:tc>
      </w:tr>
    </w:tbl>
    <w:p w:rsidR="003C569E" w:rsidRDefault="003C569E" w:rsidP="003C569E">
      <w:pPr>
        <w:pStyle w:val="BodyText"/>
      </w:pPr>
      <w:r>
        <w:lastRenderedPageBreak/>
        <w:t xml:space="preserve">Not all advice fees are represented in APRA’s advice and activity fee revenue data. Trailing commissions are classified in APRA’s reporting framework as an administration expense. Data from the Financial Services Royal Commission </w:t>
      </w:r>
      <w:r w:rsidDel="005437D7">
        <w:t xml:space="preserve">indicate </w:t>
      </w:r>
      <w:r>
        <w:t xml:space="preserve">that </w:t>
      </w:r>
      <w:r w:rsidDel="005437D7">
        <w:t xml:space="preserve">trailing commissions </w:t>
      </w:r>
      <w:r>
        <w:t xml:space="preserve">for eleven of the largest retail funds totalled approximately $220 million in the six months to July 2017 (FSRC 2018, annexure A). Six of these eleven funds are also among the ten funds with the highest advice fee revenue in APRA’s public data in 2017. Of the others, four report zero advice fee revenue in the APRA data. </w:t>
      </w:r>
    </w:p>
    <w:p w:rsidR="003C569E" w:rsidRDefault="003C569E" w:rsidP="003C569E">
      <w:pPr>
        <w:pStyle w:val="BodyText"/>
        <w:spacing w:before="120"/>
      </w:pPr>
      <w:r>
        <w:t>To the extent that retail funds do collect higher trailing commission revenues, this would contribute to the difference in administration fee revenue between fund types that is observed in figure 23.</w:t>
      </w:r>
    </w:p>
    <w:p w:rsidR="002C2078" w:rsidRDefault="002C2078" w:rsidP="003C569E">
      <w:pPr>
        <w:pStyle w:val="BoxSpaceAbove"/>
        <w:spacing w:before="24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36555" w:rsidTr="000E1B08">
        <w:trPr>
          <w:tblHeader/>
        </w:trPr>
        <w:tc>
          <w:tcPr>
            <w:tcW w:w="5000" w:type="pct"/>
            <w:tcBorders>
              <w:top w:val="single" w:sz="6" w:space="0" w:color="78A22F"/>
              <w:left w:val="nil"/>
              <w:bottom w:val="nil"/>
              <w:right w:val="nil"/>
            </w:tcBorders>
            <w:shd w:val="clear" w:color="auto" w:fill="auto"/>
          </w:tcPr>
          <w:p w:rsidR="00A36555" w:rsidRDefault="00A36555" w:rsidP="000E1B08">
            <w:pPr>
              <w:pStyle w:val="TableTitle"/>
            </w:pPr>
            <w:r>
              <w:rPr>
                <w:b w:val="0"/>
              </w:rPr>
              <w:t xml:space="preserve">Table </w:t>
            </w:r>
            <w:bookmarkStart w:id="70" w:name="OLE_LINK28"/>
            <w:r w:rsidR="001345FE">
              <w:rPr>
                <w:b w:val="0"/>
                <w:noProof/>
              </w:rPr>
              <w:t>9</w:t>
            </w:r>
            <w:bookmarkEnd w:id="70"/>
            <w:r>
              <w:tab/>
              <w:t>The characteristics of funds and advice fees</w:t>
            </w:r>
          </w:p>
          <w:p w:rsidR="00A36555" w:rsidRPr="00784A05" w:rsidRDefault="00E71389" w:rsidP="00E71389">
            <w:pPr>
              <w:pStyle w:val="Subtitle"/>
            </w:pPr>
            <w:r>
              <w:t>2016</w:t>
            </w:r>
            <w:r>
              <w:noBreakHyphen/>
              <w:t>17</w:t>
            </w:r>
          </w:p>
        </w:tc>
      </w:tr>
      <w:tr w:rsidR="00A36555" w:rsidTr="000E1B08">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428"/>
              <w:gridCol w:w="1135"/>
              <w:gridCol w:w="993"/>
              <w:gridCol w:w="1260"/>
              <w:gridCol w:w="1689"/>
            </w:tblGrid>
            <w:tr w:rsidR="00391A0C" w:rsidTr="00335311">
              <w:trPr>
                <w:tblHeader/>
              </w:trPr>
              <w:tc>
                <w:tcPr>
                  <w:tcW w:w="2015" w:type="pct"/>
                  <w:tcBorders>
                    <w:top w:val="single" w:sz="6" w:space="0" w:color="BFBFBF"/>
                    <w:bottom w:val="single" w:sz="6" w:space="0" w:color="BFBFBF"/>
                  </w:tcBorders>
                  <w:shd w:val="clear" w:color="auto" w:fill="auto"/>
                  <w:tcMar>
                    <w:top w:w="28" w:type="dxa"/>
                  </w:tcMar>
                </w:tcPr>
                <w:p w:rsidR="00391A0C" w:rsidRDefault="00391A0C" w:rsidP="00391A0C">
                  <w:pPr>
                    <w:pStyle w:val="TableColumnHeading"/>
                    <w:jc w:val="left"/>
                  </w:pPr>
                </w:p>
              </w:tc>
              <w:tc>
                <w:tcPr>
                  <w:tcW w:w="667" w:type="pct"/>
                  <w:tcBorders>
                    <w:top w:val="single" w:sz="6" w:space="0" w:color="BFBFBF"/>
                    <w:bottom w:val="single" w:sz="6" w:space="0" w:color="BFBFBF"/>
                  </w:tcBorders>
                </w:tcPr>
                <w:p w:rsidR="00391A0C" w:rsidRDefault="00391A0C" w:rsidP="00391A0C">
                  <w:pPr>
                    <w:pStyle w:val="TableColumnHeading"/>
                  </w:pPr>
                  <w:r>
                    <w:t>Advice</w:t>
                  </w:r>
                  <w:r w:rsidR="00CB1054">
                    <w:t xml:space="preserve"> fee revenue</w:t>
                  </w:r>
                </w:p>
              </w:tc>
              <w:tc>
                <w:tcPr>
                  <w:tcW w:w="584" w:type="pct"/>
                  <w:tcBorders>
                    <w:top w:val="single" w:sz="6" w:space="0" w:color="BFBFBF"/>
                    <w:bottom w:val="single" w:sz="6" w:space="0" w:color="BFBFBF"/>
                  </w:tcBorders>
                </w:tcPr>
                <w:p w:rsidR="00391A0C" w:rsidRDefault="00B907B2" w:rsidP="00CB1054">
                  <w:pPr>
                    <w:pStyle w:val="TableColumnHeading"/>
                  </w:pPr>
                  <w:r>
                    <w:t>Assets</w:t>
                  </w:r>
                </w:p>
              </w:tc>
              <w:tc>
                <w:tcPr>
                  <w:tcW w:w="741" w:type="pct"/>
                  <w:tcBorders>
                    <w:top w:val="single" w:sz="6" w:space="0" w:color="BFBFBF"/>
                    <w:bottom w:val="single" w:sz="6" w:space="0" w:color="BFBFBF"/>
                  </w:tcBorders>
                </w:tcPr>
                <w:p w:rsidR="00391A0C" w:rsidRDefault="00B907B2" w:rsidP="00391A0C">
                  <w:pPr>
                    <w:pStyle w:val="TableColumnHeading"/>
                  </w:pPr>
                  <w:r>
                    <w:t>Members</w:t>
                  </w:r>
                </w:p>
              </w:tc>
              <w:tc>
                <w:tcPr>
                  <w:tcW w:w="994" w:type="pct"/>
                  <w:tcBorders>
                    <w:top w:val="single" w:sz="6" w:space="0" w:color="BFBFBF"/>
                    <w:bottom w:val="single" w:sz="6" w:space="0" w:color="BFBFBF"/>
                  </w:tcBorders>
                </w:tcPr>
                <w:p w:rsidR="00391A0C" w:rsidRDefault="00B907B2" w:rsidP="00CB1054">
                  <w:pPr>
                    <w:pStyle w:val="TableColumnHeading"/>
                    <w:ind w:right="28"/>
                  </w:pPr>
                  <w:r>
                    <w:t>Average a</w:t>
                  </w:r>
                  <w:r w:rsidR="00391A0C">
                    <w:t xml:space="preserve">dvice fee revenue </w:t>
                  </w:r>
                </w:p>
              </w:tc>
            </w:tr>
            <w:tr w:rsidR="00391A0C" w:rsidTr="00335311">
              <w:tc>
                <w:tcPr>
                  <w:tcW w:w="2015" w:type="pct"/>
                  <w:tcBorders>
                    <w:top w:val="single" w:sz="6" w:space="0" w:color="BFBFBF"/>
                  </w:tcBorders>
                </w:tcPr>
                <w:p w:rsidR="00391A0C" w:rsidRDefault="00391A0C" w:rsidP="00391A0C">
                  <w:pPr>
                    <w:pStyle w:val="TableUnitsRow"/>
                    <w:jc w:val="left"/>
                  </w:pPr>
                </w:p>
              </w:tc>
              <w:tc>
                <w:tcPr>
                  <w:tcW w:w="667" w:type="pct"/>
                  <w:tcBorders>
                    <w:top w:val="single" w:sz="6" w:space="0" w:color="BFBFBF"/>
                  </w:tcBorders>
                </w:tcPr>
                <w:p w:rsidR="00391A0C" w:rsidRDefault="00335311" w:rsidP="00391A0C">
                  <w:pPr>
                    <w:pStyle w:val="TableUnitsRow"/>
                  </w:pPr>
                  <w:r>
                    <w:t>%</w:t>
                  </w:r>
                  <w:r w:rsidR="00391A0C">
                    <w:t xml:space="preserve"> of total</w:t>
                  </w:r>
                </w:p>
              </w:tc>
              <w:tc>
                <w:tcPr>
                  <w:tcW w:w="584" w:type="pct"/>
                  <w:tcBorders>
                    <w:top w:val="single" w:sz="6" w:space="0" w:color="BFBFBF"/>
                  </w:tcBorders>
                </w:tcPr>
                <w:p w:rsidR="00391A0C" w:rsidRDefault="00335311" w:rsidP="00391A0C">
                  <w:pPr>
                    <w:pStyle w:val="TableUnitsRow"/>
                  </w:pPr>
                  <w:r>
                    <w:t>%</w:t>
                  </w:r>
                  <w:r w:rsidR="00391A0C">
                    <w:t xml:space="preserve"> of total</w:t>
                  </w:r>
                </w:p>
              </w:tc>
              <w:tc>
                <w:tcPr>
                  <w:tcW w:w="741" w:type="pct"/>
                  <w:tcBorders>
                    <w:top w:val="single" w:sz="6" w:space="0" w:color="BFBFBF"/>
                  </w:tcBorders>
                </w:tcPr>
                <w:p w:rsidR="00391A0C" w:rsidRDefault="00335311" w:rsidP="00391A0C">
                  <w:pPr>
                    <w:pStyle w:val="TableUnitsRow"/>
                  </w:pPr>
                  <w:r>
                    <w:t>%</w:t>
                  </w:r>
                  <w:r w:rsidR="00391A0C">
                    <w:t xml:space="preserve"> of total</w:t>
                  </w:r>
                </w:p>
              </w:tc>
              <w:tc>
                <w:tcPr>
                  <w:tcW w:w="994" w:type="pct"/>
                  <w:tcBorders>
                    <w:top w:val="single" w:sz="6" w:space="0" w:color="BFBFBF"/>
                  </w:tcBorders>
                </w:tcPr>
                <w:p w:rsidR="00391A0C" w:rsidRDefault="00CB1054" w:rsidP="00391A0C">
                  <w:pPr>
                    <w:pStyle w:val="TableUnitsRow"/>
                    <w:ind w:right="28"/>
                  </w:pPr>
                  <w:r>
                    <w:t xml:space="preserve">$ per </w:t>
                  </w:r>
                  <w:r w:rsidR="00391A0C">
                    <w:t>member</w:t>
                  </w:r>
                </w:p>
              </w:tc>
            </w:tr>
            <w:tr w:rsidR="00391A0C" w:rsidTr="00335311">
              <w:tc>
                <w:tcPr>
                  <w:tcW w:w="2015" w:type="pct"/>
                </w:tcPr>
                <w:p w:rsidR="00391A0C" w:rsidRDefault="007970A1" w:rsidP="007970A1">
                  <w:pPr>
                    <w:pStyle w:val="TableUnitsRow"/>
                    <w:jc w:val="left"/>
                  </w:pPr>
                  <w:r>
                    <w:t>10</w:t>
                  </w:r>
                  <w:r w:rsidR="00391A0C">
                    <w:t xml:space="preserve"> </w:t>
                  </w:r>
                  <w:r w:rsidR="0006230C">
                    <w:t xml:space="preserve">retail </w:t>
                  </w:r>
                  <w:r w:rsidR="00391A0C">
                    <w:t>funds</w:t>
                  </w:r>
                  <w:r w:rsidR="0006230C">
                    <w:t xml:space="preserve"> with highest advice fees</w:t>
                  </w:r>
                </w:p>
              </w:tc>
              <w:tc>
                <w:tcPr>
                  <w:tcW w:w="667" w:type="pct"/>
                </w:tcPr>
                <w:p w:rsidR="00391A0C" w:rsidRDefault="00391A0C" w:rsidP="00391A0C">
                  <w:pPr>
                    <w:pStyle w:val="TableUnitsRow"/>
                  </w:pPr>
                  <w:r>
                    <w:t>9</w:t>
                  </w:r>
                  <w:r w:rsidR="0006230C">
                    <w:t>1</w:t>
                  </w:r>
                </w:p>
              </w:tc>
              <w:tc>
                <w:tcPr>
                  <w:tcW w:w="584" w:type="pct"/>
                </w:tcPr>
                <w:p w:rsidR="00391A0C" w:rsidRDefault="00391A0C" w:rsidP="00391A0C">
                  <w:pPr>
                    <w:pStyle w:val="TableUnitsRow"/>
                  </w:pPr>
                  <w:r>
                    <w:t>24</w:t>
                  </w:r>
                </w:p>
              </w:tc>
              <w:tc>
                <w:tcPr>
                  <w:tcW w:w="741" w:type="pct"/>
                </w:tcPr>
                <w:p w:rsidR="00391A0C" w:rsidRDefault="00391A0C" w:rsidP="00391A0C">
                  <w:pPr>
                    <w:pStyle w:val="TableUnitsRow"/>
                  </w:pPr>
                  <w:r>
                    <w:t>16</w:t>
                  </w:r>
                </w:p>
              </w:tc>
              <w:tc>
                <w:tcPr>
                  <w:tcW w:w="994" w:type="pct"/>
                </w:tcPr>
                <w:p w:rsidR="00391A0C" w:rsidRDefault="00CB1054" w:rsidP="00391A0C">
                  <w:pPr>
                    <w:pStyle w:val="TableUnitsRow"/>
                    <w:ind w:right="28"/>
                  </w:pPr>
                  <w:r>
                    <w:t>341</w:t>
                  </w:r>
                </w:p>
              </w:tc>
            </w:tr>
            <w:tr w:rsidR="00391A0C" w:rsidTr="00335311">
              <w:tc>
                <w:tcPr>
                  <w:tcW w:w="2015" w:type="pct"/>
                  <w:shd w:val="pct5" w:color="auto" w:fill="auto"/>
                </w:tcPr>
                <w:p w:rsidR="00391A0C" w:rsidRDefault="0006230C" w:rsidP="00391A0C">
                  <w:pPr>
                    <w:pStyle w:val="TableBodyText"/>
                    <w:jc w:val="left"/>
                  </w:pPr>
                  <w:r>
                    <w:t xml:space="preserve">Other </w:t>
                  </w:r>
                  <w:r w:rsidR="00CB1054">
                    <w:t>r</w:t>
                  </w:r>
                  <w:r w:rsidR="00391A0C">
                    <w:t>etail</w:t>
                  </w:r>
                  <w:r w:rsidR="00CB1054">
                    <w:t xml:space="preserve"> funds</w:t>
                  </w:r>
                </w:p>
              </w:tc>
              <w:tc>
                <w:tcPr>
                  <w:tcW w:w="667" w:type="pct"/>
                  <w:shd w:val="pct5" w:color="auto" w:fill="auto"/>
                </w:tcPr>
                <w:p w:rsidR="00391A0C" w:rsidRDefault="0006230C" w:rsidP="00391A0C">
                  <w:pPr>
                    <w:pStyle w:val="TableBodyText"/>
                  </w:pPr>
                  <w:r>
                    <w:t>5</w:t>
                  </w:r>
                </w:p>
              </w:tc>
              <w:tc>
                <w:tcPr>
                  <w:tcW w:w="584" w:type="pct"/>
                  <w:shd w:val="pct5" w:color="auto" w:fill="auto"/>
                </w:tcPr>
                <w:p w:rsidR="00391A0C" w:rsidRDefault="0006230C" w:rsidP="00391A0C">
                  <w:pPr>
                    <w:pStyle w:val="TableBodyText"/>
                  </w:pPr>
                  <w:r>
                    <w:t>18</w:t>
                  </w:r>
                </w:p>
              </w:tc>
              <w:tc>
                <w:tcPr>
                  <w:tcW w:w="741" w:type="pct"/>
                  <w:shd w:val="pct5" w:color="auto" w:fill="auto"/>
                </w:tcPr>
                <w:p w:rsidR="00391A0C" w:rsidRDefault="0006230C" w:rsidP="00391A0C">
                  <w:pPr>
                    <w:pStyle w:val="TableBodyText"/>
                  </w:pPr>
                  <w:r>
                    <w:t>21</w:t>
                  </w:r>
                </w:p>
              </w:tc>
              <w:tc>
                <w:tcPr>
                  <w:tcW w:w="994" w:type="pct"/>
                  <w:shd w:val="pct5" w:color="auto" w:fill="auto"/>
                </w:tcPr>
                <w:p w:rsidR="00391A0C" w:rsidRDefault="00CB1054" w:rsidP="00E57767">
                  <w:pPr>
                    <w:pStyle w:val="TableBodyText"/>
                    <w:ind w:right="28"/>
                  </w:pPr>
                  <w:r>
                    <w:t>15</w:t>
                  </w:r>
                </w:p>
              </w:tc>
            </w:tr>
            <w:tr w:rsidR="00391A0C" w:rsidTr="00335311">
              <w:tc>
                <w:tcPr>
                  <w:tcW w:w="2015" w:type="pct"/>
                  <w:tcBorders>
                    <w:bottom w:val="single" w:sz="6" w:space="0" w:color="BFBFBF"/>
                  </w:tcBorders>
                  <w:shd w:val="clear" w:color="auto" w:fill="auto"/>
                </w:tcPr>
                <w:p w:rsidR="00391A0C" w:rsidRDefault="00391A0C" w:rsidP="00391A0C">
                  <w:pPr>
                    <w:pStyle w:val="TableBodyText"/>
                    <w:jc w:val="left"/>
                  </w:pPr>
                  <w:r>
                    <w:t>Not</w:t>
                  </w:r>
                  <w:r>
                    <w:noBreakHyphen/>
                    <w:t>for</w:t>
                  </w:r>
                  <w:r>
                    <w:noBreakHyphen/>
                    <w:t>profit</w:t>
                  </w:r>
                  <w:r w:rsidR="00CB1054">
                    <w:t xml:space="preserve"> funds</w:t>
                  </w:r>
                </w:p>
              </w:tc>
              <w:tc>
                <w:tcPr>
                  <w:tcW w:w="667" w:type="pct"/>
                  <w:tcBorders>
                    <w:bottom w:val="single" w:sz="6" w:space="0" w:color="BFBFBF"/>
                  </w:tcBorders>
                </w:tcPr>
                <w:p w:rsidR="00391A0C" w:rsidRDefault="00391A0C" w:rsidP="00391A0C">
                  <w:pPr>
                    <w:pStyle w:val="TableBodyText"/>
                  </w:pPr>
                  <w:r>
                    <w:t>4</w:t>
                  </w:r>
                </w:p>
              </w:tc>
              <w:tc>
                <w:tcPr>
                  <w:tcW w:w="584" w:type="pct"/>
                  <w:tcBorders>
                    <w:bottom w:val="single" w:sz="6" w:space="0" w:color="BFBFBF"/>
                  </w:tcBorders>
                </w:tcPr>
                <w:p w:rsidR="00391A0C" w:rsidRDefault="00391A0C" w:rsidP="00391A0C">
                  <w:pPr>
                    <w:pStyle w:val="TableBodyText"/>
                  </w:pPr>
                  <w:r>
                    <w:t>59</w:t>
                  </w:r>
                </w:p>
              </w:tc>
              <w:tc>
                <w:tcPr>
                  <w:tcW w:w="741" w:type="pct"/>
                  <w:tcBorders>
                    <w:bottom w:val="single" w:sz="6" w:space="0" w:color="BFBFBF"/>
                  </w:tcBorders>
                </w:tcPr>
                <w:p w:rsidR="00391A0C" w:rsidRDefault="00391A0C" w:rsidP="00391A0C">
                  <w:pPr>
                    <w:pStyle w:val="TableBodyText"/>
                  </w:pPr>
                  <w:r>
                    <w:t>63</w:t>
                  </w:r>
                </w:p>
              </w:tc>
              <w:tc>
                <w:tcPr>
                  <w:tcW w:w="994" w:type="pct"/>
                  <w:tcBorders>
                    <w:bottom w:val="single" w:sz="6" w:space="0" w:color="BFBFBF"/>
                  </w:tcBorders>
                </w:tcPr>
                <w:p w:rsidR="00391A0C" w:rsidRDefault="00CB1054" w:rsidP="00391A0C">
                  <w:pPr>
                    <w:pStyle w:val="TableBodyText"/>
                    <w:ind w:right="28"/>
                  </w:pPr>
                  <w:r>
                    <w:t>4</w:t>
                  </w:r>
                </w:p>
              </w:tc>
            </w:tr>
          </w:tbl>
          <w:p w:rsidR="00A36555" w:rsidRDefault="00A36555" w:rsidP="000E1B08">
            <w:pPr>
              <w:pStyle w:val="Box"/>
            </w:pPr>
          </w:p>
        </w:tc>
      </w:tr>
      <w:tr w:rsidR="00A36555" w:rsidTr="000E1B08">
        <w:tc>
          <w:tcPr>
            <w:tcW w:w="5000" w:type="pct"/>
            <w:tcBorders>
              <w:top w:val="nil"/>
              <w:left w:val="nil"/>
              <w:bottom w:val="nil"/>
              <w:right w:val="nil"/>
            </w:tcBorders>
            <w:shd w:val="clear" w:color="auto" w:fill="auto"/>
          </w:tcPr>
          <w:p w:rsidR="00A36555" w:rsidRDefault="00A36555" w:rsidP="00CC313C">
            <w:pPr>
              <w:pStyle w:val="Source"/>
            </w:pPr>
            <w:r>
              <w:rPr>
                <w:i/>
              </w:rPr>
              <w:t>Source</w:t>
            </w:r>
            <w:r w:rsidRPr="00167F06">
              <w:t xml:space="preserve">: </w:t>
            </w:r>
            <w:r w:rsidR="008D4C72">
              <w:t>PC analysis based on</w:t>
            </w:r>
            <w:r w:rsidRPr="00167F06">
              <w:t xml:space="preserve"> </w:t>
            </w:r>
            <w:r w:rsidR="00BB4D0D">
              <w:t>APRA </w:t>
            </w:r>
            <w:r w:rsidR="0005055D" w:rsidRPr="0005055D">
              <w:rPr>
                <w:rFonts w:cs="Arial"/>
              </w:rPr>
              <w:t>(2018e</w:t>
            </w:r>
            <w:r w:rsidR="00BB4D0D" w:rsidRPr="00F3744B">
              <w:t>, table</w:t>
            </w:r>
            <w:r w:rsidR="00AE65AE">
              <w:t>s</w:t>
            </w:r>
            <w:r w:rsidR="00617DD2">
              <w:t> </w:t>
            </w:r>
            <w:r w:rsidR="00AE65AE">
              <w:t>3,</w:t>
            </w:r>
            <w:r w:rsidR="00662A67">
              <w:t xml:space="preserve"> </w:t>
            </w:r>
            <w:r w:rsidR="00AE65AE">
              <w:t>6 and </w:t>
            </w:r>
            <w:r w:rsidR="00BB4D0D" w:rsidRPr="00F3744B">
              <w:t>7</w:t>
            </w:r>
            <w:r w:rsidR="00CC313C">
              <w:t>).</w:t>
            </w:r>
          </w:p>
        </w:tc>
      </w:tr>
      <w:tr w:rsidR="00A36555" w:rsidTr="000E1B08">
        <w:tc>
          <w:tcPr>
            <w:tcW w:w="5000" w:type="pct"/>
            <w:tcBorders>
              <w:top w:val="nil"/>
              <w:left w:val="nil"/>
              <w:bottom w:val="single" w:sz="6" w:space="0" w:color="78A22F"/>
              <w:right w:val="nil"/>
            </w:tcBorders>
            <w:shd w:val="clear" w:color="auto" w:fill="auto"/>
          </w:tcPr>
          <w:p w:rsidR="00A36555" w:rsidRDefault="00A36555" w:rsidP="000E1B08">
            <w:pPr>
              <w:pStyle w:val="Box"/>
              <w:spacing w:before="0" w:line="120" w:lineRule="exact"/>
            </w:pPr>
          </w:p>
        </w:tc>
      </w:tr>
      <w:tr w:rsidR="00A36555" w:rsidRPr="000863A5" w:rsidTr="000E1B08">
        <w:tc>
          <w:tcPr>
            <w:tcW w:w="5000" w:type="pct"/>
            <w:tcBorders>
              <w:top w:val="single" w:sz="6" w:space="0" w:color="78A22F"/>
              <w:left w:val="nil"/>
              <w:bottom w:val="nil"/>
              <w:right w:val="nil"/>
            </w:tcBorders>
          </w:tcPr>
          <w:p w:rsidR="00A36555" w:rsidRPr="00626D32" w:rsidRDefault="00A36555" w:rsidP="000E1B08">
            <w:pPr>
              <w:pStyle w:val="BoxSpaceBelow"/>
            </w:pPr>
          </w:p>
        </w:tc>
      </w:tr>
    </w:tbl>
    <w:p w:rsidR="009505C9" w:rsidRDefault="009B4C1A" w:rsidP="003C569E">
      <w:pPr>
        <w:pStyle w:val="Heading3"/>
        <w:spacing w:before="360"/>
      </w:pPr>
      <w:bookmarkStart w:id="71" w:name="_Toc528158049"/>
      <w:bookmarkStart w:id="72" w:name="_Toc528229671"/>
      <w:bookmarkStart w:id="73" w:name="_Toc528298321"/>
      <w:r>
        <w:t>A</w:t>
      </w:r>
      <w:r w:rsidR="009505C9">
        <w:t>dministration fees</w:t>
      </w:r>
      <w:bookmarkEnd w:id="71"/>
      <w:bookmarkEnd w:id="72"/>
      <w:bookmarkEnd w:id="73"/>
    </w:p>
    <w:p w:rsidR="0088225D" w:rsidRPr="0088225D" w:rsidRDefault="0088225D">
      <w:pPr>
        <w:pStyle w:val="BodyText"/>
        <w:rPr>
          <w:i/>
        </w:rPr>
      </w:pPr>
      <w:r w:rsidRPr="0088225D">
        <w:rPr>
          <w:i/>
        </w:rPr>
        <w:t>Are high administration fees concentrated in specific parts of the system?</w:t>
      </w:r>
    </w:p>
    <w:p w:rsidR="00F60D7E" w:rsidRDefault="000243C3" w:rsidP="009505C9">
      <w:pPr>
        <w:pStyle w:val="BodyText"/>
      </w:pPr>
      <w:r>
        <w:t>Funds levy a</w:t>
      </w:r>
      <w:r w:rsidR="0061434D">
        <w:t>dministration fees</w:t>
      </w:r>
      <w:r w:rsidR="0061434D" w:rsidDel="000243C3">
        <w:t xml:space="preserve"> </w:t>
      </w:r>
      <w:r w:rsidR="0061434D">
        <w:t xml:space="preserve">as a fixed dollar fee per member or as a percentage of a member’s balance. </w:t>
      </w:r>
      <w:r w:rsidR="007F4500">
        <w:t xml:space="preserve">Almost all </w:t>
      </w:r>
      <w:r w:rsidR="00AA500E">
        <w:t>not</w:t>
      </w:r>
      <w:r w:rsidR="00AA500E">
        <w:noBreakHyphen/>
        <w:t>for</w:t>
      </w:r>
      <w:r w:rsidR="00AA500E">
        <w:noBreakHyphen/>
        <w:t xml:space="preserve">profit </w:t>
      </w:r>
      <w:r w:rsidR="007F4500">
        <w:t xml:space="preserve">products </w:t>
      </w:r>
      <w:r w:rsidR="00415517">
        <w:t xml:space="preserve">levy </w:t>
      </w:r>
      <w:r w:rsidR="007F4500">
        <w:t xml:space="preserve">a fixed dollar </w:t>
      </w:r>
      <w:r w:rsidR="00361B36">
        <w:t xml:space="preserve">administration </w:t>
      </w:r>
      <w:r w:rsidR="007F4500">
        <w:t>fee</w:t>
      </w:r>
      <w:r w:rsidR="004A7A3B">
        <w:t>, according to SuperRatings data</w:t>
      </w:r>
      <w:r w:rsidR="00551ABB">
        <w:t> (table </w:t>
      </w:r>
      <w:r w:rsidR="00E17D56">
        <w:t>10</w:t>
      </w:r>
      <w:r w:rsidR="00361B36">
        <w:t xml:space="preserve">). </w:t>
      </w:r>
      <w:r w:rsidR="00AA500E">
        <w:t>Percentage based administration</w:t>
      </w:r>
      <w:r w:rsidR="00234A5E">
        <w:t xml:space="preserve"> fees are </w:t>
      </w:r>
      <w:r w:rsidR="00AA500E">
        <w:t>more</w:t>
      </w:r>
      <w:r w:rsidR="00234A5E">
        <w:t xml:space="preserve"> common in retail products. </w:t>
      </w:r>
      <w:r w:rsidR="00AA500E">
        <w:t>J</w:t>
      </w:r>
      <w:r w:rsidR="00BE6C1E">
        <w:t>ust under</w:t>
      </w:r>
      <w:r w:rsidR="00362174">
        <w:t xml:space="preserve"> 70 per cent of all </w:t>
      </w:r>
      <w:r w:rsidR="0097330F">
        <w:t>products include</w:t>
      </w:r>
      <w:r w:rsidR="00104C34">
        <w:t xml:space="preserve"> both </w:t>
      </w:r>
      <w:r w:rsidR="00415517">
        <w:t xml:space="preserve">types of administration </w:t>
      </w:r>
      <w:r w:rsidR="00104C34">
        <w:t xml:space="preserve">fee. </w:t>
      </w:r>
    </w:p>
    <w:p w:rsidR="002A64E4" w:rsidRDefault="002A64E4" w:rsidP="003C569E">
      <w:pPr>
        <w:pStyle w:val="BoxSpaceAbove"/>
        <w:spacing w:before="24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A64E4" w:rsidTr="002A64E4">
        <w:trPr>
          <w:tblHeader/>
        </w:trPr>
        <w:tc>
          <w:tcPr>
            <w:tcW w:w="5000" w:type="pct"/>
            <w:tcBorders>
              <w:top w:val="single" w:sz="6" w:space="0" w:color="78A22F"/>
              <w:left w:val="nil"/>
              <w:bottom w:val="nil"/>
              <w:right w:val="nil"/>
            </w:tcBorders>
            <w:shd w:val="clear" w:color="auto" w:fill="auto"/>
          </w:tcPr>
          <w:p w:rsidR="002A64E4" w:rsidRDefault="002A64E4" w:rsidP="002A64E4">
            <w:pPr>
              <w:pStyle w:val="TableTitle"/>
            </w:pPr>
            <w:r>
              <w:rPr>
                <w:b w:val="0"/>
              </w:rPr>
              <w:t xml:space="preserve">Table </w:t>
            </w:r>
            <w:bookmarkStart w:id="74" w:name="OLE_LINK29"/>
            <w:r w:rsidR="001345FE">
              <w:rPr>
                <w:b w:val="0"/>
                <w:noProof/>
              </w:rPr>
              <w:t>10</w:t>
            </w:r>
            <w:bookmarkEnd w:id="74"/>
            <w:r>
              <w:tab/>
              <w:t>How ar</w:t>
            </w:r>
            <w:r w:rsidR="00063A26">
              <w:t>e administration fees charged</w:t>
            </w:r>
            <w:r w:rsidR="00F60D7E">
              <w:t xml:space="preserve"> to members</w:t>
            </w:r>
            <w:r>
              <w:t>?</w:t>
            </w:r>
            <w:r w:rsidR="0045083B" w:rsidRPr="0003354B">
              <w:rPr>
                <w:rStyle w:val="NoteLabel"/>
                <w:b/>
              </w:rPr>
              <w:t>a</w:t>
            </w:r>
            <w:r w:rsidR="00581CE2" w:rsidRPr="0003354B">
              <w:rPr>
                <w:rStyle w:val="NoteLabel"/>
                <w:b/>
              </w:rPr>
              <w:t>,b</w:t>
            </w:r>
          </w:p>
          <w:p w:rsidR="002A64E4" w:rsidRPr="00784A05" w:rsidRDefault="002571CC" w:rsidP="004C1EEB">
            <w:pPr>
              <w:pStyle w:val="Subtitle"/>
            </w:pPr>
            <w:bookmarkStart w:id="75" w:name="OLE_LINK13"/>
            <w:r>
              <w:t>Type of fee as a proportion of products</w:t>
            </w:r>
            <w:r w:rsidR="00415517">
              <w:t>, June 2017</w:t>
            </w:r>
            <w:bookmarkEnd w:id="75"/>
          </w:p>
        </w:tc>
      </w:tr>
      <w:tr w:rsidR="002A64E4" w:rsidTr="002A64E4">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27"/>
              <w:gridCol w:w="2529"/>
              <w:gridCol w:w="2128"/>
              <w:gridCol w:w="2121"/>
            </w:tblGrid>
            <w:tr w:rsidR="002A64E4" w:rsidTr="00B8408C">
              <w:trPr>
                <w:tblHeader/>
              </w:trPr>
              <w:tc>
                <w:tcPr>
                  <w:tcW w:w="1015" w:type="pct"/>
                  <w:tcBorders>
                    <w:top w:val="single" w:sz="6" w:space="0" w:color="BFBFBF"/>
                    <w:bottom w:val="single" w:sz="6" w:space="0" w:color="BFBFBF"/>
                  </w:tcBorders>
                  <w:shd w:val="clear" w:color="auto" w:fill="auto"/>
                  <w:tcMar>
                    <w:top w:w="28" w:type="dxa"/>
                  </w:tcMar>
                </w:tcPr>
                <w:p w:rsidR="002A64E4" w:rsidRDefault="002A64E4" w:rsidP="002A64E4">
                  <w:pPr>
                    <w:pStyle w:val="TableColumnHeading"/>
                    <w:jc w:val="left"/>
                  </w:pPr>
                </w:p>
              </w:tc>
              <w:tc>
                <w:tcPr>
                  <w:tcW w:w="1487" w:type="pct"/>
                  <w:tcBorders>
                    <w:top w:val="single" w:sz="6" w:space="0" w:color="BFBFBF"/>
                    <w:bottom w:val="single" w:sz="6" w:space="0" w:color="BFBFBF"/>
                  </w:tcBorders>
                </w:tcPr>
                <w:p w:rsidR="002A64E4" w:rsidRDefault="002A64E4" w:rsidP="005D3B16">
                  <w:pPr>
                    <w:pStyle w:val="TableColumnHeading"/>
                  </w:pPr>
                  <w:r>
                    <w:t>Percentage based fee</w:t>
                  </w:r>
                  <w:r w:rsidR="00924D00">
                    <w:t xml:space="preserve"> only</w:t>
                  </w:r>
                </w:p>
              </w:tc>
              <w:tc>
                <w:tcPr>
                  <w:tcW w:w="1251" w:type="pct"/>
                  <w:tcBorders>
                    <w:top w:val="single" w:sz="6" w:space="0" w:color="BFBFBF"/>
                    <w:bottom w:val="single" w:sz="6" w:space="0" w:color="BFBFBF"/>
                  </w:tcBorders>
                </w:tcPr>
                <w:p w:rsidR="002A64E4" w:rsidRDefault="005D3B16" w:rsidP="005D3B16">
                  <w:pPr>
                    <w:pStyle w:val="TableColumnHeading"/>
                  </w:pPr>
                  <w:r>
                    <w:t>Fixed dollar fee</w:t>
                  </w:r>
                  <w:r w:rsidR="00924D00">
                    <w:t xml:space="preserve"> only</w:t>
                  </w:r>
                </w:p>
              </w:tc>
              <w:tc>
                <w:tcPr>
                  <w:tcW w:w="1247" w:type="pct"/>
                  <w:tcBorders>
                    <w:top w:val="single" w:sz="6" w:space="0" w:color="BFBFBF"/>
                    <w:bottom w:val="single" w:sz="6" w:space="0" w:color="BFBFBF"/>
                  </w:tcBorders>
                  <w:shd w:val="clear" w:color="auto" w:fill="auto"/>
                  <w:tcMar>
                    <w:top w:w="28" w:type="dxa"/>
                  </w:tcMar>
                </w:tcPr>
                <w:p w:rsidR="002A64E4" w:rsidRDefault="002A64E4" w:rsidP="002A64E4">
                  <w:pPr>
                    <w:pStyle w:val="TableColumnHeading"/>
                    <w:ind w:right="28"/>
                  </w:pPr>
                  <w:r>
                    <w:t>Both fee types</w:t>
                  </w:r>
                </w:p>
              </w:tc>
            </w:tr>
            <w:tr w:rsidR="00F60D7E" w:rsidTr="00B8408C">
              <w:tc>
                <w:tcPr>
                  <w:tcW w:w="1015" w:type="pct"/>
                  <w:tcBorders>
                    <w:top w:val="single" w:sz="6" w:space="0" w:color="BFBFBF"/>
                  </w:tcBorders>
                </w:tcPr>
                <w:p w:rsidR="00F60D7E" w:rsidRDefault="00F60D7E" w:rsidP="002A64E4">
                  <w:pPr>
                    <w:pStyle w:val="TableUnitsRow"/>
                    <w:jc w:val="left"/>
                  </w:pPr>
                </w:p>
              </w:tc>
              <w:tc>
                <w:tcPr>
                  <w:tcW w:w="1487" w:type="pct"/>
                  <w:tcBorders>
                    <w:top w:val="single" w:sz="6" w:space="0" w:color="BFBFBF"/>
                  </w:tcBorders>
                </w:tcPr>
                <w:p w:rsidR="00F60D7E" w:rsidRDefault="00415517" w:rsidP="002A64E4">
                  <w:pPr>
                    <w:pStyle w:val="TableUnitsRow"/>
                  </w:pPr>
                  <w:r>
                    <w:t>%</w:t>
                  </w:r>
                </w:p>
              </w:tc>
              <w:tc>
                <w:tcPr>
                  <w:tcW w:w="1251" w:type="pct"/>
                  <w:tcBorders>
                    <w:top w:val="single" w:sz="6" w:space="0" w:color="BFBFBF"/>
                  </w:tcBorders>
                </w:tcPr>
                <w:p w:rsidR="00F60D7E" w:rsidRDefault="00415517" w:rsidP="002A64E4">
                  <w:pPr>
                    <w:pStyle w:val="TableUnitsRow"/>
                  </w:pPr>
                  <w:r>
                    <w:t>%</w:t>
                  </w:r>
                </w:p>
              </w:tc>
              <w:tc>
                <w:tcPr>
                  <w:tcW w:w="1247" w:type="pct"/>
                  <w:tcBorders>
                    <w:top w:val="single" w:sz="6" w:space="0" w:color="BFBFBF"/>
                  </w:tcBorders>
                </w:tcPr>
                <w:p w:rsidR="00F60D7E" w:rsidRDefault="00415517" w:rsidP="002A64E4">
                  <w:pPr>
                    <w:pStyle w:val="TableUnitsRow"/>
                    <w:ind w:right="28"/>
                  </w:pPr>
                  <w:r>
                    <w:t>%</w:t>
                  </w:r>
                </w:p>
              </w:tc>
            </w:tr>
            <w:tr w:rsidR="00593ADD" w:rsidTr="00B8408C">
              <w:tc>
                <w:tcPr>
                  <w:tcW w:w="1015" w:type="pct"/>
                </w:tcPr>
                <w:p w:rsidR="00593ADD" w:rsidRDefault="00593ADD" w:rsidP="00593ADD">
                  <w:pPr>
                    <w:pStyle w:val="TableUnitsRow"/>
                    <w:jc w:val="left"/>
                  </w:pPr>
                  <w:r>
                    <w:t>Retail</w:t>
                  </w:r>
                </w:p>
              </w:tc>
              <w:tc>
                <w:tcPr>
                  <w:tcW w:w="1487" w:type="pct"/>
                </w:tcPr>
                <w:p w:rsidR="00593ADD" w:rsidRDefault="00593ADD" w:rsidP="00593ADD">
                  <w:pPr>
                    <w:pStyle w:val="TableUnitsRow"/>
                  </w:pPr>
                  <w:r>
                    <w:t>27</w:t>
                  </w:r>
                </w:p>
              </w:tc>
              <w:tc>
                <w:tcPr>
                  <w:tcW w:w="1251" w:type="pct"/>
                </w:tcPr>
                <w:p w:rsidR="00593ADD" w:rsidRDefault="00593ADD" w:rsidP="00593ADD">
                  <w:pPr>
                    <w:pStyle w:val="TableUnitsRow"/>
                  </w:pPr>
                  <w:r>
                    <w:t>11</w:t>
                  </w:r>
                </w:p>
              </w:tc>
              <w:tc>
                <w:tcPr>
                  <w:tcW w:w="1247" w:type="pct"/>
                </w:tcPr>
                <w:p w:rsidR="00593ADD" w:rsidRDefault="00593ADD" w:rsidP="003B52F2">
                  <w:pPr>
                    <w:pStyle w:val="TableUnitsRow"/>
                    <w:ind w:right="28"/>
                  </w:pPr>
                  <w:r>
                    <w:t>59</w:t>
                  </w:r>
                </w:p>
              </w:tc>
            </w:tr>
            <w:tr w:rsidR="002A64E4" w:rsidTr="00B8408C">
              <w:tc>
                <w:tcPr>
                  <w:tcW w:w="1015" w:type="pct"/>
                  <w:shd w:val="pct5" w:color="auto" w:fill="auto"/>
                </w:tcPr>
                <w:p w:rsidR="002A64E4" w:rsidRDefault="00593ADD" w:rsidP="002A64E4">
                  <w:pPr>
                    <w:pStyle w:val="TableBodyText"/>
                    <w:jc w:val="left"/>
                  </w:pPr>
                  <w:r>
                    <w:t>Not</w:t>
                  </w:r>
                  <w:r>
                    <w:noBreakHyphen/>
                    <w:t>for</w:t>
                  </w:r>
                  <w:r>
                    <w:noBreakHyphen/>
                    <w:t>profit</w:t>
                  </w:r>
                </w:p>
              </w:tc>
              <w:tc>
                <w:tcPr>
                  <w:tcW w:w="1487" w:type="pct"/>
                  <w:shd w:val="pct5" w:color="auto" w:fill="auto"/>
                </w:tcPr>
                <w:p w:rsidR="002A64E4" w:rsidRDefault="00593ADD" w:rsidP="003B52F2">
                  <w:pPr>
                    <w:pStyle w:val="TableBodyText"/>
                  </w:pPr>
                  <w:r>
                    <w:t>5</w:t>
                  </w:r>
                </w:p>
              </w:tc>
              <w:tc>
                <w:tcPr>
                  <w:tcW w:w="1251" w:type="pct"/>
                  <w:shd w:val="pct5" w:color="auto" w:fill="auto"/>
                </w:tcPr>
                <w:p w:rsidR="002A64E4" w:rsidRDefault="00924D00">
                  <w:pPr>
                    <w:pStyle w:val="TableBodyText"/>
                  </w:pPr>
                  <w:r>
                    <w:t>1</w:t>
                  </w:r>
                  <w:r w:rsidR="00593ADD">
                    <w:t>3</w:t>
                  </w:r>
                </w:p>
              </w:tc>
              <w:tc>
                <w:tcPr>
                  <w:tcW w:w="1247" w:type="pct"/>
                  <w:shd w:val="pct5" w:color="auto" w:fill="auto"/>
                </w:tcPr>
                <w:p w:rsidR="002A64E4" w:rsidRDefault="00593ADD">
                  <w:pPr>
                    <w:pStyle w:val="TableBodyText"/>
                    <w:ind w:right="28"/>
                  </w:pPr>
                  <w:r>
                    <w:t>78</w:t>
                  </w:r>
                </w:p>
              </w:tc>
            </w:tr>
            <w:tr w:rsidR="002A64E4" w:rsidTr="00B8408C">
              <w:tc>
                <w:tcPr>
                  <w:tcW w:w="1015" w:type="pct"/>
                  <w:tcBorders>
                    <w:bottom w:val="single" w:sz="6" w:space="0" w:color="BFBFBF"/>
                  </w:tcBorders>
                  <w:shd w:val="clear" w:color="auto" w:fill="auto"/>
                </w:tcPr>
                <w:p w:rsidR="002A64E4" w:rsidRPr="00FC4205" w:rsidRDefault="002A64E4" w:rsidP="002A64E4">
                  <w:pPr>
                    <w:pStyle w:val="TableBodyText"/>
                    <w:jc w:val="left"/>
                  </w:pPr>
                  <w:r w:rsidRPr="00FC4205">
                    <w:t>Total</w:t>
                  </w:r>
                </w:p>
              </w:tc>
              <w:tc>
                <w:tcPr>
                  <w:tcW w:w="1487" w:type="pct"/>
                  <w:tcBorders>
                    <w:bottom w:val="single" w:sz="6" w:space="0" w:color="BFBFBF"/>
                  </w:tcBorders>
                </w:tcPr>
                <w:p w:rsidR="002A64E4" w:rsidRPr="00FC4205" w:rsidRDefault="00881417" w:rsidP="002A64E4">
                  <w:pPr>
                    <w:pStyle w:val="TableBodyText"/>
                  </w:pPr>
                  <w:r w:rsidRPr="00FC4205">
                    <w:t>1</w:t>
                  </w:r>
                  <w:r w:rsidR="00593ADD" w:rsidRPr="00FC4205">
                    <w:t>6</w:t>
                  </w:r>
                </w:p>
              </w:tc>
              <w:tc>
                <w:tcPr>
                  <w:tcW w:w="1251" w:type="pct"/>
                  <w:tcBorders>
                    <w:bottom w:val="single" w:sz="6" w:space="0" w:color="BFBFBF"/>
                  </w:tcBorders>
                </w:tcPr>
                <w:p w:rsidR="002A64E4" w:rsidRPr="00FC4205" w:rsidRDefault="00881417" w:rsidP="003B52F2">
                  <w:pPr>
                    <w:pStyle w:val="TableBodyText"/>
                  </w:pPr>
                  <w:r w:rsidRPr="00FC4205">
                    <w:t>1</w:t>
                  </w:r>
                  <w:r w:rsidR="00593ADD" w:rsidRPr="00FC4205">
                    <w:t>2</w:t>
                  </w:r>
                </w:p>
              </w:tc>
              <w:tc>
                <w:tcPr>
                  <w:tcW w:w="1247" w:type="pct"/>
                  <w:tcBorders>
                    <w:bottom w:val="single" w:sz="6" w:space="0" w:color="BFBFBF"/>
                  </w:tcBorders>
                  <w:shd w:val="clear" w:color="auto" w:fill="auto"/>
                </w:tcPr>
                <w:p w:rsidR="002A64E4" w:rsidRPr="00FC4205" w:rsidRDefault="00063A26">
                  <w:pPr>
                    <w:pStyle w:val="TableBodyText"/>
                    <w:ind w:right="28"/>
                  </w:pPr>
                  <w:r w:rsidRPr="00FC4205">
                    <w:t>6</w:t>
                  </w:r>
                  <w:r w:rsidR="00593ADD" w:rsidRPr="00FC4205">
                    <w:t>8</w:t>
                  </w:r>
                </w:p>
              </w:tc>
            </w:tr>
          </w:tbl>
          <w:p w:rsidR="002A64E4" w:rsidRDefault="002A64E4" w:rsidP="002A64E4">
            <w:pPr>
              <w:pStyle w:val="Box"/>
            </w:pPr>
          </w:p>
        </w:tc>
      </w:tr>
      <w:tr w:rsidR="002A64E4" w:rsidTr="002A64E4">
        <w:tc>
          <w:tcPr>
            <w:tcW w:w="5000" w:type="pct"/>
            <w:tcBorders>
              <w:top w:val="nil"/>
              <w:left w:val="nil"/>
              <w:bottom w:val="nil"/>
              <w:right w:val="nil"/>
            </w:tcBorders>
            <w:shd w:val="clear" w:color="auto" w:fill="auto"/>
          </w:tcPr>
          <w:p w:rsidR="002A64E4" w:rsidRDefault="002A64E4">
            <w:pPr>
              <w:pStyle w:val="Note"/>
              <w:rPr>
                <w:i/>
              </w:rPr>
            </w:pPr>
            <w:r w:rsidRPr="008E77FE">
              <w:rPr>
                <w:rStyle w:val="NoteLabel"/>
              </w:rPr>
              <w:t>a</w:t>
            </w:r>
            <w:r>
              <w:t xml:space="preserve"> </w:t>
            </w:r>
            <w:r w:rsidR="0048789F">
              <w:t>Percentage shares by fund type do not add up to 100 per cent because t</w:t>
            </w:r>
            <w:r w:rsidR="0045083B">
              <w:t xml:space="preserve">here are no administration fees data in SuperRatings for </w:t>
            </w:r>
            <w:r w:rsidR="0048789F">
              <w:t>some</w:t>
            </w:r>
            <w:r w:rsidR="0045083B">
              <w:t xml:space="preserve"> funds</w:t>
            </w:r>
            <w:r>
              <w:t>.</w:t>
            </w:r>
            <w:r w:rsidR="004D2EF3">
              <w:t xml:space="preserve"> </w:t>
            </w:r>
            <w:r>
              <w:rPr>
                <w:rStyle w:val="NoteLabel"/>
              </w:rPr>
              <w:t>b</w:t>
            </w:r>
            <w:r>
              <w:t xml:space="preserve"> </w:t>
            </w:r>
            <w:r w:rsidR="002571CC">
              <w:t>Data are for a representative asset balance of $50 000</w:t>
            </w:r>
            <w:r>
              <w:t>.</w:t>
            </w:r>
          </w:p>
        </w:tc>
      </w:tr>
      <w:tr w:rsidR="002A64E4" w:rsidTr="002A64E4">
        <w:tc>
          <w:tcPr>
            <w:tcW w:w="5000" w:type="pct"/>
            <w:tcBorders>
              <w:top w:val="nil"/>
              <w:left w:val="nil"/>
              <w:bottom w:val="nil"/>
              <w:right w:val="nil"/>
            </w:tcBorders>
            <w:shd w:val="clear" w:color="auto" w:fill="auto"/>
          </w:tcPr>
          <w:p w:rsidR="002A64E4" w:rsidRDefault="002A64E4" w:rsidP="00BC1461">
            <w:pPr>
              <w:pStyle w:val="Source"/>
            </w:pPr>
            <w:r>
              <w:rPr>
                <w:i/>
              </w:rPr>
              <w:t>Source</w:t>
            </w:r>
            <w:r w:rsidRPr="00167F06">
              <w:t xml:space="preserve">: </w:t>
            </w:r>
            <w:r w:rsidR="008D4C72">
              <w:t>PC analysis of</w:t>
            </w:r>
            <w:r>
              <w:t xml:space="preserve"> SuperRatings data.</w:t>
            </w:r>
          </w:p>
        </w:tc>
      </w:tr>
      <w:tr w:rsidR="002A64E4" w:rsidTr="002A64E4">
        <w:tc>
          <w:tcPr>
            <w:tcW w:w="5000" w:type="pct"/>
            <w:tcBorders>
              <w:top w:val="nil"/>
              <w:left w:val="nil"/>
              <w:bottom w:val="single" w:sz="6" w:space="0" w:color="78A22F"/>
              <w:right w:val="nil"/>
            </w:tcBorders>
            <w:shd w:val="clear" w:color="auto" w:fill="auto"/>
          </w:tcPr>
          <w:p w:rsidR="002A64E4" w:rsidRDefault="002A64E4" w:rsidP="002A64E4">
            <w:pPr>
              <w:pStyle w:val="Box"/>
              <w:spacing w:before="0" w:line="120" w:lineRule="exact"/>
            </w:pPr>
          </w:p>
        </w:tc>
      </w:tr>
      <w:tr w:rsidR="002A64E4" w:rsidRPr="000863A5" w:rsidTr="002A64E4">
        <w:tc>
          <w:tcPr>
            <w:tcW w:w="5000" w:type="pct"/>
            <w:tcBorders>
              <w:top w:val="single" w:sz="6" w:space="0" w:color="78A22F"/>
              <w:left w:val="nil"/>
              <w:bottom w:val="nil"/>
              <w:right w:val="nil"/>
            </w:tcBorders>
          </w:tcPr>
          <w:p w:rsidR="002A64E4" w:rsidRPr="00626D32" w:rsidRDefault="002A64E4" w:rsidP="002A64E4">
            <w:pPr>
              <w:pStyle w:val="BoxSpaceBelow"/>
            </w:pPr>
          </w:p>
        </w:tc>
      </w:tr>
    </w:tbl>
    <w:p w:rsidR="003C569E" w:rsidRDefault="003C569E" w:rsidP="003C569E">
      <w:pPr>
        <w:pStyle w:val="BodyText"/>
      </w:pPr>
      <w:r>
        <w:lastRenderedPageBreak/>
        <w:t xml:space="preserve">About 22 per cent of member accounts are in products that only charge a fixed dollar administration fee. For comparison, about 9 per cent of member accounts are in products that only levy a percentage based administration fee. The higher share of members in products that only charge fixed dollar fees reflects that some of Australia’s largest superannuation funds are among those that only charge a fixed dollar fee. </w:t>
      </w:r>
    </w:p>
    <w:p w:rsidR="002A64E4" w:rsidRDefault="00192088" w:rsidP="009505C9">
      <w:pPr>
        <w:pStyle w:val="BodyText"/>
      </w:pPr>
      <w:r>
        <w:t xml:space="preserve">Fixed dollar administration fees are typically lower per member than percentage based fees </w:t>
      </w:r>
      <w:r w:rsidR="004178FA">
        <w:t>other than</w:t>
      </w:r>
      <w:r>
        <w:t xml:space="preserve"> for very low account balances</w:t>
      </w:r>
      <w:r w:rsidR="00D87567">
        <w:t xml:space="preserve"> (table </w:t>
      </w:r>
      <w:r w:rsidR="00E17D56">
        <w:t>11</w:t>
      </w:r>
      <w:r w:rsidR="00D87567">
        <w:t>)</w:t>
      </w:r>
      <w:r>
        <w:t>.</w:t>
      </w:r>
      <w:r w:rsidR="00B45B49">
        <w:t xml:space="preserve"> </w:t>
      </w:r>
      <w:r w:rsidR="00D87567">
        <w:t>B</w:t>
      </w:r>
      <w:r w:rsidR="00B45B49">
        <w:t>ecause of the contribution of percentage based fees, the average a</w:t>
      </w:r>
      <w:r w:rsidR="00881417">
        <w:t xml:space="preserve">dministration fees </w:t>
      </w:r>
      <w:r w:rsidR="00B45B49">
        <w:t xml:space="preserve">paid by a member </w:t>
      </w:r>
      <w:r w:rsidR="00881417">
        <w:t>rise</w:t>
      </w:r>
      <w:r w:rsidR="00B45B49">
        <w:t>s</w:t>
      </w:r>
      <w:r w:rsidR="00881417">
        <w:t xml:space="preserve"> with </w:t>
      </w:r>
      <w:r w:rsidR="00B45B49">
        <w:t xml:space="preserve">the </w:t>
      </w:r>
      <w:r w:rsidR="00881417">
        <w:t>member</w:t>
      </w:r>
      <w:r w:rsidR="00B45B49">
        <w:t>’s balance</w:t>
      </w:r>
      <w:r w:rsidR="008A5088">
        <w:t>, for example from $220 for an asset balance of $50 000 to over $1200 for an asset balance of $500 000</w:t>
      </w:r>
      <w:r w:rsidR="00D87567" w:rsidRPr="00D87567" w:rsidDel="008A5088">
        <w:t xml:space="preserve">. </w:t>
      </w:r>
      <w:r w:rsidR="000A3E06">
        <w:t xml:space="preserve">There are also large differences across segments — a member with a $50 000 balance would </w:t>
      </w:r>
      <w:r w:rsidR="00C03530">
        <w:t>p</w:t>
      </w:r>
      <w:r w:rsidR="000A3E06">
        <w:t>ay a much higher administration fee in dollar terms if they were in the average retail fund ($374 per year) than if they were in the average not</w:t>
      </w:r>
      <w:r w:rsidR="000A3E06">
        <w:noBreakHyphen/>
        <w:t>for</w:t>
      </w:r>
      <w:r w:rsidR="000A3E06">
        <w:noBreakHyphen/>
        <w:t>profit fund ($127) (table </w:t>
      </w:r>
      <w:r w:rsidR="00E17D56">
        <w:t>12</w:t>
      </w:r>
      <w:r w:rsidR="000A3E06">
        <w:t>). Most of the difference is due to percentage</w:t>
      </w:r>
      <w:r w:rsidR="000A3E06">
        <w:noBreakHyphen/>
        <w:t>based fees.</w:t>
      </w:r>
    </w:p>
    <w:p w:rsidR="00C1435A" w:rsidRDefault="00C1435A" w:rsidP="00C1435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C1435A" w:rsidTr="00C1435A">
        <w:trPr>
          <w:tblHeader/>
        </w:trPr>
        <w:tc>
          <w:tcPr>
            <w:tcW w:w="5000" w:type="pct"/>
            <w:tcBorders>
              <w:top w:val="single" w:sz="6" w:space="0" w:color="78A22F"/>
              <w:left w:val="nil"/>
              <w:bottom w:val="nil"/>
              <w:right w:val="nil"/>
            </w:tcBorders>
            <w:shd w:val="clear" w:color="auto" w:fill="auto"/>
          </w:tcPr>
          <w:p w:rsidR="00C1435A" w:rsidRDefault="00C1435A" w:rsidP="00C1435A">
            <w:pPr>
              <w:pStyle w:val="TableTitle"/>
            </w:pPr>
            <w:r>
              <w:rPr>
                <w:b w:val="0"/>
              </w:rPr>
              <w:t xml:space="preserve">Table </w:t>
            </w:r>
            <w:bookmarkStart w:id="76" w:name="OLE_LINK31"/>
            <w:r w:rsidR="001345FE">
              <w:rPr>
                <w:b w:val="0"/>
                <w:noProof/>
              </w:rPr>
              <w:t>11</w:t>
            </w:r>
            <w:bookmarkEnd w:id="76"/>
            <w:r>
              <w:tab/>
            </w:r>
            <w:r w:rsidR="004178FA">
              <w:t>Average a</w:t>
            </w:r>
            <w:r>
              <w:t>dministration fees vary by</w:t>
            </w:r>
            <w:r w:rsidR="00BB3CA0">
              <w:t xml:space="preserve"> </w:t>
            </w:r>
            <w:r>
              <w:t>balance</w:t>
            </w:r>
            <w:r w:rsidR="008A5088" w:rsidRPr="0003354B">
              <w:rPr>
                <w:rStyle w:val="NoteLabel"/>
                <w:b/>
              </w:rPr>
              <w:t>a</w:t>
            </w:r>
            <w:r w:rsidR="00481A75">
              <w:rPr>
                <w:rStyle w:val="NoteLabel"/>
                <w:b/>
              </w:rPr>
              <w:t>,b</w:t>
            </w:r>
          </w:p>
          <w:p w:rsidR="00C1435A" w:rsidRPr="00784A05" w:rsidRDefault="004A7A3B" w:rsidP="00C1435A">
            <w:pPr>
              <w:pStyle w:val="Subtitle"/>
            </w:pPr>
            <w:r>
              <w:t>$</w:t>
            </w:r>
            <w:r w:rsidR="00B92148">
              <w:t>, June 2017</w:t>
            </w:r>
          </w:p>
        </w:tc>
      </w:tr>
      <w:tr w:rsidR="00C1435A" w:rsidTr="00C1435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8"/>
              <w:gridCol w:w="2126"/>
              <w:gridCol w:w="2126"/>
              <w:gridCol w:w="2125"/>
            </w:tblGrid>
            <w:tr w:rsidR="00C1435A" w:rsidTr="00A02969">
              <w:trPr>
                <w:tblHeader/>
              </w:trPr>
              <w:tc>
                <w:tcPr>
                  <w:tcW w:w="1251" w:type="pct"/>
                  <w:tcBorders>
                    <w:top w:val="single" w:sz="6" w:space="0" w:color="BFBFBF"/>
                    <w:bottom w:val="single" w:sz="6" w:space="0" w:color="BFBFBF"/>
                  </w:tcBorders>
                  <w:shd w:val="clear" w:color="auto" w:fill="auto"/>
                  <w:tcMar>
                    <w:top w:w="28" w:type="dxa"/>
                  </w:tcMar>
                </w:tcPr>
                <w:p w:rsidR="00C1435A" w:rsidRDefault="00B92148" w:rsidP="00C1435A">
                  <w:pPr>
                    <w:pStyle w:val="TableColumnHeading"/>
                    <w:jc w:val="left"/>
                  </w:pPr>
                  <w:r>
                    <w:t>Member balance</w:t>
                  </w:r>
                </w:p>
              </w:tc>
              <w:tc>
                <w:tcPr>
                  <w:tcW w:w="1250" w:type="pct"/>
                  <w:tcBorders>
                    <w:top w:val="single" w:sz="6" w:space="0" w:color="BFBFBF"/>
                    <w:bottom w:val="single" w:sz="6" w:space="0" w:color="BFBFBF"/>
                  </w:tcBorders>
                </w:tcPr>
                <w:p w:rsidR="00C1435A" w:rsidRDefault="00303F50" w:rsidP="00C1435A">
                  <w:pPr>
                    <w:pStyle w:val="TableColumnHeading"/>
                  </w:pPr>
                  <w:r>
                    <w:t>Percentage based fee</w:t>
                  </w:r>
                </w:p>
              </w:tc>
              <w:tc>
                <w:tcPr>
                  <w:tcW w:w="1250" w:type="pct"/>
                  <w:tcBorders>
                    <w:top w:val="single" w:sz="6" w:space="0" w:color="BFBFBF"/>
                    <w:bottom w:val="single" w:sz="6" w:space="0" w:color="BFBFBF"/>
                  </w:tcBorders>
                  <w:shd w:val="clear" w:color="auto" w:fill="auto"/>
                  <w:tcMar>
                    <w:top w:w="28" w:type="dxa"/>
                  </w:tcMar>
                </w:tcPr>
                <w:p w:rsidR="00C1435A" w:rsidRDefault="00303F50" w:rsidP="00C1435A">
                  <w:pPr>
                    <w:pStyle w:val="TableColumnHeading"/>
                  </w:pPr>
                  <w:r>
                    <w:t>Fixed dollar fee</w:t>
                  </w:r>
                </w:p>
              </w:tc>
              <w:tc>
                <w:tcPr>
                  <w:tcW w:w="1249" w:type="pct"/>
                  <w:tcBorders>
                    <w:top w:val="single" w:sz="6" w:space="0" w:color="BFBFBF"/>
                    <w:bottom w:val="single" w:sz="6" w:space="0" w:color="BFBFBF"/>
                  </w:tcBorders>
                  <w:shd w:val="clear" w:color="auto" w:fill="auto"/>
                  <w:tcMar>
                    <w:top w:w="28" w:type="dxa"/>
                  </w:tcMar>
                </w:tcPr>
                <w:p w:rsidR="00C1435A" w:rsidRDefault="00303F50" w:rsidP="00C1435A">
                  <w:pPr>
                    <w:pStyle w:val="TableColumnHeading"/>
                    <w:ind w:right="28"/>
                  </w:pPr>
                  <w:r>
                    <w:t>Total administration fee</w:t>
                  </w:r>
                </w:p>
              </w:tc>
            </w:tr>
            <w:tr w:rsidR="00C1435A" w:rsidTr="00A02969">
              <w:tc>
                <w:tcPr>
                  <w:tcW w:w="1251" w:type="pct"/>
                  <w:tcBorders>
                    <w:top w:val="single" w:sz="6" w:space="0" w:color="BFBFBF"/>
                  </w:tcBorders>
                </w:tcPr>
                <w:p w:rsidR="00C1435A" w:rsidRDefault="00A02969" w:rsidP="00BB3CA0">
                  <w:pPr>
                    <w:pStyle w:val="TableUnitsRow"/>
                    <w:jc w:val="left"/>
                  </w:pPr>
                  <w:r>
                    <w:t>10 000</w:t>
                  </w:r>
                </w:p>
              </w:tc>
              <w:tc>
                <w:tcPr>
                  <w:tcW w:w="1250" w:type="pct"/>
                  <w:tcBorders>
                    <w:top w:val="single" w:sz="6" w:space="0" w:color="BFBFBF"/>
                  </w:tcBorders>
                </w:tcPr>
                <w:p w:rsidR="00C1435A" w:rsidRDefault="0087456B" w:rsidP="00C1435A">
                  <w:pPr>
                    <w:pStyle w:val="TableUnitsRow"/>
                  </w:pPr>
                  <w:r>
                    <w:t>27</w:t>
                  </w:r>
                </w:p>
              </w:tc>
              <w:tc>
                <w:tcPr>
                  <w:tcW w:w="1250" w:type="pct"/>
                  <w:tcBorders>
                    <w:top w:val="single" w:sz="6" w:space="0" w:color="BFBFBF"/>
                  </w:tcBorders>
                </w:tcPr>
                <w:p w:rsidR="00C1435A" w:rsidRDefault="0087456B" w:rsidP="00C1435A">
                  <w:pPr>
                    <w:pStyle w:val="TableUnitsRow"/>
                  </w:pPr>
                  <w:r>
                    <w:t>83</w:t>
                  </w:r>
                </w:p>
              </w:tc>
              <w:tc>
                <w:tcPr>
                  <w:tcW w:w="1249" w:type="pct"/>
                  <w:tcBorders>
                    <w:top w:val="single" w:sz="6" w:space="0" w:color="BFBFBF"/>
                  </w:tcBorders>
                </w:tcPr>
                <w:p w:rsidR="00C1435A" w:rsidRDefault="0087456B" w:rsidP="00C1435A">
                  <w:pPr>
                    <w:pStyle w:val="TableUnitsRow"/>
                    <w:ind w:right="28"/>
                  </w:pPr>
                  <w:r>
                    <w:t>111</w:t>
                  </w:r>
                </w:p>
              </w:tc>
            </w:tr>
            <w:tr w:rsidR="00BB3CA0" w:rsidTr="00A02969">
              <w:tc>
                <w:tcPr>
                  <w:tcW w:w="1251" w:type="pct"/>
                  <w:shd w:val="pct5" w:color="auto" w:fill="auto"/>
                </w:tcPr>
                <w:p w:rsidR="00BB3CA0" w:rsidRDefault="00BB3CA0" w:rsidP="00BB3CA0">
                  <w:pPr>
                    <w:pStyle w:val="TableBodyText"/>
                    <w:jc w:val="left"/>
                  </w:pPr>
                  <w:r>
                    <w:t>25 000</w:t>
                  </w:r>
                </w:p>
              </w:tc>
              <w:tc>
                <w:tcPr>
                  <w:tcW w:w="1250" w:type="pct"/>
                  <w:shd w:val="pct5" w:color="auto" w:fill="auto"/>
                </w:tcPr>
                <w:p w:rsidR="00BB3CA0" w:rsidRDefault="0087456B" w:rsidP="00C1435A">
                  <w:pPr>
                    <w:pStyle w:val="TableBodyText"/>
                  </w:pPr>
                  <w:r>
                    <w:t>69</w:t>
                  </w:r>
                </w:p>
              </w:tc>
              <w:tc>
                <w:tcPr>
                  <w:tcW w:w="1250" w:type="pct"/>
                  <w:shd w:val="pct5" w:color="auto" w:fill="auto"/>
                </w:tcPr>
                <w:p w:rsidR="00BB3CA0" w:rsidRDefault="0087456B" w:rsidP="00C1435A">
                  <w:pPr>
                    <w:pStyle w:val="TableBodyText"/>
                  </w:pPr>
                  <w:r>
                    <w:t>83</w:t>
                  </w:r>
                </w:p>
              </w:tc>
              <w:tc>
                <w:tcPr>
                  <w:tcW w:w="1249" w:type="pct"/>
                  <w:shd w:val="pct5" w:color="auto" w:fill="auto"/>
                </w:tcPr>
                <w:p w:rsidR="00BB3CA0" w:rsidRDefault="0087456B" w:rsidP="00C1435A">
                  <w:pPr>
                    <w:pStyle w:val="TableBodyText"/>
                    <w:ind w:right="28"/>
                  </w:pPr>
                  <w:r>
                    <w:t>152</w:t>
                  </w:r>
                </w:p>
              </w:tc>
            </w:tr>
            <w:tr w:rsidR="00BB3CA0" w:rsidTr="00A02969">
              <w:tc>
                <w:tcPr>
                  <w:tcW w:w="1251" w:type="pct"/>
                </w:tcPr>
                <w:p w:rsidR="00BB3CA0" w:rsidRDefault="00BB3CA0" w:rsidP="00C1435A">
                  <w:pPr>
                    <w:pStyle w:val="TableBodyText"/>
                    <w:jc w:val="left"/>
                  </w:pPr>
                  <w:r>
                    <w:t xml:space="preserve">50 000 </w:t>
                  </w:r>
                </w:p>
              </w:tc>
              <w:tc>
                <w:tcPr>
                  <w:tcW w:w="1250" w:type="pct"/>
                </w:tcPr>
                <w:p w:rsidR="00BB3CA0" w:rsidRDefault="0087456B" w:rsidP="00C1435A">
                  <w:pPr>
                    <w:pStyle w:val="TableBodyText"/>
                  </w:pPr>
                  <w:r>
                    <w:t>139</w:t>
                  </w:r>
                </w:p>
              </w:tc>
              <w:tc>
                <w:tcPr>
                  <w:tcW w:w="1250" w:type="pct"/>
                </w:tcPr>
                <w:p w:rsidR="00BB3CA0" w:rsidRDefault="0087456B" w:rsidP="00C1435A">
                  <w:pPr>
                    <w:pStyle w:val="TableBodyText"/>
                  </w:pPr>
                  <w:r>
                    <w:t>81</w:t>
                  </w:r>
                </w:p>
              </w:tc>
              <w:tc>
                <w:tcPr>
                  <w:tcW w:w="1249" w:type="pct"/>
                </w:tcPr>
                <w:p w:rsidR="00BB3CA0" w:rsidRDefault="0087456B" w:rsidP="00C1435A">
                  <w:pPr>
                    <w:pStyle w:val="TableBodyText"/>
                    <w:ind w:right="28"/>
                  </w:pPr>
                  <w:r>
                    <w:t>2</w:t>
                  </w:r>
                  <w:r w:rsidR="00562787">
                    <w:t>19</w:t>
                  </w:r>
                </w:p>
              </w:tc>
            </w:tr>
            <w:tr w:rsidR="00BB3CA0" w:rsidTr="00A02969">
              <w:tc>
                <w:tcPr>
                  <w:tcW w:w="1251" w:type="pct"/>
                  <w:shd w:val="pct5" w:color="auto" w:fill="auto"/>
                </w:tcPr>
                <w:p w:rsidR="00BB3CA0" w:rsidRDefault="00BB3CA0" w:rsidP="00C1435A">
                  <w:pPr>
                    <w:pStyle w:val="TableBodyText"/>
                    <w:jc w:val="left"/>
                  </w:pPr>
                  <w:r>
                    <w:t xml:space="preserve">100 000 </w:t>
                  </w:r>
                </w:p>
              </w:tc>
              <w:tc>
                <w:tcPr>
                  <w:tcW w:w="1250" w:type="pct"/>
                  <w:shd w:val="pct5" w:color="auto" w:fill="auto"/>
                </w:tcPr>
                <w:p w:rsidR="00BB3CA0" w:rsidRDefault="0087456B" w:rsidP="00C1435A">
                  <w:pPr>
                    <w:pStyle w:val="TableBodyText"/>
                  </w:pPr>
                  <w:r>
                    <w:t>279</w:t>
                  </w:r>
                </w:p>
              </w:tc>
              <w:tc>
                <w:tcPr>
                  <w:tcW w:w="1250" w:type="pct"/>
                  <w:shd w:val="pct5" w:color="auto" w:fill="auto"/>
                </w:tcPr>
                <w:p w:rsidR="00BB3CA0" w:rsidRDefault="0087456B" w:rsidP="00C1435A">
                  <w:pPr>
                    <w:pStyle w:val="TableBodyText"/>
                  </w:pPr>
                  <w:r>
                    <w:t>71</w:t>
                  </w:r>
                </w:p>
              </w:tc>
              <w:tc>
                <w:tcPr>
                  <w:tcW w:w="1249" w:type="pct"/>
                  <w:shd w:val="pct5" w:color="auto" w:fill="auto"/>
                </w:tcPr>
                <w:p w:rsidR="00BB3CA0" w:rsidRDefault="0087456B" w:rsidP="00C1435A">
                  <w:pPr>
                    <w:pStyle w:val="TableBodyText"/>
                    <w:ind w:right="28"/>
                  </w:pPr>
                  <w:r>
                    <w:t>35</w:t>
                  </w:r>
                  <w:r w:rsidR="00562787">
                    <w:t>0</w:t>
                  </w:r>
                </w:p>
              </w:tc>
            </w:tr>
            <w:tr w:rsidR="00C1435A" w:rsidTr="00A02969">
              <w:tc>
                <w:tcPr>
                  <w:tcW w:w="1251" w:type="pct"/>
                </w:tcPr>
                <w:p w:rsidR="00C1435A" w:rsidRDefault="00BB3CA0" w:rsidP="00C1435A">
                  <w:pPr>
                    <w:pStyle w:val="TableBodyText"/>
                    <w:jc w:val="left"/>
                  </w:pPr>
                  <w:r>
                    <w:t xml:space="preserve">200 000 </w:t>
                  </w:r>
                </w:p>
              </w:tc>
              <w:tc>
                <w:tcPr>
                  <w:tcW w:w="1250" w:type="pct"/>
                </w:tcPr>
                <w:p w:rsidR="00C1435A" w:rsidRDefault="0087456B" w:rsidP="00C1435A">
                  <w:pPr>
                    <w:pStyle w:val="TableBodyText"/>
                  </w:pPr>
                  <w:r>
                    <w:t>5</w:t>
                  </w:r>
                  <w:r w:rsidR="00562787">
                    <w:t>59</w:t>
                  </w:r>
                </w:p>
              </w:tc>
              <w:tc>
                <w:tcPr>
                  <w:tcW w:w="1250" w:type="pct"/>
                </w:tcPr>
                <w:p w:rsidR="00C1435A" w:rsidRDefault="0087456B" w:rsidP="00C1435A">
                  <w:pPr>
                    <w:pStyle w:val="TableBodyText"/>
                  </w:pPr>
                  <w:r>
                    <w:t>65</w:t>
                  </w:r>
                </w:p>
              </w:tc>
              <w:tc>
                <w:tcPr>
                  <w:tcW w:w="1249" w:type="pct"/>
                </w:tcPr>
                <w:p w:rsidR="00C1435A" w:rsidRDefault="0087456B" w:rsidP="00C1435A">
                  <w:pPr>
                    <w:pStyle w:val="TableBodyText"/>
                    <w:ind w:right="28"/>
                  </w:pPr>
                  <w:r>
                    <w:t>62</w:t>
                  </w:r>
                  <w:r w:rsidR="00562787">
                    <w:t>4</w:t>
                  </w:r>
                </w:p>
              </w:tc>
            </w:tr>
            <w:tr w:rsidR="00C1435A" w:rsidTr="00A02969">
              <w:tc>
                <w:tcPr>
                  <w:tcW w:w="1251" w:type="pct"/>
                  <w:tcBorders>
                    <w:bottom w:val="single" w:sz="6" w:space="0" w:color="BFBFBF"/>
                  </w:tcBorders>
                  <w:shd w:val="pct5" w:color="auto" w:fill="auto"/>
                </w:tcPr>
                <w:p w:rsidR="00C1435A" w:rsidRDefault="00BB3CA0" w:rsidP="00C1435A">
                  <w:pPr>
                    <w:pStyle w:val="TableBodyText"/>
                    <w:jc w:val="left"/>
                  </w:pPr>
                  <w:r>
                    <w:t xml:space="preserve">500 000 </w:t>
                  </w:r>
                </w:p>
              </w:tc>
              <w:tc>
                <w:tcPr>
                  <w:tcW w:w="1250" w:type="pct"/>
                  <w:tcBorders>
                    <w:bottom w:val="single" w:sz="6" w:space="0" w:color="BFBFBF"/>
                  </w:tcBorders>
                  <w:shd w:val="pct5" w:color="auto" w:fill="auto"/>
                </w:tcPr>
                <w:p w:rsidR="00C1435A" w:rsidRDefault="0087456B" w:rsidP="00C1435A">
                  <w:pPr>
                    <w:pStyle w:val="TableBodyText"/>
                  </w:pPr>
                  <w:r>
                    <w:t>1</w:t>
                  </w:r>
                  <w:r w:rsidR="007602AB">
                    <w:t xml:space="preserve"> </w:t>
                  </w:r>
                  <w:r>
                    <w:t>22</w:t>
                  </w:r>
                  <w:r w:rsidR="00562787">
                    <w:t>5</w:t>
                  </w:r>
                </w:p>
              </w:tc>
              <w:tc>
                <w:tcPr>
                  <w:tcW w:w="1250" w:type="pct"/>
                  <w:tcBorders>
                    <w:bottom w:val="single" w:sz="6" w:space="0" w:color="BFBFBF"/>
                  </w:tcBorders>
                  <w:shd w:val="pct5" w:color="auto" w:fill="auto"/>
                </w:tcPr>
                <w:p w:rsidR="00C1435A" w:rsidRDefault="0087456B" w:rsidP="00C1435A">
                  <w:pPr>
                    <w:pStyle w:val="TableBodyText"/>
                  </w:pPr>
                  <w:r>
                    <w:t>65</w:t>
                  </w:r>
                </w:p>
              </w:tc>
              <w:tc>
                <w:tcPr>
                  <w:tcW w:w="1249" w:type="pct"/>
                  <w:tcBorders>
                    <w:bottom w:val="single" w:sz="6" w:space="0" w:color="BFBFBF"/>
                  </w:tcBorders>
                  <w:shd w:val="pct5" w:color="auto" w:fill="auto"/>
                </w:tcPr>
                <w:p w:rsidR="00C1435A" w:rsidRDefault="0087456B" w:rsidP="00C1435A">
                  <w:pPr>
                    <w:pStyle w:val="TableBodyText"/>
                    <w:ind w:right="28"/>
                  </w:pPr>
                  <w:r>
                    <w:t>1</w:t>
                  </w:r>
                  <w:r w:rsidR="007602AB">
                    <w:t xml:space="preserve"> </w:t>
                  </w:r>
                  <w:r>
                    <w:t>29</w:t>
                  </w:r>
                  <w:r w:rsidR="00562787">
                    <w:t>0</w:t>
                  </w:r>
                </w:p>
              </w:tc>
            </w:tr>
          </w:tbl>
          <w:p w:rsidR="00C1435A" w:rsidRDefault="00C1435A" w:rsidP="00C1435A">
            <w:pPr>
              <w:pStyle w:val="Box"/>
            </w:pPr>
          </w:p>
        </w:tc>
      </w:tr>
      <w:tr w:rsidR="00C1435A" w:rsidTr="00C1435A">
        <w:tc>
          <w:tcPr>
            <w:tcW w:w="5000" w:type="pct"/>
            <w:tcBorders>
              <w:top w:val="nil"/>
              <w:left w:val="nil"/>
              <w:bottom w:val="nil"/>
              <w:right w:val="nil"/>
            </w:tcBorders>
            <w:shd w:val="clear" w:color="auto" w:fill="auto"/>
          </w:tcPr>
          <w:p w:rsidR="00C1435A" w:rsidRDefault="00C1435A" w:rsidP="00FD6DC9">
            <w:pPr>
              <w:pStyle w:val="Note"/>
              <w:rPr>
                <w:i/>
              </w:rPr>
            </w:pPr>
            <w:r w:rsidRPr="008E77FE">
              <w:rPr>
                <w:rStyle w:val="NoteLabel"/>
              </w:rPr>
              <w:t>a</w:t>
            </w:r>
            <w:r>
              <w:t xml:space="preserve"> </w:t>
            </w:r>
            <w:r w:rsidR="008A5088">
              <w:t xml:space="preserve">SuperRatings data do not include </w:t>
            </w:r>
            <w:r w:rsidR="00B92148">
              <w:t>any</w:t>
            </w:r>
            <w:r w:rsidR="008A5088">
              <w:t xml:space="preserve"> administration fee caps</w:t>
            </w:r>
            <w:r>
              <w:t>.</w:t>
            </w:r>
            <w:r w:rsidR="00481A75">
              <w:t xml:space="preserve"> </w:t>
            </w:r>
            <w:r w:rsidR="00481A75">
              <w:rPr>
                <w:rStyle w:val="NoteLabel"/>
              </w:rPr>
              <w:t>b</w:t>
            </w:r>
            <w:r w:rsidR="00481A75">
              <w:t xml:space="preserve"> </w:t>
            </w:r>
            <w:r w:rsidR="00FD6DC9">
              <w:t>Figures may</w:t>
            </w:r>
            <w:r w:rsidR="00481A75">
              <w:t xml:space="preserve"> not add due to rounding.</w:t>
            </w:r>
          </w:p>
        </w:tc>
      </w:tr>
      <w:tr w:rsidR="00C1435A" w:rsidTr="00C1435A">
        <w:tc>
          <w:tcPr>
            <w:tcW w:w="5000" w:type="pct"/>
            <w:tcBorders>
              <w:top w:val="nil"/>
              <w:left w:val="nil"/>
              <w:bottom w:val="nil"/>
              <w:right w:val="nil"/>
            </w:tcBorders>
            <w:shd w:val="clear" w:color="auto" w:fill="auto"/>
          </w:tcPr>
          <w:p w:rsidR="00C1435A" w:rsidRDefault="00C1435A" w:rsidP="00E14362">
            <w:pPr>
              <w:pStyle w:val="Source"/>
            </w:pPr>
            <w:r>
              <w:rPr>
                <w:i/>
              </w:rPr>
              <w:t>Source</w:t>
            </w:r>
            <w:r w:rsidRPr="00167F06">
              <w:t xml:space="preserve">: </w:t>
            </w:r>
            <w:r w:rsidR="008D4C72">
              <w:t>PC analysis of SuperRatings data.</w:t>
            </w:r>
          </w:p>
        </w:tc>
      </w:tr>
      <w:tr w:rsidR="00C1435A" w:rsidTr="00C1435A">
        <w:tc>
          <w:tcPr>
            <w:tcW w:w="5000" w:type="pct"/>
            <w:tcBorders>
              <w:top w:val="nil"/>
              <w:left w:val="nil"/>
              <w:bottom w:val="single" w:sz="6" w:space="0" w:color="78A22F"/>
              <w:right w:val="nil"/>
            </w:tcBorders>
            <w:shd w:val="clear" w:color="auto" w:fill="auto"/>
          </w:tcPr>
          <w:p w:rsidR="00C1435A" w:rsidRDefault="00C1435A" w:rsidP="00C1435A">
            <w:pPr>
              <w:pStyle w:val="Box"/>
              <w:spacing w:before="0" w:line="120" w:lineRule="exact"/>
            </w:pPr>
          </w:p>
        </w:tc>
      </w:tr>
      <w:tr w:rsidR="00C1435A" w:rsidRPr="000863A5" w:rsidTr="00C1435A">
        <w:tc>
          <w:tcPr>
            <w:tcW w:w="5000" w:type="pct"/>
            <w:tcBorders>
              <w:top w:val="single" w:sz="6" w:space="0" w:color="78A22F"/>
              <w:left w:val="nil"/>
              <w:bottom w:val="nil"/>
              <w:right w:val="nil"/>
            </w:tcBorders>
          </w:tcPr>
          <w:p w:rsidR="00C1435A" w:rsidRPr="00626D32" w:rsidRDefault="00C1435A" w:rsidP="00C1435A">
            <w:pPr>
              <w:pStyle w:val="BoxSpaceBelow"/>
            </w:pPr>
          </w:p>
        </w:tc>
      </w:tr>
    </w:tbl>
    <w:p w:rsidR="00033F29" w:rsidRDefault="00033F29" w:rsidP="00033F29">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33F29" w:rsidTr="005A50BB">
        <w:trPr>
          <w:tblHeader/>
        </w:trPr>
        <w:tc>
          <w:tcPr>
            <w:tcW w:w="5000" w:type="pct"/>
            <w:tcBorders>
              <w:top w:val="single" w:sz="6" w:space="0" w:color="78A22F"/>
              <w:left w:val="nil"/>
              <w:bottom w:val="nil"/>
              <w:right w:val="nil"/>
            </w:tcBorders>
            <w:shd w:val="clear" w:color="auto" w:fill="auto"/>
          </w:tcPr>
          <w:p w:rsidR="00033F29" w:rsidRDefault="00033F29" w:rsidP="005A50BB">
            <w:pPr>
              <w:pStyle w:val="TableTitle"/>
            </w:pPr>
            <w:r>
              <w:rPr>
                <w:b w:val="0"/>
              </w:rPr>
              <w:t xml:space="preserve">Table </w:t>
            </w:r>
            <w:bookmarkStart w:id="77" w:name="OLE_LINK65"/>
            <w:r w:rsidR="001345FE">
              <w:rPr>
                <w:b w:val="0"/>
                <w:noProof/>
              </w:rPr>
              <w:t>12</w:t>
            </w:r>
            <w:bookmarkEnd w:id="77"/>
            <w:r>
              <w:tab/>
              <w:t>Administration fee levels vary by fund type</w:t>
            </w:r>
            <w:r w:rsidR="00FB33F8" w:rsidRPr="0003354B">
              <w:rPr>
                <w:rStyle w:val="NoteLabel"/>
                <w:b/>
              </w:rPr>
              <w:t>a</w:t>
            </w:r>
          </w:p>
          <w:p w:rsidR="00033F29" w:rsidRPr="00784A05" w:rsidRDefault="00033F29" w:rsidP="005A50BB">
            <w:pPr>
              <w:pStyle w:val="Subtitle"/>
            </w:pPr>
            <w:r>
              <w:t>June 2017</w:t>
            </w:r>
          </w:p>
        </w:tc>
      </w:tr>
      <w:tr w:rsidR="00033F29" w:rsidTr="005A50B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278"/>
              <w:gridCol w:w="1699"/>
              <w:gridCol w:w="2694"/>
              <w:gridCol w:w="2834"/>
            </w:tblGrid>
            <w:tr w:rsidR="00033F29" w:rsidTr="003F3F9E">
              <w:trPr>
                <w:tblHeader/>
              </w:trPr>
              <w:tc>
                <w:tcPr>
                  <w:tcW w:w="751" w:type="pct"/>
                  <w:tcBorders>
                    <w:top w:val="single" w:sz="6" w:space="0" w:color="BFBFBF"/>
                    <w:bottom w:val="single" w:sz="6" w:space="0" w:color="BFBFBF"/>
                  </w:tcBorders>
                  <w:shd w:val="clear" w:color="auto" w:fill="auto"/>
                  <w:tcMar>
                    <w:top w:w="28" w:type="dxa"/>
                  </w:tcMar>
                </w:tcPr>
                <w:p w:rsidR="00033F29" w:rsidRDefault="00033F29" w:rsidP="005A50BB">
                  <w:pPr>
                    <w:pStyle w:val="TableColumnHeading"/>
                    <w:jc w:val="left"/>
                  </w:pPr>
                </w:p>
              </w:tc>
              <w:tc>
                <w:tcPr>
                  <w:tcW w:w="999" w:type="pct"/>
                  <w:tcBorders>
                    <w:top w:val="single" w:sz="6" w:space="0" w:color="BFBFBF"/>
                    <w:bottom w:val="single" w:sz="6" w:space="0" w:color="BFBFBF"/>
                  </w:tcBorders>
                </w:tcPr>
                <w:p w:rsidR="00033F29" w:rsidRDefault="00FB33F8" w:rsidP="005A50BB">
                  <w:pPr>
                    <w:pStyle w:val="TableColumnHeading"/>
                  </w:pPr>
                  <w:r>
                    <w:t>Average fee</w:t>
                  </w:r>
                </w:p>
              </w:tc>
              <w:tc>
                <w:tcPr>
                  <w:tcW w:w="1584" w:type="pct"/>
                  <w:tcBorders>
                    <w:top w:val="single" w:sz="6" w:space="0" w:color="BFBFBF"/>
                    <w:bottom w:val="single" w:sz="6" w:space="0" w:color="BFBFBF"/>
                  </w:tcBorders>
                  <w:shd w:val="clear" w:color="auto" w:fill="auto"/>
                  <w:tcMar>
                    <w:top w:w="28" w:type="dxa"/>
                  </w:tcMar>
                </w:tcPr>
                <w:p w:rsidR="00033F29" w:rsidRDefault="00475F95" w:rsidP="003F3F9E">
                  <w:pPr>
                    <w:pStyle w:val="TableColumnHeading"/>
                  </w:pPr>
                  <w:r>
                    <w:t xml:space="preserve">Average </w:t>
                  </w:r>
                  <w:r w:rsidR="003F3F9E">
                    <w:t>percentage</w:t>
                  </w:r>
                  <w:r>
                    <w:noBreakHyphen/>
                    <w:t>based fee</w:t>
                  </w:r>
                </w:p>
              </w:tc>
              <w:tc>
                <w:tcPr>
                  <w:tcW w:w="1667" w:type="pct"/>
                  <w:tcBorders>
                    <w:top w:val="single" w:sz="6" w:space="0" w:color="BFBFBF"/>
                    <w:bottom w:val="single" w:sz="6" w:space="0" w:color="BFBFBF"/>
                  </w:tcBorders>
                  <w:shd w:val="clear" w:color="auto" w:fill="auto"/>
                  <w:tcMar>
                    <w:top w:w="28" w:type="dxa"/>
                  </w:tcMar>
                </w:tcPr>
                <w:p w:rsidR="00033F29" w:rsidRDefault="00475F95" w:rsidP="003F3F9E">
                  <w:pPr>
                    <w:pStyle w:val="TableColumnHeading"/>
                    <w:ind w:right="28"/>
                  </w:pPr>
                  <w:r>
                    <w:t xml:space="preserve">Contribution of </w:t>
                  </w:r>
                  <w:r w:rsidR="003F3F9E">
                    <w:t>percentage</w:t>
                  </w:r>
                  <w:r>
                    <w:noBreakHyphen/>
                    <w:t>based fee to average fee</w:t>
                  </w:r>
                </w:p>
              </w:tc>
            </w:tr>
            <w:tr w:rsidR="00033F29" w:rsidTr="003F3F9E">
              <w:tc>
                <w:tcPr>
                  <w:tcW w:w="751" w:type="pct"/>
                  <w:tcBorders>
                    <w:top w:val="single" w:sz="6" w:space="0" w:color="BFBFBF"/>
                  </w:tcBorders>
                </w:tcPr>
                <w:p w:rsidR="00033F29" w:rsidRDefault="00033F29" w:rsidP="005A50BB">
                  <w:pPr>
                    <w:pStyle w:val="TableUnitsRow"/>
                    <w:jc w:val="left"/>
                  </w:pPr>
                </w:p>
              </w:tc>
              <w:tc>
                <w:tcPr>
                  <w:tcW w:w="999" w:type="pct"/>
                  <w:tcBorders>
                    <w:top w:val="single" w:sz="6" w:space="0" w:color="BFBFBF"/>
                  </w:tcBorders>
                </w:tcPr>
                <w:p w:rsidR="00033F29" w:rsidRDefault="00475F95" w:rsidP="005A50BB">
                  <w:pPr>
                    <w:pStyle w:val="TableUnitsRow"/>
                  </w:pPr>
                  <w:r>
                    <w:t>$</w:t>
                  </w:r>
                  <w:r>
                    <w:noBreakHyphen/>
                    <w:t>equivalent</w:t>
                  </w:r>
                </w:p>
              </w:tc>
              <w:tc>
                <w:tcPr>
                  <w:tcW w:w="1584" w:type="pct"/>
                  <w:tcBorders>
                    <w:top w:val="single" w:sz="6" w:space="0" w:color="BFBFBF"/>
                  </w:tcBorders>
                </w:tcPr>
                <w:p w:rsidR="00033F29" w:rsidRDefault="00475F95" w:rsidP="005A50BB">
                  <w:pPr>
                    <w:pStyle w:val="TableUnitsRow"/>
                  </w:pPr>
                  <w:r>
                    <w:t>$</w:t>
                  </w:r>
                  <w:r>
                    <w:noBreakHyphen/>
                    <w:t>equivalent</w:t>
                  </w:r>
                </w:p>
              </w:tc>
              <w:tc>
                <w:tcPr>
                  <w:tcW w:w="1667" w:type="pct"/>
                  <w:tcBorders>
                    <w:top w:val="single" w:sz="6" w:space="0" w:color="BFBFBF"/>
                  </w:tcBorders>
                </w:tcPr>
                <w:p w:rsidR="00033F29" w:rsidRDefault="00475F95" w:rsidP="005A50BB">
                  <w:pPr>
                    <w:pStyle w:val="TableUnitsRow"/>
                    <w:ind w:right="28"/>
                  </w:pPr>
                  <w:r>
                    <w:t xml:space="preserve">% </w:t>
                  </w:r>
                  <w:r w:rsidR="00ED31AA">
                    <w:t>share</w:t>
                  </w:r>
                </w:p>
              </w:tc>
            </w:tr>
            <w:tr w:rsidR="0030473D" w:rsidTr="003F3F9E">
              <w:tc>
                <w:tcPr>
                  <w:tcW w:w="751" w:type="pct"/>
                </w:tcPr>
                <w:p w:rsidR="0030473D" w:rsidRDefault="0030473D" w:rsidP="0030473D">
                  <w:pPr>
                    <w:pStyle w:val="TableBodyText"/>
                    <w:jc w:val="left"/>
                  </w:pPr>
                  <w:r>
                    <w:t>Retail</w:t>
                  </w:r>
                </w:p>
              </w:tc>
              <w:tc>
                <w:tcPr>
                  <w:tcW w:w="999" w:type="pct"/>
                </w:tcPr>
                <w:p w:rsidR="0030473D" w:rsidRDefault="0030473D" w:rsidP="0030473D">
                  <w:pPr>
                    <w:pStyle w:val="TableBodyText"/>
                  </w:pPr>
                  <w:r>
                    <w:t>374</w:t>
                  </w:r>
                </w:p>
              </w:tc>
              <w:tc>
                <w:tcPr>
                  <w:tcW w:w="1584" w:type="pct"/>
                </w:tcPr>
                <w:p w:rsidR="0030473D" w:rsidRDefault="0030473D" w:rsidP="0030473D">
                  <w:pPr>
                    <w:pStyle w:val="TableBodyText"/>
                  </w:pPr>
                  <w:r>
                    <w:t>268</w:t>
                  </w:r>
                </w:p>
              </w:tc>
              <w:tc>
                <w:tcPr>
                  <w:tcW w:w="1667" w:type="pct"/>
                </w:tcPr>
                <w:p w:rsidR="0030473D" w:rsidRDefault="0030473D" w:rsidP="0030473D">
                  <w:pPr>
                    <w:pStyle w:val="TableBodyText"/>
                    <w:ind w:right="28"/>
                  </w:pPr>
                  <w:r>
                    <w:t>72</w:t>
                  </w:r>
                </w:p>
              </w:tc>
            </w:tr>
            <w:tr w:rsidR="00033F29" w:rsidTr="003F3F9E">
              <w:tc>
                <w:tcPr>
                  <w:tcW w:w="751" w:type="pct"/>
                  <w:shd w:val="pct5" w:color="auto" w:fill="auto"/>
                </w:tcPr>
                <w:p w:rsidR="00033F29" w:rsidRDefault="0030473D" w:rsidP="005A50BB">
                  <w:pPr>
                    <w:pStyle w:val="TableBodyText"/>
                    <w:jc w:val="left"/>
                  </w:pPr>
                  <w:r>
                    <w:t>Not</w:t>
                  </w:r>
                  <w:r>
                    <w:noBreakHyphen/>
                    <w:t>for</w:t>
                  </w:r>
                  <w:r>
                    <w:noBreakHyphen/>
                    <w:t>profit</w:t>
                  </w:r>
                </w:p>
              </w:tc>
              <w:tc>
                <w:tcPr>
                  <w:tcW w:w="999" w:type="pct"/>
                  <w:shd w:val="pct5" w:color="auto" w:fill="auto"/>
                </w:tcPr>
                <w:p w:rsidR="00033F29" w:rsidRDefault="0030473D" w:rsidP="005A50BB">
                  <w:pPr>
                    <w:pStyle w:val="TableBodyText"/>
                  </w:pPr>
                  <w:r>
                    <w:t>127</w:t>
                  </w:r>
                </w:p>
              </w:tc>
              <w:tc>
                <w:tcPr>
                  <w:tcW w:w="1584" w:type="pct"/>
                  <w:shd w:val="pct5" w:color="auto" w:fill="auto"/>
                </w:tcPr>
                <w:p w:rsidR="00033F29" w:rsidRDefault="0030473D" w:rsidP="005A50BB">
                  <w:pPr>
                    <w:pStyle w:val="TableBodyText"/>
                  </w:pPr>
                  <w:r>
                    <w:t>61</w:t>
                  </w:r>
                </w:p>
              </w:tc>
              <w:tc>
                <w:tcPr>
                  <w:tcW w:w="1667" w:type="pct"/>
                  <w:shd w:val="pct5" w:color="auto" w:fill="auto"/>
                </w:tcPr>
                <w:p w:rsidR="00033F29" w:rsidRDefault="0030473D" w:rsidP="005A50BB">
                  <w:pPr>
                    <w:pStyle w:val="TableBodyText"/>
                    <w:ind w:right="28"/>
                  </w:pPr>
                  <w:r>
                    <w:t>48</w:t>
                  </w:r>
                </w:p>
              </w:tc>
            </w:tr>
            <w:tr w:rsidR="00033F29" w:rsidTr="003F3F9E">
              <w:tc>
                <w:tcPr>
                  <w:tcW w:w="751" w:type="pct"/>
                  <w:tcBorders>
                    <w:bottom w:val="single" w:sz="6" w:space="0" w:color="BFBFBF"/>
                  </w:tcBorders>
                  <w:shd w:val="clear" w:color="auto" w:fill="auto"/>
                </w:tcPr>
                <w:p w:rsidR="00033F29" w:rsidRPr="003F3F9E" w:rsidRDefault="00033F29" w:rsidP="005A50BB">
                  <w:pPr>
                    <w:pStyle w:val="TableBodyText"/>
                    <w:jc w:val="left"/>
                  </w:pPr>
                  <w:r w:rsidRPr="003F3F9E">
                    <w:t>Total</w:t>
                  </w:r>
                </w:p>
              </w:tc>
              <w:tc>
                <w:tcPr>
                  <w:tcW w:w="999" w:type="pct"/>
                  <w:tcBorders>
                    <w:bottom w:val="single" w:sz="6" w:space="0" w:color="BFBFBF"/>
                  </w:tcBorders>
                </w:tcPr>
                <w:p w:rsidR="00033F29" w:rsidRPr="003F3F9E" w:rsidRDefault="00475F95" w:rsidP="005A50BB">
                  <w:pPr>
                    <w:pStyle w:val="TableBodyText"/>
                  </w:pPr>
                  <w:r w:rsidRPr="003F3F9E">
                    <w:t>2</w:t>
                  </w:r>
                  <w:r w:rsidR="0030473D" w:rsidRPr="003F3F9E">
                    <w:t>19</w:t>
                  </w:r>
                </w:p>
              </w:tc>
              <w:tc>
                <w:tcPr>
                  <w:tcW w:w="1584" w:type="pct"/>
                  <w:tcBorders>
                    <w:bottom w:val="single" w:sz="6" w:space="0" w:color="BFBFBF"/>
                  </w:tcBorders>
                  <w:shd w:val="clear" w:color="auto" w:fill="auto"/>
                </w:tcPr>
                <w:p w:rsidR="00033F29" w:rsidRPr="003F3F9E" w:rsidRDefault="00954AEC" w:rsidP="005A50BB">
                  <w:pPr>
                    <w:pStyle w:val="TableBodyText"/>
                  </w:pPr>
                  <w:r w:rsidRPr="003F3F9E">
                    <w:t>139</w:t>
                  </w:r>
                </w:p>
              </w:tc>
              <w:tc>
                <w:tcPr>
                  <w:tcW w:w="1667" w:type="pct"/>
                  <w:tcBorders>
                    <w:bottom w:val="single" w:sz="6" w:space="0" w:color="BFBFBF"/>
                  </w:tcBorders>
                  <w:shd w:val="clear" w:color="auto" w:fill="auto"/>
                </w:tcPr>
                <w:p w:rsidR="00033F29" w:rsidRPr="003F3F9E" w:rsidRDefault="00954AEC" w:rsidP="005A50BB">
                  <w:pPr>
                    <w:pStyle w:val="TableBodyText"/>
                    <w:ind w:right="28"/>
                  </w:pPr>
                  <w:r w:rsidRPr="003F3F9E">
                    <w:t>63</w:t>
                  </w:r>
                </w:p>
              </w:tc>
            </w:tr>
          </w:tbl>
          <w:p w:rsidR="00033F29" w:rsidRDefault="00033F29" w:rsidP="005A50BB">
            <w:pPr>
              <w:pStyle w:val="Box"/>
            </w:pPr>
          </w:p>
        </w:tc>
      </w:tr>
      <w:tr w:rsidR="00033F29" w:rsidTr="005A50BB">
        <w:tc>
          <w:tcPr>
            <w:tcW w:w="5000" w:type="pct"/>
            <w:tcBorders>
              <w:top w:val="nil"/>
              <w:left w:val="nil"/>
              <w:bottom w:val="nil"/>
              <w:right w:val="nil"/>
            </w:tcBorders>
            <w:shd w:val="clear" w:color="auto" w:fill="auto"/>
          </w:tcPr>
          <w:p w:rsidR="00033F29" w:rsidRDefault="00033F29" w:rsidP="005A50BB">
            <w:pPr>
              <w:pStyle w:val="Note"/>
              <w:rPr>
                <w:i/>
              </w:rPr>
            </w:pPr>
            <w:r w:rsidRPr="008E77FE">
              <w:rPr>
                <w:rStyle w:val="NoteLabel"/>
              </w:rPr>
              <w:t>a</w:t>
            </w:r>
            <w:r>
              <w:t xml:space="preserve"> </w:t>
            </w:r>
            <w:r w:rsidR="00FB33F8">
              <w:t>Data are for a representative asset balance of $50 000 and for the year ending 30</w:t>
            </w:r>
            <w:r w:rsidR="00617DD2">
              <w:t> </w:t>
            </w:r>
            <w:r w:rsidR="00FB33F8">
              <w:t>June 2017</w:t>
            </w:r>
            <w:r>
              <w:t xml:space="preserve">. </w:t>
            </w:r>
          </w:p>
        </w:tc>
      </w:tr>
      <w:tr w:rsidR="00033F29" w:rsidTr="005A50BB">
        <w:tc>
          <w:tcPr>
            <w:tcW w:w="5000" w:type="pct"/>
            <w:tcBorders>
              <w:top w:val="nil"/>
              <w:left w:val="nil"/>
              <w:bottom w:val="nil"/>
              <w:right w:val="nil"/>
            </w:tcBorders>
            <w:shd w:val="clear" w:color="auto" w:fill="auto"/>
          </w:tcPr>
          <w:p w:rsidR="00033F29" w:rsidRDefault="00033F29" w:rsidP="005A50BB">
            <w:pPr>
              <w:pStyle w:val="TableBodyText"/>
              <w:keepNext w:val="0"/>
              <w:spacing w:before="80" w:after="0" w:line="220" w:lineRule="exact"/>
              <w:ind w:left="0" w:right="0"/>
              <w:jc w:val="both"/>
            </w:pPr>
            <w:r>
              <w:rPr>
                <w:i/>
              </w:rPr>
              <w:t>Source</w:t>
            </w:r>
            <w:r w:rsidRPr="00167F06">
              <w:t xml:space="preserve">: </w:t>
            </w:r>
            <w:r w:rsidR="00954AEC">
              <w:t>PC analysis of SuperRatings data</w:t>
            </w:r>
            <w:r>
              <w:t>.</w:t>
            </w:r>
          </w:p>
        </w:tc>
      </w:tr>
      <w:tr w:rsidR="00033F29" w:rsidTr="005A50BB">
        <w:tc>
          <w:tcPr>
            <w:tcW w:w="5000" w:type="pct"/>
            <w:tcBorders>
              <w:top w:val="nil"/>
              <w:left w:val="nil"/>
              <w:bottom w:val="single" w:sz="6" w:space="0" w:color="78A22F"/>
              <w:right w:val="nil"/>
            </w:tcBorders>
            <w:shd w:val="clear" w:color="auto" w:fill="auto"/>
          </w:tcPr>
          <w:p w:rsidR="00033F29" w:rsidRDefault="00033F29" w:rsidP="005A50BB">
            <w:pPr>
              <w:pStyle w:val="Box"/>
              <w:spacing w:before="0" w:line="120" w:lineRule="exact"/>
            </w:pPr>
          </w:p>
        </w:tc>
      </w:tr>
      <w:tr w:rsidR="00033F29" w:rsidRPr="000863A5" w:rsidTr="005A50BB">
        <w:tc>
          <w:tcPr>
            <w:tcW w:w="5000" w:type="pct"/>
            <w:tcBorders>
              <w:top w:val="single" w:sz="6" w:space="0" w:color="78A22F"/>
              <w:left w:val="nil"/>
              <w:bottom w:val="nil"/>
              <w:right w:val="nil"/>
            </w:tcBorders>
          </w:tcPr>
          <w:p w:rsidR="00033F29" w:rsidRPr="00626D32" w:rsidRDefault="00033F29" w:rsidP="005A50BB">
            <w:pPr>
              <w:pStyle w:val="BoxSpaceBelow"/>
            </w:pPr>
          </w:p>
        </w:tc>
      </w:tr>
    </w:tbl>
    <w:p w:rsidR="003C569E" w:rsidRDefault="003C569E" w:rsidP="003C569E">
      <w:pPr>
        <w:pStyle w:val="BodyText"/>
      </w:pPr>
      <w:r>
        <w:t xml:space="preserve">The estimates above are based </w:t>
      </w:r>
      <w:r w:rsidRPr="00D87567">
        <w:t>on SuperRatings data</w:t>
      </w:r>
      <w:r>
        <w:t>,</w:t>
      </w:r>
      <w:r w:rsidRPr="00D87567">
        <w:t xml:space="preserve"> which do not include </w:t>
      </w:r>
      <w:r>
        <w:t>product</w:t>
      </w:r>
      <w:r>
        <w:noBreakHyphen/>
        <w:t xml:space="preserve">specific administration fee </w:t>
      </w:r>
      <w:r w:rsidRPr="00D87567">
        <w:t>caps. APRA data indicate</w:t>
      </w:r>
      <w:r>
        <w:t>s</w:t>
      </w:r>
      <w:r w:rsidRPr="00D87567">
        <w:t xml:space="preserve"> that </w:t>
      </w:r>
      <w:r>
        <w:t xml:space="preserve">around a quarter of MySuper products have administration fee </w:t>
      </w:r>
      <w:r w:rsidRPr="00D87567">
        <w:t>caps</w:t>
      </w:r>
      <w:r>
        <w:t xml:space="preserve">. However, the prevalence of fee caps among MySuper products </w:t>
      </w:r>
      <w:r>
        <w:lastRenderedPageBreak/>
        <w:t>varies widely by fund type</w:t>
      </w:r>
      <w:r w:rsidRPr="00D87567">
        <w:t>.</w:t>
      </w:r>
      <w:r>
        <w:t xml:space="preserve"> For example, 26 not</w:t>
      </w:r>
      <w:r>
        <w:noBreakHyphen/>
        <w:t>for</w:t>
      </w:r>
      <w:r>
        <w:noBreakHyphen/>
        <w:t xml:space="preserve">profit products had a fee cap in June 2017, compared with only one retail </w:t>
      </w:r>
      <w:r w:rsidRPr="00271B22">
        <w:t>product </w:t>
      </w:r>
      <w:r w:rsidRPr="00D11D2F">
        <w:rPr>
          <w:szCs w:val="24"/>
        </w:rPr>
        <w:t>(APRA</w:t>
      </w:r>
      <w:r w:rsidRPr="00D3553E">
        <w:rPr>
          <w:szCs w:val="24"/>
        </w:rPr>
        <w:t> 2018b)</w:t>
      </w:r>
      <w:r w:rsidRPr="00271B22">
        <w:t>. Where t</w:t>
      </w:r>
      <w:r>
        <w:t>hey are in place, c</w:t>
      </w:r>
      <w:r w:rsidRPr="00D87567">
        <w:t xml:space="preserve">aps </w:t>
      </w:r>
      <w:r>
        <w:t>range from $73 to $2735 per member per year.</w:t>
      </w:r>
    </w:p>
    <w:p w:rsidR="007B7296" w:rsidRDefault="00A63838" w:rsidP="007B7296">
      <w:pPr>
        <w:pStyle w:val="Heading3"/>
      </w:pPr>
      <w:bookmarkStart w:id="78" w:name="_Toc528158050"/>
      <w:bookmarkStart w:id="79" w:name="_Toc528229672"/>
      <w:bookmarkStart w:id="80" w:name="_Toc528298322"/>
      <w:r>
        <w:t>Asset</w:t>
      </w:r>
      <w:r w:rsidR="00617DD2">
        <w:noBreakHyphen/>
      </w:r>
      <w:r>
        <w:t>class c</w:t>
      </w:r>
      <w:r w:rsidR="00934545">
        <w:t xml:space="preserve">osts </w:t>
      </w:r>
      <w:r>
        <w:t>in the</w:t>
      </w:r>
      <w:r w:rsidR="008A5CA3">
        <w:t xml:space="preserve"> funds survey</w:t>
      </w:r>
      <w:bookmarkEnd w:id="78"/>
      <w:bookmarkEnd w:id="79"/>
      <w:bookmarkEnd w:id="80"/>
    </w:p>
    <w:p w:rsidR="00666319" w:rsidRDefault="00342C44" w:rsidP="007B7296">
      <w:pPr>
        <w:pStyle w:val="BodyText"/>
        <w:rPr>
          <w:i/>
        </w:rPr>
      </w:pPr>
      <w:r w:rsidRPr="00342C44">
        <w:rPr>
          <w:i/>
        </w:rPr>
        <w:t>Are there</w:t>
      </w:r>
      <w:r w:rsidR="00E450CC" w:rsidRPr="00342C44">
        <w:rPr>
          <w:i/>
        </w:rPr>
        <w:t xml:space="preserve"> differences </w:t>
      </w:r>
      <w:r w:rsidR="004D24F0">
        <w:rPr>
          <w:i/>
        </w:rPr>
        <w:t>by segment</w:t>
      </w:r>
      <w:r w:rsidR="00E450CC" w:rsidRPr="00342C44">
        <w:rPr>
          <w:i/>
        </w:rPr>
        <w:t xml:space="preserve"> in investment management costs </w:t>
      </w:r>
      <w:r w:rsidR="004D24F0">
        <w:rPr>
          <w:i/>
        </w:rPr>
        <w:t>at an individual asset</w:t>
      </w:r>
      <w:r w:rsidR="004D24F0">
        <w:rPr>
          <w:i/>
        </w:rPr>
        <w:noBreakHyphen/>
        <w:t>class level?</w:t>
      </w:r>
    </w:p>
    <w:p w:rsidR="00CC2E3A" w:rsidRPr="00666319" w:rsidRDefault="00EF7DEB" w:rsidP="007B7296">
      <w:pPr>
        <w:pStyle w:val="BodyText"/>
        <w:rPr>
          <w:i/>
        </w:rPr>
      </w:pPr>
      <w:r>
        <w:t xml:space="preserve">In the supplementary survey, </w:t>
      </w:r>
      <w:r w:rsidR="007C25AB">
        <w:t>funds</w:t>
      </w:r>
      <w:r w:rsidR="007B7296">
        <w:t xml:space="preserve"> were asked to provide </w:t>
      </w:r>
      <w:r w:rsidR="000E045A">
        <w:t xml:space="preserve">data on </w:t>
      </w:r>
      <w:r w:rsidR="007B7296">
        <w:t xml:space="preserve">investment management </w:t>
      </w:r>
      <w:r w:rsidR="000E045A">
        <w:t xml:space="preserve">fees and </w:t>
      </w:r>
      <w:r w:rsidR="00934545">
        <w:t xml:space="preserve">costs </w:t>
      </w:r>
      <w:r w:rsidR="007B7296">
        <w:t xml:space="preserve">by asset class </w:t>
      </w:r>
      <w:r w:rsidR="007B7296" w:rsidRPr="00276905">
        <w:t>for each year over the period 2008</w:t>
      </w:r>
      <w:r>
        <w:t xml:space="preserve"> to </w:t>
      </w:r>
      <w:r w:rsidR="007B7296" w:rsidRPr="00276905">
        <w:t>2017</w:t>
      </w:r>
      <w:r w:rsidR="007B7296">
        <w:t xml:space="preserve">. </w:t>
      </w:r>
      <w:r w:rsidR="0004719D">
        <w:t>This include</w:t>
      </w:r>
      <w:r w:rsidR="00736DF2">
        <w:t>d</w:t>
      </w:r>
      <w:r w:rsidR="0004719D">
        <w:t xml:space="preserve"> investment management fees incurred with non</w:t>
      </w:r>
      <w:r w:rsidR="00617DD2">
        <w:noBreakHyphen/>
      </w:r>
      <w:r w:rsidR="0004719D">
        <w:t>associate</w:t>
      </w:r>
      <w:r w:rsidR="00444028">
        <w:t>d</w:t>
      </w:r>
      <w:r w:rsidR="0004719D">
        <w:t xml:space="preserve"> investment managers, and costs incurred either in</w:t>
      </w:r>
      <w:r w:rsidR="00617DD2">
        <w:noBreakHyphen/>
      </w:r>
      <w:r w:rsidR="0004719D">
        <w:t xml:space="preserve">house or with </w:t>
      </w:r>
      <w:r w:rsidR="00444028">
        <w:t xml:space="preserve">related </w:t>
      </w:r>
      <w:r w:rsidR="00CC2E3A">
        <w:t>party investment managers.</w:t>
      </w:r>
      <w:r>
        <w:t xml:space="preserve"> It also include</w:t>
      </w:r>
      <w:r w:rsidR="00736DF2">
        <w:t>d</w:t>
      </w:r>
      <w:r>
        <w:t xml:space="preserve"> </w:t>
      </w:r>
      <w:r w:rsidR="00BB20BD">
        <w:t>any</w:t>
      </w:r>
      <w:r>
        <w:t xml:space="preserve"> indirect costs that are taken out of returns.</w:t>
      </w:r>
    </w:p>
    <w:p w:rsidR="000E045A" w:rsidRDefault="000E045A" w:rsidP="007B7296">
      <w:pPr>
        <w:pStyle w:val="BodyText"/>
      </w:pPr>
      <w:r>
        <w:t xml:space="preserve">A comparison </w:t>
      </w:r>
      <w:r w:rsidR="00BC66AC">
        <w:t>using</w:t>
      </w:r>
      <w:r>
        <w:t xml:space="preserve"> reported data for 2017 suggests that r</w:t>
      </w:r>
      <w:r w:rsidR="00494D5D">
        <w:t xml:space="preserve">etail funds </w:t>
      </w:r>
      <w:r w:rsidR="006D2637">
        <w:t xml:space="preserve">paid </w:t>
      </w:r>
      <w:r w:rsidR="00494D5D">
        <w:t xml:space="preserve">higher </w:t>
      </w:r>
      <w:r>
        <w:t xml:space="preserve">investment </w:t>
      </w:r>
      <w:r w:rsidR="006D2637">
        <w:t xml:space="preserve">costs </w:t>
      </w:r>
      <w:r w:rsidR="00494D5D">
        <w:t>than not</w:t>
      </w:r>
      <w:r w:rsidR="00617DD2">
        <w:noBreakHyphen/>
      </w:r>
      <w:r w:rsidR="00494D5D">
        <w:t>for</w:t>
      </w:r>
      <w:r w:rsidR="00617DD2">
        <w:noBreakHyphen/>
      </w:r>
      <w:r w:rsidR="00494D5D">
        <w:t>profit funds</w:t>
      </w:r>
      <w:r w:rsidR="009B240F">
        <w:t>, on average,</w:t>
      </w:r>
      <w:r>
        <w:t xml:space="preserve"> in all asset classes </w:t>
      </w:r>
      <w:r w:rsidR="00EF7DEB">
        <w:t>(</w:t>
      </w:r>
      <w:r>
        <w:t xml:space="preserve">with at least </w:t>
      </w:r>
      <w:r w:rsidRPr="00A329E4">
        <w:t>25 observations</w:t>
      </w:r>
      <w:r w:rsidR="00EF7DEB">
        <w:t>)</w:t>
      </w:r>
      <w:r>
        <w:t>. T</w:t>
      </w:r>
      <w:r w:rsidR="00494D5D">
        <w:t xml:space="preserve">he largest difference </w:t>
      </w:r>
      <w:r w:rsidR="00CF533C">
        <w:t>wa</w:t>
      </w:r>
      <w:r>
        <w:t>s in cash</w:t>
      </w:r>
      <w:r w:rsidR="00EF7DEB">
        <w:t>,</w:t>
      </w:r>
      <w:r>
        <w:t xml:space="preserve"> where retail funds </w:t>
      </w:r>
      <w:r w:rsidR="006D2637">
        <w:t xml:space="preserve">paid </w:t>
      </w:r>
      <w:r>
        <w:t xml:space="preserve">44 basis points on average </w:t>
      </w:r>
      <w:r w:rsidR="00494D5D">
        <w:t>compared to 5</w:t>
      </w:r>
      <w:r w:rsidR="00256FDD">
        <w:t> </w:t>
      </w:r>
      <w:r>
        <w:t>basis points</w:t>
      </w:r>
      <w:r w:rsidR="00494D5D">
        <w:t xml:space="preserve"> for not</w:t>
      </w:r>
      <w:r w:rsidR="00617DD2">
        <w:noBreakHyphen/>
      </w:r>
      <w:r w:rsidR="00494D5D">
        <w:t>for</w:t>
      </w:r>
      <w:r w:rsidR="00617DD2">
        <w:noBreakHyphen/>
      </w:r>
      <w:r w:rsidR="00494D5D">
        <w:t>profit funds (figure</w:t>
      </w:r>
      <w:r w:rsidR="00EF7DEB">
        <w:t> </w:t>
      </w:r>
      <w:r w:rsidR="00E71389">
        <w:t>2</w:t>
      </w:r>
      <w:r w:rsidR="001E06D6">
        <w:t>4</w:t>
      </w:r>
      <w:r w:rsidR="00494D5D">
        <w:t xml:space="preserve">). </w:t>
      </w:r>
      <w:r w:rsidR="006C088F">
        <w:t>The distribution of investment costs for retail funds exhibits larger variance across all asset classes compared to not</w:t>
      </w:r>
      <w:r w:rsidR="00617DD2">
        <w:noBreakHyphen/>
      </w:r>
      <w:r w:rsidR="006C088F">
        <w:t>for</w:t>
      </w:r>
      <w:r w:rsidR="00617DD2">
        <w:noBreakHyphen/>
      </w:r>
      <w:r w:rsidR="006C088F">
        <w:t>profit funds (figure</w:t>
      </w:r>
      <w:r w:rsidR="00617DD2">
        <w:t> </w:t>
      </w:r>
      <w:r w:rsidR="001E06D6">
        <w:t>25</w:t>
      </w:r>
      <w:r w:rsidR="006C088F">
        <w:t>).</w:t>
      </w:r>
      <w:r w:rsidR="00666319">
        <w:t xml:space="preserve"> </w:t>
      </w:r>
      <w:r w:rsidR="005B0D94">
        <w:t>Other asset classes are not reported here due to small sample sizes.</w:t>
      </w:r>
    </w:p>
    <w:p w:rsidR="00CA3FDF" w:rsidRDefault="00CA3FDF" w:rsidP="00CA3FD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2650E" w:rsidTr="00F8463F">
        <w:trPr>
          <w:tblHeader/>
        </w:trPr>
        <w:tc>
          <w:tcPr>
            <w:tcW w:w="5000" w:type="pct"/>
            <w:tcBorders>
              <w:top w:val="single" w:sz="6" w:space="0" w:color="78A22F"/>
              <w:left w:val="nil"/>
              <w:bottom w:val="nil"/>
              <w:right w:val="nil"/>
            </w:tcBorders>
            <w:shd w:val="clear" w:color="auto" w:fill="auto"/>
          </w:tcPr>
          <w:p w:rsidR="0072650E" w:rsidRDefault="0072650E" w:rsidP="00F8463F">
            <w:pPr>
              <w:pStyle w:val="FigureTitle"/>
            </w:pPr>
            <w:r w:rsidRPr="00784A05">
              <w:rPr>
                <w:b w:val="0"/>
              </w:rPr>
              <w:t xml:space="preserve">Figure </w:t>
            </w:r>
            <w:bookmarkStart w:id="81" w:name="OLE_LINK48"/>
            <w:r w:rsidR="001345FE">
              <w:rPr>
                <w:b w:val="0"/>
                <w:noProof/>
              </w:rPr>
              <w:t>24</w:t>
            </w:r>
            <w:bookmarkEnd w:id="81"/>
            <w:r>
              <w:tab/>
            </w:r>
            <w:r w:rsidR="00740616">
              <w:t>Asset class i</w:t>
            </w:r>
            <w:r>
              <w:t xml:space="preserve">nvestment costs </w:t>
            </w:r>
            <w:r w:rsidR="0075282B">
              <w:t>by segment</w:t>
            </w:r>
          </w:p>
          <w:p w:rsidR="0072650E" w:rsidRPr="00176D3F" w:rsidRDefault="0072650E" w:rsidP="00F8463F">
            <w:pPr>
              <w:pStyle w:val="Subtitle"/>
            </w:pPr>
            <w:r w:rsidRPr="00AC274C">
              <w:t>Weighted by assets of a fund</w:t>
            </w:r>
            <w:r>
              <w:t xml:space="preserve"> invested in the corresponding asset class</w:t>
            </w:r>
            <w:r w:rsidR="00722081" w:rsidRPr="00560222">
              <w:rPr>
                <w:rStyle w:val="NoteLabel"/>
              </w:rPr>
              <w:t>a</w:t>
            </w:r>
            <w:r>
              <w:t>, 2017</w:t>
            </w:r>
          </w:p>
        </w:tc>
      </w:tr>
      <w:tr w:rsidR="0072650E" w:rsidTr="00F8463F">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562"/>
              <w:gridCol w:w="2313"/>
              <w:gridCol w:w="2315"/>
              <w:gridCol w:w="2315"/>
            </w:tblGrid>
            <w:tr w:rsidR="0072650E" w:rsidRPr="00B1465D" w:rsidTr="0072650E">
              <w:trPr>
                <w:tblHeader/>
                <w:jc w:val="center"/>
              </w:trPr>
              <w:tc>
                <w:tcPr>
                  <w:tcW w:w="5000" w:type="pct"/>
                  <w:gridSpan w:val="4"/>
                  <w:tcBorders>
                    <w:top w:val="nil"/>
                    <w:bottom w:val="nil"/>
                  </w:tcBorders>
                </w:tcPr>
                <w:p w:rsidR="0072650E" w:rsidRPr="00B1465D" w:rsidRDefault="0072650E" w:rsidP="00F8463F">
                  <w:pPr>
                    <w:pStyle w:val="Figure"/>
                    <w:spacing w:before="60" w:after="60"/>
                    <w:rPr>
                      <w:rFonts w:ascii="Arial" w:hAnsi="Arial" w:cs="Arial"/>
                      <w:sz w:val="18"/>
                      <w:szCs w:val="18"/>
                    </w:rPr>
                  </w:pPr>
                  <w:r>
                    <w:rPr>
                      <w:rFonts w:ascii="Arial" w:hAnsi="Arial" w:cs="Arial"/>
                      <w:noProof/>
                      <w:sz w:val="18"/>
                      <w:szCs w:val="18"/>
                    </w:rPr>
                    <w:drawing>
                      <wp:inline distT="0" distB="0" distL="0" distR="0" wp14:anchorId="66BCD74C" wp14:editId="759C6795">
                        <wp:extent cx="5059680" cy="2024679"/>
                        <wp:effectExtent l="0" t="0" r="0" b="0"/>
                        <wp:docPr id="29" name="Picture 29" descr="The figure shows the average investment costs for cash, listed equity, and fixed income between retail and not-for-profit funds in 2017. Retail funds have a higher average investment cost across all asset classes, where the largest difference is for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FP_fees.em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114786" cy="2046730"/>
                                </a:xfrm>
                                <a:prstGeom prst="rect">
                                  <a:avLst/>
                                </a:prstGeom>
                              </pic:spPr>
                            </pic:pic>
                          </a:graphicData>
                        </a:graphic>
                      </wp:inline>
                    </w:drawing>
                  </w:r>
                </w:p>
              </w:tc>
            </w:tr>
            <w:tr w:rsidR="0072650E" w:rsidTr="0072650E">
              <w:tblPrEx>
                <w:jc w:val="left"/>
                <w:tblBorders>
                  <w:top w:val="none" w:sz="0" w:space="0" w:color="auto"/>
                  <w:bottom w:val="none" w:sz="0" w:space="0" w:color="auto"/>
                </w:tblBorders>
                <w:tblCellMar>
                  <w:top w:w="0" w:type="dxa"/>
                  <w:left w:w="108" w:type="dxa"/>
                  <w:right w:w="108" w:type="dxa"/>
                </w:tblCellMar>
                <w:tblLook w:val="04A0" w:firstRow="1" w:lastRow="0" w:firstColumn="1" w:lastColumn="0" w:noHBand="0" w:noVBand="1"/>
              </w:tblPrEx>
              <w:trPr>
                <w:tblHeader/>
              </w:trPr>
              <w:tc>
                <w:tcPr>
                  <w:tcW w:w="918" w:type="pct"/>
                  <w:shd w:val="clear" w:color="auto" w:fill="F2F2F2" w:themeFill="background1" w:themeFillShade="F2"/>
                </w:tcPr>
                <w:p w:rsidR="0072650E" w:rsidRDefault="0072650E" w:rsidP="0072650E">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4082" w:type="pct"/>
                  <w:gridSpan w:val="3"/>
                  <w:shd w:val="clear" w:color="auto" w:fill="F2F2F2" w:themeFill="background1" w:themeFillShade="F2"/>
                </w:tcPr>
                <w:p w:rsidR="0072650E" w:rsidRDefault="00BC66AC" w:rsidP="0072650E">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Supplementary f</w:t>
                  </w:r>
                  <w:r w:rsidR="0072650E">
                    <w:rPr>
                      <w:rFonts w:ascii="Arial" w:eastAsia="+mn-ea" w:hAnsi="Arial" w:cs="Arial"/>
                      <w:color w:val="000000" w:themeColor="text1"/>
                      <w:kern w:val="24"/>
                      <w:sz w:val="18"/>
                      <w:szCs w:val="18"/>
                    </w:rPr>
                    <w:t>unds survey.</w:t>
                  </w:r>
                </w:p>
              </w:tc>
            </w:tr>
            <w:tr w:rsidR="0072650E" w:rsidRPr="001F53B0" w:rsidTr="0072650E">
              <w:tblPrEx>
                <w:jc w:val="left"/>
                <w:tblBorders>
                  <w:top w:val="none" w:sz="0" w:space="0" w:color="auto"/>
                  <w:bottom w:val="none" w:sz="0" w:space="0" w:color="auto"/>
                </w:tblBorders>
                <w:tblCellMar>
                  <w:top w:w="0" w:type="dxa"/>
                  <w:left w:w="108" w:type="dxa"/>
                  <w:right w:w="108" w:type="dxa"/>
                </w:tblCellMar>
                <w:tblLook w:val="04A0" w:firstRow="1" w:lastRow="0" w:firstColumn="1" w:lastColumn="0" w:noHBand="0" w:noVBand="1"/>
              </w:tblPrEx>
              <w:tc>
                <w:tcPr>
                  <w:tcW w:w="918" w:type="pct"/>
                  <w:shd w:val="clear" w:color="auto" w:fill="F2F2F2" w:themeFill="background1" w:themeFillShade="F2"/>
                </w:tcPr>
                <w:p w:rsidR="0072650E" w:rsidRDefault="0072650E" w:rsidP="0072650E">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4082" w:type="pct"/>
                  <w:gridSpan w:val="3"/>
                  <w:shd w:val="clear" w:color="auto" w:fill="F2F2F2" w:themeFill="background1" w:themeFillShade="F2"/>
                </w:tcPr>
                <w:p w:rsidR="0072650E" w:rsidRPr="001F53B0" w:rsidRDefault="0072650E" w:rsidP="006C0AEE">
                  <w:pPr>
                    <w:pStyle w:val="NormalWeb"/>
                    <w:spacing w:before="0" w:beforeAutospacing="0" w:after="0" w:afterAutospacing="0"/>
                    <w:rPr>
                      <w:color w:val="000000" w:themeColor="text1"/>
                    </w:rPr>
                  </w:pPr>
                  <w:r>
                    <w:rPr>
                      <w:rFonts w:ascii="Arial" w:eastAsia="+mn-ea" w:hAnsi="Arial" w:cs="Arial"/>
                      <w:color w:val="000000" w:themeColor="text1"/>
                      <w:kern w:val="24"/>
                      <w:sz w:val="18"/>
                      <w:szCs w:val="18"/>
                    </w:rPr>
                    <w:t>In 2017, the funds in this figure represent up to 81</w:t>
                  </w:r>
                  <w:r w:rsidR="006C0AEE">
                    <w:rPr>
                      <w:rFonts w:ascii="Arial" w:eastAsia="+mn-ea" w:hAnsi="Arial" w:cs="Arial"/>
                      <w:color w:val="000000" w:themeColor="text1"/>
                      <w:kern w:val="24"/>
                      <w:sz w:val="18"/>
                      <w:szCs w:val="18"/>
                    </w:rPr>
                    <w:t>%</w:t>
                  </w:r>
                  <w:r>
                    <w:rPr>
                      <w:rFonts w:ascii="Arial" w:eastAsia="+mn-ea" w:hAnsi="Arial" w:cs="Arial"/>
                      <w:color w:val="000000" w:themeColor="text1"/>
                      <w:kern w:val="24"/>
                      <w:sz w:val="18"/>
                      <w:szCs w:val="18"/>
                    </w:rPr>
                    <w:t xml:space="preserve"> of total assets and 7</w:t>
                  </w:r>
                  <w:r w:rsidR="00194311">
                    <w:rPr>
                      <w:rFonts w:ascii="Arial" w:eastAsia="+mn-ea" w:hAnsi="Arial" w:cs="Arial"/>
                      <w:color w:val="000000" w:themeColor="text1"/>
                      <w:kern w:val="24"/>
                      <w:sz w:val="18"/>
                      <w:szCs w:val="18"/>
                    </w:rPr>
                    <w:t>3</w:t>
                  </w:r>
                  <w:r w:rsidR="006C0AEE">
                    <w:rPr>
                      <w:rFonts w:ascii="Arial" w:eastAsia="+mn-ea" w:hAnsi="Arial" w:cs="Arial"/>
                      <w:color w:val="000000" w:themeColor="text1"/>
                      <w:kern w:val="24"/>
                      <w:sz w:val="18"/>
                      <w:szCs w:val="18"/>
                    </w:rPr>
                    <w:t>%</w:t>
                  </w:r>
                  <w:r>
                    <w:rPr>
                      <w:rFonts w:ascii="Arial" w:eastAsia="+mn-ea" w:hAnsi="Arial" w:cs="Arial"/>
                      <w:color w:val="000000" w:themeColor="text1"/>
                      <w:kern w:val="24"/>
                      <w:sz w:val="18"/>
                      <w:szCs w:val="18"/>
                    </w:rPr>
                    <w:t xml:space="preserve"> of member accounts of APRA</w:t>
                  </w:r>
                  <w:r w:rsidR="00617DD2">
                    <w:rPr>
                      <w:rFonts w:ascii="Arial" w:eastAsia="+mn-ea" w:hAnsi="Arial" w:cs="Arial"/>
                      <w:color w:val="000000" w:themeColor="text1"/>
                      <w:kern w:val="24"/>
                      <w:sz w:val="18"/>
                      <w:szCs w:val="18"/>
                    </w:rPr>
                    <w:noBreakHyphen/>
                  </w:r>
                  <w:r>
                    <w:rPr>
                      <w:rFonts w:ascii="Arial" w:eastAsia="+mn-ea" w:hAnsi="Arial" w:cs="Arial"/>
                      <w:color w:val="000000" w:themeColor="text1"/>
                      <w:kern w:val="24"/>
                      <w:sz w:val="18"/>
                      <w:szCs w:val="18"/>
                    </w:rPr>
                    <w:t>regulated funds.</w:t>
                  </w:r>
                </w:p>
              </w:tc>
            </w:tr>
            <w:tr w:rsidR="0072650E" w:rsidRPr="00A95597" w:rsidTr="0072650E">
              <w:tblPrEx>
                <w:jc w:val="left"/>
                <w:tblBorders>
                  <w:top w:val="none" w:sz="0" w:space="0" w:color="auto"/>
                  <w:bottom w:val="none" w:sz="0" w:space="0" w:color="auto"/>
                </w:tblBorders>
                <w:tblCellMar>
                  <w:top w:w="0" w:type="dxa"/>
                  <w:left w:w="108" w:type="dxa"/>
                  <w:right w:w="108" w:type="dxa"/>
                </w:tblCellMar>
                <w:tblLook w:val="04A0" w:firstRow="1" w:lastRow="0" w:firstColumn="1" w:lastColumn="0" w:noHBand="0" w:noVBand="1"/>
              </w:tblPrEx>
              <w:tc>
                <w:tcPr>
                  <w:tcW w:w="918" w:type="pct"/>
                  <w:shd w:val="clear" w:color="auto" w:fill="F2F2F2" w:themeFill="background1" w:themeFillShade="F2"/>
                </w:tcPr>
                <w:p w:rsidR="0072650E" w:rsidRPr="004E69F4" w:rsidRDefault="0072650E" w:rsidP="0072650E">
                  <w:pPr>
                    <w:pStyle w:val="Figure"/>
                    <w:spacing w:before="0" w:after="0"/>
                    <w:jc w:val="left"/>
                    <w:rPr>
                      <w:rFonts w:asciiTheme="minorHAnsi" w:hAnsi="Arial" w:cstheme="minorBidi"/>
                      <w:b/>
                      <w:color w:val="000000" w:themeColor="text1"/>
                      <w:kern w:val="24"/>
                      <w:sz w:val="18"/>
                      <w:szCs w:val="18"/>
                    </w:rPr>
                  </w:pPr>
                  <w:r>
                    <w:rPr>
                      <w:rFonts w:asciiTheme="minorHAnsi" w:hAnsi="Arial" w:cstheme="minorBidi"/>
                      <w:b/>
                      <w:color w:val="000000" w:themeColor="text1"/>
                      <w:kern w:val="24"/>
                      <w:sz w:val="18"/>
                      <w:szCs w:val="18"/>
                    </w:rPr>
                    <w:t>Survivor Bias</w:t>
                  </w:r>
                </w:p>
              </w:tc>
              <w:tc>
                <w:tcPr>
                  <w:tcW w:w="1360" w:type="pct"/>
                  <w:shd w:val="clear" w:color="auto" w:fill="F2F2F2" w:themeFill="background1" w:themeFillShade="F2"/>
                </w:tcPr>
                <w:p w:rsidR="0072650E" w:rsidRPr="00A95597" w:rsidRDefault="0072650E" w:rsidP="0072650E">
                  <w:pPr>
                    <w:pStyle w:val="NormalWeb"/>
                    <w:spacing w:before="0" w:beforeAutospacing="0" w:after="0" w:afterAutospacing="0"/>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Yes.</w:t>
                  </w:r>
                </w:p>
              </w:tc>
              <w:tc>
                <w:tcPr>
                  <w:tcW w:w="1361" w:type="pct"/>
                  <w:shd w:val="clear" w:color="auto" w:fill="F2F2F2" w:themeFill="background1" w:themeFillShade="F2"/>
                </w:tcPr>
                <w:p w:rsidR="0072650E" w:rsidRPr="004E69F4" w:rsidRDefault="0072650E" w:rsidP="0072650E">
                  <w:pPr>
                    <w:pStyle w:val="NormalWeb"/>
                    <w:spacing w:before="0" w:beforeAutospacing="0" w:after="0" w:afterAutospacing="0"/>
                    <w:rPr>
                      <w:rFonts w:ascii="Arial" w:eastAsia="+mn-ea" w:hAnsi="Arial" w:cs="Arial"/>
                      <w:b/>
                      <w:color w:val="000000" w:themeColor="text1"/>
                      <w:kern w:val="24"/>
                      <w:sz w:val="18"/>
                      <w:szCs w:val="18"/>
                    </w:rPr>
                  </w:pPr>
                  <w:r>
                    <w:rPr>
                      <w:rFonts w:ascii="Arial" w:eastAsia="+mn-ea" w:hAnsi="Arial" w:cs="Arial"/>
                      <w:b/>
                      <w:color w:val="000000" w:themeColor="text1"/>
                      <w:kern w:val="24"/>
                      <w:sz w:val="18"/>
                      <w:szCs w:val="18"/>
                    </w:rPr>
                    <w:t>Selection Bias</w:t>
                  </w:r>
                </w:p>
              </w:tc>
              <w:tc>
                <w:tcPr>
                  <w:tcW w:w="1361" w:type="pct"/>
                  <w:shd w:val="clear" w:color="auto" w:fill="F2F2F2" w:themeFill="background1" w:themeFillShade="F2"/>
                </w:tcPr>
                <w:p w:rsidR="0072650E" w:rsidRPr="00A95597" w:rsidRDefault="0072650E" w:rsidP="0072650E">
                  <w:pPr>
                    <w:pStyle w:val="NormalWeb"/>
                    <w:spacing w:before="0" w:beforeAutospacing="0" w:after="0" w:afterAutospacing="0"/>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Yes.</w:t>
                  </w:r>
                </w:p>
              </w:tc>
            </w:tr>
          </w:tbl>
          <w:p w:rsidR="0072650E" w:rsidRDefault="0072650E" w:rsidP="00F8463F">
            <w:pPr>
              <w:pStyle w:val="Figure"/>
            </w:pPr>
          </w:p>
        </w:tc>
      </w:tr>
      <w:tr w:rsidR="0072650E" w:rsidRPr="00176D3F" w:rsidTr="00F8463F">
        <w:tc>
          <w:tcPr>
            <w:tcW w:w="5000" w:type="pct"/>
            <w:tcBorders>
              <w:top w:val="nil"/>
              <w:left w:val="nil"/>
              <w:bottom w:val="nil"/>
              <w:right w:val="nil"/>
            </w:tcBorders>
            <w:shd w:val="clear" w:color="auto" w:fill="auto"/>
          </w:tcPr>
          <w:p w:rsidR="0072650E" w:rsidRPr="00176D3F" w:rsidRDefault="0072650E" w:rsidP="00F8463F">
            <w:pPr>
              <w:pStyle w:val="Note"/>
            </w:pPr>
            <w:r>
              <w:rPr>
                <w:rStyle w:val="NoteLabel"/>
              </w:rPr>
              <w:t>a</w:t>
            </w:r>
            <w:r>
              <w:t xml:space="preserve"> Only asset classes with at least 25 observations for both retail and not</w:t>
            </w:r>
            <w:r w:rsidR="00617DD2">
              <w:noBreakHyphen/>
            </w:r>
            <w:r>
              <w:t>for</w:t>
            </w:r>
            <w:r w:rsidR="00617DD2">
              <w:noBreakHyphen/>
            </w:r>
            <w:r>
              <w:t>profit funds are reported. Fund assets are used as weights to calculate an average investment management cost.</w:t>
            </w:r>
          </w:p>
        </w:tc>
      </w:tr>
      <w:tr w:rsidR="0072650E" w:rsidTr="00F8463F">
        <w:tc>
          <w:tcPr>
            <w:tcW w:w="5000" w:type="pct"/>
            <w:tcBorders>
              <w:top w:val="nil"/>
              <w:left w:val="nil"/>
              <w:bottom w:val="single" w:sz="6" w:space="0" w:color="78A22F"/>
              <w:right w:val="nil"/>
            </w:tcBorders>
            <w:shd w:val="clear" w:color="auto" w:fill="auto"/>
          </w:tcPr>
          <w:p w:rsidR="0072650E" w:rsidRDefault="0072650E" w:rsidP="00F8463F">
            <w:pPr>
              <w:pStyle w:val="Figurespace"/>
            </w:pPr>
          </w:p>
        </w:tc>
      </w:tr>
      <w:tr w:rsidR="0072650E" w:rsidRPr="000863A5" w:rsidTr="00F8463F">
        <w:tc>
          <w:tcPr>
            <w:tcW w:w="5000" w:type="pct"/>
            <w:tcBorders>
              <w:top w:val="single" w:sz="6" w:space="0" w:color="78A22F"/>
              <w:left w:val="nil"/>
              <w:bottom w:val="nil"/>
              <w:right w:val="nil"/>
            </w:tcBorders>
          </w:tcPr>
          <w:p w:rsidR="0072650E" w:rsidRPr="00626D32" w:rsidRDefault="0072650E" w:rsidP="00F8463F">
            <w:pPr>
              <w:pStyle w:val="BoxSpaceBelow"/>
            </w:pPr>
          </w:p>
        </w:tc>
      </w:tr>
    </w:tbl>
    <w:p w:rsidR="007B7296" w:rsidRDefault="007B7296" w:rsidP="007B729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76527" w:rsidTr="00F76527">
        <w:trPr>
          <w:tblHeader/>
        </w:trPr>
        <w:tc>
          <w:tcPr>
            <w:tcW w:w="5000" w:type="pct"/>
            <w:tcBorders>
              <w:top w:val="single" w:sz="6" w:space="0" w:color="78A22F"/>
              <w:left w:val="nil"/>
              <w:bottom w:val="nil"/>
              <w:right w:val="nil"/>
            </w:tcBorders>
            <w:shd w:val="clear" w:color="auto" w:fill="auto"/>
          </w:tcPr>
          <w:p w:rsidR="00F76527" w:rsidRPr="00176D3F" w:rsidRDefault="00F76527" w:rsidP="0075282B">
            <w:pPr>
              <w:pStyle w:val="FigureTitle"/>
            </w:pPr>
            <w:r w:rsidRPr="00784A05">
              <w:rPr>
                <w:b w:val="0"/>
              </w:rPr>
              <w:t xml:space="preserve">Figure </w:t>
            </w:r>
            <w:bookmarkStart w:id="82" w:name="OLE_LINK49"/>
            <w:r w:rsidR="001345FE">
              <w:rPr>
                <w:b w:val="0"/>
                <w:noProof/>
              </w:rPr>
              <w:t>25</w:t>
            </w:r>
            <w:bookmarkEnd w:id="82"/>
            <w:r>
              <w:tab/>
            </w:r>
            <w:r w:rsidR="0075282B">
              <w:t>V</w:t>
            </w:r>
            <w:r w:rsidR="00FA37F9">
              <w:t xml:space="preserve">ariation in </w:t>
            </w:r>
            <w:r w:rsidR="00740616">
              <w:t xml:space="preserve">asset class </w:t>
            </w:r>
            <w:r w:rsidR="00FA37F9">
              <w:t xml:space="preserve">investment costs </w:t>
            </w:r>
            <w:r w:rsidR="000B1DEC">
              <w:t>by segment</w:t>
            </w:r>
            <w:r w:rsidR="00666319">
              <w:t>, 2017</w:t>
            </w:r>
            <w:r w:rsidR="00256FDD" w:rsidRPr="00E71389">
              <w:rPr>
                <w:rStyle w:val="NoteLabel"/>
                <w:b/>
              </w:rPr>
              <w:t>a</w:t>
            </w:r>
          </w:p>
        </w:tc>
      </w:tr>
      <w:tr w:rsidR="00F76527" w:rsidTr="00F76527">
        <w:tc>
          <w:tcPr>
            <w:tcW w:w="5000" w:type="pct"/>
            <w:tcBorders>
              <w:top w:val="nil"/>
              <w:left w:val="nil"/>
              <w:bottom w:val="nil"/>
              <w:right w:val="nil"/>
            </w:tcBorders>
            <w:shd w:val="clear" w:color="auto" w:fill="auto"/>
            <w:tcMar>
              <w:top w:w="28" w:type="dxa"/>
              <w:bottom w:w="28" w:type="dxa"/>
            </w:tcMar>
          </w:tcPr>
          <w:p w:rsidR="00F76527" w:rsidRDefault="003F08D8" w:rsidP="0071579C">
            <w:pPr>
              <w:pStyle w:val="Figure"/>
            </w:pPr>
            <w:r>
              <w:rPr>
                <w:noProof/>
              </w:rPr>
              <w:drawing>
                <wp:inline distT="0" distB="0" distL="0" distR="0" wp14:anchorId="0C3EAB54" wp14:editId="5B3F7414">
                  <wp:extent cx="5236668" cy="2095500"/>
                  <wp:effectExtent l="0" t="0" r="0" b="0"/>
                  <wp:docPr id="22" name="Picture 22" descr="The 10th percentile, median, and 90th percentile are shown for cash, listed equity, and fixed income for retail and not-for-profit funds in 2017. The difference between the 10th and 90th percentile is larger for retail funds across all asset classes, indicating a higher degree of variation in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rrorbar_fees_NFP.em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317452" cy="2127826"/>
                          </a:xfrm>
                          <a:prstGeom prst="rect">
                            <a:avLst/>
                          </a:prstGeom>
                        </pic:spPr>
                      </pic:pic>
                    </a:graphicData>
                  </a:graphic>
                </wp:inline>
              </w:drawing>
            </w:r>
          </w:p>
        </w:tc>
      </w:tr>
      <w:tr w:rsidR="001D2B2D" w:rsidTr="00F76527">
        <w:tc>
          <w:tcPr>
            <w:tcW w:w="5000" w:type="pct"/>
            <w:tcBorders>
              <w:top w:val="nil"/>
              <w:left w:val="nil"/>
              <w:bottom w:val="nil"/>
              <w:right w:val="nil"/>
            </w:tcBorders>
            <w:shd w:val="clear" w:color="auto" w:fill="auto"/>
            <w:tcMar>
              <w:top w:w="28" w:type="dxa"/>
              <w:bottom w:w="28" w:type="dxa"/>
            </w:tcMar>
          </w:tcPr>
          <w:tbl>
            <w:tblPr>
              <w:tblW w:w="8505" w:type="dxa"/>
              <w:tblLook w:val="04A0" w:firstRow="1" w:lastRow="0" w:firstColumn="1" w:lastColumn="0" w:noHBand="0" w:noVBand="1"/>
            </w:tblPr>
            <w:tblGrid>
              <w:gridCol w:w="1562"/>
              <w:gridCol w:w="2313"/>
              <w:gridCol w:w="2315"/>
              <w:gridCol w:w="2315"/>
            </w:tblGrid>
            <w:tr w:rsidR="001D2B2D" w:rsidTr="005944A1">
              <w:trPr>
                <w:tblHeader/>
              </w:trPr>
              <w:tc>
                <w:tcPr>
                  <w:tcW w:w="918" w:type="pct"/>
                  <w:shd w:val="clear" w:color="auto" w:fill="F2F2F2" w:themeFill="background1" w:themeFillShade="F2"/>
                </w:tcPr>
                <w:p w:rsidR="001D2B2D" w:rsidRDefault="001D2B2D" w:rsidP="001D2B2D">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4082" w:type="pct"/>
                  <w:gridSpan w:val="3"/>
                  <w:shd w:val="clear" w:color="auto" w:fill="F2F2F2" w:themeFill="background1" w:themeFillShade="F2"/>
                </w:tcPr>
                <w:p w:rsidR="001D2B2D" w:rsidRDefault="00876624" w:rsidP="001D2B2D">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Supplementary f</w:t>
                  </w:r>
                  <w:r w:rsidR="001D2B2D">
                    <w:rPr>
                      <w:rFonts w:ascii="Arial" w:eastAsia="+mn-ea" w:hAnsi="Arial" w:cs="Arial"/>
                      <w:color w:val="000000" w:themeColor="text1"/>
                      <w:kern w:val="24"/>
                      <w:sz w:val="18"/>
                      <w:szCs w:val="18"/>
                    </w:rPr>
                    <w:t>unds survey.</w:t>
                  </w:r>
                </w:p>
              </w:tc>
            </w:tr>
            <w:tr w:rsidR="001D2B2D" w:rsidRPr="001F53B0" w:rsidTr="005944A1">
              <w:tc>
                <w:tcPr>
                  <w:tcW w:w="918" w:type="pct"/>
                  <w:shd w:val="clear" w:color="auto" w:fill="F2F2F2" w:themeFill="background1" w:themeFillShade="F2"/>
                </w:tcPr>
                <w:p w:rsidR="001D2B2D" w:rsidRDefault="001D2B2D" w:rsidP="001D2B2D">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4082" w:type="pct"/>
                  <w:gridSpan w:val="3"/>
                  <w:shd w:val="clear" w:color="auto" w:fill="F2F2F2" w:themeFill="background1" w:themeFillShade="F2"/>
                </w:tcPr>
                <w:p w:rsidR="001D2B2D" w:rsidRPr="001F53B0" w:rsidRDefault="001750E1" w:rsidP="006C0AEE">
                  <w:pPr>
                    <w:pStyle w:val="NormalWeb"/>
                    <w:spacing w:before="0" w:beforeAutospacing="0" w:after="0" w:afterAutospacing="0"/>
                    <w:rPr>
                      <w:color w:val="000000" w:themeColor="text1"/>
                    </w:rPr>
                  </w:pPr>
                  <w:r>
                    <w:rPr>
                      <w:rFonts w:ascii="Arial" w:eastAsia="+mn-ea" w:hAnsi="Arial" w:cs="Arial"/>
                      <w:color w:val="000000" w:themeColor="text1"/>
                      <w:kern w:val="24"/>
                      <w:sz w:val="18"/>
                      <w:szCs w:val="18"/>
                    </w:rPr>
                    <w:t xml:space="preserve">In 2017, the </w:t>
                  </w:r>
                  <w:r w:rsidR="00BF4FF7">
                    <w:rPr>
                      <w:rFonts w:ascii="Arial" w:eastAsia="+mn-ea" w:hAnsi="Arial" w:cs="Arial"/>
                      <w:color w:val="000000" w:themeColor="text1"/>
                      <w:kern w:val="24"/>
                      <w:sz w:val="18"/>
                      <w:szCs w:val="18"/>
                    </w:rPr>
                    <w:t xml:space="preserve">funds in this </w:t>
                  </w:r>
                  <w:r>
                    <w:rPr>
                      <w:rFonts w:ascii="Arial" w:eastAsia="+mn-ea" w:hAnsi="Arial" w:cs="Arial"/>
                      <w:color w:val="000000" w:themeColor="text1"/>
                      <w:kern w:val="24"/>
                      <w:sz w:val="18"/>
                      <w:szCs w:val="18"/>
                    </w:rPr>
                    <w:t xml:space="preserve">figure represent </w:t>
                  </w:r>
                  <w:r w:rsidR="00BF4FF7">
                    <w:rPr>
                      <w:rFonts w:ascii="Arial" w:eastAsia="+mn-ea" w:hAnsi="Arial" w:cs="Arial"/>
                      <w:color w:val="000000" w:themeColor="text1"/>
                      <w:kern w:val="24"/>
                      <w:sz w:val="18"/>
                      <w:szCs w:val="18"/>
                    </w:rPr>
                    <w:t xml:space="preserve">up to </w:t>
                  </w:r>
                  <w:r w:rsidR="006C0AEE">
                    <w:rPr>
                      <w:rFonts w:ascii="Arial" w:eastAsia="+mn-ea" w:hAnsi="Arial" w:cs="Arial"/>
                      <w:color w:val="000000" w:themeColor="text1"/>
                      <w:kern w:val="24"/>
                      <w:sz w:val="18"/>
                      <w:szCs w:val="18"/>
                    </w:rPr>
                    <w:t xml:space="preserve">81% </w:t>
                  </w:r>
                  <w:r>
                    <w:rPr>
                      <w:rFonts w:ascii="Arial" w:eastAsia="+mn-ea" w:hAnsi="Arial" w:cs="Arial"/>
                      <w:color w:val="000000" w:themeColor="text1"/>
                      <w:kern w:val="24"/>
                      <w:sz w:val="18"/>
                      <w:szCs w:val="18"/>
                    </w:rPr>
                    <w:t xml:space="preserve">of total assets and </w:t>
                  </w:r>
                  <w:r w:rsidR="00194311">
                    <w:rPr>
                      <w:rFonts w:ascii="Arial" w:eastAsia="+mn-ea" w:hAnsi="Arial" w:cs="Arial"/>
                      <w:color w:val="000000" w:themeColor="text1"/>
                      <w:kern w:val="24"/>
                      <w:sz w:val="18"/>
                      <w:szCs w:val="18"/>
                    </w:rPr>
                    <w:t>73</w:t>
                  </w:r>
                  <w:r w:rsidR="006C0AEE">
                    <w:rPr>
                      <w:rFonts w:ascii="Arial" w:eastAsia="+mn-ea" w:hAnsi="Arial" w:cs="Arial"/>
                      <w:color w:val="000000" w:themeColor="text1"/>
                      <w:kern w:val="24"/>
                      <w:sz w:val="18"/>
                      <w:szCs w:val="18"/>
                    </w:rPr>
                    <w:t xml:space="preserve">% </w:t>
                  </w:r>
                  <w:r>
                    <w:rPr>
                      <w:rFonts w:ascii="Arial" w:eastAsia="+mn-ea" w:hAnsi="Arial" w:cs="Arial"/>
                      <w:color w:val="000000" w:themeColor="text1"/>
                      <w:kern w:val="24"/>
                      <w:sz w:val="18"/>
                      <w:szCs w:val="18"/>
                    </w:rPr>
                    <w:t xml:space="preserve">of member accounts of </w:t>
                  </w:r>
                  <w:r w:rsidR="002730DF">
                    <w:rPr>
                      <w:rFonts w:ascii="Arial" w:eastAsia="+mn-ea" w:hAnsi="Arial" w:cs="Arial"/>
                      <w:color w:val="000000" w:themeColor="text1"/>
                      <w:kern w:val="24"/>
                      <w:sz w:val="18"/>
                      <w:szCs w:val="18"/>
                    </w:rPr>
                    <w:t>A</w:t>
                  </w:r>
                  <w:r>
                    <w:rPr>
                      <w:rFonts w:ascii="Arial" w:eastAsia="+mn-ea" w:hAnsi="Arial" w:cs="Arial"/>
                      <w:color w:val="000000" w:themeColor="text1"/>
                      <w:kern w:val="24"/>
                      <w:sz w:val="18"/>
                      <w:szCs w:val="18"/>
                    </w:rPr>
                    <w:t>PRA</w:t>
                  </w:r>
                  <w:r w:rsidR="00617DD2">
                    <w:rPr>
                      <w:rFonts w:ascii="Arial" w:eastAsia="+mn-ea" w:hAnsi="Arial" w:cs="Arial"/>
                      <w:color w:val="000000" w:themeColor="text1"/>
                      <w:kern w:val="24"/>
                      <w:sz w:val="18"/>
                      <w:szCs w:val="18"/>
                    </w:rPr>
                    <w:noBreakHyphen/>
                  </w:r>
                  <w:r>
                    <w:rPr>
                      <w:rFonts w:ascii="Arial" w:eastAsia="+mn-ea" w:hAnsi="Arial" w:cs="Arial"/>
                      <w:color w:val="000000" w:themeColor="text1"/>
                      <w:kern w:val="24"/>
                      <w:sz w:val="18"/>
                      <w:szCs w:val="18"/>
                    </w:rPr>
                    <w:t>regulated funds.</w:t>
                  </w:r>
                </w:p>
              </w:tc>
            </w:tr>
            <w:tr w:rsidR="001D2B2D" w:rsidRPr="00A95597" w:rsidTr="005944A1">
              <w:tc>
                <w:tcPr>
                  <w:tcW w:w="918" w:type="pct"/>
                  <w:shd w:val="clear" w:color="auto" w:fill="F2F2F2" w:themeFill="background1" w:themeFillShade="F2"/>
                </w:tcPr>
                <w:p w:rsidR="001D2B2D" w:rsidRPr="004E69F4" w:rsidRDefault="001D2B2D" w:rsidP="001D2B2D">
                  <w:pPr>
                    <w:pStyle w:val="Figure"/>
                    <w:spacing w:before="0" w:after="0"/>
                    <w:jc w:val="left"/>
                    <w:rPr>
                      <w:rFonts w:asciiTheme="minorHAnsi" w:hAnsi="Arial" w:cstheme="minorBidi"/>
                      <w:b/>
                      <w:color w:val="000000" w:themeColor="text1"/>
                      <w:kern w:val="24"/>
                      <w:sz w:val="18"/>
                      <w:szCs w:val="18"/>
                    </w:rPr>
                  </w:pPr>
                  <w:r>
                    <w:rPr>
                      <w:rFonts w:asciiTheme="minorHAnsi" w:hAnsi="Arial" w:cstheme="minorBidi"/>
                      <w:b/>
                      <w:color w:val="000000" w:themeColor="text1"/>
                      <w:kern w:val="24"/>
                      <w:sz w:val="18"/>
                      <w:szCs w:val="18"/>
                    </w:rPr>
                    <w:t>Survivor Bias</w:t>
                  </w:r>
                </w:p>
              </w:tc>
              <w:tc>
                <w:tcPr>
                  <w:tcW w:w="1360" w:type="pct"/>
                  <w:shd w:val="clear" w:color="auto" w:fill="F2F2F2" w:themeFill="background1" w:themeFillShade="F2"/>
                </w:tcPr>
                <w:p w:rsidR="001D2B2D" w:rsidRPr="00A95597" w:rsidRDefault="001D2B2D" w:rsidP="001D2B2D">
                  <w:pPr>
                    <w:pStyle w:val="NormalWeb"/>
                    <w:spacing w:before="0" w:beforeAutospacing="0" w:after="0" w:afterAutospacing="0"/>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Yes.</w:t>
                  </w:r>
                </w:p>
              </w:tc>
              <w:tc>
                <w:tcPr>
                  <w:tcW w:w="1361" w:type="pct"/>
                  <w:shd w:val="clear" w:color="auto" w:fill="F2F2F2" w:themeFill="background1" w:themeFillShade="F2"/>
                </w:tcPr>
                <w:p w:rsidR="001D2B2D" w:rsidRPr="004E69F4" w:rsidRDefault="001D2B2D" w:rsidP="001D2B2D">
                  <w:pPr>
                    <w:pStyle w:val="NormalWeb"/>
                    <w:spacing w:before="0" w:beforeAutospacing="0" w:after="0" w:afterAutospacing="0"/>
                    <w:rPr>
                      <w:rFonts w:ascii="Arial" w:eastAsia="+mn-ea" w:hAnsi="Arial" w:cs="Arial"/>
                      <w:b/>
                      <w:color w:val="000000" w:themeColor="text1"/>
                      <w:kern w:val="24"/>
                      <w:sz w:val="18"/>
                      <w:szCs w:val="18"/>
                    </w:rPr>
                  </w:pPr>
                  <w:r>
                    <w:rPr>
                      <w:rFonts w:ascii="Arial" w:eastAsia="+mn-ea" w:hAnsi="Arial" w:cs="Arial"/>
                      <w:b/>
                      <w:color w:val="000000" w:themeColor="text1"/>
                      <w:kern w:val="24"/>
                      <w:sz w:val="18"/>
                      <w:szCs w:val="18"/>
                    </w:rPr>
                    <w:t>Selection Bias</w:t>
                  </w:r>
                </w:p>
              </w:tc>
              <w:tc>
                <w:tcPr>
                  <w:tcW w:w="1361" w:type="pct"/>
                  <w:shd w:val="clear" w:color="auto" w:fill="F2F2F2" w:themeFill="background1" w:themeFillShade="F2"/>
                </w:tcPr>
                <w:p w:rsidR="001D2B2D" w:rsidRPr="00A95597" w:rsidRDefault="001D2B2D" w:rsidP="001D2B2D">
                  <w:pPr>
                    <w:pStyle w:val="NormalWeb"/>
                    <w:spacing w:before="0" w:beforeAutospacing="0" w:after="0" w:afterAutospacing="0"/>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Yes.</w:t>
                  </w:r>
                </w:p>
              </w:tc>
            </w:tr>
          </w:tbl>
          <w:p w:rsidR="001D2B2D" w:rsidRDefault="001D2B2D" w:rsidP="0071579C">
            <w:pPr>
              <w:pStyle w:val="Figure"/>
              <w:rPr>
                <w:b/>
                <w:noProof/>
                <w:vanish/>
                <w:color w:val="FF00FF"/>
                <w:sz w:val="20"/>
                <w:szCs w:val="24"/>
              </w:rPr>
            </w:pPr>
          </w:p>
        </w:tc>
      </w:tr>
      <w:tr w:rsidR="00F76527" w:rsidRPr="00176D3F" w:rsidTr="00F76527">
        <w:tc>
          <w:tcPr>
            <w:tcW w:w="5000" w:type="pct"/>
            <w:tcBorders>
              <w:top w:val="nil"/>
              <w:left w:val="nil"/>
              <w:bottom w:val="nil"/>
              <w:right w:val="nil"/>
            </w:tcBorders>
            <w:shd w:val="clear" w:color="auto" w:fill="auto"/>
          </w:tcPr>
          <w:p w:rsidR="00F76527" w:rsidRPr="00176D3F" w:rsidRDefault="00F76527" w:rsidP="005F2D6E">
            <w:pPr>
              <w:pStyle w:val="Note"/>
            </w:pPr>
            <w:r>
              <w:rPr>
                <w:rStyle w:val="NoteLabel"/>
              </w:rPr>
              <w:t>a</w:t>
            </w:r>
            <w:r>
              <w:t xml:space="preserve"> </w:t>
            </w:r>
            <w:r w:rsidR="00FA37F9">
              <w:t xml:space="preserve">The </w:t>
            </w:r>
            <w:r w:rsidR="005F2D6E">
              <w:t>figure shows</w:t>
            </w:r>
            <w:r w:rsidR="00FA37F9">
              <w:t xml:space="preserve"> investment costs reported by funds for 2017. The dot represents the median investment cost for each asset class by segment. The lower and upper bars are the 10</w:t>
            </w:r>
            <w:r w:rsidR="00FA37F9" w:rsidRPr="00E71389">
              <w:rPr>
                <w:vertAlign w:val="superscript"/>
              </w:rPr>
              <w:t>th</w:t>
            </w:r>
            <w:r w:rsidR="00FA37F9">
              <w:t xml:space="preserve"> and 90</w:t>
            </w:r>
            <w:r w:rsidR="00FA37F9" w:rsidRPr="00E71389">
              <w:rPr>
                <w:vertAlign w:val="superscript"/>
              </w:rPr>
              <w:t>th</w:t>
            </w:r>
            <w:r w:rsidR="00FA37F9">
              <w:t xml:space="preserve"> percentile respectively</w:t>
            </w:r>
            <w:r w:rsidR="006C088F">
              <w:t>, meaning 10 per cent of observations are below the bottom bar and 90 per cent are below the top bar.</w:t>
            </w:r>
            <w:r>
              <w:t xml:space="preserve"> </w:t>
            </w:r>
            <w:r w:rsidR="00CA3FDF">
              <w:t>Only asset classes with at least 25 observations for both retail and not</w:t>
            </w:r>
            <w:r w:rsidR="00617DD2">
              <w:noBreakHyphen/>
            </w:r>
            <w:r w:rsidR="00CA3FDF">
              <w:t>for</w:t>
            </w:r>
            <w:r w:rsidR="00617DD2">
              <w:noBreakHyphen/>
            </w:r>
            <w:r w:rsidR="00CA3FDF">
              <w:t>profit funds are reported.</w:t>
            </w:r>
            <w:r w:rsidR="00FA37F9">
              <w:t xml:space="preserve"> </w:t>
            </w:r>
          </w:p>
        </w:tc>
      </w:tr>
      <w:tr w:rsidR="00F76527" w:rsidTr="00F76527">
        <w:tc>
          <w:tcPr>
            <w:tcW w:w="5000" w:type="pct"/>
            <w:tcBorders>
              <w:top w:val="nil"/>
              <w:left w:val="nil"/>
              <w:bottom w:val="single" w:sz="6" w:space="0" w:color="78A22F"/>
              <w:right w:val="nil"/>
            </w:tcBorders>
            <w:shd w:val="clear" w:color="auto" w:fill="auto"/>
          </w:tcPr>
          <w:p w:rsidR="00F76527" w:rsidRDefault="00F76527" w:rsidP="00F76527">
            <w:pPr>
              <w:pStyle w:val="Figurespace"/>
            </w:pPr>
          </w:p>
        </w:tc>
      </w:tr>
      <w:tr w:rsidR="00F76527" w:rsidRPr="000863A5" w:rsidTr="00F76527">
        <w:tc>
          <w:tcPr>
            <w:tcW w:w="5000" w:type="pct"/>
            <w:tcBorders>
              <w:top w:val="single" w:sz="6" w:space="0" w:color="78A22F"/>
              <w:left w:val="nil"/>
              <w:bottom w:val="nil"/>
              <w:right w:val="nil"/>
            </w:tcBorders>
          </w:tcPr>
          <w:p w:rsidR="00F76527" w:rsidRPr="00626D32" w:rsidRDefault="00F76527" w:rsidP="00F76527">
            <w:pPr>
              <w:pStyle w:val="BoxSpaceBelow"/>
            </w:pPr>
          </w:p>
        </w:tc>
      </w:tr>
    </w:tbl>
    <w:p w:rsidR="00B471A4" w:rsidRDefault="00B471A4" w:rsidP="00B471A4">
      <w:pPr>
        <w:pStyle w:val="Heading3"/>
      </w:pPr>
      <w:bookmarkStart w:id="83" w:name="_Toc528158051"/>
      <w:bookmarkStart w:id="84" w:name="_Toc528229673"/>
      <w:bookmarkStart w:id="85" w:name="_Toc528298323"/>
      <w:r>
        <w:t>Asset</w:t>
      </w:r>
      <w:r w:rsidR="00617DD2">
        <w:noBreakHyphen/>
      </w:r>
      <w:r>
        <w:t xml:space="preserve">class </w:t>
      </w:r>
      <w:r w:rsidR="00934545">
        <w:t xml:space="preserve">costs </w:t>
      </w:r>
      <w:r>
        <w:t>benchmarking to other countries</w:t>
      </w:r>
      <w:bookmarkEnd w:id="83"/>
      <w:bookmarkEnd w:id="84"/>
      <w:bookmarkEnd w:id="85"/>
    </w:p>
    <w:p w:rsidR="004A41B9" w:rsidRPr="004A41B9" w:rsidRDefault="004A41B9" w:rsidP="00A57FA4">
      <w:pPr>
        <w:pStyle w:val="BodyText"/>
      </w:pPr>
      <w:r>
        <w:rPr>
          <w:i/>
        </w:rPr>
        <w:t xml:space="preserve">Are Australian superannuation funds’ </w:t>
      </w:r>
      <w:r w:rsidRPr="00342C44">
        <w:rPr>
          <w:i/>
        </w:rPr>
        <w:t xml:space="preserve">investment management costs </w:t>
      </w:r>
      <w:r>
        <w:rPr>
          <w:i/>
        </w:rPr>
        <w:t>at an individual asset</w:t>
      </w:r>
      <w:r>
        <w:rPr>
          <w:i/>
        </w:rPr>
        <w:noBreakHyphen/>
        <w:t>class level higher than those of pension funds in other countries?</w:t>
      </w:r>
    </w:p>
    <w:p w:rsidR="008B1F28" w:rsidRDefault="008B1F28" w:rsidP="008B1F28">
      <w:pPr>
        <w:pStyle w:val="BodyText"/>
      </w:pPr>
      <w:r>
        <w:t xml:space="preserve">The Commission has compared the </w:t>
      </w:r>
      <w:r w:rsidR="003D42E8">
        <w:t>investment management costs</w:t>
      </w:r>
      <w:r>
        <w:t xml:space="preserve"> of Australian superannuation funds </w:t>
      </w:r>
      <w:r w:rsidR="003D42E8">
        <w:t>in 2016</w:t>
      </w:r>
      <w:r>
        <w:t xml:space="preserve"> </w:t>
      </w:r>
      <w:r w:rsidR="00E11A7D">
        <w:t xml:space="preserve">— as </w:t>
      </w:r>
      <w:r w:rsidR="00521A3D">
        <w:t>reported in the supplementary fund</w:t>
      </w:r>
      <w:r w:rsidR="00E11A7D">
        <w:t>s</w:t>
      </w:r>
      <w:r w:rsidR="00521A3D">
        <w:t xml:space="preserve"> survey</w:t>
      </w:r>
      <w:r w:rsidR="00E11A7D">
        <w:t xml:space="preserve"> —</w:t>
      </w:r>
      <w:r w:rsidR="00521A3D">
        <w:t xml:space="preserve"> </w:t>
      </w:r>
      <w:r>
        <w:t xml:space="preserve">to </w:t>
      </w:r>
      <w:r w:rsidR="007A702D">
        <w:t xml:space="preserve">those </w:t>
      </w:r>
      <w:r>
        <w:t>of international pension funds</w:t>
      </w:r>
      <w:r w:rsidR="003D42E8">
        <w:t xml:space="preserve"> (incorporating all direct and indirect costs)</w:t>
      </w:r>
      <w:r>
        <w:t>. The international data was purchased from CEM Benchmarking and published in technical supplement </w:t>
      </w:r>
      <w:r w:rsidR="003D42E8">
        <w:t>5</w:t>
      </w:r>
      <w:r>
        <w:t xml:space="preserve"> to the draft report.</w:t>
      </w:r>
      <w:r w:rsidR="00AE214E" w:rsidRPr="00AE214E">
        <w:t xml:space="preserve"> </w:t>
      </w:r>
      <w:r w:rsidR="00AE214E">
        <w:t>The analysis in this paper updates the preliminary results in the draft report, which were based on the initial funds survey (with much lower coverage)</w:t>
      </w:r>
      <w:r w:rsidR="008106A7">
        <w:t xml:space="preserve">. The draft report also included international comparisons of investment and administration costs based on data </w:t>
      </w:r>
      <w:r w:rsidR="00281B4A">
        <w:t>from the Organisation for</w:t>
      </w:r>
      <w:r w:rsidR="00AF6A4F">
        <w:t xml:space="preserve"> Economic Co</w:t>
      </w:r>
      <w:r w:rsidR="00617DD2">
        <w:noBreakHyphen/>
      </w:r>
      <w:r w:rsidR="00AF6A4F">
        <w:t>operation and Development</w:t>
      </w:r>
      <w:r w:rsidR="00AE214E">
        <w:t>.</w:t>
      </w:r>
    </w:p>
    <w:p w:rsidR="00A34275" w:rsidRDefault="00AE214E" w:rsidP="000F6027">
      <w:pPr>
        <w:pStyle w:val="BodyText"/>
      </w:pPr>
      <w:r>
        <w:t xml:space="preserve">The </w:t>
      </w:r>
      <w:r w:rsidR="00D73CD7">
        <w:t xml:space="preserve">comparison </w:t>
      </w:r>
      <w:r>
        <w:t>here</w:t>
      </w:r>
      <w:r w:rsidR="00D73CD7">
        <w:t xml:space="preserve"> suggests that Australian funds </w:t>
      </w:r>
      <w:r w:rsidR="009312F3">
        <w:t xml:space="preserve">incur </w:t>
      </w:r>
      <w:r w:rsidR="00CF533C">
        <w:t xml:space="preserve">much </w:t>
      </w:r>
      <w:r w:rsidR="005045AF">
        <w:t xml:space="preserve">higher </w:t>
      </w:r>
      <w:r w:rsidR="00CF533C">
        <w:t xml:space="preserve">investment </w:t>
      </w:r>
      <w:r w:rsidR="009312F3">
        <w:t xml:space="preserve">costs </w:t>
      </w:r>
      <w:r w:rsidR="00CF533C">
        <w:t>for</w:t>
      </w:r>
      <w:r w:rsidR="005045AF">
        <w:t xml:space="preserve"> domestic and inte</w:t>
      </w:r>
      <w:r w:rsidR="00CA7059">
        <w:t>rnational</w:t>
      </w:r>
      <w:r w:rsidR="00CF533C">
        <w:t xml:space="preserve"> equit</w:t>
      </w:r>
      <w:r w:rsidR="009312F3">
        <w:t>ies, and international fixed income, compared to most other countries in the data</w:t>
      </w:r>
      <w:r w:rsidR="00A57FA4">
        <w:t xml:space="preserve"> (figure </w:t>
      </w:r>
      <w:r w:rsidR="001E06D6">
        <w:t>26</w:t>
      </w:r>
      <w:r w:rsidR="00A57FA4">
        <w:t>)</w:t>
      </w:r>
      <w:r w:rsidR="009312F3">
        <w:t xml:space="preserve">. </w:t>
      </w:r>
      <w:r w:rsidR="00A34275">
        <w:t xml:space="preserve">Some of this difference </w:t>
      </w:r>
      <w:r w:rsidR="0075282B">
        <w:t xml:space="preserve">could be attributed to </w:t>
      </w:r>
      <w:r w:rsidR="00A34275">
        <w:t>a greater use of active management by Australian superannuation funds</w:t>
      </w:r>
      <w:r w:rsidR="00D26B7B">
        <w:t>, at least for equities.</w:t>
      </w:r>
    </w:p>
    <w:p w:rsidR="000F6027" w:rsidRDefault="009312F3" w:rsidP="000F6027">
      <w:pPr>
        <w:pStyle w:val="BodyText"/>
      </w:pPr>
      <w:r>
        <w:t>Australia</w:t>
      </w:r>
      <w:r w:rsidR="00644ECE">
        <w:t>n</w:t>
      </w:r>
      <w:r>
        <w:t xml:space="preserve"> funds also pay marginally higher costs for cash and domestic fixed income</w:t>
      </w:r>
      <w:r w:rsidR="009B240F">
        <w:t xml:space="preserve"> on average</w:t>
      </w:r>
      <w:r w:rsidR="00CF533C">
        <w:t xml:space="preserve">. </w:t>
      </w:r>
      <w:r w:rsidRPr="009312F3">
        <w:t>By contrast, t</w:t>
      </w:r>
      <w:r>
        <w:t>h</w:t>
      </w:r>
      <w:r w:rsidR="00CF533C" w:rsidRPr="009312F3">
        <w:t>e</w:t>
      </w:r>
      <w:r w:rsidR="00CF533C">
        <w:t xml:space="preserve"> investment management </w:t>
      </w:r>
      <w:r w:rsidR="00B940E6">
        <w:t xml:space="preserve">costs </w:t>
      </w:r>
      <w:r w:rsidR="00CF533C">
        <w:t xml:space="preserve">for </w:t>
      </w:r>
      <w:r w:rsidR="009A5D16">
        <w:t>Australia</w:t>
      </w:r>
      <w:r w:rsidR="00CF533C">
        <w:t>n</w:t>
      </w:r>
      <w:r w:rsidR="009A5D16">
        <w:t xml:space="preserve"> </w:t>
      </w:r>
      <w:r w:rsidR="00CF533C">
        <w:t xml:space="preserve">superannuation funds </w:t>
      </w:r>
      <w:r w:rsidR="00CF533C">
        <w:lastRenderedPageBreak/>
        <w:t xml:space="preserve">are relatively comparable to international pension funds </w:t>
      </w:r>
      <w:r w:rsidR="00EF0DC9">
        <w:t>for</w:t>
      </w:r>
      <w:r w:rsidR="009A5D16">
        <w:t xml:space="preserve"> </w:t>
      </w:r>
      <w:r w:rsidR="00CF533C">
        <w:t>unlisted assets (includ</w:t>
      </w:r>
      <w:r w:rsidR="00EF0DC9">
        <w:t>ing</w:t>
      </w:r>
      <w:r w:rsidR="00CF533C">
        <w:t xml:space="preserve"> </w:t>
      </w:r>
      <w:r w:rsidR="009A5D16">
        <w:t>unlisted infrastructure</w:t>
      </w:r>
      <w:r w:rsidR="00CF533C">
        <w:t xml:space="preserve">, unlisted property and </w:t>
      </w:r>
      <w:r w:rsidR="009A5D16">
        <w:t xml:space="preserve">private </w:t>
      </w:r>
      <w:r w:rsidR="00CF533C">
        <w:t>equity)</w:t>
      </w:r>
      <w:r w:rsidR="009A5D16">
        <w:t>.</w:t>
      </w:r>
    </w:p>
    <w:p w:rsidR="00D73CD7" w:rsidRDefault="00D73CD7" w:rsidP="00D73C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73CD7" w:rsidTr="006F72EB">
        <w:trPr>
          <w:tblHeader/>
        </w:trPr>
        <w:tc>
          <w:tcPr>
            <w:tcW w:w="5000" w:type="pct"/>
            <w:tcBorders>
              <w:top w:val="single" w:sz="6" w:space="0" w:color="78A22F"/>
              <w:left w:val="nil"/>
              <w:bottom w:val="nil"/>
              <w:right w:val="nil"/>
            </w:tcBorders>
            <w:shd w:val="clear" w:color="auto" w:fill="auto"/>
          </w:tcPr>
          <w:p w:rsidR="00D73CD7" w:rsidRDefault="00D73CD7" w:rsidP="006F72EB">
            <w:pPr>
              <w:pStyle w:val="FigureTitle"/>
            </w:pPr>
            <w:r w:rsidRPr="00784A05">
              <w:rPr>
                <w:b w:val="0"/>
              </w:rPr>
              <w:t xml:space="preserve">Figure </w:t>
            </w:r>
            <w:bookmarkStart w:id="86" w:name="OLE_LINK30"/>
            <w:r w:rsidR="001345FE">
              <w:rPr>
                <w:b w:val="0"/>
                <w:noProof/>
              </w:rPr>
              <w:t>26</w:t>
            </w:r>
            <w:bookmarkEnd w:id="86"/>
            <w:r>
              <w:tab/>
            </w:r>
            <w:r w:rsidR="00D84673">
              <w:t>International comparison of investment costs by asset class</w:t>
            </w:r>
            <w:r w:rsidR="00E11A7D" w:rsidRPr="00624D66">
              <w:rPr>
                <w:rStyle w:val="NoteLabel"/>
                <w:b/>
              </w:rPr>
              <w:t>a</w:t>
            </w:r>
          </w:p>
          <w:p w:rsidR="00D73CD7" w:rsidRPr="00176D3F" w:rsidRDefault="00B940E6" w:rsidP="00B940E6">
            <w:pPr>
              <w:pStyle w:val="Subtitle"/>
            </w:pPr>
            <w:r>
              <w:t>Investment management costs</w:t>
            </w:r>
            <w:r w:rsidR="00AA5D0A">
              <w:t xml:space="preserve"> weighted by assets</w:t>
            </w:r>
            <w:r w:rsidR="008A7715">
              <w:t>, 2016</w:t>
            </w:r>
          </w:p>
        </w:tc>
      </w:tr>
      <w:tr w:rsidR="00D73CD7" w:rsidTr="006F72E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D73CD7" w:rsidRPr="00B1465D" w:rsidTr="006F72EB">
              <w:trPr>
                <w:tblHeader/>
                <w:jc w:val="center"/>
              </w:trPr>
              <w:tc>
                <w:tcPr>
                  <w:tcW w:w="5000" w:type="pct"/>
                  <w:tcBorders>
                    <w:top w:val="nil"/>
                    <w:bottom w:val="nil"/>
                  </w:tcBorders>
                </w:tcPr>
                <w:p w:rsidR="00D73CD7" w:rsidRPr="00B1465D" w:rsidRDefault="00E7021E" w:rsidP="006F72EB">
                  <w:pPr>
                    <w:pStyle w:val="Figure"/>
                    <w:spacing w:before="60" w:after="60"/>
                    <w:rPr>
                      <w:rFonts w:ascii="Arial" w:hAnsi="Arial" w:cs="Arial"/>
                      <w:sz w:val="18"/>
                      <w:szCs w:val="18"/>
                    </w:rPr>
                  </w:pPr>
                  <w:r>
                    <w:rPr>
                      <w:rFonts w:ascii="Arial" w:hAnsi="Arial" w:cs="Arial"/>
                      <w:noProof/>
                      <w:sz w:val="18"/>
                      <w:szCs w:val="18"/>
                    </w:rPr>
                    <w:drawing>
                      <wp:inline distT="0" distB="0" distL="0" distR="0" wp14:anchorId="2C5516CE" wp14:editId="5758BA1F">
                        <wp:extent cx="5581015" cy="2903220"/>
                        <wp:effectExtent l="0" t="0" r="0" b="0"/>
                        <wp:docPr id="42" name="Picture 42" descr="The average investment costs for Australian and international funds are shown for different asset classes. On average, Australian funds have higher investment costs in cash, listed equity, fixed income and listed property, but lower investment costs in unlisted infrastructure, private equity and unlisted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m_fees_v2_subset_2016.em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581015" cy="2903220"/>
                                </a:xfrm>
                                <a:prstGeom prst="rect">
                                  <a:avLst/>
                                </a:prstGeom>
                              </pic:spPr>
                            </pic:pic>
                          </a:graphicData>
                        </a:graphic>
                      </wp:inline>
                    </w:drawing>
                  </w:r>
                </w:p>
              </w:tc>
            </w:tr>
          </w:tbl>
          <w:p w:rsidR="00D73CD7" w:rsidRDefault="00E7021E" w:rsidP="00AA5D0A">
            <w:pPr>
              <w:pStyle w:val="Figure"/>
            </w:pPr>
            <w:r>
              <w:rPr>
                <w:noProof/>
              </w:rPr>
              <w:drawing>
                <wp:inline distT="0" distB="0" distL="0" distR="0" wp14:anchorId="01E91693" wp14:editId="6613BAAD">
                  <wp:extent cx="5581015" cy="2903220"/>
                  <wp:effectExtent l="0" t="0" r="0" b="0"/>
                  <wp:docPr id="11" name="Picture 11" descr="The average investment costs for Australian and international funds are shown for different asset classes. On average, Australian funds have higher investment costs in cash, listed equity, fixed income and listed property, but lower investment costs in unlisted infrastructure, private equity and unlisted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em_fees_v2_subset2_2016.em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581015" cy="2903220"/>
                          </a:xfrm>
                          <a:prstGeom prst="rect">
                            <a:avLst/>
                          </a:prstGeom>
                        </pic:spPr>
                      </pic:pic>
                    </a:graphicData>
                  </a:graphic>
                </wp:inline>
              </w:drawing>
            </w:r>
          </w:p>
        </w:tc>
      </w:tr>
      <w:tr w:rsidR="005944A1" w:rsidTr="006F72EB">
        <w:tc>
          <w:tcPr>
            <w:tcW w:w="5000" w:type="pct"/>
            <w:tcBorders>
              <w:top w:val="nil"/>
              <w:left w:val="nil"/>
              <w:bottom w:val="nil"/>
              <w:right w:val="nil"/>
            </w:tcBorders>
            <w:shd w:val="clear" w:color="auto" w:fill="auto"/>
            <w:tcMar>
              <w:top w:w="28" w:type="dxa"/>
              <w:bottom w:w="28" w:type="dxa"/>
            </w:tcMar>
          </w:tcPr>
          <w:tbl>
            <w:tblPr>
              <w:tblW w:w="8505" w:type="dxa"/>
              <w:tblLook w:val="04A0" w:firstRow="1" w:lastRow="0" w:firstColumn="1" w:lastColumn="0" w:noHBand="0" w:noVBand="1"/>
            </w:tblPr>
            <w:tblGrid>
              <w:gridCol w:w="1562"/>
              <w:gridCol w:w="2313"/>
              <w:gridCol w:w="2315"/>
              <w:gridCol w:w="2315"/>
            </w:tblGrid>
            <w:tr w:rsidR="005944A1" w:rsidTr="000B7710">
              <w:trPr>
                <w:tblHeader/>
              </w:trPr>
              <w:tc>
                <w:tcPr>
                  <w:tcW w:w="918" w:type="pct"/>
                  <w:shd w:val="clear" w:color="auto" w:fill="F2F2F2" w:themeFill="background1" w:themeFillShade="F2"/>
                </w:tcPr>
                <w:p w:rsidR="005944A1" w:rsidRDefault="005944A1" w:rsidP="005944A1">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4082" w:type="pct"/>
                  <w:gridSpan w:val="3"/>
                  <w:shd w:val="clear" w:color="auto" w:fill="F2F2F2" w:themeFill="background1" w:themeFillShade="F2"/>
                </w:tcPr>
                <w:p w:rsidR="005944A1" w:rsidRDefault="00FC1944" w:rsidP="005944A1">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Supplementary f</w:t>
                  </w:r>
                  <w:r w:rsidR="005944A1" w:rsidRPr="005944A1">
                    <w:rPr>
                      <w:rFonts w:ascii="Arial" w:eastAsia="+mn-ea" w:hAnsi="Arial" w:cs="Arial"/>
                      <w:color w:val="000000" w:themeColor="text1"/>
                      <w:kern w:val="24"/>
                      <w:sz w:val="18"/>
                      <w:szCs w:val="18"/>
                    </w:rPr>
                    <w:t xml:space="preserve">unds survey, CEM </w:t>
                  </w:r>
                  <w:r w:rsidR="007602AB">
                    <w:rPr>
                      <w:rFonts w:ascii="Arial" w:eastAsia="+mn-ea" w:hAnsi="Arial" w:cs="Arial"/>
                      <w:color w:val="000000" w:themeColor="text1"/>
                      <w:kern w:val="24"/>
                      <w:sz w:val="18"/>
                      <w:szCs w:val="18"/>
                    </w:rPr>
                    <w:t xml:space="preserve">Benchmarking data </w:t>
                  </w:r>
                  <w:r w:rsidR="005944A1" w:rsidRPr="005944A1">
                    <w:rPr>
                      <w:rFonts w:ascii="Arial" w:eastAsia="+mn-ea" w:hAnsi="Arial" w:cs="Arial"/>
                      <w:color w:val="000000" w:themeColor="text1"/>
                      <w:kern w:val="24"/>
                      <w:sz w:val="18"/>
                      <w:szCs w:val="18"/>
                    </w:rPr>
                    <w:t>and financial market index data (various providers).</w:t>
                  </w:r>
                </w:p>
              </w:tc>
            </w:tr>
            <w:tr w:rsidR="005944A1" w:rsidRPr="001F53B0" w:rsidTr="000B7710">
              <w:tc>
                <w:tcPr>
                  <w:tcW w:w="918" w:type="pct"/>
                  <w:shd w:val="clear" w:color="auto" w:fill="F2F2F2" w:themeFill="background1" w:themeFillShade="F2"/>
                </w:tcPr>
                <w:p w:rsidR="005944A1" w:rsidRDefault="005944A1" w:rsidP="005944A1">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4082" w:type="pct"/>
                  <w:gridSpan w:val="3"/>
                  <w:shd w:val="clear" w:color="auto" w:fill="F2F2F2" w:themeFill="background1" w:themeFillShade="F2"/>
                </w:tcPr>
                <w:p w:rsidR="005944A1" w:rsidRPr="001F53B0" w:rsidRDefault="001750E1" w:rsidP="006C0AEE">
                  <w:pPr>
                    <w:pStyle w:val="NormalWeb"/>
                    <w:spacing w:before="0" w:beforeAutospacing="0" w:after="0" w:afterAutospacing="0"/>
                    <w:rPr>
                      <w:color w:val="000000" w:themeColor="text1"/>
                    </w:rPr>
                  </w:pPr>
                  <w:r>
                    <w:rPr>
                      <w:rFonts w:ascii="Arial" w:eastAsia="+mn-ea" w:hAnsi="Arial" w:cs="Arial"/>
                      <w:color w:val="000000" w:themeColor="text1"/>
                      <w:kern w:val="24"/>
                      <w:sz w:val="18"/>
                      <w:szCs w:val="18"/>
                    </w:rPr>
                    <w:t xml:space="preserve">In </w:t>
                  </w:r>
                  <w:r w:rsidR="00F37EAC">
                    <w:rPr>
                      <w:rFonts w:ascii="Arial" w:eastAsia="+mn-ea" w:hAnsi="Arial" w:cs="Arial"/>
                      <w:color w:val="000000" w:themeColor="text1"/>
                      <w:kern w:val="24"/>
                      <w:sz w:val="18"/>
                      <w:szCs w:val="18"/>
                    </w:rPr>
                    <w:t>2016</w:t>
                  </w:r>
                  <w:r>
                    <w:rPr>
                      <w:rFonts w:ascii="Arial" w:eastAsia="+mn-ea" w:hAnsi="Arial" w:cs="Arial"/>
                      <w:color w:val="000000" w:themeColor="text1"/>
                      <w:kern w:val="24"/>
                      <w:sz w:val="18"/>
                      <w:szCs w:val="18"/>
                    </w:rPr>
                    <w:t xml:space="preserve">, the funds </w:t>
                  </w:r>
                  <w:r w:rsidR="00E7021E">
                    <w:rPr>
                      <w:rFonts w:ascii="Arial" w:eastAsia="+mn-ea" w:hAnsi="Arial" w:cs="Arial"/>
                      <w:color w:val="000000" w:themeColor="text1"/>
                      <w:kern w:val="24"/>
                      <w:sz w:val="18"/>
                      <w:szCs w:val="18"/>
                    </w:rPr>
                    <w:t>i</w:t>
                  </w:r>
                  <w:r>
                    <w:rPr>
                      <w:rFonts w:ascii="Arial" w:eastAsia="+mn-ea" w:hAnsi="Arial" w:cs="Arial"/>
                      <w:color w:val="000000" w:themeColor="text1"/>
                      <w:kern w:val="24"/>
                      <w:sz w:val="18"/>
                      <w:szCs w:val="18"/>
                    </w:rPr>
                    <w:t xml:space="preserve">n this figure represent </w:t>
                  </w:r>
                  <w:r w:rsidR="00CD4641">
                    <w:rPr>
                      <w:rFonts w:ascii="Arial" w:eastAsia="+mn-ea" w:hAnsi="Arial" w:cs="Arial"/>
                      <w:color w:val="000000" w:themeColor="text1"/>
                      <w:kern w:val="24"/>
                      <w:sz w:val="18"/>
                      <w:szCs w:val="18"/>
                    </w:rPr>
                    <w:t xml:space="preserve">up to </w:t>
                  </w:r>
                  <w:r w:rsidR="00194311">
                    <w:rPr>
                      <w:rFonts w:ascii="Arial" w:eastAsia="+mn-ea" w:hAnsi="Arial" w:cs="Arial"/>
                      <w:color w:val="000000" w:themeColor="text1"/>
                      <w:kern w:val="24"/>
                      <w:sz w:val="18"/>
                      <w:szCs w:val="18"/>
                    </w:rPr>
                    <w:t>73</w:t>
                  </w:r>
                  <w:r w:rsidR="006C0AEE">
                    <w:rPr>
                      <w:rFonts w:ascii="Arial" w:eastAsia="+mn-ea" w:hAnsi="Arial" w:cs="Arial"/>
                      <w:color w:val="000000" w:themeColor="text1"/>
                      <w:kern w:val="24"/>
                      <w:sz w:val="18"/>
                      <w:szCs w:val="18"/>
                    </w:rPr>
                    <w:t>%</w:t>
                  </w:r>
                  <w:r>
                    <w:rPr>
                      <w:rFonts w:ascii="Arial" w:eastAsia="+mn-ea" w:hAnsi="Arial" w:cs="Arial"/>
                      <w:color w:val="000000" w:themeColor="text1"/>
                      <w:kern w:val="24"/>
                      <w:sz w:val="18"/>
                      <w:szCs w:val="18"/>
                    </w:rPr>
                    <w:t xml:space="preserve"> of total assets and </w:t>
                  </w:r>
                  <w:r w:rsidR="00194311">
                    <w:rPr>
                      <w:rFonts w:ascii="Arial" w:eastAsia="+mn-ea" w:hAnsi="Arial" w:cs="Arial"/>
                      <w:color w:val="000000" w:themeColor="text1"/>
                      <w:kern w:val="24"/>
                      <w:sz w:val="18"/>
                      <w:szCs w:val="18"/>
                    </w:rPr>
                    <w:t>63</w:t>
                  </w:r>
                  <w:r w:rsidR="006C0AEE">
                    <w:rPr>
                      <w:rFonts w:ascii="Arial" w:eastAsia="+mn-ea" w:hAnsi="Arial" w:cs="Arial"/>
                      <w:color w:val="000000" w:themeColor="text1"/>
                      <w:kern w:val="24"/>
                      <w:sz w:val="18"/>
                      <w:szCs w:val="18"/>
                    </w:rPr>
                    <w:t xml:space="preserve">% </w:t>
                  </w:r>
                  <w:r>
                    <w:rPr>
                      <w:rFonts w:ascii="Arial" w:eastAsia="+mn-ea" w:hAnsi="Arial" w:cs="Arial"/>
                      <w:color w:val="000000" w:themeColor="text1"/>
                      <w:kern w:val="24"/>
                      <w:sz w:val="18"/>
                      <w:szCs w:val="18"/>
                    </w:rPr>
                    <w:t>of member accounts of APRA</w:t>
                  </w:r>
                  <w:r w:rsidR="00617DD2">
                    <w:rPr>
                      <w:rFonts w:ascii="Arial" w:eastAsia="+mn-ea" w:hAnsi="Arial" w:cs="Arial"/>
                      <w:color w:val="000000" w:themeColor="text1"/>
                      <w:kern w:val="24"/>
                      <w:sz w:val="18"/>
                      <w:szCs w:val="18"/>
                    </w:rPr>
                    <w:noBreakHyphen/>
                  </w:r>
                  <w:r>
                    <w:rPr>
                      <w:rFonts w:ascii="Arial" w:eastAsia="+mn-ea" w:hAnsi="Arial" w:cs="Arial"/>
                      <w:color w:val="000000" w:themeColor="text1"/>
                      <w:kern w:val="24"/>
                      <w:sz w:val="18"/>
                      <w:szCs w:val="18"/>
                    </w:rPr>
                    <w:t>regulated funds.</w:t>
                  </w:r>
                </w:p>
              </w:tc>
            </w:tr>
            <w:tr w:rsidR="005944A1" w:rsidRPr="00A95597" w:rsidTr="000B7710">
              <w:tc>
                <w:tcPr>
                  <w:tcW w:w="918" w:type="pct"/>
                  <w:shd w:val="clear" w:color="auto" w:fill="F2F2F2" w:themeFill="background1" w:themeFillShade="F2"/>
                </w:tcPr>
                <w:p w:rsidR="005944A1" w:rsidRPr="004E69F4" w:rsidRDefault="005944A1" w:rsidP="005944A1">
                  <w:pPr>
                    <w:pStyle w:val="Figure"/>
                    <w:spacing w:before="0" w:after="0"/>
                    <w:jc w:val="left"/>
                    <w:rPr>
                      <w:rFonts w:asciiTheme="minorHAnsi" w:hAnsi="Arial" w:cstheme="minorBidi"/>
                      <w:b/>
                      <w:color w:val="000000" w:themeColor="text1"/>
                      <w:kern w:val="24"/>
                      <w:sz w:val="18"/>
                      <w:szCs w:val="18"/>
                    </w:rPr>
                  </w:pPr>
                  <w:r>
                    <w:rPr>
                      <w:rFonts w:asciiTheme="minorHAnsi" w:hAnsi="Arial" w:cstheme="minorBidi"/>
                      <w:b/>
                      <w:color w:val="000000" w:themeColor="text1"/>
                      <w:kern w:val="24"/>
                      <w:sz w:val="18"/>
                      <w:szCs w:val="18"/>
                    </w:rPr>
                    <w:t>Survivor Bias</w:t>
                  </w:r>
                </w:p>
              </w:tc>
              <w:tc>
                <w:tcPr>
                  <w:tcW w:w="1360" w:type="pct"/>
                  <w:shd w:val="clear" w:color="auto" w:fill="F2F2F2" w:themeFill="background1" w:themeFillShade="F2"/>
                </w:tcPr>
                <w:p w:rsidR="005944A1" w:rsidRPr="00A95597" w:rsidRDefault="005944A1" w:rsidP="005944A1">
                  <w:pPr>
                    <w:pStyle w:val="NormalWeb"/>
                    <w:spacing w:before="0" w:beforeAutospacing="0" w:after="0" w:afterAutospacing="0"/>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Yes.</w:t>
                  </w:r>
                </w:p>
              </w:tc>
              <w:tc>
                <w:tcPr>
                  <w:tcW w:w="1361" w:type="pct"/>
                  <w:shd w:val="clear" w:color="auto" w:fill="F2F2F2" w:themeFill="background1" w:themeFillShade="F2"/>
                </w:tcPr>
                <w:p w:rsidR="005944A1" w:rsidRPr="004E69F4" w:rsidRDefault="005944A1" w:rsidP="005944A1">
                  <w:pPr>
                    <w:pStyle w:val="NormalWeb"/>
                    <w:spacing w:before="0" w:beforeAutospacing="0" w:after="0" w:afterAutospacing="0"/>
                    <w:rPr>
                      <w:rFonts w:ascii="Arial" w:eastAsia="+mn-ea" w:hAnsi="Arial" w:cs="Arial"/>
                      <w:b/>
                      <w:color w:val="000000" w:themeColor="text1"/>
                      <w:kern w:val="24"/>
                      <w:sz w:val="18"/>
                      <w:szCs w:val="18"/>
                    </w:rPr>
                  </w:pPr>
                  <w:r>
                    <w:rPr>
                      <w:rFonts w:ascii="Arial" w:eastAsia="+mn-ea" w:hAnsi="Arial" w:cs="Arial"/>
                      <w:b/>
                      <w:color w:val="000000" w:themeColor="text1"/>
                      <w:kern w:val="24"/>
                      <w:sz w:val="18"/>
                      <w:szCs w:val="18"/>
                    </w:rPr>
                    <w:t>Selection Bias</w:t>
                  </w:r>
                </w:p>
              </w:tc>
              <w:tc>
                <w:tcPr>
                  <w:tcW w:w="1361" w:type="pct"/>
                  <w:shd w:val="clear" w:color="auto" w:fill="F2F2F2" w:themeFill="background1" w:themeFillShade="F2"/>
                </w:tcPr>
                <w:p w:rsidR="005944A1" w:rsidRPr="00A95597" w:rsidRDefault="005944A1" w:rsidP="005944A1">
                  <w:pPr>
                    <w:pStyle w:val="NormalWeb"/>
                    <w:spacing w:before="0" w:beforeAutospacing="0" w:after="0" w:afterAutospacing="0"/>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Yes.</w:t>
                  </w:r>
                </w:p>
              </w:tc>
            </w:tr>
          </w:tbl>
          <w:p w:rsidR="005944A1" w:rsidRDefault="005944A1" w:rsidP="006F72EB">
            <w:pPr>
              <w:pStyle w:val="Figure"/>
              <w:spacing w:before="60" w:after="60"/>
              <w:rPr>
                <w:b/>
                <w:noProof/>
                <w:vanish/>
                <w:color w:val="FF00FF"/>
                <w:sz w:val="20"/>
                <w:szCs w:val="24"/>
              </w:rPr>
            </w:pPr>
          </w:p>
        </w:tc>
      </w:tr>
      <w:tr w:rsidR="00D73CD7" w:rsidRPr="00176D3F" w:rsidTr="006F72EB">
        <w:tc>
          <w:tcPr>
            <w:tcW w:w="5000" w:type="pct"/>
            <w:tcBorders>
              <w:top w:val="nil"/>
              <w:left w:val="nil"/>
              <w:bottom w:val="nil"/>
              <w:right w:val="nil"/>
            </w:tcBorders>
            <w:shd w:val="clear" w:color="auto" w:fill="auto"/>
          </w:tcPr>
          <w:p w:rsidR="00D73CD7" w:rsidRPr="00176D3F" w:rsidRDefault="00D73CD7" w:rsidP="001E06D6">
            <w:pPr>
              <w:pStyle w:val="Note"/>
            </w:pPr>
            <w:r>
              <w:rPr>
                <w:rStyle w:val="NoteLabel"/>
              </w:rPr>
              <w:t>a</w:t>
            </w:r>
            <w:r w:rsidR="00B940E6">
              <w:t xml:space="preserve"> </w:t>
            </w:r>
            <w:r w:rsidR="007E769E">
              <w:t xml:space="preserve">The scale on the </w:t>
            </w:r>
            <w:r w:rsidR="001E06D6">
              <w:t>two panels</w:t>
            </w:r>
            <w:r w:rsidR="007E769E">
              <w:t xml:space="preserve"> differ</w:t>
            </w:r>
            <w:r w:rsidR="0079416E">
              <w:t>s</w:t>
            </w:r>
            <w:r w:rsidR="00400A45">
              <w:t>.</w:t>
            </w:r>
          </w:p>
        </w:tc>
      </w:tr>
      <w:tr w:rsidR="00D73CD7" w:rsidTr="006F72EB">
        <w:tc>
          <w:tcPr>
            <w:tcW w:w="5000" w:type="pct"/>
            <w:tcBorders>
              <w:top w:val="nil"/>
              <w:left w:val="nil"/>
              <w:bottom w:val="single" w:sz="6" w:space="0" w:color="78A22F"/>
              <w:right w:val="nil"/>
            </w:tcBorders>
            <w:shd w:val="clear" w:color="auto" w:fill="auto"/>
          </w:tcPr>
          <w:p w:rsidR="00D73CD7" w:rsidRDefault="00D73CD7" w:rsidP="006F72EB">
            <w:pPr>
              <w:pStyle w:val="Figurespace"/>
            </w:pPr>
          </w:p>
        </w:tc>
      </w:tr>
      <w:tr w:rsidR="00D73CD7" w:rsidRPr="000863A5" w:rsidTr="006F72EB">
        <w:tc>
          <w:tcPr>
            <w:tcW w:w="5000" w:type="pct"/>
            <w:tcBorders>
              <w:top w:val="single" w:sz="6" w:space="0" w:color="78A22F"/>
              <w:left w:val="nil"/>
              <w:bottom w:val="nil"/>
              <w:right w:val="nil"/>
            </w:tcBorders>
          </w:tcPr>
          <w:p w:rsidR="00D73CD7" w:rsidRPr="00626D32" w:rsidRDefault="00D73CD7" w:rsidP="006F72EB">
            <w:pPr>
              <w:pStyle w:val="BoxSpaceBelow"/>
            </w:pPr>
          </w:p>
        </w:tc>
      </w:tr>
    </w:tbl>
    <w:p w:rsidR="000071EE" w:rsidRPr="0008396B" w:rsidRDefault="000B2A59" w:rsidP="00034579">
      <w:pPr>
        <w:pStyle w:val="Heading2"/>
        <w:rPr>
          <w:sz w:val="28"/>
        </w:rPr>
      </w:pPr>
      <w:bookmarkStart w:id="87" w:name="_Toc528158052"/>
      <w:bookmarkStart w:id="88" w:name="_Toc528229674"/>
      <w:bookmarkStart w:id="89" w:name="_Toc528298324"/>
      <w:r>
        <w:rPr>
          <w:sz w:val="28"/>
        </w:rPr>
        <w:lastRenderedPageBreak/>
        <w:t>Related parties</w:t>
      </w:r>
      <w:bookmarkEnd w:id="87"/>
      <w:bookmarkEnd w:id="88"/>
      <w:bookmarkEnd w:id="89"/>
    </w:p>
    <w:p w:rsidR="00160F70" w:rsidRPr="00770AB6" w:rsidRDefault="00160F70" w:rsidP="00770AB6">
      <w:pPr>
        <w:pStyle w:val="BodyText"/>
        <w:rPr>
          <w:i/>
        </w:rPr>
      </w:pPr>
      <w:r w:rsidRPr="00770AB6">
        <w:rPr>
          <w:i/>
        </w:rPr>
        <w:t>Do funds using related parties for administration or investment incur higher expenses?</w:t>
      </w:r>
    </w:p>
    <w:p w:rsidR="00170B99" w:rsidRDefault="00FC1944">
      <w:pPr>
        <w:pStyle w:val="BodyText"/>
      </w:pPr>
      <w:r>
        <w:t>On the whole,</w:t>
      </w:r>
      <w:r w:rsidDel="00FC1944">
        <w:t xml:space="preserve"> </w:t>
      </w:r>
      <w:r w:rsidR="000B2A59">
        <w:t>funds that use related</w:t>
      </w:r>
      <w:r w:rsidR="00160F70">
        <w:noBreakHyphen/>
      </w:r>
      <w:r w:rsidR="000B2A59">
        <w:t xml:space="preserve">party service providers have </w:t>
      </w:r>
      <w:r>
        <w:t xml:space="preserve">higher </w:t>
      </w:r>
      <w:r w:rsidR="000B2A59">
        <w:t>expenses than those that either provide services in</w:t>
      </w:r>
      <w:r w:rsidR="00617DD2">
        <w:noBreakHyphen/>
      </w:r>
      <w:r w:rsidR="000B2A59">
        <w:t>house or purchases services from non</w:t>
      </w:r>
      <w:r w:rsidR="00617DD2">
        <w:noBreakHyphen/>
      </w:r>
      <w:r w:rsidR="000B2A59">
        <w:t>associated parties</w:t>
      </w:r>
      <w:r w:rsidR="00160F70">
        <w:t>.</w:t>
      </w:r>
    </w:p>
    <w:p w:rsidR="004F2270" w:rsidRDefault="00160F70" w:rsidP="00AE6027">
      <w:pPr>
        <w:pStyle w:val="BodyText"/>
      </w:pPr>
      <w:r>
        <w:t xml:space="preserve">The Commission sought </w:t>
      </w:r>
      <w:r w:rsidR="006C162F">
        <w:t>information about administration and investment expenses</w:t>
      </w:r>
      <w:r>
        <w:t xml:space="preserve"> in its original funds survey, but was hampered by a low response rate by both industry and retail funds. As such, the draft report was only able to include a </w:t>
      </w:r>
      <w:r w:rsidR="008C6C82">
        <w:t>high</w:t>
      </w:r>
      <w:r w:rsidR="008C6C82">
        <w:noBreakHyphen/>
        <w:t>level</w:t>
      </w:r>
      <w:r>
        <w:t xml:space="preserve"> analysis of APRA data.</w:t>
      </w:r>
      <w:r w:rsidR="00170B99">
        <w:t xml:space="preserve"> </w:t>
      </w:r>
      <w:r>
        <w:t>The relevant data was again sought through the supplementary funds survey, and is analysed in this section.</w:t>
      </w:r>
    </w:p>
    <w:p w:rsidR="002C62FA" w:rsidRDefault="00C03530" w:rsidP="00AE6027">
      <w:pPr>
        <w:pStyle w:val="BodyText"/>
      </w:pPr>
      <w:r>
        <w:t>The Commission’s s</w:t>
      </w:r>
      <w:r w:rsidR="002C62FA">
        <w:t xml:space="preserve">urveys were used due to major gaps and quality problems with data collected by </w:t>
      </w:r>
      <w:r w:rsidR="002B5C50">
        <w:t>APRA</w:t>
      </w:r>
      <w:r w:rsidR="002C62FA">
        <w:t>, which constrained even the use of a simple methodology to compare the costs of using related parties. There would be clear benefit in</w:t>
      </w:r>
      <w:r w:rsidR="002B5C50">
        <w:t xml:space="preserve"> the regulator</w:t>
      </w:r>
      <w:r w:rsidR="002C62FA">
        <w:t xml:space="preserve"> more </w:t>
      </w:r>
      <w:r>
        <w:t>robustly</w:t>
      </w:r>
      <w:r w:rsidR="00617DD2">
        <w:t xml:space="preserve"> </w:t>
      </w:r>
      <w:r w:rsidR="002C62FA">
        <w:t>collecting these data in a consistent manner across funds</w:t>
      </w:r>
      <w:r w:rsidR="004F2270">
        <w:t xml:space="preserve"> — which would allow for </w:t>
      </w:r>
      <w:r w:rsidR="00BC1461">
        <w:t>simple analysis (as under</w:t>
      </w:r>
      <w:r>
        <w:t xml:space="preserve">taken here) </w:t>
      </w:r>
      <w:r w:rsidR="004A3EFF">
        <w:t xml:space="preserve">and </w:t>
      </w:r>
      <w:r w:rsidR="004F2270">
        <w:t>more sophisticated methodologies to be applied</w:t>
      </w:r>
      <w:r>
        <w:t xml:space="preserve"> in the future</w:t>
      </w:r>
      <w:r w:rsidR="004F2270">
        <w:t>.</w:t>
      </w:r>
      <w:r w:rsidR="00BC1461">
        <w:t xml:space="preserve"> </w:t>
      </w:r>
      <w:r>
        <w:t>Such collection, use and analysis of data is needed for regulator supervision</w:t>
      </w:r>
      <w:r w:rsidR="004F2270">
        <w:t>.</w:t>
      </w:r>
    </w:p>
    <w:p w:rsidR="0010093B" w:rsidRDefault="0010093B" w:rsidP="00AE6027">
      <w:pPr>
        <w:pStyle w:val="BodyText"/>
      </w:pPr>
      <w:r w:rsidRPr="0010093B">
        <w:t>The</w:t>
      </w:r>
      <w:r w:rsidR="002C62FA">
        <w:t xml:space="preserve"> supplementary funds</w:t>
      </w:r>
      <w:r w:rsidRPr="0010093B">
        <w:t xml:space="preserve"> survey asked funds to provide information for five expense categories, for the years </w:t>
      </w:r>
      <w:r w:rsidR="00FC1944" w:rsidRPr="0010093B">
        <w:t>2011</w:t>
      </w:r>
      <w:r w:rsidR="00617DD2">
        <w:noBreakHyphen/>
      </w:r>
      <w:r w:rsidR="00FC1944" w:rsidRPr="0010093B">
        <w:t>12</w:t>
      </w:r>
      <w:r w:rsidRPr="0010093B">
        <w:t xml:space="preserve"> and 2016</w:t>
      </w:r>
      <w:r w:rsidR="00617DD2">
        <w:noBreakHyphen/>
      </w:r>
      <w:r w:rsidRPr="0010093B">
        <w:t>17</w:t>
      </w:r>
      <w:r w:rsidR="00BC1461">
        <w:t xml:space="preserve"> </w:t>
      </w:r>
      <w:r>
        <w:t>(table </w:t>
      </w:r>
      <w:r w:rsidR="00E17D56">
        <w:t>13</w:t>
      </w:r>
      <w:r>
        <w:t>)</w:t>
      </w:r>
      <w:r w:rsidRPr="0010093B">
        <w:t xml:space="preserve">. </w:t>
      </w:r>
      <w:r>
        <w:t>F</w:t>
      </w:r>
      <w:r w:rsidRPr="0010093B">
        <w:t xml:space="preserve">unds </w:t>
      </w:r>
      <w:r>
        <w:t xml:space="preserve">were asked to </w:t>
      </w:r>
      <w:r w:rsidRPr="0010093B">
        <w:t xml:space="preserve">split the amount spent in each category by type of service provider: </w:t>
      </w:r>
      <w:r w:rsidR="00160F70">
        <w:t>associated providers</w:t>
      </w:r>
      <w:r w:rsidR="00CE081F">
        <w:rPr>
          <w:rStyle w:val="FootnoteReference"/>
        </w:rPr>
        <w:footnoteReference w:id="11"/>
      </w:r>
      <w:r w:rsidR="00160F70">
        <w:t xml:space="preserve"> (</w:t>
      </w:r>
      <w:r w:rsidR="0066730A">
        <w:t>related parties</w:t>
      </w:r>
      <w:r w:rsidR="00160F70">
        <w:t>)</w:t>
      </w:r>
      <w:r w:rsidR="0066730A">
        <w:t xml:space="preserve">, </w:t>
      </w:r>
      <w:r w:rsidRPr="0010093B">
        <w:t>non</w:t>
      </w:r>
      <w:r w:rsidR="00617DD2">
        <w:noBreakHyphen/>
      </w:r>
      <w:r w:rsidRPr="0010093B">
        <w:t>associate</w:t>
      </w:r>
      <w:r w:rsidR="0066730A">
        <w:t>d</w:t>
      </w:r>
      <w:r w:rsidRPr="0010093B">
        <w:t xml:space="preserve"> providers, or whether the service was provided in</w:t>
      </w:r>
      <w:r w:rsidR="00617DD2">
        <w:noBreakHyphen/>
      </w:r>
      <w:r w:rsidRPr="0010093B">
        <w:t>house.</w:t>
      </w:r>
    </w:p>
    <w:p w:rsidR="0010093B" w:rsidRDefault="0010093B" w:rsidP="0010093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0093B" w:rsidTr="0010093B">
        <w:trPr>
          <w:tblHeader/>
        </w:trPr>
        <w:tc>
          <w:tcPr>
            <w:tcW w:w="5000" w:type="pct"/>
            <w:tcBorders>
              <w:top w:val="single" w:sz="6" w:space="0" w:color="78A22F"/>
              <w:left w:val="nil"/>
              <w:bottom w:val="nil"/>
              <w:right w:val="nil"/>
            </w:tcBorders>
            <w:shd w:val="clear" w:color="auto" w:fill="auto"/>
          </w:tcPr>
          <w:p w:rsidR="0010093B" w:rsidRPr="00784A05" w:rsidRDefault="0010093B" w:rsidP="0010093B">
            <w:pPr>
              <w:pStyle w:val="TableTitle"/>
            </w:pPr>
            <w:r>
              <w:rPr>
                <w:b w:val="0"/>
              </w:rPr>
              <w:t xml:space="preserve">Table </w:t>
            </w:r>
            <w:bookmarkStart w:id="90" w:name="OLE_LINK2"/>
            <w:bookmarkStart w:id="91" w:name="OLE_LINK36"/>
            <w:r w:rsidR="001345FE">
              <w:rPr>
                <w:b w:val="0"/>
                <w:noProof/>
              </w:rPr>
              <w:t>13</w:t>
            </w:r>
            <w:bookmarkEnd w:id="90"/>
            <w:bookmarkEnd w:id="91"/>
            <w:r>
              <w:tab/>
              <w:t>Funds survey expense categories</w:t>
            </w:r>
            <w:r w:rsidR="00A15D66" w:rsidRPr="00A15D66">
              <w:rPr>
                <w:rStyle w:val="NoteLabel"/>
                <w:b/>
              </w:rPr>
              <w:t>a</w:t>
            </w:r>
          </w:p>
        </w:tc>
      </w:tr>
      <w:tr w:rsidR="0010093B" w:rsidTr="0010093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977"/>
              <w:gridCol w:w="5528"/>
            </w:tblGrid>
            <w:tr w:rsidR="0010093B" w:rsidTr="0010093B">
              <w:trPr>
                <w:tblHeader/>
              </w:trPr>
              <w:tc>
                <w:tcPr>
                  <w:tcW w:w="1750" w:type="pct"/>
                  <w:tcBorders>
                    <w:top w:val="single" w:sz="6" w:space="0" w:color="BFBFBF"/>
                    <w:bottom w:val="single" w:sz="6" w:space="0" w:color="BFBFBF"/>
                  </w:tcBorders>
                  <w:shd w:val="clear" w:color="auto" w:fill="auto"/>
                  <w:tcMar>
                    <w:top w:w="28" w:type="dxa"/>
                  </w:tcMar>
                </w:tcPr>
                <w:p w:rsidR="0010093B" w:rsidRDefault="0010093B" w:rsidP="0010093B">
                  <w:pPr>
                    <w:pStyle w:val="TableColumnHeading"/>
                    <w:jc w:val="left"/>
                  </w:pPr>
                  <w:r>
                    <w:t>Category</w:t>
                  </w:r>
                </w:p>
              </w:tc>
              <w:tc>
                <w:tcPr>
                  <w:tcW w:w="3250" w:type="pct"/>
                  <w:tcBorders>
                    <w:top w:val="single" w:sz="6" w:space="0" w:color="BFBFBF"/>
                    <w:bottom w:val="single" w:sz="6" w:space="0" w:color="BFBFBF"/>
                  </w:tcBorders>
                  <w:shd w:val="clear" w:color="auto" w:fill="auto"/>
                  <w:tcMar>
                    <w:top w:w="28" w:type="dxa"/>
                  </w:tcMar>
                </w:tcPr>
                <w:p w:rsidR="0010093B" w:rsidRDefault="0010093B" w:rsidP="0010093B">
                  <w:pPr>
                    <w:pStyle w:val="TableColumnHeading"/>
                    <w:jc w:val="left"/>
                  </w:pPr>
                  <w:r>
                    <w:t>Description</w:t>
                  </w:r>
                </w:p>
              </w:tc>
            </w:tr>
            <w:tr w:rsidR="0010093B" w:rsidTr="0010093B">
              <w:tc>
                <w:tcPr>
                  <w:tcW w:w="1750" w:type="pct"/>
                  <w:tcBorders>
                    <w:top w:val="single" w:sz="6" w:space="0" w:color="BFBFBF"/>
                  </w:tcBorders>
                  <w:shd w:val="clear" w:color="auto" w:fill="F2F2F2" w:themeFill="background1" w:themeFillShade="F2"/>
                </w:tcPr>
                <w:p w:rsidR="0010093B" w:rsidRDefault="0010093B" w:rsidP="00ED1130">
                  <w:pPr>
                    <w:pStyle w:val="TableBodyText"/>
                    <w:spacing w:before="40"/>
                    <w:jc w:val="left"/>
                  </w:pPr>
                  <w:r w:rsidRPr="0010093B">
                    <w:t>Administration expenses</w:t>
                  </w:r>
                </w:p>
              </w:tc>
              <w:tc>
                <w:tcPr>
                  <w:tcW w:w="3250" w:type="pct"/>
                  <w:tcBorders>
                    <w:top w:val="single" w:sz="6" w:space="0" w:color="BFBFBF"/>
                  </w:tcBorders>
                  <w:shd w:val="clear" w:color="auto" w:fill="F2F2F2" w:themeFill="background1" w:themeFillShade="F2"/>
                </w:tcPr>
                <w:p w:rsidR="0010093B" w:rsidRDefault="0010093B" w:rsidP="00ED1130">
                  <w:pPr>
                    <w:pStyle w:val="TableBodyText"/>
                    <w:spacing w:before="40"/>
                    <w:jc w:val="left"/>
                  </w:pPr>
                  <w:r w:rsidRPr="0010093B">
                    <w:t xml:space="preserve">Administrator, IT service provider, </w:t>
                  </w:r>
                  <w:r w:rsidR="009F4D76">
                    <w:t>p</w:t>
                  </w:r>
                  <w:r w:rsidRPr="0010093B">
                    <w:t>latform provider</w:t>
                  </w:r>
                </w:p>
              </w:tc>
            </w:tr>
            <w:tr w:rsidR="0010093B" w:rsidTr="0010093B">
              <w:tc>
                <w:tcPr>
                  <w:tcW w:w="1750" w:type="pct"/>
                </w:tcPr>
                <w:p w:rsidR="0010093B" w:rsidRDefault="0010093B" w:rsidP="0010093B">
                  <w:pPr>
                    <w:pStyle w:val="TableBodyText"/>
                    <w:jc w:val="left"/>
                  </w:pPr>
                  <w:r w:rsidRPr="0010093B">
                    <w:t>Other administration services expenses</w:t>
                  </w:r>
                </w:p>
              </w:tc>
              <w:tc>
                <w:tcPr>
                  <w:tcW w:w="3250" w:type="pct"/>
                </w:tcPr>
                <w:p w:rsidR="0010093B" w:rsidRDefault="0010093B" w:rsidP="0010093B">
                  <w:pPr>
                    <w:pStyle w:val="TableBodyText"/>
                    <w:jc w:val="left"/>
                  </w:pPr>
                  <w:r w:rsidRPr="0010093B">
                    <w:t>Accountant, financial advice (employer and member), professional indemnity insurer, internal auditor, lawyer, promoter, RSE actuary, RSE auditor</w:t>
                  </w:r>
                </w:p>
              </w:tc>
            </w:tr>
            <w:tr w:rsidR="0010093B" w:rsidTr="0010093B">
              <w:tc>
                <w:tcPr>
                  <w:tcW w:w="1750" w:type="pct"/>
                  <w:shd w:val="clear" w:color="auto" w:fill="F2F2F2" w:themeFill="background1" w:themeFillShade="F2"/>
                </w:tcPr>
                <w:p w:rsidR="0010093B" w:rsidRDefault="0010093B" w:rsidP="0010093B">
                  <w:pPr>
                    <w:pStyle w:val="TableBodyText"/>
                    <w:jc w:val="left"/>
                  </w:pPr>
                  <w:r w:rsidRPr="0010093B">
                    <w:t>Investment management expenses</w:t>
                  </w:r>
                </w:p>
              </w:tc>
              <w:tc>
                <w:tcPr>
                  <w:tcW w:w="3250" w:type="pct"/>
                  <w:shd w:val="clear" w:color="auto" w:fill="F2F2F2" w:themeFill="background1" w:themeFillShade="F2"/>
                </w:tcPr>
                <w:p w:rsidR="0010093B" w:rsidRDefault="0010093B" w:rsidP="0010093B">
                  <w:pPr>
                    <w:pStyle w:val="TableBodyText"/>
                    <w:jc w:val="left"/>
                  </w:pPr>
                  <w:r w:rsidRPr="0010093B">
                    <w:t>Investment manager</w:t>
                  </w:r>
                </w:p>
              </w:tc>
            </w:tr>
            <w:tr w:rsidR="0010093B" w:rsidTr="0010093B">
              <w:tc>
                <w:tcPr>
                  <w:tcW w:w="1750" w:type="pct"/>
                </w:tcPr>
                <w:p w:rsidR="0010093B" w:rsidRDefault="0010093B" w:rsidP="0010093B">
                  <w:pPr>
                    <w:pStyle w:val="TableBodyText"/>
                    <w:jc w:val="left"/>
                  </w:pPr>
                  <w:r w:rsidRPr="0010093B">
                    <w:t>Custody expenses</w:t>
                  </w:r>
                </w:p>
              </w:tc>
              <w:tc>
                <w:tcPr>
                  <w:tcW w:w="3250" w:type="pct"/>
                </w:tcPr>
                <w:p w:rsidR="0010093B" w:rsidRDefault="0010093B" w:rsidP="0010093B">
                  <w:pPr>
                    <w:pStyle w:val="TableBodyText"/>
                    <w:jc w:val="left"/>
                  </w:pPr>
                  <w:r w:rsidRPr="0010093B">
                    <w:t>Custodian</w:t>
                  </w:r>
                </w:p>
              </w:tc>
            </w:tr>
            <w:tr w:rsidR="0010093B" w:rsidTr="0010093B">
              <w:tc>
                <w:tcPr>
                  <w:tcW w:w="1750" w:type="pct"/>
                  <w:tcBorders>
                    <w:bottom w:val="single" w:sz="6" w:space="0" w:color="BFBFBF"/>
                  </w:tcBorders>
                  <w:shd w:val="clear" w:color="auto" w:fill="F2F2F2" w:themeFill="background1" w:themeFillShade="F2"/>
                </w:tcPr>
                <w:p w:rsidR="0010093B" w:rsidRDefault="0010093B" w:rsidP="0010093B">
                  <w:pPr>
                    <w:pStyle w:val="TableBodyText"/>
                    <w:jc w:val="left"/>
                  </w:pPr>
                  <w:r w:rsidRPr="0010093B">
                    <w:t>Other investment services expenses</w:t>
                  </w:r>
                </w:p>
              </w:tc>
              <w:tc>
                <w:tcPr>
                  <w:tcW w:w="3250" w:type="pct"/>
                  <w:tcBorders>
                    <w:bottom w:val="single" w:sz="6" w:space="0" w:color="BFBFBF"/>
                  </w:tcBorders>
                  <w:shd w:val="clear" w:color="auto" w:fill="F2F2F2" w:themeFill="background1" w:themeFillShade="F2"/>
                </w:tcPr>
                <w:p w:rsidR="0010093B" w:rsidRDefault="0010093B" w:rsidP="0010093B">
                  <w:pPr>
                    <w:pStyle w:val="TableBodyText"/>
                    <w:jc w:val="left"/>
                  </w:pPr>
                  <w:r w:rsidRPr="0010093B">
                    <w:t xml:space="preserve">Asset consultant, </w:t>
                  </w:r>
                  <w:r w:rsidR="009F4D76">
                    <w:t>i</w:t>
                  </w:r>
                  <w:r w:rsidRPr="0010093B">
                    <w:t>mplemented consultant</w:t>
                  </w:r>
                </w:p>
              </w:tc>
            </w:tr>
          </w:tbl>
          <w:p w:rsidR="0010093B" w:rsidRDefault="0010093B" w:rsidP="0010093B">
            <w:pPr>
              <w:pStyle w:val="Box"/>
            </w:pPr>
          </w:p>
        </w:tc>
      </w:tr>
      <w:tr w:rsidR="00A15D66" w:rsidTr="00A15D66">
        <w:tc>
          <w:tcPr>
            <w:tcW w:w="5000" w:type="pct"/>
            <w:tcBorders>
              <w:top w:val="nil"/>
              <w:left w:val="nil"/>
              <w:bottom w:val="nil"/>
              <w:right w:val="nil"/>
            </w:tcBorders>
            <w:shd w:val="clear" w:color="auto" w:fill="auto"/>
          </w:tcPr>
          <w:p w:rsidR="00A15D66" w:rsidRDefault="00A15D66" w:rsidP="00A15D66">
            <w:pPr>
              <w:pStyle w:val="Note"/>
              <w:rPr>
                <w:i/>
              </w:rPr>
            </w:pPr>
            <w:r w:rsidRPr="008E77FE">
              <w:rPr>
                <w:rStyle w:val="NoteLabel"/>
              </w:rPr>
              <w:t>a</w:t>
            </w:r>
            <w:r>
              <w:t xml:space="preserve"> </w:t>
            </w:r>
            <w:r w:rsidRPr="0010093B">
              <w:t xml:space="preserve">Expense categories were defined with reference to </w:t>
            </w:r>
            <w:r w:rsidR="00160F70">
              <w:t xml:space="preserve">APRA’s </w:t>
            </w:r>
            <w:r w:rsidRPr="0010093B">
              <w:t>SRS 331.0</w:t>
            </w:r>
            <w:r>
              <w:t>.</w:t>
            </w:r>
          </w:p>
        </w:tc>
      </w:tr>
      <w:tr w:rsidR="00A15D66" w:rsidTr="00A15D66">
        <w:tc>
          <w:tcPr>
            <w:tcW w:w="5000" w:type="pct"/>
            <w:tcBorders>
              <w:top w:val="nil"/>
              <w:left w:val="nil"/>
              <w:bottom w:val="single" w:sz="6" w:space="0" w:color="78A22F"/>
              <w:right w:val="nil"/>
            </w:tcBorders>
            <w:shd w:val="clear" w:color="auto" w:fill="auto"/>
          </w:tcPr>
          <w:p w:rsidR="00A15D66" w:rsidRDefault="00A15D66" w:rsidP="00A15D66">
            <w:pPr>
              <w:pStyle w:val="Box"/>
              <w:spacing w:before="0" w:line="120" w:lineRule="exact"/>
            </w:pPr>
          </w:p>
        </w:tc>
      </w:tr>
      <w:tr w:rsidR="00A15D66" w:rsidRPr="00626D32" w:rsidTr="000862FF">
        <w:trPr>
          <w:trHeight w:val="45"/>
        </w:trPr>
        <w:tc>
          <w:tcPr>
            <w:tcW w:w="5000" w:type="pct"/>
            <w:tcBorders>
              <w:top w:val="single" w:sz="6" w:space="0" w:color="78A22F"/>
              <w:left w:val="nil"/>
              <w:bottom w:val="nil"/>
              <w:right w:val="nil"/>
            </w:tcBorders>
          </w:tcPr>
          <w:p w:rsidR="00A15D66" w:rsidRPr="00626D32" w:rsidRDefault="00A15D66" w:rsidP="00A15D66">
            <w:pPr>
              <w:pStyle w:val="BoxSpaceBelow"/>
            </w:pPr>
          </w:p>
        </w:tc>
      </w:tr>
    </w:tbl>
    <w:p w:rsidR="00873045" w:rsidRDefault="00905DA7" w:rsidP="00AE6027">
      <w:pPr>
        <w:pStyle w:val="BodyText"/>
      </w:pPr>
      <w:r w:rsidRPr="00D134B0">
        <w:t xml:space="preserve">Of the </w:t>
      </w:r>
      <w:r w:rsidRPr="00905DA7">
        <w:t>1</w:t>
      </w:r>
      <w:r w:rsidR="00C1630B">
        <w:t>36</w:t>
      </w:r>
      <w:r w:rsidR="0010093B" w:rsidRPr="00AE6027">
        <w:t xml:space="preserve"> funds that </w:t>
      </w:r>
      <w:r>
        <w:t>provided a response</w:t>
      </w:r>
      <w:r w:rsidRPr="00D134B0">
        <w:t xml:space="preserve"> to the </w:t>
      </w:r>
      <w:r>
        <w:t>Commission’s fund</w:t>
      </w:r>
      <w:r w:rsidRPr="00D134B0">
        <w:t xml:space="preserve"> survey, </w:t>
      </w:r>
      <w:r w:rsidR="00C1630B">
        <w:t>1</w:t>
      </w:r>
      <w:r w:rsidR="00791808">
        <w:t>3</w:t>
      </w:r>
      <w:r w:rsidR="0010093B" w:rsidRPr="00AE6027">
        <w:t xml:space="preserve"> funds provided no 2016</w:t>
      </w:r>
      <w:r w:rsidR="00617DD2">
        <w:noBreakHyphen/>
      </w:r>
      <w:r w:rsidR="0010093B" w:rsidRPr="00AE6027">
        <w:t>17 expense data at all</w:t>
      </w:r>
      <w:r>
        <w:t xml:space="preserve">, leaving </w:t>
      </w:r>
      <w:r w:rsidR="0010093B" w:rsidRPr="00AE6027">
        <w:t>12</w:t>
      </w:r>
      <w:r w:rsidR="00791808">
        <w:t>3</w:t>
      </w:r>
      <w:r w:rsidR="0010093B" w:rsidRPr="00AE6027">
        <w:t xml:space="preserve"> funds</w:t>
      </w:r>
      <w:r>
        <w:t xml:space="preserve"> </w:t>
      </w:r>
      <w:r w:rsidR="00DE6964">
        <w:t xml:space="preserve">that </w:t>
      </w:r>
      <w:r>
        <w:t xml:space="preserve">provided </w:t>
      </w:r>
      <w:r w:rsidRPr="00D134B0">
        <w:t>some</w:t>
      </w:r>
      <w:r>
        <w:t xml:space="preserve"> data on </w:t>
      </w:r>
      <w:r w:rsidRPr="00D134B0">
        <w:t>e</w:t>
      </w:r>
      <w:r w:rsidRPr="005B3AE5">
        <w:t>xpenses</w:t>
      </w:r>
      <w:r>
        <w:t xml:space="preserve">. </w:t>
      </w:r>
      <w:r w:rsidR="00825F6E">
        <w:t xml:space="preserve">Overall, these </w:t>
      </w:r>
      <w:r>
        <w:t xml:space="preserve">funds </w:t>
      </w:r>
      <w:r w:rsidRPr="00905DA7">
        <w:t>account</w:t>
      </w:r>
      <w:r w:rsidR="00770AB6">
        <w:t>ed</w:t>
      </w:r>
      <w:r w:rsidR="0010093B" w:rsidRPr="00AE6027">
        <w:t xml:space="preserve"> for 8</w:t>
      </w:r>
      <w:r w:rsidR="00791808">
        <w:t>2</w:t>
      </w:r>
      <w:r w:rsidR="00C1630B">
        <w:t> per cent of assets and 7</w:t>
      </w:r>
      <w:r w:rsidR="00791808">
        <w:t>7</w:t>
      </w:r>
      <w:r w:rsidR="00C1630B">
        <w:t> per </w:t>
      </w:r>
      <w:r w:rsidR="0010093B" w:rsidRPr="00AE6027">
        <w:t xml:space="preserve">cent of member accounts </w:t>
      </w:r>
      <w:r w:rsidR="00770AB6">
        <w:t>(in 2016</w:t>
      </w:r>
      <w:r w:rsidR="00617DD2">
        <w:noBreakHyphen/>
      </w:r>
      <w:r w:rsidR="00770AB6">
        <w:t xml:space="preserve">17) </w:t>
      </w:r>
      <w:r w:rsidR="0010093B" w:rsidRPr="00AE6027">
        <w:t xml:space="preserve">in the </w:t>
      </w:r>
      <w:r w:rsidR="0054405B">
        <w:t>186 funds invited to participate in the survey.</w:t>
      </w:r>
      <w:r w:rsidR="001C3CC3">
        <w:t xml:space="preserve"> Fewer funds </w:t>
      </w:r>
      <w:r w:rsidR="001C3CC3">
        <w:lastRenderedPageBreak/>
        <w:t>provided 2011</w:t>
      </w:r>
      <w:r w:rsidR="00617DD2">
        <w:noBreakHyphen/>
      </w:r>
      <w:r w:rsidR="001C3CC3">
        <w:t xml:space="preserve">12 expenses data, with </w:t>
      </w:r>
      <w:r w:rsidR="006E2182">
        <w:t xml:space="preserve">only </w:t>
      </w:r>
      <w:r w:rsidR="001C3CC3">
        <w:t xml:space="preserve">111 </w:t>
      </w:r>
      <w:r w:rsidR="006C162F">
        <w:t xml:space="preserve">of the </w:t>
      </w:r>
      <w:r w:rsidR="00F263F2">
        <w:t xml:space="preserve">186 </w:t>
      </w:r>
      <w:r w:rsidR="006C162F">
        <w:t xml:space="preserve">invited </w:t>
      </w:r>
      <w:r w:rsidR="001C3CC3">
        <w:t>funds</w:t>
      </w:r>
      <w:r w:rsidR="006E2182">
        <w:t xml:space="preserve"> </w:t>
      </w:r>
      <w:r w:rsidR="001C3CC3">
        <w:t>providing some expenses data for that year.</w:t>
      </w:r>
    </w:p>
    <w:p w:rsidR="0010093B" w:rsidRDefault="00873045" w:rsidP="00AE6027">
      <w:pPr>
        <w:pStyle w:val="BodyText"/>
      </w:pPr>
      <w:r>
        <w:t>Survey responses were comparatively poor for retail funds</w:t>
      </w:r>
      <w:r w:rsidR="00825F6E">
        <w:t xml:space="preserve">, particularly with respect to investment expenses </w:t>
      </w:r>
      <w:r w:rsidR="00825F6E" w:rsidRPr="00825F6E">
        <w:t>(table</w:t>
      </w:r>
      <w:r w:rsidR="004A0B2C">
        <w:t> </w:t>
      </w:r>
      <w:r w:rsidR="00E17D56">
        <w:t>14</w:t>
      </w:r>
      <w:r w:rsidR="00825F6E" w:rsidRPr="00A7672B">
        <w:t>)</w:t>
      </w:r>
      <w:r w:rsidR="00825F6E">
        <w:t xml:space="preserve">. </w:t>
      </w:r>
      <w:r>
        <w:t xml:space="preserve">Investment expenses data </w:t>
      </w:r>
      <w:r w:rsidR="00D31546">
        <w:t>cover</w:t>
      </w:r>
      <w:r w:rsidR="0034534C">
        <w:t xml:space="preserve"> only</w:t>
      </w:r>
      <w:r>
        <w:t xml:space="preserve"> around 37 per cent of</w:t>
      </w:r>
      <w:r w:rsidR="00F81A91">
        <w:t xml:space="preserve"> </w:t>
      </w:r>
      <w:r>
        <w:t xml:space="preserve">assets and 35 per cent of </w:t>
      </w:r>
      <w:r w:rsidR="004A0B2C">
        <w:t>member</w:t>
      </w:r>
      <w:r>
        <w:t xml:space="preserve"> accounts </w:t>
      </w:r>
      <w:r w:rsidR="004A0B2C">
        <w:t xml:space="preserve">in </w:t>
      </w:r>
      <w:r w:rsidR="00F81A91">
        <w:t>retail fund</w:t>
      </w:r>
      <w:r w:rsidR="004A0B2C">
        <w:t xml:space="preserve">s, </w:t>
      </w:r>
      <w:r>
        <w:t>in stark contrast to the 93 per cent of assets and 85</w:t>
      </w:r>
      <w:r w:rsidR="00D31546">
        <w:t> per cent</w:t>
      </w:r>
      <w:r>
        <w:t xml:space="preserve"> of </w:t>
      </w:r>
      <w:r w:rsidR="00FF0E72">
        <w:t>member accounts</w:t>
      </w:r>
      <w:r w:rsidR="004A0B2C">
        <w:t xml:space="preserve"> in not</w:t>
      </w:r>
      <w:r w:rsidR="004A0B2C">
        <w:noBreakHyphen/>
        <w:t>for</w:t>
      </w:r>
      <w:r w:rsidR="004A0B2C">
        <w:noBreakHyphen/>
        <w:t>profit funds</w:t>
      </w:r>
      <w:r>
        <w:t>.</w:t>
      </w:r>
      <w:r w:rsidR="004A0B2C">
        <w:t xml:space="preserve"> As such, some of the results may be subject to</w:t>
      </w:r>
      <w:r w:rsidR="0075282B">
        <w:t xml:space="preserve"> (positive selection)</w:t>
      </w:r>
      <w:r w:rsidR="004A0B2C">
        <w:t xml:space="preserve"> reporting bias, to the extent that funds with lower related</w:t>
      </w:r>
      <w:r w:rsidR="004A0B2C">
        <w:noBreakHyphen/>
        <w:t xml:space="preserve">party expenses were more likely to provide data in response </w:t>
      </w:r>
      <w:r w:rsidR="00FF0E72">
        <w:t>to</w:t>
      </w:r>
      <w:r w:rsidR="004A0B2C">
        <w:t xml:space="preserve"> the survey.</w:t>
      </w:r>
    </w:p>
    <w:p w:rsidR="00AE1386" w:rsidRDefault="00AE1386" w:rsidP="00AE138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E1386" w:rsidTr="00AE1386">
        <w:trPr>
          <w:tblHeader/>
        </w:trPr>
        <w:tc>
          <w:tcPr>
            <w:tcW w:w="5000" w:type="pct"/>
            <w:tcBorders>
              <w:top w:val="single" w:sz="6" w:space="0" w:color="78A22F"/>
              <w:left w:val="nil"/>
              <w:bottom w:val="nil"/>
              <w:right w:val="nil"/>
            </w:tcBorders>
            <w:shd w:val="clear" w:color="auto" w:fill="auto"/>
          </w:tcPr>
          <w:p w:rsidR="00AE1386" w:rsidRPr="00784A05" w:rsidRDefault="00AE1386" w:rsidP="00512927">
            <w:pPr>
              <w:pStyle w:val="TableTitle"/>
              <w:tabs>
                <w:tab w:val="left" w:pos="720"/>
                <w:tab w:val="left" w:pos="1440"/>
                <w:tab w:val="left" w:pos="2160"/>
                <w:tab w:val="left" w:pos="2880"/>
                <w:tab w:val="left" w:pos="3600"/>
                <w:tab w:val="left" w:pos="4320"/>
                <w:tab w:val="left" w:pos="5040"/>
                <w:tab w:val="left" w:pos="5998"/>
              </w:tabs>
            </w:pPr>
            <w:r>
              <w:rPr>
                <w:b w:val="0"/>
              </w:rPr>
              <w:t xml:space="preserve">Table </w:t>
            </w:r>
            <w:bookmarkStart w:id="92" w:name="OLE_LINK8"/>
            <w:r w:rsidR="001345FE">
              <w:rPr>
                <w:b w:val="0"/>
                <w:noProof/>
              </w:rPr>
              <w:t>14</w:t>
            </w:r>
            <w:bookmarkEnd w:id="92"/>
            <w:r>
              <w:tab/>
            </w:r>
            <w:r w:rsidR="004A0B2C">
              <w:t>S</w:t>
            </w:r>
            <w:r>
              <w:t>urvey coverage</w:t>
            </w:r>
            <w:r w:rsidR="004A0B2C">
              <w:t>: expenses data</w:t>
            </w:r>
          </w:p>
        </w:tc>
      </w:tr>
      <w:tr w:rsidR="00AE1386" w:rsidTr="00AE1386">
        <w:tc>
          <w:tcPr>
            <w:tcW w:w="5000" w:type="pct"/>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1842"/>
              <w:gridCol w:w="1584"/>
              <w:gridCol w:w="828"/>
              <w:gridCol w:w="1864"/>
              <w:gridCol w:w="851"/>
              <w:gridCol w:w="1536"/>
            </w:tblGrid>
            <w:tr w:rsidR="00AE1386" w:rsidTr="00ED1130">
              <w:tc>
                <w:tcPr>
                  <w:tcW w:w="1083" w:type="pct"/>
                  <w:tcBorders>
                    <w:top w:val="single" w:sz="6" w:space="0" w:color="BFBFBF"/>
                    <w:bottom w:val="single" w:sz="6" w:space="0" w:color="BFBFBF"/>
                  </w:tcBorders>
                  <w:shd w:val="clear" w:color="auto" w:fill="auto"/>
                </w:tcPr>
                <w:p w:rsidR="00AE1386" w:rsidRDefault="00AE1386" w:rsidP="00AE1386">
                  <w:pPr>
                    <w:pStyle w:val="TableColumnHeading"/>
                    <w:jc w:val="left"/>
                  </w:pPr>
                </w:p>
              </w:tc>
              <w:tc>
                <w:tcPr>
                  <w:tcW w:w="1418" w:type="pct"/>
                  <w:gridSpan w:val="2"/>
                  <w:tcBorders>
                    <w:top w:val="single" w:sz="6" w:space="0" w:color="BFBFBF"/>
                    <w:bottom w:val="single" w:sz="6" w:space="0" w:color="BFBFBF"/>
                  </w:tcBorders>
                  <w:shd w:val="clear" w:color="auto" w:fill="auto"/>
                </w:tcPr>
                <w:p w:rsidR="00AE1386" w:rsidRDefault="00AE1386" w:rsidP="00D31546">
                  <w:pPr>
                    <w:pStyle w:val="TableColumnHeading"/>
                  </w:pPr>
                  <w:r>
                    <w:t>Total assets</w:t>
                  </w:r>
                  <w:r w:rsidR="004A0B2C">
                    <w:t xml:space="preserve"> (2016</w:t>
                  </w:r>
                  <w:r w:rsidR="00617DD2">
                    <w:noBreakHyphen/>
                  </w:r>
                  <w:r w:rsidR="004A0B2C">
                    <w:t>17)</w:t>
                  </w:r>
                </w:p>
              </w:tc>
              <w:tc>
                <w:tcPr>
                  <w:tcW w:w="1596" w:type="pct"/>
                  <w:gridSpan w:val="2"/>
                  <w:tcBorders>
                    <w:top w:val="single" w:sz="6" w:space="0" w:color="BFBFBF"/>
                    <w:bottom w:val="single" w:sz="6" w:space="0" w:color="BFBFBF"/>
                  </w:tcBorders>
                  <w:shd w:val="clear" w:color="auto" w:fill="auto"/>
                </w:tcPr>
                <w:p w:rsidR="00AE1386" w:rsidRDefault="00AE1386" w:rsidP="00D31546">
                  <w:pPr>
                    <w:pStyle w:val="TableColumnHeading"/>
                  </w:pPr>
                  <w:r>
                    <w:t>Member accounts</w:t>
                  </w:r>
                  <w:r w:rsidR="004A0B2C">
                    <w:t xml:space="preserve"> (2016</w:t>
                  </w:r>
                  <w:r w:rsidR="00617DD2">
                    <w:noBreakHyphen/>
                  </w:r>
                  <w:r w:rsidR="004A0B2C">
                    <w:t>17)</w:t>
                  </w:r>
                </w:p>
              </w:tc>
              <w:tc>
                <w:tcPr>
                  <w:tcW w:w="903" w:type="pct"/>
                  <w:tcBorders>
                    <w:top w:val="single" w:sz="6" w:space="0" w:color="BFBFBF"/>
                    <w:bottom w:val="single" w:sz="6" w:space="0" w:color="BFBFBF"/>
                  </w:tcBorders>
                  <w:shd w:val="clear" w:color="auto" w:fill="auto"/>
                </w:tcPr>
                <w:p w:rsidR="00AE1386" w:rsidRDefault="00ED1130" w:rsidP="00AE1386">
                  <w:pPr>
                    <w:pStyle w:val="TableColumnHeading"/>
                    <w:ind w:right="28"/>
                  </w:pPr>
                  <w:r>
                    <w:t>Number of funds</w:t>
                  </w:r>
                </w:p>
              </w:tc>
            </w:tr>
            <w:tr w:rsidR="00AE1386" w:rsidTr="00ED1130">
              <w:tc>
                <w:tcPr>
                  <w:tcW w:w="1083" w:type="pct"/>
                  <w:tcBorders>
                    <w:top w:val="single" w:sz="6" w:space="0" w:color="BFBFBF"/>
                  </w:tcBorders>
                  <w:shd w:val="clear" w:color="auto" w:fill="auto"/>
                </w:tcPr>
                <w:p w:rsidR="00AE1386" w:rsidRDefault="00AE1386" w:rsidP="00ED1130">
                  <w:pPr>
                    <w:pStyle w:val="TableUnitsRow"/>
                  </w:pPr>
                </w:p>
              </w:tc>
              <w:tc>
                <w:tcPr>
                  <w:tcW w:w="931" w:type="pct"/>
                  <w:tcBorders>
                    <w:top w:val="single" w:sz="6" w:space="0" w:color="BFBFBF"/>
                  </w:tcBorders>
                  <w:shd w:val="clear" w:color="auto" w:fill="auto"/>
                </w:tcPr>
                <w:p w:rsidR="00AE1386" w:rsidRDefault="00D31546" w:rsidP="00ED1130">
                  <w:pPr>
                    <w:pStyle w:val="TableUnitsRow"/>
                  </w:pPr>
                  <w:r>
                    <w:t>$</w:t>
                  </w:r>
                  <w:r w:rsidR="00AE1386">
                    <w:t>m</w:t>
                  </w:r>
                </w:p>
              </w:tc>
              <w:tc>
                <w:tcPr>
                  <w:tcW w:w="487" w:type="pct"/>
                  <w:tcBorders>
                    <w:top w:val="single" w:sz="6" w:space="0" w:color="BFBFBF"/>
                  </w:tcBorders>
                  <w:shd w:val="clear" w:color="auto" w:fill="auto"/>
                </w:tcPr>
                <w:p w:rsidR="00AE1386" w:rsidRDefault="00D31546" w:rsidP="00ED1130">
                  <w:pPr>
                    <w:pStyle w:val="TableUnitsRow"/>
                  </w:pPr>
                  <w:r>
                    <w:t>%</w:t>
                  </w:r>
                </w:p>
              </w:tc>
              <w:tc>
                <w:tcPr>
                  <w:tcW w:w="1096" w:type="pct"/>
                  <w:tcBorders>
                    <w:top w:val="single" w:sz="6" w:space="0" w:color="BFBFBF"/>
                  </w:tcBorders>
                  <w:shd w:val="clear" w:color="auto" w:fill="auto"/>
                </w:tcPr>
                <w:p w:rsidR="00AE1386" w:rsidRDefault="00D31546" w:rsidP="00ED1130">
                  <w:pPr>
                    <w:pStyle w:val="TableUnitsRow"/>
                  </w:pPr>
                  <w:r>
                    <w:t>‘</w:t>
                  </w:r>
                  <w:r w:rsidR="00AE1386">
                    <w:t>000</w:t>
                  </w:r>
                </w:p>
              </w:tc>
              <w:tc>
                <w:tcPr>
                  <w:tcW w:w="499" w:type="pct"/>
                  <w:tcBorders>
                    <w:top w:val="single" w:sz="6" w:space="0" w:color="BFBFBF"/>
                  </w:tcBorders>
                  <w:shd w:val="clear" w:color="auto" w:fill="auto"/>
                </w:tcPr>
                <w:p w:rsidR="00AE1386" w:rsidRDefault="00D31546" w:rsidP="00ED1130">
                  <w:pPr>
                    <w:pStyle w:val="TableUnitsRow"/>
                  </w:pPr>
                  <w:r>
                    <w:t>%</w:t>
                  </w:r>
                </w:p>
              </w:tc>
              <w:tc>
                <w:tcPr>
                  <w:tcW w:w="903" w:type="pct"/>
                  <w:tcBorders>
                    <w:top w:val="single" w:sz="6" w:space="0" w:color="BFBFBF"/>
                  </w:tcBorders>
                  <w:shd w:val="clear" w:color="auto" w:fill="auto"/>
                </w:tcPr>
                <w:p w:rsidR="00AE1386" w:rsidRDefault="00AE1386" w:rsidP="00ED1130">
                  <w:pPr>
                    <w:pStyle w:val="TableUnitsRow"/>
                  </w:pPr>
                </w:p>
              </w:tc>
            </w:tr>
            <w:tr w:rsidR="004A0B2C" w:rsidTr="00ED1130">
              <w:tc>
                <w:tcPr>
                  <w:tcW w:w="5000" w:type="pct"/>
                  <w:gridSpan w:val="6"/>
                </w:tcPr>
                <w:p w:rsidR="004A0B2C" w:rsidRPr="00BC0EF8" w:rsidRDefault="004A0B2C" w:rsidP="00512927">
                  <w:pPr>
                    <w:pStyle w:val="TableColumnHeading"/>
                    <w:jc w:val="left"/>
                    <w:rPr>
                      <w:b/>
                    </w:rPr>
                  </w:pPr>
                  <w:r w:rsidRPr="006012C5">
                    <w:rPr>
                      <w:b/>
                      <w:i w:val="0"/>
                    </w:rPr>
                    <w:t>Administration expenses</w:t>
                  </w:r>
                </w:p>
              </w:tc>
            </w:tr>
            <w:tr w:rsidR="00AE1386" w:rsidTr="00ED1130">
              <w:tc>
                <w:tcPr>
                  <w:tcW w:w="1083" w:type="pct"/>
                </w:tcPr>
                <w:p w:rsidR="00AE1386" w:rsidRPr="000674FA" w:rsidRDefault="00AE1386" w:rsidP="00AE1386">
                  <w:pPr>
                    <w:pStyle w:val="TableColumnHeading"/>
                    <w:jc w:val="left"/>
                  </w:pPr>
                  <w:r w:rsidRPr="000674FA">
                    <w:t>Retail funds</w:t>
                  </w:r>
                </w:p>
              </w:tc>
              <w:tc>
                <w:tcPr>
                  <w:tcW w:w="931" w:type="pct"/>
                </w:tcPr>
                <w:p w:rsidR="00AE1386" w:rsidRPr="000674FA" w:rsidRDefault="00AE1386" w:rsidP="00AE1386">
                  <w:pPr>
                    <w:pStyle w:val="TableBodyText"/>
                  </w:pPr>
                </w:p>
              </w:tc>
              <w:tc>
                <w:tcPr>
                  <w:tcW w:w="487" w:type="pct"/>
                </w:tcPr>
                <w:p w:rsidR="00AE1386" w:rsidRPr="000674FA" w:rsidRDefault="00AE1386" w:rsidP="00AE1386">
                  <w:pPr>
                    <w:pStyle w:val="TableBodyText"/>
                  </w:pPr>
                </w:p>
              </w:tc>
              <w:tc>
                <w:tcPr>
                  <w:tcW w:w="1096" w:type="pct"/>
                </w:tcPr>
                <w:p w:rsidR="00AE1386" w:rsidRPr="000674FA" w:rsidRDefault="00AE1386" w:rsidP="00AE1386">
                  <w:pPr>
                    <w:pStyle w:val="TableBodyText"/>
                  </w:pPr>
                </w:p>
              </w:tc>
              <w:tc>
                <w:tcPr>
                  <w:tcW w:w="499" w:type="pct"/>
                </w:tcPr>
                <w:p w:rsidR="00AE1386" w:rsidRPr="000674FA" w:rsidRDefault="00AE1386" w:rsidP="00AE1386">
                  <w:pPr>
                    <w:pStyle w:val="TableBodyText"/>
                  </w:pPr>
                </w:p>
              </w:tc>
              <w:tc>
                <w:tcPr>
                  <w:tcW w:w="903" w:type="pct"/>
                </w:tcPr>
                <w:p w:rsidR="00AE1386" w:rsidRPr="000674FA" w:rsidRDefault="00AE1386" w:rsidP="00AE1386">
                  <w:pPr>
                    <w:pStyle w:val="TableBodyText"/>
                  </w:pPr>
                </w:p>
              </w:tc>
            </w:tr>
            <w:tr w:rsidR="00AE1386" w:rsidTr="00ED1130">
              <w:tc>
                <w:tcPr>
                  <w:tcW w:w="1083" w:type="pct"/>
                </w:tcPr>
                <w:p w:rsidR="00AE1386" w:rsidRPr="000674FA" w:rsidRDefault="00AE1386" w:rsidP="000862FF">
                  <w:pPr>
                    <w:pStyle w:val="TableBodyText"/>
                    <w:ind w:left="57"/>
                    <w:jc w:val="left"/>
                  </w:pPr>
                  <w:r w:rsidRPr="000674FA">
                    <w:t>Did not respond</w:t>
                  </w:r>
                </w:p>
              </w:tc>
              <w:tc>
                <w:tcPr>
                  <w:tcW w:w="931" w:type="pct"/>
                </w:tcPr>
                <w:p w:rsidR="00AE1386" w:rsidRPr="000674FA" w:rsidRDefault="00AE1386" w:rsidP="00AE1386">
                  <w:pPr>
                    <w:pStyle w:val="TableBodyText"/>
                  </w:pPr>
                  <w:r w:rsidRPr="000674FA">
                    <w:t>216</w:t>
                  </w:r>
                </w:p>
              </w:tc>
              <w:tc>
                <w:tcPr>
                  <w:tcW w:w="487" w:type="pct"/>
                </w:tcPr>
                <w:p w:rsidR="00AE1386" w:rsidRPr="000674FA" w:rsidRDefault="00AE1386" w:rsidP="00AE1386">
                  <w:pPr>
                    <w:pStyle w:val="TableBodyText"/>
                  </w:pPr>
                  <w:r w:rsidRPr="000674FA">
                    <w:t>37</w:t>
                  </w:r>
                </w:p>
              </w:tc>
              <w:tc>
                <w:tcPr>
                  <w:tcW w:w="1096" w:type="pct"/>
                </w:tcPr>
                <w:p w:rsidR="00AE1386" w:rsidRPr="000674FA" w:rsidRDefault="00AE1386" w:rsidP="00AE1386">
                  <w:pPr>
                    <w:pStyle w:val="TableBodyText"/>
                  </w:pPr>
                  <w:r w:rsidRPr="000674FA">
                    <w:t>4 00</w:t>
                  </w:r>
                  <w:r w:rsidR="00FF0E72">
                    <w:t>3</w:t>
                  </w:r>
                </w:p>
              </w:tc>
              <w:tc>
                <w:tcPr>
                  <w:tcW w:w="499" w:type="pct"/>
                </w:tcPr>
                <w:p w:rsidR="00AE1386" w:rsidRPr="000674FA" w:rsidRDefault="00AE1386" w:rsidP="00AE1386">
                  <w:pPr>
                    <w:pStyle w:val="TableBodyText"/>
                  </w:pPr>
                  <w:r w:rsidRPr="000674FA">
                    <w:t>42</w:t>
                  </w:r>
                </w:p>
              </w:tc>
              <w:tc>
                <w:tcPr>
                  <w:tcW w:w="903" w:type="pct"/>
                </w:tcPr>
                <w:p w:rsidR="00AE1386" w:rsidRPr="000674FA" w:rsidRDefault="00AE1386" w:rsidP="00D31546">
                  <w:pPr>
                    <w:pStyle w:val="TableBodyText"/>
                    <w:ind w:right="28"/>
                  </w:pPr>
                  <w:r w:rsidRPr="000674FA">
                    <w:t>42</w:t>
                  </w:r>
                </w:p>
              </w:tc>
            </w:tr>
            <w:tr w:rsidR="00AE1386" w:rsidTr="00ED1130">
              <w:tc>
                <w:tcPr>
                  <w:tcW w:w="1083" w:type="pct"/>
                  <w:shd w:val="pct5" w:color="auto" w:fill="auto"/>
                </w:tcPr>
                <w:p w:rsidR="00AE1386" w:rsidRPr="000674FA" w:rsidRDefault="00AE1386" w:rsidP="000862FF">
                  <w:pPr>
                    <w:pStyle w:val="TableBodyText"/>
                    <w:ind w:left="57"/>
                    <w:jc w:val="left"/>
                  </w:pPr>
                  <w:r w:rsidRPr="000674FA">
                    <w:t>Responded</w:t>
                  </w:r>
                </w:p>
              </w:tc>
              <w:tc>
                <w:tcPr>
                  <w:tcW w:w="931" w:type="pct"/>
                  <w:shd w:val="pct5" w:color="auto" w:fill="auto"/>
                </w:tcPr>
                <w:p w:rsidR="00AE1386" w:rsidRPr="000674FA" w:rsidRDefault="00AE1386" w:rsidP="00AE1386">
                  <w:pPr>
                    <w:pStyle w:val="TableBodyText"/>
                  </w:pPr>
                  <w:r w:rsidRPr="000674FA">
                    <w:t>36</w:t>
                  </w:r>
                  <w:r w:rsidR="00FF0E72">
                    <w:t>5</w:t>
                  </w:r>
                </w:p>
              </w:tc>
              <w:tc>
                <w:tcPr>
                  <w:tcW w:w="487" w:type="pct"/>
                  <w:shd w:val="pct5" w:color="auto" w:fill="auto"/>
                </w:tcPr>
                <w:p w:rsidR="00AE1386" w:rsidRPr="000674FA" w:rsidRDefault="00AE1386" w:rsidP="00AE1386">
                  <w:pPr>
                    <w:pStyle w:val="TableBodyText"/>
                  </w:pPr>
                  <w:r w:rsidRPr="000674FA">
                    <w:t>6</w:t>
                  </w:r>
                  <w:r w:rsidR="00FF0E72">
                    <w:t>3</w:t>
                  </w:r>
                </w:p>
              </w:tc>
              <w:tc>
                <w:tcPr>
                  <w:tcW w:w="1096" w:type="pct"/>
                  <w:shd w:val="pct5" w:color="auto" w:fill="auto"/>
                </w:tcPr>
                <w:p w:rsidR="00AE1386" w:rsidRPr="000674FA" w:rsidRDefault="00AE1386" w:rsidP="00AE1386">
                  <w:pPr>
                    <w:pStyle w:val="TableBodyText"/>
                  </w:pPr>
                  <w:r w:rsidRPr="000674FA">
                    <w:t>5 410</w:t>
                  </w:r>
                </w:p>
              </w:tc>
              <w:tc>
                <w:tcPr>
                  <w:tcW w:w="499" w:type="pct"/>
                  <w:shd w:val="pct5" w:color="auto" w:fill="auto"/>
                </w:tcPr>
                <w:p w:rsidR="00AE1386" w:rsidRPr="000674FA" w:rsidRDefault="00AE1386" w:rsidP="00AE1386">
                  <w:pPr>
                    <w:pStyle w:val="TableBodyText"/>
                  </w:pPr>
                  <w:r w:rsidRPr="000674FA">
                    <w:t>5</w:t>
                  </w:r>
                  <w:r w:rsidR="00FF0E72">
                    <w:t>8</w:t>
                  </w:r>
                </w:p>
              </w:tc>
              <w:tc>
                <w:tcPr>
                  <w:tcW w:w="903" w:type="pct"/>
                  <w:shd w:val="pct5" w:color="auto" w:fill="auto"/>
                </w:tcPr>
                <w:p w:rsidR="00AE1386" w:rsidRPr="000674FA" w:rsidRDefault="00AE1386" w:rsidP="00D31546">
                  <w:pPr>
                    <w:pStyle w:val="TableBodyText"/>
                    <w:ind w:right="28"/>
                  </w:pPr>
                  <w:r w:rsidRPr="000674FA">
                    <w:t>61</w:t>
                  </w:r>
                </w:p>
              </w:tc>
            </w:tr>
            <w:tr w:rsidR="00AE1386" w:rsidTr="00ED1130">
              <w:tc>
                <w:tcPr>
                  <w:tcW w:w="1083" w:type="pct"/>
                </w:tcPr>
                <w:p w:rsidR="00AE1386" w:rsidRPr="000674FA" w:rsidRDefault="00AE1386" w:rsidP="000862FF">
                  <w:pPr>
                    <w:pStyle w:val="TableBodyText"/>
                    <w:ind w:left="57"/>
                    <w:jc w:val="left"/>
                  </w:pPr>
                  <w:r w:rsidRPr="000674FA">
                    <w:t>Total</w:t>
                  </w:r>
                </w:p>
              </w:tc>
              <w:tc>
                <w:tcPr>
                  <w:tcW w:w="931" w:type="pct"/>
                </w:tcPr>
                <w:p w:rsidR="00AE1386" w:rsidRPr="000674FA" w:rsidRDefault="00AE1386" w:rsidP="00AE1386">
                  <w:pPr>
                    <w:pStyle w:val="TableBodyText"/>
                  </w:pPr>
                  <w:r w:rsidRPr="000674FA">
                    <w:t>581</w:t>
                  </w:r>
                </w:p>
              </w:tc>
              <w:tc>
                <w:tcPr>
                  <w:tcW w:w="487" w:type="pct"/>
                </w:tcPr>
                <w:p w:rsidR="00AE1386" w:rsidRPr="000674FA" w:rsidRDefault="00AE1386" w:rsidP="00AE1386">
                  <w:pPr>
                    <w:pStyle w:val="TableBodyText"/>
                  </w:pPr>
                  <w:r w:rsidRPr="000674FA">
                    <w:t>100</w:t>
                  </w:r>
                </w:p>
              </w:tc>
              <w:tc>
                <w:tcPr>
                  <w:tcW w:w="1096" w:type="pct"/>
                </w:tcPr>
                <w:p w:rsidR="00AE1386" w:rsidRPr="000674FA" w:rsidRDefault="00AE1386" w:rsidP="00AE1386">
                  <w:pPr>
                    <w:pStyle w:val="TableBodyText"/>
                  </w:pPr>
                  <w:r w:rsidRPr="000674FA">
                    <w:t>9 41</w:t>
                  </w:r>
                  <w:r w:rsidR="00FF0E72">
                    <w:t>3</w:t>
                  </w:r>
                </w:p>
              </w:tc>
              <w:tc>
                <w:tcPr>
                  <w:tcW w:w="499" w:type="pct"/>
                </w:tcPr>
                <w:p w:rsidR="00AE1386" w:rsidRPr="000674FA" w:rsidRDefault="00AE1386" w:rsidP="00AE1386">
                  <w:pPr>
                    <w:pStyle w:val="TableBodyText"/>
                  </w:pPr>
                  <w:r w:rsidRPr="000674FA">
                    <w:t>100</w:t>
                  </w:r>
                </w:p>
              </w:tc>
              <w:tc>
                <w:tcPr>
                  <w:tcW w:w="903" w:type="pct"/>
                </w:tcPr>
                <w:p w:rsidR="00AE1386" w:rsidRPr="000674FA" w:rsidRDefault="00AE1386" w:rsidP="00D31546">
                  <w:pPr>
                    <w:pStyle w:val="TableBodyText"/>
                    <w:ind w:right="28"/>
                  </w:pPr>
                  <w:r w:rsidRPr="000674FA">
                    <w:t>103</w:t>
                  </w:r>
                </w:p>
              </w:tc>
            </w:tr>
            <w:tr w:rsidR="00AE1386" w:rsidTr="00ED1130">
              <w:tc>
                <w:tcPr>
                  <w:tcW w:w="1083" w:type="pct"/>
                </w:tcPr>
                <w:p w:rsidR="00AE1386" w:rsidRPr="000674FA" w:rsidRDefault="00AE1386" w:rsidP="00332DF5">
                  <w:pPr>
                    <w:pStyle w:val="TableUnitsRow"/>
                    <w:spacing w:before="80"/>
                    <w:jc w:val="left"/>
                  </w:pPr>
                  <w:r w:rsidRPr="000674FA">
                    <w:rPr>
                      <w:i/>
                    </w:rPr>
                    <w:t>Not</w:t>
                  </w:r>
                  <w:r w:rsidR="00617DD2">
                    <w:rPr>
                      <w:i/>
                    </w:rPr>
                    <w:noBreakHyphen/>
                  </w:r>
                  <w:r w:rsidRPr="000674FA">
                    <w:rPr>
                      <w:i/>
                    </w:rPr>
                    <w:t>for</w:t>
                  </w:r>
                  <w:r w:rsidR="00332DF5">
                    <w:rPr>
                      <w:i/>
                    </w:rPr>
                    <w:noBreakHyphen/>
                  </w:r>
                  <w:r w:rsidRPr="000674FA">
                    <w:rPr>
                      <w:i/>
                    </w:rPr>
                    <w:t>profit funds</w:t>
                  </w:r>
                </w:p>
              </w:tc>
              <w:tc>
                <w:tcPr>
                  <w:tcW w:w="931" w:type="pct"/>
                </w:tcPr>
                <w:p w:rsidR="00AE1386" w:rsidRPr="000674FA" w:rsidRDefault="00AE1386" w:rsidP="00AE1386">
                  <w:pPr>
                    <w:pStyle w:val="TableBodyText"/>
                  </w:pPr>
                </w:p>
              </w:tc>
              <w:tc>
                <w:tcPr>
                  <w:tcW w:w="487" w:type="pct"/>
                </w:tcPr>
                <w:p w:rsidR="00AE1386" w:rsidRPr="000674FA" w:rsidRDefault="00AE1386" w:rsidP="00AE1386">
                  <w:pPr>
                    <w:pStyle w:val="TableBodyText"/>
                  </w:pPr>
                </w:p>
              </w:tc>
              <w:tc>
                <w:tcPr>
                  <w:tcW w:w="1096" w:type="pct"/>
                </w:tcPr>
                <w:p w:rsidR="00AE1386" w:rsidRPr="000674FA" w:rsidRDefault="00AE1386" w:rsidP="00AE1386">
                  <w:pPr>
                    <w:pStyle w:val="TableBodyText"/>
                  </w:pPr>
                </w:p>
              </w:tc>
              <w:tc>
                <w:tcPr>
                  <w:tcW w:w="499" w:type="pct"/>
                </w:tcPr>
                <w:p w:rsidR="00AE1386" w:rsidRPr="000674FA" w:rsidRDefault="00AE1386" w:rsidP="00AE1386">
                  <w:pPr>
                    <w:pStyle w:val="TableBodyText"/>
                  </w:pPr>
                </w:p>
              </w:tc>
              <w:tc>
                <w:tcPr>
                  <w:tcW w:w="903" w:type="pct"/>
                </w:tcPr>
                <w:p w:rsidR="00AE1386" w:rsidRPr="000674FA" w:rsidRDefault="00AE1386" w:rsidP="00D31546">
                  <w:pPr>
                    <w:pStyle w:val="TableBodyText"/>
                    <w:ind w:right="28"/>
                  </w:pPr>
                </w:p>
              </w:tc>
            </w:tr>
            <w:tr w:rsidR="00AE1386" w:rsidTr="00ED1130">
              <w:tc>
                <w:tcPr>
                  <w:tcW w:w="1083" w:type="pct"/>
                </w:tcPr>
                <w:p w:rsidR="00AE1386" w:rsidRPr="000674FA" w:rsidRDefault="00AE1386" w:rsidP="000862FF">
                  <w:pPr>
                    <w:pStyle w:val="TableBodyText"/>
                    <w:ind w:left="57"/>
                    <w:jc w:val="left"/>
                  </w:pPr>
                  <w:r w:rsidRPr="000674FA">
                    <w:t>Did not respond</w:t>
                  </w:r>
                </w:p>
              </w:tc>
              <w:tc>
                <w:tcPr>
                  <w:tcW w:w="931" w:type="pct"/>
                </w:tcPr>
                <w:p w:rsidR="00AE1386" w:rsidRPr="000674FA" w:rsidRDefault="00AE1386" w:rsidP="00AE1386">
                  <w:pPr>
                    <w:pStyle w:val="TableBodyText"/>
                  </w:pPr>
                  <w:r w:rsidRPr="000674FA">
                    <w:t>6</w:t>
                  </w:r>
                  <w:r w:rsidR="00FF0E72">
                    <w:t>9</w:t>
                  </w:r>
                </w:p>
              </w:tc>
              <w:tc>
                <w:tcPr>
                  <w:tcW w:w="487" w:type="pct"/>
                </w:tcPr>
                <w:p w:rsidR="00AE1386" w:rsidRPr="000674FA" w:rsidRDefault="00AE1386" w:rsidP="00AE1386">
                  <w:pPr>
                    <w:pStyle w:val="TableBodyText"/>
                  </w:pPr>
                  <w:r w:rsidRPr="000674FA">
                    <w:t>7</w:t>
                  </w:r>
                </w:p>
              </w:tc>
              <w:tc>
                <w:tcPr>
                  <w:tcW w:w="1096" w:type="pct"/>
                </w:tcPr>
                <w:p w:rsidR="00AE1386" w:rsidRPr="000674FA" w:rsidRDefault="00AE1386" w:rsidP="00AE1386">
                  <w:pPr>
                    <w:pStyle w:val="TableBodyText"/>
                  </w:pPr>
                  <w:r w:rsidRPr="000674FA">
                    <w:t>2 107</w:t>
                  </w:r>
                </w:p>
              </w:tc>
              <w:tc>
                <w:tcPr>
                  <w:tcW w:w="499" w:type="pct"/>
                </w:tcPr>
                <w:p w:rsidR="00AE1386" w:rsidRPr="000674FA" w:rsidRDefault="00AE1386" w:rsidP="00AE1386">
                  <w:pPr>
                    <w:pStyle w:val="TableBodyText"/>
                  </w:pPr>
                  <w:r w:rsidRPr="000674FA">
                    <w:t>1</w:t>
                  </w:r>
                  <w:r w:rsidR="002C4819">
                    <w:t>3</w:t>
                  </w:r>
                </w:p>
              </w:tc>
              <w:tc>
                <w:tcPr>
                  <w:tcW w:w="903" w:type="pct"/>
                </w:tcPr>
                <w:p w:rsidR="00AE1386" w:rsidRPr="000674FA" w:rsidRDefault="00AE1386" w:rsidP="00D31546">
                  <w:pPr>
                    <w:pStyle w:val="TableBodyText"/>
                    <w:ind w:right="28"/>
                  </w:pPr>
                  <w:r w:rsidRPr="000674FA">
                    <w:t>21</w:t>
                  </w:r>
                </w:p>
              </w:tc>
            </w:tr>
            <w:tr w:rsidR="00AE1386" w:rsidTr="00ED1130">
              <w:tc>
                <w:tcPr>
                  <w:tcW w:w="1083" w:type="pct"/>
                  <w:shd w:val="pct5" w:color="auto" w:fill="auto"/>
                </w:tcPr>
                <w:p w:rsidR="00AE1386" w:rsidRPr="000674FA" w:rsidRDefault="00AE1386" w:rsidP="000862FF">
                  <w:pPr>
                    <w:pStyle w:val="TableBodyText"/>
                    <w:ind w:left="57"/>
                    <w:jc w:val="left"/>
                  </w:pPr>
                  <w:r w:rsidRPr="000674FA">
                    <w:t>Responded</w:t>
                  </w:r>
                </w:p>
              </w:tc>
              <w:tc>
                <w:tcPr>
                  <w:tcW w:w="931" w:type="pct"/>
                  <w:shd w:val="pct5" w:color="auto" w:fill="auto"/>
                </w:tcPr>
                <w:p w:rsidR="00AE1386" w:rsidRPr="000674FA" w:rsidRDefault="00AE1386" w:rsidP="00AE1386">
                  <w:pPr>
                    <w:pStyle w:val="TableBodyText"/>
                  </w:pPr>
                  <w:r w:rsidRPr="000674FA">
                    <w:t>95</w:t>
                  </w:r>
                  <w:r w:rsidR="00FF0E72">
                    <w:t>2</w:t>
                  </w:r>
                </w:p>
              </w:tc>
              <w:tc>
                <w:tcPr>
                  <w:tcW w:w="487" w:type="pct"/>
                  <w:shd w:val="pct5" w:color="auto" w:fill="auto"/>
                </w:tcPr>
                <w:p w:rsidR="00AE1386" w:rsidRPr="000674FA" w:rsidRDefault="00AE1386" w:rsidP="00AE1386">
                  <w:pPr>
                    <w:pStyle w:val="TableBodyText"/>
                  </w:pPr>
                  <w:r w:rsidRPr="000674FA">
                    <w:t>93</w:t>
                  </w:r>
                </w:p>
              </w:tc>
              <w:tc>
                <w:tcPr>
                  <w:tcW w:w="1096" w:type="pct"/>
                  <w:shd w:val="pct5" w:color="auto" w:fill="auto"/>
                </w:tcPr>
                <w:p w:rsidR="00AE1386" w:rsidRPr="000674FA" w:rsidRDefault="00AE1386" w:rsidP="00AE1386">
                  <w:pPr>
                    <w:pStyle w:val="TableBodyText"/>
                  </w:pPr>
                  <w:r w:rsidRPr="000674FA">
                    <w:t>14 56</w:t>
                  </w:r>
                  <w:r w:rsidR="002C4819">
                    <w:t>6</w:t>
                  </w:r>
                </w:p>
              </w:tc>
              <w:tc>
                <w:tcPr>
                  <w:tcW w:w="499" w:type="pct"/>
                  <w:shd w:val="pct5" w:color="auto" w:fill="auto"/>
                </w:tcPr>
                <w:p w:rsidR="00AE1386" w:rsidRPr="000674FA" w:rsidRDefault="00AE1386" w:rsidP="00AE1386">
                  <w:pPr>
                    <w:pStyle w:val="TableBodyText"/>
                  </w:pPr>
                  <w:r w:rsidRPr="000674FA">
                    <w:t>87</w:t>
                  </w:r>
                </w:p>
              </w:tc>
              <w:tc>
                <w:tcPr>
                  <w:tcW w:w="903" w:type="pct"/>
                  <w:shd w:val="pct5" w:color="auto" w:fill="auto"/>
                </w:tcPr>
                <w:p w:rsidR="00AE1386" w:rsidRPr="000674FA" w:rsidRDefault="00AE1386" w:rsidP="00D31546">
                  <w:pPr>
                    <w:pStyle w:val="TableBodyText"/>
                    <w:ind w:right="28"/>
                  </w:pPr>
                  <w:r w:rsidRPr="000674FA">
                    <w:t>62</w:t>
                  </w:r>
                </w:p>
              </w:tc>
            </w:tr>
            <w:tr w:rsidR="00AE1386" w:rsidTr="00ED1130">
              <w:tc>
                <w:tcPr>
                  <w:tcW w:w="1083" w:type="pct"/>
                  <w:tcBorders>
                    <w:bottom w:val="single" w:sz="6" w:space="0" w:color="BFBFBF"/>
                  </w:tcBorders>
                  <w:shd w:val="clear" w:color="auto" w:fill="auto"/>
                </w:tcPr>
                <w:p w:rsidR="00AE1386" w:rsidRPr="000674FA" w:rsidRDefault="00AE1386" w:rsidP="000862FF">
                  <w:pPr>
                    <w:pStyle w:val="TableBodyText"/>
                    <w:ind w:left="57"/>
                    <w:jc w:val="left"/>
                  </w:pPr>
                  <w:r w:rsidRPr="000674FA">
                    <w:t>Total</w:t>
                  </w:r>
                </w:p>
              </w:tc>
              <w:tc>
                <w:tcPr>
                  <w:tcW w:w="931" w:type="pct"/>
                  <w:tcBorders>
                    <w:bottom w:val="single" w:sz="6" w:space="0" w:color="BFBFBF"/>
                  </w:tcBorders>
                  <w:shd w:val="clear" w:color="auto" w:fill="auto"/>
                </w:tcPr>
                <w:p w:rsidR="00AE1386" w:rsidRPr="000674FA" w:rsidRDefault="00AE1386" w:rsidP="00AE1386">
                  <w:pPr>
                    <w:pStyle w:val="TableBodyText"/>
                  </w:pPr>
                  <w:r w:rsidRPr="000674FA">
                    <w:t>1 02</w:t>
                  </w:r>
                  <w:r w:rsidR="00FF0E72">
                    <w:t>1</w:t>
                  </w:r>
                </w:p>
              </w:tc>
              <w:tc>
                <w:tcPr>
                  <w:tcW w:w="487" w:type="pct"/>
                  <w:tcBorders>
                    <w:bottom w:val="single" w:sz="6" w:space="0" w:color="BFBFBF"/>
                  </w:tcBorders>
                  <w:shd w:val="clear" w:color="auto" w:fill="auto"/>
                </w:tcPr>
                <w:p w:rsidR="00AE1386" w:rsidRPr="000674FA" w:rsidRDefault="00AE1386" w:rsidP="00AE1386">
                  <w:pPr>
                    <w:pStyle w:val="TableBodyText"/>
                  </w:pPr>
                  <w:r w:rsidRPr="000674FA">
                    <w:t>100</w:t>
                  </w:r>
                </w:p>
              </w:tc>
              <w:tc>
                <w:tcPr>
                  <w:tcW w:w="1096" w:type="pct"/>
                  <w:tcBorders>
                    <w:bottom w:val="single" w:sz="6" w:space="0" w:color="BFBFBF"/>
                  </w:tcBorders>
                  <w:shd w:val="clear" w:color="auto" w:fill="auto"/>
                </w:tcPr>
                <w:p w:rsidR="00AE1386" w:rsidRPr="000674FA" w:rsidRDefault="00AE1386" w:rsidP="00AE1386">
                  <w:pPr>
                    <w:pStyle w:val="TableBodyText"/>
                  </w:pPr>
                  <w:r w:rsidRPr="000674FA">
                    <w:t>16 67</w:t>
                  </w:r>
                  <w:r w:rsidR="002C4819">
                    <w:t>3</w:t>
                  </w:r>
                </w:p>
              </w:tc>
              <w:tc>
                <w:tcPr>
                  <w:tcW w:w="499" w:type="pct"/>
                  <w:tcBorders>
                    <w:bottom w:val="single" w:sz="6" w:space="0" w:color="BFBFBF"/>
                  </w:tcBorders>
                  <w:shd w:val="clear" w:color="auto" w:fill="auto"/>
                </w:tcPr>
                <w:p w:rsidR="00AE1386" w:rsidRPr="000674FA" w:rsidRDefault="00AE1386" w:rsidP="00AE1386">
                  <w:pPr>
                    <w:pStyle w:val="TableBodyText"/>
                  </w:pPr>
                  <w:r w:rsidRPr="000674FA">
                    <w:t>100</w:t>
                  </w:r>
                </w:p>
              </w:tc>
              <w:tc>
                <w:tcPr>
                  <w:tcW w:w="903" w:type="pct"/>
                  <w:tcBorders>
                    <w:bottom w:val="single" w:sz="6" w:space="0" w:color="BFBFBF"/>
                  </w:tcBorders>
                  <w:shd w:val="clear" w:color="auto" w:fill="auto"/>
                </w:tcPr>
                <w:p w:rsidR="00AE1386" w:rsidRPr="000674FA" w:rsidRDefault="00AE1386" w:rsidP="00D31546">
                  <w:pPr>
                    <w:pStyle w:val="TableBodyText"/>
                    <w:ind w:right="28"/>
                  </w:pPr>
                  <w:r w:rsidRPr="000674FA">
                    <w:t>83</w:t>
                  </w:r>
                </w:p>
              </w:tc>
            </w:tr>
            <w:tr w:rsidR="004A0B2C" w:rsidTr="00ED1130">
              <w:tc>
                <w:tcPr>
                  <w:tcW w:w="5000" w:type="pct"/>
                  <w:gridSpan w:val="6"/>
                  <w:tcBorders>
                    <w:top w:val="single" w:sz="6" w:space="0" w:color="BFBFBF"/>
                  </w:tcBorders>
                  <w:shd w:val="clear" w:color="auto" w:fill="auto"/>
                </w:tcPr>
                <w:p w:rsidR="004A0B2C" w:rsidRPr="00566E8F" w:rsidRDefault="004A0B2C" w:rsidP="00D31546">
                  <w:pPr>
                    <w:pStyle w:val="TableColumnHeading"/>
                    <w:spacing w:before="120"/>
                    <w:ind w:right="28"/>
                    <w:jc w:val="left"/>
                    <w:rPr>
                      <w:b/>
                    </w:rPr>
                  </w:pPr>
                  <w:r w:rsidRPr="006012C5">
                    <w:rPr>
                      <w:b/>
                      <w:i w:val="0"/>
                    </w:rPr>
                    <w:t>Investment expenses</w:t>
                  </w:r>
                </w:p>
              </w:tc>
            </w:tr>
            <w:tr w:rsidR="004A0B2C" w:rsidTr="00ED1130">
              <w:tc>
                <w:tcPr>
                  <w:tcW w:w="1083" w:type="pct"/>
                  <w:shd w:val="clear" w:color="auto" w:fill="auto"/>
                </w:tcPr>
                <w:p w:rsidR="004A0B2C" w:rsidRDefault="004A0B2C" w:rsidP="00566E8F">
                  <w:pPr>
                    <w:pStyle w:val="TableColumnHeading"/>
                    <w:jc w:val="left"/>
                  </w:pPr>
                  <w:r w:rsidRPr="000674FA">
                    <w:t>Retail funds</w:t>
                  </w:r>
                </w:p>
              </w:tc>
              <w:tc>
                <w:tcPr>
                  <w:tcW w:w="931" w:type="pct"/>
                  <w:shd w:val="clear" w:color="auto" w:fill="auto"/>
                </w:tcPr>
                <w:p w:rsidR="004A0B2C" w:rsidRPr="000674FA" w:rsidRDefault="004A0B2C" w:rsidP="004A0B2C">
                  <w:pPr>
                    <w:pStyle w:val="TableBodyText"/>
                  </w:pPr>
                </w:p>
              </w:tc>
              <w:tc>
                <w:tcPr>
                  <w:tcW w:w="487" w:type="pct"/>
                  <w:shd w:val="clear" w:color="auto" w:fill="auto"/>
                </w:tcPr>
                <w:p w:rsidR="004A0B2C" w:rsidRPr="000674FA" w:rsidRDefault="004A0B2C" w:rsidP="004A0B2C">
                  <w:pPr>
                    <w:pStyle w:val="TableBodyText"/>
                  </w:pPr>
                </w:p>
              </w:tc>
              <w:tc>
                <w:tcPr>
                  <w:tcW w:w="1096" w:type="pct"/>
                  <w:shd w:val="clear" w:color="auto" w:fill="auto"/>
                </w:tcPr>
                <w:p w:rsidR="004A0B2C" w:rsidRPr="000674FA" w:rsidRDefault="004A0B2C" w:rsidP="004A0B2C">
                  <w:pPr>
                    <w:pStyle w:val="TableBodyText"/>
                  </w:pPr>
                </w:p>
              </w:tc>
              <w:tc>
                <w:tcPr>
                  <w:tcW w:w="499" w:type="pct"/>
                  <w:shd w:val="clear" w:color="auto" w:fill="auto"/>
                </w:tcPr>
                <w:p w:rsidR="004A0B2C" w:rsidRPr="000674FA" w:rsidRDefault="004A0B2C" w:rsidP="004A0B2C">
                  <w:pPr>
                    <w:pStyle w:val="TableBodyText"/>
                  </w:pPr>
                </w:p>
              </w:tc>
              <w:tc>
                <w:tcPr>
                  <w:tcW w:w="903" w:type="pct"/>
                  <w:shd w:val="clear" w:color="auto" w:fill="auto"/>
                </w:tcPr>
                <w:p w:rsidR="004A0B2C" w:rsidRDefault="004A0B2C" w:rsidP="00D31546">
                  <w:pPr>
                    <w:pStyle w:val="TableBodyText"/>
                    <w:ind w:right="28"/>
                  </w:pPr>
                </w:p>
              </w:tc>
            </w:tr>
            <w:tr w:rsidR="004A0B2C" w:rsidTr="00ED1130">
              <w:tc>
                <w:tcPr>
                  <w:tcW w:w="1083" w:type="pct"/>
                  <w:shd w:val="clear" w:color="auto" w:fill="auto"/>
                </w:tcPr>
                <w:p w:rsidR="004A0B2C" w:rsidRDefault="004A0B2C" w:rsidP="004A0B2C">
                  <w:pPr>
                    <w:pStyle w:val="TableBodyText"/>
                    <w:ind w:left="57"/>
                    <w:jc w:val="left"/>
                  </w:pPr>
                  <w:r w:rsidRPr="000674FA">
                    <w:t>Did not respond</w:t>
                  </w:r>
                </w:p>
              </w:tc>
              <w:tc>
                <w:tcPr>
                  <w:tcW w:w="931" w:type="pct"/>
                  <w:shd w:val="clear" w:color="auto" w:fill="auto"/>
                </w:tcPr>
                <w:p w:rsidR="004A0B2C" w:rsidRPr="000674FA" w:rsidRDefault="004A0B2C" w:rsidP="004A0B2C">
                  <w:pPr>
                    <w:pStyle w:val="TableBodyText"/>
                  </w:pPr>
                  <w:r w:rsidRPr="005B5039">
                    <w:t>36</w:t>
                  </w:r>
                  <w:r w:rsidR="00FF0E72">
                    <w:t>8</w:t>
                  </w:r>
                </w:p>
              </w:tc>
              <w:tc>
                <w:tcPr>
                  <w:tcW w:w="487" w:type="pct"/>
                  <w:shd w:val="clear" w:color="auto" w:fill="auto"/>
                </w:tcPr>
                <w:p w:rsidR="004A0B2C" w:rsidRPr="000674FA" w:rsidRDefault="004A0B2C" w:rsidP="004A0B2C">
                  <w:pPr>
                    <w:pStyle w:val="TableBodyText"/>
                  </w:pPr>
                  <w:r w:rsidRPr="005B5039">
                    <w:t>63</w:t>
                  </w:r>
                </w:p>
              </w:tc>
              <w:tc>
                <w:tcPr>
                  <w:tcW w:w="1096" w:type="pct"/>
                  <w:shd w:val="clear" w:color="auto" w:fill="auto"/>
                </w:tcPr>
                <w:p w:rsidR="004A0B2C" w:rsidRPr="000674FA" w:rsidRDefault="004A0B2C" w:rsidP="004A0B2C">
                  <w:pPr>
                    <w:pStyle w:val="TableBodyText"/>
                  </w:pPr>
                  <w:r w:rsidRPr="005B5039">
                    <w:t>6 08</w:t>
                  </w:r>
                  <w:r w:rsidR="002C4819">
                    <w:t>3</w:t>
                  </w:r>
                </w:p>
              </w:tc>
              <w:tc>
                <w:tcPr>
                  <w:tcW w:w="499" w:type="pct"/>
                  <w:shd w:val="clear" w:color="auto" w:fill="auto"/>
                </w:tcPr>
                <w:p w:rsidR="004A0B2C" w:rsidRPr="000674FA" w:rsidRDefault="004A0B2C" w:rsidP="004A0B2C">
                  <w:pPr>
                    <w:pStyle w:val="TableBodyText"/>
                  </w:pPr>
                  <w:r w:rsidRPr="005B5039">
                    <w:t>6</w:t>
                  </w:r>
                  <w:r w:rsidR="002C4819">
                    <w:t>5</w:t>
                  </w:r>
                </w:p>
              </w:tc>
              <w:tc>
                <w:tcPr>
                  <w:tcW w:w="903" w:type="pct"/>
                  <w:shd w:val="clear" w:color="auto" w:fill="auto"/>
                </w:tcPr>
                <w:p w:rsidR="004A0B2C" w:rsidRDefault="004A0B2C" w:rsidP="00D31546">
                  <w:pPr>
                    <w:pStyle w:val="TableBodyText"/>
                    <w:ind w:right="28"/>
                  </w:pPr>
                  <w:r w:rsidRPr="005B5039">
                    <w:t>67</w:t>
                  </w:r>
                </w:p>
              </w:tc>
            </w:tr>
            <w:tr w:rsidR="004A0B2C" w:rsidTr="00ED1130">
              <w:tc>
                <w:tcPr>
                  <w:tcW w:w="1083" w:type="pct"/>
                  <w:shd w:val="pct5" w:color="auto" w:fill="auto"/>
                </w:tcPr>
                <w:p w:rsidR="004A0B2C" w:rsidRDefault="004A0B2C" w:rsidP="004A0B2C">
                  <w:pPr>
                    <w:pStyle w:val="TableBodyText"/>
                    <w:ind w:left="57"/>
                    <w:jc w:val="left"/>
                  </w:pPr>
                  <w:r w:rsidRPr="000674FA">
                    <w:t>Responded</w:t>
                  </w:r>
                </w:p>
              </w:tc>
              <w:tc>
                <w:tcPr>
                  <w:tcW w:w="931" w:type="pct"/>
                  <w:shd w:val="pct5" w:color="auto" w:fill="auto"/>
                </w:tcPr>
                <w:p w:rsidR="004A0B2C" w:rsidRPr="000674FA" w:rsidRDefault="004A0B2C" w:rsidP="004A0B2C">
                  <w:pPr>
                    <w:pStyle w:val="TableBodyText"/>
                  </w:pPr>
                  <w:r w:rsidRPr="005B5039">
                    <w:t>21</w:t>
                  </w:r>
                  <w:r w:rsidR="00FF0E72">
                    <w:t>4</w:t>
                  </w:r>
                </w:p>
              </w:tc>
              <w:tc>
                <w:tcPr>
                  <w:tcW w:w="487" w:type="pct"/>
                  <w:shd w:val="pct5" w:color="auto" w:fill="auto"/>
                </w:tcPr>
                <w:p w:rsidR="004A0B2C" w:rsidRPr="000674FA" w:rsidRDefault="004A0B2C" w:rsidP="004A0B2C">
                  <w:pPr>
                    <w:pStyle w:val="TableBodyText"/>
                  </w:pPr>
                  <w:r w:rsidRPr="005B5039">
                    <w:t>3</w:t>
                  </w:r>
                  <w:r w:rsidR="00FF0E72">
                    <w:t>7</w:t>
                  </w:r>
                </w:p>
              </w:tc>
              <w:tc>
                <w:tcPr>
                  <w:tcW w:w="1096" w:type="pct"/>
                  <w:shd w:val="pct5" w:color="auto" w:fill="auto"/>
                </w:tcPr>
                <w:p w:rsidR="004A0B2C" w:rsidRPr="000674FA" w:rsidRDefault="004A0B2C" w:rsidP="004A0B2C">
                  <w:pPr>
                    <w:pStyle w:val="TableBodyText"/>
                  </w:pPr>
                  <w:r w:rsidRPr="005B5039">
                    <w:t>3 330</w:t>
                  </w:r>
                </w:p>
              </w:tc>
              <w:tc>
                <w:tcPr>
                  <w:tcW w:w="499" w:type="pct"/>
                  <w:shd w:val="pct5" w:color="auto" w:fill="auto"/>
                </w:tcPr>
                <w:p w:rsidR="004A0B2C" w:rsidRPr="000674FA" w:rsidRDefault="004A0B2C" w:rsidP="004A0B2C">
                  <w:pPr>
                    <w:pStyle w:val="TableBodyText"/>
                  </w:pPr>
                  <w:r w:rsidRPr="005B5039">
                    <w:t>35</w:t>
                  </w:r>
                </w:p>
              </w:tc>
              <w:tc>
                <w:tcPr>
                  <w:tcW w:w="903" w:type="pct"/>
                  <w:shd w:val="pct5" w:color="auto" w:fill="auto"/>
                </w:tcPr>
                <w:p w:rsidR="004A0B2C" w:rsidRDefault="004A0B2C" w:rsidP="00D31546">
                  <w:pPr>
                    <w:pStyle w:val="TableBodyText"/>
                    <w:ind w:right="28"/>
                  </w:pPr>
                  <w:r w:rsidRPr="005B5039">
                    <w:t>36</w:t>
                  </w:r>
                </w:p>
              </w:tc>
            </w:tr>
            <w:tr w:rsidR="004A0B2C" w:rsidTr="00ED1130">
              <w:tc>
                <w:tcPr>
                  <w:tcW w:w="1083" w:type="pct"/>
                  <w:shd w:val="clear" w:color="auto" w:fill="auto"/>
                </w:tcPr>
                <w:p w:rsidR="004A0B2C" w:rsidRDefault="004A0B2C" w:rsidP="004A0B2C">
                  <w:pPr>
                    <w:pStyle w:val="TableBodyText"/>
                    <w:ind w:left="57"/>
                    <w:jc w:val="left"/>
                  </w:pPr>
                  <w:r w:rsidRPr="000674FA">
                    <w:t>Total</w:t>
                  </w:r>
                </w:p>
              </w:tc>
              <w:tc>
                <w:tcPr>
                  <w:tcW w:w="931" w:type="pct"/>
                  <w:shd w:val="clear" w:color="auto" w:fill="auto"/>
                </w:tcPr>
                <w:p w:rsidR="004A0B2C" w:rsidRPr="000674FA" w:rsidRDefault="004A0B2C" w:rsidP="004A0B2C">
                  <w:pPr>
                    <w:pStyle w:val="TableBodyText"/>
                  </w:pPr>
                  <w:r w:rsidRPr="005B5039">
                    <w:t>581</w:t>
                  </w:r>
                </w:p>
              </w:tc>
              <w:tc>
                <w:tcPr>
                  <w:tcW w:w="487" w:type="pct"/>
                  <w:shd w:val="clear" w:color="auto" w:fill="auto"/>
                </w:tcPr>
                <w:p w:rsidR="004A0B2C" w:rsidRPr="000674FA" w:rsidRDefault="004A0B2C" w:rsidP="004A0B2C">
                  <w:pPr>
                    <w:pStyle w:val="TableBodyText"/>
                  </w:pPr>
                  <w:r w:rsidRPr="005B5039">
                    <w:t>100</w:t>
                  </w:r>
                </w:p>
              </w:tc>
              <w:tc>
                <w:tcPr>
                  <w:tcW w:w="1096" w:type="pct"/>
                  <w:shd w:val="clear" w:color="auto" w:fill="auto"/>
                </w:tcPr>
                <w:p w:rsidR="004A0B2C" w:rsidRPr="000674FA" w:rsidRDefault="004A0B2C" w:rsidP="004A0B2C">
                  <w:pPr>
                    <w:pStyle w:val="TableBodyText"/>
                  </w:pPr>
                  <w:r w:rsidRPr="005B5039">
                    <w:t>9 41</w:t>
                  </w:r>
                  <w:r w:rsidR="002C4819">
                    <w:t>3</w:t>
                  </w:r>
                </w:p>
              </w:tc>
              <w:tc>
                <w:tcPr>
                  <w:tcW w:w="499" w:type="pct"/>
                  <w:shd w:val="clear" w:color="auto" w:fill="auto"/>
                </w:tcPr>
                <w:p w:rsidR="004A0B2C" w:rsidRPr="000674FA" w:rsidRDefault="004A0B2C" w:rsidP="004A0B2C">
                  <w:pPr>
                    <w:pStyle w:val="TableBodyText"/>
                  </w:pPr>
                  <w:r w:rsidRPr="005B5039">
                    <w:t>100</w:t>
                  </w:r>
                </w:p>
              </w:tc>
              <w:tc>
                <w:tcPr>
                  <w:tcW w:w="903" w:type="pct"/>
                  <w:shd w:val="clear" w:color="auto" w:fill="auto"/>
                </w:tcPr>
                <w:p w:rsidR="004A0B2C" w:rsidRDefault="004A0B2C" w:rsidP="00D31546">
                  <w:pPr>
                    <w:pStyle w:val="TableBodyText"/>
                    <w:ind w:right="28"/>
                  </w:pPr>
                  <w:r w:rsidRPr="005B5039">
                    <w:t>103</w:t>
                  </w:r>
                </w:p>
              </w:tc>
            </w:tr>
            <w:tr w:rsidR="004A0B2C" w:rsidTr="00ED1130">
              <w:tc>
                <w:tcPr>
                  <w:tcW w:w="1083" w:type="pct"/>
                  <w:shd w:val="clear" w:color="auto" w:fill="auto"/>
                </w:tcPr>
                <w:p w:rsidR="004A0B2C" w:rsidRDefault="004A0B2C" w:rsidP="00566E8F">
                  <w:pPr>
                    <w:pStyle w:val="TableColumnHeading"/>
                    <w:jc w:val="left"/>
                  </w:pPr>
                  <w:r w:rsidRPr="004A0B2C">
                    <w:t>Not</w:t>
                  </w:r>
                  <w:r w:rsidR="00617DD2">
                    <w:noBreakHyphen/>
                  </w:r>
                  <w:r w:rsidRPr="004A0B2C">
                    <w:t>fo</w:t>
                  </w:r>
                  <w:r w:rsidR="00332DF5">
                    <w:t>r</w:t>
                  </w:r>
                  <w:r w:rsidR="00332DF5">
                    <w:noBreakHyphen/>
                  </w:r>
                  <w:r w:rsidRPr="004A0B2C">
                    <w:t>profit funds</w:t>
                  </w:r>
                </w:p>
              </w:tc>
              <w:tc>
                <w:tcPr>
                  <w:tcW w:w="931" w:type="pct"/>
                  <w:shd w:val="clear" w:color="auto" w:fill="auto"/>
                </w:tcPr>
                <w:p w:rsidR="004A0B2C" w:rsidRPr="000674FA" w:rsidRDefault="004A0B2C" w:rsidP="004A0B2C">
                  <w:pPr>
                    <w:pStyle w:val="TableBodyText"/>
                  </w:pPr>
                </w:p>
              </w:tc>
              <w:tc>
                <w:tcPr>
                  <w:tcW w:w="487" w:type="pct"/>
                  <w:shd w:val="clear" w:color="auto" w:fill="auto"/>
                </w:tcPr>
                <w:p w:rsidR="004A0B2C" w:rsidRPr="000674FA" w:rsidRDefault="004A0B2C" w:rsidP="004A0B2C">
                  <w:pPr>
                    <w:pStyle w:val="TableBodyText"/>
                  </w:pPr>
                </w:p>
              </w:tc>
              <w:tc>
                <w:tcPr>
                  <w:tcW w:w="1096" w:type="pct"/>
                  <w:shd w:val="clear" w:color="auto" w:fill="auto"/>
                </w:tcPr>
                <w:p w:rsidR="004A0B2C" w:rsidRPr="000674FA" w:rsidRDefault="004A0B2C" w:rsidP="004A0B2C">
                  <w:pPr>
                    <w:pStyle w:val="TableBodyText"/>
                  </w:pPr>
                </w:p>
              </w:tc>
              <w:tc>
                <w:tcPr>
                  <w:tcW w:w="499" w:type="pct"/>
                  <w:shd w:val="clear" w:color="auto" w:fill="auto"/>
                </w:tcPr>
                <w:p w:rsidR="004A0B2C" w:rsidRPr="000674FA" w:rsidRDefault="004A0B2C" w:rsidP="004A0B2C">
                  <w:pPr>
                    <w:pStyle w:val="TableBodyText"/>
                  </w:pPr>
                </w:p>
              </w:tc>
              <w:tc>
                <w:tcPr>
                  <w:tcW w:w="903" w:type="pct"/>
                  <w:shd w:val="clear" w:color="auto" w:fill="auto"/>
                </w:tcPr>
                <w:p w:rsidR="004A0B2C" w:rsidRDefault="004A0B2C" w:rsidP="00D31546">
                  <w:pPr>
                    <w:pStyle w:val="TableBodyText"/>
                    <w:ind w:right="28"/>
                  </w:pPr>
                </w:p>
              </w:tc>
            </w:tr>
            <w:tr w:rsidR="004A0B2C" w:rsidTr="00ED1130">
              <w:tc>
                <w:tcPr>
                  <w:tcW w:w="1083" w:type="pct"/>
                  <w:shd w:val="clear" w:color="auto" w:fill="auto"/>
                </w:tcPr>
                <w:p w:rsidR="004A0B2C" w:rsidRDefault="004A0B2C" w:rsidP="004A0B2C">
                  <w:pPr>
                    <w:pStyle w:val="TableBodyText"/>
                    <w:ind w:left="57"/>
                    <w:jc w:val="left"/>
                  </w:pPr>
                  <w:r w:rsidRPr="000674FA">
                    <w:t>Did not respond</w:t>
                  </w:r>
                </w:p>
              </w:tc>
              <w:tc>
                <w:tcPr>
                  <w:tcW w:w="931" w:type="pct"/>
                  <w:shd w:val="clear" w:color="auto" w:fill="auto"/>
                </w:tcPr>
                <w:p w:rsidR="004A0B2C" w:rsidRPr="000674FA" w:rsidRDefault="00FF0E72" w:rsidP="004A0B2C">
                  <w:pPr>
                    <w:pStyle w:val="TableBodyText"/>
                  </w:pPr>
                  <w:r>
                    <w:t>70</w:t>
                  </w:r>
                </w:p>
              </w:tc>
              <w:tc>
                <w:tcPr>
                  <w:tcW w:w="487" w:type="pct"/>
                  <w:shd w:val="clear" w:color="auto" w:fill="auto"/>
                </w:tcPr>
                <w:p w:rsidR="004A0B2C" w:rsidRPr="000674FA" w:rsidRDefault="00FF0E72" w:rsidP="004A0B2C">
                  <w:pPr>
                    <w:pStyle w:val="TableBodyText"/>
                  </w:pPr>
                  <w:r>
                    <w:t>7</w:t>
                  </w:r>
                </w:p>
              </w:tc>
              <w:tc>
                <w:tcPr>
                  <w:tcW w:w="1096" w:type="pct"/>
                  <w:shd w:val="clear" w:color="auto" w:fill="auto"/>
                </w:tcPr>
                <w:p w:rsidR="004A0B2C" w:rsidRPr="000674FA" w:rsidRDefault="004A0B2C" w:rsidP="004A0B2C">
                  <w:pPr>
                    <w:pStyle w:val="TableBodyText"/>
                  </w:pPr>
                  <w:r w:rsidRPr="005B5039">
                    <w:t>2 525</w:t>
                  </w:r>
                </w:p>
              </w:tc>
              <w:tc>
                <w:tcPr>
                  <w:tcW w:w="499" w:type="pct"/>
                  <w:shd w:val="clear" w:color="auto" w:fill="auto"/>
                </w:tcPr>
                <w:p w:rsidR="004A0B2C" w:rsidRPr="000674FA" w:rsidRDefault="004A0B2C" w:rsidP="004A0B2C">
                  <w:pPr>
                    <w:pStyle w:val="TableBodyText"/>
                  </w:pPr>
                  <w:r w:rsidRPr="005B5039">
                    <w:t>15</w:t>
                  </w:r>
                </w:p>
              </w:tc>
              <w:tc>
                <w:tcPr>
                  <w:tcW w:w="903" w:type="pct"/>
                  <w:shd w:val="clear" w:color="auto" w:fill="auto"/>
                </w:tcPr>
                <w:p w:rsidR="004A0B2C" w:rsidRDefault="004A0B2C" w:rsidP="00D31546">
                  <w:pPr>
                    <w:pStyle w:val="TableBodyText"/>
                    <w:ind w:right="28"/>
                  </w:pPr>
                  <w:r w:rsidRPr="005B5039">
                    <w:t>24</w:t>
                  </w:r>
                </w:p>
              </w:tc>
            </w:tr>
            <w:tr w:rsidR="004A0B2C" w:rsidTr="00ED1130">
              <w:tc>
                <w:tcPr>
                  <w:tcW w:w="1083" w:type="pct"/>
                  <w:shd w:val="pct5" w:color="auto" w:fill="auto"/>
                </w:tcPr>
                <w:p w:rsidR="004A0B2C" w:rsidRDefault="004A0B2C" w:rsidP="004A0B2C">
                  <w:pPr>
                    <w:pStyle w:val="TableBodyText"/>
                    <w:ind w:left="57"/>
                    <w:jc w:val="left"/>
                  </w:pPr>
                  <w:r w:rsidRPr="000674FA">
                    <w:t>Responded</w:t>
                  </w:r>
                </w:p>
              </w:tc>
              <w:tc>
                <w:tcPr>
                  <w:tcW w:w="931" w:type="pct"/>
                  <w:shd w:val="pct5" w:color="auto" w:fill="auto"/>
                </w:tcPr>
                <w:p w:rsidR="004A0B2C" w:rsidRPr="000674FA" w:rsidRDefault="004A0B2C" w:rsidP="004A0B2C">
                  <w:pPr>
                    <w:pStyle w:val="TableBodyText"/>
                  </w:pPr>
                  <w:r w:rsidRPr="005B5039">
                    <w:t>951</w:t>
                  </w:r>
                </w:p>
              </w:tc>
              <w:tc>
                <w:tcPr>
                  <w:tcW w:w="487" w:type="pct"/>
                  <w:shd w:val="pct5" w:color="auto" w:fill="auto"/>
                </w:tcPr>
                <w:p w:rsidR="004A0B2C" w:rsidRPr="000674FA" w:rsidRDefault="004A0B2C" w:rsidP="004A0B2C">
                  <w:pPr>
                    <w:pStyle w:val="TableBodyText"/>
                  </w:pPr>
                  <w:r w:rsidRPr="005B5039">
                    <w:t>93</w:t>
                  </w:r>
                </w:p>
              </w:tc>
              <w:tc>
                <w:tcPr>
                  <w:tcW w:w="1096" w:type="pct"/>
                  <w:shd w:val="pct5" w:color="auto" w:fill="auto"/>
                </w:tcPr>
                <w:p w:rsidR="004A0B2C" w:rsidRPr="000674FA" w:rsidRDefault="004A0B2C" w:rsidP="004A0B2C">
                  <w:pPr>
                    <w:pStyle w:val="TableBodyText"/>
                  </w:pPr>
                  <w:r w:rsidRPr="005B5039">
                    <w:t>14 14</w:t>
                  </w:r>
                  <w:r w:rsidR="002C4819">
                    <w:t>8</w:t>
                  </w:r>
                </w:p>
              </w:tc>
              <w:tc>
                <w:tcPr>
                  <w:tcW w:w="499" w:type="pct"/>
                  <w:shd w:val="pct5" w:color="auto" w:fill="auto"/>
                </w:tcPr>
                <w:p w:rsidR="004A0B2C" w:rsidRPr="000674FA" w:rsidRDefault="004A0B2C" w:rsidP="004A0B2C">
                  <w:pPr>
                    <w:pStyle w:val="TableBodyText"/>
                  </w:pPr>
                  <w:r w:rsidRPr="005B5039">
                    <w:t>8</w:t>
                  </w:r>
                  <w:r w:rsidR="002C4819">
                    <w:t>5</w:t>
                  </w:r>
                </w:p>
              </w:tc>
              <w:tc>
                <w:tcPr>
                  <w:tcW w:w="903" w:type="pct"/>
                  <w:shd w:val="pct5" w:color="auto" w:fill="auto"/>
                </w:tcPr>
                <w:p w:rsidR="004A0B2C" w:rsidRDefault="004A0B2C" w:rsidP="00D31546">
                  <w:pPr>
                    <w:pStyle w:val="TableBodyText"/>
                    <w:ind w:right="28"/>
                  </w:pPr>
                  <w:r w:rsidRPr="005B5039">
                    <w:t>59</w:t>
                  </w:r>
                </w:p>
              </w:tc>
            </w:tr>
            <w:tr w:rsidR="004A0B2C" w:rsidTr="00ED1130">
              <w:tc>
                <w:tcPr>
                  <w:tcW w:w="1083" w:type="pct"/>
                  <w:tcBorders>
                    <w:bottom w:val="single" w:sz="6" w:space="0" w:color="BFBFBF"/>
                  </w:tcBorders>
                  <w:shd w:val="clear" w:color="auto" w:fill="auto"/>
                </w:tcPr>
                <w:p w:rsidR="004A0B2C" w:rsidRDefault="004A0B2C" w:rsidP="004A0B2C">
                  <w:pPr>
                    <w:pStyle w:val="TableBodyText"/>
                    <w:ind w:left="57"/>
                    <w:jc w:val="left"/>
                  </w:pPr>
                  <w:r w:rsidRPr="000674FA">
                    <w:t>Total</w:t>
                  </w:r>
                </w:p>
              </w:tc>
              <w:tc>
                <w:tcPr>
                  <w:tcW w:w="931" w:type="pct"/>
                  <w:tcBorders>
                    <w:bottom w:val="single" w:sz="6" w:space="0" w:color="BFBFBF"/>
                  </w:tcBorders>
                  <w:shd w:val="clear" w:color="auto" w:fill="auto"/>
                </w:tcPr>
                <w:p w:rsidR="004A0B2C" w:rsidRPr="000674FA" w:rsidRDefault="004A0B2C" w:rsidP="004A0B2C">
                  <w:pPr>
                    <w:pStyle w:val="TableBodyText"/>
                  </w:pPr>
                  <w:r w:rsidRPr="005B5039">
                    <w:t>1 02</w:t>
                  </w:r>
                  <w:r w:rsidR="00FF0E72">
                    <w:t>1</w:t>
                  </w:r>
                </w:p>
              </w:tc>
              <w:tc>
                <w:tcPr>
                  <w:tcW w:w="487" w:type="pct"/>
                  <w:tcBorders>
                    <w:bottom w:val="single" w:sz="6" w:space="0" w:color="BFBFBF"/>
                  </w:tcBorders>
                  <w:shd w:val="clear" w:color="auto" w:fill="auto"/>
                </w:tcPr>
                <w:p w:rsidR="004A0B2C" w:rsidRPr="000674FA" w:rsidRDefault="004A0B2C" w:rsidP="004A0B2C">
                  <w:pPr>
                    <w:pStyle w:val="TableBodyText"/>
                  </w:pPr>
                  <w:r w:rsidRPr="005B5039">
                    <w:t>100</w:t>
                  </w:r>
                </w:p>
              </w:tc>
              <w:tc>
                <w:tcPr>
                  <w:tcW w:w="1096" w:type="pct"/>
                  <w:tcBorders>
                    <w:bottom w:val="single" w:sz="6" w:space="0" w:color="BFBFBF"/>
                  </w:tcBorders>
                  <w:shd w:val="clear" w:color="auto" w:fill="auto"/>
                </w:tcPr>
                <w:p w:rsidR="004A0B2C" w:rsidRPr="000674FA" w:rsidRDefault="004A0B2C" w:rsidP="004A0B2C">
                  <w:pPr>
                    <w:pStyle w:val="TableBodyText"/>
                  </w:pPr>
                  <w:r w:rsidRPr="005B5039">
                    <w:t>16 67</w:t>
                  </w:r>
                  <w:r w:rsidR="002C4819">
                    <w:t>3</w:t>
                  </w:r>
                </w:p>
              </w:tc>
              <w:tc>
                <w:tcPr>
                  <w:tcW w:w="499" w:type="pct"/>
                  <w:tcBorders>
                    <w:bottom w:val="single" w:sz="6" w:space="0" w:color="BFBFBF"/>
                  </w:tcBorders>
                  <w:shd w:val="clear" w:color="auto" w:fill="auto"/>
                </w:tcPr>
                <w:p w:rsidR="004A0B2C" w:rsidRPr="000674FA" w:rsidRDefault="004A0B2C" w:rsidP="004A0B2C">
                  <w:pPr>
                    <w:pStyle w:val="TableBodyText"/>
                  </w:pPr>
                  <w:r w:rsidRPr="005B5039">
                    <w:t>100</w:t>
                  </w:r>
                </w:p>
              </w:tc>
              <w:tc>
                <w:tcPr>
                  <w:tcW w:w="903" w:type="pct"/>
                  <w:tcBorders>
                    <w:bottom w:val="single" w:sz="6" w:space="0" w:color="BFBFBF"/>
                  </w:tcBorders>
                  <w:shd w:val="clear" w:color="auto" w:fill="auto"/>
                </w:tcPr>
                <w:p w:rsidR="004A0B2C" w:rsidRDefault="004A0B2C" w:rsidP="00D31546">
                  <w:pPr>
                    <w:pStyle w:val="TableBodyText"/>
                    <w:ind w:right="28"/>
                  </w:pPr>
                  <w:r w:rsidRPr="005B5039">
                    <w:t>83</w:t>
                  </w:r>
                </w:p>
              </w:tc>
            </w:tr>
          </w:tbl>
          <w:p w:rsidR="00AE1386" w:rsidRDefault="00AE1386" w:rsidP="00AE1386">
            <w:pPr>
              <w:pStyle w:val="Box"/>
            </w:pPr>
          </w:p>
        </w:tc>
      </w:tr>
      <w:tr w:rsidR="00AE1386" w:rsidTr="00AE1386">
        <w:tc>
          <w:tcPr>
            <w:tcW w:w="5000" w:type="pct"/>
            <w:tcBorders>
              <w:top w:val="nil"/>
              <w:left w:val="nil"/>
              <w:bottom w:val="nil"/>
              <w:right w:val="nil"/>
            </w:tcBorders>
            <w:shd w:val="clear" w:color="auto" w:fill="auto"/>
          </w:tcPr>
          <w:p w:rsidR="00AE1386" w:rsidRDefault="00AE1386" w:rsidP="00AE1386">
            <w:pPr>
              <w:pStyle w:val="Source"/>
            </w:pPr>
            <w:r>
              <w:rPr>
                <w:i/>
              </w:rPr>
              <w:t>Source</w:t>
            </w:r>
            <w:r w:rsidR="00907EE9">
              <w:rPr>
                <w:i/>
              </w:rPr>
              <w:t>s</w:t>
            </w:r>
            <w:r w:rsidRPr="00167F06">
              <w:t xml:space="preserve">: </w:t>
            </w:r>
            <w:r>
              <w:t>Supplementary fund</w:t>
            </w:r>
            <w:r w:rsidR="00B42E05">
              <w:t>s</w:t>
            </w:r>
            <w:r>
              <w:t xml:space="preserve"> survey; confidential APRA data</w:t>
            </w:r>
            <w:r w:rsidR="003A2835">
              <w:t>.</w:t>
            </w:r>
          </w:p>
        </w:tc>
      </w:tr>
      <w:tr w:rsidR="00AE1386" w:rsidTr="00AE1386">
        <w:tc>
          <w:tcPr>
            <w:tcW w:w="5000" w:type="pct"/>
            <w:tcBorders>
              <w:top w:val="nil"/>
              <w:left w:val="nil"/>
              <w:bottom w:val="single" w:sz="6" w:space="0" w:color="78A22F"/>
              <w:right w:val="nil"/>
            </w:tcBorders>
            <w:shd w:val="clear" w:color="auto" w:fill="auto"/>
          </w:tcPr>
          <w:p w:rsidR="00AE1386" w:rsidRDefault="00AE1386" w:rsidP="00AE1386">
            <w:pPr>
              <w:pStyle w:val="Box"/>
              <w:spacing w:before="0" w:line="120" w:lineRule="exact"/>
            </w:pPr>
          </w:p>
        </w:tc>
      </w:tr>
      <w:tr w:rsidR="00AE1386" w:rsidRPr="000863A5" w:rsidTr="00AE1386">
        <w:tc>
          <w:tcPr>
            <w:tcW w:w="5000" w:type="pct"/>
            <w:tcBorders>
              <w:top w:val="single" w:sz="6" w:space="0" w:color="78A22F"/>
              <w:left w:val="nil"/>
              <w:bottom w:val="nil"/>
              <w:right w:val="nil"/>
            </w:tcBorders>
          </w:tcPr>
          <w:p w:rsidR="00AE1386" w:rsidRPr="00626D32" w:rsidRDefault="00AE1386" w:rsidP="00AE1386">
            <w:pPr>
              <w:pStyle w:val="BoxSpaceBelow"/>
            </w:pPr>
          </w:p>
        </w:tc>
      </w:tr>
    </w:tbl>
    <w:p w:rsidR="00593993" w:rsidRDefault="00593993" w:rsidP="00593993">
      <w:pPr>
        <w:pStyle w:val="BodyText"/>
      </w:pPr>
      <w:r>
        <w:t>Expense</w:t>
      </w:r>
      <w:r w:rsidR="008247F3">
        <w:t>s</w:t>
      </w:r>
      <w:r>
        <w:t xml:space="preserve"> data provided in the supplementary survey differ from the expenses data reported by </w:t>
      </w:r>
      <w:r w:rsidR="008247F3">
        <w:t>funds to</w:t>
      </w:r>
      <w:r>
        <w:t xml:space="preserve"> APRA. Total i</w:t>
      </w:r>
      <w:r w:rsidRPr="00A52C73">
        <w:t xml:space="preserve">nvestment management expenses reported in the supplementary survey </w:t>
      </w:r>
      <w:r w:rsidR="008247F3">
        <w:t>we</w:t>
      </w:r>
      <w:r w:rsidRPr="00A52C73">
        <w:t>re 3</w:t>
      </w:r>
      <w:r w:rsidR="008247F3">
        <w:t>3</w:t>
      </w:r>
      <w:r w:rsidRPr="00A52C73">
        <w:t xml:space="preserve"> per cent higher than </w:t>
      </w:r>
      <w:r w:rsidR="005338E5">
        <w:t xml:space="preserve">the data </w:t>
      </w:r>
      <w:r w:rsidRPr="00A52C73">
        <w:t xml:space="preserve">reported </w:t>
      </w:r>
      <w:r w:rsidR="005338E5">
        <w:t>to APRA and published</w:t>
      </w:r>
      <w:r w:rsidRPr="00A52C73">
        <w:t xml:space="preserve"> in APRA Fund Level Statistics for the same set of funds (table </w:t>
      </w:r>
      <w:r w:rsidR="00E17D56">
        <w:t>15</w:t>
      </w:r>
      <w:r w:rsidR="00423569">
        <w:t>)</w:t>
      </w:r>
      <w:r w:rsidRPr="00AE6027">
        <w:t>.</w:t>
      </w:r>
      <w:r>
        <w:t xml:space="preserve"> This is likely due to</w:t>
      </w:r>
      <w:r w:rsidR="0098282E">
        <w:t xml:space="preserve"> significant</w:t>
      </w:r>
      <w:r>
        <w:t xml:space="preserve"> underreporting of </w:t>
      </w:r>
      <w:r w:rsidR="0098282E">
        <w:t>indirect</w:t>
      </w:r>
      <w:r w:rsidDel="0098282E">
        <w:t xml:space="preserve"> </w:t>
      </w:r>
      <w:r>
        <w:t>investment expenses under the APRA reporting framework (</w:t>
      </w:r>
      <w:r w:rsidR="0098282E">
        <w:t>as described in chapter 3 of the draft report</w:t>
      </w:r>
      <w:r>
        <w:t>)</w:t>
      </w:r>
      <w:r w:rsidRPr="00A52C73">
        <w:t>. In contrast, administration expenses reported in the supplementary survey were about 9 per cent l</w:t>
      </w:r>
      <w:r w:rsidR="008247F3">
        <w:t>ower</w:t>
      </w:r>
      <w:r w:rsidR="00C75D83">
        <w:t xml:space="preserve"> </w:t>
      </w:r>
      <w:r w:rsidRPr="00A52C73">
        <w:t>than in the APRA data.</w:t>
      </w:r>
    </w:p>
    <w:p w:rsidR="00C22D76" w:rsidRDefault="00C22D76" w:rsidP="00C22D7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C22D76" w:rsidTr="00C22D76">
        <w:trPr>
          <w:tblHeader/>
        </w:trPr>
        <w:tc>
          <w:tcPr>
            <w:tcW w:w="5000" w:type="pct"/>
            <w:tcBorders>
              <w:top w:val="single" w:sz="6" w:space="0" w:color="78A22F"/>
              <w:left w:val="nil"/>
              <w:bottom w:val="nil"/>
              <w:right w:val="nil"/>
            </w:tcBorders>
            <w:shd w:val="clear" w:color="auto" w:fill="auto"/>
          </w:tcPr>
          <w:p w:rsidR="00C22D76" w:rsidRPr="009F41DE" w:rsidRDefault="00C22D76" w:rsidP="00C22D76">
            <w:pPr>
              <w:pStyle w:val="TableTitle"/>
              <w:rPr>
                <w:spacing w:val="-2"/>
              </w:rPr>
            </w:pPr>
            <w:r>
              <w:rPr>
                <w:b w:val="0"/>
              </w:rPr>
              <w:t xml:space="preserve">Table </w:t>
            </w:r>
            <w:bookmarkStart w:id="93" w:name="OLE_LINK37"/>
            <w:r w:rsidR="001345FE">
              <w:rPr>
                <w:b w:val="0"/>
                <w:noProof/>
              </w:rPr>
              <w:t>15</w:t>
            </w:r>
            <w:bookmarkEnd w:id="93"/>
            <w:r>
              <w:tab/>
            </w:r>
            <w:r w:rsidRPr="009F41DE">
              <w:rPr>
                <w:spacing w:val="-2"/>
              </w:rPr>
              <w:t xml:space="preserve">Supplementary </w:t>
            </w:r>
            <w:r w:rsidR="00FC1944" w:rsidRPr="009F41DE">
              <w:rPr>
                <w:spacing w:val="-2"/>
              </w:rPr>
              <w:t xml:space="preserve">funds </w:t>
            </w:r>
            <w:r w:rsidRPr="009F41DE">
              <w:rPr>
                <w:spacing w:val="-2"/>
              </w:rPr>
              <w:t xml:space="preserve">survey results compared to APRA </w:t>
            </w:r>
            <w:r w:rsidR="00F9701C" w:rsidRPr="009F41DE">
              <w:rPr>
                <w:spacing w:val="-2"/>
              </w:rPr>
              <w:t>data</w:t>
            </w:r>
            <w:r w:rsidR="00F9701C" w:rsidRPr="009F41DE">
              <w:rPr>
                <w:rStyle w:val="NoteLabel"/>
                <w:b/>
                <w:spacing w:val="-2"/>
              </w:rPr>
              <w:t>a</w:t>
            </w:r>
          </w:p>
          <w:p w:rsidR="00C22D76" w:rsidRPr="00784A05" w:rsidRDefault="00C22D76" w:rsidP="00C22D76">
            <w:pPr>
              <w:pStyle w:val="Subtitle"/>
            </w:pPr>
            <w:r w:rsidRPr="00D05642">
              <w:t>Expenses by category and data source</w:t>
            </w:r>
            <w:r w:rsidR="00C4261B" w:rsidRPr="0052154F">
              <w:t>, 2016</w:t>
            </w:r>
            <w:r w:rsidR="00C4261B" w:rsidRPr="0052154F">
              <w:noBreakHyphen/>
              <w:t>17</w:t>
            </w:r>
          </w:p>
        </w:tc>
      </w:tr>
      <w:tr w:rsidR="00C22D76" w:rsidTr="00C22D76">
        <w:tc>
          <w:tcPr>
            <w:tcW w:w="5000" w:type="pct"/>
            <w:tcBorders>
              <w:top w:val="nil"/>
              <w:left w:val="nil"/>
              <w:bottom w:val="nil"/>
              <w:right w:val="nil"/>
            </w:tcBorders>
            <w:shd w:val="clear" w:color="auto" w:fill="auto"/>
          </w:tcPr>
          <w:tbl>
            <w:tblPr>
              <w:tblW w:w="8525" w:type="dxa"/>
              <w:tblCellMar>
                <w:top w:w="28" w:type="dxa"/>
                <w:left w:w="0" w:type="dxa"/>
                <w:right w:w="0" w:type="dxa"/>
              </w:tblCellMar>
              <w:tblLook w:val="0000" w:firstRow="0" w:lastRow="0" w:firstColumn="0" w:lastColumn="0" w:noHBand="0" w:noVBand="0"/>
            </w:tblPr>
            <w:tblGrid>
              <w:gridCol w:w="920"/>
              <w:gridCol w:w="1330"/>
              <w:gridCol w:w="868"/>
              <w:gridCol w:w="1025"/>
              <w:gridCol w:w="119"/>
              <w:gridCol w:w="1587"/>
              <w:gridCol w:w="813"/>
              <w:gridCol w:w="1069"/>
              <w:gridCol w:w="119"/>
              <w:gridCol w:w="675"/>
            </w:tblGrid>
            <w:tr w:rsidR="00064EE8" w:rsidTr="00064EE8">
              <w:trPr>
                <w:tblHeader/>
              </w:trPr>
              <w:tc>
                <w:tcPr>
                  <w:tcW w:w="540" w:type="pct"/>
                  <w:tcBorders>
                    <w:top w:val="single" w:sz="6" w:space="0" w:color="BFBFBF"/>
                    <w:bottom w:val="single" w:sz="6" w:space="0" w:color="BFBFBF"/>
                  </w:tcBorders>
                  <w:shd w:val="clear" w:color="auto" w:fill="auto"/>
                  <w:tcMar>
                    <w:top w:w="28" w:type="dxa"/>
                  </w:tcMar>
                </w:tcPr>
                <w:p w:rsidR="00064EE8" w:rsidRDefault="00064EE8" w:rsidP="00C22D76">
                  <w:pPr>
                    <w:pStyle w:val="TableColumnHeading"/>
                    <w:jc w:val="left"/>
                  </w:pPr>
                  <w:r>
                    <w:t>Fund type</w:t>
                  </w:r>
                </w:p>
              </w:tc>
              <w:tc>
                <w:tcPr>
                  <w:tcW w:w="1890" w:type="pct"/>
                  <w:gridSpan w:val="3"/>
                  <w:tcBorders>
                    <w:top w:val="single" w:sz="6" w:space="0" w:color="BFBFBF"/>
                    <w:bottom w:val="single" w:sz="6" w:space="0" w:color="BFBFBF"/>
                  </w:tcBorders>
                </w:tcPr>
                <w:p w:rsidR="00064EE8" w:rsidRDefault="00064EE8" w:rsidP="00C22D76">
                  <w:pPr>
                    <w:pStyle w:val="TableColumnHeading"/>
                  </w:pPr>
                  <w:r>
                    <w:t>Administration services</w:t>
                  </w:r>
                </w:p>
              </w:tc>
              <w:tc>
                <w:tcPr>
                  <w:tcW w:w="70" w:type="pct"/>
                  <w:tcBorders>
                    <w:top w:val="single" w:sz="6" w:space="0" w:color="BFBFBF"/>
                  </w:tcBorders>
                </w:tcPr>
                <w:p w:rsidR="00064EE8" w:rsidRDefault="00064EE8" w:rsidP="00C22D76">
                  <w:pPr>
                    <w:pStyle w:val="TableColumnHeading"/>
                  </w:pPr>
                </w:p>
              </w:tc>
              <w:tc>
                <w:tcPr>
                  <w:tcW w:w="2035" w:type="pct"/>
                  <w:gridSpan w:val="3"/>
                  <w:tcBorders>
                    <w:top w:val="single" w:sz="6" w:space="0" w:color="BFBFBF"/>
                    <w:bottom w:val="single" w:sz="6" w:space="0" w:color="BFBFBF"/>
                  </w:tcBorders>
                </w:tcPr>
                <w:p w:rsidR="00064EE8" w:rsidRDefault="00064EE8" w:rsidP="00C22D76">
                  <w:pPr>
                    <w:pStyle w:val="TableColumnHeading"/>
                  </w:pPr>
                  <w:r>
                    <w:t>Investment services</w:t>
                  </w:r>
                </w:p>
              </w:tc>
              <w:tc>
                <w:tcPr>
                  <w:tcW w:w="70" w:type="pct"/>
                  <w:tcBorders>
                    <w:top w:val="single" w:sz="6" w:space="0" w:color="BFBFBF"/>
                  </w:tcBorders>
                </w:tcPr>
                <w:p w:rsidR="00064EE8" w:rsidRDefault="00064EE8" w:rsidP="00C22D76">
                  <w:pPr>
                    <w:pStyle w:val="TableColumnHeading"/>
                    <w:ind w:right="28"/>
                  </w:pPr>
                </w:p>
              </w:tc>
              <w:tc>
                <w:tcPr>
                  <w:tcW w:w="396" w:type="pct"/>
                  <w:tcBorders>
                    <w:top w:val="single" w:sz="6" w:space="0" w:color="BFBFBF"/>
                    <w:bottom w:val="single" w:sz="6" w:space="0" w:color="BFBFBF"/>
                  </w:tcBorders>
                  <w:shd w:val="clear" w:color="auto" w:fill="auto"/>
                  <w:tcMar>
                    <w:top w:w="28" w:type="dxa"/>
                  </w:tcMar>
                </w:tcPr>
                <w:p w:rsidR="00064EE8" w:rsidRDefault="00064EE8" w:rsidP="00C22D76">
                  <w:pPr>
                    <w:pStyle w:val="TableColumnHeading"/>
                    <w:ind w:right="28"/>
                  </w:pPr>
                  <w:r>
                    <w:t>Number of funds</w:t>
                  </w:r>
                </w:p>
              </w:tc>
            </w:tr>
            <w:tr w:rsidR="0005498D" w:rsidTr="0005498D">
              <w:tc>
                <w:tcPr>
                  <w:tcW w:w="540" w:type="pct"/>
                  <w:tcBorders>
                    <w:top w:val="single" w:sz="6" w:space="0" w:color="BFBFBF"/>
                    <w:bottom w:val="single" w:sz="6" w:space="0" w:color="BFBFBF"/>
                  </w:tcBorders>
                </w:tcPr>
                <w:p w:rsidR="00064EE8" w:rsidRPr="00D05642" w:rsidRDefault="00064EE8" w:rsidP="009B4018">
                  <w:pPr>
                    <w:pStyle w:val="TableColumnHeading"/>
                    <w:jc w:val="left"/>
                  </w:pPr>
                </w:p>
              </w:tc>
              <w:tc>
                <w:tcPr>
                  <w:tcW w:w="780" w:type="pct"/>
                  <w:tcBorders>
                    <w:top w:val="single" w:sz="6" w:space="0" w:color="BFBFBF"/>
                    <w:bottom w:val="single" w:sz="6" w:space="0" w:color="BFBFBF"/>
                  </w:tcBorders>
                  <w:vAlign w:val="center"/>
                </w:tcPr>
                <w:p w:rsidR="00064EE8" w:rsidRDefault="00064EE8" w:rsidP="00C22D76">
                  <w:pPr>
                    <w:pStyle w:val="TableColumnHeading"/>
                  </w:pPr>
                  <w:r>
                    <w:t>Supplementary survey ($m)</w:t>
                  </w:r>
                </w:p>
              </w:tc>
              <w:tc>
                <w:tcPr>
                  <w:tcW w:w="509" w:type="pct"/>
                  <w:tcBorders>
                    <w:top w:val="single" w:sz="6" w:space="0" w:color="BFBFBF"/>
                    <w:bottom w:val="single" w:sz="6" w:space="0" w:color="BFBFBF"/>
                  </w:tcBorders>
                  <w:vAlign w:val="center"/>
                </w:tcPr>
                <w:p w:rsidR="00064EE8" w:rsidRDefault="00064EE8" w:rsidP="00064EE8">
                  <w:pPr>
                    <w:pStyle w:val="TableColumnHeading"/>
                    <w:ind w:right="28"/>
                  </w:pPr>
                  <w:r>
                    <w:t>APRA ($m)</w:t>
                  </w:r>
                  <w:r>
                    <w:rPr>
                      <w:rStyle w:val="NoteLabel"/>
                      <w:i w:val="0"/>
                    </w:rPr>
                    <w:t>b</w:t>
                  </w:r>
                </w:p>
              </w:tc>
              <w:tc>
                <w:tcPr>
                  <w:tcW w:w="601" w:type="pct"/>
                  <w:tcBorders>
                    <w:top w:val="single" w:sz="6" w:space="0" w:color="BFBFBF"/>
                    <w:bottom w:val="single" w:sz="6" w:space="0" w:color="BFBFBF"/>
                  </w:tcBorders>
                  <w:vAlign w:val="center"/>
                </w:tcPr>
                <w:p w:rsidR="00064EE8" w:rsidRDefault="00064EE8" w:rsidP="00064EE8">
                  <w:pPr>
                    <w:pStyle w:val="TableColumnHeading"/>
                    <w:ind w:right="28"/>
                  </w:pPr>
                  <w:r>
                    <w:t>Difference</w:t>
                  </w:r>
                  <w:r w:rsidR="00617DD2">
                    <w:t xml:space="preserve"> </w:t>
                  </w:r>
                  <w:r>
                    <w:t>(%)</w:t>
                  </w:r>
                  <w:r>
                    <w:rPr>
                      <w:rStyle w:val="NoteLabel"/>
                      <w:i w:val="0"/>
                    </w:rPr>
                    <w:t>c</w:t>
                  </w:r>
                </w:p>
              </w:tc>
              <w:tc>
                <w:tcPr>
                  <w:tcW w:w="70" w:type="pct"/>
                </w:tcPr>
                <w:p w:rsidR="00064EE8" w:rsidRDefault="00064EE8" w:rsidP="00C22D76">
                  <w:pPr>
                    <w:pStyle w:val="TableColumnHeading"/>
                  </w:pPr>
                </w:p>
              </w:tc>
              <w:tc>
                <w:tcPr>
                  <w:tcW w:w="931" w:type="pct"/>
                  <w:tcBorders>
                    <w:top w:val="single" w:sz="6" w:space="0" w:color="BFBFBF"/>
                    <w:bottom w:val="single" w:sz="6" w:space="0" w:color="BFBFBF"/>
                  </w:tcBorders>
                  <w:vAlign w:val="center"/>
                </w:tcPr>
                <w:p w:rsidR="00064EE8" w:rsidRDefault="00064EE8" w:rsidP="00C22D76">
                  <w:pPr>
                    <w:pStyle w:val="TableColumnHeading"/>
                  </w:pPr>
                  <w:r>
                    <w:t>Supplementary survey ($m)</w:t>
                  </w:r>
                </w:p>
              </w:tc>
              <w:tc>
                <w:tcPr>
                  <w:tcW w:w="477" w:type="pct"/>
                  <w:tcBorders>
                    <w:top w:val="single" w:sz="6" w:space="0" w:color="BFBFBF"/>
                    <w:bottom w:val="single" w:sz="6" w:space="0" w:color="BFBFBF"/>
                  </w:tcBorders>
                  <w:vAlign w:val="center"/>
                </w:tcPr>
                <w:p w:rsidR="00064EE8" w:rsidRPr="00D05642" w:rsidRDefault="00064EE8" w:rsidP="00064EE8">
                  <w:pPr>
                    <w:pStyle w:val="TableColumnHeading"/>
                    <w:ind w:right="28"/>
                    <w:rPr>
                      <w:i w:val="0"/>
                    </w:rPr>
                  </w:pPr>
                  <w:r>
                    <w:t>APRA ($m)</w:t>
                  </w:r>
                  <w:r>
                    <w:rPr>
                      <w:rStyle w:val="NoteLabel"/>
                      <w:i w:val="0"/>
                    </w:rPr>
                    <w:t>b</w:t>
                  </w:r>
                </w:p>
              </w:tc>
              <w:tc>
                <w:tcPr>
                  <w:tcW w:w="627" w:type="pct"/>
                  <w:tcBorders>
                    <w:top w:val="single" w:sz="6" w:space="0" w:color="BFBFBF"/>
                    <w:bottom w:val="single" w:sz="6" w:space="0" w:color="BFBFBF"/>
                  </w:tcBorders>
                  <w:vAlign w:val="center"/>
                </w:tcPr>
                <w:p w:rsidR="00064EE8" w:rsidRDefault="00064EE8" w:rsidP="00064EE8">
                  <w:pPr>
                    <w:pStyle w:val="TableColumnHeading"/>
                    <w:ind w:right="28"/>
                  </w:pPr>
                  <w:r>
                    <w:t>Difference</w:t>
                  </w:r>
                  <w:r w:rsidR="00617DD2">
                    <w:t xml:space="preserve"> </w:t>
                  </w:r>
                  <w:r>
                    <w:t>(%)</w:t>
                  </w:r>
                  <w:r>
                    <w:rPr>
                      <w:rStyle w:val="NoteLabel"/>
                      <w:i w:val="0"/>
                    </w:rPr>
                    <w:t>c</w:t>
                  </w:r>
                </w:p>
              </w:tc>
              <w:tc>
                <w:tcPr>
                  <w:tcW w:w="70" w:type="pct"/>
                </w:tcPr>
                <w:p w:rsidR="00064EE8" w:rsidRDefault="00064EE8" w:rsidP="00C22D76">
                  <w:pPr>
                    <w:pStyle w:val="TableColumnHeading"/>
                  </w:pPr>
                </w:p>
              </w:tc>
              <w:tc>
                <w:tcPr>
                  <w:tcW w:w="396" w:type="pct"/>
                  <w:tcBorders>
                    <w:top w:val="single" w:sz="6" w:space="0" w:color="BFBFBF"/>
                    <w:bottom w:val="single" w:sz="6" w:space="0" w:color="BFBFBF"/>
                  </w:tcBorders>
                </w:tcPr>
                <w:p w:rsidR="00064EE8" w:rsidRDefault="00064EE8" w:rsidP="00C22D76">
                  <w:pPr>
                    <w:pStyle w:val="TableColumnHeading"/>
                  </w:pPr>
                </w:p>
              </w:tc>
            </w:tr>
            <w:tr w:rsidR="00064EE8" w:rsidTr="0005498D">
              <w:tc>
                <w:tcPr>
                  <w:tcW w:w="540" w:type="pct"/>
                  <w:tcBorders>
                    <w:top w:val="single" w:sz="6" w:space="0" w:color="BFBFBF"/>
                  </w:tcBorders>
                  <w:vAlign w:val="center"/>
                </w:tcPr>
                <w:p w:rsidR="00064EE8" w:rsidRDefault="00064EE8" w:rsidP="00C22D76">
                  <w:pPr>
                    <w:pStyle w:val="TableBodyText"/>
                    <w:jc w:val="left"/>
                  </w:pPr>
                  <w:r>
                    <w:t>Retail</w:t>
                  </w:r>
                </w:p>
              </w:tc>
              <w:tc>
                <w:tcPr>
                  <w:tcW w:w="780" w:type="pct"/>
                  <w:tcBorders>
                    <w:top w:val="single" w:sz="6" w:space="0" w:color="BFBFBF"/>
                  </w:tcBorders>
                  <w:vAlign w:val="center"/>
                </w:tcPr>
                <w:p w:rsidR="00064EE8" w:rsidRDefault="00064EE8" w:rsidP="00C22D76">
                  <w:pPr>
                    <w:pStyle w:val="TableBodyText"/>
                  </w:pPr>
                  <w:r>
                    <w:t>2 260</w:t>
                  </w:r>
                </w:p>
              </w:tc>
              <w:tc>
                <w:tcPr>
                  <w:tcW w:w="509" w:type="pct"/>
                  <w:tcBorders>
                    <w:top w:val="single" w:sz="6" w:space="0" w:color="BFBFBF"/>
                  </w:tcBorders>
                  <w:vAlign w:val="center"/>
                </w:tcPr>
                <w:p w:rsidR="00064EE8" w:rsidRDefault="00064EE8" w:rsidP="00C22D76">
                  <w:pPr>
                    <w:pStyle w:val="TableBodyText"/>
                  </w:pPr>
                  <w:r>
                    <w:t>2 536</w:t>
                  </w:r>
                </w:p>
              </w:tc>
              <w:tc>
                <w:tcPr>
                  <w:tcW w:w="601" w:type="pct"/>
                  <w:tcBorders>
                    <w:top w:val="single" w:sz="6" w:space="0" w:color="BFBFBF"/>
                  </w:tcBorders>
                  <w:vAlign w:val="center"/>
                </w:tcPr>
                <w:p w:rsidR="00064EE8" w:rsidRDefault="00617DD2" w:rsidP="00C22D76">
                  <w:pPr>
                    <w:pStyle w:val="TableBodyText"/>
                  </w:pPr>
                  <w:r>
                    <w:noBreakHyphen/>
                  </w:r>
                  <w:r w:rsidR="00064EE8">
                    <w:t>11</w:t>
                  </w:r>
                </w:p>
              </w:tc>
              <w:tc>
                <w:tcPr>
                  <w:tcW w:w="70" w:type="pct"/>
                </w:tcPr>
                <w:p w:rsidR="00064EE8" w:rsidRDefault="00064EE8" w:rsidP="00C22D76">
                  <w:pPr>
                    <w:pStyle w:val="TableBodyText"/>
                  </w:pPr>
                </w:p>
              </w:tc>
              <w:tc>
                <w:tcPr>
                  <w:tcW w:w="931" w:type="pct"/>
                  <w:tcBorders>
                    <w:top w:val="single" w:sz="6" w:space="0" w:color="BFBFBF"/>
                  </w:tcBorders>
                  <w:vAlign w:val="center"/>
                </w:tcPr>
                <w:p w:rsidR="00064EE8" w:rsidRDefault="00064EE8" w:rsidP="00C22D76">
                  <w:pPr>
                    <w:pStyle w:val="TableBodyText"/>
                  </w:pPr>
                  <w:r>
                    <w:t xml:space="preserve"> 752</w:t>
                  </w:r>
                </w:p>
              </w:tc>
              <w:tc>
                <w:tcPr>
                  <w:tcW w:w="477" w:type="pct"/>
                  <w:tcBorders>
                    <w:top w:val="single" w:sz="6" w:space="0" w:color="BFBFBF"/>
                  </w:tcBorders>
                  <w:vAlign w:val="center"/>
                </w:tcPr>
                <w:p w:rsidR="00064EE8" w:rsidRDefault="00064EE8" w:rsidP="00C22D76">
                  <w:pPr>
                    <w:pStyle w:val="TableBodyText"/>
                  </w:pPr>
                  <w:r>
                    <w:t xml:space="preserve"> 665</w:t>
                  </w:r>
                </w:p>
              </w:tc>
              <w:tc>
                <w:tcPr>
                  <w:tcW w:w="627" w:type="pct"/>
                  <w:tcBorders>
                    <w:top w:val="single" w:sz="6" w:space="0" w:color="BFBFBF"/>
                  </w:tcBorders>
                  <w:vAlign w:val="center"/>
                </w:tcPr>
                <w:p w:rsidR="00064EE8" w:rsidRDefault="00064EE8" w:rsidP="00C22D76">
                  <w:pPr>
                    <w:pStyle w:val="TableBodyText"/>
                  </w:pPr>
                  <w:r>
                    <w:t xml:space="preserve"> 13</w:t>
                  </w:r>
                </w:p>
              </w:tc>
              <w:tc>
                <w:tcPr>
                  <w:tcW w:w="70" w:type="pct"/>
                </w:tcPr>
                <w:p w:rsidR="00064EE8" w:rsidRDefault="00064EE8" w:rsidP="00C22D76">
                  <w:pPr>
                    <w:pStyle w:val="TableBodyText"/>
                  </w:pPr>
                </w:p>
              </w:tc>
              <w:tc>
                <w:tcPr>
                  <w:tcW w:w="396" w:type="pct"/>
                  <w:tcBorders>
                    <w:top w:val="single" w:sz="6" w:space="0" w:color="BFBFBF"/>
                  </w:tcBorders>
                  <w:vAlign w:val="center"/>
                </w:tcPr>
                <w:p w:rsidR="00064EE8" w:rsidRDefault="00064EE8" w:rsidP="00C22D76">
                  <w:pPr>
                    <w:pStyle w:val="TableBodyText"/>
                  </w:pPr>
                  <w:r>
                    <w:t>70</w:t>
                  </w:r>
                </w:p>
              </w:tc>
            </w:tr>
            <w:tr w:rsidR="00064EE8" w:rsidTr="00064EE8">
              <w:tc>
                <w:tcPr>
                  <w:tcW w:w="540" w:type="pct"/>
                  <w:shd w:val="pct5" w:color="auto" w:fill="auto"/>
                  <w:vAlign w:val="center"/>
                </w:tcPr>
                <w:p w:rsidR="00064EE8" w:rsidRDefault="00064EE8" w:rsidP="00C22D76">
                  <w:pPr>
                    <w:pStyle w:val="TableBodyText"/>
                    <w:jc w:val="left"/>
                  </w:pPr>
                  <w:r>
                    <w:t>Industry</w:t>
                  </w:r>
                </w:p>
              </w:tc>
              <w:tc>
                <w:tcPr>
                  <w:tcW w:w="780" w:type="pct"/>
                  <w:shd w:val="pct5" w:color="auto" w:fill="auto"/>
                  <w:vAlign w:val="center"/>
                </w:tcPr>
                <w:p w:rsidR="00064EE8" w:rsidRDefault="00064EE8" w:rsidP="00C22D76">
                  <w:pPr>
                    <w:pStyle w:val="TableBodyText"/>
                  </w:pPr>
                  <w:r>
                    <w:t>1 166</w:t>
                  </w:r>
                </w:p>
              </w:tc>
              <w:tc>
                <w:tcPr>
                  <w:tcW w:w="509" w:type="pct"/>
                  <w:shd w:val="pct5" w:color="auto" w:fill="auto"/>
                  <w:vAlign w:val="center"/>
                </w:tcPr>
                <w:p w:rsidR="00064EE8" w:rsidRDefault="00064EE8" w:rsidP="00C22D76">
                  <w:pPr>
                    <w:pStyle w:val="TableBodyText"/>
                  </w:pPr>
                  <w:r>
                    <w:t>1 448</w:t>
                  </w:r>
                </w:p>
              </w:tc>
              <w:tc>
                <w:tcPr>
                  <w:tcW w:w="601" w:type="pct"/>
                  <w:shd w:val="pct5" w:color="auto" w:fill="auto"/>
                  <w:vAlign w:val="center"/>
                </w:tcPr>
                <w:p w:rsidR="00064EE8" w:rsidRDefault="00617DD2" w:rsidP="00C22D76">
                  <w:pPr>
                    <w:pStyle w:val="TableBodyText"/>
                  </w:pPr>
                  <w:r>
                    <w:noBreakHyphen/>
                  </w:r>
                  <w:r w:rsidR="00064EE8">
                    <w:t>20</w:t>
                  </w:r>
                </w:p>
              </w:tc>
              <w:tc>
                <w:tcPr>
                  <w:tcW w:w="70" w:type="pct"/>
                  <w:shd w:val="pct5" w:color="auto" w:fill="auto"/>
                </w:tcPr>
                <w:p w:rsidR="00064EE8" w:rsidRDefault="00064EE8" w:rsidP="00C22D76">
                  <w:pPr>
                    <w:pStyle w:val="TableBodyText"/>
                  </w:pPr>
                </w:p>
              </w:tc>
              <w:tc>
                <w:tcPr>
                  <w:tcW w:w="931" w:type="pct"/>
                  <w:shd w:val="pct5" w:color="auto" w:fill="auto"/>
                  <w:vAlign w:val="center"/>
                </w:tcPr>
                <w:p w:rsidR="00064EE8" w:rsidRDefault="00064EE8" w:rsidP="00C22D76">
                  <w:pPr>
                    <w:pStyle w:val="TableBodyText"/>
                  </w:pPr>
                  <w:r>
                    <w:t>1 830</w:t>
                  </w:r>
                </w:p>
              </w:tc>
              <w:tc>
                <w:tcPr>
                  <w:tcW w:w="477" w:type="pct"/>
                  <w:shd w:val="pct5" w:color="auto" w:fill="auto"/>
                  <w:vAlign w:val="center"/>
                </w:tcPr>
                <w:p w:rsidR="00064EE8" w:rsidRDefault="00064EE8" w:rsidP="00C22D76">
                  <w:pPr>
                    <w:pStyle w:val="TableBodyText"/>
                  </w:pPr>
                  <w:r>
                    <w:t>1 698</w:t>
                  </w:r>
                </w:p>
              </w:tc>
              <w:tc>
                <w:tcPr>
                  <w:tcW w:w="627" w:type="pct"/>
                  <w:shd w:val="pct5" w:color="auto" w:fill="auto"/>
                  <w:vAlign w:val="center"/>
                </w:tcPr>
                <w:p w:rsidR="00064EE8" w:rsidRDefault="00064EE8" w:rsidP="00C22D76">
                  <w:pPr>
                    <w:pStyle w:val="TableBodyText"/>
                  </w:pPr>
                  <w:r>
                    <w:t xml:space="preserve"> 8</w:t>
                  </w:r>
                </w:p>
              </w:tc>
              <w:tc>
                <w:tcPr>
                  <w:tcW w:w="70" w:type="pct"/>
                  <w:shd w:val="pct5" w:color="auto" w:fill="auto"/>
                </w:tcPr>
                <w:p w:rsidR="00064EE8" w:rsidRDefault="00064EE8" w:rsidP="00C22D76">
                  <w:pPr>
                    <w:pStyle w:val="TableBodyText"/>
                  </w:pPr>
                </w:p>
              </w:tc>
              <w:tc>
                <w:tcPr>
                  <w:tcW w:w="396" w:type="pct"/>
                  <w:shd w:val="pct5" w:color="auto" w:fill="auto"/>
                  <w:vAlign w:val="center"/>
                </w:tcPr>
                <w:p w:rsidR="00064EE8" w:rsidRDefault="00064EE8" w:rsidP="00C22D76">
                  <w:pPr>
                    <w:pStyle w:val="TableBodyText"/>
                  </w:pPr>
                  <w:r>
                    <w:t>33</w:t>
                  </w:r>
                </w:p>
              </w:tc>
            </w:tr>
            <w:tr w:rsidR="00064EE8" w:rsidTr="00064EE8">
              <w:tc>
                <w:tcPr>
                  <w:tcW w:w="540" w:type="pct"/>
                  <w:vAlign w:val="center"/>
                </w:tcPr>
                <w:p w:rsidR="00064EE8" w:rsidRDefault="00064EE8" w:rsidP="00C22D76">
                  <w:pPr>
                    <w:pStyle w:val="TableBodyText"/>
                    <w:jc w:val="left"/>
                  </w:pPr>
                  <w:r>
                    <w:t>Corporate</w:t>
                  </w:r>
                </w:p>
              </w:tc>
              <w:tc>
                <w:tcPr>
                  <w:tcW w:w="780" w:type="pct"/>
                  <w:vAlign w:val="center"/>
                </w:tcPr>
                <w:p w:rsidR="00064EE8" w:rsidRDefault="00064EE8" w:rsidP="00C22D76">
                  <w:pPr>
                    <w:pStyle w:val="TableBodyText"/>
                  </w:pPr>
                  <w:r>
                    <w:t xml:space="preserve"> 93</w:t>
                  </w:r>
                </w:p>
              </w:tc>
              <w:tc>
                <w:tcPr>
                  <w:tcW w:w="509" w:type="pct"/>
                  <w:vAlign w:val="center"/>
                </w:tcPr>
                <w:p w:rsidR="00064EE8" w:rsidRDefault="00064EE8" w:rsidP="00C22D76">
                  <w:pPr>
                    <w:pStyle w:val="TableBodyText"/>
                  </w:pPr>
                  <w:r>
                    <w:t xml:space="preserve"> 100</w:t>
                  </w:r>
                </w:p>
              </w:tc>
              <w:tc>
                <w:tcPr>
                  <w:tcW w:w="601" w:type="pct"/>
                  <w:vAlign w:val="center"/>
                </w:tcPr>
                <w:p w:rsidR="00064EE8" w:rsidRDefault="00064EE8" w:rsidP="00153F5B">
                  <w:pPr>
                    <w:pStyle w:val="TableBodyText"/>
                    <w:ind w:left="366"/>
                  </w:pPr>
                  <w:r>
                    <w:t>7</w:t>
                  </w:r>
                </w:p>
              </w:tc>
              <w:tc>
                <w:tcPr>
                  <w:tcW w:w="70" w:type="pct"/>
                </w:tcPr>
                <w:p w:rsidR="00064EE8" w:rsidRDefault="00064EE8" w:rsidP="00C22D76">
                  <w:pPr>
                    <w:pStyle w:val="TableBodyText"/>
                  </w:pPr>
                </w:p>
              </w:tc>
              <w:tc>
                <w:tcPr>
                  <w:tcW w:w="931" w:type="pct"/>
                  <w:vAlign w:val="center"/>
                </w:tcPr>
                <w:p w:rsidR="00064EE8" w:rsidRDefault="00064EE8" w:rsidP="00C22D76">
                  <w:pPr>
                    <w:pStyle w:val="TableBodyText"/>
                  </w:pPr>
                  <w:r>
                    <w:t xml:space="preserve"> 196</w:t>
                  </w:r>
                </w:p>
              </w:tc>
              <w:tc>
                <w:tcPr>
                  <w:tcW w:w="477" w:type="pct"/>
                  <w:vAlign w:val="center"/>
                </w:tcPr>
                <w:p w:rsidR="00064EE8" w:rsidRDefault="00064EE8" w:rsidP="00C22D76">
                  <w:pPr>
                    <w:pStyle w:val="TableBodyText"/>
                  </w:pPr>
                  <w:r>
                    <w:t xml:space="preserve"> 184</w:t>
                  </w:r>
                </w:p>
              </w:tc>
              <w:tc>
                <w:tcPr>
                  <w:tcW w:w="627" w:type="pct"/>
                  <w:vAlign w:val="center"/>
                </w:tcPr>
                <w:p w:rsidR="00064EE8" w:rsidRDefault="00064EE8" w:rsidP="00C22D76">
                  <w:pPr>
                    <w:pStyle w:val="TableBodyText"/>
                  </w:pPr>
                  <w:r>
                    <w:t xml:space="preserve"> 7</w:t>
                  </w:r>
                </w:p>
              </w:tc>
              <w:tc>
                <w:tcPr>
                  <w:tcW w:w="70" w:type="pct"/>
                </w:tcPr>
                <w:p w:rsidR="00064EE8" w:rsidRDefault="00064EE8" w:rsidP="00C22D76">
                  <w:pPr>
                    <w:pStyle w:val="TableBodyText"/>
                  </w:pPr>
                </w:p>
              </w:tc>
              <w:tc>
                <w:tcPr>
                  <w:tcW w:w="396" w:type="pct"/>
                  <w:vAlign w:val="center"/>
                </w:tcPr>
                <w:p w:rsidR="00064EE8" w:rsidRDefault="00064EE8" w:rsidP="00C22D76">
                  <w:pPr>
                    <w:pStyle w:val="TableBodyText"/>
                  </w:pPr>
                  <w:r>
                    <w:t>13</w:t>
                  </w:r>
                </w:p>
              </w:tc>
            </w:tr>
            <w:tr w:rsidR="00064EE8" w:rsidTr="00064EE8">
              <w:tc>
                <w:tcPr>
                  <w:tcW w:w="540" w:type="pct"/>
                  <w:shd w:val="pct5" w:color="auto" w:fill="auto"/>
                  <w:vAlign w:val="center"/>
                </w:tcPr>
                <w:p w:rsidR="00064EE8" w:rsidRDefault="00064EE8" w:rsidP="00C22D76">
                  <w:pPr>
                    <w:pStyle w:val="TableBodyText"/>
                    <w:jc w:val="left"/>
                  </w:pPr>
                  <w:r>
                    <w:t>Public sector</w:t>
                  </w:r>
                </w:p>
              </w:tc>
              <w:tc>
                <w:tcPr>
                  <w:tcW w:w="780" w:type="pct"/>
                  <w:shd w:val="pct5" w:color="auto" w:fill="auto"/>
                  <w:vAlign w:val="center"/>
                </w:tcPr>
                <w:p w:rsidR="00064EE8" w:rsidRDefault="00064EE8" w:rsidP="00C22D76">
                  <w:pPr>
                    <w:pStyle w:val="TableBodyText"/>
                  </w:pPr>
                  <w:r>
                    <w:t xml:space="preserve"> 468</w:t>
                  </w:r>
                </w:p>
              </w:tc>
              <w:tc>
                <w:tcPr>
                  <w:tcW w:w="509" w:type="pct"/>
                  <w:shd w:val="pct5" w:color="auto" w:fill="auto"/>
                  <w:vAlign w:val="center"/>
                </w:tcPr>
                <w:p w:rsidR="00064EE8" w:rsidRDefault="00064EE8" w:rsidP="00C22D76">
                  <w:pPr>
                    <w:pStyle w:val="TableBodyText"/>
                  </w:pPr>
                  <w:r>
                    <w:t xml:space="preserve"> 301</w:t>
                  </w:r>
                </w:p>
              </w:tc>
              <w:tc>
                <w:tcPr>
                  <w:tcW w:w="601" w:type="pct"/>
                  <w:shd w:val="pct5" w:color="auto" w:fill="auto"/>
                  <w:vAlign w:val="center"/>
                </w:tcPr>
                <w:p w:rsidR="00064EE8" w:rsidRDefault="00064EE8" w:rsidP="00C22D76">
                  <w:pPr>
                    <w:pStyle w:val="TableBodyText"/>
                  </w:pPr>
                  <w:r>
                    <w:t xml:space="preserve"> 55</w:t>
                  </w:r>
                </w:p>
              </w:tc>
              <w:tc>
                <w:tcPr>
                  <w:tcW w:w="70" w:type="pct"/>
                  <w:shd w:val="pct5" w:color="auto" w:fill="auto"/>
                </w:tcPr>
                <w:p w:rsidR="00064EE8" w:rsidRDefault="00064EE8" w:rsidP="00C22D76">
                  <w:pPr>
                    <w:pStyle w:val="TableBodyText"/>
                  </w:pPr>
                </w:p>
              </w:tc>
              <w:tc>
                <w:tcPr>
                  <w:tcW w:w="931" w:type="pct"/>
                  <w:shd w:val="pct5" w:color="auto" w:fill="auto"/>
                  <w:vAlign w:val="center"/>
                </w:tcPr>
                <w:p w:rsidR="00064EE8" w:rsidRDefault="00064EE8" w:rsidP="00C22D76">
                  <w:pPr>
                    <w:pStyle w:val="TableBodyText"/>
                  </w:pPr>
                  <w:r>
                    <w:t xml:space="preserve"> 995</w:t>
                  </w:r>
                </w:p>
              </w:tc>
              <w:tc>
                <w:tcPr>
                  <w:tcW w:w="477" w:type="pct"/>
                  <w:shd w:val="pct5" w:color="auto" w:fill="auto"/>
                  <w:vAlign w:val="center"/>
                </w:tcPr>
                <w:p w:rsidR="00064EE8" w:rsidRDefault="00064EE8" w:rsidP="00C22D76">
                  <w:pPr>
                    <w:pStyle w:val="TableBodyText"/>
                  </w:pPr>
                  <w:r>
                    <w:t xml:space="preserve"> 303</w:t>
                  </w:r>
                </w:p>
              </w:tc>
              <w:tc>
                <w:tcPr>
                  <w:tcW w:w="627" w:type="pct"/>
                  <w:shd w:val="pct5" w:color="auto" w:fill="auto"/>
                  <w:vAlign w:val="center"/>
                </w:tcPr>
                <w:p w:rsidR="00064EE8" w:rsidRDefault="00064EE8" w:rsidP="00C22D76">
                  <w:pPr>
                    <w:pStyle w:val="TableBodyText"/>
                  </w:pPr>
                  <w:r>
                    <w:t>229</w:t>
                  </w:r>
                </w:p>
              </w:tc>
              <w:tc>
                <w:tcPr>
                  <w:tcW w:w="70" w:type="pct"/>
                  <w:shd w:val="pct5" w:color="auto" w:fill="auto"/>
                </w:tcPr>
                <w:p w:rsidR="00064EE8" w:rsidRDefault="00064EE8" w:rsidP="00C22D76">
                  <w:pPr>
                    <w:pStyle w:val="TableBodyText"/>
                  </w:pPr>
                </w:p>
              </w:tc>
              <w:tc>
                <w:tcPr>
                  <w:tcW w:w="396" w:type="pct"/>
                  <w:shd w:val="pct5" w:color="auto" w:fill="auto"/>
                  <w:vAlign w:val="center"/>
                </w:tcPr>
                <w:p w:rsidR="00064EE8" w:rsidRDefault="00064EE8" w:rsidP="00C22D76">
                  <w:pPr>
                    <w:pStyle w:val="TableBodyText"/>
                  </w:pPr>
                  <w:r>
                    <w:t>15</w:t>
                  </w:r>
                </w:p>
              </w:tc>
            </w:tr>
            <w:tr w:rsidR="00064EE8" w:rsidTr="00064EE8">
              <w:tc>
                <w:tcPr>
                  <w:tcW w:w="540" w:type="pct"/>
                  <w:vAlign w:val="center"/>
                </w:tcPr>
                <w:p w:rsidR="00064EE8" w:rsidRDefault="00064EE8" w:rsidP="00C22D76">
                  <w:pPr>
                    <w:pStyle w:val="TableBodyText"/>
                    <w:jc w:val="left"/>
                  </w:pPr>
                  <w:r>
                    <w:t>Eligible rollover funds</w:t>
                  </w:r>
                </w:p>
              </w:tc>
              <w:tc>
                <w:tcPr>
                  <w:tcW w:w="780" w:type="pct"/>
                  <w:vAlign w:val="center"/>
                </w:tcPr>
                <w:p w:rsidR="00064EE8" w:rsidRDefault="00064EE8" w:rsidP="00C22D76">
                  <w:pPr>
                    <w:pStyle w:val="TableBodyText"/>
                  </w:pPr>
                  <w:r>
                    <w:t xml:space="preserve"> 22</w:t>
                  </w:r>
                </w:p>
              </w:tc>
              <w:tc>
                <w:tcPr>
                  <w:tcW w:w="509" w:type="pct"/>
                  <w:vAlign w:val="center"/>
                </w:tcPr>
                <w:p w:rsidR="00064EE8" w:rsidRDefault="00064EE8" w:rsidP="00C22D76">
                  <w:pPr>
                    <w:pStyle w:val="TableBodyText"/>
                  </w:pPr>
                  <w:r>
                    <w:t xml:space="preserve"> 22</w:t>
                  </w:r>
                </w:p>
              </w:tc>
              <w:tc>
                <w:tcPr>
                  <w:tcW w:w="601" w:type="pct"/>
                  <w:vAlign w:val="center"/>
                </w:tcPr>
                <w:p w:rsidR="00064EE8" w:rsidRDefault="00617DD2" w:rsidP="00153F5B">
                  <w:pPr>
                    <w:pStyle w:val="TableBodyText"/>
                  </w:pPr>
                  <w:r>
                    <w:noBreakHyphen/>
                  </w:r>
                  <w:r w:rsidR="00064EE8">
                    <w:t>4</w:t>
                  </w:r>
                </w:p>
              </w:tc>
              <w:tc>
                <w:tcPr>
                  <w:tcW w:w="70" w:type="pct"/>
                </w:tcPr>
                <w:p w:rsidR="00064EE8" w:rsidRDefault="00064EE8" w:rsidP="00C22D76">
                  <w:pPr>
                    <w:pStyle w:val="TableBodyText"/>
                  </w:pPr>
                </w:p>
              </w:tc>
              <w:tc>
                <w:tcPr>
                  <w:tcW w:w="931" w:type="pct"/>
                  <w:vAlign w:val="center"/>
                </w:tcPr>
                <w:p w:rsidR="00064EE8" w:rsidRDefault="00064EE8" w:rsidP="00C22D76">
                  <w:pPr>
                    <w:pStyle w:val="TableBodyText"/>
                  </w:pPr>
                  <w:r>
                    <w:t xml:space="preserve"> 2</w:t>
                  </w:r>
                </w:p>
              </w:tc>
              <w:tc>
                <w:tcPr>
                  <w:tcW w:w="477" w:type="pct"/>
                  <w:vAlign w:val="center"/>
                </w:tcPr>
                <w:p w:rsidR="00064EE8" w:rsidRDefault="00064EE8" w:rsidP="00C22D76">
                  <w:pPr>
                    <w:pStyle w:val="TableBodyText"/>
                  </w:pPr>
                  <w:r>
                    <w:t>–</w:t>
                  </w:r>
                </w:p>
              </w:tc>
              <w:tc>
                <w:tcPr>
                  <w:tcW w:w="627" w:type="pct"/>
                  <w:vAlign w:val="center"/>
                </w:tcPr>
                <w:p w:rsidR="00064EE8" w:rsidRDefault="00064EE8" w:rsidP="00C22D76">
                  <w:pPr>
                    <w:pStyle w:val="TableBodyText"/>
                  </w:pPr>
                  <w:r>
                    <w:t>–</w:t>
                  </w:r>
                </w:p>
              </w:tc>
              <w:tc>
                <w:tcPr>
                  <w:tcW w:w="70" w:type="pct"/>
                </w:tcPr>
                <w:p w:rsidR="00064EE8" w:rsidRDefault="00064EE8" w:rsidP="00C22D76">
                  <w:pPr>
                    <w:pStyle w:val="TableBodyText"/>
                  </w:pPr>
                </w:p>
              </w:tc>
              <w:tc>
                <w:tcPr>
                  <w:tcW w:w="396" w:type="pct"/>
                  <w:vAlign w:val="center"/>
                </w:tcPr>
                <w:p w:rsidR="00064EE8" w:rsidRDefault="00064EE8" w:rsidP="00C22D76">
                  <w:pPr>
                    <w:pStyle w:val="TableBodyText"/>
                  </w:pPr>
                  <w:r>
                    <w:t>5</w:t>
                  </w:r>
                </w:p>
              </w:tc>
            </w:tr>
            <w:tr w:rsidR="00064EE8" w:rsidTr="00064EE8">
              <w:tc>
                <w:tcPr>
                  <w:tcW w:w="540" w:type="pct"/>
                  <w:tcBorders>
                    <w:bottom w:val="single" w:sz="6" w:space="0" w:color="BFBFBF"/>
                  </w:tcBorders>
                  <w:shd w:val="pct5" w:color="auto" w:fill="auto"/>
                  <w:vAlign w:val="center"/>
                </w:tcPr>
                <w:p w:rsidR="00064EE8" w:rsidRPr="00EA57CE" w:rsidRDefault="00064EE8" w:rsidP="00C22D76">
                  <w:pPr>
                    <w:pStyle w:val="TableBodyText"/>
                    <w:jc w:val="left"/>
                    <w:rPr>
                      <w:b/>
                    </w:rPr>
                  </w:pPr>
                  <w:r w:rsidRPr="00EA57CE">
                    <w:rPr>
                      <w:b/>
                    </w:rPr>
                    <w:t>Total</w:t>
                  </w:r>
                </w:p>
              </w:tc>
              <w:tc>
                <w:tcPr>
                  <w:tcW w:w="780" w:type="pct"/>
                  <w:tcBorders>
                    <w:bottom w:val="single" w:sz="6" w:space="0" w:color="BFBFBF"/>
                  </w:tcBorders>
                  <w:shd w:val="pct5" w:color="auto" w:fill="auto"/>
                  <w:vAlign w:val="center"/>
                </w:tcPr>
                <w:p w:rsidR="00064EE8" w:rsidRPr="00EA57CE" w:rsidRDefault="00064EE8" w:rsidP="00C22D76">
                  <w:pPr>
                    <w:pStyle w:val="TableBodyText"/>
                    <w:rPr>
                      <w:b/>
                    </w:rPr>
                  </w:pPr>
                  <w:r w:rsidRPr="00EA57CE">
                    <w:rPr>
                      <w:b/>
                    </w:rPr>
                    <w:t>4 008</w:t>
                  </w:r>
                </w:p>
              </w:tc>
              <w:tc>
                <w:tcPr>
                  <w:tcW w:w="509" w:type="pct"/>
                  <w:tcBorders>
                    <w:bottom w:val="single" w:sz="6" w:space="0" w:color="BFBFBF"/>
                  </w:tcBorders>
                  <w:shd w:val="pct5" w:color="auto" w:fill="auto"/>
                  <w:vAlign w:val="center"/>
                </w:tcPr>
                <w:p w:rsidR="00064EE8" w:rsidRPr="00EA57CE" w:rsidRDefault="00064EE8" w:rsidP="00C22D76">
                  <w:pPr>
                    <w:pStyle w:val="TableBodyText"/>
                    <w:rPr>
                      <w:b/>
                    </w:rPr>
                  </w:pPr>
                  <w:r w:rsidRPr="00EA57CE">
                    <w:rPr>
                      <w:b/>
                    </w:rPr>
                    <w:t>4 408</w:t>
                  </w:r>
                </w:p>
              </w:tc>
              <w:tc>
                <w:tcPr>
                  <w:tcW w:w="601" w:type="pct"/>
                  <w:tcBorders>
                    <w:bottom w:val="single" w:sz="6" w:space="0" w:color="BFBFBF"/>
                  </w:tcBorders>
                  <w:shd w:val="pct5" w:color="auto" w:fill="auto"/>
                  <w:vAlign w:val="center"/>
                </w:tcPr>
                <w:p w:rsidR="00064EE8" w:rsidRPr="00EA57CE" w:rsidRDefault="00617DD2" w:rsidP="00C22D76">
                  <w:pPr>
                    <w:pStyle w:val="TableBodyText"/>
                    <w:rPr>
                      <w:b/>
                    </w:rPr>
                  </w:pPr>
                  <w:r>
                    <w:rPr>
                      <w:b/>
                    </w:rPr>
                    <w:noBreakHyphen/>
                  </w:r>
                  <w:r w:rsidR="00064EE8" w:rsidRPr="00EA57CE">
                    <w:rPr>
                      <w:b/>
                    </w:rPr>
                    <w:t>9</w:t>
                  </w:r>
                </w:p>
              </w:tc>
              <w:tc>
                <w:tcPr>
                  <w:tcW w:w="70" w:type="pct"/>
                  <w:tcBorders>
                    <w:bottom w:val="single" w:sz="6" w:space="0" w:color="BFBFBF"/>
                  </w:tcBorders>
                  <w:shd w:val="pct5" w:color="auto" w:fill="auto"/>
                </w:tcPr>
                <w:p w:rsidR="00064EE8" w:rsidRPr="00EA57CE" w:rsidRDefault="00064EE8" w:rsidP="00C22D76">
                  <w:pPr>
                    <w:pStyle w:val="TableBodyText"/>
                    <w:rPr>
                      <w:b/>
                    </w:rPr>
                  </w:pPr>
                </w:p>
              </w:tc>
              <w:tc>
                <w:tcPr>
                  <w:tcW w:w="931" w:type="pct"/>
                  <w:tcBorders>
                    <w:bottom w:val="single" w:sz="6" w:space="0" w:color="BFBFBF"/>
                  </w:tcBorders>
                  <w:shd w:val="pct5" w:color="auto" w:fill="auto"/>
                  <w:vAlign w:val="center"/>
                </w:tcPr>
                <w:p w:rsidR="00064EE8" w:rsidRPr="00EA57CE" w:rsidRDefault="00064EE8" w:rsidP="00C22D76">
                  <w:pPr>
                    <w:pStyle w:val="TableBodyText"/>
                    <w:rPr>
                      <w:b/>
                    </w:rPr>
                  </w:pPr>
                  <w:r w:rsidRPr="00EA57CE">
                    <w:rPr>
                      <w:b/>
                    </w:rPr>
                    <w:t>3 775</w:t>
                  </w:r>
                </w:p>
              </w:tc>
              <w:tc>
                <w:tcPr>
                  <w:tcW w:w="477" w:type="pct"/>
                  <w:tcBorders>
                    <w:bottom w:val="single" w:sz="6" w:space="0" w:color="BFBFBF"/>
                  </w:tcBorders>
                  <w:shd w:val="pct5" w:color="auto" w:fill="auto"/>
                  <w:vAlign w:val="center"/>
                </w:tcPr>
                <w:p w:rsidR="00064EE8" w:rsidRPr="00EA57CE" w:rsidRDefault="00064EE8" w:rsidP="00C22D76">
                  <w:pPr>
                    <w:pStyle w:val="TableBodyText"/>
                    <w:rPr>
                      <w:b/>
                    </w:rPr>
                  </w:pPr>
                  <w:r w:rsidRPr="00EA57CE">
                    <w:rPr>
                      <w:b/>
                    </w:rPr>
                    <w:t>2 849</w:t>
                  </w:r>
                </w:p>
              </w:tc>
              <w:tc>
                <w:tcPr>
                  <w:tcW w:w="627" w:type="pct"/>
                  <w:tcBorders>
                    <w:bottom w:val="single" w:sz="6" w:space="0" w:color="BFBFBF"/>
                  </w:tcBorders>
                  <w:shd w:val="pct5" w:color="auto" w:fill="auto"/>
                  <w:vAlign w:val="center"/>
                </w:tcPr>
                <w:p w:rsidR="00064EE8" w:rsidRPr="00EA57CE" w:rsidRDefault="00064EE8" w:rsidP="00C22D76">
                  <w:pPr>
                    <w:pStyle w:val="TableBodyText"/>
                    <w:rPr>
                      <w:b/>
                    </w:rPr>
                  </w:pPr>
                  <w:r w:rsidRPr="00EA57CE">
                    <w:rPr>
                      <w:b/>
                    </w:rPr>
                    <w:t xml:space="preserve"> 33</w:t>
                  </w:r>
                </w:p>
              </w:tc>
              <w:tc>
                <w:tcPr>
                  <w:tcW w:w="70" w:type="pct"/>
                  <w:tcBorders>
                    <w:bottom w:val="single" w:sz="6" w:space="0" w:color="BFBFBF"/>
                  </w:tcBorders>
                  <w:shd w:val="pct5" w:color="auto" w:fill="auto"/>
                </w:tcPr>
                <w:p w:rsidR="00064EE8" w:rsidRPr="00EA57CE" w:rsidRDefault="00064EE8" w:rsidP="00C22D76">
                  <w:pPr>
                    <w:pStyle w:val="TableBodyText"/>
                    <w:rPr>
                      <w:b/>
                    </w:rPr>
                  </w:pPr>
                </w:p>
              </w:tc>
              <w:tc>
                <w:tcPr>
                  <w:tcW w:w="396" w:type="pct"/>
                  <w:tcBorders>
                    <w:bottom w:val="single" w:sz="6" w:space="0" w:color="BFBFBF"/>
                  </w:tcBorders>
                  <w:shd w:val="pct5" w:color="auto" w:fill="auto"/>
                  <w:vAlign w:val="center"/>
                </w:tcPr>
                <w:p w:rsidR="00064EE8" w:rsidRPr="00EA57CE" w:rsidRDefault="00064EE8" w:rsidP="00C22D76">
                  <w:pPr>
                    <w:pStyle w:val="TableBodyText"/>
                    <w:rPr>
                      <w:b/>
                    </w:rPr>
                  </w:pPr>
                  <w:r w:rsidRPr="00EA57CE">
                    <w:rPr>
                      <w:b/>
                    </w:rPr>
                    <w:t>136</w:t>
                  </w:r>
                </w:p>
              </w:tc>
            </w:tr>
          </w:tbl>
          <w:p w:rsidR="00C22D76" w:rsidRDefault="00C22D76" w:rsidP="00C22D76">
            <w:pPr>
              <w:pStyle w:val="Box"/>
            </w:pPr>
          </w:p>
        </w:tc>
      </w:tr>
      <w:tr w:rsidR="00C22D76" w:rsidTr="00C22D76">
        <w:tc>
          <w:tcPr>
            <w:tcW w:w="5000" w:type="pct"/>
            <w:tcBorders>
              <w:top w:val="nil"/>
              <w:left w:val="nil"/>
              <w:bottom w:val="nil"/>
              <w:right w:val="nil"/>
            </w:tcBorders>
            <w:shd w:val="clear" w:color="auto" w:fill="auto"/>
            <w:vAlign w:val="center"/>
          </w:tcPr>
          <w:p w:rsidR="00C22D76" w:rsidRPr="00D05642" w:rsidRDefault="00C22D76" w:rsidP="00C22D76">
            <w:pPr>
              <w:pStyle w:val="Note"/>
            </w:pPr>
            <w:r w:rsidRPr="00D05642">
              <w:rPr>
                <w:rStyle w:val="NoteLabel"/>
              </w:rPr>
              <w:t>a</w:t>
            </w:r>
            <w:r>
              <w:rPr>
                <w:rFonts w:cs="Arial"/>
                <w:color w:val="000000"/>
                <w:szCs w:val="18"/>
              </w:rPr>
              <w:t xml:space="preserve"> Expense categories are based on </w:t>
            </w:r>
            <w:r w:rsidR="00AD68C3">
              <w:rPr>
                <w:rFonts w:cs="Arial"/>
                <w:color w:val="000000"/>
                <w:szCs w:val="18"/>
              </w:rPr>
              <w:t xml:space="preserve">APRA’s </w:t>
            </w:r>
            <w:r>
              <w:rPr>
                <w:rFonts w:cs="Arial"/>
                <w:color w:val="000000"/>
                <w:szCs w:val="18"/>
              </w:rPr>
              <w:t xml:space="preserve">SRS 331.0. Administration services includes administration and other administration services, while investment services includes investment management services, custody expenses and other investment services expenses. </w:t>
            </w:r>
            <w:r w:rsidRPr="00D05642">
              <w:rPr>
                <w:rStyle w:val="NoteLabel"/>
              </w:rPr>
              <w:t>b</w:t>
            </w:r>
            <w:r>
              <w:rPr>
                <w:rFonts w:cs="Arial"/>
                <w:color w:val="000000"/>
                <w:szCs w:val="18"/>
              </w:rPr>
              <w:t xml:space="preserve"> APRA totals are for the same funds providing data in the supplementary survey. </w:t>
            </w:r>
            <w:r w:rsidRPr="00D05642">
              <w:rPr>
                <w:rStyle w:val="NoteLabel"/>
              </w:rPr>
              <w:t>c</w:t>
            </w:r>
            <w:r>
              <w:t xml:space="preserve"> Difference is a percentage of the APRA expenses data. </w:t>
            </w:r>
          </w:p>
        </w:tc>
      </w:tr>
      <w:tr w:rsidR="00C22D76" w:rsidTr="00C22D76">
        <w:tc>
          <w:tcPr>
            <w:tcW w:w="5000" w:type="pct"/>
            <w:tcBorders>
              <w:top w:val="nil"/>
              <w:left w:val="nil"/>
              <w:bottom w:val="nil"/>
              <w:right w:val="nil"/>
            </w:tcBorders>
            <w:shd w:val="clear" w:color="auto" w:fill="auto"/>
            <w:vAlign w:val="center"/>
          </w:tcPr>
          <w:p w:rsidR="00C22D76" w:rsidRDefault="00C22D76" w:rsidP="00F9701C">
            <w:pPr>
              <w:pStyle w:val="Source"/>
              <w:rPr>
                <w:i/>
              </w:rPr>
            </w:pPr>
            <w:r>
              <w:rPr>
                <w:i/>
              </w:rPr>
              <w:t>Source</w:t>
            </w:r>
            <w:r w:rsidR="00907EE9">
              <w:rPr>
                <w:i/>
              </w:rPr>
              <w:t>s</w:t>
            </w:r>
            <w:r>
              <w:t>: Supplementary fund</w:t>
            </w:r>
            <w:r w:rsidR="00FC1944">
              <w:t>s</w:t>
            </w:r>
            <w:r>
              <w:t xml:space="preserve"> survey</w:t>
            </w:r>
            <w:r w:rsidR="00BD2AB2">
              <w:t>; confidential APRA data.</w:t>
            </w:r>
          </w:p>
        </w:tc>
      </w:tr>
      <w:tr w:rsidR="00C22D76" w:rsidTr="00C22D76">
        <w:tc>
          <w:tcPr>
            <w:tcW w:w="5000" w:type="pct"/>
            <w:tcBorders>
              <w:top w:val="nil"/>
              <w:left w:val="nil"/>
              <w:bottom w:val="single" w:sz="6" w:space="0" w:color="78A22F"/>
              <w:right w:val="nil"/>
            </w:tcBorders>
            <w:shd w:val="clear" w:color="auto" w:fill="auto"/>
          </w:tcPr>
          <w:p w:rsidR="00C22D76" w:rsidRDefault="00C22D76" w:rsidP="00C22D76">
            <w:pPr>
              <w:pStyle w:val="Box"/>
              <w:spacing w:before="0" w:line="120" w:lineRule="exact"/>
            </w:pPr>
          </w:p>
        </w:tc>
      </w:tr>
      <w:tr w:rsidR="00C22D76" w:rsidRPr="000863A5" w:rsidTr="00C22D76">
        <w:tc>
          <w:tcPr>
            <w:tcW w:w="5000" w:type="pct"/>
            <w:tcBorders>
              <w:top w:val="single" w:sz="6" w:space="0" w:color="78A22F"/>
              <w:left w:val="nil"/>
              <w:bottom w:val="nil"/>
              <w:right w:val="nil"/>
            </w:tcBorders>
          </w:tcPr>
          <w:p w:rsidR="00C22D76" w:rsidRPr="00626D32" w:rsidRDefault="00C22D76" w:rsidP="00C22D76">
            <w:pPr>
              <w:pStyle w:val="BoxSpaceBelow"/>
            </w:pPr>
          </w:p>
        </w:tc>
      </w:tr>
    </w:tbl>
    <w:p w:rsidR="009A33E6" w:rsidRDefault="000F24D9" w:rsidP="005D0EB2">
      <w:pPr>
        <w:pStyle w:val="Heading3"/>
        <w:spacing w:before="120"/>
      </w:pPr>
      <w:bookmarkStart w:id="94" w:name="_Toc528158053"/>
      <w:bookmarkStart w:id="95" w:name="_Toc528229675"/>
      <w:bookmarkStart w:id="96" w:name="_Toc528298325"/>
      <w:r>
        <w:t>Administration expenses</w:t>
      </w:r>
      <w:bookmarkEnd w:id="94"/>
      <w:bookmarkEnd w:id="95"/>
      <w:bookmarkEnd w:id="96"/>
    </w:p>
    <w:p w:rsidR="0031541D" w:rsidRPr="00153F5B" w:rsidRDefault="0031541D" w:rsidP="00153F5B">
      <w:pPr>
        <w:pStyle w:val="BodyText"/>
        <w:rPr>
          <w:i/>
        </w:rPr>
      </w:pPr>
      <w:r w:rsidRPr="00153F5B">
        <w:rPr>
          <w:i/>
        </w:rPr>
        <w:t xml:space="preserve">How much do funds spend on administration with </w:t>
      </w:r>
      <w:r w:rsidR="00D608E3" w:rsidRPr="00153F5B">
        <w:rPr>
          <w:i/>
        </w:rPr>
        <w:t>related parties</w:t>
      </w:r>
      <w:r w:rsidRPr="00153F5B">
        <w:rPr>
          <w:i/>
        </w:rPr>
        <w:t>?</w:t>
      </w:r>
    </w:p>
    <w:p w:rsidR="00E35A57" w:rsidRDefault="008247F3" w:rsidP="00AE6027">
      <w:pPr>
        <w:pStyle w:val="BodyText"/>
      </w:pPr>
      <w:r>
        <w:t>F</w:t>
      </w:r>
      <w:r w:rsidR="0031541D" w:rsidRPr="0031541D">
        <w:t xml:space="preserve">unds that completed the supplementary survey reported </w:t>
      </w:r>
      <w:r w:rsidR="009F5DA0" w:rsidRPr="0031541D">
        <w:t xml:space="preserve">administration expenses </w:t>
      </w:r>
      <w:r w:rsidR="001E325F">
        <w:t>totalling</w:t>
      </w:r>
      <w:r w:rsidR="009F5DA0">
        <w:t xml:space="preserve"> over $4 billion</w:t>
      </w:r>
      <w:r w:rsidRPr="008247F3">
        <w:t xml:space="preserve"> </w:t>
      </w:r>
      <w:r>
        <w:t>i</w:t>
      </w:r>
      <w:r w:rsidRPr="0031541D">
        <w:t>n 2016</w:t>
      </w:r>
      <w:r w:rsidR="00617DD2">
        <w:noBreakHyphen/>
      </w:r>
      <w:r w:rsidRPr="0031541D">
        <w:t>17</w:t>
      </w:r>
      <w:r w:rsidR="0031541D" w:rsidRPr="0031541D">
        <w:t xml:space="preserve">. </w:t>
      </w:r>
      <w:r w:rsidR="00AE6027">
        <w:t>About one</w:t>
      </w:r>
      <w:r w:rsidR="001579BC">
        <w:noBreakHyphen/>
      </w:r>
      <w:r w:rsidR="009F5DA0" w:rsidRPr="009F5DA0">
        <w:t xml:space="preserve">third of </w:t>
      </w:r>
      <w:r w:rsidR="00012667">
        <w:t xml:space="preserve">all administrative expenses were sourced from </w:t>
      </w:r>
      <w:r w:rsidR="00D608E3">
        <w:t>related parties</w:t>
      </w:r>
      <w:r w:rsidR="009F5DA0" w:rsidRPr="009F5DA0">
        <w:t xml:space="preserve"> (a proportion consistent with the data f</w:t>
      </w:r>
      <w:r>
        <w:t>or</w:t>
      </w:r>
      <w:r w:rsidR="009F5DA0" w:rsidRPr="009F5DA0">
        <w:t xml:space="preserve"> 2011</w:t>
      </w:r>
      <w:r w:rsidR="00617DD2">
        <w:noBreakHyphen/>
      </w:r>
      <w:r w:rsidR="009F5DA0" w:rsidRPr="009F5DA0">
        <w:t>12).</w:t>
      </w:r>
      <w:r w:rsidR="001745C0">
        <w:t xml:space="preserve"> </w:t>
      </w:r>
      <w:r>
        <w:t>However, t</w:t>
      </w:r>
      <w:r w:rsidR="001745C0">
        <w:t xml:space="preserve">he survey data suggest that the use of </w:t>
      </w:r>
      <w:r w:rsidR="00D608E3">
        <w:t xml:space="preserve">related parties </w:t>
      </w:r>
      <w:r w:rsidR="001745C0">
        <w:t>is more prevalent in the retail sector</w:t>
      </w:r>
      <w:r>
        <w:t xml:space="preserve">, with </w:t>
      </w:r>
      <w:r w:rsidR="001745C0">
        <w:t>n</w:t>
      </w:r>
      <w:r w:rsidR="001745C0" w:rsidRPr="009F5DA0">
        <w:t>ot</w:t>
      </w:r>
      <w:r w:rsidR="00617DD2">
        <w:noBreakHyphen/>
      </w:r>
      <w:r w:rsidR="001745C0" w:rsidRPr="009F5DA0">
        <w:t>for</w:t>
      </w:r>
      <w:r w:rsidR="00617DD2">
        <w:noBreakHyphen/>
      </w:r>
      <w:r w:rsidR="001745C0" w:rsidRPr="009F5DA0">
        <w:t>profit funds tend</w:t>
      </w:r>
      <w:r>
        <w:t>ing</w:t>
      </w:r>
      <w:r w:rsidR="001745C0" w:rsidRPr="009F5DA0">
        <w:t xml:space="preserve"> to source more ad</w:t>
      </w:r>
      <w:r w:rsidR="001745C0">
        <w:t>ministration services in</w:t>
      </w:r>
      <w:r w:rsidR="00617DD2">
        <w:noBreakHyphen/>
      </w:r>
      <w:r w:rsidR="001745C0">
        <w:t>house or through non</w:t>
      </w:r>
      <w:r w:rsidR="00617DD2">
        <w:noBreakHyphen/>
      </w:r>
      <w:r w:rsidR="001745C0">
        <w:t>associate</w:t>
      </w:r>
      <w:r w:rsidR="00D608E3">
        <w:t>d</w:t>
      </w:r>
      <w:r w:rsidR="001745C0">
        <w:t xml:space="preserve"> </w:t>
      </w:r>
      <w:r w:rsidR="006E67F6">
        <w:t>providers</w:t>
      </w:r>
      <w:r w:rsidR="001745C0">
        <w:t xml:space="preserve"> (figure </w:t>
      </w:r>
      <w:r w:rsidR="0073348C">
        <w:t>27</w:t>
      </w:r>
      <w:r w:rsidR="001745C0">
        <w:t>)</w:t>
      </w:r>
      <w:r w:rsidR="001745C0" w:rsidRPr="009F5DA0">
        <w:t xml:space="preserve">. </w:t>
      </w:r>
      <w:r w:rsidR="00E35A57">
        <w:t>Not for profit funds directed a</w:t>
      </w:r>
      <w:r w:rsidR="0073348C">
        <w:t>b</w:t>
      </w:r>
      <w:r w:rsidR="00E35A57">
        <w:t>ou</w:t>
      </w:r>
      <w:r w:rsidR="0073348C">
        <w:t>t</w:t>
      </w:r>
      <w:r w:rsidR="00E35A57">
        <w:t xml:space="preserve"> 30 per cent of their administration expenses to related parties in 2011</w:t>
      </w:r>
      <w:r w:rsidR="00617DD2">
        <w:noBreakHyphen/>
      </w:r>
      <w:r w:rsidR="00E35A57">
        <w:t>12 and 2016</w:t>
      </w:r>
      <w:r w:rsidR="00617DD2">
        <w:noBreakHyphen/>
      </w:r>
      <w:r w:rsidR="0073348C">
        <w:t>1</w:t>
      </w:r>
      <w:r w:rsidR="00E35A57">
        <w:t>7</w:t>
      </w:r>
      <w:r w:rsidR="007D31FD">
        <w:t>.</w:t>
      </w:r>
      <w:r w:rsidR="00E35A57">
        <w:t xml:space="preserve"> </w:t>
      </w:r>
      <w:r w:rsidR="007D31FD">
        <w:t>I</w:t>
      </w:r>
      <w:r w:rsidR="00E35A57">
        <w:t>n comparison</w:t>
      </w:r>
      <w:r w:rsidR="007D31FD">
        <w:t xml:space="preserve">, the </w:t>
      </w:r>
      <w:r w:rsidR="00E35A57">
        <w:t xml:space="preserve">percentage </w:t>
      </w:r>
      <w:r w:rsidR="0073348C">
        <w:t>for retail funds exceeded 40 per cent in both years.</w:t>
      </w:r>
      <w:r w:rsidR="00E35A57">
        <w:t xml:space="preserve"> This equates to</w:t>
      </w:r>
      <w:r w:rsidR="007D31FD">
        <w:t xml:space="preserve"> administration expenses with related parties of</w:t>
      </w:r>
      <w:r w:rsidR="00E35A57">
        <w:t xml:space="preserve"> between 10 and 15 basis points </w:t>
      </w:r>
      <w:r w:rsidR="007D31FD">
        <w:t>for not for profit funds, and between 47 and 78 basis points for retail funds.</w:t>
      </w:r>
    </w:p>
    <w:p w:rsidR="005D0EB2" w:rsidRPr="00153F5B" w:rsidRDefault="005D0EB2" w:rsidP="005D0EB2">
      <w:pPr>
        <w:pStyle w:val="BodyText"/>
        <w:rPr>
          <w:i/>
        </w:rPr>
      </w:pPr>
      <w:r w:rsidRPr="00153F5B">
        <w:rPr>
          <w:i/>
        </w:rPr>
        <w:t>Do funds that use related parties have higher administrative expenses?</w:t>
      </w:r>
    </w:p>
    <w:p w:rsidR="005D0EB2" w:rsidRDefault="005D0EB2" w:rsidP="00AE6027">
      <w:pPr>
        <w:pStyle w:val="BodyText"/>
      </w:pPr>
      <w:r>
        <w:t>Within both the retail and not</w:t>
      </w:r>
      <w:r w:rsidR="00617DD2">
        <w:noBreakHyphen/>
      </w:r>
      <w:r>
        <w:t>for</w:t>
      </w:r>
      <w:r w:rsidR="00617DD2">
        <w:noBreakHyphen/>
      </w:r>
      <w:r>
        <w:t xml:space="preserve">profit segments, </w:t>
      </w:r>
      <w:r w:rsidRPr="005B3AE5">
        <w:t xml:space="preserve">funds that source </w:t>
      </w:r>
      <w:r>
        <w:t xml:space="preserve">some portion of their </w:t>
      </w:r>
      <w:r w:rsidRPr="005B3AE5">
        <w:t xml:space="preserve">administrative services from </w:t>
      </w:r>
      <w:r>
        <w:t>related parties</w:t>
      </w:r>
      <w:r w:rsidRPr="005B3AE5">
        <w:t xml:space="preserve"> report higher </w:t>
      </w:r>
      <w:r>
        <w:t xml:space="preserve">average total </w:t>
      </w:r>
      <w:r w:rsidRPr="005B3AE5">
        <w:t xml:space="preserve">administrative expenses. </w:t>
      </w:r>
      <w:r>
        <w:t>Due to a lack of information about the amount and quality of services purchased by a fund, it is not possible to compare the costs of administrative services sourced from related and non</w:t>
      </w:r>
      <w:r w:rsidR="00617DD2">
        <w:noBreakHyphen/>
      </w:r>
      <w:r>
        <w:t xml:space="preserve">associate providers. However, it is possible to compare total administrative expenses for funds that do and do not use related parties (figure 28). </w:t>
      </w:r>
      <w:r w:rsidRPr="005B3AE5">
        <w:t>Not</w:t>
      </w:r>
      <w:r w:rsidR="00617DD2">
        <w:noBreakHyphen/>
      </w:r>
      <w:r w:rsidRPr="005B3AE5">
        <w:t>for</w:t>
      </w:r>
      <w:r w:rsidR="00617DD2">
        <w:noBreakHyphen/>
      </w:r>
      <w:r w:rsidRPr="005B3AE5">
        <w:t xml:space="preserve">profit funds that use </w:t>
      </w:r>
      <w:r>
        <w:t>related</w:t>
      </w:r>
      <w:r w:rsidRPr="005B3AE5">
        <w:t xml:space="preserve"> parties report administrative expenses per member that are </w:t>
      </w:r>
      <w:r>
        <w:t>between 20 and 40</w:t>
      </w:r>
      <w:r w:rsidRPr="005B3AE5">
        <w:t xml:space="preserve"> per cent more than not</w:t>
      </w:r>
      <w:r>
        <w:noBreakHyphen/>
      </w:r>
      <w:r w:rsidRPr="005B3AE5">
        <w:t>for</w:t>
      </w:r>
      <w:r w:rsidR="00617DD2">
        <w:noBreakHyphen/>
      </w:r>
      <w:r w:rsidRPr="005B3AE5">
        <w:t>prof</w:t>
      </w:r>
      <w:r>
        <w:t>it funds</w:t>
      </w:r>
      <w:r w:rsidRPr="005B3AE5">
        <w:t xml:space="preserve"> that do not.</w:t>
      </w:r>
      <w:r>
        <w:t xml:space="preserve"> The difference is smaller for retail </w:t>
      </w:r>
      <w:r>
        <w:lastRenderedPageBreak/>
        <w:t xml:space="preserve">funds, with funds using related parties reporting administrative expenses that are around 9 per cent more than those that do not. </w:t>
      </w:r>
    </w:p>
    <w:p w:rsidR="00914455" w:rsidRDefault="00914455" w:rsidP="005D0EB2">
      <w:pPr>
        <w:pStyle w:val="BoxSpaceAbove"/>
        <w:spacing w:before="1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14455" w:rsidTr="00914455">
        <w:trPr>
          <w:tblHeader/>
        </w:trPr>
        <w:tc>
          <w:tcPr>
            <w:tcW w:w="5000" w:type="pct"/>
            <w:tcBorders>
              <w:top w:val="single" w:sz="6" w:space="0" w:color="78A22F"/>
              <w:left w:val="nil"/>
              <w:bottom w:val="nil"/>
              <w:right w:val="nil"/>
            </w:tcBorders>
            <w:shd w:val="clear" w:color="auto" w:fill="auto"/>
          </w:tcPr>
          <w:p w:rsidR="00914455" w:rsidRDefault="00914455" w:rsidP="00914455">
            <w:pPr>
              <w:pStyle w:val="FigureTitle"/>
            </w:pPr>
            <w:r w:rsidRPr="00784A05">
              <w:rPr>
                <w:b w:val="0"/>
              </w:rPr>
              <w:t xml:space="preserve">Figure </w:t>
            </w:r>
            <w:bookmarkStart w:id="97" w:name="OLE_LINK35"/>
            <w:r w:rsidR="0073348C">
              <w:rPr>
                <w:b w:val="0"/>
                <w:noProof/>
              </w:rPr>
              <w:t>27</w:t>
            </w:r>
            <w:bookmarkEnd w:id="97"/>
            <w:r>
              <w:tab/>
            </w:r>
            <w:r w:rsidR="00012667">
              <w:t xml:space="preserve">Total administration </w:t>
            </w:r>
            <w:r w:rsidR="00E06E51">
              <w:t>expenses</w:t>
            </w:r>
            <w:r w:rsidR="0076115B">
              <w:t xml:space="preserve"> as a per cent of total assets</w:t>
            </w:r>
          </w:p>
          <w:p w:rsidR="00914455" w:rsidRPr="00176D3F" w:rsidRDefault="00012667" w:rsidP="00914455">
            <w:pPr>
              <w:pStyle w:val="Subtitle"/>
            </w:pPr>
            <w:r>
              <w:t>By service source</w:t>
            </w:r>
          </w:p>
        </w:tc>
      </w:tr>
      <w:tr w:rsidR="00914455" w:rsidTr="0091445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14455" w:rsidRPr="00B1465D" w:rsidTr="00914455">
              <w:trPr>
                <w:tblHeader/>
                <w:jc w:val="center"/>
              </w:trPr>
              <w:tc>
                <w:tcPr>
                  <w:tcW w:w="5000" w:type="pct"/>
                  <w:tcBorders>
                    <w:top w:val="nil"/>
                    <w:bottom w:val="nil"/>
                  </w:tcBorders>
                </w:tcPr>
                <w:p w:rsidR="00914455" w:rsidRPr="00B1465D" w:rsidRDefault="00B135E6" w:rsidP="00532AD8">
                  <w:pPr>
                    <w:pStyle w:val="Figure"/>
                    <w:spacing w:before="60" w:after="60"/>
                    <w:rPr>
                      <w:rFonts w:ascii="Arial" w:hAnsi="Arial" w:cs="Arial"/>
                      <w:sz w:val="18"/>
                      <w:szCs w:val="18"/>
                    </w:rPr>
                  </w:pPr>
                  <w:r>
                    <w:rPr>
                      <w:rFonts w:ascii="Arial" w:hAnsi="Arial" w:cs="Arial"/>
                      <w:noProof/>
                      <w:sz w:val="18"/>
                      <w:szCs w:val="18"/>
                    </w:rPr>
                    <w:drawing>
                      <wp:inline distT="0" distB="0" distL="0" distR="0" wp14:anchorId="1DED5E50" wp14:editId="3647D6EA">
                        <wp:extent cx="4920343" cy="3283316"/>
                        <wp:effectExtent l="0" t="0" r="0" b="0"/>
                        <wp:docPr id="4" name="Picture 4" descr="This figure shows administration expenses, as a per cent of total fund assets, incurred with related parties, non-associate providers or in-house by not-for-profit and retail funds. Figures are shown for the years 2011-12 and 2016-17. Administration expenses for not-for-profit funds totalled around 52 basis points in 2011-12 and 33 basis points in 2016-17, with around 30 per cent of this incurred with associate providers. For retail funds, administration expenses totalled around 170 basis points in 2011-12 and 110 basis points in 2016-17, with over 40 per cent of this incurred with associate provi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min_perc_plot_stack"/>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29643" cy="3289522"/>
                                </a:xfrm>
                                <a:prstGeom prst="rect">
                                  <a:avLst/>
                                </a:prstGeom>
                                <a:noFill/>
                                <a:ln>
                                  <a:noFill/>
                                </a:ln>
                              </pic:spPr>
                            </pic:pic>
                          </a:graphicData>
                        </a:graphic>
                      </wp:inline>
                    </w:drawing>
                  </w:r>
                </w:p>
              </w:tc>
            </w:tr>
          </w:tbl>
          <w:p w:rsidR="00914455" w:rsidRDefault="00914455" w:rsidP="00914455">
            <w:pPr>
              <w:pStyle w:val="Figure"/>
            </w:pPr>
          </w:p>
        </w:tc>
      </w:tr>
      <w:tr w:rsidR="00914455" w:rsidRPr="00176D3F" w:rsidTr="00914455">
        <w:tc>
          <w:tcPr>
            <w:tcW w:w="5000" w:type="pct"/>
            <w:tcBorders>
              <w:top w:val="nil"/>
              <w:left w:val="nil"/>
              <w:bottom w:val="nil"/>
              <w:right w:val="nil"/>
            </w:tcBorders>
            <w:shd w:val="clear" w:color="auto" w:fill="auto"/>
          </w:tcPr>
          <w:p w:rsidR="00914455" w:rsidRPr="00176D3F" w:rsidRDefault="004463B5" w:rsidP="00914455">
            <w:pPr>
              <w:pStyle w:val="Source"/>
            </w:pPr>
            <w:r>
              <w:rPr>
                <w:i/>
              </w:rPr>
              <w:t>S</w:t>
            </w:r>
            <w:r w:rsidR="00914455" w:rsidRPr="00784A05">
              <w:rPr>
                <w:i/>
              </w:rPr>
              <w:t>ource</w:t>
            </w:r>
            <w:r w:rsidR="00617DD2">
              <w:rPr>
                <w:i/>
              </w:rPr>
              <w:t>s</w:t>
            </w:r>
            <w:r w:rsidR="00914455" w:rsidRPr="00176D3F">
              <w:t xml:space="preserve">: </w:t>
            </w:r>
            <w:r w:rsidR="00012667">
              <w:t>Supplementary fund</w:t>
            </w:r>
            <w:r>
              <w:t>s</w:t>
            </w:r>
            <w:r w:rsidR="00012667">
              <w:t xml:space="preserve"> survey</w:t>
            </w:r>
            <w:r w:rsidR="0076115B">
              <w:t>; confidential APRA data.</w:t>
            </w:r>
          </w:p>
        </w:tc>
      </w:tr>
      <w:tr w:rsidR="00914455" w:rsidTr="00914455">
        <w:tc>
          <w:tcPr>
            <w:tcW w:w="5000" w:type="pct"/>
            <w:tcBorders>
              <w:top w:val="nil"/>
              <w:left w:val="nil"/>
              <w:bottom w:val="single" w:sz="6" w:space="0" w:color="78A22F"/>
              <w:right w:val="nil"/>
            </w:tcBorders>
            <w:shd w:val="clear" w:color="auto" w:fill="auto"/>
          </w:tcPr>
          <w:p w:rsidR="00914455" w:rsidRDefault="00914455" w:rsidP="00914455">
            <w:pPr>
              <w:pStyle w:val="Figurespace"/>
            </w:pPr>
          </w:p>
        </w:tc>
      </w:tr>
      <w:tr w:rsidR="00914455" w:rsidRPr="000863A5" w:rsidTr="00914455">
        <w:tc>
          <w:tcPr>
            <w:tcW w:w="5000" w:type="pct"/>
            <w:tcBorders>
              <w:top w:val="single" w:sz="6" w:space="0" w:color="78A22F"/>
              <w:left w:val="nil"/>
              <w:bottom w:val="nil"/>
              <w:right w:val="nil"/>
            </w:tcBorders>
          </w:tcPr>
          <w:p w:rsidR="00914455" w:rsidRPr="00626D32" w:rsidRDefault="00914455" w:rsidP="00914455">
            <w:pPr>
              <w:pStyle w:val="BoxSpaceBelow"/>
            </w:pPr>
          </w:p>
        </w:tc>
      </w:tr>
    </w:tbl>
    <w:p w:rsidR="005B3AE5" w:rsidRDefault="005B3AE5" w:rsidP="005D0EB2">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5B3AE5" w:rsidTr="008E044F">
        <w:trPr>
          <w:tblHeader/>
        </w:trPr>
        <w:tc>
          <w:tcPr>
            <w:tcW w:w="5000" w:type="pct"/>
            <w:tcBorders>
              <w:top w:val="single" w:sz="6" w:space="0" w:color="78A22F"/>
              <w:left w:val="nil"/>
              <w:bottom w:val="nil"/>
              <w:right w:val="nil"/>
            </w:tcBorders>
            <w:shd w:val="clear" w:color="auto" w:fill="auto"/>
          </w:tcPr>
          <w:p w:rsidR="005B3AE5" w:rsidRPr="00176D3F" w:rsidRDefault="005B3AE5" w:rsidP="005B3AE5">
            <w:pPr>
              <w:pStyle w:val="FigureTitle"/>
            </w:pPr>
            <w:r w:rsidRPr="00784A05">
              <w:rPr>
                <w:b w:val="0"/>
              </w:rPr>
              <w:t xml:space="preserve">Figure </w:t>
            </w:r>
            <w:bookmarkStart w:id="98" w:name="OLE_LINK40"/>
            <w:r w:rsidR="001345FE">
              <w:rPr>
                <w:b w:val="0"/>
                <w:noProof/>
              </w:rPr>
              <w:t>28</w:t>
            </w:r>
            <w:bookmarkEnd w:id="98"/>
            <w:r>
              <w:tab/>
              <w:t xml:space="preserve">Funds using </w:t>
            </w:r>
            <w:r w:rsidR="00D608E3">
              <w:t xml:space="preserve">related parties </w:t>
            </w:r>
            <w:r>
              <w:t xml:space="preserve">tend to have higher </w:t>
            </w:r>
            <w:r w:rsidR="003C02CD">
              <w:t xml:space="preserve">total </w:t>
            </w:r>
            <w:r w:rsidRPr="005B3AE5">
              <w:t>administration expenses per account</w:t>
            </w:r>
            <w:r w:rsidR="000B7CB8" w:rsidRPr="000B7CB8">
              <w:rPr>
                <w:rStyle w:val="NoteLabel"/>
                <w:b/>
              </w:rPr>
              <w:t>a</w:t>
            </w:r>
          </w:p>
        </w:tc>
      </w:tr>
      <w:tr w:rsidR="005B3AE5" w:rsidTr="008E044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5B3AE5" w:rsidRPr="00B1465D" w:rsidTr="008E044F">
              <w:trPr>
                <w:tblHeader/>
                <w:jc w:val="center"/>
              </w:trPr>
              <w:tc>
                <w:tcPr>
                  <w:tcW w:w="5000" w:type="pct"/>
                  <w:tcBorders>
                    <w:top w:val="nil"/>
                    <w:bottom w:val="nil"/>
                  </w:tcBorders>
                </w:tcPr>
                <w:p w:rsidR="005B3AE5" w:rsidRPr="00B1465D" w:rsidRDefault="00D64FA3" w:rsidP="00105ED1">
                  <w:pPr>
                    <w:pStyle w:val="Figure"/>
                    <w:spacing w:before="60" w:after="60"/>
                    <w:rPr>
                      <w:rFonts w:ascii="Arial" w:hAnsi="Arial" w:cs="Arial"/>
                      <w:sz w:val="18"/>
                      <w:szCs w:val="18"/>
                    </w:rPr>
                  </w:pPr>
                  <w:r>
                    <w:rPr>
                      <w:rFonts w:ascii="Arial" w:hAnsi="Arial" w:cs="Arial"/>
                      <w:noProof/>
                      <w:sz w:val="18"/>
                      <w:szCs w:val="18"/>
                    </w:rPr>
                    <w:drawing>
                      <wp:inline distT="0" distB="0" distL="0" distR="0" wp14:anchorId="7D0C9D28" wp14:editId="67F5F2AD">
                        <wp:extent cx="4724400" cy="2209684"/>
                        <wp:effectExtent l="0" t="0" r="0" b="0"/>
                        <wp:docPr id="14" name="Picture 14" descr="This figure shows that not-for-profit and retail funds using related parties tend to have higher total administration expenses per account. Irrespective of whether they use related parties, retail funds report higher administration expenses. The figure shows the administration expenses per account for 2011-12 and 2016-17. Not for profit funds not using related parties have the lowest total administration expenses per account (around $131 in 2016-17), followed by not for profit funds that do use related parties (around $161 in 2016-17). Retail funds not using related parties report administration expenses per account of around $405 in 2016-17, and retail funds that do use related parties have administration expenses per account of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minPlo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52250" cy="2222710"/>
                                </a:xfrm>
                                <a:prstGeom prst="rect">
                                  <a:avLst/>
                                </a:prstGeom>
                                <a:noFill/>
                                <a:ln>
                                  <a:noFill/>
                                </a:ln>
                              </pic:spPr>
                            </pic:pic>
                          </a:graphicData>
                        </a:graphic>
                      </wp:inline>
                    </w:drawing>
                  </w:r>
                </w:p>
              </w:tc>
            </w:tr>
          </w:tbl>
          <w:p w:rsidR="005B3AE5" w:rsidRDefault="005B3AE5" w:rsidP="008E044F">
            <w:pPr>
              <w:pStyle w:val="Figure"/>
            </w:pPr>
          </w:p>
        </w:tc>
      </w:tr>
      <w:tr w:rsidR="000B7CB8" w:rsidRPr="00176D3F" w:rsidTr="008E044F">
        <w:tc>
          <w:tcPr>
            <w:tcW w:w="5000" w:type="pct"/>
            <w:tcBorders>
              <w:top w:val="nil"/>
              <w:left w:val="nil"/>
              <w:bottom w:val="nil"/>
              <w:right w:val="nil"/>
            </w:tcBorders>
            <w:shd w:val="clear" w:color="auto" w:fill="auto"/>
          </w:tcPr>
          <w:p w:rsidR="000B7CB8" w:rsidRPr="000B7CB8" w:rsidRDefault="000B7CB8" w:rsidP="008E044F">
            <w:pPr>
              <w:pStyle w:val="Source"/>
              <w:rPr>
                <w:rStyle w:val="NoteLabel"/>
              </w:rPr>
            </w:pPr>
            <w:r w:rsidRPr="000B7CB8">
              <w:rPr>
                <w:rStyle w:val="NoteLabel"/>
              </w:rPr>
              <w:t>a</w:t>
            </w:r>
            <w:r>
              <w:rPr>
                <w:rStyle w:val="NoteLabel"/>
              </w:rPr>
              <w:t xml:space="preserve"> </w:t>
            </w:r>
            <w:r>
              <w:t>Funds are considered to be using related parties if related party expenses make up more than 10 per cent of their total administration expenses.</w:t>
            </w:r>
          </w:p>
        </w:tc>
      </w:tr>
      <w:tr w:rsidR="004463B5" w:rsidRPr="00176D3F" w:rsidTr="004463B5">
        <w:tc>
          <w:tcPr>
            <w:tcW w:w="5000" w:type="pct"/>
            <w:tcBorders>
              <w:top w:val="nil"/>
              <w:left w:val="nil"/>
              <w:bottom w:val="nil"/>
              <w:right w:val="nil"/>
            </w:tcBorders>
            <w:shd w:val="clear" w:color="auto" w:fill="auto"/>
          </w:tcPr>
          <w:p w:rsidR="004463B5" w:rsidRPr="00176D3F" w:rsidRDefault="009B5942" w:rsidP="004463B5">
            <w:pPr>
              <w:pStyle w:val="Source"/>
            </w:pPr>
            <w:r>
              <w:rPr>
                <w:i/>
              </w:rPr>
              <w:t>S</w:t>
            </w:r>
            <w:r w:rsidR="004463B5" w:rsidRPr="00784A05">
              <w:rPr>
                <w:i/>
              </w:rPr>
              <w:t>ource</w:t>
            </w:r>
            <w:r w:rsidR="00907EE9">
              <w:rPr>
                <w:i/>
              </w:rPr>
              <w:t>s</w:t>
            </w:r>
            <w:r w:rsidR="004463B5" w:rsidRPr="00176D3F">
              <w:t xml:space="preserve">: </w:t>
            </w:r>
            <w:r w:rsidR="004463B5">
              <w:t>Supplementary funds survey; confidential APRA data.</w:t>
            </w:r>
          </w:p>
        </w:tc>
      </w:tr>
      <w:tr w:rsidR="005B3AE5" w:rsidTr="008E044F">
        <w:tc>
          <w:tcPr>
            <w:tcW w:w="5000" w:type="pct"/>
            <w:tcBorders>
              <w:top w:val="nil"/>
              <w:left w:val="nil"/>
              <w:bottom w:val="single" w:sz="6" w:space="0" w:color="78A22F"/>
              <w:right w:val="nil"/>
            </w:tcBorders>
            <w:shd w:val="clear" w:color="auto" w:fill="auto"/>
          </w:tcPr>
          <w:p w:rsidR="005B3AE5" w:rsidRDefault="005B3AE5" w:rsidP="008E044F">
            <w:pPr>
              <w:pStyle w:val="Figurespace"/>
            </w:pPr>
          </w:p>
        </w:tc>
      </w:tr>
      <w:tr w:rsidR="005B3AE5" w:rsidRPr="000863A5" w:rsidTr="008E044F">
        <w:tc>
          <w:tcPr>
            <w:tcW w:w="5000" w:type="pct"/>
            <w:tcBorders>
              <w:top w:val="single" w:sz="6" w:space="0" w:color="78A22F"/>
              <w:left w:val="nil"/>
              <w:bottom w:val="nil"/>
              <w:right w:val="nil"/>
            </w:tcBorders>
          </w:tcPr>
          <w:p w:rsidR="005B3AE5" w:rsidRPr="00626D32" w:rsidRDefault="005B3AE5" w:rsidP="008E044F">
            <w:pPr>
              <w:pStyle w:val="BoxSpaceBelow"/>
            </w:pPr>
          </w:p>
        </w:tc>
      </w:tr>
    </w:tbl>
    <w:p w:rsidR="000F24D9" w:rsidRDefault="000F24D9" w:rsidP="0031541D">
      <w:pPr>
        <w:pStyle w:val="Heading3"/>
      </w:pPr>
      <w:bookmarkStart w:id="99" w:name="_Toc528158054"/>
      <w:bookmarkStart w:id="100" w:name="_Toc528229676"/>
      <w:bookmarkStart w:id="101" w:name="_Toc528298326"/>
      <w:r>
        <w:lastRenderedPageBreak/>
        <w:t>Investment expenses</w:t>
      </w:r>
      <w:bookmarkEnd w:id="99"/>
      <w:bookmarkEnd w:id="100"/>
      <w:bookmarkEnd w:id="101"/>
    </w:p>
    <w:p w:rsidR="0031541D" w:rsidRPr="00153F5B" w:rsidRDefault="0031541D" w:rsidP="00153F5B">
      <w:pPr>
        <w:pStyle w:val="BodyText"/>
        <w:rPr>
          <w:i/>
        </w:rPr>
      </w:pPr>
      <w:r w:rsidRPr="00153F5B">
        <w:rPr>
          <w:i/>
        </w:rPr>
        <w:t xml:space="preserve">How much do funds spend on investment expenses with </w:t>
      </w:r>
      <w:r w:rsidR="0060367E" w:rsidRPr="00153F5B">
        <w:rPr>
          <w:i/>
        </w:rPr>
        <w:t>related parties</w:t>
      </w:r>
      <w:r w:rsidRPr="00153F5B">
        <w:rPr>
          <w:i/>
        </w:rPr>
        <w:t>?</w:t>
      </w:r>
    </w:p>
    <w:p w:rsidR="002A16D5" w:rsidRDefault="00AE6027" w:rsidP="00EA70EB">
      <w:pPr>
        <w:pStyle w:val="BodyText"/>
      </w:pPr>
      <w:r w:rsidRPr="0031541D">
        <w:t>In 2016</w:t>
      </w:r>
      <w:r w:rsidR="00617DD2">
        <w:noBreakHyphen/>
      </w:r>
      <w:r w:rsidRPr="0031541D">
        <w:t xml:space="preserve">17, funds that completed the supplementary </w:t>
      </w:r>
      <w:r w:rsidR="00A97CD5">
        <w:t xml:space="preserve">funds </w:t>
      </w:r>
      <w:r w:rsidRPr="0031541D">
        <w:t xml:space="preserve">survey reported </w:t>
      </w:r>
      <w:r>
        <w:t xml:space="preserve">investment </w:t>
      </w:r>
      <w:r w:rsidRPr="0031541D">
        <w:t xml:space="preserve">expenses </w:t>
      </w:r>
      <w:r w:rsidR="001E325F">
        <w:t>totalling</w:t>
      </w:r>
      <w:r>
        <w:t xml:space="preserve"> $3.8 billion</w:t>
      </w:r>
      <w:r w:rsidRPr="0031541D">
        <w:t xml:space="preserve">. </w:t>
      </w:r>
      <w:r>
        <w:t>About 17 per cent</w:t>
      </w:r>
      <w:r w:rsidRPr="009F5DA0">
        <w:t xml:space="preserve"> </w:t>
      </w:r>
      <w:r w:rsidR="00DE6964">
        <w:t xml:space="preserve">($627.5 million) </w:t>
      </w:r>
      <w:r w:rsidRPr="009F5DA0">
        <w:t xml:space="preserve">of this was spent on services </w:t>
      </w:r>
      <w:r w:rsidR="00D905E2">
        <w:t xml:space="preserve">procured </w:t>
      </w:r>
      <w:r w:rsidRPr="009F5DA0">
        <w:t xml:space="preserve">from </w:t>
      </w:r>
      <w:r w:rsidR="00D608E3">
        <w:t xml:space="preserve">related parties </w:t>
      </w:r>
      <w:r w:rsidR="00DE6964">
        <w:t>(table</w:t>
      </w:r>
      <w:r w:rsidR="00617DD2">
        <w:t> </w:t>
      </w:r>
      <w:r w:rsidR="00E17D56">
        <w:t>16</w:t>
      </w:r>
      <w:r w:rsidR="00DE6964">
        <w:t>)</w:t>
      </w:r>
      <w:r w:rsidRPr="009F5DA0" w:rsidDel="00DE6964">
        <w:t>.</w:t>
      </w:r>
    </w:p>
    <w:p w:rsidR="00AE6027" w:rsidRDefault="002A16D5" w:rsidP="00EA70EB">
      <w:pPr>
        <w:pStyle w:val="BodyText"/>
      </w:pPr>
      <w:r>
        <w:t xml:space="preserve">Reported </w:t>
      </w:r>
      <w:r w:rsidR="00FC3D4A">
        <w:t xml:space="preserve">relationships </w:t>
      </w:r>
      <w:r w:rsidR="00B36CA3">
        <w:t xml:space="preserve">with </w:t>
      </w:r>
      <w:r w:rsidR="00D608E3">
        <w:t>related parties</w:t>
      </w:r>
      <w:r w:rsidR="00FC3D4A">
        <w:t xml:space="preserve"> for investment services appear more prevalent in the retail sector — 60 per cent of retail fund investment expenditure goes to related parties</w:t>
      </w:r>
      <w:r w:rsidR="000F24D9">
        <w:t>,</w:t>
      </w:r>
      <w:r w:rsidR="00FC3D4A" w:rsidDel="000F24D9">
        <w:t xml:space="preserve"> </w:t>
      </w:r>
      <w:r w:rsidR="00FC3D4A">
        <w:t xml:space="preserve">compared to </w:t>
      </w:r>
      <w:r w:rsidR="008C5A22">
        <w:t xml:space="preserve">only </w:t>
      </w:r>
      <w:r w:rsidR="00FC3D4A">
        <w:t>5 per cent for not</w:t>
      </w:r>
      <w:r w:rsidR="00617DD2">
        <w:noBreakHyphen/>
      </w:r>
      <w:r w:rsidR="00FC3D4A">
        <w:t>for</w:t>
      </w:r>
      <w:r w:rsidR="00617DD2">
        <w:noBreakHyphen/>
      </w:r>
      <w:r w:rsidR="00FC3D4A">
        <w:t xml:space="preserve">profit funds. </w:t>
      </w:r>
      <w:r>
        <w:t>That said, a</w:t>
      </w:r>
      <w:r w:rsidR="00FC3D4A">
        <w:t xml:space="preserve"> lack of investment expenses data from </w:t>
      </w:r>
      <w:r>
        <w:t xml:space="preserve">large </w:t>
      </w:r>
      <w:r w:rsidR="00FC3D4A">
        <w:t xml:space="preserve">retail funds means that it is difficult to </w:t>
      </w:r>
      <w:r>
        <w:t>draw strong conclusions</w:t>
      </w:r>
      <w:r w:rsidR="00FC3D4A">
        <w:t xml:space="preserve">. </w:t>
      </w:r>
    </w:p>
    <w:p w:rsidR="00E341D8" w:rsidRDefault="00E341D8" w:rsidP="00E341D8">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341D8" w:rsidTr="00E341D8">
        <w:trPr>
          <w:tblHeader/>
        </w:trPr>
        <w:tc>
          <w:tcPr>
            <w:tcW w:w="5000" w:type="pct"/>
            <w:tcBorders>
              <w:top w:val="single" w:sz="6" w:space="0" w:color="78A22F"/>
              <w:left w:val="nil"/>
              <w:bottom w:val="nil"/>
              <w:right w:val="nil"/>
            </w:tcBorders>
            <w:shd w:val="clear" w:color="auto" w:fill="auto"/>
          </w:tcPr>
          <w:p w:rsidR="00E341D8" w:rsidRDefault="00E341D8" w:rsidP="00E341D8">
            <w:pPr>
              <w:pStyle w:val="TableTitle"/>
            </w:pPr>
            <w:r>
              <w:rPr>
                <w:b w:val="0"/>
              </w:rPr>
              <w:t xml:space="preserve">Table </w:t>
            </w:r>
            <w:bookmarkStart w:id="102" w:name="OLE_LINK5"/>
            <w:bookmarkStart w:id="103" w:name="OLE_LINK68"/>
            <w:r w:rsidR="001345FE">
              <w:rPr>
                <w:b w:val="0"/>
                <w:noProof/>
              </w:rPr>
              <w:t>16</w:t>
            </w:r>
            <w:bookmarkEnd w:id="102"/>
            <w:bookmarkEnd w:id="103"/>
            <w:r>
              <w:tab/>
              <w:t>Investment</w:t>
            </w:r>
            <w:r w:rsidRPr="00E341D8">
              <w:t xml:space="preserve"> expenses by service source</w:t>
            </w:r>
          </w:p>
          <w:p w:rsidR="00DE6964" w:rsidRPr="00DE6964" w:rsidRDefault="00DE6964" w:rsidP="00CF49E8">
            <w:pPr>
              <w:pStyle w:val="Subtitle"/>
            </w:pPr>
            <w:r>
              <w:t xml:space="preserve">Total expenses and number of funds providing </w:t>
            </w:r>
            <w:r w:rsidR="00E06E51">
              <w:t>data</w:t>
            </w:r>
          </w:p>
        </w:tc>
      </w:tr>
      <w:tr w:rsidR="00E341D8" w:rsidTr="00E341D8">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341"/>
              <w:gridCol w:w="941"/>
              <w:gridCol w:w="112"/>
              <w:gridCol w:w="913"/>
              <w:gridCol w:w="1317"/>
              <w:gridCol w:w="788"/>
              <w:gridCol w:w="112"/>
              <w:gridCol w:w="910"/>
              <w:gridCol w:w="1311"/>
              <w:gridCol w:w="760"/>
            </w:tblGrid>
            <w:tr w:rsidR="00A42448" w:rsidTr="00A42448">
              <w:trPr>
                <w:tblHeader/>
              </w:trPr>
              <w:tc>
                <w:tcPr>
                  <w:tcW w:w="788" w:type="pct"/>
                  <w:tcBorders>
                    <w:top w:val="single" w:sz="6" w:space="0" w:color="BFBFBF"/>
                    <w:bottom w:val="single" w:sz="6" w:space="0" w:color="BFBFBF"/>
                  </w:tcBorders>
                </w:tcPr>
                <w:p w:rsidR="00A42448" w:rsidRDefault="00A42448" w:rsidP="00A42448">
                  <w:pPr>
                    <w:pStyle w:val="TableColumnHeading"/>
                    <w:jc w:val="left"/>
                  </w:pPr>
                  <w:r>
                    <w:t>Source</w:t>
                  </w:r>
                </w:p>
              </w:tc>
              <w:tc>
                <w:tcPr>
                  <w:tcW w:w="553" w:type="pct"/>
                  <w:tcBorders>
                    <w:top w:val="single" w:sz="6" w:space="0" w:color="BFBFBF"/>
                    <w:bottom w:val="single" w:sz="6" w:space="0" w:color="BFBFBF"/>
                  </w:tcBorders>
                  <w:shd w:val="clear" w:color="auto" w:fill="auto"/>
                  <w:tcMar>
                    <w:top w:w="28" w:type="dxa"/>
                  </w:tcMar>
                </w:tcPr>
                <w:p w:rsidR="00A42448" w:rsidRDefault="00A42448" w:rsidP="00A42448">
                  <w:pPr>
                    <w:pStyle w:val="TableColumnHeading"/>
                    <w:jc w:val="left"/>
                  </w:pPr>
                  <w:r>
                    <w:t>Year</w:t>
                  </w:r>
                </w:p>
              </w:tc>
              <w:tc>
                <w:tcPr>
                  <w:tcW w:w="66" w:type="pct"/>
                  <w:tcBorders>
                    <w:top w:val="single" w:sz="6" w:space="0" w:color="BFBFBF"/>
                  </w:tcBorders>
                </w:tcPr>
                <w:p w:rsidR="00A42448" w:rsidRDefault="00A42448" w:rsidP="00A42448">
                  <w:pPr>
                    <w:pStyle w:val="TableColumnHeading"/>
                    <w:jc w:val="center"/>
                  </w:pPr>
                </w:p>
              </w:tc>
              <w:tc>
                <w:tcPr>
                  <w:tcW w:w="1774" w:type="pct"/>
                  <w:gridSpan w:val="3"/>
                  <w:tcBorders>
                    <w:top w:val="single" w:sz="6" w:space="0" w:color="BFBFBF"/>
                    <w:bottom w:val="single" w:sz="6" w:space="0" w:color="BFBFBF"/>
                  </w:tcBorders>
                  <w:vAlign w:val="bottom"/>
                </w:tcPr>
                <w:p w:rsidR="00A42448" w:rsidRDefault="00A42448" w:rsidP="00A42448">
                  <w:pPr>
                    <w:pStyle w:val="TableColumnHeading"/>
                    <w:jc w:val="center"/>
                  </w:pPr>
                  <w:r>
                    <w:t>Not</w:t>
                  </w:r>
                  <w:r>
                    <w:noBreakHyphen/>
                    <w:t>for</w:t>
                  </w:r>
                  <w:r>
                    <w:noBreakHyphen/>
                    <w:t>profit funds</w:t>
                  </w:r>
                </w:p>
              </w:tc>
              <w:tc>
                <w:tcPr>
                  <w:tcW w:w="66" w:type="pct"/>
                  <w:tcBorders>
                    <w:top w:val="single" w:sz="6" w:space="0" w:color="BFBFBF"/>
                  </w:tcBorders>
                </w:tcPr>
                <w:p w:rsidR="00A42448" w:rsidRDefault="00A42448" w:rsidP="00A42448">
                  <w:pPr>
                    <w:pStyle w:val="TableColumnHeading"/>
                    <w:jc w:val="center"/>
                  </w:pPr>
                </w:p>
              </w:tc>
              <w:tc>
                <w:tcPr>
                  <w:tcW w:w="1752" w:type="pct"/>
                  <w:gridSpan w:val="3"/>
                  <w:tcBorders>
                    <w:top w:val="single" w:sz="6" w:space="0" w:color="BFBFBF"/>
                    <w:bottom w:val="single" w:sz="6" w:space="0" w:color="BFBFBF"/>
                  </w:tcBorders>
                  <w:vAlign w:val="bottom"/>
                </w:tcPr>
                <w:p w:rsidR="00A42448" w:rsidRDefault="00A42448" w:rsidP="00A42448">
                  <w:pPr>
                    <w:pStyle w:val="TableColumnHeading"/>
                    <w:jc w:val="center"/>
                  </w:pPr>
                  <w:r>
                    <w:t>Retail funds</w:t>
                  </w:r>
                  <w:r w:rsidRPr="00F074D5">
                    <w:rPr>
                      <w:rStyle w:val="NoteLabel"/>
                      <w:b w:val="0"/>
                    </w:rPr>
                    <w:t>a</w:t>
                  </w:r>
                </w:p>
              </w:tc>
            </w:tr>
            <w:tr w:rsidR="00CB4AB0" w:rsidTr="00A42448">
              <w:trPr>
                <w:tblHeader/>
              </w:trPr>
              <w:tc>
                <w:tcPr>
                  <w:tcW w:w="788" w:type="pct"/>
                  <w:tcBorders>
                    <w:top w:val="single" w:sz="6" w:space="0" w:color="BFBFBF"/>
                    <w:bottom w:val="single" w:sz="6" w:space="0" w:color="BFBFBF"/>
                  </w:tcBorders>
                </w:tcPr>
                <w:p w:rsidR="00CB4AB0" w:rsidRDefault="00CB4AB0" w:rsidP="00E341D8">
                  <w:pPr>
                    <w:pStyle w:val="TableColumnHeading"/>
                    <w:jc w:val="left"/>
                  </w:pPr>
                </w:p>
              </w:tc>
              <w:tc>
                <w:tcPr>
                  <w:tcW w:w="553" w:type="pct"/>
                  <w:tcBorders>
                    <w:top w:val="single" w:sz="6" w:space="0" w:color="BFBFBF"/>
                    <w:bottom w:val="single" w:sz="6" w:space="0" w:color="BFBFBF"/>
                  </w:tcBorders>
                  <w:shd w:val="clear" w:color="auto" w:fill="auto"/>
                  <w:tcMar>
                    <w:top w:w="28" w:type="dxa"/>
                  </w:tcMar>
                </w:tcPr>
                <w:p w:rsidR="00CB4AB0" w:rsidRDefault="00CB4AB0" w:rsidP="00E341D8">
                  <w:pPr>
                    <w:pStyle w:val="TableColumnHeading"/>
                    <w:jc w:val="left"/>
                  </w:pPr>
                </w:p>
              </w:tc>
              <w:tc>
                <w:tcPr>
                  <w:tcW w:w="66" w:type="pct"/>
                </w:tcPr>
                <w:p w:rsidR="00CB4AB0" w:rsidRPr="00EA17AC" w:rsidRDefault="00CB4AB0" w:rsidP="00E341D8">
                  <w:pPr>
                    <w:pStyle w:val="TableColumnHeading"/>
                  </w:pPr>
                </w:p>
              </w:tc>
              <w:tc>
                <w:tcPr>
                  <w:tcW w:w="537" w:type="pct"/>
                  <w:tcBorders>
                    <w:top w:val="single" w:sz="6" w:space="0" w:color="BFBFBF"/>
                    <w:bottom w:val="single" w:sz="6" w:space="0" w:color="BFBFBF"/>
                  </w:tcBorders>
                </w:tcPr>
                <w:p w:rsidR="00CB4AB0" w:rsidRDefault="00CB4AB0" w:rsidP="00E341D8">
                  <w:pPr>
                    <w:pStyle w:val="TableColumnHeading"/>
                  </w:pPr>
                  <w:r w:rsidRPr="00EA17AC">
                    <w:t>Expenses</w:t>
                  </w:r>
                  <w:r>
                    <w:br/>
                  </w:r>
                  <w:r w:rsidRPr="00EA17AC">
                    <w:t>($m)</w:t>
                  </w:r>
                </w:p>
              </w:tc>
              <w:tc>
                <w:tcPr>
                  <w:tcW w:w="774" w:type="pct"/>
                  <w:tcBorders>
                    <w:top w:val="single" w:sz="6" w:space="0" w:color="BFBFBF"/>
                    <w:bottom w:val="single" w:sz="6" w:space="0" w:color="BFBFBF"/>
                  </w:tcBorders>
                </w:tcPr>
                <w:p w:rsidR="00CB4AB0" w:rsidRDefault="00CB4AB0" w:rsidP="00CB4AB0">
                  <w:pPr>
                    <w:pStyle w:val="TableColumnHeading"/>
                  </w:pPr>
                  <w:r>
                    <w:t>Per cent</w:t>
                  </w:r>
                  <w:r>
                    <w:br/>
                    <w:t>of total expenses (%)</w:t>
                  </w:r>
                </w:p>
              </w:tc>
              <w:tc>
                <w:tcPr>
                  <w:tcW w:w="463" w:type="pct"/>
                  <w:tcBorders>
                    <w:top w:val="single" w:sz="6" w:space="0" w:color="BFBFBF"/>
                    <w:bottom w:val="single" w:sz="6" w:space="0" w:color="BFBFBF"/>
                  </w:tcBorders>
                </w:tcPr>
                <w:p w:rsidR="00CB4AB0" w:rsidRPr="00EA17AC" w:rsidRDefault="00CB4AB0" w:rsidP="00587D7F">
                  <w:pPr>
                    <w:pStyle w:val="TableColumnHeading"/>
                  </w:pPr>
                  <w:r w:rsidRPr="00EA17AC">
                    <w:t>N</w:t>
                  </w:r>
                  <w:r>
                    <w:t>umber of</w:t>
                  </w:r>
                  <w:r>
                    <w:br/>
                    <w:t>funds</w:t>
                  </w:r>
                </w:p>
              </w:tc>
              <w:tc>
                <w:tcPr>
                  <w:tcW w:w="66" w:type="pct"/>
                </w:tcPr>
                <w:p w:rsidR="00CB4AB0" w:rsidRPr="00EA17AC" w:rsidRDefault="00CB4AB0">
                  <w:pPr>
                    <w:pStyle w:val="TableColumnHeading"/>
                  </w:pPr>
                </w:p>
              </w:tc>
              <w:tc>
                <w:tcPr>
                  <w:tcW w:w="535" w:type="pct"/>
                  <w:tcBorders>
                    <w:top w:val="single" w:sz="6" w:space="0" w:color="BFBFBF"/>
                    <w:bottom w:val="single" w:sz="6" w:space="0" w:color="BFBFBF"/>
                  </w:tcBorders>
                </w:tcPr>
                <w:p w:rsidR="00CB4AB0" w:rsidRDefault="00CB4AB0">
                  <w:pPr>
                    <w:pStyle w:val="TableColumnHeading"/>
                  </w:pPr>
                  <w:r w:rsidRPr="00EA17AC">
                    <w:t>Expenses</w:t>
                  </w:r>
                  <w:r>
                    <w:br/>
                  </w:r>
                  <w:r w:rsidRPr="00EA17AC">
                    <w:t>($m)</w:t>
                  </w:r>
                </w:p>
              </w:tc>
              <w:tc>
                <w:tcPr>
                  <w:tcW w:w="771" w:type="pct"/>
                  <w:tcBorders>
                    <w:top w:val="single" w:sz="6" w:space="0" w:color="BFBFBF"/>
                    <w:bottom w:val="single" w:sz="6" w:space="0" w:color="BFBFBF"/>
                  </w:tcBorders>
                </w:tcPr>
                <w:p w:rsidR="00CB4AB0" w:rsidRDefault="00CB4AB0" w:rsidP="00E341D8">
                  <w:pPr>
                    <w:pStyle w:val="TableColumnHeading"/>
                  </w:pPr>
                  <w:r>
                    <w:t>Per cent</w:t>
                  </w:r>
                  <w:r>
                    <w:br/>
                    <w:t>of total expenses (%)</w:t>
                  </w:r>
                </w:p>
              </w:tc>
              <w:tc>
                <w:tcPr>
                  <w:tcW w:w="447" w:type="pct"/>
                  <w:tcBorders>
                    <w:top w:val="single" w:sz="6" w:space="0" w:color="BFBFBF"/>
                    <w:bottom w:val="single" w:sz="6" w:space="0" w:color="BFBFBF"/>
                  </w:tcBorders>
                </w:tcPr>
                <w:p w:rsidR="00CB4AB0" w:rsidRPr="00EA17AC" w:rsidRDefault="00CB4AB0" w:rsidP="00587D7F">
                  <w:pPr>
                    <w:pStyle w:val="TableColumnHeading"/>
                  </w:pPr>
                  <w:r w:rsidRPr="00EA17AC">
                    <w:t>N</w:t>
                  </w:r>
                  <w:r>
                    <w:t>umber of</w:t>
                  </w:r>
                  <w:r>
                    <w:br/>
                    <w:t>funds</w:t>
                  </w:r>
                </w:p>
              </w:tc>
            </w:tr>
            <w:tr w:rsidR="00CB4AB0" w:rsidTr="00A42448">
              <w:tc>
                <w:tcPr>
                  <w:tcW w:w="788" w:type="pct"/>
                </w:tcPr>
                <w:p w:rsidR="00CB4AB0" w:rsidRDefault="00CB4AB0" w:rsidP="00CB4AB0">
                  <w:pPr>
                    <w:pStyle w:val="TableBodyText"/>
                    <w:spacing w:before="40"/>
                    <w:jc w:val="left"/>
                  </w:pPr>
                  <w:r w:rsidRPr="00682AAA">
                    <w:t>In</w:t>
                  </w:r>
                  <w:r w:rsidR="00617DD2">
                    <w:noBreakHyphen/>
                  </w:r>
                  <w:r w:rsidRPr="00682AAA">
                    <w:t>house services</w:t>
                  </w:r>
                </w:p>
              </w:tc>
              <w:tc>
                <w:tcPr>
                  <w:tcW w:w="553" w:type="pct"/>
                </w:tcPr>
                <w:p w:rsidR="00CB4AB0" w:rsidRDefault="00CB4AB0" w:rsidP="00CB4AB0">
                  <w:pPr>
                    <w:pStyle w:val="TableBodyText"/>
                    <w:spacing w:before="40"/>
                    <w:jc w:val="left"/>
                  </w:pPr>
                  <w:r w:rsidRPr="003915DF">
                    <w:t>2011</w:t>
                  </w:r>
                  <w:r w:rsidR="00617DD2">
                    <w:noBreakHyphen/>
                  </w:r>
                  <w:r w:rsidRPr="003915DF">
                    <w:t>12</w:t>
                  </w:r>
                </w:p>
              </w:tc>
              <w:tc>
                <w:tcPr>
                  <w:tcW w:w="66" w:type="pct"/>
                </w:tcPr>
                <w:p w:rsidR="00CB4AB0" w:rsidRPr="007D42DD" w:rsidRDefault="00CB4AB0" w:rsidP="00CB4AB0">
                  <w:pPr>
                    <w:pStyle w:val="TableBodyText"/>
                    <w:spacing w:before="40"/>
                  </w:pPr>
                </w:p>
              </w:tc>
              <w:tc>
                <w:tcPr>
                  <w:tcW w:w="537" w:type="pct"/>
                </w:tcPr>
                <w:p w:rsidR="00CB4AB0" w:rsidRDefault="00CB4AB0" w:rsidP="00CB4AB0">
                  <w:pPr>
                    <w:pStyle w:val="TableBodyText"/>
                    <w:spacing w:before="40"/>
                  </w:pPr>
                  <w:r w:rsidRPr="007D42DD">
                    <w:t>80</w:t>
                  </w:r>
                </w:p>
              </w:tc>
              <w:tc>
                <w:tcPr>
                  <w:tcW w:w="774" w:type="pct"/>
                </w:tcPr>
                <w:p w:rsidR="00CB4AB0" w:rsidRDefault="00CB4AB0" w:rsidP="00CB4AB0">
                  <w:pPr>
                    <w:pStyle w:val="TableBodyText"/>
                    <w:spacing w:before="40"/>
                  </w:pPr>
                  <w:r w:rsidRPr="007D42DD">
                    <w:t>55</w:t>
                  </w:r>
                </w:p>
              </w:tc>
              <w:tc>
                <w:tcPr>
                  <w:tcW w:w="463" w:type="pct"/>
                </w:tcPr>
                <w:p w:rsidR="00CB4AB0" w:rsidRPr="007D42DD" w:rsidRDefault="00CB4AB0" w:rsidP="00CB4AB0">
                  <w:pPr>
                    <w:pStyle w:val="TableBodyText"/>
                    <w:spacing w:before="40"/>
                  </w:pPr>
                  <w:r w:rsidRPr="007D42DD">
                    <w:t>18</w:t>
                  </w:r>
                </w:p>
              </w:tc>
              <w:tc>
                <w:tcPr>
                  <w:tcW w:w="66" w:type="pct"/>
                </w:tcPr>
                <w:p w:rsidR="00CB4AB0" w:rsidRPr="00135BE9" w:rsidRDefault="00CB4AB0" w:rsidP="00CB4AB0">
                  <w:pPr>
                    <w:pStyle w:val="TableBodyText"/>
                    <w:spacing w:before="40"/>
                  </w:pPr>
                </w:p>
              </w:tc>
              <w:tc>
                <w:tcPr>
                  <w:tcW w:w="535" w:type="pct"/>
                </w:tcPr>
                <w:p w:rsidR="00CB4AB0" w:rsidRDefault="00CB4AB0" w:rsidP="00CB4AB0">
                  <w:pPr>
                    <w:pStyle w:val="TableBodyText"/>
                    <w:spacing w:before="40"/>
                  </w:pPr>
                  <w:r w:rsidRPr="00135BE9">
                    <w:t>14</w:t>
                  </w:r>
                </w:p>
              </w:tc>
              <w:tc>
                <w:tcPr>
                  <w:tcW w:w="771" w:type="pct"/>
                </w:tcPr>
                <w:p w:rsidR="00CB4AB0" w:rsidRDefault="00CB4AB0" w:rsidP="00CB4AB0">
                  <w:pPr>
                    <w:pStyle w:val="TableBodyText"/>
                    <w:spacing w:before="40"/>
                  </w:pPr>
                  <w:r w:rsidRPr="00135BE9">
                    <w:t>88</w:t>
                  </w:r>
                </w:p>
              </w:tc>
              <w:tc>
                <w:tcPr>
                  <w:tcW w:w="447" w:type="pct"/>
                </w:tcPr>
                <w:p w:rsidR="00CB4AB0" w:rsidRPr="00135BE9" w:rsidRDefault="00CB4AB0" w:rsidP="00CB4AB0">
                  <w:pPr>
                    <w:pStyle w:val="TableBodyText"/>
                    <w:spacing w:before="40"/>
                  </w:pPr>
                  <w:r w:rsidRPr="00135BE9">
                    <w:t>2</w:t>
                  </w:r>
                </w:p>
              </w:tc>
            </w:tr>
            <w:tr w:rsidR="00CB4AB0" w:rsidTr="00A42448">
              <w:tc>
                <w:tcPr>
                  <w:tcW w:w="788" w:type="pct"/>
                  <w:shd w:val="pct5" w:color="auto" w:fill="auto"/>
                </w:tcPr>
                <w:p w:rsidR="00CB4AB0" w:rsidRDefault="00CB4AB0" w:rsidP="00E341D8">
                  <w:pPr>
                    <w:pStyle w:val="TableBodyText"/>
                    <w:jc w:val="left"/>
                  </w:pPr>
                </w:p>
              </w:tc>
              <w:tc>
                <w:tcPr>
                  <w:tcW w:w="553" w:type="pct"/>
                  <w:shd w:val="pct5" w:color="auto" w:fill="auto"/>
                </w:tcPr>
                <w:p w:rsidR="00CB4AB0" w:rsidRDefault="00CB4AB0" w:rsidP="00E341D8">
                  <w:pPr>
                    <w:pStyle w:val="TableBodyText"/>
                    <w:jc w:val="left"/>
                  </w:pPr>
                  <w:r w:rsidRPr="003915DF">
                    <w:t>2016</w:t>
                  </w:r>
                  <w:r w:rsidR="00617DD2">
                    <w:noBreakHyphen/>
                  </w:r>
                  <w:r w:rsidRPr="003915DF">
                    <w:t>17</w:t>
                  </w:r>
                </w:p>
              </w:tc>
              <w:tc>
                <w:tcPr>
                  <w:tcW w:w="66" w:type="pct"/>
                  <w:shd w:val="pct5" w:color="auto" w:fill="auto"/>
                </w:tcPr>
                <w:p w:rsidR="00CB4AB0" w:rsidRPr="007D42DD" w:rsidRDefault="00CB4AB0" w:rsidP="00BE0563">
                  <w:pPr>
                    <w:pStyle w:val="TableBodyText"/>
                  </w:pPr>
                </w:p>
              </w:tc>
              <w:tc>
                <w:tcPr>
                  <w:tcW w:w="537" w:type="pct"/>
                  <w:shd w:val="pct5" w:color="auto" w:fill="auto"/>
                </w:tcPr>
                <w:p w:rsidR="00CB4AB0" w:rsidRDefault="00CB4AB0" w:rsidP="00BE0563">
                  <w:pPr>
                    <w:pStyle w:val="TableBodyText"/>
                  </w:pPr>
                  <w:r w:rsidRPr="007D42DD">
                    <w:t>232</w:t>
                  </w:r>
                </w:p>
              </w:tc>
              <w:tc>
                <w:tcPr>
                  <w:tcW w:w="774" w:type="pct"/>
                  <w:shd w:val="pct5" w:color="auto" w:fill="auto"/>
                </w:tcPr>
                <w:p w:rsidR="00CB4AB0" w:rsidRDefault="00CB4AB0" w:rsidP="00E341D8">
                  <w:pPr>
                    <w:pStyle w:val="TableBodyText"/>
                  </w:pPr>
                  <w:r w:rsidRPr="007D42DD">
                    <w:t>88</w:t>
                  </w:r>
                </w:p>
              </w:tc>
              <w:tc>
                <w:tcPr>
                  <w:tcW w:w="463" w:type="pct"/>
                  <w:shd w:val="pct5" w:color="auto" w:fill="auto"/>
                </w:tcPr>
                <w:p w:rsidR="00CB4AB0" w:rsidRPr="007D42DD" w:rsidRDefault="00CB4AB0" w:rsidP="00F10E4D">
                  <w:pPr>
                    <w:pStyle w:val="TableBodyText"/>
                  </w:pPr>
                  <w:r w:rsidRPr="007D42DD">
                    <w:t>18</w:t>
                  </w:r>
                </w:p>
              </w:tc>
              <w:tc>
                <w:tcPr>
                  <w:tcW w:w="66" w:type="pct"/>
                  <w:shd w:val="pct5" w:color="auto" w:fill="auto"/>
                </w:tcPr>
                <w:p w:rsidR="00CB4AB0" w:rsidRPr="00135BE9" w:rsidRDefault="00CB4AB0" w:rsidP="00E341D8">
                  <w:pPr>
                    <w:pStyle w:val="TableBodyText"/>
                  </w:pPr>
                </w:p>
              </w:tc>
              <w:tc>
                <w:tcPr>
                  <w:tcW w:w="535" w:type="pct"/>
                  <w:shd w:val="pct5" w:color="auto" w:fill="auto"/>
                </w:tcPr>
                <w:p w:rsidR="00CB4AB0" w:rsidRDefault="00CB4AB0" w:rsidP="00E341D8">
                  <w:pPr>
                    <w:pStyle w:val="TableBodyText"/>
                  </w:pPr>
                  <w:r w:rsidRPr="00135BE9">
                    <w:t>1</w:t>
                  </w:r>
                  <w:r w:rsidR="00C721B3">
                    <w:t xml:space="preserve"> </w:t>
                  </w:r>
                  <w:r w:rsidRPr="00135BE9">
                    <w:t>414</w:t>
                  </w:r>
                </w:p>
              </w:tc>
              <w:tc>
                <w:tcPr>
                  <w:tcW w:w="771" w:type="pct"/>
                  <w:shd w:val="pct5" w:color="auto" w:fill="auto"/>
                </w:tcPr>
                <w:p w:rsidR="00CB4AB0" w:rsidRDefault="00CB4AB0" w:rsidP="00E341D8">
                  <w:pPr>
                    <w:pStyle w:val="TableBodyText"/>
                  </w:pPr>
                  <w:r w:rsidRPr="00135BE9">
                    <w:t>33</w:t>
                  </w:r>
                </w:p>
              </w:tc>
              <w:tc>
                <w:tcPr>
                  <w:tcW w:w="447" w:type="pct"/>
                  <w:shd w:val="pct5" w:color="auto" w:fill="auto"/>
                </w:tcPr>
                <w:p w:rsidR="00CB4AB0" w:rsidRPr="00135BE9" w:rsidRDefault="00CB4AB0" w:rsidP="00F10E4D">
                  <w:pPr>
                    <w:pStyle w:val="TableBodyText"/>
                  </w:pPr>
                  <w:r w:rsidRPr="00135BE9">
                    <w:t>5</w:t>
                  </w:r>
                </w:p>
              </w:tc>
            </w:tr>
            <w:tr w:rsidR="00CB4AB0" w:rsidTr="00A42448">
              <w:tc>
                <w:tcPr>
                  <w:tcW w:w="788" w:type="pct"/>
                </w:tcPr>
                <w:p w:rsidR="00CB4AB0" w:rsidRDefault="00CB4AB0" w:rsidP="00E341D8">
                  <w:pPr>
                    <w:pStyle w:val="TableBodyText"/>
                    <w:jc w:val="left"/>
                  </w:pPr>
                  <w:r w:rsidRPr="00682AAA">
                    <w:t xml:space="preserve">Outsourced </w:t>
                  </w:r>
                  <w:r>
                    <w:t>related parties</w:t>
                  </w:r>
                </w:p>
              </w:tc>
              <w:tc>
                <w:tcPr>
                  <w:tcW w:w="553" w:type="pct"/>
                </w:tcPr>
                <w:p w:rsidR="00CB4AB0" w:rsidRDefault="00CB4AB0" w:rsidP="00E341D8">
                  <w:pPr>
                    <w:pStyle w:val="TableBodyText"/>
                    <w:jc w:val="left"/>
                  </w:pPr>
                  <w:r w:rsidRPr="003915DF">
                    <w:t>2011</w:t>
                  </w:r>
                  <w:r w:rsidR="00617DD2">
                    <w:noBreakHyphen/>
                  </w:r>
                  <w:r w:rsidRPr="003915DF">
                    <w:t>12</w:t>
                  </w:r>
                </w:p>
              </w:tc>
              <w:tc>
                <w:tcPr>
                  <w:tcW w:w="66" w:type="pct"/>
                </w:tcPr>
                <w:p w:rsidR="00CB4AB0" w:rsidRPr="007D42DD" w:rsidRDefault="00CB4AB0" w:rsidP="00E341D8">
                  <w:pPr>
                    <w:pStyle w:val="TableBodyText"/>
                  </w:pPr>
                </w:p>
              </w:tc>
              <w:tc>
                <w:tcPr>
                  <w:tcW w:w="537" w:type="pct"/>
                </w:tcPr>
                <w:p w:rsidR="00CB4AB0" w:rsidRDefault="00CB4AB0" w:rsidP="00E341D8">
                  <w:pPr>
                    <w:pStyle w:val="TableBodyText"/>
                  </w:pPr>
                  <w:r w:rsidRPr="007D42DD">
                    <w:t>48</w:t>
                  </w:r>
                </w:p>
              </w:tc>
              <w:tc>
                <w:tcPr>
                  <w:tcW w:w="774" w:type="pct"/>
                </w:tcPr>
                <w:p w:rsidR="00CB4AB0" w:rsidRDefault="00CB4AB0" w:rsidP="00E341D8">
                  <w:pPr>
                    <w:pStyle w:val="TableBodyText"/>
                  </w:pPr>
                  <w:r w:rsidRPr="007D42DD">
                    <w:t>33</w:t>
                  </w:r>
                </w:p>
              </w:tc>
              <w:tc>
                <w:tcPr>
                  <w:tcW w:w="463" w:type="pct"/>
                </w:tcPr>
                <w:p w:rsidR="00CB4AB0" w:rsidRPr="007D42DD" w:rsidRDefault="00CB4AB0" w:rsidP="00F10E4D">
                  <w:pPr>
                    <w:pStyle w:val="TableBodyText"/>
                  </w:pPr>
                  <w:r w:rsidRPr="007D42DD">
                    <w:t>9</w:t>
                  </w:r>
                </w:p>
              </w:tc>
              <w:tc>
                <w:tcPr>
                  <w:tcW w:w="66" w:type="pct"/>
                </w:tcPr>
                <w:p w:rsidR="00CB4AB0" w:rsidRPr="00135BE9" w:rsidRDefault="00CB4AB0" w:rsidP="00E341D8">
                  <w:pPr>
                    <w:pStyle w:val="TableBodyText"/>
                  </w:pPr>
                </w:p>
              </w:tc>
              <w:tc>
                <w:tcPr>
                  <w:tcW w:w="535" w:type="pct"/>
                </w:tcPr>
                <w:p w:rsidR="00CB4AB0" w:rsidRDefault="00CB4AB0" w:rsidP="00E341D8">
                  <w:pPr>
                    <w:pStyle w:val="TableBodyText"/>
                  </w:pPr>
                  <w:r w:rsidRPr="00135BE9">
                    <w:t>108</w:t>
                  </w:r>
                </w:p>
              </w:tc>
              <w:tc>
                <w:tcPr>
                  <w:tcW w:w="771" w:type="pct"/>
                </w:tcPr>
                <w:p w:rsidR="00CB4AB0" w:rsidRDefault="00CB4AB0" w:rsidP="006C162F">
                  <w:pPr>
                    <w:pStyle w:val="TableBodyText"/>
                  </w:pPr>
                  <w:r w:rsidRPr="00135BE9">
                    <w:t>59</w:t>
                  </w:r>
                </w:p>
              </w:tc>
              <w:tc>
                <w:tcPr>
                  <w:tcW w:w="447" w:type="pct"/>
                </w:tcPr>
                <w:p w:rsidR="00CB4AB0" w:rsidRPr="00135BE9" w:rsidRDefault="00CB4AB0" w:rsidP="00F10E4D">
                  <w:pPr>
                    <w:pStyle w:val="TableBodyText"/>
                  </w:pPr>
                  <w:r w:rsidRPr="00135BE9">
                    <w:t>7</w:t>
                  </w:r>
                </w:p>
              </w:tc>
            </w:tr>
            <w:tr w:rsidR="00CB4AB0" w:rsidTr="00A42448">
              <w:tc>
                <w:tcPr>
                  <w:tcW w:w="788" w:type="pct"/>
                  <w:shd w:val="pct5" w:color="auto" w:fill="auto"/>
                </w:tcPr>
                <w:p w:rsidR="00CB4AB0" w:rsidRDefault="00CB4AB0" w:rsidP="00E341D8">
                  <w:pPr>
                    <w:pStyle w:val="TableBodyText"/>
                    <w:jc w:val="left"/>
                  </w:pPr>
                </w:p>
              </w:tc>
              <w:tc>
                <w:tcPr>
                  <w:tcW w:w="553" w:type="pct"/>
                  <w:shd w:val="pct5" w:color="auto" w:fill="auto"/>
                </w:tcPr>
                <w:p w:rsidR="00CB4AB0" w:rsidRDefault="00CB4AB0" w:rsidP="00E341D8">
                  <w:pPr>
                    <w:pStyle w:val="TableBodyText"/>
                    <w:jc w:val="left"/>
                  </w:pPr>
                  <w:r w:rsidRPr="003915DF">
                    <w:t>2016</w:t>
                  </w:r>
                  <w:r w:rsidR="00617DD2">
                    <w:noBreakHyphen/>
                  </w:r>
                  <w:r w:rsidRPr="003915DF">
                    <w:t>17</w:t>
                  </w:r>
                </w:p>
              </w:tc>
              <w:tc>
                <w:tcPr>
                  <w:tcW w:w="66" w:type="pct"/>
                  <w:shd w:val="pct5" w:color="auto" w:fill="auto"/>
                </w:tcPr>
                <w:p w:rsidR="00CB4AB0" w:rsidRPr="007D42DD" w:rsidRDefault="00CB4AB0" w:rsidP="00E341D8">
                  <w:pPr>
                    <w:pStyle w:val="TableBodyText"/>
                  </w:pPr>
                </w:p>
              </w:tc>
              <w:tc>
                <w:tcPr>
                  <w:tcW w:w="537" w:type="pct"/>
                  <w:shd w:val="pct5" w:color="auto" w:fill="auto"/>
                </w:tcPr>
                <w:p w:rsidR="00CB4AB0" w:rsidRDefault="00CB4AB0" w:rsidP="00E341D8">
                  <w:pPr>
                    <w:pStyle w:val="TableBodyText"/>
                  </w:pPr>
                  <w:r w:rsidRPr="007D42DD">
                    <w:t>166</w:t>
                  </w:r>
                </w:p>
              </w:tc>
              <w:tc>
                <w:tcPr>
                  <w:tcW w:w="774" w:type="pct"/>
                  <w:shd w:val="pct5" w:color="auto" w:fill="auto"/>
                </w:tcPr>
                <w:p w:rsidR="00CB4AB0" w:rsidRDefault="00CB4AB0" w:rsidP="00E341D8">
                  <w:pPr>
                    <w:pStyle w:val="TableBodyText"/>
                  </w:pPr>
                  <w:r w:rsidRPr="007D42DD">
                    <w:t>66</w:t>
                  </w:r>
                </w:p>
              </w:tc>
              <w:tc>
                <w:tcPr>
                  <w:tcW w:w="463" w:type="pct"/>
                  <w:shd w:val="pct5" w:color="auto" w:fill="auto"/>
                </w:tcPr>
                <w:p w:rsidR="00CB4AB0" w:rsidRPr="007D42DD" w:rsidRDefault="00CB4AB0" w:rsidP="00F10E4D">
                  <w:pPr>
                    <w:pStyle w:val="TableBodyText"/>
                  </w:pPr>
                  <w:r w:rsidRPr="007D42DD">
                    <w:t>12</w:t>
                  </w:r>
                </w:p>
              </w:tc>
              <w:tc>
                <w:tcPr>
                  <w:tcW w:w="66" w:type="pct"/>
                  <w:shd w:val="pct5" w:color="auto" w:fill="auto"/>
                </w:tcPr>
                <w:p w:rsidR="00CB4AB0" w:rsidRPr="00135BE9" w:rsidRDefault="00CB4AB0" w:rsidP="00BE0563">
                  <w:pPr>
                    <w:pStyle w:val="TableBodyText"/>
                  </w:pPr>
                </w:p>
              </w:tc>
              <w:tc>
                <w:tcPr>
                  <w:tcW w:w="535" w:type="pct"/>
                  <w:shd w:val="pct5" w:color="auto" w:fill="auto"/>
                </w:tcPr>
                <w:p w:rsidR="00CB4AB0" w:rsidRDefault="00CB4AB0" w:rsidP="00BE0563">
                  <w:pPr>
                    <w:pStyle w:val="TableBodyText"/>
                  </w:pPr>
                  <w:r w:rsidRPr="00135BE9">
                    <w:t>462</w:t>
                  </w:r>
                </w:p>
              </w:tc>
              <w:tc>
                <w:tcPr>
                  <w:tcW w:w="771" w:type="pct"/>
                  <w:shd w:val="pct5" w:color="auto" w:fill="auto"/>
                </w:tcPr>
                <w:p w:rsidR="00CB4AB0" w:rsidRDefault="00CB4AB0" w:rsidP="00E341D8">
                  <w:pPr>
                    <w:pStyle w:val="TableBodyText"/>
                  </w:pPr>
                  <w:r w:rsidRPr="00135BE9">
                    <w:t>85</w:t>
                  </w:r>
                </w:p>
              </w:tc>
              <w:tc>
                <w:tcPr>
                  <w:tcW w:w="447" w:type="pct"/>
                  <w:shd w:val="pct5" w:color="auto" w:fill="auto"/>
                </w:tcPr>
                <w:p w:rsidR="00CB4AB0" w:rsidRPr="00135BE9" w:rsidRDefault="00CB4AB0" w:rsidP="00F10E4D">
                  <w:pPr>
                    <w:pStyle w:val="TableBodyText"/>
                  </w:pPr>
                  <w:r w:rsidRPr="00135BE9">
                    <w:t>14</w:t>
                  </w:r>
                </w:p>
              </w:tc>
            </w:tr>
            <w:tr w:rsidR="00CB4AB0" w:rsidTr="00A42448">
              <w:tc>
                <w:tcPr>
                  <w:tcW w:w="788" w:type="pct"/>
                </w:tcPr>
                <w:p w:rsidR="00CB4AB0" w:rsidRDefault="00CB4AB0" w:rsidP="00E341D8">
                  <w:pPr>
                    <w:pStyle w:val="TableBodyText"/>
                    <w:jc w:val="left"/>
                  </w:pPr>
                  <w:r w:rsidRPr="00682AAA">
                    <w:t>Outsourced non</w:t>
                  </w:r>
                  <w:r>
                    <w:noBreakHyphen/>
                  </w:r>
                  <w:r w:rsidRPr="00682AAA">
                    <w:t>associate</w:t>
                  </w:r>
                  <w:r>
                    <w:t>d</w:t>
                  </w:r>
                  <w:r w:rsidRPr="00682AAA">
                    <w:t xml:space="preserve"> providers</w:t>
                  </w:r>
                </w:p>
              </w:tc>
              <w:tc>
                <w:tcPr>
                  <w:tcW w:w="553" w:type="pct"/>
                </w:tcPr>
                <w:p w:rsidR="00CB4AB0" w:rsidRDefault="00CB4AB0" w:rsidP="00E341D8">
                  <w:pPr>
                    <w:pStyle w:val="TableBodyText"/>
                    <w:jc w:val="left"/>
                  </w:pPr>
                  <w:r w:rsidRPr="003915DF">
                    <w:t>2011</w:t>
                  </w:r>
                  <w:r w:rsidR="00617DD2">
                    <w:noBreakHyphen/>
                  </w:r>
                  <w:r w:rsidRPr="003915DF">
                    <w:t>12</w:t>
                  </w:r>
                </w:p>
              </w:tc>
              <w:tc>
                <w:tcPr>
                  <w:tcW w:w="66" w:type="pct"/>
                </w:tcPr>
                <w:p w:rsidR="00CB4AB0" w:rsidRPr="007D42DD" w:rsidRDefault="00CB4AB0" w:rsidP="006C162F">
                  <w:pPr>
                    <w:pStyle w:val="TableBodyText"/>
                  </w:pPr>
                </w:p>
              </w:tc>
              <w:tc>
                <w:tcPr>
                  <w:tcW w:w="537" w:type="pct"/>
                </w:tcPr>
                <w:p w:rsidR="00CB4AB0" w:rsidRDefault="00CB4AB0" w:rsidP="006C162F">
                  <w:pPr>
                    <w:pStyle w:val="TableBodyText"/>
                  </w:pPr>
                  <w:r w:rsidRPr="007D42DD">
                    <w:t>1</w:t>
                  </w:r>
                  <w:r w:rsidR="00617DD2">
                    <w:t> </w:t>
                  </w:r>
                  <w:r w:rsidRPr="007D42DD">
                    <w:t>353</w:t>
                  </w:r>
                </w:p>
              </w:tc>
              <w:tc>
                <w:tcPr>
                  <w:tcW w:w="774" w:type="pct"/>
                </w:tcPr>
                <w:p w:rsidR="00CB4AB0" w:rsidRDefault="00CB4AB0" w:rsidP="006C162F">
                  <w:pPr>
                    <w:pStyle w:val="TableBodyText"/>
                  </w:pPr>
                  <w:r w:rsidRPr="007D42DD">
                    <w:t>91</w:t>
                  </w:r>
                </w:p>
              </w:tc>
              <w:tc>
                <w:tcPr>
                  <w:tcW w:w="463" w:type="pct"/>
                </w:tcPr>
                <w:p w:rsidR="00CB4AB0" w:rsidRPr="007D42DD" w:rsidRDefault="00CB4AB0" w:rsidP="00F10E4D">
                  <w:pPr>
                    <w:pStyle w:val="TableBodyText"/>
                  </w:pPr>
                  <w:r w:rsidRPr="007D42DD">
                    <w:t>51</w:t>
                  </w:r>
                </w:p>
              </w:tc>
              <w:tc>
                <w:tcPr>
                  <w:tcW w:w="66" w:type="pct"/>
                </w:tcPr>
                <w:p w:rsidR="00CB4AB0" w:rsidRPr="00135BE9" w:rsidRDefault="00CB4AB0" w:rsidP="00BE0563">
                  <w:pPr>
                    <w:pStyle w:val="TableBodyText"/>
                  </w:pPr>
                </w:p>
              </w:tc>
              <w:tc>
                <w:tcPr>
                  <w:tcW w:w="535" w:type="pct"/>
                </w:tcPr>
                <w:p w:rsidR="00CB4AB0" w:rsidRDefault="00CB4AB0" w:rsidP="00BE0563">
                  <w:pPr>
                    <w:pStyle w:val="TableBodyText"/>
                  </w:pPr>
                  <w:r w:rsidRPr="00135BE9">
                    <w:t>62</w:t>
                  </w:r>
                </w:p>
              </w:tc>
              <w:tc>
                <w:tcPr>
                  <w:tcW w:w="771" w:type="pct"/>
                </w:tcPr>
                <w:p w:rsidR="00CB4AB0" w:rsidRDefault="00CB4AB0" w:rsidP="006C162F">
                  <w:pPr>
                    <w:pStyle w:val="TableBodyText"/>
                  </w:pPr>
                  <w:r w:rsidRPr="00135BE9">
                    <w:t>34</w:t>
                  </w:r>
                </w:p>
              </w:tc>
              <w:tc>
                <w:tcPr>
                  <w:tcW w:w="447" w:type="pct"/>
                </w:tcPr>
                <w:p w:rsidR="00CB4AB0" w:rsidRPr="00135BE9" w:rsidRDefault="00CB4AB0" w:rsidP="00F10E4D">
                  <w:pPr>
                    <w:pStyle w:val="TableBodyText"/>
                  </w:pPr>
                  <w:r w:rsidRPr="00135BE9">
                    <w:t>21</w:t>
                  </w:r>
                </w:p>
              </w:tc>
            </w:tr>
            <w:tr w:rsidR="00CB4AB0" w:rsidTr="00A42448">
              <w:tc>
                <w:tcPr>
                  <w:tcW w:w="788" w:type="pct"/>
                  <w:shd w:val="pct5" w:color="auto" w:fill="auto"/>
                </w:tcPr>
                <w:p w:rsidR="00CB4AB0" w:rsidRDefault="00CB4AB0" w:rsidP="00E341D8">
                  <w:pPr>
                    <w:pStyle w:val="TableBodyText"/>
                    <w:jc w:val="left"/>
                  </w:pPr>
                </w:p>
              </w:tc>
              <w:tc>
                <w:tcPr>
                  <w:tcW w:w="553" w:type="pct"/>
                  <w:shd w:val="pct5" w:color="auto" w:fill="auto"/>
                </w:tcPr>
                <w:p w:rsidR="00CB4AB0" w:rsidRDefault="00CB4AB0" w:rsidP="00E341D8">
                  <w:pPr>
                    <w:pStyle w:val="TableBodyText"/>
                    <w:jc w:val="left"/>
                  </w:pPr>
                  <w:r w:rsidRPr="003915DF">
                    <w:t>2016</w:t>
                  </w:r>
                  <w:r w:rsidR="00617DD2">
                    <w:noBreakHyphen/>
                  </w:r>
                  <w:r w:rsidRPr="003915DF">
                    <w:t>17</w:t>
                  </w:r>
                </w:p>
              </w:tc>
              <w:tc>
                <w:tcPr>
                  <w:tcW w:w="66" w:type="pct"/>
                  <w:shd w:val="pct5" w:color="auto" w:fill="auto"/>
                </w:tcPr>
                <w:p w:rsidR="00CB4AB0" w:rsidRPr="007D42DD" w:rsidRDefault="00CB4AB0" w:rsidP="006C162F">
                  <w:pPr>
                    <w:pStyle w:val="TableBodyText"/>
                  </w:pPr>
                </w:p>
              </w:tc>
              <w:tc>
                <w:tcPr>
                  <w:tcW w:w="537" w:type="pct"/>
                  <w:shd w:val="pct5" w:color="auto" w:fill="auto"/>
                </w:tcPr>
                <w:p w:rsidR="00CB4AB0" w:rsidRDefault="00CB4AB0" w:rsidP="006C162F">
                  <w:pPr>
                    <w:pStyle w:val="TableBodyText"/>
                  </w:pPr>
                  <w:r w:rsidRPr="007D42DD">
                    <w:t>2</w:t>
                  </w:r>
                  <w:r w:rsidR="00617DD2">
                    <w:t> </w:t>
                  </w:r>
                  <w:r w:rsidRPr="007D42DD">
                    <w:t>625</w:t>
                  </w:r>
                </w:p>
              </w:tc>
              <w:tc>
                <w:tcPr>
                  <w:tcW w:w="774" w:type="pct"/>
                  <w:shd w:val="pct5" w:color="auto" w:fill="auto"/>
                </w:tcPr>
                <w:p w:rsidR="00CB4AB0" w:rsidRDefault="00CB4AB0" w:rsidP="006C162F">
                  <w:pPr>
                    <w:pStyle w:val="TableBodyText"/>
                  </w:pPr>
                  <w:r w:rsidRPr="007D42DD">
                    <w:t>87</w:t>
                  </w:r>
                </w:p>
              </w:tc>
              <w:tc>
                <w:tcPr>
                  <w:tcW w:w="463" w:type="pct"/>
                  <w:shd w:val="pct5" w:color="auto" w:fill="auto"/>
                </w:tcPr>
                <w:p w:rsidR="00CB4AB0" w:rsidRPr="007D42DD" w:rsidRDefault="00CB4AB0" w:rsidP="00F10E4D">
                  <w:pPr>
                    <w:pStyle w:val="TableBodyText"/>
                  </w:pPr>
                  <w:r w:rsidRPr="007D42DD">
                    <w:t>56</w:t>
                  </w:r>
                </w:p>
              </w:tc>
              <w:tc>
                <w:tcPr>
                  <w:tcW w:w="66" w:type="pct"/>
                  <w:shd w:val="pct5" w:color="auto" w:fill="auto"/>
                </w:tcPr>
                <w:p w:rsidR="00CB4AB0" w:rsidRPr="00135BE9" w:rsidRDefault="00CB4AB0" w:rsidP="006C162F">
                  <w:pPr>
                    <w:pStyle w:val="TableBodyText"/>
                  </w:pPr>
                </w:p>
              </w:tc>
              <w:tc>
                <w:tcPr>
                  <w:tcW w:w="535" w:type="pct"/>
                  <w:shd w:val="pct5" w:color="auto" w:fill="auto"/>
                </w:tcPr>
                <w:p w:rsidR="00CB4AB0" w:rsidRDefault="00CB4AB0" w:rsidP="006C162F">
                  <w:pPr>
                    <w:pStyle w:val="TableBodyText"/>
                  </w:pPr>
                  <w:r w:rsidRPr="00135BE9">
                    <w:t>66</w:t>
                  </w:r>
                </w:p>
              </w:tc>
              <w:tc>
                <w:tcPr>
                  <w:tcW w:w="771" w:type="pct"/>
                  <w:shd w:val="pct5" w:color="auto" w:fill="auto"/>
                </w:tcPr>
                <w:p w:rsidR="00CB4AB0" w:rsidRDefault="00CB4AB0" w:rsidP="006C162F">
                  <w:pPr>
                    <w:pStyle w:val="TableBodyText"/>
                  </w:pPr>
                  <w:r w:rsidRPr="00135BE9">
                    <w:t>12</w:t>
                  </w:r>
                </w:p>
              </w:tc>
              <w:tc>
                <w:tcPr>
                  <w:tcW w:w="447" w:type="pct"/>
                  <w:shd w:val="pct5" w:color="auto" w:fill="auto"/>
                </w:tcPr>
                <w:p w:rsidR="00CB4AB0" w:rsidRPr="00135BE9" w:rsidRDefault="00CB4AB0" w:rsidP="00F10E4D">
                  <w:pPr>
                    <w:pStyle w:val="TableBodyText"/>
                  </w:pPr>
                  <w:r w:rsidRPr="00135BE9">
                    <w:t>26</w:t>
                  </w:r>
                </w:p>
              </w:tc>
            </w:tr>
            <w:tr w:rsidR="00CB4AB0" w:rsidTr="00A42448">
              <w:tc>
                <w:tcPr>
                  <w:tcW w:w="788" w:type="pct"/>
                  <w:shd w:val="clear" w:color="auto" w:fill="auto"/>
                </w:tcPr>
                <w:p w:rsidR="00CB4AB0" w:rsidRDefault="00CB4AB0" w:rsidP="00F10E4D">
                  <w:pPr>
                    <w:pStyle w:val="TableBodyText"/>
                    <w:jc w:val="left"/>
                  </w:pPr>
                  <w:r>
                    <w:t>Total</w:t>
                  </w:r>
                </w:p>
              </w:tc>
              <w:tc>
                <w:tcPr>
                  <w:tcW w:w="553" w:type="pct"/>
                  <w:shd w:val="clear" w:color="auto" w:fill="auto"/>
                </w:tcPr>
                <w:p w:rsidR="00CB4AB0" w:rsidRPr="003915DF" w:rsidRDefault="00CB4AB0" w:rsidP="00F10E4D">
                  <w:pPr>
                    <w:pStyle w:val="TableBodyText"/>
                    <w:jc w:val="left"/>
                  </w:pPr>
                  <w:r w:rsidRPr="003915DF">
                    <w:t>2011</w:t>
                  </w:r>
                  <w:r w:rsidR="00617DD2">
                    <w:noBreakHyphen/>
                  </w:r>
                  <w:r w:rsidRPr="003915DF">
                    <w:t>12</w:t>
                  </w:r>
                </w:p>
              </w:tc>
              <w:tc>
                <w:tcPr>
                  <w:tcW w:w="66" w:type="pct"/>
                </w:tcPr>
                <w:p w:rsidR="00CB4AB0" w:rsidRPr="007D42DD" w:rsidRDefault="00CB4AB0" w:rsidP="00F10E4D">
                  <w:pPr>
                    <w:pStyle w:val="TableBodyText"/>
                  </w:pPr>
                </w:p>
              </w:tc>
              <w:tc>
                <w:tcPr>
                  <w:tcW w:w="537" w:type="pct"/>
                  <w:shd w:val="clear" w:color="auto" w:fill="auto"/>
                </w:tcPr>
                <w:p w:rsidR="00CB4AB0" w:rsidRPr="00682AAA" w:rsidRDefault="00CB4AB0" w:rsidP="00F10E4D">
                  <w:pPr>
                    <w:pStyle w:val="TableBodyText"/>
                  </w:pPr>
                  <w:r w:rsidRPr="007D42DD">
                    <w:t>1</w:t>
                  </w:r>
                  <w:r w:rsidR="00617DD2">
                    <w:t> </w:t>
                  </w:r>
                  <w:r w:rsidRPr="007D42DD">
                    <w:t>481</w:t>
                  </w:r>
                </w:p>
              </w:tc>
              <w:tc>
                <w:tcPr>
                  <w:tcW w:w="774" w:type="pct"/>
                  <w:shd w:val="clear" w:color="auto" w:fill="auto"/>
                </w:tcPr>
                <w:p w:rsidR="00CB4AB0" w:rsidRPr="00682AAA" w:rsidRDefault="00CB4AB0" w:rsidP="00F10E4D">
                  <w:pPr>
                    <w:pStyle w:val="TableBodyText"/>
                  </w:pPr>
                  <w:r w:rsidRPr="007D42DD">
                    <w:t>100</w:t>
                  </w:r>
                </w:p>
              </w:tc>
              <w:tc>
                <w:tcPr>
                  <w:tcW w:w="463" w:type="pct"/>
                </w:tcPr>
                <w:p w:rsidR="00CB4AB0" w:rsidRPr="00682AAA" w:rsidRDefault="00CB4AB0" w:rsidP="00F10E4D">
                  <w:pPr>
                    <w:pStyle w:val="TableBodyText"/>
                  </w:pPr>
                  <w:r w:rsidRPr="007D42DD">
                    <w:t>54</w:t>
                  </w:r>
                </w:p>
              </w:tc>
              <w:tc>
                <w:tcPr>
                  <w:tcW w:w="66" w:type="pct"/>
                </w:tcPr>
                <w:p w:rsidR="00CB4AB0" w:rsidRPr="00135BE9" w:rsidRDefault="00CB4AB0" w:rsidP="00F10E4D">
                  <w:pPr>
                    <w:pStyle w:val="TableBodyText"/>
                  </w:pPr>
                </w:p>
              </w:tc>
              <w:tc>
                <w:tcPr>
                  <w:tcW w:w="535" w:type="pct"/>
                  <w:shd w:val="clear" w:color="auto" w:fill="auto"/>
                </w:tcPr>
                <w:p w:rsidR="00CB4AB0" w:rsidRPr="00682AAA" w:rsidRDefault="00CB4AB0" w:rsidP="00F10E4D">
                  <w:pPr>
                    <w:pStyle w:val="TableBodyText"/>
                  </w:pPr>
                  <w:r w:rsidRPr="00135BE9">
                    <w:t>184</w:t>
                  </w:r>
                </w:p>
              </w:tc>
              <w:tc>
                <w:tcPr>
                  <w:tcW w:w="771" w:type="pct"/>
                  <w:shd w:val="clear" w:color="auto" w:fill="auto"/>
                </w:tcPr>
                <w:p w:rsidR="00CB4AB0" w:rsidRPr="00682AAA" w:rsidRDefault="00CB4AB0" w:rsidP="00F10E4D">
                  <w:pPr>
                    <w:pStyle w:val="TableBodyText"/>
                  </w:pPr>
                  <w:r w:rsidRPr="00135BE9">
                    <w:t>100</w:t>
                  </w:r>
                </w:p>
              </w:tc>
              <w:tc>
                <w:tcPr>
                  <w:tcW w:w="447" w:type="pct"/>
                  <w:shd w:val="clear" w:color="auto" w:fill="auto"/>
                </w:tcPr>
                <w:p w:rsidR="00CB4AB0" w:rsidRDefault="00CB4AB0">
                  <w:pPr>
                    <w:pStyle w:val="TableBodyText"/>
                  </w:pPr>
                  <w:r w:rsidRPr="00135BE9">
                    <w:t>26</w:t>
                  </w:r>
                </w:p>
              </w:tc>
            </w:tr>
            <w:tr w:rsidR="00CB4AB0" w:rsidTr="00A42448">
              <w:tc>
                <w:tcPr>
                  <w:tcW w:w="788" w:type="pct"/>
                  <w:tcBorders>
                    <w:bottom w:val="single" w:sz="6" w:space="0" w:color="BFBFBF"/>
                  </w:tcBorders>
                  <w:shd w:val="pct5" w:color="auto" w:fill="auto"/>
                </w:tcPr>
                <w:p w:rsidR="00CB4AB0" w:rsidRDefault="00CB4AB0" w:rsidP="00F10E4D">
                  <w:pPr>
                    <w:pStyle w:val="TableBodyText"/>
                    <w:jc w:val="left"/>
                  </w:pPr>
                </w:p>
              </w:tc>
              <w:tc>
                <w:tcPr>
                  <w:tcW w:w="553" w:type="pct"/>
                  <w:tcBorders>
                    <w:bottom w:val="single" w:sz="6" w:space="0" w:color="BFBFBF"/>
                  </w:tcBorders>
                  <w:shd w:val="pct5" w:color="auto" w:fill="auto"/>
                </w:tcPr>
                <w:p w:rsidR="00CB4AB0" w:rsidRPr="003915DF" w:rsidRDefault="00CB4AB0" w:rsidP="00F10E4D">
                  <w:pPr>
                    <w:pStyle w:val="TableBodyText"/>
                    <w:jc w:val="left"/>
                  </w:pPr>
                  <w:r w:rsidRPr="003915DF">
                    <w:t>2016</w:t>
                  </w:r>
                  <w:r w:rsidR="00617DD2">
                    <w:noBreakHyphen/>
                  </w:r>
                  <w:r w:rsidRPr="003915DF">
                    <w:t>17</w:t>
                  </w:r>
                </w:p>
              </w:tc>
              <w:tc>
                <w:tcPr>
                  <w:tcW w:w="66" w:type="pct"/>
                  <w:tcBorders>
                    <w:bottom w:val="single" w:sz="6" w:space="0" w:color="BFBFBF"/>
                  </w:tcBorders>
                  <w:shd w:val="pct5" w:color="auto" w:fill="auto"/>
                </w:tcPr>
                <w:p w:rsidR="00CB4AB0" w:rsidRPr="007D42DD" w:rsidRDefault="00CB4AB0" w:rsidP="00F10E4D">
                  <w:pPr>
                    <w:pStyle w:val="TableBodyText"/>
                  </w:pPr>
                </w:p>
              </w:tc>
              <w:tc>
                <w:tcPr>
                  <w:tcW w:w="537" w:type="pct"/>
                  <w:tcBorders>
                    <w:bottom w:val="single" w:sz="6" w:space="0" w:color="BFBFBF"/>
                  </w:tcBorders>
                  <w:shd w:val="pct5" w:color="auto" w:fill="auto"/>
                </w:tcPr>
                <w:p w:rsidR="00CB4AB0" w:rsidRPr="00682AAA" w:rsidRDefault="00CB4AB0" w:rsidP="00F10E4D">
                  <w:pPr>
                    <w:pStyle w:val="TableBodyText"/>
                  </w:pPr>
                  <w:r w:rsidRPr="007D42DD">
                    <w:t>3</w:t>
                  </w:r>
                  <w:r w:rsidR="00617DD2">
                    <w:t> </w:t>
                  </w:r>
                  <w:r w:rsidRPr="007D42DD">
                    <w:t>023</w:t>
                  </w:r>
                </w:p>
              </w:tc>
              <w:tc>
                <w:tcPr>
                  <w:tcW w:w="774" w:type="pct"/>
                  <w:tcBorders>
                    <w:bottom w:val="single" w:sz="6" w:space="0" w:color="BFBFBF"/>
                  </w:tcBorders>
                  <w:shd w:val="pct5" w:color="auto" w:fill="auto"/>
                </w:tcPr>
                <w:p w:rsidR="00CB4AB0" w:rsidRPr="00682AAA" w:rsidRDefault="00CB4AB0" w:rsidP="00F10E4D">
                  <w:pPr>
                    <w:pStyle w:val="TableBodyText"/>
                  </w:pPr>
                  <w:r w:rsidRPr="007D42DD">
                    <w:t>100</w:t>
                  </w:r>
                </w:p>
              </w:tc>
              <w:tc>
                <w:tcPr>
                  <w:tcW w:w="463" w:type="pct"/>
                  <w:tcBorders>
                    <w:bottom w:val="single" w:sz="6" w:space="0" w:color="BFBFBF"/>
                  </w:tcBorders>
                  <w:shd w:val="pct5" w:color="auto" w:fill="auto"/>
                </w:tcPr>
                <w:p w:rsidR="00CB4AB0" w:rsidRPr="00682AAA" w:rsidRDefault="00CB4AB0" w:rsidP="00F10E4D">
                  <w:pPr>
                    <w:pStyle w:val="TableBodyText"/>
                  </w:pPr>
                  <w:r w:rsidRPr="007D42DD">
                    <w:t>59</w:t>
                  </w:r>
                </w:p>
              </w:tc>
              <w:tc>
                <w:tcPr>
                  <w:tcW w:w="66" w:type="pct"/>
                  <w:tcBorders>
                    <w:bottom w:val="single" w:sz="6" w:space="0" w:color="BFBFBF"/>
                  </w:tcBorders>
                  <w:shd w:val="pct5" w:color="auto" w:fill="auto"/>
                </w:tcPr>
                <w:p w:rsidR="00CB4AB0" w:rsidRPr="00135BE9" w:rsidRDefault="00CB4AB0" w:rsidP="00F10E4D">
                  <w:pPr>
                    <w:pStyle w:val="TableBodyText"/>
                  </w:pPr>
                </w:p>
              </w:tc>
              <w:tc>
                <w:tcPr>
                  <w:tcW w:w="535" w:type="pct"/>
                  <w:tcBorders>
                    <w:bottom w:val="single" w:sz="6" w:space="0" w:color="BFBFBF"/>
                  </w:tcBorders>
                  <w:shd w:val="pct5" w:color="auto" w:fill="auto"/>
                </w:tcPr>
                <w:p w:rsidR="00CB4AB0" w:rsidRPr="00682AAA" w:rsidRDefault="00CB4AB0" w:rsidP="00F10E4D">
                  <w:pPr>
                    <w:pStyle w:val="TableBodyText"/>
                  </w:pPr>
                  <w:r w:rsidRPr="00135BE9">
                    <w:t>541</w:t>
                  </w:r>
                </w:p>
              </w:tc>
              <w:tc>
                <w:tcPr>
                  <w:tcW w:w="771" w:type="pct"/>
                  <w:tcBorders>
                    <w:bottom w:val="single" w:sz="6" w:space="0" w:color="BFBFBF"/>
                  </w:tcBorders>
                  <w:shd w:val="pct5" w:color="auto" w:fill="auto"/>
                </w:tcPr>
                <w:p w:rsidR="00CB4AB0" w:rsidRPr="00682AAA" w:rsidRDefault="00CB4AB0" w:rsidP="00F10E4D">
                  <w:pPr>
                    <w:pStyle w:val="TableBodyText"/>
                  </w:pPr>
                  <w:r w:rsidRPr="00135BE9">
                    <w:t>100</w:t>
                  </w:r>
                </w:p>
              </w:tc>
              <w:tc>
                <w:tcPr>
                  <w:tcW w:w="447" w:type="pct"/>
                  <w:tcBorders>
                    <w:bottom w:val="single" w:sz="6" w:space="0" w:color="BFBFBF"/>
                  </w:tcBorders>
                  <w:shd w:val="pct5" w:color="auto" w:fill="auto"/>
                </w:tcPr>
                <w:p w:rsidR="00CB4AB0" w:rsidRDefault="00CB4AB0" w:rsidP="00F10E4D">
                  <w:pPr>
                    <w:pStyle w:val="TableBodyText"/>
                  </w:pPr>
                  <w:r w:rsidRPr="00135BE9">
                    <w:t>35</w:t>
                  </w:r>
                </w:p>
              </w:tc>
            </w:tr>
          </w:tbl>
          <w:p w:rsidR="00E341D8" w:rsidRDefault="00E341D8" w:rsidP="00E341D8">
            <w:pPr>
              <w:pStyle w:val="Box"/>
            </w:pPr>
          </w:p>
        </w:tc>
      </w:tr>
      <w:tr w:rsidR="00E341D8" w:rsidTr="00E341D8">
        <w:tc>
          <w:tcPr>
            <w:tcW w:w="5000" w:type="pct"/>
            <w:tcBorders>
              <w:top w:val="nil"/>
              <w:left w:val="nil"/>
              <w:bottom w:val="nil"/>
              <w:right w:val="nil"/>
            </w:tcBorders>
            <w:shd w:val="clear" w:color="auto" w:fill="auto"/>
          </w:tcPr>
          <w:p w:rsidR="00E341D8" w:rsidRDefault="00696A96" w:rsidP="006C0AEE">
            <w:pPr>
              <w:pStyle w:val="Note"/>
              <w:rPr>
                <w:i/>
              </w:rPr>
            </w:pPr>
            <w:r>
              <w:rPr>
                <w:rStyle w:val="NoteLabel"/>
              </w:rPr>
              <w:t>a</w:t>
            </w:r>
            <w:r>
              <w:t xml:space="preserve"> Retail funds in this table represented only 3</w:t>
            </w:r>
            <w:r w:rsidR="00BE0563">
              <w:t>7</w:t>
            </w:r>
            <w:r w:rsidR="006C0AEE">
              <w:t>%</w:t>
            </w:r>
            <w:r>
              <w:t xml:space="preserve"> of total assets and 35</w:t>
            </w:r>
            <w:r w:rsidR="006C0AEE">
              <w:t>%</w:t>
            </w:r>
            <w:r>
              <w:t xml:space="preserve"> of all </w:t>
            </w:r>
            <w:r w:rsidR="006C0AEE">
              <w:t xml:space="preserve">member </w:t>
            </w:r>
            <w:r>
              <w:t>accounts in the retail market segment, in 2016</w:t>
            </w:r>
            <w:r w:rsidR="00617DD2">
              <w:noBreakHyphen/>
            </w:r>
            <w:r>
              <w:t>17.</w:t>
            </w:r>
          </w:p>
        </w:tc>
      </w:tr>
      <w:tr w:rsidR="00E341D8" w:rsidTr="00E341D8">
        <w:tc>
          <w:tcPr>
            <w:tcW w:w="5000" w:type="pct"/>
            <w:tcBorders>
              <w:top w:val="nil"/>
              <w:left w:val="nil"/>
              <w:bottom w:val="nil"/>
              <w:right w:val="nil"/>
            </w:tcBorders>
            <w:shd w:val="clear" w:color="auto" w:fill="auto"/>
          </w:tcPr>
          <w:p w:rsidR="00E341D8" w:rsidRDefault="00E341D8" w:rsidP="00D25EF0">
            <w:pPr>
              <w:pStyle w:val="Source"/>
            </w:pPr>
            <w:r>
              <w:rPr>
                <w:i/>
              </w:rPr>
              <w:t>Source</w:t>
            </w:r>
            <w:r w:rsidRPr="00167F06">
              <w:t xml:space="preserve">: </w:t>
            </w:r>
            <w:r w:rsidR="00D25EF0">
              <w:t>Supplementary fund</w:t>
            </w:r>
            <w:r w:rsidR="004463B5">
              <w:t>s</w:t>
            </w:r>
            <w:r w:rsidR="00D25EF0">
              <w:t xml:space="preserve"> survey.</w:t>
            </w:r>
          </w:p>
        </w:tc>
      </w:tr>
      <w:tr w:rsidR="00E341D8" w:rsidTr="00E341D8">
        <w:tc>
          <w:tcPr>
            <w:tcW w:w="5000" w:type="pct"/>
            <w:tcBorders>
              <w:top w:val="nil"/>
              <w:left w:val="nil"/>
              <w:bottom w:val="single" w:sz="6" w:space="0" w:color="78A22F"/>
              <w:right w:val="nil"/>
            </w:tcBorders>
            <w:shd w:val="clear" w:color="auto" w:fill="auto"/>
          </w:tcPr>
          <w:p w:rsidR="00E341D8" w:rsidRDefault="00E341D8" w:rsidP="00E341D8">
            <w:pPr>
              <w:pStyle w:val="Box"/>
              <w:spacing w:before="0" w:line="120" w:lineRule="exact"/>
            </w:pPr>
          </w:p>
        </w:tc>
      </w:tr>
      <w:tr w:rsidR="00E341D8" w:rsidRPr="000863A5" w:rsidTr="00E341D8">
        <w:tc>
          <w:tcPr>
            <w:tcW w:w="5000" w:type="pct"/>
            <w:tcBorders>
              <w:top w:val="single" w:sz="6" w:space="0" w:color="78A22F"/>
              <w:left w:val="nil"/>
              <w:bottom w:val="nil"/>
              <w:right w:val="nil"/>
            </w:tcBorders>
          </w:tcPr>
          <w:p w:rsidR="00E341D8" w:rsidRPr="00626D32" w:rsidRDefault="00E341D8" w:rsidP="00E341D8">
            <w:pPr>
              <w:pStyle w:val="BoxSpaceBelow"/>
            </w:pPr>
          </w:p>
        </w:tc>
      </w:tr>
    </w:tbl>
    <w:p w:rsidR="005E5EC1" w:rsidRPr="00153F5B" w:rsidRDefault="005E5EC1" w:rsidP="00153F5B">
      <w:pPr>
        <w:pStyle w:val="BodyText"/>
        <w:rPr>
          <w:i/>
        </w:rPr>
      </w:pPr>
      <w:r w:rsidRPr="00153F5B">
        <w:rPr>
          <w:i/>
        </w:rPr>
        <w:t xml:space="preserve">Do funds that use </w:t>
      </w:r>
      <w:r w:rsidR="0060367E" w:rsidRPr="00153F5B">
        <w:rPr>
          <w:i/>
        </w:rPr>
        <w:t xml:space="preserve">related </w:t>
      </w:r>
      <w:r w:rsidR="00E06E51" w:rsidRPr="00153F5B">
        <w:rPr>
          <w:i/>
        </w:rPr>
        <w:t>parties</w:t>
      </w:r>
      <w:r w:rsidRPr="00153F5B">
        <w:rPr>
          <w:i/>
        </w:rPr>
        <w:t xml:space="preserve"> have higher investment expenses?</w:t>
      </w:r>
    </w:p>
    <w:p w:rsidR="00E06E51" w:rsidRDefault="00C1630B" w:rsidP="00F61F8D">
      <w:pPr>
        <w:pStyle w:val="BodyText"/>
      </w:pPr>
      <w:r>
        <w:t>In 2016</w:t>
      </w:r>
      <w:r w:rsidR="00617DD2">
        <w:noBreakHyphen/>
      </w:r>
      <w:r>
        <w:t xml:space="preserve">17, </w:t>
      </w:r>
      <w:r w:rsidR="002A16D5">
        <w:t>not</w:t>
      </w:r>
      <w:r w:rsidR="00617DD2">
        <w:noBreakHyphen/>
      </w:r>
      <w:r w:rsidR="002A16D5">
        <w:t>for</w:t>
      </w:r>
      <w:r w:rsidR="00617DD2">
        <w:noBreakHyphen/>
      </w:r>
      <w:r w:rsidR="002A16D5">
        <w:t xml:space="preserve">profit </w:t>
      </w:r>
      <w:r>
        <w:t xml:space="preserve">funds </w:t>
      </w:r>
      <w:r w:rsidDel="00433F38">
        <w:t xml:space="preserve">that </w:t>
      </w:r>
      <w:r w:rsidR="00433F38">
        <w:t xml:space="preserve">used </w:t>
      </w:r>
      <w:r w:rsidR="00A35E88">
        <w:t xml:space="preserve">related </w:t>
      </w:r>
      <w:r w:rsidR="00433F38">
        <w:t>parties for investment management reported higher total investment expenses than funds that did not</w:t>
      </w:r>
      <w:r w:rsidR="00A76C2C">
        <w:t xml:space="preserve"> (figure </w:t>
      </w:r>
      <w:r w:rsidR="000F37D9">
        <w:t>29</w:t>
      </w:r>
      <w:r w:rsidR="00A76C2C">
        <w:t>)</w:t>
      </w:r>
      <w:r w:rsidR="00433F38">
        <w:t>.</w:t>
      </w:r>
    </w:p>
    <w:p w:rsidR="00433F38" w:rsidRPr="0076690B" w:rsidRDefault="00E06E51" w:rsidP="00F61F8D">
      <w:pPr>
        <w:pStyle w:val="BodyText"/>
      </w:pPr>
      <w:r>
        <w:t>The Commission’s analysis of retails funds was hampered by the</w:t>
      </w:r>
      <w:r w:rsidR="00F4667D">
        <w:t>ir</w:t>
      </w:r>
      <w:r>
        <w:t xml:space="preserve"> relatively poor survey response</w:t>
      </w:r>
      <w:r w:rsidR="00CF3D3F">
        <w:t>s</w:t>
      </w:r>
      <w:r>
        <w:t xml:space="preserve">. </w:t>
      </w:r>
      <w:r w:rsidR="00E02FA7">
        <w:t xml:space="preserve">Twelve </w:t>
      </w:r>
      <w:r w:rsidR="00361FCE">
        <w:t xml:space="preserve">retail funds </w:t>
      </w:r>
      <w:r w:rsidR="00E02FA7">
        <w:t xml:space="preserve">with total assets in excess of $5 billion </w:t>
      </w:r>
      <w:r w:rsidR="00AB5A34">
        <w:t>—</w:t>
      </w:r>
      <w:r w:rsidR="00E02FA7">
        <w:t xml:space="preserve"> representing 59 per cent of the retail segment</w:t>
      </w:r>
      <w:r w:rsidR="00AB5A34">
        <w:t xml:space="preserve"> —</w:t>
      </w:r>
      <w:r w:rsidR="00E02FA7">
        <w:t xml:space="preserve"> </w:t>
      </w:r>
      <w:r w:rsidR="00361FCE">
        <w:t xml:space="preserve">did not provide information about investment expenses. This lack of data means that it is </w:t>
      </w:r>
      <w:r w:rsidR="00E14AB0">
        <w:t xml:space="preserve">difficult to draw </w:t>
      </w:r>
      <w:r w:rsidR="006050BB">
        <w:t xml:space="preserve">any </w:t>
      </w:r>
      <w:r w:rsidR="00B9525C">
        <w:t xml:space="preserve">firm </w:t>
      </w:r>
      <w:r w:rsidR="00E14AB0">
        <w:t xml:space="preserve">conclusions </w:t>
      </w:r>
      <w:r w:rsidR="00361FCE">
        <w:t xml:space="preserve">about the use of related parties </w:t>
      </w:r>
      <w:r w:rsidR="00954C5E">
        <w:t>for investment</w:t>
      </w:r>
      <w:r w:rsidR="00361FCE">
        <w:t xml:space="preserve"> by retail funds </w:t>
      </w:r>
      <w:r w:rsidR="00E14AB0">
        <w:t>from the fund</w:t>
      </w:r>
      <w:r w:rsidR="00954C5E">
        <w:t>s</w:t>
      </w:r>
      <w:r w:rsidR="00E14AB0">
        <w:t xml:space="preserve"> survey data.</w:t>
      </w:r>
    </w:p>
    <w:p w:rsidR="005E5EC1" w:rsidRDefault="005E5EC1" w:rsidP="008E044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5E5EC1" w:rsidTr="008E044F">
        <w:trPr>
          <w:tblHeader/>
        </w:trPr>
        <w:tc>
          <w:tcPr>
            <w:tcW w:w="5000" w:type="pct"/>
            <w:tcBorders>
              <w:top w:val="single" w:sz="6" w:space="0" w:color="78A22F"/>
              <w:left w:val="nil"/>
              <w:bottom w:val="nil"/>
              <w:right w:val="nil"/>
            </w:tcBorders>
            <w:shd w:val="clear" w:color="auto" w:fill="auto"/>
          </w:tcPr>
          <w:p w:rsidR="00C412E1" w:rsidRPr="00C412E1" w:rsidRDefault="005E5EC1" w:rsidP="00723F03">
            <w:pPr>
              <w:pStyle w:val="FigureTitle"/>
            </w:pPr>
            <w:r w:rsidRPr="00784A05">
              <w:rPr>
                <w:b w:val="0"/>
              </w:rPr>
              <w:t xml:space="preserve">Figure </w:t>
            </w:r>
            <w:bookmarkStart w:id="104" w:name="OLE_LINK50"/>
            <w:r w:rsidR="001345FE">
              <w:rPr>
                <w:b w:val="0"/>
                <w:noProof/>
              </w:rPr>
              <w:t>29</w:t>
            </w:r>
            <w:bookmarkEnd w:id="104"/>
            <w:r>
              <w:tab/>
            </w:r>
            <w:r w:rsidR="00E14AB0">
              <w:t>Not</w:t>
            </w:r>
            <w:r w:rsidR="00B9525C">
              <w:noBreakHyphen/>
            </w:r>
            <w:r w:rsidR="00E14AB0">
              <w:t>for</w:t>
            </w:r>
            <w:r w:rsidR="00B9525C">
              <w:noBreakHyphen/>
            </w:r>
            <w:r w:rsidR="00E14AB0">
              <w:t>profit funds using related parties tend to have higher investment management expenses</w:t>
            </w:r>
            <w:r w:rsidR="00B9525C" w:rsidRPr="00B9525C">
              <w:rPr>
                <w:rStyle w:val="NoteLabel"/>
                <w:b/>
              </w:rPr>
              <w:t>a,</w:t>
            </w:r>
            <w:r w:rsidR="00E06E51" w:rsidRPr="00B9525C">
              <w:rPr>
                <w:rStyle w:val="NoteLabel"/>
                <w:b/>
              </w:rPr>
              <w:t>b</w:t>
            </w:r>
          </w:p>
        </w:tc>
      </w:tr>
      <w:tr w:rsidR="005E5EC1" w:rsidTr="008E044F">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5E5EC1" w:rsidRPr="00B1465D" w:rsidTr="008E044F">
              <w:trPr>
                <w:tblHeader/>
                <w:jc w:val="center"/>
              </w:trPr>
              <w:tc>
                <w:tcPr>
                  <w:tcW w:w="5000" w:type="pct"/>
                  <w:tcBorders>
                    <w:top w:val="nil"/>
                    <w:bottom w:val="nil"/>
                  </w:tcBorders>
                </w:tcPr>
                <w:p w:rsidR="005E5EC1" w:rsidRPr="00B1465D" w:rsidRDefault="000F37D9" w:rsidP="00FA7E8C">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6BCD75" wp14:editId="7FB5EFF2">
                        <wp:extent cx="4943475" cy="3295457"/>
                        <wp:effectExtent l="0" t="0" r="0" b="0"/>
                        <wp:docPr id="15" name="Picture 15" descr="This figure shows investment expenses as a percentage of total assets for not-for-profit and retail funds in 2016-17. Not for profit funds using related parties have slightly higher investment expenses than those that do not. The figures for the retail funds are not considered representative due to a poor survey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vPlotGrab"/>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45412" cy="3296748"/>
                                </a:xfrm>
                                <a:prstGeom prst="rect">
                                  <a:avLst/>
                                </a:prstGeom>
                                <a:noFill/>
                                <a:ln>
                                  <a:noFill/>
                                </a:ln>
                              </pic:spPr>
                            </pic:pic>
                          </a:graphicData>
                        </a:graphic>
                      </wp:inline>
                    </w:drawing>
                  </w:r>
                </w:p>
              </w:tc>
            </w:tr>
          </w:tbl>
          <w:p w:rsidR="005E5EC1" w:rsidRDefault="005E5EC1" w:rsidP="008E044F">
            <w:pPr>
              <w:pStyle w:val="Figure"/>
            </w:pPr>
          </w:p>
        </w:tc>
      </w:tr>
      <w:tr w:rsidR="005E5EC1" w:rsidRPr="00176D3F" w:rsidTr="008E044F">
        <w:tc>
          <w:tcPr>
            <w:tcW w:w="5000" w:type="pct"/>
            <w:tcBorders>
              <w:top w:val="nil"/>
              <w:left w:val="nil"/>
              <w:bottom w:val="nil"/>
              <w:right w:val="nil"/>
            </w:tcBorders>
            <w:shd w:val="clear" w:color="auto" w:fill="auto"/>
          </w:tcPr>
          <w:p w:rsidR="005E5EC1" w:rsidRPr="00176D3F" w:rsidRDefault="005E5EC1" w:rsidP="006C0AEE">
            <w:pPr>
              <w:pStyle w:val="Note"/>
            </w:pPr>
            <w:r>
              <w:rPr>
                <w:rStyle w:val="NoteLabel"/>
              </w:rPr>
              <w:t>a</w:t>
            </w:r>
            <w:r>
              <w:t xml:space="preserve"> </w:t>
            </w:r>
            <w:r w:rsidR="00EB309B">
              <w:t xml:space="preserve">Retail funds included </w:t>
            </w:r>
            <w:r w:rsidR="00F32AD0">
              <w:t>in this figure represent</w:t>
            </w:r>
            <w:r w:rsidR="00696A96">
              <w:t>ed</w:t>
            </w:r>
            <w:r w:rsidR="00F32AD0">
              <w:t xml:space="preserve"> only 3</w:t>
            </w:r>
            <w:r w:rsidR="006C0AEE">
              <w:t>7%</w:t>
            </w:r>
            <w:r w:rsidR="00EB309B">
              <w:t xml:space="preserve"> of total assets </w:t>
            </w:r>
            <w:r w:rsidR="00F32AD0">
              <w:t>and 35</w:t>
            </w:r>
            <w:r w:rsidR="006C0AEE">
              <w:t>%</w:t>
            </w:r>
            <w:r w:rsidR="00F32AD0">
              <w:t xml:space="preserve"> of all</w:t>
            </w:r>
            <w:r w:rsidR="006C0AEE">
              <w:t xml:space="preserve"> member</w:t>
            </w:r>
            <w:r w:rsidR="00F32AD0">
              <w:t xml:space="preserve"> accounts </w:t>
            </w:r>
            <w:r w:rsidR="00EB309B">
              <w:t>in the retail market segment</w:t>
            </w:r>
            <w:r w:rsidR="00696A96">
              <w:t xml:space="preserve"> in 2016</w:t>
            </w:r>
            <w:r w:rsidR="00617DD2">
              <w:noBreakHyphen/>
            </w:r>
            <w:r w:rsidR="00696A96">
              <w:t>17.</w:t>
            </w:r>
            <w:r w:rsidR="000B7CB8">
              <w:t xml:space="preserve"> </w:t>
            </w:r>
            <w:r w:rsidR="000B7CB8" w:rsidRPr="000B7CB8">
              <w:rPr>
                <w:rStyle w:val="NoteLabel"/>
              </w:rPr>
              <w:t>b</w:t>
            </w:r>
            <w:r w:rsidR="000B7CB8">
              <w:rPr>
                <w:rStyle w:val="NoteLabel"/>
              </w:rPr>
              <w:t xml:space="preserve"> </w:t>
            </w:r>
            <w:r w:rsidR="000B7CB8">
              <w:t>Funds are considered to be using related parties if related party expenses make up more than 10 per cent of their total investment management expenses.</w:t>
            </w:r>
          </w:p>
        </w:tc>
      </w:tr>
      <w:tr w:rsidR="005E5EC1" w:rsidRPr="00176D3F" w:rsidTr="005D0EB2">
        <w:trPr>
          <w:trHeight w:val="236"/>
        </w:trPr>
        <w:tc>
          <w:tcPr>
            <w:tcW w:w="5000" w:type="pct"/>
            <w:tcBorders>
              <w:top w:val="nil"/>
              <w:left w:val="nil"/>
              <w:bottom w:val="nil"/>
              <w:right w:val="nil"/>
            </w:tcBorders>
            <w:shd w:val="clear" w:color="auto" w:fill="auto"/>
          </w:tcPr>
          <w:p w:rsidR="005E5EC1" w:rsidRPr="00176D3F" w:rsidRDefault="009B5942" w:rsidP="008E044F">
            <w:pPr>
              <w:pStyle w:val="Source"/>
            </w:pPr>
            <w:r>
              <w:rPr>
                <w:i/>
              </w:rPr>
              <w:t>S</w:t>
            </w:r>
            <w:r w:rsidR="005E5EC1" w:rsidRPr="00784A05">
              <w:rPr>
                <w:i/>
              </w:rPr>
              <w:t>ource</w:t>
            </w:r>
            <w:r w:rsidR="00617DD2">
              <w:rPr>
                <w:i/>
              </w:rPr>
              <w:t>s</w:t>
            </w:r>
            <w:r w:rsidR="005E5EC1" w:rsidRPr="00176D3F">
              <w:t xml:space="preserve">: </w:t>
            </w:r>
            <w:r w:rsidR="00C412E1">
              <w:t>Supplementary funds survey</w:t>
            </w:r>
            <w:r w:rsidR="00BD2AB2">
              <w:t>; confidential APRA data.</w:t>
            </w:r>
          </w:p>
        </w:tc>
      </w:tr>
      <w:tr w:rsidR="005E5EC1" w:rsidTr="008E044F">
        <w:tc>
          <w:tcPr>
            <w:tcW w:w="5000" w:type="pct"/>
            <w:tcBorders>
              <w:top w:val="nil"/>
              <w:left w:val="nil"/>
              <w:bottom w:val="single" w:sz="6" w:space="0" w:color="78A22F"/>
              <w:right w:val="nil"/>
            </w:tcBorders>
            <w:shd w:val="clear" w:color="auto" w:fill="auto"/>
          </w:tcPr>
          <w:p w:rsidR="005E5EC1" w:rsidRDefault="005E5EC1" w:rsidP="008E044F">
            <w:pPr>
              <w:pStyle w:val="Figurespace"/>
            </w:pPr>
          </w:p>
        </w:tc>
      </w:tr>
      <w:tr w:rsidR="005E5EC1" w:rsidRPr="000863A5" w:rsidTr="008E044F">
        <w:tc>
          <w:tcPr>
            <w:tcW w:w="5000" w:type="pct"/>
            <w:tcBorders>
              <w:top w:val="single" w:sz="6" w:space="0" w:color="78A22F"/>
              <w:left w:val="nil"/>
              <w:bottom w:val="nil"/>
              <w:right w:val="nil"/>
            </w:tcBorders>
          </w:tcPr>
          <w:p w:rsidR="005E5EC1" w:rsidRPr="00626D32" w:rsidRDefault="005E5EC1" w:rsidP="008E044F">
            <w:pPr>
              <w:pStyle w:val="BoxSpaceBelow"/>
            </w:pPr>
          </w:p>
        </w:tc>
      </w:tr>
    </w:tbl>
    <w:p w:rsidR="00AA7CDD" w:rsidRPr="005E77F9" w:rsidRDefault="00AA7CDD" w:rsidP="0050455B">
      <w:pPr>
        <w:pStyle w:val="Heading2"/>
        <w:rPr>
          <w:b w:val="0"/>
        </w:rPr>
      </w:pPr>
      <w:bookmarkStart w:id="105" w:name="_Toc528158055"/>
      <w:bookmarkStart w:id="106" w:name="_Toc528229677"/>
      <w:bookmarkStart w:id="107" w:name="_Toc528298327"/>
      <w:r>
        <w:t>SMSF returns</w:t>
      </w:r>
      <w:r w:rsidR="00F42972">
        <w:t xml:space="preserve"> and expenses</w:t>
      </w:r>
      <w:bookmarkEnd w:id="105"/>
      <w:bookmarkEnd w:id="106"/>
      <w:bookmarkEnd w:id="107"/>
    </w:p>
    <w:p w:rsidR="00E166BA" w:rsidRDefault="00E166BA" w:rsidP="00E166BA">
      <w:pPr>
        <w:pStyle w:val="BodyText"/>
      </w:pPr>
      <w:r w:rsidRPr="00E166BA">
        <w:t xml:space="preserve">Several inquiry </w:t>
      </w:r>
      <w:r>
        <w:t xml:space="preserve">participants questioned the validity of SMSF return and cost data published in the Commission’s draft report, especially in terms of its comparability to reported data on </w:t>
      </w:r>
      <w:r w:rsidR="009A7BA7">
        <w:t>APRA</w:t>
      </w:r>
      <w:r w:rsidR="009A7BA7">
        <w:noBreakHyphen/>
        <w:t>regulated funds</w:t>
      </w:r>
      <w:r>
        <w:t>. This section briefly discusses some of the</w:t>
      </w:r>
      <w:r w:rsidR="001E325F">
        <w:t>se</w:t>
      </w:r>
      <w:r>
        <w:t xml:space="preserve"> concerns and draws on new data made available to the Commission to shed further light on the performance of SMSFs.</w:t>
      </w:r>
      <w:r w:rsidR="003C4E99">
        <w:t xml:space="preserve"> Specifically, it examines sources of bias in net returns calculations, then looks closely at how SMSF performance varies with the age and size of a fund.</w:t>
      </w:r>
    </w:p>
    <w:p w:rsidR="00E166BA" w:rsidRDefault="00D16EF2" w:rsidP="00DE2AD3">
      <w:pPr>
        <w:pStyle w:val="Heading3"/>
      </w:pPr>
      <w:bookmarkStart w:id="108" w:name="_Toc528158056"/>
      <w:bookmarkStart w:id="109" w:name="_Toc528229678"/>
      <w:bookmarkStart w:id="110" w:name="_Toc528298328"/>
      <w:r>
        <w:t>Net returns calculations</w:t>
      </w:r>
      <w:bookmarkEnd w:id="108"/>
      <w:bookmarkEnd w:id="109"/>
      <w:bookmarkEnd w:id="110"/>
    </w:p>
    <w:p w:rsidR="009D6A68" w:rsidRPr="00372C51" w:rsidRDefault="000D7297" w:rsidP="0050455B">
      <w:pPr>
        <w:pStyle w:val="BodyText"/>
        <w:rPr>
          <w:i/>
        </w:rPr>
      </w:pPr>
      <w:r w:rsidRPr="0050455B">
        <w:rPr>
          <w:i/>
        </w:rPr>
        <w:t>A</w:t>
      </w:r>
      <w:r w:rsidR="009D6A68" w:rsidRPr="00372C51">
        <w:rPr>
          <w:i/>
        </w:rPr>
        <w:t xml:space="preserve">re net return estimates for </w:t>
      </w:r>
      <w:r>
        <w:rPr>
          <w:i/>
        </w:rPr>
        <w:t xml:space="preserve">SMSFs </w:t>
      </w:r>
      <w:r w:rsidR="009D6A68" w:rsidRPr="0050455B">
        <w:rPr>
          <w:i/>
        </w:rPr>
        <w:t>biase</w:t>
      </w:r>
      <w:r w:rsidR="009D6A68" w:rsidRPr="00372C51">
        <w:rPr>
          <w:i/>
        </w:rPr>
        <w:t>d by the way returns are calculated?</w:t>
      </w:r>
    </w:p>
    <w:p w:rsidR="009C559D" w:rsidRDefault="005E1FD6" w:rsidP="009A7BA7">
      <w:pPr>
        <w:pStyle w:val="BodyText"/>
      </w:pPr>
      <w:r>
        <w:t>Class Limited (sub. DR190) and the SMSF Association (sub. DR194) submitted that the ‘return on assets’ (ROA) formula used by the</w:t>
      </w:r>
      <w:r w:rsidR="00F30C47">
        <w:t xml:space="preserve"> Australian Taxation Office (</w:t>
      </w:r>
      <w:r>
        <w:t>ATO</w:t>
      </w:r>
      <w:r w:rsidR="00F30C47">
        <w:t>)</w:t>
      </w:r>
      <w:r>
        <w:t xml:space="preserve"> to calculate SMSF returns provides systematically lower figures than the ‘rate of return’ (ROR) formula </w:t>
      </w:r>
      <w:r>
        <w:lastRenderedPageBreak/>
        <w:t>used by APRA to calcu</w:t>
      </w:r>
      <w:r w:rsidR="009A7BA7">
        <w:t xml:space="preserve">late institutional fund returns. </w:t>
      </w:r>
      <w:r w:rsidR="009C559D">
        <w:t>This is because of how the measures are constructed</w:t>
      </w:r>
      <w:r w:rsidR="00184D01">
        <w:t>:</w:t>
      </w:r>
    </w:p>
    <w:p w:rsidR="009C559D" w:rsidRPr="001171F4" w:rsidRDefault="00184D01" w:rsidP="009C559D">
      <w:pPr>
        <w:pStyle w:val="BodyText"/>
        <w:rPr>
          <w:sz w:val="20"/>
        </w:rPr>
      </w:pPr>
      <m:oMathPara>
        <m:oMathParaPr>
          <m:jc m:val="left"/>
        </m:oMathParaPr>
        <m:oMath>
          <m:r>
            <w:rPr>
              <w:rFonts w:ascii="Cambria Math" w:hAnsi="Cambria Math"/>
              <w:sz w:val="20"/>
            </w:rPr>
            <m:t xml:space="preserve">ROA </m:t>
          </m:r>
          <m:d>
            <m:dPr>
              <m:ctrlPr>
                <w:rPr>
                  <w:rFonts w:ascii="Cambria Math" w:hAnsi="Cambria Math"/>
                  <w:i/>
                  <w:sz w:val="20"/>
                </w:rPr>
              </m:ctrlPr>
            </m:dPr>
            <m:e>
              <m:r>
                <w:rPr>
                  <w:rFonts w:ascii="Cambria Math" w:hAnsi="Cambria Math"/>
                  <w:sz w:val="20"/>
                </w:rPr>
                <m:t>ATO</m:t>
              </m:r>
            </m:e>
          </m:d>
          <m:r>
            <w:rPr>
              <w:rFonts w:ascii="Cambria Math" w:hAnsi="Cambria Math"/>
              <w:sz w:val="20"/>
            </w:rPr>
            <m:t>=</m:t>
          </m:r>
          <m:f>
            <m:fPr>
              <m:ctrlPr>
                <w:rPr>
                  <w:rFonts w:ascii="Cambria Math" w:hAnsi="Cambria Math"/>
                  <w:i/>
                  <w:sz w:val="20"/>
                </w:rPr>
              </m:ctrlPr>
            </m:fPr>
            <m:num>
              <m:r>
                <w:rPr>
                  <w:rFonts w:ascii="Cambria Math" w:hAnsi="Cambria Math"/>
                  <w:sz w:val="20"/>
                </w:rPr>
                <m:t>Net earnings after tax</m:t>
              </m:r>
            </m:num>
            <m:den>
              <m:r>
                <w:rPr>
                  <w:rFonts w:ascii="Cambria Math" w:hAnsi="Cambria Math"/>
                  <w:sz w:val="20"/>
                </w:rPr>
                <m:t>Average assets over the period</m:t>
              </m:r>
            </m:den>
          </m:f>
          <m:r>
            <w:rPr>
              <w:rFonts w:ascii="Cambria Math" w:hAnsi="Cambria Math"/>
              <w:sz w:val="20"/>
            </w:rPr>
            <m:t xml:space="preserve">         ROR (APRA)=</m:t>
          </m:r>
          <m:f>
            <m:fPr>
              <m:ctrlPr>
                <w:rPr>
                  <w:rFonts w:ascii="Cambria Math" w:hAnsi="Cambria Math"/>
                  <w:i/>
                  <w:sz w:val="20"/>
                </w:rPr>
              </m:ctrlPr>
            </m:fPr>
            <m:num>
              <m:r>
                <w:rPr>
                  <w:rFonts w:ascii="Cambria Math" w:hAnsi="Cambria Math"/>
                  <w:sz w:val="20"/>
                </w:rPr>
                <m:t>Net earnings after tax</m:t>
              </m:r>
            </m:num>
            <m:den>
              <m:r>
                <w:rPr>
                  <w:rFonts w:ascii="Cambria Math" w:hAnsi="Cambria Math"/>
                  <w:sz w:val="20"/>
                </w:rPr>
                <m:t>Cashflow adjusted net assets</m:t>
              </m:r>
            </m:den>
          </m:f>
        </m:oMath>
      </m:oMathPara>
    </w:p>
    <w:p w:rsidR="00B55FA2" w:rsidRDefault="00D02D56" w:rsidP="009A7BA7">
      <w:pPr>
        <w:pStyle w:val="BodyText"/>
      </w:pPr>
      <w:r>
        <w:t xml:space="preserve">One </w:t>
      </w:r>
      <w:r w:rsidR="00B55FA2">
        <w:t xml:space="preserve">key difference is the denominator used in each of the two measures — the ROA measure simply uses the average value of </w:t>
      </w:r>
      <w:r w:rsidR="002271BF">
        <w:t>net</w:t>
      </w:r>
      <w:r w:rsidR="00B55FA2">
        <w:t xml:space="preserve"> assets </w:t>
      </w:r>
      <w:r w:rsidR="005E77F9">
        <w:t xml:space="preserve">over the period (calculated by taking the value of assets </w:t>
      </w:r>
      <w:r w:rsidR="00B55FA2">
        <w:t>at the beginning and end of the period</w:t>
      </w:r>
      <w:r w:rsidR="005E77F9">
        <w:t>)</w:t>
      </w:r>
      <w:r w:rsidR="00B55FA2">
        <w:t>, whereas the ROR measure takes the beginning value and adds adjustments for net member flows and net insurance flows. The effect is that the ROA denominator is influenced by net earnings during the period, while the ROR denominator is not. In years with positive returns, the ROA will be lower than the ROR.</w:t>
      </w:r>
    </w:p>
    <w:p w:rsidR="009C559D" w:rsidRDefault="00184D01" w:rsidP="00012DFF">
      <w:pPr>
        <w:pStyle w:val="BodyText"/>
      </w:pPr>
      <w:r>
        <w:t xml:space="preserve">The </w:t>
      </w:r>
      <w:r w:rsidR="003B52BF">
        <w:t>method for calculating</w:t>
      </w:r>
      <w:r>
        <w:t xml:space="preserve"> ‘net earnings after tax’ also differs, affecting both </w:t>
      </w:r>
      <w:r w:rsidR="00BC6E3C">
        <w:t>the numerator</w:t>
      </w:r>
      <w:r>
        <w:t xml:space="preserve"> and denominator. In</w:t>
      </w:r>
      <w:r w:rsidR="00BC6E3C">
        <w:t xml:space="preserve"> the </w:t>
      </w:r>
      <w:r>
        <w:t xml:space="preserve">case of </w:t>
      </w:r>
      <w:r w:rsidR="00BC6E3C">
        <w:t>ROA (as calculated by the ATO</w:t>
      </w:r>
      <w:r>
        <w:t xml:space="preserve">), </w:t>
      </w:r>
      <w:r w:rsidR="00012DFF">
        <w:t>net earnings are measured as the difference between opening and closing assets over a given period, with adjustments for non</w:t>
      </w:r>
      <w:r w:rsidR="00012DFF">
        <w:noBreakHyphen/>
        <w:t>earnings cashflows</w:t>
      </w:r>
      <w:r w:rsidR="002271BF">
        <w:t xml:space="preserve"> contributions, inward rollovers and other income not considered income</w:t>
      </w:r>
      <w:r w:rsidR="00012DFF">
        <w:t>. In the case of ROR (as calculated by APRA), net earnings are calculated directly using data on net investment and operating income and on changes in asset values</w:t>
      </w:r>
      <w:r w:rsidR="00E102F8">
        <w:t xml:space="preserve"> (</w:t>
      </w:r>
      <w:r w:rsidR="002271BF">
        <w:t xml:space="preserve">data which are not reported to the </w:t>
      </w:r>
      <w:r w:rsidR="00E102F8">
        <w:t>ATO</w:t>
      </w:r>
      <w:r w:rsidR="002271BF">
        <w:t xml:space="preserve"> by SMSFs)</w:t>
      </w:r>
      <w:r w:rsidR="00E102F8">
        <w:t xml:space="preserve"> (ATO, pers. comm., 8 August 2017)</w:t>
      </w:r>
      <w:r w:rsidR="00012DFF">
        <w:t xml:space="preserve">. The consequence is that the ROA net earnings measure is </w:t>
      </w:r>
      <w:r>
        <w:t>net of contributions</w:t>
      </w:r>
      <w:r w:rsidR="00BC6E3C">
        <w:t xml:space="preserve"> tax and insurance flows</w:t>
      </w:r>
      <w:r w:rsidR="00012DFF">
        <w:t xml:space="preserve">, whereas the ROR measure is </w:t>
      </w:r>
      <w:r>
        <w:t>gross of contributions</w:t>
      </w:r>
      <w:r w:rsidR="00BC6E3C">
        <w:t xml:space="preserve"> tax and insurance flows (Class Limited, sub. DR190, p. 3).</w:t>
      </w:r>
      <w:r w:rsidR="00B55FA2">
        <w:t xml:space="preserve"> Again</w:t>
      </w:r>
      <w:r w:rsidR="007A1A49">
        <w:t>,</w:t>
      </w:r>
      <w:r w:rsidR="00B55FA2">
        <w:t xml:space="preserve"> this means that ROA will tend to be lower than RO</w:t>
      </w:r>
      <w:r w:rsidR="007A1A49">
        <w:t>R</w:t>
      </w:r>
      <w:r w:rsidR="00B55FA2">
        <w:t>.</w:t>
      </w:r>
    </w:p>
    <w:p w:rsidR="00DA7FA2" w:rsidRDefault="00DA7FA2" w:rsidP="00DA7FA2">
      <w:pPr>
        <w:pStyle w:val="BodyText"/>
      </w:pPr>
      <w:r>
        <w:t>In addition to these differences, the SMSF Association (sub. DR194, p. 11) suggested that ATO calculations of ROA may capture a wider set of administration expenses than APRA calculations of ROR, and thus may be influenced by advice and establishment costs of SMSFs.</w:t>
      </w:r>
    </w:p>
    <w:p w:rsidR="008B18F3" w:rsidRDefault="00BC6E3C" w:rsidP="005E77F9">
      <w:pPr>
        <w:pStyle w:val="BodyText"/>
      </w:pPr>
      <w:r>
        <w:t>Some of t</w:t>
      </w:r>
      <w:r w:rsidR="008B18F3">
        <w:t>he differences between the ROA and ROR formulas were acknowledged in the Commission</w:t>
      </w:r>
      <w:r w:rsidR="00800BDE">
        <w:t>’</w:t>
      </w:r>
      <w:r w:rsidR="008B18F3">
        <w:t>s draft report (chapter 2 and technical supplement 4). Since then, estimates have been provided to the Commission that attempt to replicate the ROR formula for SMSFs</w:t>
      </w:r>
      <w:r w:rsidR="005E77F9">
        <w:t xml:space="preserve">. This includes estimates from the ATO that attempt to more closely align the ROA formula for SMSFs to the ROR formula for </w:t>
      </w:r>
      <w:r w:rsidR="008B18F3">
        <w:t>APRA</w:t>
      </w:r>
      <w:r w:rsidR="008B18F3">
        <w:noBreakHyphen/>
        <w:t>regulated funds</w:t>
      </w:r>
      <w:r w:rsidR="005E77F9">
        <w:t>, allowing for improved comparisons</w:t>
      </w:r>
      <w:r w:rsidR="008B18F3">
        <w:t xml:space="preserve"> (</w:t>
      </w:r>
      <w:r w:rsidR="00C2399F">
        <w:t>figure</w:t>
      </w:r>
      <w:r w:rsidR="00044968">
        <w:t> </w:t>
      </w:r>
      <w:r w:rsidR="009A417A">
        <w:t>30</w:t>
      </w:r>
      <w:r w:rsidR="008B18F3" w:rsidRPr="00F56CF5">
        <w:t>).</w:t>
      </w:r>
      <w:r w:rsidR="00F32FF0">
        <w:t xml:space="preserve"> These </w:t>
      </w:r>
      <w:r w:rsidR="005E77F9">
        <w:t xml:space="preserve">estimates </w:t>
      </w:r>
      <w:r w:rsidR="00F32FF0">
        <w:t>were only provided for the SMSF segment as a whole.</w:t>
      </w:r>
    </w:p>
    <w:p w:rsidR="00DA7FA2" w:rsidRPr="00F56CF5" w:rsidRDefault="00BC6E3C" w:rsidP="00F34164">
      <w:pPr>
        <w:pStyle w:val="ListBullet"/>
      </w:pPr>
      <w:r w:rsidRPr="00F56CF5">
        <w:t xml:space="preserve">Class Limited provided </w:t>
      </w:r>
      <w:r w:rsidR="005747A5">
        <w:t>ROR</w:t>
      </w:r>
      <w:r w:rsidRPr="00F56CF5">
        <w:t xml:space="preserve"> estimates </w:t>
      </w:r>
      <w:r w:rsidR="005E77F9">
        <w:t xml:space="preserve">(based on publicly available data) </w:t>
      </w:r>
      <w:r w:rsidRPr="00F56CF5">
        <w:t xml:space="preserve">that adjust </w:t>
      </w:r>
      <w:r w:rsidR="00DA7FA2" w:rsidRPr="00F56CF5">
        <w:t xml:space="preserve">for the time period </w:t>
      </w:r>
      <w:r w:rsidR="00F56CF5" w:rsidRPr="00F56CF5">
        <w:t xml:space="preserve">in the denominator, as well as the effect of contributions </w:t>
      </w:r>
      <w:r w:rsidR="003C4E99">
        <w:t xml:space="preserve">tax </w:t>
      </w:r>
      <w:r w:rsidR="00F56CF5" w:rsidRPr="00F56CF5">
        <w:t xml:space="preserve">and </w:t>
      </w:r>
      <w:r w:rsidR="00DA7FA2" w:rsidRPr="00F56CF5">
        <w:t xml:space="preserve">insurance </w:t>
      </w:r>
      <w:r w:rsidR="00F56CF5" w:rsidRPr="00F56CF5">
        <w:t>flows.</w:t>
      </w:r>
    </w:p>
    <w:p w:rsidR="00BC6E3C" w:rsidRDefault="00BC6E3C" w:rsidP="00F34164">
      <w:pPr>
        <w:pStyle w:val="ListBullet"/>
      </w:pPr>
      <w:r>
        <w:t xml:space="preserve">The ATO provided </w:t>
      </w:r>
      <w:r w:rsidR="005747A5">
        <w:t xml:space="preserve">ROA </w:t>
      </w:r>
      <w:r>
        <w:t xml:space="preserve">estimates that </w:t>
      </w:r>
      <w:r w:rsidR="00835BE8">
        <w:t xml:space="preserve">only adjust </w:t>
      </w:r>
      <w:r w:rsidR="00F56CF5" w:rsidRPr="00F56CF5">
        <w:t>for the time period</w:t>
      </w:r>
      <w:r w:rsidR="00DA7FA2" w:rsidRPr="00F56CF5">
        <w:t xml:space="preserve"> in the denominator</w:t>
      </w:r>
      <w:r w:rsidR="00835BE8" w:rsidRPr="00F56CF5">
        <w:t>.</w:t>
      </w:r>
    </w:p>
    <w:p w:rsidR="007F7BEB" w:rsidRDefault="005D51EB" w:rsidP="00DE2AD3">
      <w:pPr>
        <w:pStyle w:val="BodyText"/>
      </w:pPr>
      <w:r>
        <w:t>Class Limited</w:t>
      </w:r>
      <w:r w:rsidR="007F7BEB">
        <w:t xml:space="preserve"> estimates suggest that the </w:t>
      </w:r>
      <w:r w:rsidR="005E77F9">
        <w:t xml:space="preserve">standard </w:t>
      </w:r>
      <w:r w:rsidR="007F7BEB">
        <w:t xml:space="preserve">ROA </w:t>
      </w:r>
      <w:r w:rsidR="00835BE8">
        <w:t xml:space="preserve">measure </w:t>
      </w:r>
      <w:r w:rsidR="007F7BEB">
        <w:t xml:space="preserve">is, on average, </w:t>
      </w:r>
      <w:r w:rsidR="00F56CF5">
        <w:t>about</w:t>
      </w:r>
      <w:r w:rsidR="007F7BEB">
        <w:t xml:space="preserve"> 1 percentage point below </w:t>
      </w:r>
      <w:r w:rsidR="007F7BEB" w:rsidRPr="00F56CF5">
        <w:t>RO</w:t>
      </w:r>
      <w:r w:rsidR="00F56CF5">
        <w:t>R</w:t>
      </w:r>
      <w:r w:rsidR="007F7BEB">
        <w:t>, with the difference greatest in the earlier years of the sample</w:t>
      </w:r>
      <w:r w:rsidR="00AF020F">
        <w:t xml:space="preserve"> (the ATO estimates suggest a smaller margin)</w:t>
      </w:r>
      <w:r w:rsidR="007F7BEB">
        <w:t>.</w:t>
      </w:r>
      <w:r w:rsidR="003C4E99">
        <w:t xml:space="preserve"> Estimates for SMSFs of different sizes are </w:t>
      </w:r>
      <w:r w:rsidR="003C4E99">
        <w:lastRenderedPageBreak/>
        <w:t>not available. However, to the extent that contributions tax and insurance flows are relatively larger for smaller SMSFs, the difference between the ROA and ROR measures is likely to be greatest for smaller SMSFs.</w:t>
      </w:r>
    </w:p>
    <w:p w:rsidR="00B65F56" w:rsidRDefault="00B65F56" w:rsidP="00B65F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65F56" w:rsidTr="00D02966">
        <w:trPr>
          <w:tblHeader/>
        </w:trPr>
        <w:tc>
          <w:tcPr>
            <w:tcW w:w="5000" w:type="pct"/>
            <w:tcBorders>
              <w:top w:val="single" w:sz="6" w:space="0" w:color="78A22F"/>
              <w:left w:val="nil"/>
              <w:bottom w:val="nil"/>
              <w:right w:val="nil"/>
            </w:tcBorders>
            <w:shd w:val="clear" w:color="auto" w:fill="auto"/>
          </w:tcPr>
          <w:p w:rsidR="00B65F56" w:rsidRDefault="00B65F56" w:rsidP="00C2399F">
            <w:pPr>
              <w:pStyle w:val="FigureTitle"/>
              <w:rPr>
                <w:rStyle w:val="NoteLabel"/>
                <w:b/>
              </w:rPr>
            </w:pPr>
            <w:r w:rsidRPr="00784A05">
              <w:rPr>
                <w:b w:val="0"/>
              </w:rPr>
              <w:t xml:space="preserve">Figure </w:t>
            </w:r>
            <w:bookmarkStart w:id="111" w:name="OLE_LINK9"/>
            <w:r w:rsidR="001345FE">
              <w:rPr>
                <w:b w:val="0"/>
                <w:noProof/>
              </w:rPr>
              <w:t>30</w:t>
            </w:r>
            <w:bookmarkEnd w:id="111"/>
            <w:r>
              <w:tab/>
            </w:r>
            <w:r w:rsidR="00E73622">
              <w:t>ROA measures are generally lower than ROR</w:t>
            </w:r>
            <w:r w:rsidR="009E3A8F" w:rsidRPr="009E3A8F">
              <w:rPr>
                <w:rStyle w:val="NoteLabel"/>
                <w:b/>
              </w:rPr>
              <w:t>a</w:t>
            </w:r>
          </w:p>
          <w:p w:rsidR="00B65F56" w:rsidRPr="00176D3F" w:rsidRDefault="0025313B" w:rsidP="0025313B">
            <w:pPr>
              <w:pStyle w:val="Subtitle"/>
            </w:pPr>
            <w:r>
              <w:t>2006–2016</w:t>
            </w:r>
          </w:p>
        </w:tc>
      </w:tr>
      <w:tr w:rsidR="00B65F56" w:rsidTr="00D0296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65F56" w:rsidRPr="00B1465D" w:rsidTr="00D02966">
              <w:trPr>
                <w:tblHeader/>
                <w:jc w:val="center"/>
              </w:trPr>
              <w:tc>
                <w:tcPr>
                  <w:tcW w:w="5000" w:type="pct"/>
                  <w:tcBorders>
                    <w:top w:val="nil"/>
                    <w:bottom w:val="nil"/>
                  </w:tcBorders>
                </w:tcPr>
                <w:p w:rsidR="00B65F56" w:rsidRPr="00B1465D" w:rsidRDefault="00572AE7" w:rsidP="00D02966">
                  <w:pPr>
                    <w:pStyle w:val="Figure"/>
                    <w:spacing w:before="60" w:after="60"/>
                    <w:rPr>
                      <w:rFonts w:ascii="Arial" w:hAnsi="Arial" w:cs="Arial"/>
                      <w:sz w:val="18"/>
                      <w:szCs w:val="18"/>
                    </w:rPr>
                  </w:pPr>
                  <w:r w:rsidRPr="00572AE7">
                    <w:rPr>
                      <w:rFonts w:ascii="Arial" w:hAnsi="Arial" w:cs="Arial"/>
                      <w:noProof/>
                      <w:sz w:val="18"/>
                      <w:szCs w:val="18"/>
                    </w:rPr>
                    <w:drawing>
                      <wp:inline distT="0" distB="0" distL="0" distR="0" wp14:anchorId="01C30D15" wp14:editId="32D97CFA">
                        <wp:extent cx="5149850" cy="2874645"/>
                        <wp:effectExtent l="0" t="0" r="0" b="1905"/>
                        <wp:docPr id="1" name="Picture 1" descr="This chart shows estimates of SMSF net returns calculated using various methods over the period 2006–2016. The ATO ROA and Class Limited ROR estimates are similar for most years, with the former slightly higher. ATO revised ROA estimates are available for the last three years and similar to the Class Limited esti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49850" cy="2874645"/>
                                </a:xfrm>
                                <a:prstGeom prst="rect">
                                  <a:avLst/>
                                </a:prstGeom>
                                <a:noFill/>
                                <a:ln>
                                  <a:noFill/>
                                </a:ln>
                              </pic:spPr>
                            </pic:pic>
                          </a:graphicData>
                        </a:graphic>
                      </wp:inline>
                    </w:drawing>
                  </w:r>
                </w:p>
              </w:tc>
            </w:tr>
          </w:tbl>
          <w:p w:rsidR="00B65F56" w:rsidRDefault="00B65F56" w:rsidP="00D02966">
            <w:pPr>
              <w:pStyle w:val="Figure"/>
            </w:pPr>
          </w:p>
        </w:tc>
      </w:tr>
      <w:tr w:rsidR="00B65F56" w:rsidRPr="00176D3F" w:rsidTr="00D02966">
        <w:tc>
          <w:tcPr>
            <w:tcW w:w="5000" w:type="pct"/>
            <w:tcBorders>
              <w:top w:val="nil"/>
              <w:left w:val="nil"/>
              <w:bottom w:val="nil"/>
              <w:right w:val="nil"/>
            </w:tcBorders>
            <w:shd w:val="clear" w:color="auto" w:fill="auto"/>
          </w:tcPr>
          <w:p w:rsidR="00B65F56" w:rsidRPr="00176D3F" w:rsidRDefault="00B65F56" w:rsidP="00B65F56">
            <w:pPr>
              <w:pStyle w:val="Note"/>
            </w:pPr>
            <w:r>
              <w:rPr>
                <w:rStyle w:val="NoteLabel"/>
              </w:rPr>
              <w:t>a</w:t>
            </w:r>
            <w:r>
              <w:rPr>
                <w:b/>
              </w:rPr>
              <w:t xml:space="preserve"> </w:t>
            </w:r>
            <w:r>
              <w:t xml:space="preserve">The estimates for Class Limited differ slightly from those in its submission (sub. DR190, p. 4) due to refinements to the calculation methodology. ATO </w:t>
            </w:r>
            <w:r w:rsidR="00C721B3">
              <w:t xml:space="preserve">revised </w:t>
            </w:r>
            <w:r>
              <w:t>RO</w:t>
            </w:r>
            <w:r w:rsidR="005747A5">
              <w:t>A</w:t>
            </w:r>
            <w:r>
              <w:t xml:space="preserve"> estimates are not available for all years.</w:t>
            </w:r>
          </w:p>
        </w:tc>
      </w:tr>
      <w:tr w:rsidR="00B65F56" w:rsidRPr="00176D3F" w:rsidTr="00D02966">
        <w:tc>
          <w:tcPr>
            <w:tcW w:w="5000" w:type="pct"/>
            <w:tcBorders>
              <w:top w:val="nil"/>
              <w:left w:val="nil"/>
              <w:bottom w:val="nil"/>
              <w:right w:val="nil"/>
            </w:tcBorders>
            <w:shd w:val="clear" w:color="auto" w:fill="auto"/>
          </w:tcPr>
          <w:p w:rsidR="00B65F56" w:rsidRPr="00176D3F" w:rsidRDefault="00B65F56" w:rsidP="00D02966">
            <w:pPr>
              <w:pStyle w:val="Source"/>
            </w:pPr>
            <w:r>
              <w:rPr>
                <w:i/>
              </w:rPr>
              <w:t>Sources</w:t>
            </w:r>
            <w:r w:rsidRPr="00167F06">
              <w:t xml:space="preserve">: </w:t>
            </w:r>
            <w:r>
              <w:t>ATO (</w:t>
            </w:r>
            <w:r w:rsidRPr="003B6044">
              <w:t>pers. comm., 8</w:t>
            </w:r>
            <w:r w:rsidR="00617DD2">
              <w:t> </w:t>
            </w:r>
            <w:r w:rsidRPr="003B6044">
              <w:t>August 2017</w:t>
            </w:r>
            <w:r>
              <w:t>;</w:t>
            </w:r>
            <w:r w:rsidRPr="003B6044">
              <w:t xml:space="preserve"> 11</w:t>
            </w:r>
            <w:r w:rsidR="00617DD2">
              <w:t> </w:t>
            </w:r>
            <w:r w:rsidRPr="003B6044">
              <w:t>December 2017; 31</w:t>
            </w:r>
            <w:r w:rsidR="00617DD2">
              <w:t> </w:t>
            </w:r>
            <w:r w:rsidRPr="003B6044">
              <w:t>August 2018</w:t>
            </w:r>
            <w:r>
              <w:t>); Class Limited (pers. comm, 29 August 2018).</w:t>
            </w:r>
          </w:p>
        </w:tc>
      </w:tr>
      <w:tr w:rsidR="00B65F56" w:rsidTr="00D02966">
        <w:tc>
          <w:tcPr>
            <w:tcW w:w="5000" w:type="pct"/>
            <w:tcBorders>
              <w:top w:val="nil"/>
              <w:left w:val="nil"/>
              <w:bottom w:val="single" w:sz="6" w:space="0" w:color="78A22F"/>
              <w:right w:val="nil"/>
            </w:tcBorders>
            <w:shd w:val="clear" w:color="auto" w:fill="auto"/>
          </w:tcPr>
          <w:p w:rsidR="00B65F56" w:rsidRDefault="00B65F56" w:rsidP="00D02966">
            <w:pPr>
              <w:pStyle w:val="Figurespace"/>
            </w:pPr>
          </w:p>
        </w:tc>
      </w:tr>
      <w:tr w:rsidR="00B65F56" w:rsidRPr="000863A5" w:rsidTr="00D02966">
        <w:tc>
          <w:tcPr>
            <w:tcW w:w="5000" w:type="pct"/>
            <w:tcBorders>
              <w:top w:val="single" w:sz="6" w:space="0" w:color="78A22F"/>
              <w:left w:val="nil"/>
              <w:bottom w:val="nil"/>
              <w:right w:val="nil"/>
            </w:tcBorders>
          </w:tcPr>
          <w:p w:rsidR="00B65F56" w:rsidRPr="00626D32" w:rsidRDefault="00B65F56" w:rsidP="00D02966">
            <w:pPr>
              <w:pStyle w:val="BoxSpaceBelow"/>
            </w:pPr>
          </w:p>
        </w:tc>
      </w:tr>
    </w:tbl>
    <w:p w:rsidR="00EA73CD" w:rsidRDefault="00EA73CD" w:rsidP="00DE2AD3">
      <w:pPr>
        <w:pStyle w:val="BodyText"/>
      </w:pPr>
      <w:r>
        <w:t xml:space="preserve">A further issue is that </w:t>
      </w:r>
      <w:r w:rsidR="005747A5">
        <w:t xml:space="preserve">the </w:t>
      </w:r>
      <w:r>
        <w:t xml:space="preserve">ATO </w:t>
      </w:r>
      <w:r w:rsidR="005747A5">
        <w:t xml:space="preserve">publishes </w:t>
      </w:r>
      <w:r>
        <w:t>data for</w:t>
      </w:r>
      <w:r w:rsidR="005747A5">
        <w:t xml:space="preserve"> SMSF</w:t>
      </w:r>
      <w:r>
        <w:t xml:space="preserve"> returns in summary form</w:t>
      </w:r>
      <w:r w:rsidR="00102604">
        <w:t xml:space="preserve"> </w:t>
      </w:r>
      <w:r>
        <w:t>according to a set of size brackets, with SMSFs assigned to brackets based on the</w:t>
      </w:r>
      <w:r w:rsidR="000B7710">
        <w:t>ir</w:t>
      </w:r>
      <w:r>
        <w:t xml:space="preserve"> average balance during the period</w:t>
      </w:r>
      <w:r w:rsidR="00F83327">
        <w:t xml:space="preserve"> (which reflects the SMSF overall </w:t>
      </w:r>
      <w:r w:rsidR="005747A5">
        <w:t>rather than</w:t>
      </w:r>
      <w:r w:rsidR="00F83327">
        <w:t xml:space="preserve"> individual member balances)</w:t>
      </w:r>
      <w:r>
        <w:t xml:space="preserve">. However, SMSFs that experience high returns (or, conversely, </w:t>
      </w:r>
      <w:r w:rsidR="005747A5">
        <w:t xml:space="preserve">negative </w:t>
      </w:r>
      <w:r>
        <w:t xml:space="preserve">returns) may move up (or down) to another size bracket during the period. Class Limited (sub. DR190, p. 6) submitted that this can lead to ‘selection bias’, whereby the returns </w:t>
      </w:r>
      <w:r w:rsidR="00AF020F">
        <w:t>for</w:t>
      </w:r>
      <w:r>
        <w:t xml:space="preserve"> smaller size brackets are brought down — by over 10 percentage points in the case of the smallest SMSFs. It argued that grouping according to balance at the </w:t>
      </w:r>
      <w:r>
        <w:rPr>
          <w:i/>
        </w:rPr>
        <w:t>beginning</w:t>
      </w:r>
      <w:r>
        <w:t xml:space="preserve"> of the period can avoid this problem</w:t>
      </w:r>
      <w:r w:rsidR="000B7710">
        <w:t xml:space="preserve">. Grouping the data this way would mean that the </w:t>
      </w:r>
      <w:r w:rsidR="003804D8">
        <w:t>measured net</w:t>
      </w:r>
      <w:r w:rsidR="000B7710">
        <w:t xml:space="preserve"> return better reflects the average experience of SMSFs that start out with similar balances.</w:t>
      </w:r>
    </w:p>
    <w:p w:rsidR="00C0652B" w:rsidRDefault="00EA73CD" w:rsidP="00C0652B">
      <w:pPr>
        <w:pStyle w:val="BodyText"/>
      </w:pPr>
      <w:r>
        <w:t xml:space="preserve">The ATO has provided </w:t>
      </w:r>
      <w:r w:rsidR="005747A5">
        <w:t xml:space="preserve">calculations of </w:t>
      </w:r>
      <w:r>
        <w:t xml:space="preserve">ROA </w:t>
      </w:r>
      <w:r w:rsidR="00A129FB">
        <w:t xml:space="preserve">using an amended methodology that uses </w:t>
      </w:r>
      <w:r>
        <w:t>size bracket</w:t>
      </w:r>
      <w:r w:rsidR="00A129FB">
        <w:t>s</w:t>
      </w:r>
      <w:r>
        <w:t xml:space="preserve"> </w:t>
      </w:r>
      <w:r w:rsidR="00A129FB">
        <w:t>according to</w:t>
      </w:r>
      <w:r>
        <w:t xml:space="preserve"> balance at the beginning of each year, rather than the average balance over the year (figure </w:t>
      </w:r>
      <w:r w:rsidR="009A417A">
        <w:t>31</w:t>
      </w:r>
      <w:r>
        <w:t xml:space="preserve">). </w:t>
      </w:r>
      <w:r w:rsidR="00C0652B">
        <w:t xml:space="preserve">In each year, the effect of </w:t>
      </w:r>
      <w:r w:rsidR="007212D7">
        <w:t>measuring balances</w:t>
      </w:r>
      <w:r w:rsidR="00C0652B">
        <w:t xml:space="preserve"> at the beginning of the period is to lift the measured returns for all size brackets, with the exception of the very largest ($2 million or more). The differences are more pronounced for smaller SMSFs</w:t>
      </w:r>
      <w:r w:rsidR="00B06179">
        <w:t xml:space="preserve">, especially </w:t>
      </w:r>
      <w:r w:rsidR="00C0652B">
        <w:t xml:space="preserve">those with </w:t>
      </w:r>
      <w:r w:rsidR="00B06179">
        <w:t xml:space="preserve">balances under $500 000. In 2016, for example, the difference was </w:t>
      </w:r>
      <w:r w:rsidR="00B06179">
        <w:lastRenderedPageBreak/>
        <w:t>about 1.2 percentage points for SMSFs between $200 000 and $500 000 in size, and as high as 17 percent</w:t>
      </w:r>
      <w:r w:rsidR="00C0652B">
        <w:t>age points</w:t>
      </w:r>
      <w:r w:rsidR="00B06179">
        <w:t xml:space="preserve"> for the smallest SMSFs (under $50 000).</w:t>
      </w:r>
      <w:r w:rsidR="008D6C19">
        <w:t xml:space="preserve"> The differences are of similar magnitudes for other years.</w:t>
      </w:r>
    </w:p>
    <w:p w:rsidR="003804D8" w:rsidRDefault="00D929D2" w:rsidP="00DE2AD3">
      <w:pPr>
        <w:pStyle w:val="BodyText"/>
      </w:pPr>
      <w:r>
        <w:t>These differences are explained by the fact that</w:t>
      </w:r>
      <w:r w:rsidR="0058277F">
        <w:t>, most notably for the smaller SMSFs,</w:t>
      </w:r>
      <w:r>
        <w:t xml:space="preserve"> the average size of SMSFs </w:t>
      </w:r>
      <w:r>
        <w:rPr>
          <w:i/>
        </w:rPr>
        <w:t>within</w:t>
      </w:r>
      <w:r>
        <w:t xml:space="preserve"> each bracket is larger </w:t>
      </w:r>
      <w:r w:rsidR="003804D8">
        <w:t>when grouped by assets at the beginning of the period</w:t>
      </w:r>
      <w:r w:rsidR="0058277F">
        <w:t xml:space="preserve">, compared to when grouped by </w:t>
      </w:r>
      <w:r w:rsidR="003804D8">
        <w:t>average</w:t>
      </w:r>
      <w:r w:rsidR="0058277F">
        <w:t xml:space="preserve"> assets</w:t>
      </w:r>
      <w:r w:rsidR="003804D8">
        <w:t xml:space="preserve"> over the period. This may be because SMSFs close to the top of their starting bracket</w:t>
      </w:r>
      <w:r w:rsidR="002B7422">
        <w:t xml:space="preserve"> </w:t>
      </w:r>
      <w:r w:rsidR="003804D8">
        <w:t xml:space="preserve">that experience </w:t>
      </w:r>
      <w:r w:rsidR="007212D7">
        <w:t xml:space="preserve">strong returns </w:t>
      </w:r>
      <w:r w:rsidR="0065245A">
        <w:t>(or high inward rollovers or contributions)</w:t>
      </w:r>
      <w:r w:rsidR="007212D7">
        <w:t xml:space="preserve"> </w:t>
      </w:r>
      <w:r w:rsidR="003804D8">
        <w:t>end up being reclassified into the next</w:t>
      </w:r>
      <w:r w:rsidR="0058277F">
        <w:t xml:space="preserve"> highest</w:t>
      </w:r>
      <w:r w:rsidR="003804D8">
        <w:t xml:space="preserve"> bracket for the average</w:t>
      </w:r>
      <w:r w:rsidR="003804D8">
        <w:noBreakHyphen/>
        <w:t>assets measure. At the</w:t>
      </w:r>
      <w:r w:rsidR="00FA774E">
        <w:t xml:space="preserve"> same time, SMSFs</w:t>
      </w:r>
      <w:r w:rsidR="00102604">
        <w:t xml:space="preserve"> </w:t>
      </w:r>
      <w:r w:rsidR="00FA774E">
        <w:t>could be measured as having strongly negative returns using the average</w:t>
      </w:r>
      <w:r w:rsidR="00FA774E">
        <w:noBreakHyphen/>
        <w:t>assets measure if their assets (the denominator in the calculation) shrink over the period</w:t>
      </w:r>
      <w:r w:rsidR="00CE266A">
        <w:t xml:space="preserve"> — for example, because of high expenses and/or drawdowns from retired members</w:t>
      </w:r>
      <w:r w:rsidR="00FA774E">
        <w:t xml:space="preserve">. This appears likely, </w:t>
      </w:r>
      <w:r w:rsidR="008B29C9">
        <w:t xml:space="preserve">at least in the smallest size brackets, </w:t>
      </w:r>
      <w:r w:rsidR="00FA774E">
        <w:t>as n</w:t>
      </w:r>
      <w:r w:rsidR="003804D8">
        <w:t>et earnings were negative for SMSFs starting with less than $100 000 for most years over the period 2012–2016.</w:t>
      </w:r>
    </w:p>
    <w:p w:rsidR="00C73556" w:rsidRDefault="00C73556" w:rsidP="00C735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73556" w:rsidTr="00C73556">
        <w:trPr>
          <w:tblHeader/>
        </w:trPr>
        <w:tc>
          <w:tcPr>
            <w:tcW w:w="5000" w:type="pct"/>
            <w:tcBorders>
              <w:top w:val="single" w:sz="6" w:space="0" w:color="78A22F"/>
              <w:left w:val="nil"/>
              <w:bottom w:val="nil"/>
              <w:right w:val="nil"/>
            </w:tcBorders>
            <w:shd w:val="clear" w:color="auto" w:fill="auto"/>
          </w:tcPr>
          <w:p w:rsidR="00C73556" w:rsidRPr="00176D3F" w:rsidRDefault="00C73556" w:rsidP="006860E1">
            <w:pPr>
              <w:pStyle w:val="FigureTitle"/>
            </w:pPr>
            <w:r w:rsidRPr="00784A05">
              <w:rPr>
                <w:b w:val="0"/>
              </w:rPr>
              <w:t xml:space="preserve">Figure </w:t>
            </w:r>
            <w:bookmarkStart w:id="112" w:name="OLE_LINK10"/>
            <w:r w:rsidR="001345FE">
              <w:rPr>
                <w:b w:val="0"/>
                <w:noProof/>
              </w:rPr>
              <w:t>31</w:t>
            </w:r>
            <w:bookmarkEnd w:id="112"/>
            <w:r>
              <w:tab/>
            </w:r>
            <w:r w:rsidR="00E73622">
              <w:t>Differen</w:t>
            </w:r>
            <w:r w:rsidR="006860E1">
              <w:t>t</w:t>
            </w:r>
            <w:r>
              <w:t xml:space="preserve"> balance period</w:t>
            </w:r>
            <w:r w:rsidR="00E73622">
              <w:t xml:space="preserve"> methods produce different returns</w:t>
            </w:r>
            <w:r w:rsidR="00047B0E" w:rsidRPr="007C08E3">
              <w:rPr>
                <w:rStyle w:val="NoteLabel"/>
                <w:b/>
              </w:rPr>
              <w:t>a</w:t>
            </w:r>
          </w:p>
        </w:tc>
      </w:tr>
      <w:tr w:rsidR="00C73556" w:rsidTr="00C7355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73556" w:rsidRPr="00B1465D" w:rsidTr="00C73556">
              <w:trPr>
                <w:tblHeader/>
                <w:jc w:val="center"/>
              </w:trPr>
              <w:tc>
                <w:tcPr>
                  <w:tcW w:w="5000" w:type="pct"/>
                  <w:tcBorders>
                    <w:top w:val="nil"/>
                    <w:bottom w:val="nil"/>
                  </w:tcBorders>
                </w:tcPr>
                <w:p w:rsidR="00C73556" w:rsidRPr="00B1465D" w:rsidRDefault="00AF020F" w:rsidP="00C73556">
                  <w:pPr>
                    <w:pStyle w:val="Figure"/>
                    <w:spacing w:before="60" w:after="60"/>
                    <w:rPr>
                      <w:rFonts w:ascii="Arial" w:hAnsi="Arial" w:cs="Arial"/>
                      <w:sz w:val="18"/>
                      <w:szCs w:val="18"/>
                    </w:rPr>
                  </w:pPr>
                  <w:r w:rsidRPr="00AF020F">
                    <w:rPr>
                      <w:rFonts w:ascii="Arial" w:hAnsi="Arial" w:cs="Arial"/>
                      <w:noProof/>
                      <w:sz w:val="18"/>
                      <w:szCs w:val="18"/>
                    </w:rPr>
                    <w:drawing>
                      <wp:inline distT="0" distB="0" distL="0" distR="0" wp14:anchorId="5C9C4BF4" wp14:editId="731AA4E8">
                        <wp:extent cx="5382491" cy="2560698"/>
                        <wp:effectExtent l="0" t="0" r="8890" b="0"/>
                        <wp:docPr id="24" name="Picture 24" descr="This chart shows return on assets for different SMSF size brackets in each of 2012 and 2016. In each year, the effect of measuring balances at the beginning of the period is to lift the measured returns for all size brackets, with the exception of the very largest ($2 million or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86332" cy="2562525"/>
                                </a:xfrm>
                                <a:prstGeom prst="rect">
                                  <a:avLst/>
                                </a:prstGeom>
                                <a:noFill/>
                                <a:ln>
                                  <a:noFill/>
                                </a:ln>
                              </pic:spPr>
                            </pic:pic>
                          </a:graphicData>
                        </a:graphic>
                      </wp:inline>
                    </w:drawing>
                  </w:r>
                </w:p>
              </w:tc>
            </w:tr>
          </w:tbl>
          <w:p w:rsidR="00C73556" w:rsidRDefault="00C73556" w:rsidP="00C73556">
            <w:pPr>
              <w:pStyle w:val="Figure"/>
            </w:pPr>
          </w:p>
        </w:tc>
      </w:tr>
      <w:tr w:rsidR="00047B0E" w:rsidRPr="00176D3F" w:rsidTr="00382BFA">
        <w:tc>
          <w:tcPr>
            <w:tcW w:w="5000" w:type="pct"/>
            <w:tcBorders>
              <w:top w:val="nil"/>
              <w:left w:val="nil"/>
              <w:bottom w:val="nil"/>
              <w:right w:val="nil"/>
            </w:tcBorders>
            <w:shd w:val="clear" w:color="auto" w:fill="auto"/>
          </w:tcPr>
          <w:p w:rsidR="00047B0E" w:rsidRPr="00176D3F" w:rsidRDefault="00047B0E" w:rsidP="00047B0E">
            <w:pPr>
              <w:pStyle w:val="Note"/>
            </w:pPr>
            <w:r>
              <w:rPr>
                <w:rStyle w:val="NoteLabel"/>
              </w:rPr>
              <w:t>a</w:t>
            </w:r>
            <w:r>
              <w:t xml:space="preserve"> Size brackets calculated </w:t>
            </w:r>
            <w:r w:rsidR="00A129FB">
              <w:t xml:space="preserve">on assets </w:t>
            </w:r>
            <w:r>
              <w:t>at the beginning of the year (</w:t>
            </w:r>
            <w:r w:rsidR="00A129FB">
              <w:t>amended methodology</w:t>
            </w:r>
            <w:r>
              <w:t>) compared to size brackets calculated as the average balance over the year (current ATO methodology).</w:t>
            </w:r>
          </w:p>
        </w:tc>
      </w:tr>
      <w:tr w:rsidR="00C73556" w:rsidRPr="00176D3F" w:rsidTr="00C73556">
        <w:tc>
          <w:tcPr>
            <w:tcW w:w="5000" w:type="pct"/>
            <w:tcBorders>
              <w:top w:val="nil"/>
              <w:left w:val="nil"/>
              <w:bottom w:val="nil"/>
              <w:right w:val="nil"/>
            </w:tcBorders>
            <w:shd w:val="clear" w:color="auto" w:fill="auto"/>
          </w:tcPr>
          <w:p w:rsidR="00C73556" w:rsidRPr="00176D3F" w:rsidRDefault="00C73556" w:rsidP="00C73556">
            <w:pPr>
              <w:pStyle w:val="Source"/>
            </w:pPr>
            <w:r>
              <w:rPr>
                <w:i/>
              </w:rPr>
              <w:t>Sources</w:t>
            </w:r>
            <w:r w:rsidRPr="00167F06">
              <w:t xml:space="preserve">: </w:t>
            </w:r>
            <w:r>
              <w:t>ATO (</w:t>
            </w:r>
            <w:r w:rsidRPr="003B6044">
              <w:t>pers. comm., 31</w:t>
            </w:r>
            <w:r w:rsidR="00617DD2">
              <w:t> </w:t>
            </w:r>
            <w:r w:rsidRPr="003B6044">
              <w:t>August 2018</w:t>
            </w:r>
            <w:r w:rsidR="00CB38EB">
              <w:t>, 24</w:t>
            </w:r>
            <w:r w:rsidR="00617DD2">
              <w:t> </w:t>
            </w:r>
            <w:r w:rsidR="00CB38EB">
              <w:t>September 2018</w:t>
            </w:r>
            <w:r>
              <w:t>).</w:t>
            </w:r>
          </w:p>
        </w:tc>
      </w:tr>
      <w:tr w:rsidR="00C73556" w:rsidTr="00C73556">
        <w:tc>
          <w:tcPr>
            <w:tcW w:w="5000" w:type="pct"/>
            <w:tcBorders>
              <w:top w:val="nil"/>
              <w:left w:val="nil"/>
              <w:bottom w:val="single" w:sz="6" w:space="0" w:color="78A22F"/>
              <w:right w:val="nil"/>
            </w:tcBorders>
            <w:shd w:val="clear" w:color="auto" w:fill="auto"/>
          </w:tcPr>
          <w:p w:rsidR="00C73556" w:rsidRDefault="00C73556" w:rsidP="00C73556">
            <w:pPr>
              <w:pStyle w:val="Figurespace"/>
            </w:pPr>
          </w:p>
        </w:tc>
      </w:tr>
      <w:tr w:rsidR="00C73556" w:rsidRPr="000863A5" w:rsidTr="00C73556">
        <w:tc>
          <w:tcPr>
            <w:tcW w:w="5000" w:type="pct"/>
            <w:tcBorders>
              <w:top w:val="single" w:sz="6" w:space="0" w:color="78A22F"/>
              <w:left w:val="nil"/>
              <w:bottom w:val="nil"/>
              <w:right w:val="nil"/>
            </w:tcBorders>
          </w:tcPr>
          <w:p w:rsidR="00C73556" w:rsidRPr="00626D32" w:rsidRDefault="00C73556" w:rsidP="00C73556">
            <w:pPr>
              <w:pStyle w:val="BoxSpaceBelow"/>
            </w:pPr>
          </w:p>
        </w:tc>
      </w:tr>
    </w:tbl>
    <w:p w:rsidR="008358A2" w:rsidRDefault="00C86877" w:rsidP="008358A2">
      <w:pPr>
        <w:pStyle w:val="Heading3"/>
      </w:pPr>
      <w:bookmarkStart w:id="113" w:name="_Toc528158057"/>
      <w:bookmarkStart w:id="114" w:name="_Toc528229679"/>
      <w:bookmarkStart w:id="115" w:name="_Toc528298329"/>
      <w:r>
        <w:t>New and existing SMSFs</w:t>
      </w:r>
      <w:bookmarkEnd w:id="113"/>
      <w:bookmarkEnd w:id="114"/>
      <w:bookmarkEnd w:id="115"/>
    </w:p>
    <w:p w:rsidR="008358A2" w:rsidRPr="008358A2" w:rsidRDefault="008358A2" w:rsidP="008358A2">
      <w:pPr>
        <w:pStyle w:val="BodyText"/>
        <w:rPr>
          <w:i/>
        </w:rPr>
      </w:pPr>
      <w:r>
        <w:rPr>
          <w:i/>
        </w:rPr>
        <w:t>D</w:t>
      </w:r>
      <w:r w:rsidRPr="008358A2">
        <w:rPr>
          <w:i/>
        </w:rPr>
        <w:t>o expenses for individual SMSFs fall over time and/or do net returns rise? If so, is this driven by growth in balances?</w:t>
      </w:r>
    </w:p>
    <w:p w:rsidR="00CE0C2F" w:rsidRDefault="00F83327">
      <w:pPr>
        <w:pStyle w:val="BodyText"/>
      </w:pPr>
      <w:r w:rsidRPr="00305FCE">
        <w:t>Some inquiry participants suggested that ROA estimates can be biased by the inclusion of one</w:t>
      </w:r>
      <w:r w:rsidRPr="00305FCE">
        <w:noBreakHyphen/>
        <w:t xml:space="preserve">off </w:t>
      </w:r>
      <w:r w:rsidRPr="00DA65BC">
        <w:t>establishment</w:t>
      </w:r>
      <w:r w:rsidRPr="005172ED">
        <w:t xml:space="preserve"> and wind</w:t>
      </w:r>
      <w:r w:rsidRPr="005172ED">
        <w:noBreakHyphen/>
        <w:t>up costs (for newly created and soon</w:t>
      </w:r>
      <w:r w:rsidRPr="005172ED">
        <w:noBreakHyphen/>
        <w:t>to</w:t>
      </w:r>
      <w:r w:rsidRPr="005172ED">
        <w:noBreakHyphen/>
        <w:t>be</w:t>
      </w:r>
      <w:r w:rsidRPr="005172ED">
        <w:noBreakHyphen/>
        <w:t xml:space="preserve">closed SMSFs, </w:t>
      </w:r>
      <w:r w:rsidRPr="005172ED">
        <w:lastRenderedPageBreak/>
        <w:t xml:space="preserve">respectively). This can lead to negative net return figures for new SMSFs even where their pure investment return may be positive </w:t>
      </w:r>
      <w:r w:rsidR="00C86877" w:rsidRPr="00671A52">
        <w:t>(SMSF Association, sub. DR194).</w:t>
      </w:r>
      <w:r w:rsidR="00C83559">
        <w:t xml:space="preserve"> The Commission was unable to separate out establishment and wind</w:t>
      </w:r>
      <w:r w:rsidR="00C83559">
        <w:noBreakHyphen/>
        <w:t>up costs in its draft report analysis.</w:t>
      </w:r>
    </w:p>
    <w:p w:rsidR="007A1A49" w:rsidRDefault="007A1A49" w:rsidP="007A1A49">
      <w:pPr>
        <w:pStyle w:val="Heading4"/>
      </w:pPr>
      <w:r>
        <w:t>Age and size data</w:t>
      </w:r>
    </w:p>
    <w:p w:rsidR="00C86877" w:rsidRDefault="00F83327" w:rsidP="00F83327">
      <w:pPr>
        <w:pStyle w:val="BodyText"/>
      </w:pPr>
      <w:r>
        <w:t>To shed light on whether SMSF returns are biased by establishment costs, the Commission has obtained ATO data on returns and expenses by the age and size of SMSFs</w:t>
      </w:r>
      <w:r w:rsidR="007212D7">
        <w:t xml:space="preserve"> (in size brackets based on balances at the beginning of each year)</w:t>
      </w:r>
      <w:r>
        <w:t>. While most SMSFs have existed for five or more years, a material portion are younger than this, especially in the smaller size brackets (figure </w:t>
      </w:r>
      <w:r w:rsidR="00443CA1">
        <w:t>32</w:t>
      </w:r>
      <w:r>
        <w:t>). This size and age distribution h</w:t>
      </w:r>
      <w:r w:rsidR="00D11D2F">
        <w:t>as not changed markedly in the five</w:t>
      </w:r>
      <w:r>
        <w:t> years to 2016.</w:t>
      </w:r>
    </w:p>
    <w:p w:rsidR="000D3466" w:rsidRDefault="000D3466">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D3466" w:rsidTr="00BE1412">
        <w:trPr>
          <w:tblHeader/>
        </w:trPr>
        <w:tc>
          <w:tcPr>
            <w:tcW w:w="5000" w:type="pct"/>
            <w:tcBorders>
              <w:top w:val="single" w:sz="6" w:space="0" w:color="78A22F"/>
              <w:left w:val="nil"/>
              <w:bottom w:val="nil"/>
              <w:right w:val="nil"/>
            </w:tcBorders>
            <w:shd w:val="clear" w:color="auto" w:fill="auto"/>
          </w:tcPr>
          <w:p w:rsidR="00E73622" w:rsidRDefault="000D3466" w:rsidP="00E73622">
            <w:pPr>
              <w:pStyle w:val="FigureTitle"/>
            </w:pPr>
            <w:r w:rsidRPr="00784A05">
              <w:rPr>
                <w:b w:val="0"/>
              </w:rPr>
              <w:t xml:space="preserve">Figure </w:t>
            </w:r>
            <w:bookmarkStart w:id="116" w:name="OLE_LINK14"/>
            <w:r w:rsidR="001345FE">
              <w:rPr>
                <w:b w:val="0"/>
                <w:noProof/>
              </w:rPr>
              <w:t>32</w:t>
            </w:r>
            <w:bookmarkEnd w:id="116"/>
            <w:r>
              <w:tab/>
            </w:r>
            <w:r w:rsidR="00E73622">
              <w:t>Younger</w:t>
            </w:r>
            <w:r>
              <w:t xml:space="preserve"> SMSFs </w:t>
            </w:r>
            <w:r w:rsidR="00E73622">
              <w:t>are more prevalent in smaller</w:t>
            </w:r>
            <w:r>
              <w:t xml:space="preserve"> size </w:t>
            </w:r>
            <w:r w:rsidR="00E73622">
              <w:t>brackets</w:t>
            </w:r>
          </w:p>
          <w:p w:rsidR="000D3466" w:rsidRPr="00176D3F" w:rsidRDefault="000D3466" w:rsidP="00E73622">
            <w:pPr>
              <w:pStyle w:val="Subtitle"/>
            </w:pPr>
            <w:r w:rsidRPr="00E73622">
              <w:rPr>
                <w:rStyle w:val="SubtitleChar"/>
              </w:rPr>
              <w:t>2016</w:t>
            </w:r>
          </w:p>
        </w:tc>
      </w:tr>
      <w:tr w:rsidR="000D3466" w:rsidTr="00BE141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D3466" w:rsidRPr="00B1465D" w:rsidTr="00BE1412">
              <w:trPr>
                <w:tblHeader/>
                <w:jc w:val="center"/>
              </w:trPr>
              <w:tc>
                <w:tcPr>
                  <w:tcW w:w="5000" w:type="pct"/>
                  <w:tcBorders>
                    <w:top w:val="nil"/>
                    <w:bottom w:val="nil"/>
                  </w:tcBorders>
                </w:tcPr>
                <w:p w:rsidR="000D3466" w:rsidRPr="00B1465D" w:rsidRDefault="00D067DD" w:rsidP="00BE1412">
                  <w:pPr>
                    <w:pStyle w:val="Figure"/>
                    <w:spacing w:before="60" w:after="60"/>
                    <w:rPr>
                      <w:rFonts w:ascii="Arial" w:hAnsi="Arial" w:cs="Arial"/>
                      <w:sz w:val="18"/>
                      <w:szCs w:val="18"/>
                    </w:rPr>
                  </w:pPr>
                  <w:r>
                    <w:rPr>
                      <w:rFonts w:ascii="Arial" w:hAnsi="Arial" w:cs="Arial"/>
                      <w:sz w:val="18"/>
                      <w:szCs w:val="18"/>
                    </w:rPr>
                    <w:t xml:space="preserve"> </w:t>
                  </w:r>
                  <w:r w:rsidRPr="00D067DD">
                    <w:rPr>
                      <w:rFonts w:ascii="Arial" w:hAnsi="Arial" w:cs="Arial"/>
                      <w:noProof/>
                      <w:sz w:val="18"/>
                      <w:szCs w:val="18"/>
                    </w:rPr>
                    <w:drawing>
                      <wp:inline distT="0" distB="0" distL="0" distR="0" wp14:anchorId="60354D3E" wp14:editId="77E13230">
                        <wp:extent cx="5305425" cy="4614545"/>
                        <wp:effectExtent l="0" t="0" r="9525" b="0"/>
                        <wp:docPr id="16" name="Picture 16" descr="This figure shows the age profile for SMSFs in each size bracket in 2016, which indicates that SMSFs of 5 or more years age are more prevalent in higher brackets. The figure also shows the composition by size bracket of SMSFs in each age cohort. Five per cent of SMSFs were less than 3 years of age 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05425" cy="4614545"/>
                                </a:xfrm>
                                <a:prstGeom prst="rect">
                                  <a:avLst/>
                                </a:prstGeom>
                                <a:noFill/>
                                <a:ln>
                                  <a:noFill/>
                                </a:ln>
                              </pic:spPr>
                            </pic:pic>
                          </a:graphicData>
                        </a:graphic>
                      </wp:inline>
                    </w:drawing>
                  </w:r>
                </w:p>
              </w:tc>
            </w:tr>
          </w:tbl>
          <w:p w:rsidR="000D3466" w:rsidRDefault="000D3466" w:rsidP="00BE1412">
            <w:pPr>
              <w:pStyle w:val="Figure"/>
            </w:pPr>
          </w:p>
        </w:tc>
      </w:tr>
      <w:tr w:rsidR="001A01CC" w:rsidRPr="00176D3F" w:rsidTr="00BE1412">
        <w:tc>
          <w:tcPr>
            <w:tcW w:w="5000" w:type="pct"/>
            <w:tcBorders>
              <w:top w:val="nil"/>
              <w:left w:val="nil"/>
              <w:bottom w:val="nil"/>
              <w:right w:val="nil"/>
            </w:tcBorders>
            <w:shd w:val="clear" w:color="auto" w:fill="auto"/>
          </w:tcPr>
          <w:p w:rsidR="001A01CC" w:rsidRPr="00176D3F" w:rsidRDefault="001A01CC" w:rsidP="001A01CC">
            <w:pPr>
              <w:pStyle w:val="Source"/>
            </w:pPr>
            <w:r>
              <w:rPr>
                <w:i/>
              </w:rPr>
              <w:t>Sources</w:t>
            </w:r>
            <w:r w:rsidRPr="00167F06">
              <w:t xml:space="preserve">: </w:t>
            </w:r>
            <w:r>
              <w:t>ATO (</w:t>
            </w:r>
            <w:r w:rsidRPr="003B6044">
              <w:t>pers. comm., 31</w:t>
            </w:r>
            <w:r w:rsidR="00617DD2">
              <w:t> </w:t>
            </w:r>
            <w:r w:rsidRPr="003B6044">
              <w:t>August 2018</w:t>
            </w:r>
            <w:r>
              <w:t>, 24</w:t>
            </w:r>
            <w:r w:rsidR="00617DD2">
              <w:t> </w:t>
            </w:r>
            <w:r>
              <w:t>September 2018).</w:t>
            </w:r>
          </w:p>
        </w:tc>
      </w:tr>
      <w:tr w:rsidR="001A01CC" w:rsidTr="00BE1412">
        <w:tc>
          <w:tcPr>
            <w:tcW w:w="5000" w:type="pct"/>
            <w:tcBorders>
              <w:top w:val="nil"/>
              <w:left w:val="nil"/>
              <w:bottom w:val="single" w:sz="6" w:space="0" w:color="78A22F"/>
              <w:right w:val="nil"/>
            </w:tcBorders>
            <w:shd w:val="clear" w:color="auto" w:fill="auto"/>
          </w:tcPr>
          <w:p w:rsidR="001A01CC" w:rsidRDefault="001A01CC" w:rsidP="001A01CC">
            <w:pPr>
              <w:pStyle w:val="Figurespace"/>
            </w:pPr>
          </w:p>
        </w:tc>
      </w:tr>
      <w:tr w:rsidR="001A01CC" w:rsidRPr="000863A5" w:rsidTr="00BE1412">
        <w:tc>
          <w:tcPr>
            <w:tcW w:w="5000" w:type="pct"/>
            <w:tcBorders>
              <w:top w:val="single" w:sz="6" w:space="0" w:color="78A22F"/>
              <w:left w:val="nil"/>
              <w:bottom w:val="nil"/>
              <w:right w:val="nil"/>
            </w:tcBorders>
          </w:tcPr>
          <w:p w:rsidR="001A01CC" w:rsidRPr="00626D32" w:rsidRDefault="001A01CC" w:rsidP="001A01CC">
            <w:pPr>
              <w:pStyle w:val="BoxSpaceBelow"/>
            </w:pPr>
          </w:p>
        </w:tc>
      </w:tr>
    </w:tbl>
    <w:p w:rsidR="00BC1BA9" w:rsidRDefault="00E713A0" w:rsidP="009D2F02">
      <w:pPr>
        <w:pStyle w:val="BodyText"/>
      </w:pPr>
      <w:r>
        <w:lastRenderedPageBreak/>
        <w:t xml:space="preserve">In aggregate, </w:t>
      </w:r>
      <w:r w:rsidR="00D76396">
        <w:t>newer</w:t>
      </w:r>
      <w:r>
        <w:t xml:space="preserve"> SMSFs </w:t>
      </w:r>
      <w:r w:rsidR="00BC1BA9">
        <w:t xml:space="preserve">(under 2 years of age) </w:t>
      </w:r>
      <w:r>
        <w:t>ha</w:t>
      </w:r>
      <w:r w:rsidR="00D76396">
        <w:t>d</w:t>
      </w:r>
      <w:r>
        <w:t xml:space="preserve"> systematically higher average expense</w:t>
      </w:r>
      <w:r w:rsidR="00C54191">
        <w:t xml:space="preserve"> ratios</w:t>
      </w:r>
      <w:r>
        <w:t xml:space="preserve"> </w:t>
      </w:r>
      <w:r w:rsidR="001C5991">
        <w:t>(</w:t>
      </w:r>
      <w:r w:rsidR="00C54191">
        <w:t xml:space="preserve">expenses </w:t>
      </w:r>
      <w:r w:rsidR="001C5991">
        <w:t xml:space="preserve">as a percentage of total assets) </w:t>
      </w:r>
      <w:r>
        <w:t>and</w:t>
      </w:r>
      <w:r w:rsidR="001C5991">
        <w:t xml:space="preserve"> therefore</w:t>
      </w:r>
      <w:r w:rsidR="00D76396">
        <w:t xml:space="preserve"> lower net returns than older SMSFs</w:t>
      </w:r>
      <w:r w:rsidR="00D220D2">
        <w:t xml:space="preserve"> </w:t>
      </w:r>
      <w:r>
        <w:t>(figure </w:t>
      </w:r>
      <w:r w:rsidR="00F96387">
        <w:t>3</w:t>
      </w:r>
      <w:r w:rsidR="009A417A">
        <w:t>3</w:t>
      </w:r>
      <w:r>
        <w:t xml:space="preserve">). These differences </w:t>
      </w:r>
      <w:r w:rsidR="001C5991">
        <w:t>between new and esta</w:t>
      </w:r>
      <w:r w:rsidR="00E847DF">
        <w:t>blished</w:t>
      </w:r>
      <w:r w:rsidR="001C5991">
        <w:t xml:space="preserve"> SMSFs </w:t>
      </w:r>
      <w:r>
        <w:t>appear to persist over time. To the extent they reflect one</w:t>
      </w:r>
      <w:r>
        <w:noBreakHyphen/>
        <w:t>off establishment costs</w:t>
      </w:r>
      <w:r w:rsidR="001C5991">
        <w:t xml:space="preserve"> being a temporary </w:t>
      </w:r>
      <w:r w:rsidR="00AF7878">
        <w:t xml:space="preserve">influence on </w:t>
      </w:r>
      <w:r w:rsidR="00C54191">
        <w:t>expense ratios</w:t>
      </w:r>
      <w:r w:rsidR="00AF7878">
        <w:t xml:space="preserve"> for </w:t>
      </w:r>
      <w:r w:rsidR="001C5991">
        <w:t>newer SMSFs</w:t>
      </w:r>
      <w:r>
        <w:t xml:space="preserve">, </w:t>
      </w:r>
      <w:r w:rsidR="00897C05">
        <w:t xml:space="preserve">members </w:t>
      </w:r>
      <w:r w:rsidR="00BC1BA9">
        <w:t xml:space="preserve">would not necessarily </w:t>
      </w:r>
      <w:r w:rsidR="00897C05">
        <w:t>be</w:t>
      </w:r>
      <w:r w:rsidR="00BC1BA9">
        <w:t xml:space="preserve"> worse off over the long term.</w:t>
      </w:r>
    </w:p>
    <w:p w:rsidR="00644493" w:rsidRDefault="00644493" w:rsidP="009D2F02">
      <w:pPr>
        <w:pStyle w:val="BodyText"/>
      </w:pPr>
      <w:r>
        <w:t xml:space="preserve">However, the </w:t>
      </w:r>
      <w:r w:rsidR="00897C05">
        <w:t>effect of</w:t>
      </w:r>
      <w:r>
        <w:t xml:space="preserve"> establishment costs is likely to be modest</w:t>
      </w:r>
      <w:r w:rsidR="00897C05">
        <w:t xml:space="preserve"> for two reasons</w:t>
      </w:r>
      <w:r>
        <w:t>. First, the SMSF Association (sub. DR194</w:t>
      </w:r>
      <w:r w:rsidR="00F92B81">
        <w:t>, p. 14</w:t>
      </w:r>
      <w:r>
        <w:t>) submitted that the average establishment cost over the years 2015–2017 was $2129. Since the average size of new SMSFs (less than 2 years old) in 2016 was $390 000, this suggests average establishment costs in the vicinity of 0.5 per cent of initial balances.</w:t>
      </w:r>
    </w:p>
    <w:p w:rsidR="00D220D2" w:rsidRDefault="00D220D2" w:rsidP="00E73622">
      <w:pPr>
        <w:pStyle w:val="BoxSpaceAbove"/>
        <w:tabs>
          <w:tab w:val="right" w:pos="8789"/>
        </w:tab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220D2" w:rsidTr="00F42972">
        <w:trPr>
          <w:tblHeader/>
        </w:trPr>
        <w:tc>
          <w:tcPr>
            <w:tcW w:w="5000" w:type="pct"/>
            <w:tcBorders>
              <w:top w:val="single" w:sz="6" w:space="0" w:color="78A22F"/>
              <w:left w:val="nil"/>
              <w:bottom w:val="nil"/>
              <w:right w:val="nil"/>
            </w:tcBorders>
            <w:shd w:val="clear" w:color="auto" w:fill="auto"/>
          </w:tcPr>
          <w:p w:rsidR="00D220D2" w:rsidRDefault="00D220D2" w:rsidP="00F42972">
            <w:pPr>
              <w:pStyle w:val="FigureTitle"/>
            </w:pPr>
            <w:r w:rsidRPr="00784A05">
              <w:rPr>
                <w:b w:val="0"/>
              </w:rPr>
              <w:t xml:space="preserve">Figure </w:t>
            </w:r>
            <w:bookmarkStart w:id="117" w:name="OLE_LINK51"/>
            <w:r w:rsidR="001345FE">
              <w:rPr>
                <w:b w:val="0"/>
                <w:noProof/>
              </w:rPr>
              <w:t>33</w:t>
            </w:r>
            <w:bookmarkEnd w:id="117"/>
            <w:r>
              <w:tab/>
            </w:r>
            <w:r w:rsidR="00E73622">
              <w:t>Younger SMSFs have higher costs and lower net</w:t>
            </w:r>
            <w:r>
              <w:t xml:space="preserve"> returns</w:t>
            </w:r>
            <w:r w:rsidR="00A129FB">
              <w:t>, on average</w:t>
            </w:r>
          </w:p>
          <w:p w:rsidR="00D220D2" w:rsidRPr="00176D3F" w:rsidRDefault="0025313B" w:rsidP="0025313B">
            <w:pPr>
              <w:pStyle w:val="Subtitle"/>
            </w:pPr>
            <w:r>
              <w:t>2013–2016</w:t>
            </w:r>
          </w:p>
        </w:tc>
      </w:tr>
      <w:tr w:rsidR="00D220D2" w:rsidTr="00F4297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220D2" w:rsidRPr="00B1465D" w:rsidTr="00F42972">
              <w:trPr>
                <w:tblHeader/>
                <w:jc w:val="center"/>
              </w:trPr>
              <w:tc>
                <w:tcPr>
                  <w:tcW w:w="5000" w:type="pct"/>
                  <w:tcBorders>
                    <w:top w:val="nil"/>
                    <w:bottom w:val="nil"/>
                  </w:tcBorders>
                </w:tcPr>
                <w:p w:rsidR="00D220D2" w:rsidRPr="00B1465D" w:rsidRDefault="006B090F" w:rsidP="00F42972">
                  <w:pPr>
                    <w:pStyle w:val="Figure"/>
                    <w:spacing w:before="60" w:after="60"/>
                    <w:rPr>
                      <w:rFonts w:ascii="Arial" w:hAnsi="Arial" w:cs="Arial"/>
                      <w:sz w:val="18"/>
                      <w:szCs w:val="18"/>
                    </w:rPr>
                  </w:pPr>
                  <w:r w:rsidRPr="006B090F">
                    <w:rPr>
                      <w:rFonts w:ascii="Arial" w:hAnsi="Arial" w:cs="Arial"/>
                      <w:noProof/>
                      <w:sz w:val="18"/>
                      <w:szCs w:val="18"/>
                    </w:rPr>
                    <w:drawing>
                      <wp:inline distT="0" distB="0" distL="0" distR="0" wp14:anchorId="154F6682" wp14:editId="221C4180">
                        <wp:extent cx="5207541" cy="4486275"/>
                        <wp:effectExtent l="0" t="0" r="0" b="0"/>
                        <wp:docPr id="44" name="Picture 44" descr="This figure shows that, in aggregate, SMSFs under 2 years of age had systematically higher average expense ratios and lower net returns than older SMSFs, in each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11386" cy="4489588"/>
                                </a:xfrm>
                                <a:prstGeom prst="rect">
                                  <a:avLst/>
                                </a:prstGeom>
                                <a:noFill/>
                                <a:ln>
                                  <a:noFill/>
                                </a:ln>
                              </pic:spPr>
                            </pic:pic>
                          </a:graphicData>
                        </a:graphic>
                      </wp:inline>
                    </w:drawing>
                  </w:r>
                </w:p>
              </w:tc>
            </w:tr>
          </w:tbl>
          <w:p w:rsidR="00D220D2" w:rsidRDefault="00D220D2" w:rsidP="00F42972">
            <w:pPr>
              <w:pStyle w:val="Figure"/>
            </w:pPr>
          </w:p>
        </w:tc>
      </w:tr>
      <w:tr w:rsidR="00D220D2" w:rsidRPr="00176D3F" w:rsidTr="00F42972">
        <w:tc>
          <w:tcPr>
            <w:tcW w:w="5000" w:type="pct"/>
            <w:tcBorders>
              <w:top w:val="nil"/>
              <w:left w:val="nil"/>
              <w:bottom w:val="nil"/>
              <w:right w:val="nil"/>
            </w:tcBorders>
            <w:shd w:val="clear" w:color="auto" w:fill="auto"/>
          </w:tcPr>
          <w:p w:rsidR="00D220D2" w:rsidRPr="00176D3F" w:rsidRDefault="00D220D2" w:rsidP="00F42972">
            <w:pPr>
              <w:pStyle w:val="Source"/>
            </w:pPr>
            <w:r>
              <w:rPr>
                <w:i/>
              </w:rPr>
              <w:t>Source</w:t>
            </w:r>
            <w:r w:rsidRPr="00167F06">
              <w:t xml:space="preserve">: </w:t>
            </w:r>
            <w:r>
              <w:t>ATO (</w:t>
            </w:r>
            <w:r w:rsidRPr="003B6044">
              <w:t>pers. comm., 31</w:t>
            </w:r>
            <w:r w:rsidR="00617DD2">
              <w:t> </w:t>
            </w:r>
            <w:r w:rsidRPr="003B6044">
              <w:t>August 2018</w:t>
            </w:r>
            <w:r>
              <w:t>).</w:t>
            </w:r>
          </w:p>
        </w:tc>
      </w:tr>
      <w:tr w:rsidR="00D220D2" w:rsidTr="00F42972">
        <w:tc>
          <w:tcPr>
            <w:tcW w:w="5000" w:type="pct"/>
            <w:tcBorders>
              <w:top w:val="nil"/>
              <w:left w:val="nil"/>
              <w:bottom w:val="single" w:sz="6" w:space="0" w:color="78A22F"/>
              <w:right w:val="nil"/>
            </w:tcBorders>
            <w:shd w:val="clear" w:color="auto" w:fill="auto"/>
          </w:tcPr>
          <w:p w:rsidR="00D220D2" w:rsidRDefault="00D220D2" w:rsidP="00F42972">
            <w:pPr>
              <w:pStyle w:val="Figurespace"/>
            </w:pPr>
          </w:p>
        </w:tc>
      </w:tr>
      <w:tr w:rsidR="00D220D2" w:rsidRPr="000863A5" w:rsidTr="00F42972">
        <w:tc>
          <w:tcPr>
            <w:tcW w:w="5000" w:type="pct"/>
            <w:tcBorders>
              <w:top w:val="single" w:sz="6" w:space="0" w:color="78A22F"/>
              <w:left w:val="nil"/>
              <w:bottom w:val="nil"/>
              <w:right w:val="nil"/>
            </w:tcBorders>
          </w:tcPr>
          <w:p w:rsidR="00D220D2" w:rsidRPr="00626D32" w:rsidRDefault="00D220D2" w:rsidP="00F42972">
            <w:pPr>
              <w:pStyle w:val="BoxSpaceBelow"/>
            </w:pPr>
          </w:p>
        </w:tc>
      </w:tr>
    </w:tbl>
    <w:p w:rsidR="00897C05" w:rsidRDefault="00644493" w:rsidP="00C54191">
      <w:pPr>
        <w:pStyle w:val="BodyText"/>
      </w:pPr>
      <w:r>
        <w:lastRenderedPageBreak/>
        <w:t>Second</w:t>
      </w:r>
      <w:r w:rsidR="00E713A0">
        <w:t xml:space="preserve">, </w:t>
      </w:r>
      <w:r>
        <w:t>ATO</w:t>
      </w:r>
      <w:r w:rsidR="00E713A0">
        <w:t xml:space="preserve"> data indicate that </w:t>
      </w:r>
      <w:r w:rsidR="00897C05">
        <w:t>expense</w:t>
      </w:r>
      <w:r w:rsidR="00C54191">
        <w:t xml:space="preserve"> ratios</w:t>
      </w:r>
      <w:r w:rsidR="00897C05">
        <w:t xml:space="preserve"> are much more clearly related to fund size than fund age. </w:t>
      </w:r>
      <w:r w:rsidR="00C54191">
        <w:t>Indeed, SMSFs between 4 and 5 years old have expenses that</w:t>
      </w:r>
      <w:r w:rsidR="00617DD2">
        <w:t xml:space="preserve"> </w:t>
      </w:r>
      <w:r w:rsidR="00E713A0">
        <w:t>remain above 1.5 per cent of assets a year</w:t>
      </w:r>
      <w:r w:rsidR="00B578DF">
        <w:t xml:space="preserve"> </w:t>
      </w:r>
      <w:r w:rsidR="00B63F7D">
        <w:t>on average</w:t>
      </w:r>
      <w:r w:rsidR="00897C05">
        <w:t>.</w:t>
      </w:r>
      <w:r w:rsidR="00E713A0">
        <w:t xml:space="preserve"> When cut by size bracket, the</w:t>
      </w:r>
      <w:r w:rsidR="00C54191">
        <w:t xml:space="preserve"> ATO</w:t>
      </w:r>
      <w:r w:rsidR="00E713A0">
        <w:t xml:space="preserve"> data </w:t>
      </w:r>
      <w:r w:rsidR="00C54191">
        <w:t>(</w:t>
      </w:r>
      <w:r w:rsidR="009F7EFB">
        <w:t>for 2016</w:t>
      </w:r>
      <w:r w:rsidR="00C54191">
        <w:t>)</w:t>
      </w:r>
      <w:r w:rsidR="009F7EFB">
        <w:t xml:space="preserve"> </w:t>
      </w:r>
      <w:r w:rsidR="00C54191">
        <w:t xml:space="preserve">show that SMSFs under $500 000 in assets have expense ratios that are well above average, particularly for those in the smallest size brackets </w:t>
      </w:r>
      <w:r w:rsidR="00902C32">
        <w:t>(figure </w:t>
      </w:r>
      <w:r w:rsidR="009A417A">
        <w:t>34</w:t>
      </w:r>
      <w:r w:rsidR="00902C32">
        <w:t>)</w:t>
      </w:r>
      <w:r w:rsidR="00E713A0">
        <w:t>. Indeed, in most size brackets, SMSFs aged between 2 and 5</w:t>
      </w:r>
      <w:r w:rsidR="009F7EFB">
        <w:t> </w:t>
      </w:r>
      <w:r w:rsidR="00E713A0">
        <w:t xml:space="preserve">years have similar or higher expenses </w:t>
      </w:r>
      <w:r w:rsidR="00D22197">
        <w:t>on average</w:t>
      </w:r>
      <w:r w:rsidR="00E713A0">
        <w:t xml:space="preserve"> compared to those that are </w:t>
      </w:r>
      <w:r w:rsidR="009F7EFB">
        <w:t>under 2 years</w:t>
      </w:r>
      <w:r w:rsidR="00E713A0">
        <w:t>.</w:t>
      </w:r>
      <w:r w:rsidR="00655DF9">
        <w:t xml:space="preserve"> </w:t>
      </w:r>
      <w:r w:rsidR="00D76396">
        <w:t xml:space="preserve">Similar </w:t>
      </w:r>
      <w:r w:rsidR="002415E6">
        <w:t xml:space="preserve">expense </w:t>
      </w:r>
      <w:r w:rsidR="00D76396">
        <w:t>patterns are evident in the earlier years.</w:t>
      </w:r>
      <w:r w:rsidR="002415E6">
        <w:t xml:space="preserve"> The patterns are less clear cut in terms of returns, but SMSF age does not appear to be a strong predictor of investment performance </w:t>
      </w:r>
      <w:r w:rsidR="00ED5468">
        <w:t xml:space="preserve">or expense ratios </w:t>
      </w:r>
      <w:r w:rsidR="002415E6">
        <w:t>within any size bracket.</w:t>
      </w:r>
    </w:p>
    <w:p w:rsidR="00D220D2" w:rsidRDefault="00D220D2" w:rsidP="00D220D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220D2" w:rsidTr="00F42972">
        <w:trPr>
          <w:tblHeader/>
        </w:trPr>
        <w:tc>
          <w:tcPr>
            <w:tcW w:w="5000" w:type="pct"/>
            <w:tcBorders>
              <w:top w:val="single" w:sz="6" w:space="0" w:color="78A22F"/>
              <w:left w:val="nil"/>
              <w:bottom w:val="nil"/>
              <w:right w:val="nil"/>
            </w:tcBorders>
            <w:shd w:val="clear" w:color="auto" w:fill="auto"/>
          </w:tcPr>
          <w:p w:rsidR="00D220D2" w:rsidRPr="00176D3F" w:rsidRDefault="00D220D2" w:rsidP="00F42972">
            <w:pPr>
              <w:pStyle w:val="FigureTitle"/>
            </w:pPr>
            <w:r w:rsidRPr="00784A05">
              <w:rPr>
                <w:b w:val="0"/>
              </w:rPr>
              <w:t xml:space="preserve">Figure </w:t>
            </w:r>
            <w:bookmarkStart w:id="118" w:name="OLE_LINK52"/>
            <w:r w:rsidR="001345FE">
              <w:rPr>
                <w:b w:val="0"/>
                <w:noProof/>
              </w:rPr>
              <w:t>34</w:t>
            </w:r>
            <w:bookmarkEnd w:id="118"/>
            <w:r>
              <w:tab/>
              <w:t>SMSF returns and expenses by age and size bracket, 2016</w:t>
            </w:r>
          </w:p>
        </w:tc>
      </w:tr>
      <w:tr w:rsidR="00D220D2" w:rsidTr="00F4297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220D2" w:rsidRPr="00B1465D" w:rsidTr="00F42972">
              <w:trPr>
                <w:tblHeader/>
                <w:jc w:val="center"/>
              </w:trPr>
              <w:tc>
                <w:tcPr>
                  <w:tcW w:w="5000" w:type="pct"/>
                  <w:tcBorders>
                    <w:top w:val="nil"/>
                    <w:bottom w:val="nil"/>
                  </w:tcBorders>
                </w:tcPr>
                <w:p w:rsidR="00D220D2" w:rsidRPr="00B1465D" w:rsidRDefault="00D220D2" w:rsidP="00F42972">
                  <w:pPr>
                    <w:pStyle w:val="Figure"/>
                    <w:spacing w:before="60" w:after="60"/>
                    <w:rPr>
                      <w:rFonts w:ascii="Arial" w:hAnsi="Arial" w:cs="Arial"/>
                      <w:sz w:val="18"/>
                      <w:szCs w:val="18"/>
                    </w:rPr>
                  </w:pPr>
                  <w:r w:rsidRPr="00D64EA2">
                    <w:rPr>
                      <w:rFonts w:ascii="Arial" w:hAnsi="Arial" w:cs="Arial"/>
                      <w:noProof/>
                      <w:sz w:val="18"/>
                      <w:szCs w:val="18"/>
                    </w:rPr>
                    <w:drawing>
                      <wp:inline distT="0" distB="0" distL="0" distR="0" wp14:anchorId="31098EC9" wp14:editId="56B79334">
                        <wp:extent cx="5280660" cy="5265420"/>
                        <wp:effectExtent l="0" t="0" r="0" b="0"/>
                        <wp:docPr id="28" name="Picture 28" descr="When cut by size bracket, the ATO data show that SMSFs under $500 000 in assets have expense ratios that are well above average, particularly for those in the smallest size brackets. This holds regardless of the age group of SMSFs. The figure also shows that smaller SMSFs have lower net returns regardless of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80660" cy="5265420"/>
                                </a:xfrm>
                                <a:prstGeom prst="rect">
                                  <a:avLst/>
                                </a:prstGeom>
                                <a:noFill/>
                                <a:ln>
                                  <a:noFill/>
                                </a:ln>
                              </pic:spPr>
                            </pic:pic>
                          </a:graphicData>
                        </a:graphic>
                      </wp:inline>
                    </w:drawing>
                  </w:r>
                </w:p>
              </w:tc>
            </w:tr>
          </w:tbl>
          <w:p w:rsidR="00D220D2" w:rsidRDefault="00D220D2" w:rsidP="00F42972">
            <w:pPr>
              <w:pStyle w:val="Figure"/>
            </w:pPr>
          </w:p>
        </w:tc>
      </w:tr>
      <w:tr w:rsidR="00D220D2" w:rsidRPr="00176D3F" w:rsidTr="00F42972">
        <w:tc>
          <w:tcPr>
            <w:tcW w:w="5000" w:type="pct"/>
            <w:tcBorders>
              <w:top w:val="nil"/>
              <w:left w:val="nil"/>
              <w:bottom w:val="nil"/>
              <w:right w:val="nil"/>
            </w:tcBorders>
            <w:shd w:val="clear" w:color="auto" w:fill="auto"/>
          </w:tcPr>
          <w:p w:rsidR="00D220D2" w:rsidRPr="00176D3F" w:rsidRDefault="00D220D2" w:rsidP="00F42972">
            <w:pPr>
              <w:pStyle w:val="Source"/>
            </w:pPr>
            <w:r>
              <w:rPr>
                <w:i/>
              </w:rPr>
              <w:t>Source</w:t>
            </w:r>
            <w:r w:rsidRPr="00167F06">
              <w:t xml:space="preserve">: </w:t>
            </w:r>
            <w:r>
              <w:t>ATO (</w:t>
            </w:r>
            <w:r w:rsidRPr="003B6044">
              <w:t xml:space="preserve">pers. comm., </w:t>
            </w:r>
            <w:r>
              <w:t>24 September</w:t>
            </w:r>
            <w:r w:rsidRPr="003B6044">
              <w:t xml:space="preserve"> 2018</w:t>
            </w:r>
            <w:r>
              <w:t>).</w:t>
            </w:r>
          </w:p>
        </w:tc>
      </w:tr>
      <w:tr w:rsidR="00D220D2" w:rsidTr="00F42972">
        <w:tc>
          <w:tcPr>
            <w:tcW w:w="5000" w:type="pct"/>
            <w:tcBorders>
              <w:top w:val="nil"/>
              <w:left w:val="nil"/>
              <w:bottom w:val="single" w:sz="6" w:space="0" w:color="78A22F"/>
              <w:right w:val="nil"/>
            </w:tcBorders>
            <w:shd w:val="clear" w:color="auto" w:fill="auto"/>
          </w:tcPr>
          <w:p w:rsidR="00D220D2" w:rsidRDefault="00D220D2" w:rsidP="00F42972">
            <w:pPr>
              <w:pStyle w:val="Figurespace"/>
            </w:pPr>
          </w:p>
        </w:tc>
      </w:tr>
      <w:tr w:rsidR="00D220D2" w:rsidRPr="000863A5" w:rsidTr="00F42972">
        <w:tc>
          <w:tcPr>
            <w:tcW w:w="5000" w:type="pct"/>
            <w:tcBorders>
              <w:top w:val="single" w:sz="6" w:space="0" w:color="78A22F"/>
              <w:left w:val="nil"/>
              <w:bottom w:val="nil"/>
              <w:right w:val="nil"/>
            </w:tcBorders>
          </w:tcPr>
          <w:p w:rsidR="00D220D2" w:rsidRPr="00626D32" w:rsidRDefault="00D220D2" w:rsidP="00F42972">
            <w:pPr>
              <w:pStyle w:val="BoxSpaceBelow"/>
            </w:pPr>
          </w:p>
        </w:tc>
      </w:tr>
    </w:tbl>
    <w:p w:rsidR="009A417A" w:rsidRDefault="009A417A" w:rsidP="00655DF9">
      <w:pPr>
        <w:pStyle w:val="BodyText"/>
      </w:pPr>
    </w:p>
    <w:p w:rsidR="009A417A" w:rsidRDefault="009A417A" w:rsidP="009A417A">
      <w:pPr>
        <w:pStyle w:val="BodyText"/>
      </w:pPr>
      <w:r>
        <w:lastRenderedPageBreak/>
        <w:t>These results may, in part, be explained by the trajectory of newly established SMSFs over time. To the extent that new SMSFs incur high initial costs but quickly grow to over $500 000 in assets (for example, as members roll in balances from other funds), they may then experience a reduction in expense ratios and an increase in net returns (for example, due to economies of scale). However, those that remain small appear to continue to experience high costs and low returns on average, even well after establishment costs have been paid. In 2016, about 42 per cent (over 200 000) of SMSFs appear to be in this category (older than 2 years and balances less than $500 000).</w:t>
      </w:r>
    </w:p>
    <w:p w:rsidR="009A417A" w:rsidRDefault="009A417A" w:rsidP="009A417A">
      <w:pPr>
        <w:pStyle w:val="BodyText"/>
      </w:pPr>
      <w:r>
        <w:t>That said, this need not imply that all SMSFs with balances under $500 000 are generating poor net investment returns. Averages conceal variation, and so some SMSFs within this group may well have lean costs and high net returns. A further possibility is that there are tax advantages to members that are not fully reflected in the net returns data (as noted in chapter 6 of the draft report).</w:t>
      </w:r>
    </w:p>
    <w:p w:rsidR="00655DF9" w:rsidRDefault="00B578DF" w:rsidP="00655DF9">
      <w:pPr>
        <w:pStyle w:val="BodyText"/>
      </w:pPr>
      <w:r>
        <w:t>The results could reflect the presence of wind</w:t>
      </w:r>
      <w:r>
        <w:noBreakHyphen/>
        <w:t>up costs</w:t>
      </w:r>
      <w:r w:rsidR="009F7EFB">
        <w:t xml:space="preserve"> (where some funds</w:t>
      </w:r>
      <w:r>
        <w:t xml:space="preserve"> in the </w:t>
      </w:r>
      <w:r w:rsidR="009F7EFB">
        <w:t>sample are in the process of being closed)</w:t>
      </w:r>
      <w:r>
        <w:t xml:space="preserve">, especially for established SMSFs in the smaller size categories. </w:t>
      </w:r>
      <w:r w:rsidR="00137B39">
        <w:t>In 2016, a</w:t>
      </w:r>
      <w:r w:rsidR="00DF755A">
        <w:t>verage costs</w:t>
      </w:r>
      <w:r w:rsidR="00137B39">
        <w:t xml:space="preserve"> for SMSFs that were wound up</w:t>
      </w:r>
      <w:r w:rsidR="00DF755A">
        <w:t xml:space="preserve"> were $5860</w:t>
      </w:r>
      <w:r w:rsidR="003E6FBF">
        <w:t>,</w:t>
      </w:r>
      <w:r w:rsidR="00C54191">
        <w:t xml:space="preserve"> and collectively the costs of these wound</w:t>
      </w:r>
      <w:r w:rsidR="00C54191">
        <w:noBreakHyphen/>
        <w:t xml:space="preserve">up SMSFs were </w:t>
      </w:r>
      <w:r w:rsidR="003E6FBF">
        <w:t xml:space="preserve">equivalent to about 1.1 per cent of aggregate expenses across all SMSFs in that year </w:t>
      </w:r>
      <w:r w:rsidR="00DF755A">
        <w:t xml:space="preserve">(ATO, pers. comm., 31 August 2018). </w:t>
      </w:r>
    </w:p>
    <w:p w:rsidR="00655DF9" w:rsidRDefault="00655DF9" w:rsidP="00137B39">
      <w:pPr>
        <w:pStyle w:val="BodyText"/>
      </w:pPr>
      <w:r>
        <w:t>Wind</w:t>
      </w:r>
      <w:r>
        <w:noBreakHyphen/>
        <w:t xml:space="preserve">up rates are generally low, with </w:t>
      </w:r>
      <w:r w:rsidR="007E19E4">
        <w:t xml:space="preserve">approximately </w:t>
      </w:r>
      <w:r>
        <w:t xml:space="preserve">1.9 per cent of SMSFs wound up in 2016 </w:t>
      </w:r>
      <w:r w:rsidRPr="00E325A1">
        <w:rPr>
          <w:szCs w:val="24"/>
        </w:rPr>
        <w:t>(ATO 2018)</w:t>
      </w:r>
      <w:r>
        <w:t xml:space="preserve">, though </w:t>
      </w:r>
      <w:r w:rsidR="007A1A49">
        <w:t xml:space="preserve">rates </w:t>
      </w:r>
      <w:r>
        <w:t xml:space="preserve">are around 10 per cent for small SMSFs (based on estimates below). This implies that the impact of </w:t>
      </w:r>
      <w:r w:rsidR="00137B39">
        <w:t>SMSFs being wound up on average</w:t>
      </w:r>
      <w:r w:rsidDel="00137B39">
        <w:t xml:space="preserve"> </w:t>
      </w:r>
      <w:r>
        <w:t xml:space="preserve">expenses for </w:t>
      </w:r>
      <w:r w:rsidR="00D22197">
        <w:t>all SMSF</w:t>
      </w:r>
      <w:r w:rsidR="00ED5468">
        <w:t>s</w:t>
      </w:r>
      <w:r w:rsidR="00D22197">
        <w:t xml:space="preserve"> in</w:t>
      </w:r>
      <w:r>
        <w:t xml:space="preserve"> the smallest size bracket could be </w:t>
      </w:r>
      <w:r w:rsidR="00137B39">
        <w:t xml:space="preserve">about </w:t>
      </w:r>
      <w:r>
        <w:t>1</w:t>
      </w:r>
      <w:r w:rsidR="007A1A49">
        <w:noBreakHyphen/>
      </w:r>
      <w:r>
        <w:t>2 percentage points.</w:t>
      </w:r>
    </w:p>
    <w:p w:rsidR="007A1A49" w:rsidRDefault="007A1A49" w:rsidP="007A1A49">
      <w:pPr>
        <w:pStyle w:val="Heading4"/>
      </w:pPr>
      <w:r>
        <w:t>Longitudinal data</w:t>
      </w:r>
    </w:p>
    <w:p w:rsidR="007702CF" w:rsidRDefault="002415E6" w:rsidP="002415E6">
      <w:pPr>
        <w:pStyle w:val="BodyText"/>
      </w:pPr>
      <w:r>
        <w:t>Other data shine a more direct light on the growth trajectories of individual SMSFs. T</w:t>
      </w:r>
      <w:r w:rsidR="00DE2AD3">
        <w:t>he ATO has s</w:t>
      </w:r>
      <w:r w:rsidR="005E1FD6">
        <w:t>hared with the Commission data that were extracted to show how</w:t>
      </w:r>
      <w:r w:rsidR="001E1980">
        <w:t xml:space="preserve"> the 36 000 SMSFs that first lodged a tax return in 2012 (and were established in either 2011 or 2012) had fared over the following five years. Some of these data were previously published by the ATO in infographic format </w:t>
      </w:r>
      <w:r w:rsidR="009375FF" w:rsidRPr="009375FF">
        <w:rPr>
          <w:szCs w:val="24"/>
        </w:rPr>
        <w:t>(ATO 2018)</w:t>
      </w:r>
      <w:r w:rsidR="001E1980">
        <w:t>.</w:t>
      </w:r>
    </w:p>
    <w:p w:rsidR="00C50077" w:rsidRDefault="00A42F23" w:rsidP="005673E0">
      <w:pPr>
        <w:pStyle w:val="BodyText"/>
      </w:pPr>
      <w:r>
        <w:t>Figure</w:t>
      </w:r>
      <w:r w:rsidR="00617DD2">
        <w:t> </w:t>
      </w:r>
      <w:r w:rsidR="00196A32">
        <w:t>3</w:t>
      </w:r>
      <w:r w:rsidR="009A417A">
        <w:t>5</w:t>
      </w:r>
      <w:r>
        <w:t xml:space="preserve"> shows the </w:t>
      </w:r>
      <w:r w:rsidR="009375FF">
        <w:t xml:space="preserve">distribution of balances </w:t>
      </w:r>
      <w:r w:rsidR="005673E0">
        <w:t xml:space="preserve">for </w:t>
      </w:r>
      <w:r w:rsidR="00474392">
        <w:t>new</w:t>
      </w:r>
      <w:r w:rsidR="005673E0">
        <w:t xml:space="preserve"> SMSFs </w:t>
      </w:r>
      <w:r w:rsidR="009375FF">
        <w:t>in 2012 and where these funds ended up in 2016.</w:t>
      </w:r>
      <w:r>
        <w:t xml:space="preserve"> </w:t>
      </w:r>
      <w:r w:rsidR="00474392">
        <w:t xml:space="preserve">Overall, about a quarter of funds with less than $500 000 in 2012 had grown to over $500 000 in 2016. </w:t>
      </w:r>
      <w:r>
        <w:t xml:space="preserve">For the two smallest </w:t>
      </w:r>
      <w:r w:rsidR="00B42DB4">
        <w:t>brackets</w:t>
      </w:r>
      <w:r>
        <w:t xml:space="preserve"> in 2012 (under $</w:t>
      </w:r>
      <w:r w:rsidR="00ED5468">
        <w:t>55</w:t>
      </w:r>
      <w:r>
        <w:t> 000</w:t>
      </w:r>
      <w:r w:rsidR="00ED5468">
        <w:t xml:space="preserve"> and $50 000 to $100 000</w:t>
      </w:r>
      <w:r>
        <w:t>), about 20 and 15 per cent, respectively, remained in either of these categories by 2016</w:t>
      </w:r>
      <w:r w:rsidR="00B42DB4">
        <w:t xml:space="preserve">. </w:t>
      </w:r>
      <w:r>
        <w:t xml:space="preserve">SMSFs </w:t>
      </w:r>
      <w:r w:rsidR="005673E0">
        <w:t xml:space="preserve">that </w:t>
      </w:r>
      <w:r w:rsidR="00C50077">
        <w:t>started large mostly tended to stay large.</w:t>
      </w:r>
    </w:p>
    <w:p w:rsidR="00196A32" w:rsidRDefault="00196A32" w:rsidP="007600ED">
      <w:pPr>
        <w:pStyle w:val="BodyText"/>
      </w:pPr>
      <w:r>
        <w:t>These data also indicate how many SMSFs had wound up over the period. Wind</w:t>
      </w:r>
      <w:r>
        <w:noBreakHyphen/>
        <w:t>up rates were</w:t>
      </w:r>
      <w:r w:rsidR="001345FE">
        <w:t xml:space="preserve"> </w:t>
      </w:r>
      <w:r w:rsidR="00137B39">
        <w:t xml:space="preserve">about </w:t>
      </w:r>
      <w:r>
        <w:t>10 per cent for the two smallest size brackets in 2012, and proportionally much lower for larger brackets. Rates of non</w:t>
      </w:r>
      <w:r>
        <w:noBreakHyphen/>
        <w:t>lodgement of 2016 tax returns were also disproportionately higher for the smallest brackets</w:t>
      </w:r>
      <w:r w:rsidR="007600ED">
        <w:t>. This could</w:t>
      </w:r>
      <w:r>
        <w:t xml:space="preserve"> be an indication of financial difficulty</w:t>
      </w:r>
      <w:r w:rsidR="00332DF5">
        <w:t xml:space="preserve"> in some cases</w:t>
      </w:r>
      <w:r>
        <w:t>.</w:t>
      </w:r>
    </w:p>
    <w:p w:rsidR="00C33911" w:rsidRDefault="00C33911" w:rsidP="00C339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33911" w:rsidTr="00A42F23">
        <w:trPr>
          <w:tblHeader/>
        </w:trPr>
        <w:tc>
          <w:tcPr>
            <w:tcW w:w="5000" w:type="pct"/>
            <w:tcBorders>
              <w:top w:val="single" w:sz="6" w:space="0" w:color="78A22F"/>
              <w:left w:val="nil"/>
              <w:bottom w:val="nil"/>
              <w:right w:val="nil"/>
            </w:tcBorders>
            <w:shd w:val="clear" w:color="auto" w:fill="auto"/>
          </w:tcPr>
          <w:p w:rsidR="00C33911" w:rsidRPr="005408E0" w:rsidRDefault="00C33911" w:rsidP="000512D2">
            <w:pPr>
              <w:pStyle w:val="FigureTitle"/>
              <w:rPr>
                <w:rStyle w:val="NoteLabel"/>
              </w:rPr>
            </w:pPr>
            <w:r w:rsidRPr="00784A05">
              <w:rPr>
                <w:b w:val="0"/>
              </w:rPr>
              <w:t xml:space="preserve">Figure </w:t>
            </w:r>
            <w:bookmarkStart w:id="119" w:name="OLE_LINK17"/>
            <w:r w:rsidR="001345FE">
              <w:rPr>
                <w:b w:val="0"/>
                <w:noProof/>
              </w:rPr>
              <w:t>35</w:t>
            </w:r>
            <w:bookmarkEnd w:id="119"/>
            <w:r>
              <w:tab/>
            </w:r>
            <w:r w:rsidR="000512D2">
              <w:t>SMSF class of 2012: where are they now?</w:t>
            </w:r>
            <w:r w:rsidR="005408E0" w:rsidRPr="005408E0">
              <w:rPr>
                <w:rStyle w:val="NoteLabel"/>
                <w:b/>
              </w:rPr>
              <w:t>a</w:t>
            </w:r>
          </w:p>
        </w:tc>
      </w:tr>
      <w:tr w:rsidR="00C33911" w:rsidTr="00A42F2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33911" w:rsidRPr="00B1465D" w:rsidTr="00A42F23">
              <w:trPr>
                <w:tblHeader/>
                <w:jc w:val="center"/>
              </w:trPr>
              <w:tc>
                <w:tcPr>
                  <w:tcW w:w="5000" w:type="pct"/>
                  <w:tcBorders>
                    <w:top w:val="nil"/>
                    <w:bottom w:val="nil"/>
                  </w:tcBorders>
                </w:tcPr>
                <w:p w:rsidR="00C33911" w:rsidRPr="00B1465D" w:rsidRDefault="00BA6960" w:rsidP="00A42F23">
                  <w:pPr>
                    <w:pStyle w:val="Figure"/>
                    <w:spacing w:before="60" w:after="60"/>
                    <w:rPr>
                      <w:rFonts w:ascii="Arial" w:hAnsi="Arial" w:cs="Arial"/>
                      <w:sz w:val="18"/>
                      <w:szCs w:val="18"/>
                    </w:rPr>
                  </w:pPr>
                  <w:r w:rsidRPr="00BA6960">
                    <w:rPr>
                      <w:rFonts w:ascii="Arial" w:hAnsi="Arial" w:cs="Arial"/>
                      <w:noProof/>
                      <w:sz w:val="18"/>
                      <w:szCs w:val="18"/>
                    </w:rPr>
                    <w:drawing>
                      <wp:inline distT="0" distB="0" distL="0" distR="0" wp14:anchorId="5B971817" wp14:editId="4E842144">
                        <wp:extent cx="4739640" cy="3324476"/>
                        <wp:effectExtent l="0" t="0" r="3810" b="9525"/>
                        <wp:docPr id="21" name="Picture 21" descr="This figure shows, along the x-axis, the size bracket for this group of SMSFs in 2012 when they were established. The y-axis shows the percentage in each size bracket by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44090" cy="3327597"/>
                                </a:xfrm>
                                <a:prstGeom prst="rect">
                                  <a:avLst/>
                                </a:prstGeom>
                                <a:noFill/>
                                <a:ln>
                                  <a:noFill/>
                                </a:ln>
                              </pic:spPr>
                            </pic:pic>
                          </a:graphicData>
                        </a:graphic>
                      </wp:inline>
                    </w:drawing>
                  </w:r>
                </w:p>
              </w:tc>
            </w:tr>
          </w:tbl>
          <w:p w:rsidR="00C33911" w:rsidRDefault="00C33911" w:rsidP="00A42F23">
            <w:pPr>
              <w:pStyle w:val="Figure"/>
            </w:pPr>
          </w:p>
        </w:tc>
      </w:tr>
      <w:tr w:rsidR="005408E0" w:rsidRPr="00176D3F" w:rsidTr="00AA5D2B">
        <w:tc>
          <w:tcPr>
            <w:tcW w:w="5000" w:type="pct"/>
            <w:tcBorders>
              <w:top w:val="nil"/>
              <w:left w:val="nil"/>
              <w:bottom w:val="nil"/>
              <w:right w:val="nil"/>
            </w:tcBorders>
            <w:shd w:val="clear" w:color="auto" w:fill="auto"/>
          </w:tcPr>
          <w:p w:rsidR="005408E0" w:rsidRPr="00176D3F" w:rsidRDefault="005408E0" w:rsidP="005408E0">
            <w:pPr>
              <w:pStyle w:val="Note"/>
            </w:pPr>
            <w:r>
              <w:rPr>
                <w:rStyle w:val="NoteLabel"/>
              </w:rPr>
              <w:t>a</w:t>
            </w:r>
            <w:r>
              <w:t xml:space="preserve"> The percentage lodged indicates the share of SMSFs within each size bracket that </w:t>
            </w:r>
            <w:r w:rsidR="00537981">
              <w:t>had lodged a tax return in 2016 (and thus are included in the chart).</w:t>
            </w:r>
          </w:p>
        </w:tc>
      </w:tr>
      <w:tr w:rsidR="00C33911" w:rsidRPr="00176D3F" w:rsidTr="00A42F23">
        <w:tc>
          <w:tcPr>
            <w:tcW w:w="5000" w:type="pct"/>
            <w:tcBorders>
              <w:top w:val="nil"/>
              <w:left w:val="nil"/>
              <w:bottom w:val="nil"/>
              <w:right w:val="nil"/>
            </w:tcBorders>
            <w:shd w:val="clear" w:color="auto" w:fill="auto"/>
          </w:tcPr>
          <w:p w:rsidR="00C33911" w:rsidRPr="00176D3F" w:rsidRDefault="00C33911" w:rsidP="00F31C02">
            <w:pPr>
              <w:pStyle w:val="Source"/>
            </w:pPr>
            <w:r>
              <w:rPr>
                <w:i/>
              </w:rPr>
              <w:t>Source</w:t>
            </w:r>
            <w:r w:rsidRPr="00167F06">
              <w:t xml:space="preserve">: </w:t>
            </w:r>
            <w:r>
              <w:t>ATO (</w:t>
            </w:r>
            <w:r w:rsidRPr="003B6044">
              <w:t xml:space="preserve">pers. comm., </w:t>
            </w:r>
            <w:r>
              <w:t>24 September</w:t>
            </w:r>
            <w:r w:rsidRPr="003B6044">
              <w:t xml:space="preserve"> 2018</w:t>
            </w:r>
            <w:r>
              <w:t>).</w:t>
            </w:r>
          </w:p>
        </w:tc>
      </w:tr>
      <w:tr w:rsidR="00C33911" w:rsidTr="00A42F23">
        <w:tc>
          <w:tcPr>
            <w:tcW w:w="5000" w:type="pct"/>
            <w:tcBorders>
              <w:top w:val="nil"/>
              <w:left w:val="nil"/>
              <w:bottom w:val="single" w:sz="6" w:space="0" w:color="78A22F"/>
              <w:right w:val="nil"/>
            </w:tcBorders>
            <w:shd w:val="clear" w:color="auto" w:fill="auto"/>
          </w:tcPr>
          <w:p w:rsidR="00C33911" w:rsidRDefault="00C33911" w:rsidP="00A42F23">
            <w:pPr>
              <w:pStyle w:val="Figurespace"/>
            </w:pPr>
          </w:p>
        </w:tc>
      </w:tr>
      <w:tr w:rsidR="00C33911" w:rsidRPr="000863A5" w:rsidTr="00A42F23">
        <w:tc>
          <w:tcPr>
            <w:tcW w:w="5000" w:type="pct"/>
            <w:tcBorders>
              <w:top w:val="single" w:sz="6" w:space="0" w:color="78A22F"/>
              <w:left w:val="nil"/>
              <w:bottom w:val="nil"/>
              <w:right w:val="nil"/>
            </w:tcBorders>
          </w:tcPr>
          <w:p w:rsidR="00C33911" w:rsidRPr="00626D32" w:rsidRDefault="00C33911" w:rsidP="00A42F23">
            <w:pPr>
              <w:pStyle w:val="BoxSpaceBelow"/>
            </w:pPr>
          </w:p>
        </w:tc>
      </w:tr>
    </w:tbl>
    <w:p w:rsidR="009A417A" w:rsidRDefault="009A417A" w:rsidP="009A417A">
      <w:pPr>
        <w:pStyle w:val="Heading3"/>
      </w:pPr>
      <w:bookmarkStart w:id="120" w:name="_Toc528158058"/>
      <w:bookmarkStart w:id="121" w:name="_Toc528229680"/>
      <w:bookmarkStart w:id="122" w:name="_Toc528298330"/>
      <w:r>
        <w:t>Age of SMSF trustees</w:t>
      </w:r>
      <w:bookmarkEnd w:id="120"/>
      <w:bookmarkEnd w:id="121"/>
      <w:bookmarkEnd w:id="122"/>
    </w:p>
    <w:p w:rsidR="009A417A" w:rsidRDefault="009A417A" w:rsidP="009A417A">
      <w:pPr>
        <w:pStyle w:val="BodyText"/>
      </w:pPr>
      <w:r>
        <w:t>Figure 36 shows the age distribution of SMSF trustee</w:t>
      </w:r>
      <w:r>
        <w:noBreakHyphen/>
        <w:t>members, for all SMSFs (left) and newly established SMSFs by year of establishment (right). SMSFs established in each of the past seven years had a materially higher proportion of trustees aged under 45 (about two in five, compared to less than one in five), with the strongest growth in the 35</w:t>
      </w:r>
      <w:r>
        <w:noBreakHyphen/>
        <w:t xml:space="preserve">44 age bracket. There was also modest growth in the share aged under 35. By contrast, the number of new SMSF trustees aged over 60 has been declining. The combined effect of these trends is a median age of 47.2 for trustees of new SMSFs (as of 2016), compared to 58.9 for all SMSFs </w:t>
      </w:r>
      <w:r w:rsidRPr="004C2889">
        <w:rPr>
          <w:szCs w:val="24"/>
        </w:rPr>
        <w:t>(ATO 2018)</w:t>
      </w:r>
      <w:r>
        <w:t>.</w:t>
      </w:r>
    </w:p>
    <w:p w:rsidR="00DC5570" w:rsidRDefault="00DC5570" w:rsidP="00DC557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C5570" w:rsidTr="00581CE2">
        <w:trPr>
          <w:tblHeader/>
        </w:trPr>
        <w:tc>
          <w:tcPr>
            <w:tcW w:w="5000" w:type="pct"/>
            <w:tcBorders>
              <w:top w:val="single" w:sz="6" w:space="0" w:color="78A22F"/>
              <w:left w:val="nil"/>
              <w:bottom w:val="nil"/>
              <w:right w:val="nil"/>
            </w:tcBorders>
            <w:shd w:val="clear" w:color="auto" w:fill="auto"/>
          </w:tcPr>
          <w:p w:rsidR="00DC5570" w:rsidRPr="00176D3F" w:rsidRDefault="00DC5570" w:rsidP="00DC5570">
            <w:pPr>
              <w:pStyle w:val="FigureTitle"/>
            </w:pPr>
            <w:r w:rsidRPr="00784A05">
              <w:rPr>
                <w:b w:val="0"/>
              </w:rPr>
              <w:t xml:space="preserve">Figure </w:t>
            </w:r>
            <w:bookmarkStart w:id="123" w:name="OLE_LINK15"/>
            <w:r w:rsidR="001345FE">
              <w:rPr>
                <w:b w:val="0"/>
                <w:noProof/>
              </w:rPr>
              <w:t>36</w:t>
            </w:r>
            <w:bookmarkEnd w:id="123"/>
            <w:r>
              <w:tab/>
              <w:t>Age distribution of SMSF trustees</w:t>
            </w:r>
            <w:r w:rsidRPr="00DC5570">
              <w:rPr>
                <w:rStyle w:val="NoteLabel"/>
                <w:b/>
              </w:rPr>
              <w:t>a</w:t>
            </w:r>
          </w:p>
        </w:tc>
      </w:tr>
      <w:tr w:rsidR="00DC5570" w:rsidTr="00581CE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C5570" w:rsidRPr="00B1465D" w:rsidTr="00581CE2">
              <w:trPr>
                <w:tblHeader/>
                <w:jc w:val="center"/>
              </w:trPr>
              <w:tc>
                <w:tcPr>
                  <w:tcW w:w="5000" w:type="pct"/>
                  <w:tcBorders>
                    <w:top w:val="nil"/>
                    <w:bottom w:val="nil"/>
                  </w:tcBorders>
                </w:tcPr>
                <w:p w:rsidR="00DC5570" w:rsidRPr="00B1465D" w:rsidRDefault="00895A10" w:rsidP="00581CE2">
                  <w:pPr>
                    <w:pStyle w:val="Figure"/>
                    <w:spacing w:before="60" w:after="60"/>
                    <w:rPr>
                      <w:rFonts w:ascii="Arial" w:hAnsi="Arial" w:cs="Arial"/>
                      <w:sz w:val="18"/>
                      <w:szCs w:val="18"/>
                    </w:rPr>
                  </w:pPr>
                  <w:r w:rsidRPr="00895A10">
                    <w:rPr>
                      <w:rFonts w:ascii="Arial" w:hAnsi="Arial" w:cs="Arial"/>
                      <w:noProof/>
                      <w:sz w:val="18"/>
                      <w:szCs w:val="18"/>
                    </w:rPr>
                    <w:drawing>
                      <wp:inline distT="0" distB="0" distL="0" distR="0" wp14:anchorId="3DFD11A8" wp14:editId="309B3FB6">
                        <wp:extent cx="4831080" cy="2729370"/>
                        <wp:effectExtent l="0" t="0" r="7620" b="0"/>
                        <wp:docPr id="6" name="Picture 6" descr="This figure shows the age distribution of SMSF trustees as at 2017 for all SMSFs, and separately for SMSFs established in each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42661" cy="2735913"/>
                                </a:xfrm>
                                <a:prstGeom prst="rect">
                                  <a:avLst/>
                                </a:prstGeom>
                                <a:noFill/>
                                <a:ln>
                                  <a:noFill/>
                                </a:ln>
                              </pic:spPr>
                            </pic:pic>
                          </a:graphicData>
                        </a:graphic>
                      </wp:inline>
                    </w:drawing>
                  </w:r>
                </w:p>
              </w:tc>
            </w:tr>
          </w:tbl>
          <w:p w:rsidR="00DC5570" w:rsidRDefault="00DC5570" w:rsidP="00581CE2">
            <w:pPr>
              <w:pStyle w:val="Figure"/>
            </w:pPr>
          </w:p>
        </w:tc>
      </w:tr>
      <w:tr w:rsidR="00833DEF" w:rsidRPr="00176D3F" w:rsidTr="00581CE2">
        <w:tc>
          <w:tcPr>
            <w:tcW w:w="5000" w:type="pct"/>
            <w:tcBorders>
              <w:top w:val="nil"/>
              <w:left w:val="nil"/>
              <w:bottom w:val="nil"/>
              <w:right w:val="nil"/>
            </w:tcBorders>
            <w:shd w:val="clear" w:color="auto" w:fill="auto"/>
          </w:tcPr>
          <w:p w:rsidR="00833DEF" w:rsidRPr="00176D3F" w:rsidRDefault="00833DEF" w:rsidP="00833DEF">
            <w:pPr>
              <w:pStyle w:val="Note"/>
            </w:pPr>
            <w:r>
              <w:rPr>
                <w:rStyle w:val="NoteLabel"/>
              </w:rPr>
              <w:t>a</w:t>
            </w:r>
            <w:r>
              <w:t xml:space="preserve"> Figures for all SMSFs in 2017 and new SMSFs in 2012–2016 are drawn from annual data; figures for new SMSFs in 2017 and 2018 are the average of quarterly values. </w:t>
            </w:r>
            <w:r w:rsidRPr="00833DEF">
              <w:rPr>
                <w:b/>
              </w:rPr>
              <w:t>*</w:t>
            </w:r>
            <w:r>
              <w:t xml:space="preserve"> Figures for 2018 are to end March.</w:t>
            </w:r>
          </w:p>
        </w:tc>
      </w:tr>
      <w:tr w:rsidR="00DC5570" w:rsidRPr="00176D3F" w:rsidTr="00581CE2">
        <w:tc>
          <w:tcPr>
            <w:tcW w:w="5000" w:type="pct"/>
            <w:tcBorders>
              <w:top w:val="nil"/>
              <w:left w:val="nil"/>
              <w:bottom w:val="nil"/>
              <w:right w:val="nil"/>
            </w:tcBorders>
            <w:shd w:val="clear" w:color="auto" w:fill="auto"/>
          </w:tcPr>
          <w:p w:rsidR="00DC5570" w:rsidRPr="00176D3F" w:rsidRDefault="00DC5570" w:rsidP="00DC5570">
            <w:pPr>
              <w:pStyle w:val="Source"/>
            </w:pPr>
            <w:r>
              <w:rPr>
                <w:i/>
              </w:rPr>
              <w:t>Sources</w:t>
            </w:r>
            <w:r w:rsidRPr="00167F06">
              <w:t xml:space="preserve">: </w:t>
            </w:r>
            <w:r>
              <w:t xml:space="preserve">ATO </w:t>
            </w:r>
            <w:r w:rsidRPr="00DC5570">
              <w:rPr>
                <w:rFonts w:cs="Arial"/>
              </w:rPr>
              <w:t>(2018; SMSF quarterly statistical reports, various dates)</w:t>
            </w:r>
            <w:r>
              <w:t>.</w:t>
            </w:r>
          </w:p>
        </w:tc>
      </w:tr>
      <w:tr w:rsidR="00DC5570" w:rsidTr="00581CE2">
        <w:tc>
          <w:tcPr>
            <w:tcW w:w="5000" w:type="pct"/>
            <w:tcBorders>
              <w:top w:val="nil"/>
              <w:left w:val="nil"/>
              <w:bottom w:val="single" w:sz="6" w:space="0" w:color="78A22F"/>
              <w:right w:val="nil"/>
            </w:tcBorders>
            <w:shd w:val="clear" w:color="auto" w:fill="auto"/>
          </w:tcPr>
          <w:p w:rsidR="00DC5570" w:rsidRDefault="00DC5570" w:rsidP="00581CE2">
            <w:pPr>
              <w:pStyle w:val="Figurespace"/>
            </w:pPr>
          </w:p>
        </w:tc>
      </w:tr>
      <w:tr w:rsidR="00DC5570" w:rsidRPr="000863A5" w:rsidTr="00581CE2">
        <w:tc>
          <w:tcPr>
            <w:tcW w:w="5000" w:type="pct"/>
            <w:tcBorders>
              <w:top w:val="single" w:sz="6" w:space="0" w:color="78A22F"/>
              <w:left w:val="nil"/>
              <w:bottom w:val="nil"/>
              <w:right w:val="nil"/>
            </w:tcBorders>
          </w:tcPr>
          <w:p w:rsidR="00DC5570" w:rsidRPr="00626D32" w:rsidRDefault="00DC5570" w:rsidP="00581CE2">
            <w:pPr>
              <w:pStyle w:val="BoxSpaceBelow"/>
            </w:pPr>
          </w:p>
        </w:tc>
      </w:tr>
    </w:tbl>
    <w:p w:rsidR="00372C51" w:rsidRDefault="00372C51" w:rsidP="007C08E3">
      <w:pPr>
        <w:pStyle w:val="Heading3"/>
      </w:pPr>
      <w:bookmarkStart w:id="124" w:name="_Toc528158059"/>
      <w:bookmarkStart w:id="125" w:name="_Toc528229681"/>
      <w:bookmarkStart w:id="126" w:name="_Toc528298331"/>
      <w:r>
        <w:t>SMSF asset allocation</w:t>
      </w:r>
      <w:bookmarkEnd w:id="124"/>
      <w:bookmarkEnd w:id="125"/>
      <w:bookmarkEnd w:id="126"/>
    </w:p>
    <w:p w:rsidR="00372C51" w:rsidRDefault="007B734E" w:rsidP="007C08E3">
      <w:pPr>
        <w:pStyle w:val="BodyText"/>
      </w:pPr>
      <w:r>
        <w:t>In the draft report, the Commission noted that the asset holdings of SMSFs are difficult to observe in ATO datasets due to the way asset classes are defined. This also makes it difficult to compare the asset allocation of SMSFs with the APRA</w:t>
      </w:r>
      <w:r>
        <w:noBreakHyphen/>
        <w:t>regulated segment.</w:t>
      </w:r>
    </w:p>
    <w:p w:rsidR="007B734E" w:rsidRDefault="007B734E" w:rsidP="007C08E3">
      <w:pPr>
        <w:pStyle w:val="BodyText"/>
      </w:pPr>
      <w:r>
        <w:t>The Commission has been provided with data from Class Limited on the asset allocation of SMSFs on more of a ‘look</w:t>
      </w:r>
      <w:r>
        <w:noBreakHyphen/>
        <w:t>through’ basis — that is, assigning the assets within various trusts and managed funds to specific asset classes (table </w:t>
      </w:r>
      <w:r w:rsidR="00E17D56">
        <w:t>17</w:t>
      </w:r>
      <w:r>
        <w:t>). These data suggest broadly similar conclusions to the less</w:t>
      </w:r>
      <w:r>
        <w:noBreakHyphen/>
        <w:t xml:space="preserve">granular ATO data, but also reveal that SMSF holdings of fixed income assets and equities are </w:t>
      </w:r>
      <w:r w:rsidR="00E85A59">
        <w:t xml:space="preserve">likely to be </w:t>
      </w:r>
      <w:r>
        <w:t xml:space="preserve">materially higher than </w:t>
      </w:r>
      <w:r w:rsidR="00D863E1">
        <w:t>suggested by the</w:t>
      </w:r>
      <w:r>
        <w:t xml:space="preserve"> ATO data. The share of ‘other’ assets that cannot be assigned to the main asset categories</w:t>
      </w:r>
      <w:r w:rsidR="00E85A59">
        <w:t xml:space="preserve"> (and </w:t>
      </w:r>
      <w:r w:rsidR="00800BDE">
        <w:t>is</w:t>
      </w:r>
      <w:r w:rsidR="00E85A59">
        <w:t xml:space="preserve"> likely to mostly comprise unlisted trusts)</w:t>
      </w:r>
      <w:r>
        <w:t xml:space="preserve"> is substantially lower in </w:t>
      </w:r>
      <w:r w:rsidR="00E85A59">
        <w:t>the Class Limited</w:t>
      </w:r>
      <w:r>
        <w:t xml:space="preserve"> data (11 pe</w:t>
      </w:r>
      <w:r w:rsidR="00B154ED">
        <w:t>r cent compared to 2</w:t>
      </w:r>
      <w:r w:rsidR="00C0337C">
        <w:t>8</w:t>
      </w:r>
      <w:r w:rsidR="00B154ED">
        <w:t> per cent).</w:t>
      </w:r>
      <w:r w:rsidR="00855F09">
        <w:t xml:space="preserve"> Importantly, these figures </w:t>
      </w:r>
      <w:r w:rsidR="00D863E1">
        <w:t>represent</w:t>
      </w:r>
      <w:r w:rsidR="00855F09">
        <w:t xml:space="preserve"> the average across SMSFs — the asset allocations of individual SMSFs could differ materially.</w:t>
      </w:r>
    </w:p>
    <w:p w:rsidR="00D863E1" w:rsidRDefault="00D863E1" w:rsidP="00D863E1">
      <w:pPr>
        <w:pStyle w:val="BodyText"/>
      </w:pPr>
      <w:r>
        <w:t>Since only one year of data is available for this more granular asset allocation, the Commission does not intend to revisit the illustrative investment performance benchmarking for SMSFs in the draft report (beyond updating to an additional year of data).</w:t>
      </w:r>
    </w:p>
    <w:p w:rsidR="00FF7A8D" w:rsidRDefault="00FF7A8D" w:rsidP="00FF7A8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F7A8D" w:rsidTr="00382BFA">
        <w:trPr>
          <w:tblHeader/>
        </w:trPr>
        <w:tc>
          <w:tcPr>
            <w:tcW w:w="5000" w:type="pct"/>
            <w:tcBorders>
              <w:top w:val="single" w:sz="6" w:space="0" w:color="78A22F"/>
              <w:left w:val="nil"/>
              <w:bottom w:val="nil"/>
              <w:right w:val="nil"/>
            </w:tcBorders>
            <w:shd w:val="clear" w:color="auto" w:fill="auto"/>
          </w:tcPr>
          <w:p w:rsidR="00FF7A8D" w:rsidRDefault="00FF7A8D" w:rsidP="00382BFA">
            <w:pPr>
              <w:pStyle w:val="TableTitle"/>
            </w:pPr>
            <w:r>
              <w:rPr>
                <w:b w:val="0"/>
              </w:rPr>
              <w:t xml:space="preserve">Table </w:t>
            </w:r>
            <w:bookmarkStart w:id="127" w:name="OLE_LINK53"/>
            <w:r w:rsidR="001345FE">
              <w:rPr>
                <w:b w:val="0"/>
                <w:noProof/>
              </w:rPr>
              <w:t>17</w:t>
            </w:r>
            <w:bookmarkEnd w:id="127"/>
            <w:r>
              <w:tab/>
              <w:t>Asset allocation of SMSFs versus APRA</w:t>
            </w:r>
            <w:r w:rsidR="00617DD2">
              <w:noBreakHyphen/>
            </w:r>
            <w:r>
              <w:t>regulated funds</w:t>
            </w:r>
          </w:p>
          <w:p w:rsidR="00FF7A8D" w:rsidRPr="00784A05" w:rsidRDefault="00C0337C" w:rsidP="007C08E3">
            <w:pPr>
              <w:pStyle w:val="TableBodyText"/>
              <w:spacing w:after="80" w:line="200" w:lineRule="exact"/>
              <w:ind w:left="1474" w:right="0"/>
              <w:jc w:val="left"/>
            </w:pPr>
            <w:r>
              <w:t>Share of total assets, June 2016</w:t>
            </w:r>
          </w:p>
        </w:tc>
      </w:tr>
      <w:tr w:rsidR="00FF7A8D" w:rsidTr="00382BF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509"/>
              <w:gridCol w:w="2028"/>
              <w:gridCol w:w="1876"/>
              <w:gridCol w:w="2092"/>
            </w:tblGrid>
            <w:tr w:rsidR="00A104AD" w:rsidTr="001345FE">
              <w:trPr>
                <w:tblHeader/>
              </w:trPr>
              <w:tc>
                <w:tcPr>
                  <w:tcW w:w="1475" w:type="pct"/>
                  <w:tcBorders>
                    <w:top w:val="single" w:sz="6" w:space="0" w:color="BFBFBF"/>
                    <w:bottom w:val="single" w:sz="6" w:space="0" w:color="BFBFBF"/>
                  </w:tcBorders>
                  <w:shd w:val="clear" w:color="auto" w:fill="auto"/>
                  <w:tcMar>
                    <w:top w:w="28" w:type="dxa"/>
                  </w:tcMar>
                </w:tcPr>
                <w:p w:rsidR="00A104AD" w:rsidRDefault="00A104AD" w:rsidP="00A104AD">
                  <w:pPr>
                    <w:pStyle w:val="TableColumnHeading"/>
                    <w:jc w:val="left"/>
                  </w:pPr>
                  <w:r>
                    <w:t>Asset category</w:t>
                  </w:r>
                </w:p>
              </w:tc>
              <w:tc>
                <w:tcPr>
                  <w:tcW w:w="1192" w:type="pct"/>
                  <w:tcBorders>
                    <w:top w:val="single" w:sz="6" w:space="0" w:color="BFBFBF"/>
                    <w:bottom w:val="single" w:sz="6" w:space="0" w:color="BFBFBF"/>
                  </w:tcBorders>
                </w:tcPr>
                <w:p w:rsidR="001345FE" w:rsidRDefault="001345FE" w:rsidP="00A104AD">
                  <w:pPr>
                    <w:pStyle w:val="TableColumnHeading"/>
                  </w:pPr>
                  <w:r>
                    <w:t>SMSFs</w:t>
                  </w:r>
                </w:p>
                <w:p w:rsidR="00A104AD" w:rsidRDefault="00A104AD" w:rsidP="00A104AD">
                  <w:pPr>
                    <w:pStyle w:val="TableColumnHeading"/>
                  </w:pPr>
                  <w:r>
                    <w:t>(Class Limited data</w:t>
                  </w:r>
                  <w:r w:rsidRPr="007C08E3">
                    <w:rPr>
                      <w:rStyle w:val="NoteLabel"/>
                    </w:rPr>
                    <w:t>a</w:t>
                  </w:r>
                  <w:r>
                    <w:t>)</w:t>
                  </w:r>
                </w:p>
              </w:tc>
              <w:tc>
                <w:tcPr>
                  <w:tcW w:w="1103" w:type="pct"/>
                  <w:tcBorders>
                    <w:top w:val="single" w:sz="6" w:space="0" w:color="BFBFBF"/>
                    <w:bottom w:val="single" w:sz="6" w:space="0" w:color="BFBFBF"/>
                  </w:tcBorders>
                </w:tcPr>
                <w:p w:rsidR="001345FE" w:rsidRDefault="001345FE" w:rsidP="00A104AD">
                  <w:pPr>
                    <w:pStyle w:val="TableColumnHeading"/>
                  </w:pPr>
                  <w:r>
                    <w:t>SMSFs</w:t>
                  </w:r>
                </w:p>
                <w:p w:rsidR="00A104AD" w:rsidRDefault="008D0850" w:rsidP="00A104AD">
                  <w:pPr>
                    <w:pStyle w:val="TableColumnHeading"/>
                  </w:pPr>
                  <w:r>
                    <w:t>(ATO data)</w:t>
                  </w:r>
                </w:p>
              </w:tc>
              <w:tc>
                <w:tcPr>
                  <w:tcW w:w="1230" w:type="pct"/>
                  <w:tcBorders>
                    <w:top w:val="single" w:sz="6" w:space="0" w:color="BFBFBF"/>
                    <w:bottom w:val="single" w:sz="6" w:space="0" w:color="BFBFBF"/>
                  </w:tcBorders>
                </w:tcPr>
                <w:p w:rsidR="00A104AD" w:rsidRDefault="008D0850" w:rsidP="007C08E3">
                  <w:pPr>
                    <w:pStyle w:val="TableColumnHeading"/>
                    <w:ind w:right="28"/>
                  </w:pPr>
                  <w:r>
                    <w:t xml:space="preserve"> APRA</w:t>
                  </w:r>
                  <w:r>
                    <w:noBreakHyphen/>
                    <w:t>regulated funds</w:t>
                  </w:r>
                </w:p>
              </w:tc>
            </w:tr>
            <w:tr w:rsidR="00A104AD" w:rsidTr="001345FE">
              <w:tc>
                <w:tcPr>
                  <w:tcW w:w="1475" w:type="pct"/>
                  <w:tcBorders>
                    <w:top w:val="single" w:sz="6" w:space="0" w:color="BFBFBF"/>
                  </w:tcBorders>
                </w:tcPr>
                <w:p w:rsidR="00A104AD" w:rsidRDefault="00A104AD" w:rsidP="00A104AD">
                  <w:pPr>
                    <w:pStyle w:val="TableUnitsRow"/>
                    <w:jc w:val="left"/>
                  </w:pPr>
                </w:p>
              </w:tc>
              <w:tc>
                <w:tcPr>
                  <w:tcW w:w="1192" w:type="pct"/>
                  <w:tcBorders>
                    <w:top w:val="single" w:sz="6" w:space="0" w:color="BFBFBF"/>
                  </w:tcBorders>
                </w:tcPr>
                <w:p w:rsidR="00A104AD" w:rsidRDefault="00A104AD" w:rsidP="00A104AD">
                  <w:pPr>
                    <w:pStyle w:val="TableUnitsRow"/>
                  </w:pPr>
                  <w:r>
                    <w:t>%</w:t>
                  </w:r>
                </w:p>
              </w:tc>
              <w:tc>
                <w:tcPr>
                  <w:tcW w:w="1103" w:type="pct"/>
                  <w:tcBorders>
                    <w:top w:val="single" w:sz="6" w:space="0" w:color="BFBFBF"/>
                  </w:tcBorders>
                </w:tcPr>
                <w:p w:rsidR="00A104AD" w:rsidRDefault="00A104AD" w:rsidP="00A104AD">
                  <w:pPr>
                    <w:pStyle w:val="TableUnitsRow"/>
                  </w:pPr>
                  <w:r>
                    <w:t>%</w:t>
                  </w:r>
                </w:p>
              </w:tc>
              <w:tc>
                <w:tcPr>
                  <w:tcW w:w="1230" w:type="pct"/>
                  <w:tcBorders>
                    <w:top w:val="single" w:sz="6" w:space="0" w:color="BFBFBF"/>
                  </w:tcBorders>
                </w:tcPr>
                <w:p w:rsidR="00A104AD" w:rsidRDefault="00A104AD" w:rsidP="007C08E3">
                  <w:pPr>
                    <w:pStyle w:val="TableUnitsRow"/>
                    <w:ind w:right="28"/>
                  </w:pPr>
                  <w:r>
                    <w:t>%</w:t>
                  </w:r>
                </w:p>
              </w:tc>
            </w:tr>
            <w:tr w:rsidR="00A104AD" w:rsidTr="001345FE">
              <w:tc>
                <w:tcPr>
                  <w:tcW w:w="1475" w:type="pct"/>
                  <w:vAlign w:val="bottom"/>
                </w:tcPr>
                <w:p w:rsidR="00A104AD" w:rsidRDefault="00A104AD" w:rsidP="00A104AD">
                  <w:pPr>
                    <w:pStyle w:val="TableBodyText"/>
                    <w:jc w:val="left"/>
                  </w:pPr>
                  <w:r>
                    <w:t>Cash</w:t>
                  </w:r>
                </w:p>
              </w:tc>
              <w:tc>
                <w:tcPr>
                  <w:tcW w:w="1192" w:type="pct"/>
                  <w:vAlign w:val="bottom"/>
                </w:tcPr>
                <w:p w:rsidR="00A104AD" w:rsidRDefault="00A104AD" w:rsidP="00A104AD">
                  <w:pPr>
                    <w:pStyle w:val="TableBodyText"/>
                  </w:pPr>
                  <w:r>
                    <w:t>23.8</w:t>
                  </w:r>
                </w:p>
              </w:tc>
              <w:tc>
                <w:tcPr>
                  <w:tcW w:w="1103" w:type="pct"/>
                  <w:vAlign w:val="bottom"/>
                </w:tcPr>
                <w:p w:rsidR="00A104AD" w:rsidRDefault="00A104AD" w:rsidP="00A104AD">
                  <w:pPr>
                    <w:pStyle w:val="TableBodyText"/>
                  </w:pPr>
                  <w:r w:rsidRPr="00D55C9C">
                    <w:t>24.8</w:t>
                  </w:r>
                </w:p>
              </w:tc>
              <w:tc>
                <w:tcPr>
                  <w:tcW w:w="1230" w:type="pct"/>
                  <w:vAlign w:val="bottom"/>
                </w:tcPr>
                <w:p w:rsidR="00A104AD" w:rsidRPr="00D55C9C" w:rsidRDefault="00A104AD" w:rsidP="007C08E3">
                  <w:pPr>
                    <w:pStyle w:val="TableBodyText"/>
                    <w:ind w:right="28"/>
                  </w:pPr>
                  <w:r w:rsidRPr="00D55C9C">
                    <w:t>12.9</w:t>
                  </w:r>
                </w:p>
              </w:tc>
            </w:tr>
            <w:tr w:rsidR="00A104AD" w:rsidTr="001345FE">
              <w:tc>
                <w:tcPr>
                  <w:tcW w:w="1475" w:type="pct"/>
                  <w:shd w:val="pct5" w:color="auto" w:fill="auto"/>
                  <w:vAlign w:val="bottom"/>
                </w:tcPr>
                <w:p w:rsidR="00A104AD" w:rsidRDefault="00A104AD" w:rsidP="00A104AD">
                  <w:pPr>
                    <w:pStyle w:val="TableBodyText"/>
                    <w:jc w:val="left"/>
                  </w:pPr>
                  <w:r w:rsidRPr="0074456E">
                    <w:t>Fixed income - domestic</w:t>
                  </w:r>
                </w:p>
              </w:tc>
              <w:tc>
                <w:tcPr>
                  <w:tcW w:w="1192" w:type="pct"/>
                  <w:shd w:val="pct5" w:color="auto" w:fill="auto"/>
                  <w:vAlign w:val="bottom"/>
                </w:tcPr>
                <w:p w:rsidR="00A104AD" w:rsidRDefault="00A104AD" w:rsidP="00A104AD">
                  <w:pPr>
                    <w:pStyle w:val="TableBodyText"/>
                  </w:pPr>
                  <w:r>
                    <w:t>3.4</w:t>
                  </w:r>
                </w:p>
              </w:tc>
              <w:tc>
                <w:tcPr>
                  <w:tcW w:w="1103" w:type="pct"/>
                  <w:shd w:val="pct5" w:color="auto" w:fill="auto"/>
                  <w:vAlign w:val="bottom"/>
                </w:tcPr>
                <w:p w:rsidR="00A104AD" w:rsidRDefault="00A104AD" w:rsidP="00A104AD">
                  <w:pPr>
                    <w:pStyle w:val="TableBodyText"/>
                    <w:ind w:right="28"/>
                  </w:pPr>
                  <w:r w:rsidRPr="00D55C9C">
                    <w:t>1.5</w:t>
                  </w:r>
                  <w:r w:rsidRPr="007C08E3">
                    <w:rPr>
                      <w:rStyle w:val="NoteLabel"/>
                    </w:rPr>
                    <w:t>b</w:t>
                  </w:r>
                </w:p>
              </w:tc>
              <w:tc>
                <w:tcPr>
                  <w:tcW w:w="1230" w:type="pct"/>
                  <w:shd w:val="pct5" w:color="auto" w:fill="auto"/>
                  <w:vAlign w:val="bottom"/>
                </w:tcPr>
                <w:p w:rsidR="00A104AD" w:rsidRPr="00D55C9C" w:rsidRDefault="00A104AD" w:rsidP="00A104AD">
                  <w:pPr>
                    <w:pStyle w:val="TableBodyText"/>
                    <w:ind w:right="28"/>
                  </w:pPr>
                  <w:r w:rsidRPr="00D55C9C">
                    <w:t>13.3</w:t>
                  </w:r>
                </w:p>
              </w:tc>
            </w:tr>
            <w:tr w:rsidR="00A104AD" w:rsidTr="001345FE">
              <w:tc>
                <w:tcPr>
                  <w:tcW w:w="1475" w:type="pct"/>
                  <w:vAlign w:val="bottom"/>
                </w:tcPr>
                <w:p w:rsidR="00A104AD" w:rsidRDefault="00A104AD" w:rsidP="00A104AD">
                  <w:pPr>
                    <w:pStyle w:val="TableBodyText"/>
                    <w:jc w:val="left"/>
                  </w:pPr>
                  <w:r w:rsidRPr="0074456E">
                    <w:t>Fixed income - international</w:t>
                  </w:r>
                </w:p>
              </w:tc>
              <w:tc>
                <w:tcPr>
                  <w:tcW w:w="1192" w:type="pct"/>
                  <w:vAlign w:val="bottom"/>
                </w:tcPr>
                <w:p w:rsidR="00A104AD" w:rsidRDefault="00A104AD" w:rsidP="00A104AD">
                  <w:pPr>
                    <w:pStyle w:val="TableBodyText"/>
                  </w:pPr>
                  <w:r>
                    <w:t>2.6</w:t>
                  </w:r>
                </w:p>
              </w:tc>
              <w:tc>
                <w:tcPr>
                  <w:tcW w:w="1103" w:type="pct"/>
                  <w:vAlign w:val="bottom"/>
                </w:tcPr>
                <w:p w:rsidR="00A104AD" w:rsidRDefault="00A104AD" w:rsidP="00A104AD">
                  <w:pPr>
                    <w:pStyle w:val="TableBodyText"/>
                  </w:pPr>
                  <w:r w:rsidRPr="00D55C9C">
                    <w:t>na</w:t>
                  </w:r>
                </w:p>
              </w:tc>
              <w:tc>
                <w:tcPr>
                  <w:tcW w:w="1230" w:type="pct"/>
                  <w:vAlign w:val="bottom"/>
                </w:tcPr>
                <w:p w:rsidR="00A104AD" w:rsidRPr="00D55C9C" w:rsidRDefault="00A104AD" w:rsidP="007C08E3">
                  <w:pPr>
                    <w:pStyle w:val="TableBodyText"/>
                    <w:ind w:right="28"/>
                  </w:pPr>
                  <w:r w:rsidRPr="00D55C9C">
                    <w:t>7.5</w:t>
                  </w:r>
                </w:p>
              </w:tc>
            </w:tr>
            <w:tr w:rsidR="00A104AD" w:rsidTr="001345FE">
              <w:tc>
                <w:tcPr>
                  <w:tcW w:w="1475" w:type="pct"/>
                  <w:shd w:val="pct5" w:color="auto" w:fill="auto"/>
                  <w:vAlign w:val="bottom"/>
                </w:tcPr>
                <w:p w:rsidR="00A104AD" w:rsidRDefault="00A104AD" w:rsidP="00A104AD">
                  <w:pPr>
                    <w:pStyle w:val="TableBodyText"/>
                    <w:jc w:val="left"/>
                  </w:pPr>
                  <w:r w:rsidRPr="0074456E">
                    <w:t>Listed equities - domestic</w:t>
                  </w:r>
                </w:p>
              </w:tc>
              <w:tc>
                <w:tcPr>
                  <w:tcW w:w="1192" w:type="pct"/>
                  <w:shd w:val="pct5" w:color="auto" w:fill="auto"/>
                  <w:vAlign w:val="bottom"/>
                </w:tcPr>
                <w:p w:rsidR="00A104AD" w:rsidRDefault="00A104AD" w:rsidP="00A104AD">
                  <w:pPr>
                    <w:pStyle w:val="TableBodyText"/>
                  </w:pPr>
                  <w:r>
                    <w:t>30.6</w:t>
                  </w:r>
                </w:p>
              </w:tc>
              <w:tc>
                <w:tcPr>
                  <w:tcW w:w="1103" w:type="pct"/>
                  <w:shd w:val="pct5" w:color="auto" w:fill="auto"/>
                  <w:vAlign w:val="bottom"/>
                </w:tcPr>
                <w:p w:rsidR="00A104AD" w:rsidRDefault="00A104AD" w:rsidP="00A104AD">
                  <w:pPr>
                    <w:pStyle w:val="TableBodyText"/>
                  </w:pPr>
                  <w:r w:rsidRPr="00D55C9C">
                    <w:t>29.5</w:t>
                  </w:r>
                </w:p>
              </w:tc>
              <w:tc>
                <w:tcPr>
                  <w:tcW w:w="1230" w:type="pct"/>
                  <w:shd w:val="pct5" w:color="auto" w:fill="auto"/>
                  <w:vAlign w:val="bottom"/>
                </w:tcPr>
                <w:p w:rsidR="00A104AD" w:rsidRPr="00D55C9C" w:rsidRDefault="00A104AD" w:rsidP="007C08E3">
                  <w:pPr>
                    <w:pStyle w:val="TableBodyText"/>
                    <w:ind w:right="28"/>
                  </w:pPr>
                  <w:r w:rsidRPr="00D55C9C">
                    <w:t>22.5</w:t>
                  </w:r>
                </w:p>
              </w:tc>
            </w:tr>
            <w:tr w:rsidR="00A104AD" w:rsidTr="001345FE">
              <w:tc>
                <w:tcPr>
                  <w:tcW w:w="1475" w:type="pct"/>
                  <w:vAlign w:val="bottom"/>
                </w:tcPr>
                <w:p w:rsidR="00A104AD" w:rsidRDefault="00A104AD" w:rsidP="00A104AD">
                  <w:pPr>
                    <w:pStyle w:val="TableBodyText"/>
                    <w:jc w:val="left"/>
                  </w:pPr>
                  <w:r w:rsidRPr="0074456E">
                    <w:t>Listed equities - international</w:t>
                  </w:r>
                </w:p>
              </w:tc>
              <w:tc>
                <w:tcPr>
                  <w:tcW w:w="1192" w:type="pct"/>
                  <w:vAlign w:val="bottom"/>
                </w:tcPr>
                <w:p w:rsidR="00A104AD" w:rsidRDefault="00A104AD" w:rsidP="00A104AD">
                  <w:pPr>
                    <w:pStyle w:val="TableBodyText"/>
                  </w:pPr>
                  <w:r>
                    <w:t>5.4</w:t>
                  </w:r>
                </w:p>
              </w:tc>
              <w:tc>
                <w:tcPr>
                  <w:tcW w:w="1103" w:type="pct"/>
                  <w:vAlign w:val="bottom"/>
                </w:tcPr>
                <w:p w:rsidR="00A104AD" w:rsidRDefault="00A104AD" w:rsidP="00A104AD">
                  <w:pPr>
                    <w:pStyle w:val="TableBodyText"/>
                  </w:pPr>
                  <w:r w:rsidRPr="00D55C9C">
                    <w:t>0.6</w:t>
                  </w:r>
                </w:p>
              </w:tc>
              <w:tc>
                <w:tcPr>
                  <w:tcW w:w="1230" w:type="pct"/>
                  <w:vAlign w:val="bottom"/>
                </w:tcPr>
                <w:p w:rsidR="00A104AD" w:rsidRPr="00D55C9C" w:rsidRDefault="00A104AD" w:rsidP="007C08E3">
                  <w:pPr>
                    <w:pStyle w:val="TableBodyText"/>
                    <w:ind w:right="28"/>
                  </w:pPr>
                  <w:r w:rsidRPr="00D55C9C">
                    <w:t>21.5</w:t>
                  </w:r>
                </w:p>
              </w:tc>
            </w:tr>
            <w:tr w:rsidR="00A104AD" w:rsidTr="001345FE">
              <w:tc>
                <w:tcPr>
                  <w:tcW w:w="1475" w:type="pct"/>
                  <w:shd w:val="pct5" w:color="auto" w:fill="auto"/>
                  <w:vAlign w:val="bottom"/>
                </w:tcPr>
                <w:p w:rsidR="00A104AD" w:rsidRDefault="00A104AD" w:rsidP="00A104AD">
                  <w:pPr>
                    <w:pStyle w:val="TableBodyText"/>
                    <w:jc w:val="left"/>
                  </w:pPr>
                  <w:r w:rsidRPr="0074456E">
                    <w:t>Private equity</w:t>
                  </w:r>
                </w:p>
              </w:tc>
              <w:tc>
                <w:tcPr>
                  <w:tcW w:w="1192" w:type="pct"/>
                  <w:shd w:val="pct5" w:color="auto" w:fill="auto"/>
                  <w:vAlign w:val="bottom"/>
                </w:tcPr>
                <w:p w:rsidR="00A104AD" w:rsidRDefault="00A104AD" w:rsidP="00A104AD">
                  <w:pPr>
                    <w:pStyle w:val="TableBodyText"/>
                  </w:pPr>
                  <w:r>
                    <w:t>1.3</w:t>
                  </w:r>
                </w:p>
              </w:tc>
              <w:tc>
                <w:tcPr>
                  <w:tcW w:w="1103" w:type="pct"/>
                  <w:shd w:val="pct5" w:color="auto" w:fill="auto"/>
                  <w:vAlign w:val="bottom"/>
                </w:tcPr>
                <w:p w:rsidR="00A104AD" w:rsidRDefault="00A104AD" w:rsidP="00A104AD">
                  <w:pPr>
                    <w:pStyle w:val="TableBodyText"/>
                  </w:pPr>
                  <w:r w:rsidRPr="00D55C9C">
                    <w:t>1.0</w:t>
                  </w:r>
                </w:p>
              </w:tc>
              <w:tc>
                <w:tcPr>
                  <w:tcW w:w="1230" w:type="pct"/>
                  <w:shd w:val="pct5" w:color="auto" w:fill="auto"/>
                  <w:vAlign w:val="bottom"/>
                </w:tcPr>
                <w:p w:rsidR="00A104AD" w:rsidRPr="00D55C9C" w:rsidRDefault="00A104AD" w:rsidP="007C08E3">
                  <w:pPr>
                    <w:pStyle w:val="TableBodyText"/>
                    <w:ind w:right="28"/>
                  </w:pPr>
                  <w:r w:rsidRPr="00D55C9C">
                    <w:t>4.4</w:t>
                  </w:r>
                </w:p>
              </w:tc>
            </w:tr>
            <w:tr w:rsidR="00A104AD" w:rsidTr="001345FE">
              <w:tc>
                <w:tcPr>
                  <w:tcW w:w="1475" w:type="pct"/>
                  <w:vAlign w:val="bottom"/>
                </w:tcPr>
                <w:p w:rsidR="00A104AD" w:rsidRDefault="00A104AD" w:rsidP="00A104AD">
                  <w:pPr>
                    <w:pStyle w:val="TableBodyText"/>
                    <w:jc w:val="left"/>
                  </w:pPr>
                  <w:r w:rsidRPr="0074456E">
                    <w:t>Listed property</w:t>
                  </w:r>
                </w:p>
              </w:tc>
              <w:tc>
                <w:tcPr>
                  <w:tcW w:w="1192" w:type="pct"/>
                  <w:vAlign w:val="bottom"/>
                </w:tcPr>
                <w:p w:rsidR="00A104AD" w:rsidRDefault="00A104AD" w:rsidP="00A104AD">
                  <w:pPr>
                    <w:pStyle w:val="TableBodyText"/>
                  </w:pPr>
                  <w:r>
                    <w:t>1.5</w:t>
                  </w:r>
                </w:p>
              </w:tc>
              <w:tc>
                <w:tcPr>
                  <w:tcW w:w="1103" w:type="pct"/>
                  <w:vAlign w:val="bottom"/>
                </w:tcPr>
                <w:p w:rsidR="00A104AD" w:rsidRDefault="00A104AD" w:rsidP="00A104AD">
                  <w:pPr>
                    <w:pStyle w:val="TableBodyText"/>
                  </w:pPr>
                  <w:r w:rsidRPr="00D55C9C">
                    <w:t>na</w:t>
                  </w:r>
                </w:p>
              </w:tc>
              <w:tc>
                <w:tcPr>
                  <w:tcW w:w="1230" w:type="pct"/>
                  <w:vAlign w:val="bottom"/>
                </w:tcPr>
                <w:p w:rsidR="00A104AD" w:rsidRPr="00D55C9C" w:rsidRDefault="00A104AD" w:rsidP="007C08E3">
                  <w:pPr>
                    <w:pStyle w:val="TableBodyText"/>
                    <w:ind w:right="28"/>
                  </w:pPr>
                  <w:r w:rsidRPr="00D55C9C">
                    <w:t>3.8</w:t>
                  </w:r>
                </w:p>
              </w:tc>
            </w:tr>
            <w:tr w:rsidR="00A104AD" w:rsidTr="001345FE">
              <w:tc>
                <w:tcPr>
                  <w:tcW w:w="1475" w:type="pct"/>
                  <w:shd w:val="pct5" w:color="auto" w:fill="auto"/>
                  <w:vAlign w:val="bottom"/>
                </w:tcPr>
                <w:p w:rsidR="00A104AD" w:rsidRDefault="00A104AD" w:rsidP="00A104AD">
                  <w:pPr>
                    <w:pStyle w:val="TableBodyText"/>
                    <w:jc w:val="left"/>
                  </w:pPr>
                  <w:r w:rsidRPr="0074456E">
                    <w:t>Unlisted property</w:t>
                  </w:r>
                </w:p>
              </w:tc>
              <w:tc>
                <w:tcPr>
                  <w:tcW w:w="1192" w:type="pct"/>
                  <w:shd w:val="pct5" w:color="auto" w:fill="auto"/>
                  <w:vAlign w:val="bottom"/>
                </w:tcPr>
                <w:p w:rsidR="00A104AD" w:rsidRDefault="00A104AD" w:rsidP="00A104AD">
                  <w:pPr>
                    <w:pStyle w:val="TableBodyText"/>
                  </w:pPr>
                  <w:r>
                    <w:t>19.2</w:t>
                  </w:r>
                </w:p>
              </w:tc>
              <w:tc>
                <w:tcPr>
                  <w:tcW w:w="1103" w:type="pct"/>
                  <w:shd w:val="pct5" w:color="auto" w:fill="auto"/>
                  <w:vAlign w:val="bottom"/>
                </w:tcPr>
                <w:p w:rsidR="00A104AD" w:rsidRDefault="00A104AD" w:rsidP="00A104AD">
                  <w:pPr>
                    <w:pStyle w:val="TableBodyText"/>
                  </w:pPr>
                  <w:r w:rsidRPr="00D55C9C">
                    <w:t>14.9</w:t>
                  </w:r>
                </w:p>
              </w:tc>
              <w:tc>
                <w:tcPr>
                  <w:tcW w:w="1230" w:type="pct"/>
                  <w:shd w:val="pct5" w:color="auto" w:fill="auto"/>
                  <w:vAlign w:val="bottom"/>
                </w:tcPr>
                <w:p w:rsidR="00A104AD" w:rsidRPr="00D55C9C" w:rsidRDefault="00A104AD" w:rsidP="007C08E3">
                  <w:pPr>
                    <w:pStyle w:val="TableBodyText"/>
                    <w:ind w:right="28"/>
                  </w:pPr>
                  <w:r w:rsidRPr="00D55C9C">
                    <w:t>5.2</w:t>
                  </w:r>
                </w:p>
              </w:tc>
            </w:tr>
            <w:tr w:rsidR="00A104AD" w:rsidTr="001345FE">
              <w:tc>
                <w:tcPr>
                  <w:tcW w:w="1475" w:type="pct"/>
                  <w:vAlign w:val="bottom"/>
                </w:tcPr>
                <w:p w:rsidR="00A104AD" w:rsidRDefault="00A104AD" w:rsidP="00A104AD">
                  <w:pPr>
                    <w:pStyle w:val="TableBodyText"/>
                    <w:jc w:val="left"/>
                  </w:pPr>
                  <w:r w:rsidRPr="0074456E">
                    <w:t>Listed infrastructure</w:t>
                  </w:r>
                </w:p>
              </w:tc>
              <w:tc>
                <w:tcPr>
                  <w:tcW w:w="1192" w:type="pct"/>
                  <w:vAlign w:val="bottom"/>
                </w:tcPr>
                <w:p w:rsidR="00A104AD" w:rsidRDefault="00A104AD" w:rsidP="00A104AD">
                  <w:pPr>
                    <w:pStyle w:val="TableBodyText"/>
                  </w:pPr>
                  <w:r>
                    <w:t>1.2</w:t>
                  </w:r>
                </w:p>
              </w:tc>
              <w:tc>
                <w:tcPr>
                  <w:tcW w:w="1103" w:type="pct"/>
                  <w:vAlign w:val="bottom"/>
                </w:tcPr>
                <w:p w:rsidR="00A104AD" w:rsidRDefault="00A104AD" w:rsidP="00A104AD">
                  <w:pPr>
                    <w:pStyle w:val="TableBodyText"/>
                  </w:pPr>
                  <w:r w:rsidRPr="00D55C9C">
                    <w:t>na</w:t>
                  </w:r>
                </w:p>
              </w:tc>
              <w:tc>
                <w:tcPr>
                  <w:tcW w:w="1230" w:type="pct"/>
                  <w:vAlign w:val="bottom"/>
                </w:tcPr>
                <w:p w:rsidR="00A104AD" w:rsidRPr="00D55C9C" w:rsidRDefault="00A104AD" w:rsidP="007C08E3">
                  <w:pPr>
                    <w:pStyle w:val="TableBodyText"/>
                    <w:ind w:right="28"/>
                  </w:pPr>
                  <w:r w:rsidRPr="00D55C9C">
                    <w:t>1.5</w:t>
                  </w:r>
                </w:p>
              </w:tc>
            </w:tr>
            <w:tr w:rsidR="00A104AD" w:rsidTr="001345FE">
              <w:tc>
                <w:tcPr>
                  <w:tcW w:w="1475" w:type="pct"/>
                  <w:shd w:val="pct5" w:color="auto" w:fill="auto"/>
                  <w:vAlign w:val="bottom"/>
                </w:tcPr>
                <w:p w:rsidR="00A104AD" w:rsidRDefault="00A104AD" w:rsidP="00A104AD">
                  <w:pPr>
                    <w:pStyle w:val="TableBodyText"/>
                    <w:jc w:val="left"/>
                  </w:pPr>
                  <w:r w:rsidRPr="0074456E">
                    <w:t>Unlisted infrastructure</w:t>
                  </w:r>
                </w:p>
              </w:tc>
              <w:tc>
                <w:tcPr>
                  <w:tcW w:w="1192" w:type="pct"/>
                  <w:shd w:val="pct5" w:color="auto" w:fill="auto"/>
                  <w:vAlign w:val="bottom"/>
                </w:tcPr>
                <w:p w:rsidR="00A104AD" w:rsidRDefault="00A104AD" w:rsidP="00A104AD">
                  <w:pPr>
                    <w:pStyle w:val="TableBodyText"/>
                  </w:pPr>
                  <w:r>
                    <w:t>0.0</w:t>
                  </w:r>
                </w:p>
              </w:tc>
              <w:tc>
                <w:tcPr>
                  <w:tcW w:w="1103" w:type="pct"/>
                  <w:shd w:val="pct5" w:color="auto" w:fill="auto"/>
                  <w:vAlign w:val="bottom"/>
                </w:tcPr>
                <w:p w:rsidR="00A104AD" w:rsidRDefault="00A104AD" w:rsidP="00A104AD">
                  <w:pPr>
                    <w:pStyle w:val="TableBodyText"/>
                  </w:pPr>
                  <w:r w:rsidRPr="00D55C9C">
                    <w:t>na</w:t>
                  </w:r>
                </w:p>
              </w:tc>
              <w:tc>
                <w:tcPr>
                  <w:tcW w:w="1230" w:type="pct"/>
                  <w:shd w:val="pct5" w:color="auto" w:fill="auto"/>
                  <w:vAlign w:val="bottom"/>
                </w:tcPr>
                <w:p w:rsidR="00A104AD" w:rsidRPr="00D55C9C" w:rsidRDefault="00A104AD" w:rsidP="007C08E3">
                  <w:pPr>
                    <w:pStyle w:val="TableBodyText"/>
                    <w:ind w:right="28"/>
                  </w:pPr>
                  <w:r w:rsidRPr="00D55C9C">
                    <w:t>3.5</w:t>
                  </w:r>
                </w:p>
              </w:tc>
            </w:tr>
            <w:tr w:rsidR="00A104AD" w:rsidTr="001345FE">
              <w:tc>
                <w:tcPr>
                  <w:tcW w:w="1475" w:type="pct"/>
                  <w:tcBorders>
                    <w:bottom w:val="single" w:sz="6" w:space="0" w:color="BFBFBF"/>
                  </w:tcBorders>
                  <w:shd w:val="clear" w:color="auto" w:fill="auto"/>
                  <w:vAlign w:val="bottom"/>
                </w:tcPr>
                <w:p w:rsidR="00A104AD" w:rsidRDefault="00A104AD" w:rsidP="00A104AD">
                  <w:pPr>
                    <w:pStyle w:val="TableBodyText"/>
                    <w:jc w:val="left"/>
                  </w:pPr>
                  <w:r>
                    <w:t>Other</w:t>
                  </w:r>
                </w:p>
              </w:tc>
              <w:tc>
                <w:tcPr>
                  <w:tcW w:w="1192" w:type="pct"/>
                  <w:tcBorders>
                    <w:bottom w:val="single" w:sz="6" w:space="0" w:color="BFBFBF"/>
                  </w:tcBorders>
                  <w:vAlign w:val="bottom"/>
                </w:tcPr>
                <w:p w:rsidR="00A104AD" w:rsidRDefault="00A104AD" w:rsidP="00A104AD">
                  <w:pPr>
                    <w:pStyle w:val="TableBodyText"/>
                  </w:pPr>
                  <w:r>
                    <w:t>10.8</w:t>
                  </w:r>
                </w:p>
              </w:tc>
              <w:tc>
                <w:tcPr>
                  <w:tcW w:w="1103" w:type="pct"/>
                  <w:tcBorders>
                    <w:bottom w:val="single" w:sz="6" w:space="0" w:color="BFBFBF"/>
                  </w:tcBorders>
                  <w:vAlign w:val="bottom"/>
                </w:tcPr>
                <w:p w:rsidR="00A104AD" w:rsidRDefault="00A104AD" w:rsidP="00A104AD">
                  <w:pPr>
                    <w:pStyle w:val="TableBodyText"/>
                  </w:pPr>
                  <w:r w:rsidRPr="00D55C9C">
                    <w:t>27.6</w:t>
                  </w:r>
                </w:p>
              </w:tc>
              <w:tc>
                <w:tcPr>
                  <w:tcW w:w="1230" w:type="pct"/>
                  <w:tcBorders>
                    <w:bottom w:val="single" w:sz="6" w:space="0" w:color="BFBFBF"/>
                  </w:tcBorders>
                  <w:vAlign w:val="bottom"/>
                </w:tcPr>
                <w:p w:rsidR="00A104AD" w:rsidRDefault="00A104AD" w:rsidP="007C08E3">
                  <w:pPr>
                    <w:pStyle w:val="TableBodyText"/>
                    <w:ind w:right="28"/>
                  </w:pPr>
                  <w:r w:rsidRPr="00D55C9C">
                    <w:t>3.8</w:t>
                  </w:r>
                </w:p>
              </w:tc>
            </w:tr>
          </w:tbl>
          <w:p w:rsidR="00FF7A8D" w:rsidRDefault="00FF7A8D" w:rsidP="00382BFA">
            <w:pPr>
              <w:pStyle w:val="Box"/>
            </w:pPr>
          </w:p>
        </w:tc>
      </w:tr>
      <w:tr w:rsidR="00FF7A8D" w:rsidTr="00382BFA">
        <w:tc>
          <w:tcPr>
            <w:tcW w:w="5000" w:type="pct"/>
            <w:tcBorders>
              <w:top w:val="nil"/>
              <w:left w:val="nil"/>
              <w:bottom w:val="nil"/>
              <w:right w:val="nil"/>
            </w:tcBorders>
            <w:shd w:val="clear" w:color="auto" w:fill="auto"/>
          </w:tcPr>
          <w:p w:rsidR="00FF7A8D" w:rsidRDefault="00FF7A8D" w:rsidP="00551A18">
            <w:pPr>
              <w:pStyle w:val="Note"/>
              <w:rPr>
                <w:i/>
              </w:rPr>
            </w:pPr>
            <w:r w:rsidRPr="008E77FE">
              <w:rPr>
                <w:rStyle w:val="NoteLabel"/>
              </w:rPr>
              <w:t>a</w:t>
            </w:r>
            <w:r>
              <w:t xml:space="preserve"> </w:t>
            </w:r>
            <w:r w:rsidR="00C0337C">
              <w:t xml:space="preserve">Data adjusted from share of net assets to share of total assets. </w:t>
            </w:r>
            <w:r w:rsidR="00C0337C" w:rsidRPr="00C0337C">
              <w:t xml:space="preserve">Where SMSF assets could not be split into domestic/international, they have been apportioned in line with the </w:t>
            </w:r>
            <w:r w:rsidR="00C0337C">
              <w:t xml:space="preserve">observed </w:t>
            </w:r>
            <w:r w:rsidR="00C0337C" w:rsidRPr="00C0337C">
              <w:t xml:space="preserve">split for </w:t>
            </w:r>
            <w:r w:rsidR="00C0337C">
              <w:t>the remaining assets in the relevant category</w:t>
            </w:r>
            <w:r w:rsidR="00C0337C" w:rsidRPr="00C0337C">
              <w:t>.</w:t>
            </w:r>
            <w:r>
              <w:t xml:space="preserve"> </w:t>
            </w:r>
            <w:r>
              <w:rPr>
                <w:rStyle w:val="NoteLabel"/>
              </w:rPr>
              <w:t>b</w:t>
            </w:r>
            <w:r w:rsidR="00551A18">
              <w:t xml:space="preserve"> Value is for debt securities (total)</w:t>
            </w:r>
            <w:r>
              <w:t>.</w:t>
            </w:r>
            <w:r w:rsidR="00551A18">
              <w:t xml:space="preserve"> </w:t>
            </w:r>
            <w:r w:rsidR="00551A18">
              <w:rPr>
                <w:b/>
              </w:rPr>
              <w:t xml:space="preserve">na </w:t>
            </w:r>
            <w:r w:rsidR="00551A18">
              <w:t>Not available.</w:t>
            </w:r>
          </w:p>
        </w:tc>
      </w:tr>
      <w:tr w:rsidR="00FF7A8D" w:rsidTr="00382BFA">
        <w:tc>
          <w:tcPr>
            <w:tcW w:w="5000" w:type="pct"/>
            <w:tcBorders>
              <w:top w:val="nil"/>
              <w:left w:val="nil"/>
              <w:bottom w:val="nil"/>
              <w:right w:val="nil"/>
            </w:tcBorders>
            <w:shd w:val="clear" w:color="auto" w:fill="auto"/>
          </w:tcPr>
          <w:p w:rsidR="00FF7A8D" w:rsidRDefault="00FF7A8D" w:rsidP="007C08E3">
            <w:pPr>
              <w:pStyle w:val="TableBodyText"/>
              <w:keepNext w:val="0"/>
              <w:spacing w:before="80" w:after="0" w:line="220" w:lineRule="exact"/>
              <w:ind w:left="0" w:right="0"/>
              <w:jc w:val="both"/>
            </w:pPr>
            <w:r>
              <w:rPr>
                <w:i/>
              </w:rPr>
              <w:t>Sources</w:t>
            </w:r>
            <w:r w:rsidRPr="00167F06">
              <w:t>:</w:t>
            </w:r>
            <w:r w:rsidR="00E85A59">
              <w:t xml:space="preserve"> ATO </w:t>
            </w:r>
            <w:r w:rsidR="00A75066" w:rsidRPr="00A75066">
              <w:rPr>
                <w:rFonts w:cs="Arial"/>
              </w:rPr>
              <w:t>(2018)</w:t>
            </w:r>
            <w:r w:rsidR="00800BDE">
              <w:t>;</w:t>
            </w:r>
            <w:r w:rsidR="00E85A59">
              <w:t xml:space="preserve"> APRA</w:t>
            </w:r>
            <w:r w:rsidR="00A75066">
              <w:t xml:space="preserve"> </w:t>
            </w:r>
            <w:r w:rsidR="00271B22" w:rsidRPr="00271B22">
              <w:rPr>
                <w:rFonts w:cs="Arial"/>
              </w:rPr>
              <w:t>(2018c)</w:t>
            </w:r>
            <w:r w:rsidR="00800BDE">
              <w:t>;</w:t>
            </w:r>
            <w:r w:rsidR="00E85A59">
              <w:t xml:space="preserve"> Class Limited (pers. comm., 5</w:t>
            </w:r>
            <w:r w:rsidR="00617DD2">
              <w:t> </w:t>
            </w:r>
            <w:r w:rsidR="00E85A59">
              <w:t>October 2018).</w:t>
            </w:r>
          </w:p>
        </w:tc>
      </w:tr>
      <w:tr w:rsidR="00FF7A8D" w:rsidTr="00382BFA">
        <w:tc>
          <w:tcPr>
            <w:tcW w:w="5000" w:type="pct"/>
            <w:tcBorders>
              <w:top w:val="nil"/>
              <w:left w:val="nil"/>
              <w:bottom w:val="single" w:sz="6" w:space="0" w:color="78A22F"/>
              <w:right w:val="nil"/>
            </w:tcBorders>
            <w:shd w:val="clear" w:color="auto" w:fill="auto"/>
          </w:tcPr>
          <w:p w:rsidR="00FF7A8D" w:rsidRDefault="00FF7A8D" w:rsidP="00382BFA">
            <w:pPr>
              <w:pStyle w:val="Box"/>
              <w:spacing w:before="0" w:line="120" w:lineRule="exact"/>
            </w:pPr>
          </w:p>
        </w:tc>
      </w:tr>
      <w:tr w:rsidR="00FF7A8D" w:rsidRPr="000863A5" w:rsidTr="00382BFA">
        <w:tc>
          <w:tcPr>
            <w:tcW w:w="5000" w:type="pct"/>
            <w:tcBorders>
              <w:top w:val="single" w:sz="6" w:space="0" w:color="78A22F"/>
              <w:left w:val="nil"/>
              <w:bottom w:val="nil"/>
              <w:right w:val="nil"/>
            </w:tcBorders>
          </w:tcPr>
          <w:p w:rsidR="00FF7A8D" w:rsidRPr="00626D32" w:rsidRDefault="00FF7A8D" w:rsidP="00382BFA">
            <w:pPr>
              <w:pStyle w:val="BoxSpaceBelow"/>
            </w:pPr>
          </w:p>
        </w:tc>
      </w:tr>
    </w:tbl>
    <w:p w:rsidR="00362E2A" w:rsidRDefault="00362E2A" w:rsidP="00537982">
      <w:pPr>
        <w:pStyle w:val="BodyText"/>
      </w:pPr>
    </w:p>
    <w:p w:rsidR="00362E2A" w:rsidRDefault="00362E2A">
      <w:pPr>
        <w:rPr>
          <w:rFonts w:ascii="Arial" w:hAnsi="Arial"/>
          <w:b/>
          <w:sz w:val="32"/>
          <w:szCs w:val="20"/>
        </w:rPr>
      </w:pPr>
      <w:r>
        <w:br w:type="page"/>
      </w:r>
    </w:p>
    <w:p w:rsidR="00A94A00" w:rsidRDefault="00A94A00" w:rsidP="006D1D34">
      <w:pPr>
        <w:pStyle w:val="Heading2"/>
      </w:pPr>
      <w:bookmarkStart w:id="128" w:name="_Toc528158060"/>
      <w:bookmarkStart w:id="129" w:name="_Toc528229682"/>
      <w:bookmarkStart w:id="130" w:name="_Toc528298332"/>
      <w:r>
        <w:lastRenderedPageBreak/>
        <w:t>References</w:t>
      </w:r>
      <w:bookmarkEnd w:id="128"/>
      <w:bookmarkEnd w:id="129"/>
      <w:bookmarkEnd w:id="130"/>
    </w:p>
    <w:p w:rsidR="0005055D" w:rsidRPr="0005055D" w:rsidRDefault="0005055D" w:rsidP="00F56C02">
      <w:pPr>
        <w:pStyle w:val="Reference"/>
      </w:pPr>
      <w:r w:rsidRPr="0005055D">
        <w:t xml:space="preserve">ABS (Australian Bureau of Statistics) 2018, </w:t>
      </w:r>
      <w:r w:rsidRPr="00F56C02">
        <w:rPr>
          <w:i/>
        </w:rPr>
        <w:t>Venture Capital and Later Stage Private Equity, Australia</w:t>
      </w:r>
      <w:r w:rsidRPr="0005055D">
        <w:t>, 2016</w:t>
      </w:r>
      <w:r w:rsidR="00617DD2">
        <w:noBreakHyphen/>
      </w:r>
      <w:r w:rsidRPr="0005055D">
        <w:t>17, Cat. no. 5678.0.</w:t>
      </w:r>
    </w:p>
    <w:p w:rsidR="0005055D" w:rsidRPr="0005055D" w:rsidRDefault="0005055D" w:rsidP="00F56C02">
      <w:pPr>
        <w:pStyle w:val="Reference"/>
      </w:pPr>
      <w:r w:rsidRPr="0005055D">
        <w:t xml:space="preserve">APRA (Australian Prudential Regulation Authority) 2015, </w:t>
      </w:r>
      <w:r w:rsidRPr="00F56C02">
        <w:rPr>
          <w:i/>
        </w:rPr>
        <w:t>Reporting Standard SRS 540.0 Fees</w:t>
      </w:r>
      <w:r w:rsidR="00F56C02">
        <w:t>, Sydney.</w:t>
      </w:r>
    </w:p>
    <w:p w:rsidR="0005055D" w:rsidRPr="0005055D" w:rsidRDefault="0005055D" w:rsidP="00F56C02">
      <w:pPr>
        <w:pStyle w:val="Reference"/>
      </w:pPr>
      <w:r w:rsidRPr="0005055D">
        <w:t>——</w:t>
      </w:r>
      <w:r w:rsidR="00F56C02">
        <w:t xml:space="preserve"> </w:t>
      </w:r>
      <w:r w:rsidRPr="0005055D">
        <w:t xml:space="preserve">2018a, </w:t>
      </w:r>
      <w:r w:rsidRPr="00F56C02">
        <w:rPr>
          <w:i/>
        </w:rPr>
        <w:t>Annual Superannuation Bulletin June 2017</w:t>
      </w:r>
      <w:r w:rsidRPr="0005055D">
        <w:t>, Sydney.</w:t>
      </w:r>
    </w:p>
    <w:p w:rsidR="0005055D" w:rsidRPr="0005055D" w:rsidRDefault="0005055D" w:rsidP="00F56C02">
      <w:pPr>
        <w:pStyle w:val="Reference"/>
      </w:pPr>
      <w:r w:rsidRPr="0005055D">
        <w:t>——</w:t>
      </w:r>
      <w:r w:rsidR="00F56C02">
        <w:t xml:space="preserve"> </w:t>
      </w:r>
      <w:r w:rsidRPr="0005055D">
        <w:t xml:space="preserve">2018b, </w:t>
      </w:r>
      <w:r w:rsidRPr="00F56C02">
        <w:rPr>
          <w:i/>
        </w:rPr>
        <w:t>Quarterly MySuper Statistics December 2017</w:t>
      </w:r>
      <w:r w:rsidRPr="0005055D">
        <w:t>, Sydney.</w:t>
      </w:r>
    </w:p>
    <w:p w:rsidR="0005055D" w:rsidRPr="0005055D" w:rsidRDefault="00F56C02" w:rsidP="00F56C02">
      <w:pPr>
        <w:pStyle w:val="Reference"/>
      </w:pPr>
      <w:r>
        <w:t xml:space="preserve">—— </w:t>
      </w:r>
      <w:r w:rsidR="0005055D" w:rsidRPr="0005055D">
        <w:t xml:space="preserve">2018c, </w:t>
      </w:r>
      <w:r w:rsidR="0005055D" w:rsidRPr="00F56C02">
        <w:rPr>
          <w:i/>
        </w:rPr>
        <w:t>Quarterly Superannuation Performance, June 2018</w:t>
      </w:r>
      <w:r w:rsidR="0005055D" w:rsidRPr="0005055D">
        <w:t>, Sydney.</w:t>
      </w:r>
    </w:p>
    <w:p w:rsidR="0005055D" w:rsidRPr="0005055D" w:rsidRDefault="00F56C02" w:rsidP="00F56C02">
      <w:pPr>
        <w:pStyle w:val="Reference"/>
      </w:pPr>
      <w:r>
        <w:t xml:space="preserve">—— </w:t>
      </w:r>
      <w:r w:rsidR="0005055D" w:rsidRPr="0005055D">
        <w:t xml:space="preserve">2018d, </w:t>
      </w:r>
      <w:r w:rsidR="0005055D" w:rsidRPr="00F56C02">
        <w:rPr>
          <w:i/>
        </w:rPr>
        <w:t>Related Party Arrangements Thematic Review</w:t>
      </w:r>
      <w:r w:rsidR="0005055D" w:rsidRPr="0005055D">
        <w:t>, Sydney.</w:t>
      </w:r>
    </w:p>
    <w:p w:rsidR="0005055D" w:rsidRPr="0005055D" w:rsidRDefault="00F56C02" w:rsidP="00F56C02">
      <w:pPr>
        <w:pStyle w:val="Reference"/>
      </w:pPr>
      <w:r>
        <w:t xml:space="preserve">—— </w:t>
      </w:r>
      <w:r w:rsidR="0005055D" w:rsidRPr="0005055D">
        <w:t xml:space="preserve">2018e, </w:t>
      </w:r>
      <w:r w:rsidR="0005055D" w:rsidRPr="00F56C02">
        <w:rPr>
          <w:i/>
        </w:rPr>
        <w:t>Annual Fund</w:t>
      </w:r>
      <w:r w:rsidR="00617DD2">
        <w:rPr>
          <w:i/>
        </w:rPr>
        <w:noBreakHyphen/>
      </w:r>
      <w:r w:rsidR="0005055D" w:rsidRPr="00F56C02">
        <w:rPr>
          <w:i/>
        </w:rPr>
        <w:t>level Superannuation Statistics 2017</w:t>
      </w:r>
      <w:r w:rsidR="0005055D" w:rsidRPr="0005055D">
        <w:t>, Sydney.</w:t>
      </w:r>
    </w:p>
    <w:p w:rsidR="0005055D" w:rsidRPr="0005055D" w:rsidRDefault="0005055D" w:rsidP="00F56C02">
      <w:pPr>
        <w:pStyle w:val="Reference"/>
      </w:pPr>
      <w:r w:rsidRPr="0005055D">
        <w:t xml:space="preserve">ATO (Australian Taxation Office) 2018, </w:t>
      </w:r>
      <w:r w:rsidRPr="00F56C02">
        <w:rPr>
          <w:i/>
        </w:rPr>
        <w:t>Self-Managed Super Funds: A Statistical Overview 2015–2016</w:t>
      </w:r>
      <w:r w:rsidRPr="0005055D">
        <w:t>, www.ato.gov.au/About-ATO/Research-and-statistics/In-detail/Super</w:t>
      </w:r>
      <w:r w:rsidR="00F56C02">
        <w:t>-</w:t>
      </w:r>
      <w:r w:rsidRPr="0005055D">
        <w:t>statistics/SMSF/Self-managed-superannuation-funds--A-statistical-overview-2015-2016/ (accessed 25</w:t>
      </w:r>
      <w:r w:rsidR="00617DD2">
        <w:t> </w:t>
      </w:r>
      <w:r w:rsidRPr="0005055D">
        <w:t>September 2018).</w:t>
      </w:r>
    </w:p>
    <w:p w:rsidR="00A76CED" w:rsidRPr="00A76CED" w:rsidRDefault="00A76CED" w:rsidP="00F56C02">
      <w:pPr>
        <w:pStyle w:val="Reference"/>
      </w:pPr>
      <w:r>
        <w:t xml:space="preserve">FSRC (Financial Services Royal Commission) 2018, </w:t>
      </w:r>
      <w:r>
        <w:rPr>
          <w:i/>
        </w:rPr>
        <w:t>Round 5 Hearings: Closing Submissions</w:t>
      </w:r>
      <w:r>
        <w:t xml:space="preserve">, </w:t>
      </w:r>
      <w:r w:rsidRPr="00A76CED">
        <w:t>https://financialservices.royalcommission.gov.au/public-hearings/Pages/</w:t>
      </w:r>
      <w:r>
        <w:br/>
      </w:r>
      <w:r w:rsidRPr="00A76CED">
        <w:t>round-5-hearings.aspx</w:t>
      </w:r>
      <w:r>
        <w:t xml:space="preserve"> (accessed 24 October 2018).</w:t>
      </w:r>
    </w:p>
    <w:p w:rsidR="0005055D" w:rsidRPr="0005055D" w:rsidRDefault="0005055D" w:rsidP="00F56C02">
      <w:pPr>
        <w:pStyle w:val="Reference"/>
      </w:pPr>
      <w:r w:rsidRPr="0005055D">
        <w:t xml:space="preserve">MSCI 2018, </w:t>
      </w:r>
      <w:r w:rsidRPr="00F56C02">
        <w:rPr>
          <w:i/>
        </w:rPr>
        <w:t>MSCI Australia Quarterly Unlisted Infrastructure Index</w:t>
      </w:r>
      <w:r w:rsidRPr="0005055D">
        <w:t>, Results for the month to 30</w:t>
      </w:r>
      <w:r w:rsidR="00617DD2">
        <w:t> </w:t>
      </w:r>
      <w:r w:rsidRPr="0005055D">
        <w:t>June 2018, New York.</w:t>
      </w:r>
    </w:p>
    <w:p w:rsidR="0005055D" w:rsidRPr="0005055D" w:rsidRDefault="0005055D" w:rsidP="00F56C02">
      <w:pPr>
        <w:pStyle w:val="Reference"/>
      </w:pPr>
      <w:r w:rsidRPr="0005055D">
        <w:t xml:space="preserve">NAB (National Australia Bank) 2017, </w:t>
      </w:r>
      <w:r w:rsidRPr="00F56C02">
        <w:rPr>
          <w:i/>
        </w:rPr>
        <w:t>Super evolution: NAB Superannuation FX Hedging Survey 2017</w:t>
      </w:r>
      <w:r w:rsidRPr="0005055D">
        <w:t>, Sydney.</w:t>
      </w:r>
    </w:p>
    <w:p w:rsidR="0005055D" w:rsidRDefault="0005055D" w:rsidP="00F56C02">
      <w:pPr>
        <w:pStyle w:val="Reference"/>
      </w:pPr>
      <w:r w:rsidRPr="0005055D">
        <w:t xml:space="preserve">PC (Productivity Commission) 2016, </w:t>
      </w:r>
      <w:r w:rsidRPr="00F56C02">
        <w:rPr>
          <w:i/>
        </w:rPr>
        <w:t>How to Assess the Competitiveness and Efficiency of the Superannuation System</w:t>
      </w:r>
      <w:r w:rsidRPr="0005055D">
        <w:t>, Research Report, Canberra.</w:t>
      </w:r>
    </w:p>
    <w:p w:rsidR="00666475" w:rsidRDefault="00666475" w:rsidP="00666475">
      <w:pPr>
        <w:pStyle w:val="Heading2"/>
      </w:pPr>
      <w:bookmarkStart w:id="131" w:name="_Toc528158061"/>
      <w:bookmarkStart w:id="132" w:name="_Toc528298333"/>
      <w:r>
        <w:t>Attachment: fund survey recipients and respondents</w:t>
      </w:r>
      <w:bookmarkEnd w:id="131"/>
      <w:bookmarkEnd w:id="132"/>
    </w:p>
    <w:p w:rsidR="00666475" w:rsidRDefault="00666475" w:rsidP="00666475">
      <w:pPr>
        <w:pStyle w:val="BodyText"/>
      </w:pPr>
      <w:r>
        <w:t xml:space="preserve">Table 18 lists the funds that were asked to respond to the Commission’s supplementary funds survey and indicates which funds provided a response to the Commission. The following tables summarise survey response data on net returns by asset class (table 20) and investment management costs by asset class (table 21). </w:t>
      </w: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66475" w:rsidTr="00E1189F">
        <w:trPr>
          <w:tblHeader/>
        </w:trPr>
        <w:tc>
          <w:tcPr>
            <w:tcW w:w="5000" w:type="pct"/>
            <w:tcBorders>
              <w:top w:val="single" w:sz="6" w:space="0" w:color="78A22F"/>
              <w:left w:val="nil"/>
              <w:bottom w:val="nil"/>
              <w:right w:val="nil"/>
            </w:tcBorders>
            <w:shd w:val="clear" w:color="auto" w:fill="auto"/>
          </w:tcPr>
          <w:p w:rsidR="00666475" w:rsidRPr="00784A05" w:rsidRDefault="00666475" w:rsidP="00E1189F">
            <w:pPr>
              <w:pStyle w:val="TableTitle"/>
            </w:pPr>
            <w:r>
              <w:rPr>
                <w:b w:val="0"/>
              </w:rPr>
              <w:lastRenderedPageBreak/>
              <w:t xml:space="preserve">Table </w:t>
            </w:r>
            <w:bookmarkStart w:id="133" w:name="OLE_LINK11"/>
            <w:r>
              <w:rPr>
                <w:b w:val="0"/>
                <w:noProof/>
              </w:rPr>
              <w:t>18</w:t>
            </w:r>
            <w:bookmarkEnd w:id="133"/>
            <w:r>
              <w:tab/>
              <w:t>List of funds survey recipients and respondents</w:t>
            </w:r>
          </w:p>
        </w:tc>
      </w:tr>
      <w:tr w:rsidR="00666475" w:rsidTr="00E1189F">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400" w:firstRow="0" w:lastRow="0" w:firstColumn="0" w:lastColumn="0" w:noHBand="0" w:noVBand="1"/>
            </w:tblPr>
            <w:tblGrid>
              <w:gridCol w:w="5387"/>
              <w:gridCol w:w="1135"/>
              <w:gridCol w:w="1983"/>
            </w:tblGrid>
            <w:tr w:rsidR="00666475" w:rsidTr="00E1189F">
              <w:trPr>
                <w:tblHeader/>
              </w:trPr>
              <w:tc>
                <w:tcPr>
                  <w:tcW w:w="3167" w:type="pct"/>
                  <w:tcBorders>
                    <w:top w:val="single" w:sz="6" w:space="0" w:color="BFBFBF"/>
                    <w:bottom w:val="single" w:sz="6" w:space="0" w:color="BFBFBF"/>
                  </w:tcBorders>
                  <w:shd w:val="clear" w:color="auto" w:fill="auto"/>
                  <w:tcMar>
                    <w:top w:w="28" w:type="dxa"/>
                  </w:tcMar>
                  <w:vAlign w:val="bottom"/>
                </w:tcPr>
                <w:p w:rsidR="00666475" w:rsidRDefault="00666475" w:rsidP="00E1189F">
                  <w:pPr>
                    <w:pStyle w:val="TableColumnHeading"/>
                    <w:jc w:val="left"/>
                  </w:pPr>
                  <w:r>
                    <w:t>Name</w:t>
                  </w:r>
                </w:p>
              </w:tc>
              <w:tc>
                <w:tcPr>
                  <w:tcW w:w="667" w:type="pct"/>
                  <w:tcBorders>
                    <w:top w:val="single" w:sz="6" w:space="0" w:color="BFBFBF"/>
                    <w:bottom w:val="single" w:sz="6" w:space="0" w:color="BFBFBF"/>
                  </w:tcBorders>
                  <w:shd w:val="clear" w:color="auto" w:fill="auto"/>
                  <w:tcMar>
                    <w:top w:w="28" w:type="dxa"/>
                  </w:tcMar>
                  <w:vAlign w:val="bottom"/>
                </w:tcPr>
                <w:p w:rsidR="00666475" w:rsidRDefault="00666475" w:rsidP="00E1189F">
                  <w:pPr>
                    <w:pStyle w:val="TableColumnHeading"/>
                  </w:pPr>
                  <w:r>
                    <w:t>Initial survey</w:t>
                  </w:r>
                </w:p>
              </w:tc>
              <w:tc>
                <w:tcPr>
                  <w:tcW w:w="1166" w:type="pct"/>
                  <w:tcBorders>
                    <w:top w:val="single" w:sz="6" w:space="0" w:color="BFBFBF"/>
                    <w:bottom w:val="single" w:sz="6" w:space="0" w:color="BFBFBF"/>
                  </w:tcBorders>
                  <w:shd w:val="clear" w:color="auto" w:fill="auto"/>
                  <w:tcMar>
                    <w:top w:w="28" w:type="dxa"/>
                  </w:tcMar>
                  <w:vAlign w:val="bottom"/>
                </w:tcPr>
                <w:p w:rsidR="00666475" w:rsidRDefault="00666475" w:rsidP="00E1189F">
                  <w:pPr>
                    <w:pStyle w:val="TableColumnHeading"/>
                  </w:pPr>
                  <w:r>
                    <w:t>Supplementary survey</w:t>
                  </w:r>
                </w:p>
              </w:tc>
            </w:tr>
            <w:tr w:rsidR="00666475" w:rsidTr="00E1189F">
              <w:tc>
                <w:tcPr>
                  <w:tcW w:w="3167" w:type="pct"/>
                  <w:tcBorders>
                    <w:top w:val="single" w:sz="6" w:space="0" w:color="BFBFBF"/>
                  </w:tcBorders>
                  <w:shd w:val="clear" w:color="auto" w:fill="E0F1F7" w:themeFill="text2" w:themeFillTint="33"/>
                </w:tcPr>
                <w:p w:rsidR="00666475" w:rsidRPr="00A22BC0" w:rsidRDefault="00666475" w:rsidP="00E1189F">
                  <w:pPr>
                    <w:pStyle w:val="TableBodyText"/>
                    <w:spacing w:before="40"/>
                    <w:jc w:val="left"/>
                  </w:pPr>
                  <w:r w:rsidRPr="00A22BC0">
                    <w:t>Advance Retirement Suite</w:t>
                  </w:r>
                </w:p>
              </w:tc>
              <w:tc>
                <w:tcPr>
                  <w:tcW w:w="667" w:type="pct"/>
                  <w:tcBorders>
                    <w:top w:val="single" w:sz="6" w:space="0" w:color="BFBFBF"/>
                  </w:tcBorders>
                  <w:shd w:val="clear" w:color="auto" w:fill="E0F1F7" w:themeFill="text2" w:themeFillTint="33"/>
                </w:tcPr>
                <w:p w:rsidR="00666475" w:rsidRPr="00F109F2" w:rsidRDefault="00666475" w:rsidP="00E1189F">
                  <w:pPr>
                    <w:pStyle w:val="TableBodyText"/>
                    <w:spacing w:before="40"/>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tcBorders>
                    <w:top w:val="single" w:sz="6" w:space="0" w:color="BFBFBF"/>
                  </w:tcBorders>
                </w:tcPr>
                <w:p w:rsidR="00666475" w:rsidRPr="00F109F2" w:rsidRDefault="00666475" w:rsidP="00E1189F">
                  <w:pPr>
                    <w:pStyle w:val="TableBodyText"/>
                    <w:spacing w:before="40"/>
                    <w:jc w:val="center"/>
                    <w:rPr>
                      <w:rFonts w:ascii="Wingdings" w:hAnsi="Wingdings"/>
                      <w:b/>
                      <w:color w:val="1E6782" w:themeColor="text2" w:themeShade="80"/>
                      <w:sz w:val="20"/>
                    </w:rPr>
                  </w:pPr>
                </w:p>
              </w:tc>
            </w:tr>
            <w:tr w:rsidR="00666475" w:rsidTr="00E1189F">
              <w:tc>
                <w:tcPr>
                  <w:tcW w:w="3167" w:type="pct"/>
                  <w:shd w:val="clear" w:color="auto" w:fill="E0F1F7" w:themeFill="text2" w:themeFillTint="33"/>
                </w:tcPr>
                <w:p w:rsidR="00666475" w:rsidRPr="00A22BC0" w:rsidRDefault="00666475" w:rsidP="00E1189F">
                  <w:pPr>
                    <w:pStyle w:val="TableBodyText"/>
                    <w:jc w:val="left"/>
                  </w:pPr>
                  <w:r w:rsidRPr="00A22BC0">
                    <w:t>Alcoa of Australia Retirement Plan</w:t>
                  </w:r>
                </w:p>
              </w:tc>
              <w:tc>
                <w:tcPr>
                  <w:tcW w:w="667" w:type="pct"/>
                </w:tcPr>
                <w:p w:rsidR="00666475" w:rsidRPr="00F109F2" w:rsidRDefault="00666475" w:rsidP="00E1189F">
                  <w:pPr>
                    <w:pStyle w:val="TableBodyText"/>
                    <w:jc w:val="center"/>
                    <w:rPr>
                      <w:rFonts w:ascii="Wingdings" w:hAnsi="Wingdings"/>
                      <w:b/>
                      <w:color w:val="1E6782" w:themeColor="text2" w:themeShade="80"/>
                      <w:sz w:val="20"/>
                    </w:rPr>
                  </w:pPr>
                </w:p>
              </w:tc>
              <w:tc>
                <w:tcPr>
                  <w:tcW w:w="1166"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666475" w:rsidTr="00E1189F">
              <w:tc>
                <w:tcPr>
                  <w:tcW w:w="3167" w:type="pct"/>
                </w:tcPr>
                <w:p w:rsidR="00666475" w:rsidRPr="00A22BC0" w:rsidRDefault="00666475" w:rsidP="00E1189F">
                  <w:pPr>
                    <w:pStyle w:val="TableBodyText"/>
                    <w:jc w:val="left"/>
                  </w:pPr>
                  <w:r w:rsidRPr="00A22BC0">
                    <w:t>AMG Super</w:t>
                  </w:r>
                </w:p>
              </w:tc>
              <w:tc>
                <w:tcPr>
                  <w:tcW w:w="667" w:type="pct"/>
                </w:tcPr>
                <w:p w:rsidR="00666475" w:rsidRPr="00F109F2" w:rsidRDefault="00666475" w:rsidP="00E1189F">
                  <w:pPr>
                    <w:pStyle w:val="TableBodyText"/>
                    <w:jc w:val="center"/>
                    <w:rPr>
                      <w:rFonts w:ascii="Wingdings" w:hAnsi="Wingdings"/>
                      <w:b/>
                      <w:color w:val="1E6782" w:themeColor="text2" w:themeShade="80"/>
                      <w:sz w:val="20"/>
                    </w:rPr>
                  </w:pPr>
                </w:p>
              </w:tc>
              <w:tc>
                <w:tcPr>
                  <w:tcW w:w="1166" w:type="pct"/>
                </w:tcPr>
                <w:p w:rsidR="00666475" w:rsidRPr="00F109F2" w:rsidRDefault="00666475" w:rsidP="00E1189F">
                  <w:pPr>
                    <w:pStyle w:val="TableBodyText"/>
                    <w:jc w:val="center"/>
                    <w:rPr>
                      <w:rFonts w:ascii="Wingdings" w:hAnsi="Wingdings"/>
                      <w:b/>
                      <w:color w:val="1E6782" w:themeColor="text2" w:themeShade="80"/>
                      <w:sz w:val="20"/>
                    </w:rPr>
                  </w:pPr>
                </w:p>
              </w:tc>
            </w:tr>
            <w:tr w:rsidR="00666475" w:rsidTr="00E1189F">
              <w:tc>
                <w:tcPr>
                  <w:tcW w:w="3167" w:type="pct"/>
                  <w:shd w:val="clear" w:color="auto" w:fill="E0F1F7" w:themeFill="text2" w:themeFillTint="33"/>
                </w:tcPr>
                <w:p w:rsidR="00666475" w:rsidRPr="00A22BC0" w:rsidRDefault="00666475" w:rsidP="00E1189F">
                  <w:pPr>
                    <w:pStyle w:val="TableBodyText"/>
                    <w:jc w:val="left"/>
                  </w:pPr>
                  <w:r w:rsidRPr="00A22BC0">
                    <w:t>AMP Eligible Rollover Fund</w:t>
                  </w:r>
                </w:p>
              </w:tc>
              <w:tc>
                <w:tcPr>
                  <w:tcW w:w="667" w:type="pct"/>
                </w:tcPr>
                <w:p w:rsidR="00666475" w:rsidRPr="00F109F2" w:rsidRDefault="00666475" w:rsidP="00E1189F">
                  <w:pPr>
                    <w:pStyle w:val="TableBodyText"/>
                    <w:jc w:val="center"/>
                    <w:rPr>
                      <w:rFonts w:ascii="Wingdings" w:hAnsi="Wingdings"/>
                      <w:b/>
                      <w:color w:val="1E6782" w:themeColor="text2" w:themeShade="80"/>
                      <w:sz w:val="20"/>
                    </w:rPr>
                  </w:pPr>
                </w:p>
              </w:tc>
              <w:tc>
                <w:tcPr>
                  <w:tcW w:w="1166"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666475" w:rsidTr="00E1189F">
              <w:tc>
                <w:tcPr>
                  <w:tcW w:w="3167" w:type="pct"/>
                  <w:shd w:val="clear" w:color="auto" w:fill="E0F1F7" w:themeFill="text2" w:themeFillTint="33"/>
                </w:tcPr>
                <w:p w:rsidR="00666475" w:rsidRPr="00A22BC0" w:rsidRDefault="00666475" w:rsidP="00E1189F">
                  <w:pPr>
                    <w:pStyle w:val="TableBodyText"/>
                    <w:jc w:val="left"/>
                  </w:pPr>
                  <w:r w:rsidRPr="00A22BC0">
                    <w:t>AMP Retirement Trust</w:t>
                  </w:r>
                </w:p>
              </w:tc>
              <w:tc>
                <w:tcPr>
                  <w:tcW w:w="667"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666475" w:rsidTr="00E1189F">
              <w:tc>
                <w:tcPr>
                  <w:tcW w:w="3167" w:type="pct"/>
                  <w:shd w:val="clear" w:color="auto" w:fill="E0F1F7" w:themeFill="text2" w:themeFillTint="33"/>
                </w:tcPr>
                <w:p w:rsidR="00666475" w:rsidRPr="00A22BC0" w:rsidRDefault="00666475" w:rsidP="00E1189F">
                  <w:pPr>
                    <w:pStyle w:val="TableBodyText"/>
                    <w:jc w:val="left"/>
                  </w:pPr>
                  <w:r w:rsidRPr="00A22BC0">
                    <w:t>AMP Superannuation Savings Trust</w:t>
                  </w:r>
                  <w:r w:rsidRPr="00A577AC">
                    <w:rPr>
                      <w:rStyle w:val="NoteLabel"/>
                    </w:rPr>
                    <w:t>a</w:t>
                  </w:r>
                </w:p>
              </w:tc>
              <w:tc>
                <w:tcPr>
                  <w:tcW w:w="667"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666475" w:rsidTr="00E1189F">
              <w:tc>
                <w:tcPr>
                  <w:tcW w:w="3167" w:type="pct"/>
                  <w:shd w:val="clear" w:color="auto" w:fill="E0F1F7" w:themeFill="text2" w:themeFillTint="33"/>
                </w:tcPr>
                <w:p w:rsidR="00666475" w:rsidRPr="00A22BC0" w:rsidRDefault="00666475" w:rsidP="00E1189F">
                  <w:pPr>
                    <w:pStyle w:val="TableBodyText"/>
                    <w:jc w:val="left"/>
                  </w:pPr>
                  <w:r w:rsidRPr="00A22BC0">
                    <w:t>ANZ Australian Staff Superannuation Scheme</w:t>
                  </w:r>
                </w:p>
              </w:tc>
              <w:tc>
                <w:tcPr>
                  <w:tcW w:w="667"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666475" w:rsidTr="00E1189F">
              <w:tc>
                <w:tcPr>
                  <w:tcW w:w="3167" w:type="pct"/>
                </w:tcPr>
                <w:p w:rsidR="00666475" w:rsidRPr="00A22BC0" w:rsidRDefault="00666475" w:rsidP="00E1189F">
                  <w:pPr>
                    <w:pStyle w:val="TableBodyText"/>
                    <w:jc w:val="left"/>
                  </w:pPr>
                  <w:r w:rsidRPr="00A22BC0">
                    <w:t>Aon Eligible Rollover Fund</w:t>
                  </w:r>
                </w:p>
              </w:tc>
              <w:tc>
                <w:tcPr>
                  <w:tcW w:w="667" w:type="pct"/>
                </w:tcPr>
                <w:p w:rsidR="00666475" w:rsidRPr="00F109F2" w:rsidRDefault="00666475" w:rsidP="00E1189F">
                  <w:pPr>
                    <w:pStyle w:val="TableBodyText"/>
                    <w:jc w:val="center"/>
                    <w:rPr>
                      <w:rFonts w:ascii="Wingdings" w:hAnsi="Wingdings"/>
                      <w:b/>
                      <w:color w:val="1E6782" w:themeColor="text2" w:themeShade="80"/>
                      <w:sz w:val="20"/>
                    </w:rPr>
                  </w:pPr>
                </w:p>
              </w:tc>
              <w:tc>
                <w:tcPr>
                  <w:tcW w:w="1166" w:type="pct"/>
                </w:tcPr>
                <w:p w:rsidR="00666475" w:rsidRPr="00F109F2" w:rsidRDefault="00666475" w:rsidP="00E1189F">
                  <w:pPr>
                    <w:pStyle w:val="TableBodyText"/>
                    <w:jc w:val="center"/>
                    <w:rPr>
                      <w:rFonts w:ascii="Wingdings" w:hAnsi="Wingdings"/>
                      <w:b/>
                      <w:color w:val="1E6782" w:themeColor="text2" w:themeShade="80"/>
                      <w:sz w:val="20"/>
                    </w:rPr>
                  </w:pPr>
                </w:p>
              </w:tc>
            </w:tr>
            <w:tr w:rsidR="00666475" w:rsidTr="00E1189F">
              <w:tc>
                <w:tcPr>
                  <w:tcW w:w="3167" w:type="pct"/>
                </w:tcPr>
                <w:p w:rsidR="00666475" w:rsidRPr="00A22BC0" w:rsidRDefault="00666475" w:rsidP="00E1189F">
                  <w:pPr>
                    <w:pStyle w:val="TableBodyText"/>
                    <w:jc w:val="left"/>
                  </w:pPr>
                  <w:r w:rsidRPr="00A22BC0">
                    <w:t>AON Master Trust</w:t>
                  </w:r>
                </w:p>
              </w:tc>
              <w:tc>
                <w:tcPr>
                  <w:tcW w:w="667" w:type="pct"/>
                </w:tcPr>
                <w:p w:rsidR="00666475" w:rsidRPr="00F109F2" w:rsidRDefault="00666475" w:rsidP="00E1189F">
                  <w:pPr>
                    <w:pStyle w:val="TableBodyText"/>
                    <w:jc w:val="center"/>
                    <w:rPr>
                      <w:rFonts w:ascii="Wingdings" w:hAnsi="Wingdings"/>
                      <w:b/>
                      <w:color w:val="1E6782" w:themeColor="text2" w:themeShade="80"/>
                      <w:sz w:val="20"/>
                    </w:rPr>
                  </w:pPr>
                </w:p>
              </w:tc>
              <w:tc>
                <w:tcPr>
                  <w:tcW w:w="1166" w:type="pct"/>
                </w:tcPr>
                <w:p w:rsidR="00666475" w:rsidRPr="00F109F2" w:rsidRDefault="00666475" w:rsidP="00E1189F">
                  <w:pPr>
                    <w:pStyle w:val="TableBodyText"/>
                    <w:jc w:val="center"/>
                    <w:rPr>
                      <w:rFonts w:ascii="Wingdings" w:hAnsi="Wingdings"/>
                      <w:b/>
                      <w:color w:val="1E6782" w:themeColor="text2" w:themeShade="80"/>
                      <w:sz w:val="20"/>
                    </w:rPr>
                  </w:pPr>
                </w:p>
              </w:tc>
            </w:tr>
            <w:tr w:rsidR="00666475" w:rsidTr="00E1189F">
              <w:tc>
                <w:tcPr>
                  <w:tcW w:w="3167" w:type="pct"/>
                  <w:shd w:val="clear" w:color="auto" w:fill="E0F1F7" w:themeFill="text2" w:themeFillTint="33"/>
                </w:tcPr>
                <w:p w:rsidR="00666475" w:rsidRPr="00A22BC0" w:rsidRDefault="00666475" w:rsidP="00E1189F">
                  <w:pPr>
                    <w:pStyle w:val="TableBodyText"/>
                    <w:jc w:val="left"/>
                  </w:pPr>
                  <w:r w:rsidRPr="00A22BC0">
                    <w:t>ASGARD Independence Plan Division Two</w:t>
                  </w:r>
                  <w:r w:rsidRPr="00A577AC">
                    <w:rPr>
                      <w:rStyle w:val="NoteLabel"/>
                    </w:rPr>
                    <w:t>a</w:t>
                  </w:r>
                </w:p>
              </w:tc>
              <w:tc>
                <w:tcPr>
                  <w:tcW w:w="667"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666475" w:rsidTr="00E1189F">
              <w:tc>
                <w:tcPr>
                  <w:tcW w:w="3167" w:type="pct"/>
                  <w:shd w:val="clear" w:color="auto" w:fill="E0F1F7" w:themeFill="text2" w:themeFillTint="33"/>
                </w:tcPr>
                <w:p w:rsidR="00666475" w:rsidRPr="00A22BC0" w:rsidRDefault="00666475" w:rsidP="00E1189F">
                  <w:pPr>
                    <w:pStyle w:val="TableBodyText"/>
                    <w:jc w:val="left"/>
                  </w:pPr>
                  <w:r w:rsidRPr="00A22BC0">
                    <w:t>Australia Post Superannuation Scheme</w:t>
                  </w:r>
                </w:p>
              </w:tc>
              <w:tc>
                <w:tcPr>
                  <w:tcW w:w="667"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666475" w:rsidTr="00E1189F">
              <w:tc>
                <w:tcPr>
                  <w:tcW w:w="3167" w:type="pct"/>
                  <w:shd w:val="clear" w:color="auto" w:fill="E0F1F7" w:themeFill="text2" w:themeFillTint="33"/>
                </w:tcPr>
                <w:p w:rsidR="00666475" w:rsidRPr="00A22BC0" w:rsidRDefault="00666475" w:rsidP="00E1189F">
                  <w:pPr>
                    <w:pStyle w:val="TableBodyText"/>
                    <w:jc w:val="left"/>
                  </w:pPr>
                  <w:r w:rsidRPr="00A22BC0">
                    <w:t>Australian Catholic Superannuation and Retirement Fund</w:t>
                  </w:r>
                </w:p>
              </w:tc>
              <w:tc>
                <w:tcPr>
                  <w:tcW w:w="667"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666475" w:rsidTr="00E1189F">
              <w:tc>
                <w:tcPr>
                  <w:tcW w:w="3167" w:type="pct"/>
                </w:tcPr>
                <w:p w:rsidR="00666475" w:rsidRPr="00A22BC0" w:rsidRDefault="00666475" w:rsidP="00E1189F">
                  <w:pPr>
                    <w:pStyle w:val="TableBodyText"/>
                    <w:jc w:val="left"/>
                  </w:pPr>
                  <w:r w:rsidRPr="00A22BC0">
                    <w:t>Australian Defence Force Superannuation Scheme</w:t>
                  </w:r>
                </w:p>
              </w:tc>
              <w:tc>
                <w:tcPr>
                  <w:tcW w:w="667" w:type="pct"/>
                </w:tcPr>
                <w:p w:rsidR="00666475" w:rsidRPr="00F109F2" w:rsidRDefault="00666475" w:rsidP="00E1189F">
                  <w:pPr>
                    <w:pStyle w:val="TableBodyText"/>
                    <w:jc w:val="center"/>
                    <w:rPr>
                      <w:rFonts w:ascii="Wingdings" w:hAnsi="Wingdings"/>
                      <w:b/>
                      <w:color w:val="1E6782" w:themeColor="text2" w:themeShade="80"/>
                      <w:sz w:val="20"/>
                    </w:rPr>
                  </w:pPr>
                </w:p>
              </w:tc>
              <w:tc>
                <w:tcPr>
                  <w:tcW w:w="1166" w:type="pct"/>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666475" w:rsidTr="00E1189F">
              <w:tc>
                <w:tcPr>
                  <w:tcW w:w="3167" w:type="pct"/>
                  <w:shd w:val="clear" w:color="auto" w:fill="E0F1F7" w:themeFill="text2" w:themeFillTint="33"/>
                </w:tcPr>
                <w:p w:rsidR="00666475" w:rsidRPr="00A22BC0" w:rsidRDefault="00666475" w:rsidP="00E1189F">
                  <w:pPr>
                    <w:pStyle w:val="TableBodyText"/>
                    <w:jc w:val="left"/>
                  </w:pPr>
                  <w:r w:rsidRPr="00A22BC0">
                    <w:t>Australian Eligible Rollover Fund</w:t>
                  </w:r>
                </w:p>
              </w:tc>
              <w:tc>
                <w:tcPr>
                  <w:tcW w:w="667"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666475" w:rsidTr="00E1189F">
              <w:tc>
                <w:tcPr>
                  <w:tcW w:w="3167" w:type="pct"/>
                  <w:shd w:val="clear" w:color="auto" w:fill="E0F1F7" w:themeFill="text2" w:themeFillTint="33"/>
                </w:tcPr>
                <w:p w:rsidR="00666475" w:rsidRPr="00A22BC0" w:rsidRDefault="00666475" w:rsidP="00E1189F">
                  <w:pPr>
                    <w:pStyle w:val="TableBodyText"/>
                    <w:jc w:val="left"/>
                  </w:pPr>
                  <w:r w:rsidRPr="00A22BC0">
                    <w:t>Australian Ethical Retail Superannuation Fund</w:t>
                  </w:r>
                  <w:r w:rsidRPr="00A577AC">
                    <w:rPr>
                      <w:rStyle w:val="NoteLabel"/>
                    </w:rPr>
                    <w:t>a</w:t>
                  </w:r>
                </w:p>
              </w:tc>
              <w:tc>
                <w:tcPr>
                  <w:tcW w:w="667"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666475" w:rsidTr="00E1189F">
              <w:tc>
                <w:tcPr>
                  <w:tcW w:w="3167" w:type="pct"/>
                  <w:shd w:val="clear" w:color="auto" w:fill="E0F1F7" w:themeFill="text2" w:themeFillTint="33"/>
                </w:tcPr>
                <w:p w:rsidR="00666475" w:rsidRPr="00A22BC0" w:rsidRDefault="00666475" w:rsidP="00E1189F">
                  <w:pPr>
                    <w:pStyle w:val="TableBodyText"/>
                    <w:jc w:val="left"/>
                  </w:pPr>
                  <w:r w:rsidRPr="00A22BC0">
                    <w:t>Australian Meat Industry Superannuation Trust</w:t>
                  </w:r>
                </w:p>
              </w:tc>
              <w:tc>
                <w:tcPr>
                  <w:tcW w:w="667"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666475" w:rsidTr="00E1189F">
              <w:tc>
                <w:tcPr>
                  <w:tcW w:w="3167" w:type="pct"/>
                  <w:shd w:val="clear" w:color="auto" w:fill="E0F1F7" w:themeFill="text2" w:themeFillTint="33"/>
                </w:tcPr>
                <w:p w:rsidR="00666475" w:rsidRPr="00A22BC0" w:rsidRDefault="00666475" w:rsidP="00E1189F">
                  <w:pPr>
                    <w:pStyle w:val="TableBodyText"/>
                    <w:jc w:val="left"/>
                  </w:pPr>
                  <w:r w:rsidRPr="00A22BC0">
                    <w:t>AustralianSuper</w:t>
                  </w:r>
                </w:p>
              </w:tc>
              <w:tc>
                <w:tcPr>
                  <w:tcW w:w="667"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666475" w:rsidTr="00E1189F">
              <w:tc>
                <w:tcPr>
                  <w:tcW w:w="3167" w:type="pct"/>
                  <w:shd w:val="clear" w:color="auto" w:fill="E0F1F7" w:themeFill="text2" w:themeFillTint="33"/>
                </w:tcPr>
                <w:p w:rsidR="00666475" w:rsidRPr="00A22BC0" w:rsidRDefault="00666475" w:rsidP="00E1189F">
                  <w:pPr>
                    <w:pStyle w:val="TableBodyText"/>
                    <w:jc w:val="left"/>
                  </w:pPr>
                  <w:r w:rsidRPr="00A22BC0">
                    <w:t>Australia</w:t>
                  </w:r>
                  <w:r>
                    <w:t>’</w:t>
                  </w:r>
                  <w:r w:rsidRPr="00A22BC0">
                    <w:t>s Unclaimed Super Fund</w:t>
                  </w:r>
                  <w:r w:rsidRPr="00A577AC">
                    <w:rPr>
                      <w:rStyle w:val="NoteLabel"/>
                    </w:rPr>
                    <w:t>a</w:t>
                  </w:r>
                </w:p>
              </w:tc>
              <w:tc>
                <w:tcPr>
                  <w:tcW w:w="667"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666475" w:rsidTr="00E1189F">
              <w:tc>
                <w:tcPr>
                  <w:tcW w:w="3167" w:type="pct"/>
                  <w:shd w:val="clear" w:color="auto" w:fill="E0F1F7" w:themeFill="text2" w:themeFillTint="33"/>
                </w:tcPr>
                <w:p w:rsidR="00666475" w:rsidRPr="00A22BC0" w:rsidRDefault="00666475" w:rsidP="00E1189F">
                  <w:pPr>
                    <w:pStyle w:val="TableBodyText"/>
                    <w:jc w:val="left"/>
                  </w:pPr>
                  <w:r w:rsidRPr="00A22BC0">
                    <w:t>Austsafe Superannuation Fund</w:t>
                  </w:r>
                </w:p>
              </w:tc>
              <w:tc>
                <w:tcPr>
                  <w:tcW w:w="667"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tcPr>
                <w:p w:rsidR="00666475" w:rsidRPr="00F109F2" w:rsidRDefault="00666475" w:rsidP="00E1189F">
                  <w:pPr>
                    <w:pStyle w:val="TableBodyText"/>
                    <w:jc w:val="center"/>
                    <w:rPr>
                      <w:rFonts w:ascii="Wingdings" w:hAnsi="Wingdings"/>
                      <w:b/>
                      <w:color w:val="1E6782" w:themeColor="text2" w:themeShade="80"/>
                      <w:sz w:val="20"/>
                    </w:rPr>
                  </w:pPr>
                </w:p>
              </w:tc>
            </w:tr>
            <w:tr w:rsidR="00666475" w:rsidTr="00E1189F">
              <w:tc>
                <w:tcPr>
                  <w:tcW w:w="3167" w:type="pct"/>
                  <w:shd w:val="clear" w:color="auto" w:fill="E0F1F7" w:themeFill="text2" w:themeFillTint="33"/>
                </w:tcPr>
                <w:p w:rsidR="00666475" w:rsidRPr="00A22BC0" w:rsidRDefault="00666475" w:rsidP="00E1189F">
                  <w:pPr>
                    <w:pStyle w:val="TableBodyText"/>
                    <w:jc w:val="left"/>
                  </w:pPr>
                  <w:r w:rsidRPr="00A22BC0">
                    <w:t>Avanteos Superannuation Trust</w:t>
                  </w:r>
                </w:p>
              </w:tc>
              <w:tc>
                <w:tcPr>
                  <w:tcW w:w="667"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666475" w:rsidTr="00E1189F">
              <w:tc>
                <w:tcPr>
                  <w:tcW w:w="3167" w:type="pct"/>
                  <w:shd w:val="clear" w:color="auto" w:fill="E0F1F7" w:themeFill="text2" w:themeFillTint="33"/>
                </w:tcPr>
                <w:p w:rsidR="00666475" w:rsidRPr="00A22BC0" w:rsidRDefault="00666475" w:rsidP="00E1189F">
                  <w:pPr>
                    <w:pStyle w:val="TableBodyText"/>
                    <w:jc w:val="left"/>
                  </w:pPr>
                  <w:r w:rsidRPr="00A22BC0">
                    <w:t>AvSuper Fund</w:t>
                  </w:r>
                </w:p>
              </w:tc>
              <w:tc>
                <w:tcPr>
                  <w:tcW w:w="667"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666475" w:rsidTr="00E1189F">
              <w:tc>
                <w:tcPr>
                  <w:tcW w:w="3167" w:type="pct"/>
                  <w:shd w:val="clear" w:color="auto" w:fill="E0F1F7" w:themeFill="text2" w:themeFillTint="33"/>
                </w:tcPr>
                <w:p w:rsidR="00666475" w:rsidRPr="00A22BC0" w:rsidRDefault="00666475" w:rsidP="00E1189F">
                  <w:pPr>
                    <w:pStyle w:val="TableBodyText"/>
                    <w:jc w:val="left"/>
                  </w:pPr>
                  <w:r w:rsidRPr="00A22BC0">
                    <w:t>AvWrap Retirement Service</w:t>
                  </w:r>
                </w:p>
              </w:tc>
              <w:tc>
                <w:tcPr>
                  <w:tcW w:w="667"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666475" w:rsidTr="00E1189F">
              <w:tc>
                <w:tcPr>
                  <w:tcW w:w="3167" w:type="pct"/>
                </w:tcPr>
                <w:p w:rsidR="00666475" w:rsidRPr="00A22BC0" w:rsidRDefault="00666475" w:rsidP="00E1189F">
                  <w:pPr>
                    <w:pStyle w:val="TableBodyText"/>
                    <w:jc w:val="left"/>
                  </w:pPr>
                  <w:r w:rsidRPr="00A22BC0">
                    <w:t>Boc Gases Superannuation Fund</w:t>
                  </w:r>
                </w:p>
              </w:tc>
              <w:tc>
                <w:tcPr>
                  <w:tcW w:w="667" w:type="pct"/>
                </w:tcPr>
                <w:p w:rsidR="00666475" w:rsidRPr="00F109F2" w:rsidRDefault="00666475" w:rsidP="00E1189F">
                  <w:pPr>
                    <w:pStyle w:val="TableBodyText"/>
                    <w:jc w:val="center"/>
                    <w:rPr>
                      <w:rFonts w:ascii="Wingdings" w:hAnsi="Wingdings"/>
                      <w:b/>
                      <w:color w:val="1E6782" w:themeColor="text2" w:themeShade="80"/>
                      <w:sz w:val="20"/>
                    </w:rPr>
                  </w:pPr>
                </w:p>
              </w:tc>
              <w:tc>
                <w:tcPr>
                  <w:tcW w:w="1166" w:type="pct"/>
                </w:tcPr>
                <w:p w:rsidR="00666475" w:rsidRPr="00F109F2" w:rsidRDefault="00666475" w:rsidP="00E1189F">
                  <w:pPr>
                    <w:pStyle w:val="TableBodyText"/>
                    <w:jc w:val="center"/>
                    <w:rPr>
                      <w:rFonts w:ascii="Wingdings" w:hAnsi="Wingdings"/>
                      <w:b/>
                      <w:color w:val="1E6782" w:themeColor="text2" w:themeShade="80"/>
                      <w:sz w:val="20"/>
                    </w:rPr>
                  </w:pPr>
                </w:p>
              </w:tc>
            </w:tr>
            <w:tr w:rsidR="00666475" w:rsidTr="00E1189F">
              <w:tc>
                <w:tcPr>
                  <w:tcW w:w="3167" w:type="pct"/>
                  <w:shd w:val="clear" w:color="auto" w:fill="E0F1F7" w:themeFill="text2" w:themeFillTint="33"/>
                </w:tcPr>
                <w:p w:rsidR="00666475" w:rsidRPr="00A22BC0" w:rsidRDefault="00666475" w:rsidP="00E1189F">
                  <w:pPr>
                    <w:pStyle w:val="TableBodyText"/>
                    <w:jc w:val="left"/>
                  </w:pPr>
                  <w:r w:rsidRPr="00A22BC0">
                    <w:t>BT Classic Lifetime</w:t>
                  </w:r>
                </w:p>
              </w:tc>
              <w:tc>
                <w:tcPr>
                  <w:tcW w:w="667"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tcPr>
                <w:p w:rsidR="00666475" w:rsidRPr="00F109F2" w:rsidRDefault="00666475" w:rsidP="00E1189F">
                  <w:pPr>
                    <w:pStyle w:val="TableBodyText"/>
                    <w:jc w:val="center"/>
                    <w:rPr>
                      <w:rFonts w:ascii="Wingdings" w:hAnsi="Wingdings"/>
                      <w:b/>
                      <w:color w:val="1E6782" w:themeColor="text2" w:themeShade="80"/>
                      <w:sz w:val="20"/>
                    </w:rPr>
                  </w:pPr>
                </w:p>
              </w:tc>
            </w:tr>
            <w:tr w:rsidR="00666475" w:rsidTr="00E1189F">
              <w:tc>
                <w:tcPr>
                  <w:tcW w:w="3167" w:type="pct"/>
                  <w:shd w:val="clear" w:color="auto" w:fill="E0F1F7" w:themeFill="text2" w:themeFillTint="33"/>
                </w:tcPr>
                <w:p w:rsidR="00666475" w:rsidRPr="00A22BC0" w:rsidRDefault="00666475" w:rsidP="00E1189F">
                  <w:pPr>
                    <w:pStyle w:val="TableBodyText"/>
                    <w:jc w:val="left"/>
                  </w:pPr>
                  <w:r w:rsidRPr="00A22BC0">
                    <w:t>BT Lifetime Super</w:t>
                  </w:r>
                </w:p>
              </w:tc>
              <w:tc>
                <w:tcPr>
                  <w:tcW w:w="667"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tcPr>
                <w:p w:rsidR="00666475" w:rsidRPr="00F109F2" w:rsidRDefault="00666475" w:rsidP="00E1189F">
                  <w:pPr>
                    <w:pStyle w:val="TableBodyText"/>
                    <w:jc w:val="center"/>
                    <w:rPr>
                      <w:rFonts w:ascii="Wingdings" w:hAnsi="Wingdings"/>
                      <w:b/>
                      <w:color w:val="1E6782" w:themeColor="text2" w:themeShade="80"/>
                      <w:sz w:val="20"/>
                    </w:rPr>
                  </w:pPr>
                </w:p>
              </w:tc>
            </w:tr>
            <w:tr w:rsidR="00666475" w:rsidTr="00E1189F">
              <w:tc>
                <w:tcPr>
                  <w:tcW w:w="3167" w:type="pct"/>
                  <w:shd w:val="clear" w:color="auto" w:fill="E0F1F7" w:themeFill="text2" w:themeFillTint="33"/>
                </w:tcPr>
                <w:p w:rsidR="00666475" w:rsidRPr="00A22BC0" w:rsidRDefault="00666475" w:rsidP="00E1189F">
                  <w:pPr>
                    <w:pStyle w:val="TableBodyText"/>
                    <w:jc w:val="left"/>
                  </w:pPr>
                  <w:r w:rsidRPr="00A22BC0">
                    <w:t>Building Unions Superannuation Scheme (Queensland)</w:t>
                  </w:r>
                </w:p>
              </w:tc>
              <w:tc>
                <w:tcPr>
                  <w:tcW w:w="667"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666475" w:rsidTr="00E1189F">
              <w:tc>
                <w:tcPr>
                  <w:tcW w:w="3167" w:type="pct"/>
                  <w:shd w:val="clear" w:color="auto" w:fill="E0F1F7" w:themeFill="text2" w:themeFillTint="33"/>
                </w:tcPr>
                <w:p w:rsidR="00666475" w:rsidRPr="00A22BC0" w:rsidRDefault="00666475" w:rsidP="00E1189F">
                  <w:pPr>
                    <w:pStyle w:val="TableBodyText"/>
                    <w:jc w:val="left"/>
                  </w:pPr>
                  <w:r w:rsidRPr="00A22BC0">
                    <w:t>Care Super</w:t>
                  </w:r>
                </w:p>
              </w:tc>
              <w:tc>
                <w:tcPr>
                  <w:tcW w:w="667"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666475" w:rsidTr="00E1189F">
              <w:tc>
                <w:tcPr>
                  <w:tcW w:w="3167" w:type="pct"/>
                  <w:shd w:val="clear" w:color="auto" w:fill="E0F1F7" w:themeFill="text2" w:themeFillTint="33"/>
                </w:tcPr>
                <w:p w:rsidR="00666475" w:rsidRPr="00A22BC0" w:rsidRDefault="00666475" w:rsidP="00E1189F">
                  <w:pPr>
                    <w:pStyle w:val="TableBodyText"/>
                    <w:jc w:val="left"/>
                  </w:pPr>
                  <w:r w:rsidRPr="00A22BC0">
                    <w:t>CBH Superannuation Fund</w:t>
                  </w:r>
                </w:p>
              </w:tc>
              <w:tc>
                <w:tcPr>
                  <w:tcW w:w="667"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666475" w:rsidTr="00E1189F">
              <w:tc>
                <w:tcPr>
                  <w:tcW w:w="3167" w:type="pct"/>
                  <w:shd w:val="clear" w:color="auto" w:fill="E0F1F7" w:themeFill="text2" w:themeFillTint="33"/>
                </w:tcPr>
                <w:p w:rsidR="00666475" w:rsidRPr="00A22BC0" w:rsidRDefault="00666475" w:rsidP="00E1189F">
                  <w:pPr>
                    <w:pStyle w:val="TableBodyText"/>
                    <w:jc w:val="left"/>
                  </w:pPr>
                  <w:r w:rsidRPr="00A22BC0">
                    <w:t>Challenger Retirement Fund</w:t>
                  </w:r>
                </w:p>
              </w:tc>
              <w:tc>
                <w:tcPr>
                  <w:tcW w:w="667"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tcPr>
                <w:p w:rsidR="00666475" w:rsidRPr="00F109F2" w:rsidRDefault="00666475" w:rsidP="00E1189F">
                  <w:pPr>
                    <w:pStyle w:val="TableBodyText"/>
                    <w:jc w:val="center"/>
                    <w:rPr>
                      <w:rFonts w:ascii="Wingdings" w:hAnsi="Wingdings"/>
                      <w:b/>
                      <w:color w:val="1E6782" w:themeColor="text2" w:themeShade="80"/>
                      <w:sz w:val="20"/>
                    </w:rPr>
                  </w:pPr>
                </w:p>
              </w:tc>
            </w:tr>
            <w:tr w:rsidR="00666475" w:rsidTr="00E1189F">
              <w:tc>
                <w:tcPr>
                  <w:tcW w:w="3167" w:type="pct"/>
                  <w:shd w:val="clear" w:color="auto" w:fill="E0F1F7" w:themeFill="text2" w:themeFillTint="33"/>
                </w:tcPr>
                <w:p w:rsidR="00666475" w:rsidRPr="00A22BC0" w:rsidRDefault="00666475" w:rsidP="00E1189F">
                  <w:pPr>
                    <w:pStyle w:val="TableBodyText"/>
                    <w:jc w:val="left"/>
                  </w:pPr>
                  <w:r w:rsidRPr="00A22BC0">
                    <w:t>Christian Super</w:t>
                  </w:r>
                </w:p>
              </w:tc>
              <w:tc>
                <w:tcPr>
                  <w:tcW w:w="667"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666475" w:rsidTr="00E1189F">
              <w:tc>
                <w:tcPr>
                  <w:tcW w:w="3167" w:type="pct"/>
                  <w:shd w:val="clear" w:color="auto" w:fill="E0F1F7" w:themeFill="text2" w:themeFillTint="33"/>
                </w:tcPr>
                <w:p w:rsidR="00666475" w:rsidRPr="00A22BC0" w:rsidRDefault="00666475" w:rsidP="00E1189F">
                  <w:pPr>
                    <w:pStyle w:val="TableBodyText"/>
                    <w:jc w:val="left"/>
                  </w:pPr>
                  <w:r w:rsidRPr="00A22BC0">
                    <w:t>Citibank Australia Staff Superannuation Fund</w:t>
                  </w:r>
                </w:p>
              </w:tc>
              <w:tc>
                <w:tcPr>
                  <w:tcW w:w="667"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tcPr>
                <w:p w:rsidR="00666475" w:rsidRPr="00F109F2" w:rsidRDefault="00666475" w:rsidP="00E1189F">
                  <w:pPr>
                    <w:pStyle w:val="TableBodyText"/>
                    <w:jc w:val="center"/>
                    <w:rPr>
                      <w:rFonts w:ascii="Wingdings" w:hAnsi="Wingdings"/>
                      <w:b/>
                      <w:color w:val="1E6782" w:themeColor="text2" w:themeShade="80"/>
                      <w:sz w:val="20"/>
                    </w:rPr>
                  </w:pPr>
                </w:p>
              </w:tc>
            </w:tr>
            <w:tr w:rsidR="00666475" w:rsidTr="00E1189F">
              <w:tc>
                <w:tcPr>
                  <w:tcW w:w="3167" w:type="pct"/>
                  <w:shd w:val="clear" w:color="auto" w:fill="E0F1F7" w:themeFill="text2" w:themeFillTint="33"/>
                </w:tcPr>
                <w:p w:rsidR="00666475" w:rsidRPr="00A22BC0" w:rsidRDefault="00666475" w:rsidP="00E1189F">
                  <w:pPr>
                    <w:pStyle w:val="TableBodyText"/>
                    <w:jc w:val="left"/>
                  </w:pPr>
                  <w:r w:rsidRPr="00A22BC0">
                    <w:t>ClearView Retirement Plan</w:t>
                  </w:r>
                </w:p>
              </w:tc>
              <w:tc>
                <w:tcPr>
                  <w:tcW w:w="667"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666475" w:rsidTr="00E1189F">
              <w:tc>
                <w:tcPr>
                  <w:tcW w:w="3167" w:type="pct"/>
                  <w:shd w:val="clear" w:color="auto" w:fill="E0F1F7" w:themeFill="text2" w:themeFillTint="33"/>
                </w:tcPr>
                <w:p w:rsidR="00666475" w:rsidRPr="00A22BC0" w:rsidRDefault="00666475" w:rsidP="00E1189F">
                  <w:pPr>
                    <w:pStyle w:val="TableBodyText"/>
                    <w:jc w:val="left"/>
                  </w:pPr>
                  <w:r w:rsidRPr="00A22BC0">
                    <w:t>Club Plus Superannuation Scheme</w:t>
                  </w:r>
                </w:p>
              </w:tc>
              <w:tc>
                <w:tcPr>
                  <w:tcW w:w="667"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666475" w:rsidTr="00E1189F">
              <w:tc>
                <w:tcPr>
                  <w:tcW w:w="3167" w:type="pct"/>
                  <w:shd w:val="clear" w:color="auto" w:fill="E0F1F7" w:themeFill="text2" w:themeFillTint="33"/>
                </w:tcPr>
                <w:p w:rsidR="00666475" w:rsidRPr="00A22BC0" w:rsidRDefault="00666475" w:rsidP="00E1189F">
                  <w:pPr>
                    <w:pStyle w:val="TableBodyText"/>
                    <w:jc w:val="left"/>
                  </w:pPr>
                  <w:r w:rsidRPr="00A22BC0">
                    <w:t>Club Super</w:t>
                  </w:r>
                </w:p>
              </w:tc>
              <w:tc>
                <w:tcPr>
                  <w:tcW w:w="667"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tcPr>
                <w:p w:rsidR="00666475" w:rsidRPr="00F109F2" w:rsidRDefault="00666475" w:rsidP="00E1189F">
                  <w:pPr>
                    <w:pStyle w:val="TableBodyText"/>
                    <w:jc w:val="center"/>
                    <w:rPr>
                      <w:rFonts w:ascii="Wingdings" w:hAnsi="Wingdings"/>
                      <w:b/>
                      <w:color w:val="1E6782" w:themeColor="text2" w:themeShade="80"/>
                      <w:sz w:val="20"/>
                    </w:rPr>
                  </w:pPr>
                </w:p>
              </w:tc>
            </w:tr>
            <w:tr w:rsidR="00666475" w:rsidTr="00E1189F">
              <w:tc>
                <w:tcPr>
                  <w:tcW w:w="3167" w:type="pct"/>
                  <w:shd w:val="clear" w:color="auto" w:fill="E0F1F7" w:themeFill="text2" w:themeFillTint="33"/>
                </w:tcPr>
                <w:p w:rsidR="00666475" w:rsidRPr="00A22BC0" w:rsidRDefault="00666475" w:rsidP="00E1189F">
                  <w:pPr>
                    <w:pStyle w:val="TableBodyText"/>
                    <w:jc w:val="left"/>
                  </w:pPr>
                  <w:r w:rsidRPr="00A22BC0">
                    <w:t>Colonial First State FirstChoice Superannuation Trust</w:t>
                  </w:r>
                </w:p>
              </w:tc>
              <w:tc>
                <w:tcPr>
                  <w:tcW w:w="667"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666475" w:rsidTr="00E1189F">
              <w:tc>
                <w:tcPr>
                  <w:tcW w:w="3167" w:type="pct"/>
                  <w:shd w:val="clear" w:color="auto" w:fill="E0F1F7" w:themeFill="text2" w:themeFillTint="33"/>
                </w:tcPr>
                <w:p w:rsidR="00666475" w:rsidRPr="00A22BC0" w:rsidRDefault="00666475" w:rsidP="00E1189F">
                  <w:pPr>
                    <w:pStyle w:val="TableBodyText"/>
                    <w:jc w:val="left"/>
                  </w:pPr>
                  <w:r w:rsidRPr="00A22BC0">
                    <w:t>Colonial First State Rollover &amp; Superannuation Fund</w:t>
                  </w:r>
                </w:p>
              </w:tc>
              <w:tc>
                <w:tcPr>
                  <w:tcW w:w="667"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666475" w:rsidTr="00E1189F">
              <w:tc>
                <w:tcPr>
                  <w:tcW w:w="3167" w:type="pct"/>
                  <w:shd w:val="clear" w:color="auto" w:fill="E0F1F7" w:themeFill="text2" w:themeFillTint="33"/>
                </w:tcPr>
                <w:p w:rsidR="00666475" w:rsidRPr="00A22BC0" w:rsidRDefault="00666475" w:rsidP="00E1189F">
                  <w:pPr>
                    <w:pStyle w:val="TableBodyText"/>
                    <w:jc w:val="left"/>
                  </w:pPr>
                  <w:r w:rsidRPr="00A22BC0">
                    <w:t>Colonial Super Retirement Fund</w:t>
                  </w:r>
                </w:p>
              </w:tc>
              <w:tc>
                <w:tcPr>
                  <w:tcW w:w="667"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666475" w:rsidTr="00E1189F">
              <w:tc>
                <w:tcPr>
                  <w:tcW w:w="3167" w:type="pct"/>
                  <w:shd w:val="clear" w:color="auto" w:fill="E0F1F7" w:themeFill="text2" w:themeFillTint="33"/>
                </w:tcPr>
                <w:p w:rsidR="00666475" w:rsidRPr="00A22BC0" w:rsidRDefault="00666475" w:rsidP="00E1189F">
                  <w:pPr>
                    <w:pStyle w:val="TableBodyText"/>
                    <w:jc w:val="left"/>
                  </w:pPr>
                  <w:r w:rsidRPr="00A22BC0">
                    <w:t>Combined Super Fund</w:t>
                  </w:r>
                </w:p>
              </w:tc>
              <w:tc>
                <w:tcPr>
                  <w:tcW w:w="667"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shd w:val="clear" w:color="auto" w:fill="E0F1F7" w:themeFill="text2" w:themeFillTint="33"/>
                </w:tcPr>
                <w:p w:rsidR="00666475" w:rsidRPr="00F109F2" w:rsidRDefault="00666475" w:rsidP="00E1189F">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bl>
          <w:p w:rsidR="00666475" w:rsidRDefault="00666475" w:rsidP="00E1189F">
            <w:pPr>
              <w:pStyle w:val="Box"/>
            </w:pPr>
          </w:p>
        </w:tc>
      </w:tr>
      <w:tr w:rsidR="00666475" w:rsidTr="00E1189F">
        <w:tc>
          <w:tcPr>
            <w:tcW w:w="5000" w:type="pct"/>
            <w:tcBorders>
              <w:top w:val="nil"/>
              <w:left w:val="nil"/>
              <w:bottom w:val="nil"/>
              <w:right w:val="nil"/>
            </w:tcBorders>
            <w:shd w:val="clear" w:color="auto" w:fill="auto"/>
          </w:tcPr>
          <w:p w:rsidR="00666475" w:rsidRDefault="00666475" w:rsidP="00E1189F">
            <w:pPr>
              <w:pStyle w:val="Note"/>
              <w:rPr>
                <w:i/>
              </w:rPr>
            </w:pPr>
            <w:r w:rsidRPr="008E77FE">
              <w:rPr>
                <w:rStyle w:val="NoteLabel"/>
              </w:rPr>
              <w:t>a</w:t>
            </w:r>
            <w:r>
              <w:t xml:space="preserve"> These funds submitted supplementary survey data after subsequent requests from the PC.</w:t>
            </w:r>
          </w:p>
        </w:tc>
      </w:tr>
      <w:tr w:rsidR="00666475" w:rsidTr="00E1189F">
        <w:tc>
          <w:tcPr>
            <w:tcW w:w="5000" w:type="pct"/>
            <w:tcBorders>
              <w:top w:val="nil"/>
              <w:left w:val="nil"/>
              <w:bottom w:val="nil"/>
              <w:right w:val="nil"/>
            </w:tcBorders>
            <w:shd w:val="clear" w:color="auto" w:fill="auto"/>
          </w:tcPr>
          <w:p w:rsidR="00666475" w:rsidRDefault="00666475" w:rsidP="00E1189F">
            <w:pPr>
              <w:pStyle w:val="Continued"/>
            </w:pPr>
            <w:r>
              <w:t>(continued next page)</w:t>
            </w:r>
          </w:p>
        </w:tc>
      </w:tr>
      <w:tr w:rsidR="00666475" w:rsidTr="00E1189F">
        <w:tc>
          <w:tcPr>
            <w:tcW w:w="5000" w:type="pct"/>
            <w:tcBorders>
              <w:top w:val="nil"/>
              <w:left w:val="nil"/>
              <w:bottom w:val="single" w:sz="6" w:space="0" w:color="78A22F"/>
              <w:right w:val="nil"/>
            </w:tcBorders>
            <w:shd w:val="clear" w:color="auto" w:fill="auto"/>
          </w:tcPr>
          <w:p w:rsidR="00666475" w:rsidRDefault="00666475" w:rsidP="00E1189F">
            <w:pPr>
              <w:pStyle w:val="Box"/>
              <w:spacing w:before="0" w:line="120" w:lineRule="exact"/>
            </w:pPr>
          </w:p>
        </w:tc>
      </w:tr>
      <w:tr w:rsidR="00666475" w:rsidRPr="000863A5" w:rsidTr="00E1189F">
        <w:tc>
          <w:tcPr>
            <w:tcW w:w="5000" w:type="pct"/>
            <w:tcBorders>
              <w:top w:val="single" w:sz="6" w:space="0" w:color="78A22F"/>
              <w:left w:val="nil"/>
              <w:bottom w:val="nil"/>
              <w:right w:val="nil"/>
            </w:tcBorders>
          </w:tcPr>
          <w:p w:rsidR="00666475" w:rsidRPr="00626D32" w:rsidRDefault="00666475" w:rsidP="00E1189F">
            <w:pPr>
              <w:pStyle w:val="BoxSpaceBelow"/>
            </w:pPr>
          </w:p>
        </w:tc>
      </w:tr>
    </w:tbl>
    <w:p w:rsidR="00666475" w:rsidRDefault="00666475" w:rsidP="0066647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66475" w:rsidTr="00E1189F">
        <w:trPr>
          <w:tblHeader/>
        </w:trPr>
        <w:tc>
          <w:tcPr>
            <w:tcW w:w="5000" w:type="pct"/>
            <w:tcBorders>
              <w:top w:val="single" w:sz="6" w:space="0" w:color="78A22F"/>
              <w:left w:val="nil"/>
              <w:bottom w:val="nil"/>
              <w:right w:val="nil"/>
            </w:tcBorders>
            <w:shd w:val="clear" w:color="auto" w:fill="auto"/>
          </w:tcPr>
          <w:p w:rsidR="00666475" w:rsidRPr="00784A05" w:rsidRDefault="00666475" w:rsidP="00E1189F">
            <w:pPr>
              <w:pStyle w:val="TableTitle"/>
            </w:pPr>
            <w:r>
              <w:rPr>
                <w:b w:val="0"/>
              </w:rPr>
              <w:t xml:space="preserve">Table </w:t>
            </w:r>
            <w:r w:rsidRPr="008D1D68">
              <w:rPr>
                <w:b w:val="0"/>
              </w:rPr>
              <w:t>18</w:t>
            </w:r>
            <w:r>
              <w:tab/>
            </w:r>
            <w:r w:rsidRPr="00DB36B6">
              <w:rPr>
                <w:b w:val="0"/>
                <w:sz w:val="18"/>
                <w:szCs w:val="18"/>
              </w:rPr>
              <w:t>(continued)</w:t>
            </w:r>
          </w:p>
        </w:tc>
      </w:tr>
      <w:tr w:rsidR="00666475" w:rsidTr="00E1189F">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103"/>
              <w:gridCol w:w="1419"/>
              <w:gridCol w:w="1983"/>
            </w:tblGrid>
            <w:tr w:rsidR="00666475" w:rsidTr="00E1189F">
              <w:trPr>
                <w:tblHeader/>
              </w:trPr>
              <w:tc>
                <w:tcPr>
                  <w:tcW w:w="3000" w:type="pct"/>
                  <w:tcBorders>
                    <w:top w:val="single" w:sz="6" w:space="0" w:color="BFBFBF"/>
                    <w:bottom w:val="single" w:sz="6" w:space="0" w:color="BFBFBF"/>
                  </w:tcBorders>
                  <w:shd w:val="clear" w:color="auto" w:fill="auto"/>
                  <w:tcMar>
                    <w:top w:w="28" w:type="dxa"/>
                  </w:tcMar>
                </w:tcPr>
                <w:p w:rsidR="00666475" w:rsidRDefault="00666475" w:rsidP="00E1189F">
                  <w:pPr>
                    <w:pStyle w:val="TableColumnHeading"/>
                    <w:jc w:val="left"/>
                  </w:pPr>
                  <w:r>
                    <w:t>Name</w:t>
                  </w:r>
                </w:p>
              </w:tc>
              <w:tc>
                <w:tcPr>
                  <w:tcW w:w="834" w:type="pct"/>
                  <w:tcBorders>
                    <w:top w:val="single" w:sz="6" w:space="0" w:color="BFBFBF"/>
                    <w:bottom w:val="single" w:sz="6" w:space="0" w:color="BFBFBF"/>
                  </w:tcBorders>
                  <w:shd w:val="clear" w:color="auto" w:fill="auto"/>
                  <w:tcMar>
                    <w:top w:w="28" w:type="dxa"/>
                  </w:tcMar>
                </w:tcPr>
                <w:p w:rsidR="00666475" w:rsidRDefault="00666475" w:rsidP="00E1189F">
                  <w:pPr>
                    <w:pStyle w:val="TableColumnHeading"/>
                  </w:pPr>
                  <w:r>
                    <w:t>Initial survey</w:t>
                  </w:r>
                </w:p>
              </w:tc>
              <w:tc>
                <w:tcPr>
                  <w:tcW w:w="1166" w:type="pct"/>
                  <w:tcBorders>
                    <w:top w:val="single" w:sz="6" w:space="0" w:color="BFBFBF"/>
                    <w:bottom w:val="single" w:sz="6" w:space="0" w:color="BFBFBF"/>
                  </w:tcBorders>
                  <w:shd w:val="clear" w:color="auto" w:fill="auto"/>
                  <w:tcMar>
                    <w:top w:w="28" w:type="dxa"/>
                  </w:tcMar>
                </w:tcPr>
                <w:p w:rsidR="00666475" w:rsidRDefault="00666475" w:rsidP="00E1189F">
                  <w:pPr>
                    <w:pStyle w:val="TableColumnHeading"/>
                  </w:pPr>
                  <w:r>
                    <w:t>Supplementary survey</w:t>
                  </w:r>
                </w:p>
              </w:tc>
            </w:tr>
            <w:tr w:rsidR="00666475" w:rsidTr="00E1189F">
              <w:tc>
                <w:tcPr>
                  <w:tcW w:w="3000" w:type="pct"/>
                  <w:tcBorders>
                    <w:top w:val="single" w:sz="6" w:space="0" w:color="BFBFBF"/>
                  </w:tcBorders>
                  <w:shd w:val="clear" w:color="auto" w:fill="E0F1F7" w:themeFill="text2" w:themeFillTint="33"/>
                </w:tcPr>
                <w:p w:rsidR="00666475" w:rsidRDefault="00666475" w:rsidP="00E1189F">
                  <w:pPr>
                    <w:pStyle w:val="TableBodyText"/>
                    <w:spacing w:before="40"/>
                    <w:jc w:val="left"/>
                  </w:pPr>
                  <w:r w:rsidRPr="00A22BC0">
                    <w:t>CommInsure Corporate Insurance Superannuation Trust</w:t>
                  </w:r>
                </w:p>
              </w:tc>
              <w:tc>
                <w:tcPr>
                  <w:tcW w:w="834" w:type="pct"/>
                  <w:tcBorders>
                    <w:top w:val="single" w:sz="6" w:space="0" w:color="BFBFBF"/>
                  </w:tcBorders>
                  <w:shd w:val="clear" w:color="auto" w:fill="FFFFFF" w:themeFill="background1"/>
                </w:tcPr>
                <w:p w:rsidR="00666475" w:rsidRPr="00636991" w:rsidRDefault="00666475" w:rsidP="00E1189F">
                  <w:pPr>
                    <w:pStyle w:val="TableBodyText"/>
                    <w:spacing w:before="40"/>
                    <w:jc w:val="center"/>
                    <w:rPr>
                      <w:rFonts w:ascii="Wingdings" w:hAnsi="Wingdings"/>
                      <w:b/>
                      <w:color w:val="1E6782" w:themeColor="text2" w:themeShade="80"/>
                    </w:rPr>
                  </w:pPr>
                </w:p>
              </w:tc>
              <w:tc>
                <w:tcPr>
                  <w:tcW w:w="1166" w:type="pct"/>
                  <w:tcBorders>
                    <w:top w:val="single" w:sz="6" w:space="0" w:color="BFBFBF"/>
                  </w:tcBorders>
                  <w:shd w:val="clear" w:color="auto" w:fill="E0F1F7" w:themeFill="text2" w:themeFillTint="33"/>
                </w:tcPr>
                <w:p w:rsidR="00666475" w:rsidRPr="00636991" w:rsidRDefault="00666475" w:rsidP="00E1189F">
                  <w:pPr>
                    <w:pStyle w:val="TableBodyText"/>
                    <w:spacing w:before="40"/>
                    <w:jc w:val="center"/>
                    <w:rPr>
                      <w:rFonts w:ascii="Wingdings" w:hAnsi="Wingdings"/>
                      <w:b/>
                      <w:color w:val="1E6782" w:themeColor="text2" w:themeShade="80"/>
                    </w:rPr>
                  </w:pPr>
                  <w:r w:rsidRPr="00636991">
                    <w:rPr>
                      <w:rFonts w:ascii="Wingdings" w:hAnsi="Wingdings"/>
                      <w:b/>
                      <w:color w:val="1E6782" w:themeColor="text2" w:themeShade="80"/>
                      <w:sz w:val="20"/>
                    </w:rPr>
                    <w:t></w:t>
                  </w:r>
                </w:p>
              </w:tc>
            </w:tr>
            <w:tr w:rsidR="00666475" w:rsidTr="00E1189F">
              <w:tc>
                <w:tcPr>
                  <w:tcW w:w="3000" w:type="pct"/>
                  <w:shd w:val="clear" w:color="auto" w:fill="E0F1F7" w:themeFill="text2" w:themeFillTint="33"/>
                  <w:vAlign w:val="bottom"/>
                </w:tcPr>
                <w:p w:rsidR="00666475" w:rsidRDefault="00666475" w:rsidP="00E1189F">
                  <w:pPr>
                    <w:pStyle w:val="TableBodyText"/>
                    <w:jc w:val="left"/>
                  </w:pPr>
                  <w:r>
                    <w:t>Commonwealth Bank Approved Deposit Fund</w:t>
                  </w:r>
                </w:p>
              </w:tc>
              <w:tc>
                <w:tcPr>
                  <w:tcW w:w="834" w:type="pct"/>
                  <w:shd w:val="clear" w:color="auto" w:fill="E0F1F7" w:themeFill="text2" w:themeFillTint="33"/>
                  <w:vAlign w:val="bottom"/>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166" w:type="pct"/>
                  <w:shd w:val="clear" w:color="auto" w:fill="FFFFFF" w:themeFill="background1"/>
                  <w:vAlign w:val="bottom"/>
                </w:tcPr>
                <w:p w:rsidR="00666475" w:rsidRPr="00636991" w:rsidRDefault="00666475" w:rsidP="00E1189F">
                  <w:pPr>
                    <w:pStyle w:val="TableBodyText"/>
                    <w:jc w:val="center"/>
                    <w:rPr>
                      <w:rFonts w:ascii="Wingdings" w:hAnsi="Wingdings"/>
                      <w:b/>
                      <w:color w:val="1E6782" w:themeColor="text2" w:themeShade="80"/>
                    </w:rPr>
                  </w:pPr>
                </w:p>
              </w:tc>
            </w:tr>
            <w:tr w:rsidR="00666475" w:rsidTr="00E1189F">
              <w:tc>
                <w:tcPr>
                  <w:tcW w:w="3000" w:type="pct"/>
                  <w:shd w:val="clear" w:color="auto" w:fill="E0F1F7" w:themeFill="text2" w:themeFillTint="33"/>
                  <w:vAlign w:val="bottom"/>
                </w:tcPr>
                <w:p w:rsidR="00666475" w:rsidRDefault="00666475" w:rsidP="00E1189F">
                  <w:pPr>
                    <w:pStyle w:val="TableBodyText"/>
                    <w:jc w:val="left"/>
                  </w:pPr>
                  <w:r>
                    <w:t>Commonwealth Bank Group Super</w:t>
                  </w:r>
                </w:p>
              </w:tc>
              <w:tc>
                <w:tcPr>
                  <w:tcW w:w="834" w:type="pct"/>
                  <w:shd w:val="clear" w:color="auto" w:fill="E0F1F7" w:themeFill="text2" w:themeFillTint="33"/>
                  <w:vAlign w:val="bottom"/>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166" w:type="pct"/>
                  <w:shd w:val="clear" w:color="auto" w:fill="E0F1F7" w:themeFill="text2" w:themeFillTint="33"/>
                  <w:vAlign w:val="bottom"/>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3000" w:type="pct"/>
                  <w:shd w:val="clear" w:color="auto" w:fill="E0F1F7" w:themeFill="text2" w:themeFillTint="33"/>
                  <w:vAlign w:val="bottom"/>
                </w:tcPr>
                <w:p w:rsidR="00666475" w:rsidRDefault="00666475" w:rsidP="00E1189F">
                  <w:pPr>
                    <w:pStyle w:val="TableBodyText"/>
                    <w:jc w:val="left"/>
                  </w:pPr>
                  <w:r>
                    <w:t>Commonwealth Essential Super</w:t>
                  </w:r>
                </w:p>
              </w:tc>
              <w:tc>
                <w:tcPr>
                  <w:tcW w:w="834" w:type="pct"/>
                  <w:shd w:val="clear" w:color="auto" w:fill="E0F1F7" w:themeFill="text2" w:themeFillTint="33"/>
                  <w:vAlign w:val="bottom"/>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166" w:type="pct"/>
                  <w:shd w:val="clear" w:color="auto" w:fill="E0F1F7" w:themeFill="text2" w:themeFillTint="33"/>
                  <w:vAlign w:val="bottom"/>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3000" w:type="pct"/>
                  <w:shd w:val="clear" w:color="auto" w:fill="E0F1F7" w:themeFill="text2" w:themeFillTint="33"/>
                  <w:vAlign w:val="bottom"/>
                </w:tcPr>
                <w:p w:rsidR="00666475" w:rsidRDefault="00666475" w:rsidP="00E1189F">
                  <w:pPr>
                    <w:pStyle w:val="TableBodyText"/>
                    <w:jc w:val="left"/>
                  </w:pPr>
                  <w:r>
                    <w:t>Construction &amp; Building Unions Superannuation</w:t>
                  </w:r>
                </w:p>
              </w:tc>
              <w:tc>
                <w:tcPr>
                  <w:tcW w:w="834" w:type="pct"/>
                  <w:shd w:val="clear" w:color="auto" w:fill="E0F1F7" w:themeFill="text2" w:themeFillTint="33"/>
                  <w:vAlign w:val="bottom"/>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166" w:type="pct"/>
                  <w:shd w:val="clear" w:color="auto" w:fill="E0F1F7" w:themeFill="text2" w:themeFillTint="33"/>
                  <w:vAlign w:val="bottom"/>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3000" w:type="pct"/>
                  <w:shd w:val="clear" w:color="auto" w:fill="E0F1F7" w:themeFill="text2" w:themeFillTint="33"/>
                  <w:vAlign w:val="bottom"/>
                </w:tcPr>
                <w:p w:rsidR="00666475" w:rsidRDefault="00666475" w:rsidP="00E1189F">
                  <w:pPr>
                    <w:pStyle w:val="TableBodyText"/>
                    <w:jc w:val="left"/>
                  </w:pPr>
                  <w:r>
                    <w:t>Crescent Wealth Superannuation Fund</w:t>
                  </w:r>
                </w:p>
              </w:tc>
              <w:tc>
                <w:tcPr>
                  <w:tcW w:w="834" w:type="pct"/>
                  <w:shd w:val="clear" w:color="auto" w:fill="FFFFFF" w:themeFill="background1"/>
                  <w:vAlign w:val="bottom"/>
                </w:tcPr>
                <w:p w:rsidR="00666475" w:rsidRPr="00636991" w:rsidRDefault="00666475" w:rsidP="00E1189F">
                  <w:pPr>
                    <w:pStyle w:val="TableBodyText"/>
                    <w:jc w:val="center"/>
                    <w:rPr>
                      <w:rFonts w:ascii="Wingdings" w:hAnsi="Wingdings"/>
                      <w:b/>
                      <w:color w:val="1E6782" w:themeColor="text2" w:themeShade="80"/>
                    </w:rPr>
                  </w:pPr>
                </w:p>
              </w:tc>
              <w:tc>
                <w:tcPr>
                  <w:tcW w:w="1166" w:type="pct"/>
                  <w:shd w:val="clear" w:color="auto" w:fill="E0F1F7" w:themeFill="text2" w:themeFillTint="33"/>
                  <w:vAlign w:val="bottom"/>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3000" w:type="pct"/>
                  <w:shd w:val="clear" w:color="auto" w:fill="E0F1F7" w:themeFill="text2" w:themeFillTint="33"/>
                  <w:vAlign w:val="bottom"/>
                </w:tcPr>
                <w:p w:rsidR="00666475" w:rsidRDefault="00666475" w:rsidP="00E1189F">
                  <w:pPr>
                    <w:pStyle w:val="TableBodyText"/>
                    <w:jc w:val="left"/>
                  </w:pPr>
                  <w:r>
                    <w:t>CSS Fund</w:t>
                  </w:r>
                </w:p>
              </w:tc>
              <w:tc>
                <w:tcPr>
                  <w:tcW w:w="834" w:type="pct"/>
                  <w:shd w:val="clear" w:color="auto" w:fill="FFFFFF" w:themeFill="background1"/>
                  <w:vAlign w:val="bottom"/>
                </w:tcPr>
                <w:p w:rsidR="00666475" w:rsidRPr="00636991" w:rsidRDefault="00666475" w:rsidP="00E1189F">
                  <w:pPr>
                    <w:pStyle w:val="TableBodyText"/>
                    <w:jc w:val="center"/>
                    <w:rPr>
                      <w:rFonts w:ascii="Wingdings" w:hAnsi="Wingdings"/>
                      <w:b/>
                      <w:color w:val="1E6782" w:themeColor="text2" w:themeShade="80"/>
                    </w:rPr>
                  </w:pPr>
                </w:p>
              </w:tc>
              <w:tc>
                <w:tcPr>
                  <w:tcW w:w="1166" w:type="pct"/>
                  <w:shd w:val="clear" w:color="auto" w:fill="E0F1F7" w:themeFill="text2" w:themeFillTint="33"/>
                  <w:vAlign w:val="bottom"/>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3000" w:type="pct"/>
                  <w:shd w:val="clear" w:color="auto" w:fill="E0F1F7" w:themeFill="text2" w:themeFillTint="33"/>
                  <w:vAlign w:val="bottom"/>
                </w:tcPr>
                <w:p w:rsidR="00666475" w:rsidRDefault="00666475" w:rsidP="00E1189F">
                  <w:pPr>
                    <w:pStyle w:val="TableBodyText"/>
                    <w:jc w:val="left"/>
                  </w:pPr>
                  <w:r>
                    <w:t>CUBS Superannuation Fund</w:t>
                  </w:r>
                </w:p>
              </w:tc>
              <w:tc>
                <w:tcPr>
                  <w:tcW w:w="834" w:type="pct"/>
                  <w:shd w:val="clear" w:color="auto" w:fill="E0F1F7" w:themeFill="text2" w:themeFillTint="33"/>
                  <w:vAlign w:val="bottom"/>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166" w:type="pct"/>
                  <w:shd w:val="clear" w:color="auto" w:fill="E0F1F7" w:themeFill="text2" w:themeFillTint="33"/>
                  <w:vAlign w:val="bottom"/>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3000" w:type="pct"/>
                  <w:shd w:val="clear" w:color="auto" w:fill="E0F1F7" w:themeFill="text2" w:themeFillTint="33"/>
                  <w:vAlign w:val="bottom"/>
                </w:tcPr>
                <w:p w:rsidR="00666475" w:rsidRDefault="00666475" w:rsidP="00E1189F">
                  <w:pPr>
                    <w:pStyle w:val="TableBodyText"/>
                    <w:jc w:val="left"/>
                  </w:pPr>
                  <w:r>
                    <w:t>Definitive Superannuation Plan</w:t>
                  </w:r>
                  <w:r w:rsidRPr="00A577AC">
                    <w:rPr>
                      <w:rStyle w:val="NoteLabel"/>
                    </w:rPr>
                    <w:t>a</w:t>
                  </w:r>
                </w:p>
              </w:tc>
              <w:tc>
                <w:tcPr>
                  <w:tcW w:w="834" w:type="pct"/>
                  <w:shd w:val="clear" w:color="auto" w:fill="E0F1F7" w:themeFill="text2" w:themeFillTint="33"/>
                  <w:vAlign w:val="bottom"/>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166" w:type="pct"/>
                  <w:shd w:val="clear" w:color="auto" w:fill="E0F1F7" w:themeFill="text2" w:themeFillTint="33"/>
                  <w:vAlign w:val="bottom"/>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3000" w:type="pct"/>
                  <w:shd w:val="clear" w:color="auto" w:fill="FFFFFF" w:themeFill="background1"/>
                  <w:vAlign w:val="bottom"/>
                </w:tcPr>
                <w:p w:rsidR="00666475" w:rsidRDefault="00666475" w:rsidP="00E1189F">
                  <w:pPr>
                    <w:pStyle w:val="TableBodyText"/>
                    <w:jc w:val="left"/>
                  </w:pPr>
                  <w:r>
                    <w:t>Deseret Benefit Plan for Australia</w:t>
                  </w:r>
                </w:p>
              </w:tc>
              <w:tc>
                <w:tcPr>
                  <w:tcW w:w="834" w:type="pct"/>
                  <w:shd w:val="clear" w:color="auto" w:fill="FFFFFF" w:themeFill="background1"/>
                  <w:vAlign w:val="bottom"/>
                </w:tcPr>
                <w:p w:rsidR="00666475" w:rsidRPr="00636991" w:rsidRDefault="00666475" w:rsidP="00E1189F">
                  <w:pPr>
                    <w:pStyle w:val="TableBodyText"/>
                    <w:jc w:val="center"/>
                    <w:rPr>
                      <w:rFonts w:ascii="Wingdings" w:hAnsi="Wingdings"/>
                      <w:b/>
                      <w:color w:val="1E6782" w:themeColor="text2" w:themeShade="80"/>
                    </w:rPr>
                  </w:pPr>
                </w:p>
              </w:tc>
              <w:tc>
                <w:tcPr>
                  <w:tcW w:w="1166" w:type="pct"/>
                  <w:shd w:val="clear" w:color="auto" w:fill="FFFFFF" w:themeFill="background1"/>
                  <w:vAlign w:val="bottom"/>
                </w:tcPr>
                <w:p w:rsidR="00666475" w:rsidRPr="00636991" w:rsidRDefault="00666475" w:rsidP="00E1189F">
                  <w:pPr>
                    <w:pStyle w:val="TableBodyText"/>
                    <w:jc w:val="center"/>
                    <w:rPr>
                      <w:rFonts w:ascii="Wingdings" w:hAnsi="Wingdings"/>
                      <w:b/>
                      <w:color w:val="1E6782" w:themeColor="text2" w:themeShade="80"/>
                    </w:rPr>
                  </w:pPr>
                </w:p>
              </w:tc>
            </w:tr>
            <w:tr w:rsidR="00666475" w:rsidTr="00E1189F">
              <w:tc>
                <w:tcPr>
                  <w:tcW w:w="3000" w:type="pct"/>
                  <w:shd w:val="clear" w:color="auto" w:fill="E0F1F7" w:themeFill="text2" w:themeFillTint="33"/>
                  <w:vAlign w:val="bottom"/>
                </w:tcPr>
                <w:p w:rsidR="00666475" w:rsidRDefault="00666475" w:rsidP="00E1189F">
                  <w:pPr>
                    <w:pStyle w:val="TableBodyText"/>
                    <w:jc w:val="left"/>
                  </w:pPr>
                  <w:r>
                    <w:t>DIY Master Plan</w:t>
                  </w:r>
                </w:p>
              </w:tc>
              <w:tc>
                <w:tcPr>
                  <w:tcW w:w="834" w:type="pct"/>
                  <w:shd w:val="clear" w:color="auto" w:fill="FFFFFF" w:themeFill="background1"/>
                  <w:vAlign w:val="bottom"/>
                </w:tcPr>
                <w:p w:rsidR="00666475" w:rsidRPr="00636991" w:rsidRDefault="00666475" w:rsidP="00E1189F">
                  <w:pPr>
                    <w:pStyle w:val="TableBodyText"/>
                    <w:jc w:val="center"/>
                    <w:rPr>
                      <w:rFonts w:ascii="Wingdings" w:hAnsi="Wingdings"/>
                      <w:b/>
                      <w:color w:val="1E6782" w:themeColor="text2" w:themeShade="80"/>
                    </w:rPr>
                  </w:pPr>
                </w:p>
              </w:tc>
              <w:tc>
                <w:tcPr>
                  <w:tcW w:w="1166" w:type="pct"/>
                  <w:shd w:val="clear" w:color="auto" w:fill="E0F1F7" w:themeFill="text2" w:themeFillTint="33"/>
                  <w:vAlign w:val="bottom"/>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3000" w:type="pct"/>
                  <w:shd w:val="clear" w:color="auto" w:fill="FFFFFF" w:themeFill="background1"/>
                  <w:vAlign w:val="bottom"/>
                </w:tcPr>
                <w:p w:rsidR="00666475" w:rsidRDefault="00666475" w:rsidP="00E1189F">
                  <w:pPr>
                    <w:pStyle w:val="TableBodyText"/>
                    <w:jc w:val="left"/>
                  </w:pPr>
                  <w:r>
                    <w:t>Dow Australia Superannuation Fund</w:t>
                  </w:r>
                </w:p>
              </w:tc>
              <w:tc>
                <w:tcPr>
                  <w:tcW w:w="834" w:type="pct"/>
                  <w:shd w:val="clear" w:color="auto" w:fill="FFFFFF" w:themeFill="background1"/>
                  <w:vAlign w:val="bottom"/>
                </w:tcPr>
                <w:p w:rsidR="00666475" w:rsidRPr="00636991" w:rsidRDefault="00666475" w:rsidP="00E1189F">
                  <w:pPr>
                    <w:pStyle w:val="TableBodyText"/>
                    <w:jc w:val="center"/>
                    <w:rPr>
                      <w:rFonts w:ascii="Wingdings" w:hAnsi="Wingdings"/>
                      <w:b/>
                      <w:color w:val="1E6782" w:themeColor="text2" w:themeShade="80"/>
                    </w:rPr>
                  </w:pPr>
                </w:p>
              </w:tc>
              <w:tc>
                <w:tcPr>
                  <w:tcW w:w="1166" w:type="pct"/>
                  <w:shd w:val="clear" w:color="auto" w:fill="FFFFFF" w:themeFill="background1"/>
                  <w:vAlign w:val="bottom"/>
                </w:tcPr>
                <w:p w:rsidR="00666475" w:rsidRPr="00636991" w:rsidRDefault="00666475" w:rsidP="00E1189F">
                  <w:pPr>
                    <w:pStyle w:val="TableBodyText"/>
                    <w:jc w:val="center"/>
                    <w:rPr>
                      <w:rFonts w:ascii="Wingdings" w:hAnsi="Wingdings"/>
                      <w:b/>
                      <w:color w:val="1E6782" w:themeColor="text2" w:themeShade="80"/>
                    </w:rPr>
                  </w:pPr>
                </w:p>
              </w:tc>
            </w:tr>
            <w:tr w:rsidR="00666475" w:rsidTr="00E1189F">
              <w:tc>
                <w:tcPr>
                  <w:tcW w:w="3000" w:type="pct"/>
                  <w:shd w:val="clear" w:color="auto" w:fill="E0F1F7" w:themeFill="text2" w:themeFillTint="33"/>
                  <w:vAlign w:val="bottom"/>
                </w:tcPr>
                <w:p w:rsidR="00666475" w:rsidRDefault="00666475" w:rsidP="00E1189F">
                  <w:pPr>
                    <w:pStyle w:val="TableBodyText"/>
                    <w:jc w:val="left"/>
                  </w:pPr>
                  <w:r>
                    <w:t>DPM Retirement Service</w:t>
                  </w:r>
                </w:p>
              </w:tc>
              <w:tc>
                <w:tcPr>
                  <w:tcW w:w="834" w:type="pct"/>
                  <w:shd w:val="clear" w:color="auto" w:fill="E0F1F7" w:themeFill="text2" w:themeFillTint="33"/>
                  <w:vAlign w:val="bottom"/>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166" w:type="pct"/>
                  <w:shd w:val="clear" w:color="auto" w:fill="E0F1F7" w:themeFill="text2" w:themeFillTint="33"/>
                  <w:vAlign w:val="bottom"/>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3000" w:type="pct"/>
                  <w:shd w:val="clear" w:color="auto" w:fill="FFFFFF" w:themeFill="background1"/>
                  <w:vAlign w:val="bottom"/>
                </w:tcPr>
                <w:p w:rsidR="00666475" w:rsidRDefault="00666475" w:rsidP="00E1189F">
                  <w:pPr>
                    <w:pStyle w:val="TableBodyText"/>
                    <w:jc w:val="left"/>
                  </w:pPr>
                  <w:r>
                    <w:t>DuluxGroup Employees Superannuation Fund</w:t>
                  </w:r>
                </w:p>
              </w:tc>
              <w:tc>
                <w:tcPr>
                  <w:tcW w:w="834" w:type="pct"/>
                  <w:shd w:val="clear" w:color="auto" w:fill="FFFFFF" w:themeFill="background1"/>
                  <w:vAlign w:val="bottom"/>
                </w:tcPr>
                <w:p w:rsidR="00666475" w:rsidRPr="00636991" w:rsidRDefault="00666475" w:rsidP="00E1189F">
                  <w:pPr>
                    <w:pStyle w:val="TableBodyText"/>
                    <w:jc w:val="center"/>
                    <w:rPr>
                      <w:rFonts w:ascii="Wingdings" w:hAnsi="Wingdings"/>
                      <w:b/>
                      <w:color w:val="1E6782" w:themeColor="text2" w:themeShade="80"/>
                    </w:rPr>
                  </w:pPr>
                </w:p>
              </w:tc>
              <w:tc>
                <w:tcPr>
                  <w:tcW w:w="1166" w:type="pct"/>
                  <w:shd w:val="clear" w:color="auto" w:fill="FFFFFF" w:themeFill="background1"/>
                  <w:vAlign w:val="bottom"/>
                </w:tcPr>
                <w:p w:rsidR="00666475" w:rsidRPr="00636991" w:rsidRDefault="00666475" w:rsidP="00E1189F">
                  <w:pPr>
                    <w:pStyle w:val="TableBodyText"/>
                    <w:jc w:val="center"/>
                    <w:rPr>
                      <w:rFonts w:ascii="Wingdings" w:hAnsi="Wingdings"/>
                      <w:b/>
                      <w:color w:val="1E6782" w:themeColor="text2" w:themeShade="80"/>
                    </w:rPr>
                  </w:pPr>
                </w:p>
              </w:tc>
            </w:tr>
            <w:tr w:rsidR="00666475" w:rsidTr="00E1189F">
              <w:tc>
                <w:tcPr>
                  <w:tcW w:w="3000" w:type="pct"/>
                  <w:shd w:val="clear" w:color="auto" w:fill="E0F1F7" w:themeFill="text2" w:themeFillTint="33"/>
                  <w:vAlign w:val="bottom"/>
                </w:tcPr>
                <w:p w:rsidR="00666475" w:rsidRDefault="00666475" w:rsidP="00E1189F">
                  <w:pPr>
                    <w:pStyle w:val="TableBodyText"/>
                    <w:jc w:val="left"/>
                  </w:pPr>
                  <w:r>
                    <w:t>EmPlus Superannuation Fund</w:t>
                  </w:r>
                </w:p>
              </w:tc>
              <w:tc>
                <w:tcPr>
                  <w:tcW w:w="834" w:type="pct"/>
                  <w:shd w:val="clear" w:color="auto" w:fill="E0F1F7" w:themeFill="text2" w:themeFillTint="33"/>
                  <w:vAlign w:val="bottom"/>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166" w:type="pct"/>
                  <w:shd w:val="clear" w:color="auto" w:fill="E0F1F7" w:themeFill="text2" w:themeFillTint="33"/>
                  <w:vAlign w:val="bottom"/>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3000" w:type="pct"/>
                  <w:shd w:val="clear" w:color="auto" w:fill="E0F1F7" w:themeFill="text2" w:themeFillTint="33"/>
                  <w:vAlign w:val="bottom"/>
                </w:tcPr>
                <w:p w:rsidR="00666475" w:rsidRDefault="00666475" w:rsidP="00E1189F">
                  <w:pPr>
                    <w:pStyle w:val="TableBodyText"/>
                    <w:jc w:val="left"/>
                  </w:pPr>
                  <w:r>
                    <w:t>Encircle Superannuation Fund</w:t>
                  </w:r>
                </w:p>
              </w:tc>
              <w:tc>
                <w:tcPr>
                  <w:tcW w:w="834" w:type="pct"/>
                  <w:shd w:val="clear" w:color="auto" w:fill="E0F1F7" w:themeFill="text2" w:themeFillTint="33"/>
                  <w:vAlign w:val="bottom"/>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166" w:type="pct"/>
                  <w:shd w:val="clear" w:color="auto" w:fill="E0F1F7" w:themeFill="text2" w:themeFillTint="33"/>
                  <w:vAlign w:val="bottom"/>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3000" w:type="pct"/>
                  <w:shd w:val="clear" w:color="auto" w:fill="E0F1F7" w:themeFill="text2" w:themeFillTint="33"/>
                  <w:vAlign w:val="bottom"/>
                </w:tcPr>
                <w:p w:rsidR="00666475" w:rsidRDefault="00666475" w:rsidP="00E1189F">
                  <w:pPr>
                    <w:pStyle w:val="TableBodyText"/>
                    <w:jc w:val="left"/>
                  </w:pPr>
                  <w:r>
                    <w:t>Energy Industries Superannuation Scheme-Pool A</w:t>
                  </w:r>
                </w:p>
              </w:tc>
              <w:tc>
                <w:tcPr>
                  <w:tcW w:w="834" w:type="pct"/>
                  <w:shd w:val="clear" w:color="auto" w:fill="E0F1F7" w:themeFill="text2" w:themeFillTint="33"/>
                  <w:vAlign w:val="bottom"/>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166" w:type="pct"/>
                  <w:shd w:val="clear" w:color="auto" w:fill="E0F1F7" w:themeFill="text2" w:themeFillTint="33"/>
                  <w:vAlign w:val="bottom"/>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3000" w:type="pct"/>
                  <w:shd w:val="clear" w:color="auto" w:fill="E0F1F7" w:themeFill="text2" w:themeFillTint="33"/>
                  <w:vAlign w:val="bottom"/>
                </w:tcPr>
                <w:p w:rsidR="00666475" w:rsidRDefault="00666475" w:rsidP="00E1189F">
                  <w:pPr>
                    <w:pStyle w:val="TableBodyText"/>
                    <w:jc w:val="left"/>
                  </w:pPr>
                  <w:r>
                    <w:t>Energy Industries Superannuation Scheme-Pool B</w:t>
                  </w:r>
                </w:p>
              </w:tc>
              <w:tc>
                <w:tcPr>
                  <w:tcW w:w="834" w:type="pct"/>
                  <w:shd w:val="clear" w:color="auto" w:fill="FFFFFF" w:themeFill="background1"/>
                  <w:vAlign w:val="bottom"/>
                </w:tcPr>
                <w:p w:rsidR="00666475" w:rsidRPr="00636991" w:rsidRDefault="00666475" w:rsidP="00E1189F">
                  <w:pPr>
                    <w:pStyle w:val="TableBodyText"/>
                    <w:jc w:val="center"/>
                    <w:rPr>
                      <w:rFonts w:ascii="Wingdings" w:hAnsi="Wingdings"/>
                      <w:b/>
                      <w:color w:val="1E6782" w:themeColor="text2" w:themeShade="80"/>
                    </w:rPr>
                  </w:pPr>
                </w:p>
              </w:tc>
              <w:tc>
                <w:tcPr>
                  <w:tcW w:w="1166" w:type="pct"/>
                  <w:shd w:val="clear" w:color="auto" w:fill="E0F1F7" w:themeFill="text2" w:themeFillTint="33"/>
                  <w:vAlign w:val="bottom"/>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3000" w:type="pct"/>
                  <w:shd w:val="clear" w:color="auto" w:fill="E0F1F7" w:themeFill="text2" w:themeFillTint="33"/>
                  <w:vAlign w:val="bottom"/>
                </w:tcPr>
                <w:p w:rsidR="00666475" w:rsidRDefault="00666475" w:rsidP="00E1189F">
                  <w:pPr>
                    <w:pStyle w:val="TableBodyText"/>
                    <w:jc w:val="left"/>
                  </w:pPr>
                  <w:r>
                    <w:t>Energy Super</w:t>
                  </w:r>
                </w:p>
              </w:tc>
              <w:tc>
                <w:tcPr>
                  <w:tcW w:w="834" w:type="pct"/>
                  <w:shd w:val="clear" w:color="auto" w:fill="E0F1F7" w:themeFill="text2" w:themeFillTint="33"/>
                  <w:vAlign w:val="bottom"/>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166" w:type="pct"/>
                  <w:shd w:val="clear" w:color="auto" w:fill="E0F1F7" w:themeFill="text2" w:themeFillTint="33"/>
                  <w:vAlign w:val="bottom"/>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3000" w:type="pct"/>
                  <w:shd w:val="clear" w:color="auto" w:fill="FFFFFF" w:themeFill="background1"/>
                  <w:vAlign w:val="bottom"/>
                </w:tcPr>
                <w:p w:rsidR="00666475" w:rsidRDefault="00666475" w:rsidP="00E1189F">
                  <w:pPr>
                    <w:pStyle w:val="TableBodyText"/>
                    <w:jc w:val="left"/>
                  </w:pPr>
                  <w:r>
                    <w:t>Enterprise Super</w:t>
                  </w:r>
                </w:p>
              </w:tc>
              <w:tc>
                <w:tcPr>
                  <w:tcW w:w="834" w:type="pct"/>
                  <w:shd w:val="clear" w:color="auto" w:fill="FFFFFF" w:themeFill="background1"/>
                  <w:vAlign w:val="bottom"/>
                </w:tcPr>
                <w:p w:rsidR="00666475" w:rsidRPr="00636991" w:rsidRDefault="00666475" w:rsidP="00E1189F">
                  <w:pPr>
                    <w:pStyle w:val="TableBodyText"/>
                    <w:jc w:val="center"/>
                    <w:rPr>
                      <w:rFonts w:ascii="Wingdings" w:hAnsi="Wingdings"/>
                      <w:b/>
                      <w:color w:val="1E6782" w:themeColor="text2" w:themeShade="80"/>
                    </w:rPr>
                  </w:pPr>
                </w:p>
              </w:tc>
              <w:tc>
                <w:tcPr>
                  <w:tcW w:w="1166" w:type="pct"/>
                  <w:shd w:val="clear" w:color="auto" w:fill="FFFFFF" w:themeFill="background1"/>
                  <w:vAlign w:val="bottom"/>
                </w:tcPr>
                <w:p w:rsidR="00666475" w:rsidRPr="00636991" w:rsidRDefault="00666475" w:rsidP="00E1189F">
                  <w:pPr>
                    <w:pStyle w:val="TableBodyText"/>
                    <w:jc w:val="center"/>
                    <w:rPr>
                      <w:rFonts w:ascii="Wingdings" w:hAnsi="Wingdings"/>
                      <w:b/>
                      <w:color w:val="1E6782" w:themeColor="text2" w:themeShade="80"/>
                    </w:rPr>
                  </w:pPr>
                </w:p>
              </w:tc>
            </w:tr>
            <w:tr w:rsidR="00666475" w:rsidTr="00E1189F">
              <w:tc>
                <w:tcPr>
                  <w:tcW w:w="3000" w:type="pct"/>
                  <w:shd w:val="clear" w:color="auto" w:fill="E0F1F7" w:themeFill="text2" w:themeFillTint="33"/>
                  <w:vAlign w:val="bottom"/>
                </w:tcPr>
                <w:p w:rsidR="00666475" w:rsidRDefault="00666475" w:rsidP="00E1189F">
                  <w:pPr>
                    <w:pStyle w:val="TableBodyText"/>
                    <w:jc w:val="left"/>
                  </w:pPr>
                  <w:r>
                    <w:t>Equipsuper</w:t>
                  </w:r>
                </w:p>
              </w:tc>
              <w:tc>
                <w:tcPr>
                  <w:tcW w:w="834" w:type="pct"/>
                  <w:shd w:val="clear" w:color="auto" w:fill="E0F1F7" w:themeFill="text2" w:themeFillTint="33"/>
                  <w:vAlign w:val="bottom"/>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166" w:type="pct"/>
                  <w:shd w:val="clear" w:color="auto" w:fill="E0F1F7" w:themeFill="text2" w:themeFillTint="33"/>
                  <w:vAlign w:val="bottom"/>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3000" w:type="pct"/>
                  <w:shd w:val="clear" w:color="auto" w:fill="E0F1F7" w:themeFill="text2" w:themeFillTint="33"/>
                  <w:vAlign w:val="bottom"/>
                </w:tcPr>
                <w:p w:rsidR="00666475" w:rsidRDefault="00666475" w:rsidP="00E1189F">
                  <w:pPr>
                    <w:pStyle w:val="TableBodyText"/>
                    <w:jc w:val="left"/>
                  </w:pPr>
                  <w:r>
                    <w:t>Factory Mutual Insurance Company Superannuation Fund</w:t>
                  </w:r>
                </w:p>
              </w:tc>
              <w:tc>
                <w:tcPr>
                  <w:tcW w:w="834" w:type="pct"/>
                  <w:shd w:val="clear" w:color="auto" w:fill="E0F1F7" w:themeFill="text2" w:themeFillTint="33"/>
                  <w:vAlign w:val="bottom"/>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166" w:type="pct"/>
                  <w:shd w:val="clear" w:color="auto" w:fill="E0F1F7" w:themeFill="text2" w:themeFillTint="33"/>
                  <w:vAlign w:val="bottom"/>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3000" w:type="pct"/>
                  <w:shd w:val="clear" w:color="auto" w:fill="E0F1F7" w:themeFill="text2" w:themeFillTint="33"/>
                  <w:vAlign w:val="bottom"/>
                </w:tcPr>
                <w:p w:rsidR="00666475" w:rsidRDefault="00666475" w:rsidP="00E1189F">
                  <w:pPr>
                    <w:pStyle w:val="TableBodyText"/>
                    <w:jc w:val="left"/>
                  </w:pPr>
                  <w:r>
                    <w:t>Fairbrother Employees Retirement Fund</w:t>
                  </w:r>
                </w:p>
              </w:tc>
              <w:tc>
                <w:tcPr>
                  <w:tcW w:w="834" w:type="pct"/>
                  <w:shd w:val="clear" w:color="auto" w:fill="FFFFFF" w:themeFill="background1"/>
                  <w:vAlign w:val="bottom"/>
                </w:tcPr>
                <w:p w:rsidR="00666475" w:rsidRPr="00636991" w:rsidRDefault="00666475" w:rsidP="00E1189F">
                  <w:pPr>
                    <w:pStyle w:val="TableBodyText"/>
                    <w:jc w:val="center"/>
                    <w:rPr>
                      <w:rFonts w:ascii="Wingdings" w:hAnsi="Wingdings"/>
                      <w:b/>
                      <w:color w:val="1E6782" w:themeColor="text2" w:themeShade="80"/>
                    </w:rPr>
                  </w:pPr>
                </w:p>
              </w:tc>
              <w:tc>
                <w:tcPr>
                  <w:tcW w:w="1166" w:type="pct"/>
                  <w:shd w:val="clear" w:color="auto" w:fill="E0F1F7" w:themeFill="text2" w:themeFillTint="33"/>
                  <w:vAlign w:val="bottom"/>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3000" w:type="pct"/>
                  <w:shd w:val="clear" w:color="auto" w:fill="E0F1F7" w:themeFill="text2" w:themeFillTint="33"/>
                  <w:vAlign w:val="bottom"/>
                </w:tcPr>
                <w:p w:rsidR="00666475" w:rsidRDefault="00666475" w:rsidP="00E1189F">
                  <w:pPr>
                    <w:pStyle w:val="TableBodyText"/>
                    <w:jc w:val="left"/>
                  </w:pPr>
                  <w:r>
                    <w:t>Federation Alliance Superannuation Fund</w:t>
                  </w:r>
                </w:p>
              </w:tc>
              <w:tc>
                <w:tcPr>
                  <w:tcW w:w="834" w:type="pct"/>
                  <w:shd w:val="clear" w:color="auto" w:fill="FFFFFF" w:themeFill="background1"/>
                  <w:vAlign w:val="bottom"/>
                </w:tcPr>
                <w:p w:rsidR="00666475" w:rsidRPr="00636991" w:rsidRDefault="00666475" w:rsidP="00E1189F">
                  <w:pPr>
                    <w:pStyle w:val="TableBodyText"/>
                    <w:jc w:val="center"/>
                    <w:rPr>
                      <w:rFonts w:ascii="Wingdings" w:hAnsi="Wingdings"/>
                      <w:b/>
                      <w:color w:val="1E6782" w:themeColor="text2" w:themeShade="80"/>
                    </w:rPr>
                  </w:pPr>
                </w:p>
              </w:tc>
              <w:tc>
                <w:tcPr>
                  <w:tcW w:w="1166" w:type="pct"/>
                  <w:shd w:val="clear" w:color="auto" w:fill="E0F1F7" w:themeFill="text2" w:themeFillTint="33"/>
                  <w:vAlign w:val="bottom"/>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3000" w:type="pct"/>
                  <w:shd w:val="clear" w:color="auto" w:fill="E0F1F7" w:themeFill="text2" w:themeFillTint="33"/>
                  <w:vAlign w:val="bottom"/>
                </w:tcPr>
                <w:p w:rsidR="00666475" w:rsidRDefault="00666475" w:rsidP="00E1189F">
                  <w:pPr>
                    <w:pStyle w:val="TableBodyText"/>
                    <w:jc w:val="left"/>
                  </w:pPr>
                  <w:r>
                    <w:t>Fiducian Superannuation Fund</w:t>
                  </w:r>
                </w:p>
              </w:tc>
              <w:tc>
                <w:tcPr>
                  <w:tcW w:w="834" w:type="pct"/>
                  <w:shd w:val="clear" w:color="auto" w:fill="E0F1F7" w:themeFill="text2" w:themeFillTint="33"/>
                  <w:vAlign w:val="bottom"/>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166" w:type="pct"/>
                  <w:shd w:val="clear" w:color="auto" w:fill="E0F1F7" w:themeFill="text2" w:themeFillTint="33"/>
                  <w:vAlign w:val="bottom"/>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3000" w:type="pct"/>
                  <w:shd w:val="clear" w:color="auto" w:fill="FFFFFF" w:themeFill="background1"/>
                  <w:vAlign w:val="bottom"/>
                </w:tcPr>
                <w:p w:rsidR="00666475" w:rsidRDefault="00666475" w:rsidP="00E1189F">
                  <w:pPr>
                    <w:pStyle w:val="TableBodyText"/>
                    <w:jc w:val="left"/>
                  </w:pPr>
                  <w:r>
                    <w:t>Fire and Emergency Services Superannuation Fund</w:t>
                  </w:r>
                </w:p>
              </w:tc>
              <w:tc>
                <w:tcPr>
                  <w:tcW w:w="834" w:type="pct"/>
                  <w:shd w:val="clear" w:color="auto" w:fill="FFFFFF" w:themeFill="background1"/>
                  <w:vAlign w:val="bottom"/>
                </w:tcPr>
                <w:p w:rsidR="00666475" w:rsidRPr="00636991" w:rsidRDefault="00666475" w:rsidP="00E1189F">
                  <w:pPr>
                    <w:pStyle w:val="TableBodyText"/>
                    <w:jc w:val="center"/>
                    <w:rPr>
                      <w:rFonts w:ascii="Wingdings" w:hAnsi="Wingdings"/>
                      <w:b/>
                      <w:color w:val="1E6782" w:themeColor="text2" w:themeShade="80"/>
                    </w:rPr>
                  </w:pPr>
                </w:p>
              </w:tc>
              <w:tc>
                <w:tcPr>
                  <w:tcW w:w="1166" w:type="pct"/>
                  <w:shd w:val="clear" w:color="auto" w:fill="FFFFFF" w:themeFill="background1"/>
                  <w:vAlign w:val="bottom"/>
                </w:tcPr>
                <w:p w:rsidR="00666475" w:rsidRPr="00636991" w:rsidRDefault="00666475" w:rsidP="00E1189F">
                  <w:pPr>
                    <w:pStyle w:val="TableBodyText"/>
                    <w:jc w:val="center"/>
                    <w:rPr>
                      <w:rFonts w:ascii="Wingdings" w:hAnsi="Wingdings"/>
                      <w:b/>
                      <w:color w:val="1E6782" w:themeColor="text2" w:themeShade="80"/>
                    </w:rPr>
                  </w:pPr>
                </w:p>
              </w:tc>
            </w:tr>
            <w:tr w:rsidR="00666475" w:rsidTr="00E1189F">
              <w:tc>
                <w:tcPr>
                  <w:tcW w:w="3000" w:type="pct"/>
                  <w:shd w:val="clear" w:color="auto" w:fill="E0F1F7" w:themeFill="text2" w:themeFillTint="33"/>
                  <w:vAlign w:val="bottom"/>
                </w:tcPr>
                <w:p w:rsidR="00666475" w:rsidRDefault="00666475" w:rsidP="00E1189F">
                  <w:pPr>
                    <w:pStyle w:val="TableBodyText"/>
                    <w:jc w:val="left"/>
                  </w:pPr>
                  <w:r>
                    <w:t>First State Superannuation Scheme</w:t>
                  </w:r>
                </w:p>
              </w:tc>
              <w:tc>
                <w:tcPr>
                  <w:tcW w:w="834" w:type="pct"/>
                  <w:shd w:val="clear" w:color="auto" w:fill="E0F1F7" w:themeFill="text2" w:themeFillTint="33"/>
                  <w:vAlign w:val="bottom"/>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166" w:type="pct"/>
                  <w:shd w:val="clear" w:color="auto" w:fill="E0F1F7" w:themeFill="text2" w:themeFillTint="33"/>
                  <w:vAlign w:val="bottom"/>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3000" w:type="pct"/>
                  <w:shd w:val="clear" w:color="auto" w:fill="E0F1F7" w:themeFill="text2" w:themeFillTint="33"/>
                  <w:vAlign w:val="bottom"/>
                </w:tcPr>
                <w:p w:rsidR="00666475" w:rsidRDefault="00666475" w:rsidP="00E1189F">
                  <w:pPr>
                    <w:pStyle w:val="TableBodyText"/>
                    <w:jc w:val="left"/>
                  </w:pPr>
                  <w:r>
                    <w:t>First Super</w:t>
                  </w:r>
                </w:p>
              </w:tc>
              <w:tc>
                <w:tcPr>
                  <w:tcW w:w="834" w:type="pct"/>
                  <w:shd w:val="clear" w:color="auto" w:fill="FFFFFF" w:themeFill="background1"/>
                  <w:vAlign w:val="bottom"/>
                </w:tcPr>
                <w:p w:rsidR="00666475" w:rsidRPr="00636991" w:rsidRDefault="00666475" w:rsidP="00E1189F">
                  <w:pPr>
                    <w:pStyle w:val="TableBodyText"/>
                    <w:jc w:val="center"/>
                    <w:rPr>
                      <w:rFonts w:ascii="Wingdings" w:hAnsi="Wingdings"/>
                      <w:b/>
                      <w:color w:val="1E6782" w:themeColor="text2" w:themeShade="80"/>
                    </w:rPr>
                  </w:pPr>
                </w:p>
              </w:tc>
              <w:tc>
                <w:tcPr>
                  <w:tcW w:w="1166" w:type="pct"/>
                  <w:shd w:val="clear" w:color="auto" w:fill="E0F1F7" w:themeFill="text2" w:themeFillTint="33"/>
                  <w:vAlign w:val="bottom"/>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3000" w:type="pct"/>
                  <w:shd w:val="clear" w:color="auto" w:fill="FFFFFF" w:themeFill="background1"/>
                  <w:vAlign w:val="bottom"/>
                </w:tcPr>
                <w:p w:rsidR="00666475" w:rsidRDefault="00666475" w:rsidP="00E1189F">
                  <w:pPr>
                    <w:pStyle w:val="TableBodyText"/>
                    <w:jc w:val="left"/>
                  </w:pPr>
                  <w:r>
                    <w:t>Gillette Australia Superannuation Fund</w:t>
                  </w:r>
                </w:p>
              </w:tc>
              <w:tc>
                <w:tcPr>
                  <w:tcW w:w="834" w:type="pct"/>
                  <w:shd w:val="clear" w:color="auto" w:fill="FFFFFF" w:themeFill="background1"/>
                  <w:vAlign w:val="bottom"/>
                </w:tcPr>
                <w:p w:rsidR="00666475" w:rsidRPr="00636991" w:rsidRDefault="00666475" w:rsidP="00E1189F">
                  <w:pPr>
                    <w:pStyle w:val="TableBodyText"/>
                    <w:jc w:val="center"/>
                    <w:rPr>
                      <w:rFonts w:ascii="Wingdings" w:hAnsi="Wingdings"/>
                      <w:b/>
                      <w:color w:val="1E6782" w:themeColor="text2" w:themeShade="80"/>
                    </w:rPr>
                  </w:pPr>
                </w:p>
              </w:tc>
              <w:tc>
                <w:tcPr>
                  <w:tcW w:w="1166" w:type="pct"/>
                  <w:shd w:val="clear" w:color="auto" w:fill="FFFFFF" w:themeFill="background1"/>
                  <w:vAlign w:val="bottom"/>
                </w:tcPr>
                <w:p w:rsidR="00666475" w:rsidRPr="00636991" w:rsidRDefault="00666475" w:rsidP="00E1189F">
                  <w:pPr>
                    <w:pStyle w:val="TableBodyText"/>
                    <w:jc w:val="center"/>
                    <w:rPr>
                      <w:rFonts w:ascii="Wingdings" w:hAnsi="Wingdings"/>
                      <w:b/>
                      <w:color w:val="1E6782" w:themeColor="text2" w:themeShade="80"/>
                    </w:rPr>
                  </w:pPr>
                </w:p>
              </w:tc>
            </w:tr>
            <w:tr w:rsidR="00666475" w:rsidTr="00E1189F">
              <w:tc>
                <w:tcPr>
                  <w:tcW w:w="3000" w:type="pct"/>
                  <w:shd w:val="clear" w:color="auto" w:fill="E0F1F7" w:themeFill="text2" w:themeFillTint="33"/>
                  <w:vAlign w:val="bottom"/>
                </w:tcPr>
                <w:p w:rsidR="00666475" w:rsidRDefault="00666475" w:rsidP="00E1189F">
                  <w:pPr>
                    <w:pStyle w:val="TableBodyText"/>
                    <w:jc w:val="left"/>
                  </w:pPr>
                  <w:r>
                    <w:t>Goldman Sachs &amp; JBWere Superannuation Fund</w:t>
                  </w:r>
                </w:p>
              </w:tc>
              <w:tc>
                <w:tcPr>
                  <w:tcW w:w="834" w:type="pct"/>
                  <w:shd w:val="clear" w:color="auto" w:fill="E0F1F7" w:themeFill="text2" w:themeFillTint="33"/>
                  <w:vAlign w:val="bottom"/>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166" w:type="pct"/>
                  <w:shd w:val="clear" w:color="auto" w:fill="E0F1F7" w:themeFill="text2" w:themeFillTint="33"/>
                  <w:vAlign w:val="bottom"/>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3000" w:type="pct"/>
                  <w:shd w:val="clear" w:color="auto" w:fill="E0F1F7" w:themeFill="text2" w:themeFillTint="33"/>
                  <w:vAlign w:val="bottom"/>
                </w:tcPr>
                <w:p w:rsidR="00666475" w:rsidRDefault="00666475" w:rsidP="00E1189F">
                  <w:pPr>
                    <w:pStyle w:val="TableBodyText"/>
                    <w:jc w:val="left"/>
                  </w:pPr>
                  <w:r>
                    <w:t>Grosvenor Pirie Master Superannuation Fund Series 2</w:t>
                  </w:r>
                </w:p>
              </w:tc>
              <w:tc>
                <w:tcPr>
                  <w:tcW w:w="834" w:type="pct"/>
                  <w:shd w:val="clear" w:color="auto" w:fill="FFFFFF" w:themeFill="background1"/>
                  <w:vAlign w:val="bottom"/>
                </w:tcPr>
                <w:p w:rsidR="00666475" w:rsidRPr="00636991" w:rsidRDefault="00666475" w:rsidP="00E1189F">
                  <w:pPr>
                    <w:pStyle w:val="TableBodyText"/>
                    <w:jc w:val="center"/>
                    <w:rPr>
                      <w:rFonts w:ascii="Wingdings" w:hAnsi="Wingdings"/>
                      <w:b/>
                      <w:color w:val="1E6782" w:themeColor="text2" w:themeShade="80"/>
                    </w:rPr>
                  </w:pPr>
                </w:p>
              </w:tc>
              <w:tc>
                <w:tcPr>
                  <w:tcW w:w="1166" w:type="pct"/>
                  <w:shd w:val="clear" w:color="auto" w:fill="E0F1F7" w:themeFill="text2" w:themeFillTint="33"/>
                  <w:vAlign w:val="bottom"/>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3000" w:type="pct"/>
                  <w:shd w:val="clear" w:color="auto" w:fill="E0F1F7" w:themeFill="text2" w:themeFillTint="33"/>
                  <w:vAlign w:val="bottom"/>
                </w:tcPr>
                <w:p w:rsidR="00666475" w:rsidRDefault="00666475" w:rsidP="00E1189F">
                  <w:pPr>
                    <w:pStyle w:val="TableBodyText"/>
                    <w:jc w:val="left"/>
                  </w:pPr>
                  <w:r>
                    <w:t>Guild Retirement Fund</w:t>
                  </w:r>
                </w:p>
              </w:tc>
              <w:tc>
                <w:tcPr>
                  <w:tcW w:w="834" w:type="pct"/>
                  <w:shd w:val="clear" w:color="auto" w:fill="E0F1F7" w:themeFill="text2" w:themeFillTint="33"/>
                  <w:vAlign w:val="bottom"/>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166" w:type="pct"/>
                  <w:shd w:val="clear" w:color="auto" w:fill="E0F1F7" w:themeFill="text2" w:themeFillTint="33"/>
                  <w:vAlign w:val="bottom"/>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3000" w:type="pct"/>
                  <w:shd w:val="clear" w:color="auto" w:fill="E0F1F7" w:themeFill="text2" w:themeFillTint="33"/>
                  <w:vAlign w:val="bottom"/>
                </w:tcPr>
                <w:p w:rsidR="00666475" w:rsidRDefault="00666475" w:rsidP="00E1189F">
                  <w:pPr>
                    <w:pStyle w:val="TableBodyText"/>
                    <w:jc w:val="left"/>
                  </w:pPr>
                  <w:r>
                    <w:t>Health Employees Superannuation Trust Australia</w:t>
                  </w:r>
                </w:p>
              </w:tc>
              <w:tc>
                <w:tcPr>
                  <w:tcW w:w="834" w:type="pct"/>
                  <w:shd w:val="clear" w:color="auto" w:fill="E0F1F7" w:themeFill="text2" w:themeFillTint="33"/>
                  <w:vAlign w:val="bottom"/>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166" w:type="pct"/>
                  <w:shd w:val="clear" w:color="auto" w:fill="E0F1F7" w:themeFill="text2" w:themeFillTint="33"/>
                  <w:vAlign w:val="bottom"/>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3000" w:type="pct"/>
                  <w:shd w:val="clear" w:color="auto" w:fill="FFFFFF" w:themeFill="background1"/>
                  <w:vAlign w:val="bottom"/>
                </w:tcPr>
                <w:p w:rsidR="00666475" w:rsidRDefault="00666475" w:rsidP="00E1189F">
                  <w:pPr>
                    <w:pStyle w:val="TableBodyText"/>
                    <w:jc w:val="left"/>
                  </w:pPr>
                  <w:r>
                    <w:t>Heidelberg Australia Superannuation Fund</w:t>
                  </w:r>
                </w:p>
              </w:tc>
              <w:tc>
                <w:tcPr>
                  <w:tcW w:w="834" w:type="pct"/>
                  <w:shd w:val="clear" w:color="auto" w:fill="FFFFFF" w:themeFill="background1"/>
                  <w:vAlign w:val="bottom"/>
                </w:tcPr>
                <w:p w:rsidR="00666475" w:rsidRPr="00636991" w:rsidRDefault="00666475" w:rsidP="00E1189F">
                  <w:pPr>
                    <w:pStyle w:val="TableBodyText"/>
                    <w:jc w:val="center"/>
                    <w:rPr>
                      <w:rFonts w:ascii="Wingdings" w:hAnsi="Wingdings"/>
                      <w:b/>
                      <w:color w:val="1E6782" w:themeColor="text2" w:themeShade="80"/>
                    </w:rPr>
                  </w:pPr>
                </w:p>
              </w:tc>
              <w:tc>
                <w:tcPr>
                  <w:tcW w:w="1166" w:type="pct"/>
                  <w:shd w:val="clear" w:color="auto" w:fill="FFFFFF" w:themeFill="background1"/>
                  <w:vAlign w:val="bottom"/>
                </w:tcPr>
                <w:p w:rsidR="00666475" w:rsidRPr="00636991" w:rsidRDefault="00666475" w:rsidP="00E1189F">
                  <w:pPr>
                    <w:pStyle w:val="TableBodyText"/>
                    <w:jc w:val="center"/>
                    <w:rPr>
                      <w:rFonts w:ascii="Wingdings" w:hAnsi="Wingdings"/>
                      <w:b/>
                      <w:color w:val="1E6782" w:themeColor="text2" w:themeShade="80"/>
                    </w:rPr>
                  </w:pPr>
                </w:p>
              </w:tc>
            </w:tr>
            <w:tr w:rsidR="00666475" w:rsidTr="00E1189F">
              <w:tc>
                <w:tcPr>
                  <w:tcW w:w="3000" w:type="pct"/>
                  <w:shd w:val="clear" w:color="auto" w:fill="FFFFFF" w:themeFill="background1"/>
                  <w:vAlign w:val="bottom"/>
                </w:tcPr>
                <w:p w:rsidR="00666475" w:rsidRDefault="00666475" w:rsidP="00E1189F">
                  <w:pPr>
                    <w:pStyle w:val="TableBodyText"/>
                    <w:jc w:val="left"/>
                  </w:pPr>
                  <w:r>
                    <w:t>Holden Employees Superannuation Fund</w:t>
                  </w:r>
                </w:p>
              </w:tc>
              <w:tc>
                <w:tcPr>
                  <w:tcW w:w="834" w:type="pct"/>
                  <w:shd w:val="clear" w:color="auto" w:fill="FFFFFF" w:themeFill="background1"/>
                  <w:vAlign w:val="bottom"/>
                </w:tcPr>
                <w:p w:rsidR="00666475" w:rsidRPr="00636991" w:rsidRDefault="00666475" w:rsidP="00E1189F">
                  <w:pPr>
                    <w:pStyle w:val="TableBodyText"/>
                    <w:jc w:val="center"/>
                    <w:rPr>
                      <w:rFonts w:ascii="Wingdings" w:hAnsi="Wingdings"/>
                      <w:b/>
                      <w:color w:val="1E6782" w:themeColor="text2" w:themeShade="80"/>
                    </w:rPr>
                  </w:pPr>
                </w:p>
              </w:tc>
              <w:tc>
                <w:tcPr>
                  <w:tcW w:w="1166" w:type="pct"/>
                  <w:shd w:val="clear" w:color="auto" w:fill="FFFFFF" w:themeFill="background1"/>
                  <w:vAlign w:val="bottom"/>
                </w:tcPr>
                <w:p w:rsidR="00666475" w:rsidRPr="00636991" w:rsidRDefault="00666475" w:rsidP="00E1189F">
                  <w:pPr>
                    <w:pStyle w:val="TableBodyText"/>
                    <w:jc w:val="center"/>
                    <w:rPr>
                      <w:rFonts w:ascii="Wingdings" w:hAnsi="Wingdings"/>
                      <w:b/>
                      <w:color w:val="1E6782" w:themeColor="text2" w:themeShade="80"/>
                    </w:rPr>
                  </w:pPr>
                </w:p>
              </w:tc>
            </w:tr>
            <w:tr w:rsidR="00666475" w:rsidTr="00E1189F">
              <w:tc>
                <w:tcPr>
                  <w:tcW w:w="3000" w:type="pct"/>
                  <w:shd w:val="clear" w:color="auto" w:fill="E0F1F7" w:themeFill="text2" w:themeFillTint="33"/>
                  <w:vAlign w:val="bottom"/>
                </w:tcPr>
                <w:p w:rsidR="00666475" w:rsidRDefault="00666475" w:rsidP="00E1189F">
                  <w:pPr>
                    <w:pStyle w:val="TableBodyText"/>
                    <w:jc w:val="left"/>
                  </w:pPr>
                  <w:r>
                    <w:t>HOSTPLUS Superannuation Fund</w:t>
                  </w:r>
                </w:p>
              </w:tc>
              <w:tc>
                <w:tcPr>
                  <w:tcW w:w="834" w:type="pct"/>
                  <w:shd w:val="clear" w:color="auto" w:fill="E0F1F7" w:themeFill="text2" w:themeFillTint="33"/>
                  <w:vAlign w:val="bottom"/>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166" w:type="pct"/>
                  <w:shd w:val="clear" w:color="auto" w:fill="E0F1F7" w:themeFill="text2" w:themeFillTint="33"/>
                  <w:vAlign w:val="bottom"/>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3000" w:type="pct"/>
                  <w:shd w:val="clear" w:color="auto" w:fill="FFFFFF" w:themeFill="background1"/>
                  <w:vAlign w:val="bottom"/>
                </w:tcPr>
                <w:p w:rsidR="00666475" w:rsidRDefault="00666475" w:rsidP="00E1189F">
                  <w:pPr>
                    <w:pStyle w:val="TableBodyText"/>
                    <w:jc w:val="left"/>
                  </w:pPr>
                  <w:r>
                    <w:t>HUB24 Super Fund</w:t>
                  </w:r>
                </w:p>
              </w:tc>
              <w:tc>
                <w:tcPr>
                  <w:tcW w:w="834" w:type="pct"/>
                  <w:shd w:val="clear" w:color="auto" w:fill="FFFFFF" w:themeFill="background1"/>
                  <w:vAlign w:val="bottom"/>
                </w:tcPr>
                <w:p w:rsidR="00666475" w:rsidRPr="00636991" w:rsidRDefault="00666475" w:rsidP="00E1189F">
                  <w:pPr>
                    <w:pStyle w:val="TableBodyText"/>
                    <w:jc w:val="center"/>
                    <w:rPr>
                      <w:rFonts w:ascii="Wingdings" w:hAnsi="Wingdings"/>
                      <w:b/>
                      <w:color w:val="1E6782" w:themeColor="text2" w:themeShade="80"/>
                    </w:rPr>
                  </w:pPr>
                </w:p>
              </w:tc>
              <w:tc>
                <w:tcPr>
                  <w:tcW w:w="1166" w:type="pct"/>
                  <w:shd w:val="clear" w:color="auto" w:fill="E0F1F7" w:themeFill="text2" w:themeFillTint="33"/>
                  <w:vAlign w:val="bottom"/>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3000" w:type="pct"/>
                  <w:shd w:val="clear" w:color="auto" w:fill="E0F1F7" w:themeFill="text2" w:themeFillTint="33"/>
                  <w:vAlign w:val="bottom"/>
                </w:tcPr>
                <w:p w:rsidR="00666475" w:rsidRDefault="00666475" w:rsidP="00E1189F">
                  <w:pPr>
                    <w:pStyle w:val="TableBodyText"/>
                    <w:jc w:val="left"/>
                  </w:pPr>
                  <w:r>
                    <w:t>IAG &amp; NRMA Superannuation Plan</w:t>
                  </w:r>
                </w:p>
              </w:tc>
              <w:tc>
                <w:tcPr>
                  <w:tcW w:w="834" w:type="pct"/>
                  <w:shd w:val="clear" w:color="auto" w:fill="E0F1F7" w:themeFill="text2" w:themeFillTint="33"/>
                  <w:vAlign w:val="bottom"/>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166" w:type="pct"/>
                  <w:shd w:val="clear" w:color="auto" w:fill="E0F1F7" w:themeFill="text2" w:themeFillTint="33"/>
                  <w:vAlign w:val="bottom"/>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3000" w:type="pct"/>
                  <w:shd w:val="clear" w:color="auto" w:fill="FFFFFF" w:themeFill="background1"/>
                  <w:vAlign w:val="bottom"/>
                </w:tcPr>
                <w:p w:rsidR="00666475" w:rsidRDefault="00666475" w:rsidP="00E1189F">
                  <w:pPr>
                    <w:pStyle w:val="TableBodyText"/>
                    <w:jc w:val="left"/>
                  </w:pPr>
                  <w:r>
                    <w:t>Incitec Pivot Employees Superannuation Fund</w:t>
                  </w:r>
                </w:p>
              </w:tc>
              <w:tc>
                <w:tcPr>
                  <w:tcW w:w="834" w:type="pct"/>
                  <w:shd w:val="clear" w:color="auto" w:fill="FFFFFF" w:themeFill="background1"/>
                  <w:vAlign w:val="bottom"/>
                </w:tcPr>
                <w:p w:rsidR="00666475" w:rsidRPr="00636991" w:rsidRDefault="00666475" w:rsidP="00E1189F">
                  <w:pPr>
                    <w:pStyle w:val="TableBodyText"/>
                    <w:jc w:val="center"/>
                    <w:rPr>
                      <w:rFonts w:ascii="Wingdings" w:hAnsi="Wingdings"/>
                      <w:b/>
                      <w:color w:val="1E6782" w:themeColor="text2" w:themeShade="80"/>
                    </w:rPr>
                  </w:pPr>
                </w:p>
              </w:tc>
              <w:tc>
                <w:tcPr>
                  <w:tcW w:w="1166" w:type="pct"/>
                  <w:shd w:val="clear" w:color="auto" w:fill="FFFFFF" w:themeFill="background1"/>
                  <w:vAlign w:val="bottom"/>
                </w:tcPr>
                <w:p w:rsidR="00666475" w:rsidRPr="00636991" w:rsidRDefault="00666475" w:rsidP="00E1189F">
                  <w:pPr>
                    <w:pStyle w:val="TableBodyText"/>
                    <w:jc w:val="center"/>
                    <w:rPr>
                      <w:rFonts w:ascii="Wingdings" w:hAnsi="Wingdings"/>
                      <w:b/>
                      <w:color w:val="1E6782" w:themeColor="text2" w:themeShade="80"/>
                    </w:rPr>
                  </w:pPr>
                </w:p>
              </w:tc>
            </w:tr>
            <w:tr w:rsidR="00666475" w:rsidTr="00E1189F">
              <w:tc>
                <w:tcPr>
                  <w:tcW w:w="3000" w:type="pct"/>
                  <w:tcBorders>
                    <w:bottom w:val="single" w:sz="6" w:space="0" w:color="BFBFBF"/>
                  </w:tcBorders>
                  <w:shd w:val="clear" w:color="auto" w:fill="E0F1F7" w:themeFill="text2" w:themeFillTint="33"/>
                  <w:vAlign w:val="bottom"/>
                </w:tcPr>
                <w:p w:rsidR="00666475" w:rsidRDefault="00666475" w:rsidP="00E1189F">
                  <w:pPr>
                    <w:pStyle w:val="TableBodyText"/>
                    <w:jc w:val="left"/>
                  </w:pPr>
                  <w:r>
                    <w:t>ING Direct Superannuation Fund</w:t>
                  </w:r>
                </w:p>
              </w:tc>
              <w:tc>
                <w:tcPr>
                  <w:tcW w:w="834" w:type="pct"/>
                  <w:tcBorders>
                    <w:bottom w:val="single" w:sz="6" w:space="0" w:color="BFBFBF"/>
                  </w:tcBorders>
                  <w:shd w:val="clear" w:color="auto" w:fill="FFFFFF" w:themeFill="background1"/>
                  <w:vAlign w:val="bottom"/>
                </w:tcPr>
                <w:p w:rsidR="00666475" w:rsidRPr="00636991" w:rsidRDefault="00666475" w:rsidP="00E1189F">
                  <w:pPr>
                    <w:pStyle w:val="TableBodyText"/>
                    <w:jc w:val="center"/>
                    <w:rPr>
                      <w:rFonts w:ascii="Wingdings" w:hAnsi="Wingdings"/>
                      <w:b/>
                      <w:color w:val="1E6782" w:themeColor="text2" w:themeShade="80"/>
                    </w:rPr>
                  </w:pPr>
                </w:p>
              </w:tc>
              <w:tc>
                <w:tcPr>
                  <w:tcW w:w="1166" w:type="pct"/>
                  <w:tcBorders>
                    <w:bottom w:val="single" w:sz="6" w:space="0" w:color="BFBFBF"/>
                  </w:tcBorders>
                  <w:shd w:val="clear" w:color="auto" w:fill="E0F1F7" w:themeFill="text2" w:themeFillTint="33"/>
                  <w:vAlign w:val="bottom"/>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bl>
          <w:p w:rsidR="00666475" w:rsidRDefault="00666475" w:rsidP="00E1189F">
            <w:pPr>
              <w:pStyle w:val="Box"/>
            </w:pPr>
          </w:p>
        </w:tc>
      </w:tr>
      <w:tr w:rsidR="00666475" w:rsidTr="00E1189F">
        <w:tc>
          <w:tcPr>
            <w:tcW w:w="5000" w:type="pct"/>
            <w:tcBorders>
              <w:top w:val="nil"/>
              <w:left w:val="nil"/>
              <w:bottom w:val="nil"/>
              <w:right w:val="nil"/>
            </w:tcBorders>
            <w:shd w:val="clear" w:color="auto" w:fill="auto"/>
          </w:tcPr>
          <w:p w:rsidR="00666475" w:rsidRDefault="00666475" w:rsidP="00E1189F">
            <w:pPr>
              <w:pStyle w:val="Note"/>
              <w:rPr>
                <w:i/>
              </w:rPr>
            </w:pPr>
            <w:r w:rsidRPr="008E77FE">
              <w:rPr>
                <w:rStyle w:val="NoteLabel"/>
              </w:rPr>
              <w:t>a</w:t>
            </w:r>
            <w:r>
              <w:t xml:space="preserve"> These funds submitted supplementary survey data after subsequent requests from the PC.</w:t>
            </w:r>
          </w:p>
        </w:tc>
      </w:tr>
      <w:tr w:rsidR="00666475" w:rsidTr="00E1189F">
        <w:tc>
          <w:tcPr>
            <w:tcW w:w="5000" w:type="pct"/>
            <w:tcBorders>
              <w:top w:val="nil"/>
              <w:left w:val="nil"/>
              <w:bottom w:val="nil"/>
              <w:right w:val="nil"/>
            </w:tcBorders>
            <w:shd w:val="clear" w:color="auto" w:fill="auto"/>
          </w:tcPr>
          <w:p w:rsidR="00666475" w:rsidRDefault="00666475" w:rsidP="00E1189F">
            <w:pPr>
              <w:pStyle w:val="Continued"/>
            </w:pPr>
            <w:r>
              <w:t>(continued next page)</w:t>
            </w:r>
          </w:p>
        </w:tc>
      </w:tr>
      <w:tr w:rsidR="00666475" w:rsidTr="00E1189F">
        <w:tc>
          <w:tcPr>
            <w:tcW w:w="5000" w:type="pct"/>
            <w:tcBorders>
              <w:top w:val="nil"/>
              <w:left w:val="nil"/>
              <w:bottom w:val="single" w:sz="6" w:space="0" w:color="78A22F"/>
              <w:right w:val="nil"/>
            </w:tcBorders>
            <w:shd w:val="clear" w:color="auto" w:fill="auto"/>
          </w:tcPr>
          <w:p w:rsidR="00666475" w:rsidRDefault="00666475" w:rsidP="00E1189F">
            <w:pPr>
              <w:pStyle w:val="Box"/>
              <w:spacing w:before="0" w:line="120" w:lineRule="exact"/>
            </w:pPr>
          </w:p>
        </w:tc>
      </w:tr>
      <w:tr w:rsidR="00666475" w:rsidRPr="000863A5" w:rsidTr="00E1189F">
        <w:tc>
          <w:tcPr>
            <w:tcW w:w="5000" w:type="pct"/>
            <w:tcBorders>
              <w:top w:val="single" w:sz="6" w:space="0" w:color="78A22F"/>
              <w:left w:val="nil"/>
              <w:bottom w:val="nil"/>
              <w:right w:val="nil"/>
            </w:tcBorders>
          </w:tcPr>
          <w:p w:rsidR="00666475" w:rsidRPr="00626D32" w:rsidRDefault="00666475" w:rsidP="00E1189F">
            <w:pPr>
              <w:pStyle w:val="BoxSpaceBelow"/>
            </w:pPr>
          </w:p>
        </w:tc>
      </w:tr>
    </w:tbl>
    <w:p w:rsidR="00666475" w:rsidRDefault="00666475" w:rsidP="0066647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66475" w:rsidTr="00E1189F">
        <w:trPr>
          <w:tblHeader/>
        </w:trPr>
        <w:tc>
          <w:tcPr>
            <w:tcW w:w="5000" w:type="pct"/>
            <w:tcBorders>
              <w:top w:val="single" w:sz="6" w:space="0" w:color="78A22F"/>
              <w:left w:val="nil"/>
              <w:bottom w:val="nil"/>
              <w:right w:val="nil"/>
            </w:tcBorders>
            <w:shd w:val="clear" w:color="auto" w:fill="auto"/>
          </w:tcPr>
          <w:p w:rsidR="00666475" w:rsidRPr="00784A05" w:rsidRDefault="00666475" w:rsidP="00E1189F">
            <w:pPr>
              <w:pStyle w:val="TableTitle"/>
            </w:pPr>
            <w:r>
              <w:rPr>
                <w:b w:val="0"/>
              </w:rPr>
              <w:t>T</w:t>
            </w:r>
            <w:r w:rsidRPr="00A577AC">
              <w:rPr>
                <w:b w:val="0"/>
              </w:rPr>
              <w:t xml:space="preserve">able </w:t>
            </w:r>
            <w:r w:rsidRPr="008D1D68">
              <w:rPr>
                <w:b w:val="0"/>
              </w:rPr>
              <w:t>18</w:t>
            </w:r>
            <w:r>
              <w:tab/>
            </w:r>
            <w:r w:rsidRPr="00DB36B6">
              <w:rPr>
                <w:b w:val="0"/>
                <w:sz w:val="18"/>
                <w:szCs w:val="18"/>
              </w:rPr>
              <w:t>(continued)</w:t>
            </w:r>
          </w:p>
        </w:tc>
      </w:tr>
      <w:tr w:rsidR="00666475" w:rsidTr="00E1189F">
        <w:tc>
          <w:tcPr>
            <w:tcW w:w="5000" w:type="pct"/>
            <w:tcBorders>
              <w:top w:val="nil"/>
              <w:left w:val="nil"/>
              <w:bottom w:val="nil"/>
              <w:right w:val="nil"/>
            </w:tcBorders>
            <w:shd w:val="clear" w:color="auto" w:fill="auto"/>
          </w:tcPr>
          <w:tbl>
            <w:tblPr>
              <w:tblStyle w:val="PlainTable1"/>
              <w:tblW w:w="5000" w:type="pct"/>
              <w:tblLook w:val="0600" w:firstRow="0" w:lastRow="0" w:firstColumn="0" w:lastColumn="0" w:noHBand="1" w:noVBand="1"/>
            </w:tblPr>
            <w:tblGrid>
              <w:gridCol w:w="4820"/>
              <w:gridCol w:w="1419"/>
              <w:gridCol w:w="2266"/>
            </w:tblGrid>
            <w:tr w:rsidR="00666475" w:rsidTr="00E1189F">
              <w:tc>
                <w:tcPr>
                  <w:tcW w:w="2834" w:type="pct"/>
                  <w:tcBorders>
                    <w:left w:val="nil"/>
                    <w:bottom w:val="single" w:sz="4" w:space="0" w:color="BFBFBF" w:themeColor="background1" w:themeShade="BF"/>
                    <w:right w:val="nil"/>
                  </w:tcBorders>
                </w:tcPr>
                <w:p w:rsidR="00666475" w:rsidRDefault="00666475" w:rsidP="00E1189F">
                  <w:pPr>
                    <w:pStyle w:val="TableColumnHeading"/>
                    <w:jc w:val="left"/>
                  </w:pPr>
                  <w:r>
                    <w:t>Name</w:t>
                  </w:r>
                </w:p>
              </w:tc>
              <w:tc>
                <w:tcPr>
                  <w:tcW w:w="834" w:type="pct"/>
                  <w:tcBorders>
                    <w:left w:val="nil"/>
                    <w:bottom w:val="single" w:sz="4" w:space="0" w:color="BFBFBF" w:themeColor="background1" w:themeShade="BF"/>
                    <w:right w:val="nil"/>
                  </w:tcBorders>
                </w:tcPr>
                <w:p w:rsidR="00666475" w:rsidRDefault="00666475" w:rsidP="00E1189F">
                  <w:pPr>
                    <w:pStyle w:val="TableColumnHeading"/>
                  </w:pPr>
                  <w:r>
                    <w:t>Initial survey</w:t>
                  </w:r>
                </w:p>
              </w:tc>
              <w:tc>
                <w:tcPr>
                  <w:tcW w:w="1333" w:type="pct"/>
                  <w:tcBorders>
                    <w:left w:val="nil"/>
                    <w:bottom w:val="single" w:sz="4" w:space="0" w:color="BFBFBF" w:themeColor="background1" w:themeShade="BF"/>
                    <w:right w:val="nil"/>
                  </w:tcBorders>
                </w:tcPr>
                <w:p w:rsidR="00666475" w:rsidRDefault="00666475" w:rsidP="00E1189F">
                  <w:pPr>
                    <w:pStyle w:val="TableColumnHeading"/>
                  </w:pPr>
                  <w:r>
                    <w:t>Supplementary survey</w:t>
                  </w:r>
                </w:p>
              </w:tc>
            </w:tr>
            <w:tr w:rsidR="00666475" w:rsidTr="00E1189F">
              <w:tc>
                <w:tcPr>
                  <w:tcW w:w="2834" w:type="pct"/>
                  <w:tcBorders>
                    <w:left w:val="nil"/>
                    <w:bottom w:val="nil"/>
                    <w:right w:val="nil"/>
                  </w:tcBorders>
                  <w:shd w:val="clear" w:color="auto" w:fill="E0F1F7" w:themeFill="text2" w:themeFillTint="33"/>
                </w:tcPr>
                <w:p w:rsidR="00666475" w:rsidRDefault="00666475" w:rsidP="00E1189F">
                  <w:pPr>
                    <w:pStyle w:val="TableBodyText"/>
                    <w:spacing w:before="40"/>
                    <w:jc w:val="left"/>
                  </w:pPr>
                  <w:r>
                    <w:t>Intrust Super Fund</w:t>
                  </w:r>
                </w:p>
              </w:tc>
              <w:tc>
                <w:tcPr>
                  <w:tcW w:w="834" w:type="pct"/>
                  <w:tcBorders>
                    <w:left w:val="nil"/>
                    <w:bottom w:val="nil"/>
                    <w:right w:val="nil"/>
                  </w:tcBorders>
                  <w:shd w:val="clear" w:color="auto" w:fill="FFFFFF" w:themeFill="background1"/>
                </w:tcPr>
                <w:p w:rsidR="00666475" w:rsidRPr="00636991" w:rsidRDefault="00666475" w:rsidP="00E1189F">
                  <w:pPr>
                    <w:pStyle w:val="TableBodyText"/>
                    <w:spacing w:before="40"/>
                    <w:jc w:val="center"/>
                    <w:rPr>
                      <w:rFonts w:ascii="Wingdings" w:hAnsi="Wingdings"/>
                      <w:b/>
                      <w:color w:val="1E6782" w:themeColor="text2" w:themeShade="80"/>
                    </w:rPr>
                  </w:pPr>
                </w:p>
              </w:tc>
              <w:tc>
                <w:tcPr>
                  <w:tcW w:w="1333" w:type="pct"/>
                  <w:tcBorders>
                    <w:left w:val="nil"/>
                    <w:bottom w:val="nil"/>
                    <w:right w:val="nil"/>
                  </w:tcBorders>
                  <w:shd w:val="clear" w:color="auto" w:fill="E0F1F7" w:themeFill="text2" w:themeFillTint="33"/>
                </w:tcPr>
                <w:p w:rsidR="00666475" w:rsidRPr="00636991" w:rsidRDefault="00666475" w:rsidP="00E1189F">
                  <w:pPr>
                    <w:pStyle w:val="TableBodyText"/>
                    <w:spacing w:before="40"/>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2834" w:type="pct"/>
                  <w:tcBorders>
                    <w:top w:val="nil"/>
                    <w:left w:val="nil"/>
                    <w:bottom w:val="nil"/>
                    <w:right w:val="nil"/>
                  </w:tcBorders>
                  <w:shd w:val="clear" w:color="auto" w:fill="E0F1F7" w:themeFill="text2" w:themeFillTint="33"/>
                </w:tcPr>
                <w:p w:rsidR="00666475" w:rsidRDefault="00666475" w:rsidP="00E1189F">
                  <w:pPr>
                    <w:pStyle w:val="TableBodyText"/>
                    <w:jc w:val="left"/>
                  </w:pPr>
                  <w:r>
                    <w:t>IOOF Portfolio Service Superannuation Fund</w:t>
                  </w:r>
                </w:p>
              </w:tc>
              <w:tc>
                <w:tcPr>
                  <w:tcW w:w="834"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2834" w:type="pct"/>
                  <w:tcBorders>
                    <w:top w:val="nil"/>
                    <w:left w:val="nil"/>
                    <w:bottom w:val="nil"/>
                    <w:right w:val="nil"/>
                  </w:tcBorders>
                  <w:shd w:val="clear" w:color="auto" w:fill="E0F1F7" w:themeFill="text2" w:themeFillTint="33"/>
                </w:tcPr>
                <w:p w:rsidR="00666475" w:rsidRDefault="00666475" w:rsidP="00E1189F">
                  <w:pPr>
                    <w:pStyle w:val="TableBodyText"/>
                    <w:jc w:val="left"/>
                  </w:pPr>
                  <w:r>
                    <w:t>ISARF Superannuation Fund</w:t>
                  </w:r>
                </w:p>
              </w:tc>
              <w:tc>
                <w:tcPr>
                  <w:tcW w:w="834"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rPr>
                  </w:pP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2834" w:type="pct"/>
                  <w:tcBorders>
                    <w:top w:val="nil"/>
                    <w:left w:val="nil"/>
                    <w:bottom w:val="nil"/>
                    <w:right w:val="nil"/>
                  </w:tcBorders>
                  <w:shd w:val="clear" w:color="auto" w:fill="E0F1F7" w:themeFill="text2" w:themeFillTint="33"/>
                </w:tcPr>
                <w:p w:rsidR="00666475" w:rsidRDefault="00666475" w:rsidP="00E1189F">
                  <w:pPr>
                    <w:pStyle w:val="TableBodyText"/>
                    <w:jc w:val="left"/>
                  </w:pPr>
                  <w:r>
                    <w:t>Itochu Australia Superannuation Plan</w:t>
                  </w:r>
                </w:p>
              </w:tc>
              <w:tc>
                <w:tcPr>
                  <w:tcW w:w="834"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2834" w:type="pct"/>
                  <w:tcBorders>
                    <w:top w:val="nil"/>
                    <w:left w:val="nil"/>
                    <w:bottom w:val="nil"/>
                    <w:right w:val="nil"/>
                  </w:tcBorders>
                  <w:shd w:val="clear" w:color="auto" w:fill="FFFFFF" w:themeFill="background1"/>
                </w:tcPr>
                <w:p w:rsidR="00666475" w:rsidRDefault="00666475" w:rsidP="00E1189F">
                  <w:pPr>
                    <w:pStyle w:val="TableBodyText"/>
                    <w:jc w:val="left"/>
                  </w:pPr>
                  <w:r>
                    <w:t>Jamestrong Packaging Australia Superannuation Fund</w:t>
                  </w:r>
                </w:p>
              </w:tc>
              <w:tc>
                <w:tcPr>
                  <w:tcW w:w="834"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rPr>
                  </w:pPr>
                </w:p>
              </w:tc>
              <w:tc>
                <w:tcPr>
                  <w:tcW w:w="1333"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rPr>
                  </w:pPr>
                </w:p>
              </w:tc>
            </w:tr>
            <w:tr w:rsidR="00666475" w:rsidTr="00E1189F">
              <w:tc>
                <w:tcPr>
                  <w:tcW w:w="2834" w:type="pct"/>
                  <w:tcBorders>
                    <w:top w:val="nil"/>
                    <w:left w:val="nil"/>
                    <w:bottom w:val="nil"/>
                    <w:right w:val="nil"/>
                  </w:tcBorders>
                  <w:shd w:val="clear" w:color="auto" w:fill="E0F1F7" w:themeFill="text2" w:themeFillTint="33"/>
                </w:tcPr>
                <w:p w:rsidR="00666475" w:rsidRDefault="00666475" w:rsidP="00E1189F">
                  <w:pPr>
                    <w:pStyle w:val="TableBodyText"/>
                    <w:jc w:val="left"/>
                  </w:pPr>
                  <w:r>
                    <w:t>L&amp;H Group Superannuation Fund</w:t>
                  </w:r>
                </w:p>
              </w:tc>
              <w:tc>
                <w:tcPr>
                  <w:tcW w:w="834"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p>
              </w:tc>
            </w:tr>
            <w:tr w:rsidR="00666475" w:rsidTr="00E1189F">
              <w:tc>
                <w:tcPr>
                  <w:tcW w:w="2834" w:type="pct"/>
                  <w:tcBorders>
                    <w:top w:val="nil"/>
                    <w:left w:val="nil"/>
                    <w:bottom w:val="nil"/>
                    <w:right w:val="nil"/>
                  </w:tcBorders>
                  <w:shd w:val="clear" w:color="auto" w:fill="E0F1F7" w:themeFill="text2" w:themeFillTint="33"/>
                </w:tcPr>
                <w:p w:rsidR="00666475" w:rsidRDefault="00666475" w:rsidP="00E1189F">
                  <w:pPr>
                    <w:pStyle w:val="TableBodyText"/>
                    <w:jc w:val="left"/>
                  </w:pPr>
                  <w:r>
                    <w:t>Labour Union Co-Operative Retirement Fund</w:t>
                  </w:r>
                </w:p>
              </w:tc>
              <w:tc>
                <w:tcPr>
                  <w:tcW w:w="834"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2834" w:type="pct"/>
                  <w:tcBorders>
                    <w:top w:val="nil"/>
                    <w:left w:val="nil"/>
                    <w:bottom w:val="nil"/>
                    <w:right w:val="nil"/>
                  </w:tcBorders>
                  <w:shd w:val="clear" w:color="auto" w:fill="E0F1F7" w:themeFill="text2" w:themeFillTint="33"/>
                </w:tcPr>
                <w:p w:rsidR="00666475" w:rsidRDefault="00666475" w:rsidP="00E1189F">
                  <w:pPr>
                    <w:pStyle w:val="TableBodyText"/>
                    <w:jc w:val="left"/>
                  </w:pPr>
                  <w:r>
                    <w:t>legalsuper</w:t>
                  </w:r>
                </w:p>
              </w:tc>
              <w:tc>
                <w:tcPr>
                  <w:tcW w:w="834"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2834" w:type="pct"/>
                  <w:tcBorders>
                    <w:top w:val="nil"/>
                    <w:left w:val="nil"/>
                    <w:bottom w:val="nil"/>
                    <w:right w:val="nil"/>
                  </w:tcBorders>
                  <w:shd w:val="clear" w:color="auto" w:fill="E0F1F7" w:themeFill="text2" w:themeFillTint="33"/>
                </w:tcPr>
                <w:p w:rsidR="00666475" w:rsidRDefault="00666475" w:rsidP="00E1189F">
                  <w:pPr>
                    <w:pStyle w:val="TableBodyText"/>
                    <w:jc w:val="left"/>
                  </w:pPr>
                  <w:r>
                    <w:t>LESF Super</w:t>
                  </w:r>
                </w:p>
              </w:tc>
              <w:tc>
                <w:tcPr>
                  <w:tcW w:w="834"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rPr>
                  </w:pP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2834" w:type="pct"/>
                  <w:tcBorders>
                    <w:top w:val="nil"/>
                    <w:left w:val="nil"/>
                    <w:bottom w:val="nil"/>
                    <w:right w:val="nil"/>
                  </w:tcBorders>
                  <w:shd w:val="clear" w:color="auto" w:fill="E0F1F7" w:themeFill="text2" w:themeFillTint="33"/>
                </w:tcPr>
                <w:p w:rsidR="00666475" w:rsidRDefault="00666475" w:rsidP="00E1189F">
                  <w:pPr>
                    <w:pStyle w:val="TableBodyText"/>
                    <w:jc w:val="left"/>
                  </w:pPr>
                  <w:r>
                    <w:t>Lifefocus Superannuation Fund</w:t>
                  </w:r>
                </w:p>
              </w:tc>
              <w:tc>
                <w:tcPr>
                  <w:tcW w:w="834"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rPr>
                  </w:pP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2834" w:type="pct"/>
                  <w:tcBorders>
                    <w:top w:val="nil"/>
                    <w:left w:val="nil"/>
                    <w:bottom w:val="nil"/>
                    <w:right w:val="nil"/>
                  </w:tcBorders>
                  <w:shd w:val="clear" w:color="auto" w:fill="FFFFFF" w:themeFill="background1"/>
                </w:tcPr>
                <w:p w:rsidR="00666475" w:rsidRDefault="00666475" w:rsidP="00E1189F">
                  <w:pPr>
                    <w:pStyle w:val="TableBodyText"/>
                    <w:jc w:val="left"/>
                  </w:pPr>
                  <w:r>
                    <w:t>Linfox Staff Superannuation Fund</w:t>
                  </w:r>
                </w:p>
              </w:tc>
              <w:tc>
                <w:tcPr>
                  <w:tcW w:w="834"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rPr>
                  </w:pPr>
                </w:p>
              </w:tc>
              <w:tc>
                <w:tcPr>
                  <w:tcW w:w="1333"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rPr>
                  </w:pPr>
                </w:p>
              </w:tc>
            </w:tr>
            <w:tr w:rsidR="00666475" w:rsidTr="00E1189F">
              <w:tc>
                <w:tcPr>
                  <w:tcW w:w="2834" w:type="pct"/>
                  <w:tcBorders>
                    <w:top w:val="nil"/>
                    <w:left w:val="nil"/>
                    <w:bottom w:val="nil"/>
                    <w:right w:val="nil"/>
                  </w:tcBorders>
                  <w:shd w:val="clear" w:color="auto" w:fill="E0F1F7" w:themeFill="text2" w:themeFillTint="33"/>
                </w:tcPr>
                <w:p w:rsidR="00666475" w:rsidRDefault="00666475" w:rsidP="00E1189F">
                  <w:pPr>
                    <w:pStyle w:val="TableBodyText"/>
                    <w:jc w:val="left"/>
                  </w:pPr>
                  <w:r>
                    <w:t>Local Authorities Superannuation Fund</w:t>
                  </w:r>
                </w:p>
              </w:tc>
              <w:tc>
                <w:tcPr>
                  <w:tcW w:w="834"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2834" w:type="pct"/>
                  <w:tcBorders>
                    <w:top w:val="nil"/>
                    <w:left w:val="nil"/>
                    <w:bottom w:val="nil"/>
                    <w:right w:val="nil"/>
                  </w:tcBorders>
                  <w:shd w:val="clear" w:color="auto" w:fill="E0F1F7" w:themeFill="text2" w:themeFillTint="33"/>
                </w:tcPr>
                <w:p w:rsidR="00666475" w:rsidRDefault="00666475" w:rsidP="00E1189F">
                  <w:pPr>
                    <w:pStyle w:val="TableBodyText"/>
                    <w:jc w:val="left"/>
                  </w:pPr>
                  <w:r>
                    <w:t>Local Government Super</w:t>
                  </w:r>
                </w:p>
              </w:tc>
              <w:tc>
                <w:tcPr>
                  <w:tcW w:w="834"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rPr>
                  </w:pP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2834" w:type="pct"/>
                  <w:tcBorders>
                    <w:top w:val="nil"/>
                    <w:left w:val="nil"/>
                    <w:bottom w:val="nil"/>
                    <w:right w:val="nil"/>
                  </w:tcBorders>
                  <w:shd w:val="clear" w:color="auto" w:fill="E0F1F7" w:themeFill="text2" w:themeFillTint="33"/>
                </w:tcPr>
                <w:p w:rsidR="00666475" w:rsidRDefault="00666475" w:rsidP="00E1189F">
                  <w:pPr>
                    <w:pStyle w:val="TableBodyText"/>
                    <w:jc w:val="left"/>
                  </w:pPr>
                  <w:r>
                    <w:t>Local Government Superannuation Scheme</w:t>
                  </w:r>
                </w:p>
              </w:tc>
              <w:tc>
                <w:tcPr>
                  <w:tcW w:w="834"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2834" w:type="pct"/>
                  <w:tcBorders>
                    <w:top w:val="nil"/>
                    <w:left w:val="nil"/>
                    <w:bottom w:val="nil"/>
                    <w:right w:val="nil"/>
                  </w:tcBorders>
                  <w:shd w:val="clear" w:color="auto" w:fill="E0F1F7" w:themeFill="text2" w:themeFillTint="33"/>
                </w:tcPr>
                <w:p w:rsidR="00666475" w:rsidRDefault="00666475" w:rsidP="00E1189F">
                  <w:pPr>
                    <w:pStyle w:val="TableBodyText"/>
                    <w:jc w:val="left"/>
                  </w:pPr>
                  <w:r>
                    <w:t>Lutheran Super</w:t>
                  </w:r>
                </w:p>
              </w:tc>
              <w:tc>
                <w:tcPr>
                  <w:tcW w:w="834"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2834" w:type="pct"/>
                  <w:tcBorders>
                    <w:top w:val="nil"/>
                    <w:left w:val="nil"/>
                    <w:bottom w:val="nil"/>
                    <w:right w:val="nil"/>
                  </w:tcBorders>
                  <w:shd w:val="clear" w:color="auto" w:fill="E0F1F7" w:themeFill="text2" w:themeFillTint="33"/>
                </w:tcPr>
                <w:p w:rsidR="00666475" w:rsidRDefault="00666475" w:rsidP="00E1189F">
                  <w:pPr>
                    <w:pStyle w:val="TableBodyText"/>
                    <w:jc w:val="left"/>
                  </w:pPr>
                  <w:r>
                    <w:t>Macquarie ADF Superannuation Fund</w:t>
                  </w:r>
                </w:p>
              </w:tc>
              <w:tc>
                <w:tcPr>
                  <w:tcW w:w="834"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2834" w:type="pct"/>
                  <w:tcBorders>
                    <w:top w:val="nil"/>
                    <w:left w:val="nil"/>
                    <w:bottom w:val="nil"/>
                    <w:right w:val="nil"/>
                  </w:tcBorders>
                  <w:shd w:val="clear" w:color="auto" w:fill="E0F1F7" w:themeFill="text2" w:themeFillTint="33"/>
                </w:tcPr>
                <w:p w:rsidR="00666475" w:rsidRDefault="00666475" w:rsidP="00E1189F">
                  <w:pPr>
                    <w:pStyle w:val="TableBodyText"/>
                    <w:jc w:val="left"/>
                  </w:pPr>
                  <w:r>
                    <w:t>Macquarie Superannuation Plan</w:t>
                  </w:r>
                  <w:r w:rsidRPr="00A577AC">
                    <w:rPr>
                      <w:rStyle w:val="NoteLabel"/>
                    </w:rPr>
                    <w:t>a</w:t>
                  </w:r>
                </w:p>
              </w:tc>
              <w:tc>
                <w:tcPr>
                  <w:tcW w:w="834"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2834" w:type="pct"/>
                  <w:tcBorders>
                    <w:top w:val="nil"/>
                    <w:left w:val="nil"/>
                    <w:bottom w:val="nil"/>
                    <w:right w:val="nil"/>
                  </w:tcBorders>
                  <w:shd w:val="clear" w:color="auto" w:fill="E0F1F7" w:themeFill="text2" w:themeFillTint="33"/>
                </w:tcPr>
                <w:p w:rsidR="00666475" w:rsidRDefault="00666475" w:rsidP="00E1189F">
                  <w:pPr>
                    <w:pStyle w:val="TableBodyText"/>
                    <w:jc w:val="left"/>
                  </w:pPr>
                  <w:r>
                    <w:t>Macquarie University Professorial Superannuation Scheme</w:t>
                  </w:r>
                </w:p>
              </w:tc>
              <w:tc>
                <w:tcPr>
                  <w:tcW w:w="834"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rPr>
                  </w:pP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2834" w:type="pct"/>
                  <w:tcBorders>
                    <w:top w:val="nil"/>
                    <w:left w:val="nil"/>
                    <w:bottom w:val="nil"/>
                    <w:right w:val="nil"/>
                  </w:tcBorders>
                  <w:shd w:val="clear" w:color="auto" w:fill="FFFFFF" w:themeFill="background1"/>
                </w:tcPr>
                <w:p w:rsidR="00666475" w:rsidRDefault="00666475" w:rsidP="00E1189F">
                  <w:pPr>
                    <w:pStyle w:val="TableBodyText"/>
                    <w:jc w:val="left"/>
                  </w:pPr>
                  <w:r>
                    <w:t>Manildra Flour Mills Retirement Fund</w:t>
                  </w:r>
                </w:p>
              </w:tc>
              <w:tc>
                <w:tcPr>
                  <w:tcW w:w="834"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rPr>
                  </w:pPr>
                </w:p>
              </w:tc>
              <w:tc>
                <w:tcPr>
                  <w:tcW w:w="1333"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rPr>
                  </w:pPr>
                </w:p>
              </w:tc>
            </w:tr>
            <w:tr w:rsidR="00666475" w:rsidTr="00E1189F">
              <w:tc>
                <w:tcPr>
                  <w:tcW w:w="2834" w:type="pct"/>
                  <w:tcBorders>
                    <w:top w:val="nil"/>
                    <w:left w:val="nil"/>
                    <w:bottom w:val="nil"/>
                    <w:right w:val="nil"/>
                  </w:tcBorders>
                  <w:shd w:val="clear" w:color="auto" w:fill="E0F1F7" w:themeFill="text2" w:themeFillTint="33"/>
                </w:tcPr>
                <w:p w:rsidR="00666475" w:rsidRDefault="00666475" w:rsidP="00E1189F">
                  <w:pPr>
                    <w:pStyle w:val="TableBodyText"/>
                    <w:jc w:val="left"/>
                  </w:pPr>
                  <w:r>
                    <w:t>Map Superannuation Plan</w:t>
                  </w:r>
                </w:p>
              </w:tc>
              <w:tc>
                <w:tcPr>
                  <w:tcW w:w="834"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2834" w:type="pct"/>
                  <w:tcBorders>
                    <w:top w:val="nil"/>
                    <w:left w:val="nil"/>
                    <w:bottom w:val="nil"/>
                    <w:right w:val="nil"/>
                  </w:tcBorders>
                  <w:shd w:val="clear" w:color="auto" w:fill="E0F1F7" w:themeFill="text2" w:themeFillTint="33"/>
                </w:tcPr>
                <w:p w:rsidR="00666475" w:rsidRDefault="00666475" w:rsidP="00E1189F">
                  <w:pPr>
                    <w:pStyle w:val="TableBodyText"/>
                    <w:jc w:val="left"/>
                  </w:pPr>
                  <w:r>
                    <w:t>Maritime Super</w:t>
                  </w:r>
                </w:p>
              </w:tc>
              <w:tc>
                <w:tcPr>
                  <w:tcW w:w="834"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2834" w:type="pct"/>
                  <w:tcBorders>
                    <w:top w:val="nil"/>
                    <w:left w:val="nil"/>
                    <w:bottom w:val="nil"/>
                    <w:right w:val="nil"/>
                  </w:tcBorders>
                  <w:shd w:val="clear" w:color="auto" w:fill="FFFFFF" w:themeFill="background1"/>
                </w:tcPr>
                <w:p w:rsidR="00666475" w:rsidRDefault="00666475" w:rsidP="00E1189F">
                  <w:pPr>
                    <w:pStyle w:val="TableBodyText"/>
                    <w:jc w:val="left"/>
                  </w:pPr>
                  <w:r>
                    <w:t>Max Super Fund</w:t>
                  </w:r>
                </w:p>
              </w:tc>
              <w:tc>
                <w:tcPr>
                  <w:tcW w:w="834"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rPr>
                  </w:pPr>
                </w:p>
              </w:tc>
              <w:tc>
                <w:tcPr>
                  <w:tcW w:w="1333"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rPr>
                  </w:pPr>
                </w:p>
              </w:tc>
            </w:tr>
            <w:tr w:rsidR="00666475" w:rsidTr="00E1189F">
              <w:tc>
                <w:tcPr>
                  <w:tcW w:w="2834" w:type="pct"/>
                  <w:tcBorders>
                    <w:top w:val="nil"/>
                    <w:left w:val="nil"/>
                    <w:bottom w:val="nil"/>
                    <w:right w:val="nil"/>
                  </w:tcBorders>
                  <w:shd w:val="clear" w:color="auto" w:fill="E0F1F7" w:themeFill="text2" w:themeFillTint="33"/>
                </w:tcPr>
                <w:p w:rsidR="00666475" w:rsidRDefault="00666475" w:rsidP="00E1189F">
                  <w:pPr>
                    <w:pStyle w:val="TableBodyText"/>
                    <w:jc w:val="left"/>
                  </w:pPr>
                  <w:r>
                    <w:t>Meat Industry Employees Superannuation Fund</w:t>
                  </w:r>
                </w:p>
              </w:tc>
              <w:tc>
                <w:tcPr>
                  <w:tcW w:w="834"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rPr>
                  </w:pP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2834" w:type="pct"/>
                  <w:tcBorders>
                    <w:top w:val="nil"/>
                    <w:left w:val="nil"/>
                    <w:bottom w:val="nil"/>
                    <w:right w:val="nil"/>
                  </w:tcBorders>
                  <w:shd w:val="clear" w:color="auto" w:fill="E0F1F7" w:themeFill="text2" w:themeFillTint="33"/>
                </w:tcPr>
                <w:p w:rsidR="00666475" w:rsidRDefault="00666475" w:rsidP="00E1189F">
                  <w:pPr>
                    <w:pStyle w:val="TableBodyText"/>
                    <w:jc w:val="left"/>
                  </w:pPr>
                  <w:r>
                    <w:t>Media Super</w:t>
                  </w:r>
                </w:p>
              </w:tc>
              <w:tc>
                <w:tcPr>
                  <w:tcW w:w="834"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2834" w:type="pct"/>
                  <w:tcBorders>
                    <w:top w:val="nil"/>
                    <w:left w:val="nil"/>
                    <w:bottom w:val="nil"/>
                    <w:right w:val="nil"/>
                  </w:tcBorders>
                  <w:shd w:val="clear" w:color="auto" w:fill="E0F1F7" w:themeFill="text2" w:themeFillTint="33"/>
                </w:tcPr>
                <w:p w:rsidR="00666475" w:rsidRDefault="00666475" w:rsidP="00E1189F">
                  <w:pPr>
                    <w:pStyle w:val="TableBodyText"/>
                    <w:jc w:val="left"/>
                  </w:pPr>
                  <w:r>
                    <w:t>Mercer Portfolio Service Superannuation Plan</w:t>
                  </w:r>
                </w:p>
              </w:tc>
              <w:tc>
                <w:tcPr>
                  <w:tcW w:w="834"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2834" w:type="pct"/>
                  <w:tcBorders>
                    <w:top w:val="nil"/>
                    <w:left w:val="nil"/>
                    <w:bottom w:val="nil"/>
                    <w:right w:val="nil"/>
                  </w:tcBorders>
                  <w:shd w:val="clear" w:color="auto" w:fill="E0F1F7" w:themeFill="text2" w:themeFillTint="33"/>
                </w:tcPr>
                <w:p w:rsidR="00666475" w:rsidRDefault="00666475" w:rsidP="00E1189F">
                  <w:pPr>
                    <w:pStyle w:val="TableBodyText"/>
                    <w:jc w:val="left"/>
                  </w:pPr>
                  <w:r>
                    <w:t>Mercer Super Trust</w:t>
                  </w:r>
                  <w:r w:rsidRPr="00A577AC">
                    <w:rPr>
                      <w:rStyle w:val="NoteLabel"/>
                    </w:rPr>
                    <w:t>a</w:t>
                  </w:r>
                </w:p>
              </w:tc>
              <w:tc>
                <w:tcPr>
                  <w:tcW w:w="834"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2834" w:type="pct"/>
                  <w:tcBorders>
                    <w:top w:val="nil"/>
                    <w:left w:val="nil"/>
                    <w:bottom w:val="nil"/>
                    <w:right w:val="nil"/>
                  </w:tcBorders>
                  <w:shd w:val="clear" w:color="auto" w:fill="E0F1F7" w:themeFill="text2" w:themeFillTint="33"/>
                </w:tcPr>
                <w:p w:rsidR="00666475" w:rsidRDefault="00666475" w:rsidP="00E1189F">
                  <w:pPr>
                    <w:pStyle w:val="TableBodyText"/>
                    <w:jc w:val="left"/>
                  </w:pPr>
                  <w:r>
                    <w:t>Mercy Super</w:t>
                  </w:r>
                </w:p>
              </w:tc>
              <w:tc>
                <w:tcPr>
                  <w:tcW w:w="834"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2834" w:type="pct"/>
                  <w:tcBorders>
                    <w:top w:val="nil"/>
                    <w:left w:val="nil"/>
                    <w:bottom w:val="nil"/>
                    <w:right w:val="nil"/>
                  </w:tcBorders>
                  <w:shd w:val="clear" w:color="auto" w:fill="FFFFFF" w:themeFill="background1"/>
                </w:tcPr>
                <w:p w:rsidR="00666475" w:rsidRDefault="00666475" w:rsidP="00E1189F">
                  <w:pPr>
                    <w:pStyle w:val="TableBodyText"/>
                    <w:jc w:val="left"/>
                  </w:pPr>
                  <w:r>
                    <w:t>Military Superannuation &amp; Benefits Fund No 1</w:t>
                  </w:r>
                </w:p>
              </w:tc>
              <w:tc>
                <w:tcPr>
                  <w:tcW w:w="834"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rPr>
                  </w:pPr>
                </w:p>
              </w:tc>
              <w:tc>
                <w:tcPr>
                  <w:tcW w:w="1333"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rPr>
                  </w:pPr>
                </w:p>
              </w:tc>
            </w:tr>
            <w:tr w:rsidR="00666475" w:rsidTr="00E1189F">
              <w:tc>
                <w:tcPr>
                  <w:tcW w:w="2834" w:type="pct"/>
                  <w:tcBorders>
                    <w:top w:val="nil"/>
                    <w:left w:val="nil"/>
                    <w:bottom w:val="nil"/>
                    <w:right w:val="nil"/>
                  </w:tcBorders>
                  <w:shd w:val="clear" w:color="auto" w:fill="E0F1F7" w:themeFill="text2" w:themeFillTint="33"/>
                </w:tcPr>
                <w:p w:rsidR="00666475" w:rsidRDefault="00666475" w:rsidP="00E1189F">
                  <w:pPr>
                    <w:pStyle w:val="TableBodyText"/>
                    <w:jc w:val="left"/>
                  </w:pPr>
                  <w:r>
                    <w:t>Mine Wealth and Wellbeing Superannuation Fund</w:t>
                  </w:r>
                </w:p>
              </w:tc>
              <w:tc>
                <w:tcPr>
                  <w:tcW w:w="834"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2834" w:type="pct"/>
                  <w:tcBorders>
                    <w:top w:val="nil"/>
                    <w:left w:val="nil"/>
                    <w:bottom w:val="nil"/>
                    <w:right w:val="nil"/>
                  </w:tcBorders>
                  <w:shd w:val="clear" w:color="auto" w:fill="E0F1F7" w:themeFill="text2" w:themeFillTint="33"/>
                </w:tcPr>
                <w:p w:rsidR="00666475" w:rsidRDefault="00666475" w:rsidP="00E1189F">
                  <w:pPr>
                    <w:pStyle w:val="TableBodyText"/>
                    <w:jc w:val="left"/>
                  </w:pPr>
                  <w:r>
                    <w:t>MLC Super Fund</w:t>
                  </w:r>
                  <w:r w:rsidRPr="00A577AC">
                    <w:rPr>
                      <w:rStyle w:val="NoteLabel"/>
                    </w:rPr>
                    <w:t>a</w:t>
                  </w:r>
                </w:p>
              </w:tc>
              <w:tc>
                <w:tcPr>
                  <w:tcW w:w="834"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2834" w:type="pct"/>
                  <w:tcBorders>
                    <w:top w:val="nil"/>
                    <w:left w:val="nil"/>
                    <w:bottom w:val="nil"/>
                    <w:right w:val="nil"/>
                  </w:tcBorders>
                  <w:shd w:val="clear" w:color="auto" w:fill="E0F1F7" w:themeFill="text2" w:themeFillTint="33"/>
                </w:tcPr>
                <w:p w:rsidR="00666475" w:rsidRDefault="00666475" w:rsidP="00E1189F">
                  <w:pPr>
                    <w:pStyle w:val="TableBodyText"/>
                    <w:jc w:val="left"/>
                  </w:pPr>
                  <w:r>
                    <w:t>MLC Superannuation Fund</w:t>
                  </w:r>
                </w:p>
              </w:tc>
              <w:tc>
                <w:tcPr>
                  <w:tcW w:w="834"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2834" w:type="pct"/>
                  <w:tcBorders>
                    <w:top w:val="nil"/>
                    <w:left w:val="nil"/>
                    <w:bottom w:val="nil"/>
                    <w:right w:val="nil"/>
                  </w:tcBorders>
                  <w:shd w:val="clear" w:color="auto" w:fill="E0F1F7" w:themeFill="text2" w:themeFillTint="33"/>
                </w:tcPr>
                <w:p w:rsidR="00666475" w:rsidRDefault="00666475" w:rsidP="00E1189F">
                  <w:pPr>
                    <w:pStyle w:val="TableBodyText"/>
                    <w:jc w:val="left"/>
                  </w:pPr>
                  <w:r>
                    <w:t>MTAA Superannuation Fund</w:t>
                  </w:r>
                </w:p>
              </w:tc>
              <w:tc>
                <w:tcPr>
                  <w:tcW w:w="834"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2834" w:type="pct"/>
                  <w:tcBorders>
                    <w:top w:val="nil"/>
                    <w:left w:val="nil"/>
                    <w:bottom w:val="nil"/>
                    <w:right w:val="nil"/>
                  </w:tcBorders>
                  <w:shd w:val="clear" w:color="auto" w:fill="FFFFFF" w:themeFill="background1"/>
                </w:tcPr>
                <w:p w:rsidR="00666475" w:rsidRDefault="00666475" w:rsidP="00E1189F">
                  <w:pPr>
                    <w:pStyle w:val="TableBodyText"/>
                    <w:jc w:val="left"/>
                  </w:pPr>
                  <w:r>
                    <w:t>Munich Holdings of Australasia Pty Ltd Superannuation Scheme</w:t>
                  </w:r>
                </w:p>
              </w:tc>
              <w:tc>
                <w:tcPr>
                  <w:tcW w:w="834"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rPr>
                  </w:pPr>
                </w:p>
              </w:tc>
              <w:tc>
                <w:tcPr>
                  <w:tcW w:w="1333"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rPr>
                  </w:pPr>
                </w:p>
              </w:tc>
            </w:tr>
            <w:tr w:rsidR="00666475" w:rsidTr="00E1189F">
              <w:tc>
                <w:tcPr>
                  <w:tcW w:w="2834" w:type="pct"/>
                  <w:tcBorders>
                    <w:top w:val="nil"/>
                    <w:left w:val="nil"/>
                    <w:bottom w:val="nil"/>
                    <w:right w:val="nil"/>
                  </w:tcBorders>
                  <w:shd w:val="clear" w:color="auto" w:fill="E0F1F7" w:themeFill="text2" w:themeFillTint="33"/>
                </w:tcPr>
                <w:p w:rsidR="00666475" w:rsidRDefault="00666475" w:rsidP="00E1189F">
                  <w:pPr>
                    <w:pStyle w:val="TableBodyText"/>
                    <w:jc w:val="left"/>
                  </w:pPr>
                  <w:r>
                    <w:t>MyLifeMyMoney Superannuation Fund</w:t>
                  </w:r>
                </w:p>
              </w:tc>
              <w:tc>
                <w:tcPr>
                  <w:tcW w:w="834"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2834" w:type="pct"/>
                  <w:tcBorders>
                    <w:top w:val="nil"/>
                    <w:left w:val="nil"/>
                    <w:bottom w:val="nil"/>
                    <w:right w:val="nil"/>
                  </w:tcBorders>
                  <w:shd w:val="clear" w:color="auto" w:fill="FFFFFF" w:themeFill="background1"/>
                </w:tcPr>
                <w:p w:rsidR="00666475" w:rsidRDefault="00666475" w:rsidP="00E1189F">
                  <w:pPr>
                    <w:pStyle w:val="TableBodyText"/>
                    <w:jc w:val="left"/>
                  </w:pPr>
                  <w:r>
                    <w:t>National Mutual Pro-Super Fund</w:t>
                  </w:r>
                </w:p>
              </w:tc>
              <w:tc>
                <w:tcPr>
                  <w:tcW w:w="834"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rPr>
                  </w:pPr>
                </w:p>
              </w:tc>
              <w:tc>
                <w:tcPr>
                  <w:tcW w:w="1333"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rPr>
                  </w:pPr>
                </w:p>
              </w:tc>
            </w:tr>
            <w:tr w:rsidR="00666475" w:rsidTr="00E1189F">
              <w:tc>
                <w:tcPr>
                  <w:tcW w:w="2834" w:type="pct"/>
                  <w:tcBorders>
                    <w:top w:val="nil"/>
                    <w:left w:val="nil"/>
                    <w:bottom w:val="nil"/>
                    <w:right w:val="nil"/>
                  </w:tcBorders>
                  <w:shd w:val="clear" w:color="auto" w:fill="FFFFFF" w:themeFill="background1"/>
                </w:tcPr>
                <w:p w:rsidR="00666475" w:rsidRDefault="00666475" w:rsidP="00E1189F">
                  <w:pPr>
                    <w:pStyle w:val="TableBodyText"/>
                    <w:jc w:val="left"/>
                  </w:pPr>
                  <w:r>
                    <w:t>National Mutual Retirement Fund a</w:t>
                  </w:r>
                </w:p>
              </w:tc>
              <w:tc>
                <w:tcPr>
                  <w:tcW w:w="834"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rPr>
                  </w:pPr>
                </w:p>
              </w:tc>
              <w:tc>
                <w:tcPr>
                  <w:tcW w:w="1333"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rPr>
                  </w:pPr>
                </w:p>
              </w:tc>
            </w:tr>
            <w:tr w:rsidR="00666475" w:rsidTr="00E1189F">
              <w:tc>
                <w:tcPr>
                  <w:tcW w:w="2834" w:type="pct"/>
                  <w:tcBorders>
                    <w:top w:val="nil"/>
                    <w:left w:val="nil"/>
                    <w:bottom w:val="nil"/>
                    <w:right w:val="nil"/>
                  </w:tcBorders>
                  <w:shd w:val="clear" w:color="auto" w:fill="E0F1F7" w:themeFill="text2" w:themeFillTint="33"/>
                </w:tcPr>
                <w:p w:rsidR="00666475" w:rsidRDefault="00666475" w:rsidP="00E1189F">
                  <w:pPr>
                    <w:pStyle w:val="TableBodyText"/>
                    <w:jc w:val="left"/>
                  </w:pPr>
                  <w:r>
                    <w:t>Nationwide Superannuation Fund</w:t>
                  </w:r>
                </w:p>
              </w:tc>
              <w:tc>
                <w:tcPr>
                  <w:tcW w:w="834"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rPr>
                <w:trHeight w:val="117"/>
              </w:trPr>
              <w:tc>
                <w:tcPr>
                  <w:tcW w:w="2834" w:type="pct"/>
                  <w:tcBorders>
                    <w:top w:val="nil"/>
                    <w:left w:val="nil"/>
                    <w:bottom w:val="nil"/>
                    <w:right w:val="nil"/>
                  </w:tcBorders>
                  <w:shd w:val="clear" w:color="auto" w:fill="E0F1F7" w:themeFill="text2" w:themeFillTint="33"/>
                </w:tcPr>
                <w:p w:rsidR="00666475" w:rsidRDefault="00666475" w:rsidP="00E1189F">
                  <w:pPr>
                    <w:pStyle w:val="TableBodyText"/>
                    <w:jc w:val="left"/>
                  </w:pPr>
                  <w:r>
                    <w:t>NESS Super</w:t>
                  </w:r>
                </w:p>
              </w:tc>
              <w:tc>
                <w:tcPr>
                  <w:tcW w:w="834"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rPr>
                  </w:pPr>
                </w:p>
              </w:tc>
            </w:tr>
            <w:tr w:rsidR="00666475" w:rsidTr="00E1189F">
              <w:tc>
                <w:tcPr>
                  <w:tcW w:w="2834" w:type="pct"/>
                  <w:tcBorders>
                    <w:top w:val="nil"/>
                    <w:left w:val="nil"/>
                    <w:right w:val="nil"/>
                  </w:tcBorders>
                  <w:shd w:val="clear" w:color="auto" w:fill="E0F1F7" w:themeFill="text2" w:themeFillTint="33"/>
                </w:tcPr>
                <w:p w:rsidR="00666475" w:rsidRDefault="00666475" w:rsidP="00E1189F">
                  <w:pPr>
                    <w:pStyle w:val="TableBodyText"/>
                    <w:jc w:val="left"/>
                  </w:pPr>
                  <w:r>
                    <w:t>Netwealth Superannuation Master Fund</w:t>
                  </w:r>
                </w:p>
              </w:tc>
              <w:tc>
                <w:tcPr>
                  <w:tcW w:w="834" w:type="pct"/>
                  <w:tcBorders>
                    <w:top w:val="nil"/>
                    <w:left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bl>
          <w:p w:rsidR="00666475" w:rsidRDefault="00666475" w:rsidP="00E1189F">
            <w:pPr>
              <w:pStyle w:val="Box"/>
            </w:pPr>
          </w:p>
        </w:tc>
      </w:tr>
      <w:tr w:rsidR="00666475" w:rsidTr="00E1189F">
        <w:tc>
          <w:tcPr>
            <w:tcW w:w="5000" w:type="pct"/>
            <w:tcBorders>
              <w:top w:val="nil"/>
              <w:left w:val="nil"/>
              <w:bottom w:val="nil"/>
              <w:right w:val="nil"/>
            </w:tcBorders>
            <w:shd w:val="clear" w:color="auto" w:fill="auto"/>
          </w:tcPr>
          <w:p w:rsidR="00666475" w:rsidRDefault="00666475" w:rsidP="00E1189F">
            <w:pPr>
              <w:pStyle w:val="Note"/>
              <w:rPr>
                <w:i/>
              </w:rPr>
            </w:pPr>
            <w:r w:rsidRPr="008E77FE">
              <w:rPr>
                <w:rStyle w:val="NoteLabel"/>
              </w:rPr>
              <w:t>a</w:t>
            </w:r>
            <w:r>
              <w:t xml:space="preserve"> These funds submitted supplementary survey data after subsequent requests from the PC.</w:t>
            </w:r>
          </w:p>
        </w:tc>
      </w:tr>
      <w:tr w:rsidR="00666475" w:rsidTr="00E1189F">
        <w:tc>
          <w:tcPr>
            <w:tcW w:w="5000" w:type="pct"/>
            <w:tcBorders>
              <w:top w:val="nil"/>
              <w:left w:val="nil"/>
              <w:bottom w:val="nil"/>
              <w:right w:val="nil"/>
            </w:tcBorders>
            <w:shd w:val="clear" w:color="auto" w:fill="auto"/>
          </w:tcPr>
          <w:p w:rsidR="00666475" w:rsidRDefault="00666475" w:rsidP="00E1189F">
            <w:pPr>
              <w:pStyle w:val="Continued"/>
            </w:pPr>
            <w:r>
              <w:t>(continued next page)</w:t>
            </w:r>
          </w:p>
        </w:tc>
      </w:tr>
      <w:tr w:rsidR="00666475" w:rsidTr="00E1189F">
        <w:tc>
          <w:tcPr>
            <w:tcW w:w="5000" w:type="pct"/>
            <w:tcBorders>
              <w:top w:val="nil"/>
              <w:left w:val="nil"/>
              <w:bottom w:val="single" w:sz="6" w:space="0" w:color="78A22F"/>
              <w:right w:val="nil"/>
            </w:tcBorders>
            <w:shd w:val="clear" w:color="auto" w:fill="auto"/>
          </w:tcPr>
          <w:p w:rsidR="00666475" w:rsidRDefault="00666475" w:rsidP="00E1189F">
            <w:pPr>
              <w:pStyle w:val="Box"/>
              <w:spacing w:before="0" w:line="120" w:lineRule="exact"/>
            </w:pPr>
          </w:p>
        </w:tc>
      </w:tr>
      <w:tr w:rsidR="00666475" w:rsidRPr="000863A5" w:rsidTr="00E1189F">
        <w:tc>
          <w:tcPr>
            <w:tcW w:w="5000" w:type="pct"/>
            <w:tcBorders>
              <w:top w:val="single" w:sz="6" w:space="0" w:color="78A22F"/>
              <w:left w:val="nil"/>
              <w:bottom w:val="nil"/>
              <w:right w:val="nil"/>
            </w:tcBorders>
          </w:tcPr>
          <w:p w:rsidR="00666475" w:rsidRPr="00626D32" w:rsidRDefault="00666475" w:rsidP="00E1189F">
            <w:pPr>
              <w:pStyle w:val="BoxSpaceBelow"/>
            </w:pPr>
          </w:p>
        </w:tc>
      </w:tr>
    </w:tbl>
    <w:p w:rsidR="00666475" w:rsidRDefault="00666475" w:rsidP="0066647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66475" w:rsidTr="00E1189F">
        <w:trPr>
          <w:tblHeader/>
        </w:trPr>
        <w:tc>
          <w:tcPr>
            <w:tcW w:w="5000" w:type="pct"/>
            <w:tcBorders>
              <w:top w:val="single" w:sz="6" w:space="0" w:color="78A22F"/>
              <w:left w:val="nil"/>
              <w:bottom w:val="nil"/>
              <w:right w:val="nil"/>
            </w:tcBorders>
            <w:shd w:val="clear" w:color="auto" w:fill="auto"/>
          </w:tcPr>
          <w:p w:rsidR="00666475" w:rsidRPr="00784A05" w:rsidRDefault="00666475" w:rsidP="00E1189F">
            <w:pPr>
              <w:pStyle w:val="TableTitle"/>
            </w:pPr>
            <w:r>
              <w:rPr>
                <w:b w:val="0"/>
              </w:rPr>
              <w:t xml:space="preserve">Table </w:t>
            </w:r>
            <w:r w:rsidRPr="008D1D68">
              <w:rPr>
                <w:b w:val="0"/>
              </w:rPr>
              <w:t>18</w:t>
            </w:r>
            <w:r>
              <w:tab/>
            </w:r>
            <w:r w:rsidRPr="00DB36B6">
              <w:rPr>
                <w:b w:val="0"/>
                <w:sz w:val="18"/>
                <w:szCs w:val="18"/>
              </w:rPr>
              <w:t>(continued)</w:t>
            </w:r>
          </w:p>
        </w:tc>
      </w:tr>
      <w:tr w:rsidR="00666475" w:rsidTr="00E1189F">
        <w:tc>
          <w:tcPr>
            <w:tcW w:w="5000" w:type="pct"/>
            <w:tcBorders>
              <w:top w:val="nil"/>
              <w:left w:val="nil"/>
              <w:bottom w:val="nil"/>
              <w:right w:val="nil"/>
            </w:tcBorders>
            <w:shd w:val="clear" w:color="auto" w:fill="auto"/>
          </w:tcPr>
          <w:tbl>
            <w:tblPr>
              <w:tblStyle w:val="PlainTable1"/>
              <w:tblW w:w="5000" w:type="pct"/>
              <w:tblLook w:val="0400" w:firstRow="0" w:lastRow="0" w:firstColumn="0" w:lastColumn="0" w:noHBand="0" w:noVBand="1"/>
            </w:tblPr>
            <w:tblGrid>
              <w:gridCol w:w="4678"/>
              <w:gridCol w:w="1560"/>
              <w:gridCol w:w="2267"/>
            </w:tblGrid>
            <w:tr w:rsidR="00666475" w:rsidTr="00E1189F">
              <w:trPr>
                <w:cnfStyle w:val="000000100000" w:firstRow="0" w:lastRow="0" w:firstColumn="0" w:lastColumn="0" w:oddVBand="0" w:evenVBand="0" w:oddHBand="1" w:evenHBand="0" w:firstRowFirstColumn="0" w:firstRowLastColumn="0" w:lastRowFirstColumn="0" w:lastRowLastColumn="0"/>
              </w:trPr>
              <w:tc>
                <w:tcPr>
                  <w:tcW w:w="2750" w:type="pct"/>
                  <w:tcBorders>
                    <w:left w:val="nil"/>
                    <w:bottom w:val="single" w:sz="4" w:space="0" w:color="BFBFBF" w:themeColor="background1" w:themeShade="BF"/>
                    <w:right w:val="nil"/>
                  </w:tcBorders>
                  <w:shd w:val="clear" w:color="auto" w:fill="FFFFFF" w:themeFill="background1"/>
                </w:tcPr>
                <w:p w:rsidR="00666475" w:rsidRDefault="00666475" w:rsidP="00E1189F">
                  <w:pPr>
                    <w:pStyle w:val="TableColumnHeading"/>
                    <w:jc w:val="left"/>
                  </w:pPr>
                  <w:r>
                    <w:t>Name</w:t>
                  </w:r>
                </w:p>
              </w:tc>
              <w:tc>
                <w:tcPr>
                  <w:tcW w:w="917" w:type="pct"/>
                  <w:tcBorders>
                    <w:left w:val="nil"/>
                    <w:bottom w:val="single" w:sz="4" w:space="0" w:color="BFBFBF" w:themeColor="background1" w:themeShade="BF"/>
                    <w:right w:val="nil"/>
                  </w:tcBorders>
                  <w:shd w:val="clear" w:color="auto" w:fill="FFFFFF" w:themeFill="background1"/>
                </w:tcPr>
                <w:p w:rsidR="00666475" w:rsidRDefault="00666475" w:rsidP="00E1189F">
                  <w:pPr>
                    <w:pStyle w:val="TableColumnHeading"/>
                  </w:pPr>
                  <w:r>
                    <w:t>Initial survey</w:t>
                  </w:r>
                </w:p>
              </w:tc>
              <w:tc>
                <w:tcPr>
                  <w:tcW w:w="1333" w:type="pct"/>
                  <w:tcBorders>
                    <w:left w:val="nil"/>
                    <w:bottom w:val="single" w:sz="4" w:space="0" w:color="BFBFBF" w:themeColor="background1" w:themeShade="BF"/>
                    <w:right w:val="nil"/>
                  </w:tcBorders>
                  <w:shd w:val="clear" w:color="auto" w:fill="FFFFFF" w:themeFill="background1"/>
                </w:tcPr>
                <w:p w:rsidR="00666475" w:rsidRDefault="00666475" w:rsidP="00E1189F">
                  <w:pPr>
                    <w:pStyle w:val="TableColumnHeading"/>
                  </w:pPr>
                  <w:r>
                    <w:t>Supplementary survey</w:t>
                  </w:r>
                </w:p>
              </w:tc>
            </w:tr>
            <w:tr w:rsidR="00666475" w:rsidTr="00E1189F">
              <w:tc>
                <w:tcPr>
                  <w:tcW w:w="2750" w:type="pct"/>
                  <w:tcBorders>
                    <w:left w:val="nil"/>
                    <w:bottom w:val="nil"/>
                    <w:right w:val="nil"/>
                  </w:tcBorders>
                  <w:shd w:val="clear" w:color="auto" w:fill="FFFFFF" w:themeFill="background1"/>
                </w:tcPr>
                <w:p w:rsidR="00666475" w:rsidRDefault="00666475" w:rsidP="00E1189F">
                  <w:pPr>
                    <w:pStyle w:val="TableBodyText"/>
                    <w:spacing w:before="40"/>
                    <w:jc w:val="left"/>
                  </w:pPr>
                  <w:r>
                    <w:t>NGS Super</w:t>
                  </w:r>
                </w:p>
              </w:tc>
              <w:tc>
                <w:tcPr>
                  <w:tcW w:w="917" w:type="pct"/>
                  <w:tcBorders>
                    <w:left w:val="nil"/>
                    <w:bottom w:val="nil"/>
                    <w:right w:val="nil"/>
                  </w:tcBorders>
                  <w:shd w:val="clear" w:color="auto" w:fill="FFFFFF" w:themeFill="background1"/>
                </w:tcPr>
                <w:p w:rsidR="00666475" w:rsidRPr="00636991" w:rsidRDefault="00666475" w:rsidP="00E1189F">
                  <w:pPr>
                    <w:pStyle w:val="TableBodyText"/>
                    <w:spacing w:before="40"/>
                    <w:jc w:val="center"/>
                    <w:rPr>
                      <w:rFonts w:ascii="Wingdings" w:hAnsi="Wingdings"/>
                      <w:b/>
                      <w:color w:val="1E6782" w:themeColor="text2" w:themeShade="80"/>
                    </w:rPr>
                  </w:pPr>
                </w:p>
              </w:tc>
              <w:tc>
                <w:tcPr>
                  <w:tcW w:w="1333" w:type="pct"/>
                  <w:tcBorders>
                    <w:left w:val="nil"/>
                    <w:bottom w:val="nil"/>
                    <w:right w:val="nil"/>
                  </w:tcBorders>
                  <w:shd w:val="clear" w:color="auto" w:fill="FFFFFF" w:themeFill="background1"/>
                </w:tcPr>
                <w:p w:rsidR="00666475" w:rsidRPr="00636991" w:rsidRDefault="00666475" w:rsidP="00E1189F">
                  <w:pPr>
                    <w:pStyle w:val="TableBodyText"/>
                    <w:spacing w:before="40"/>
                    <w:jc w:val="center"/>
                    <w:rPr>
                      <w:rFonts w:ascii="Wingdings" w:hAnsi="Wingdings"/>
                      <w:b/>
                      <w:color w:val="1E6782" w:themeColor="text2" w:themeShade="80"/>
                    </w:rPr>
                  </w:pPr>
                </w:p>
              </w:tc>
            </w:tr>
            <w:tr w:rsidR="00666475" w:rsidTr="00E1189F">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FFFFFF" w:themeFill="background1"/>
                </w:tcPr>
                <w:p w:rsidR="00666475" w:rsidRDefault="00666475" w:rsidP="00E1189F">
                  <w:pPr>
                    <w:pStyle w:val="TableBodyText"/>
                    <w:jc w:val="left"/>
                  </w:pPr>
                  <w:r>
                    <w:t>Nissan Superannuation Plan</w:t>
                  </w:r>
                </w:p>
              </w:tc>
              <w:tc>
                <w:tcPr>
                  <w:tcW w:w="917"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rPr>
                  </w:pPr>
                </w:p>
              </w:tc>
              <w:tc>
                <w:tcPr>
                  <w:tcW w:w="1333"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rPr>
                  </w:pPr>
                </w:p>
              </w:tc>
            </w:tr>
            <w:tr w:rsidR="00666475" w:rsidTr="00E1189F">
              <w:tc>
                <w:tcPr>
                  <w:tcW w:w="2750" w:type="pct"/>
                  <w:tcBorders>
                    <w:top w:val="nil"/>
                    <w:left w:val="nil"/>
                    <w:bottom w:val="nil"/>
                    <w:right w:val="nil"/>
                  </w:tcBorders>
                  <w:shd w:val="clear" w:color="auto" w:fill="E0F1F7" w:themeFill="text2" w:themeFillTint="33"/>
                </w:tcPr>
                <w:p w:rsidR="00666475" w:rsidRDefault="00666475" w:rsidP="00E1189F">
                  <w:pPr>
                    <w:pStyle w:val="TableBodyText"/>
                    <w:jc w:val="left"/>
                  </w:pPr>
                  <w:r>
                    <w:t>Oasis Superannuation Master Trust</w:t>
                  </w:r>
                </w:p>
              </w:tc>
              <w:tc>
                <w:tcPr>
                  <w:tcW w:w="917"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rsidR="00666475" w:rsidRDefault="00666475" w:rsidP="00E1189F">
                  <w:pPr>
                    <w:pStyle w:val="TableBodyText"/>
                    <w:jc w:val="left"/>
                  </w:pPr>
                  <w:r>
                    <w:t>OnePath Masterfund</w:t>
                  </w:r>
                  <w:r w:rsidRPr="00A577AC">
                    <w:rPr>
                      <w:rStyle w:val="NoteLabel"/>
                    </w:rPr>
                    <w:t>a</w:t>
                  </w:r>
                </w:p>
              </w:tc>
              <w:tc>
                <w:tcPr>
                  <w:tcW w:w="917"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2750" w:type="pct"/>
                  <w:tcBorders>
                    <w:top w:val="nil"/>
                    <w:left w:val="nil"/>
                    <w:bottom w:val="nil"/>
                    <w:right w:val="nil"/>
                  </w:tcBorders>
                  <w:shd w:val="clear" w:color="auto" w:fill="FFFFFF" w:themeFill="background1"/>
                </w:tcPr>
                <w:p w:rsidR="00666475" w:rsidRDefault="00666475" w:rsidP="00E1189F">
                  <w:pPr>
                    <w:pStyle w:val="TableBodyText"/>
                    <w:jc w:val="left"/>
                  </w:pPr>
                  <w:r>
                    <w:t>Oracle Superannuation Plan</w:t>
                  </w:r>
                </w:p>
              </w:tc>
              <w:tc>
                <w:tcPr>
                  <w:tcW w:w="917"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rPr>
                  </w:pPr>
                </w:p>
              </w:tc>
              <w:tc>
                <w:tcPr>
                  <w:tcW w:w="1333"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rPr>
                  </w:pPr>
                </w:p>
              </w:tc>
            </w:tr>
            <w:tr w:rsidR="00666475" w:rsidTr="00E1189F">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rsidR="00666475" w:rsidRDefault="00666475" w:rsidP="00E1189F">
                  <w:pPr>
                    <w:pStyle w:val="TableBodyText"/>
                    <w:jc w:val="left"/>
                  </w:pPr>
                  <w:r>
                    <w:t>Perpetual Super Wrap</w:t>
                  </w:r>
                </w:p>
              </w:tc>
              <w:tc>
                <w:tcPr>
                  <w:tcW w:w="917"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2750" w:type="pct"/>
                  <w:tcBorders>
                    <w:top w:val="nil"/>
                    <w:left w:val="nil"/>
                    <w:bottom w:val="nil"/>
                    <w:right w:val="nil"/>
                  </w:tcBorders>
                  <w:shd w:val="clear" w:color="auto" w:fill="E0F1F7" w:themeFill="text2" w:themeFillTint="33"/>
                </w:tcPr>
                <w:p w:rsidR="00666475" w:rsidRDefault="00666475" w:rsidP="00E1189F">
                  <w:pPr>
                    <w:pStyle w:val="TableBodyText"/>
                    <w:jc w:val="left"/>
                  </w:pPr>
                  <w:r>
                    <w:t>Perpetual WealthFocus Superannuation Fund</w:t>
                  </w:r>
                </w:p>
              </w:tc>
              <w:tc>
                <w:tcPr>
                  <w:tcW w:w="917"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rsidR="00666475" w:rsidRDefault="00666475" w:rsidP="00E1189F">
                  <w:pPr>
                    <w:pStyle w:val="TableBodyText"/>
                    <w:jc w:val="left"/>
                  </w:pPr>
                  <w:r>
                    <w:t>Perpetual’s Select Superannuation Fund</w:t>
                  </w:r>
                </w:p>
              </w:tc>
              <w:tc>
                <w:tcPr>
                  <w:tcW w:w="917"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2750" w:type="pct"/>
                  <w:tcBorders>
                    <w:top w:val="nil"/>
                    <w:left w:val="nil"/>
                    <w:bottom w:val="nil"/>
                    <w:right w:val="nil"/>
                  </w:tcBorders>
                  <w:shd w:val="clear" w:color="auto" w:fill="E0F1F7" w:themeFill="text2" w:themeFillTint="33"/>
                </w:tcPr>
                <w:p w:rsidR="00666475" w:rsidRDefault="00666475" w:rsidP="00E1189F">
                  <w:pPr>
                    <w:pStyle w:val="TableBodyText"/>
                    <w:jc w:val="left"/>
                  </w:pPr>
                  <w:r>
                    <w:t>Personal Choice Private Fund</w:t>
                  </w:r>
                </w:p>
              </w:tc>
              <w:tc>
                <w:tcPr>
                  <w:tcW w:w="917"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rPr>
                  </w:pP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rsidR="00666475" w:rsidRDefault="00666475" w:rsidP="00E1189F">
                  <w:pPr>
                    <w:pStyle w:val="TableBodyText"/>
                    <w:jc w:val="left"/>
                  </w:pPr>
                  <w:r>
                    <w:t>Pitcher Retirement Plan</w:t>
                  </w:r>
                </w:p>
              </w:tc>
              <w:tc>
                <w:tcPr>
                  <w:tcW w:w="917"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rPr>
                  </w:pP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2750" w:type="pct"/>
                  <w:tcBorders>
                    <w:top w:val="nil"/>
                    <w:left w:val="nil"/>
                    <w:bottom w:val="nil"/>
                    <w:right w:val="nil"/>
                  </w:tcBorders>
                  <w:shd w:val="clear" w:color="auto" w:fill="E0F1F7" w:themeFill="text2" w:themeFillTint="33"/>
                </w:tcPr>
                <w:p w:rsidR="00666475" w:rsidRDefault="00666475" w:rsidP="00E1189F">
                  <w:pPr>
                    <w:pStyle w:val="TableBodyText"/>
                    <w:jc w:val="left"/>
                  </w:pPr>
                  <w:r>
                    <w:t>Port of Melbourne Superannuation Fund</w:t>
                  </w:r>
                </w:p>
              </w:tc>
              <w:tc>
                <w:tcPr>
                  <w:tcW w:w="917"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rPr>
                  </w:pP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rsidR="00666475" w:rsidRDefault="00666475" w:rsidP="00E1189F">
                  <w:pPr>
                    <w:pStyle w:val="TableBodyText"/>
                    <w:jc w:val="left"/>
                  </w:pPr>
                  <w:r>
                    <w:t>Powerwrap Master Plan</w:t>
                  </w:r>
                </w:p>
              </w:tc>
              <w:tc>
                <w:tcPr>
                  <w:tcW w:w="917"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rPr>
                  </w:pP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2750" w:type="pct"/>
                  <w:tcBorders>
                    <w:top w:val="nil"/>
                    <w:left w:val="nil"/>
                    <w:bottom w:val="nil"/>
                    <w:right w:val="nil"/>
                  </w:tcBorders>
                  <w:shd w:val="clear" w:color="auto" w:fill="E0F1F7" w:themeFill="text2" w:themeFillTint="33"/>
                </w:tcPr>
                <w:p w:rsidR="00666475" w:rsidRDefault="00666475" w:rsidP="00E1189F">
                  <w:pPr>
                    <w:pStyle w:val="TableBodyText"/>
                    <w:jc w:val="left"/>
                  </w:pPr>
                  <w:r>
                    <w:t>Praemium SMA Superannuation Fund</w:t>
                  </w:r>
                </w:p>
              </w:tc>
              <w:tc>
                <w:tcPr>
                  <w:tcW w:w="917"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rPr>
                  </w:pP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rsidR="00666475" w:rsidRDefault="00666475" w:rsidP="00E1189F">
                  <w:pPr>
                    <w:pStyle w:val="TableBodyText"/>
                    <w:jc w:val="left"/>
                  </w:pPr>
                  <w:r>
                    <w:t>Premiumchoice Retirement Service</w:t>
                  </w:r>
                </w:p>
              </w:tc>
              <w:tc>
                <w:tcPr>
                  <w:tcW w:w="917"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2750" w:type="pct"/>
                  <w:tcBorders>
                    <w:top w:val="nil"/>
                    <w:left w:val="nil"/>
                    <w:bottom w:val="nil"/>
                    <w:right w:val="nil"/>
                  </w:tcBorders>
                  <w:shd w:val="clear" w:color="auto" w:fill="E0F1F7" w:themeFill="text2" w:themeFillTint="33"/>
                </w:tcPr>
                <w:p w:rsidR="00666475" w:rsidRDefault="00666475" w:rsidP="00E1189F">
                  <w:pPr>
                    <w:pStyle w:val="TableBodyText"/>
                    <w:jc w:val="left"/>
                  </w:pPr>
                  <w:r>
                    <w:t>Prime Super</w:t>
                  </w:r>
                </w:p>
              </w:tc>
              <w:tc>
                <w:tcPr>
                  <w:tcW w:w="917"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rsidR="00666475" w:rsidRDefault="00666475" w:rsidP="00E1189F">
                  <w:pPr>
                    <w:pStyle w:val="TableBodyText"/>
                    <w:jc w:val="left"/>
                  </w:pPr>
                  <w:r>
                    <w:t>Public Sector Superannuation Accumulation Plan</w:t>
                  </w:r>
                </w:p>
              </w:tc>
              <w:tc>
                <w:tcPr>
                  <w:tcW w:w="917"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rPr>
                  </w:pP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2750" w:type="pct"/>
                  <w:tcBorders>
                    <w:top w:val="nil"/>
                    <w:left w:val="nil"/>
                    <w:bottom w:val="nil"/>
                    <w:right w:val="nil"/>
                  </w:tcBorders>
                  <w:shd w:val="clear" w:color="auto" w:fill="E0F1F7" w:themeFill="text2" w:themeFillTint="33"/>
                </w:tcPr>
                <w:p w:rsidR="00666475" w:rsidRDefault="00666475" w:rsidP="00E1189F">
                  <w:pPr>
                    <w:pStyle w:val="TableBodyText"/>
                    <w:jc w:val="left"/>
                  </w:pPr>
                  <w:r>
                    <w:t>Public Sector Superannuation Scheme</w:t>
                  </w:r>
                </w:p>
              </w:tc>
              <w:tc>
                <w:tcPr>
                  <w:tcW w:w="917"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rPr>
                  </w:pP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rsidR="00666475" w:rsidRDefault="00666475" w:rsidP="00E1189F">
                  <w:pPr>
                    <w:pStyle w:val="TableBodyText"/>
                    <w:jc w:val="left"/>
                  </w:pPr>
                  <w:r>
                    <w:t>Qantas Superannuation Plan</w:t>
                  </w:r>
                </w:p>
              </w:tc>
              <w:tc>
                <w:tcPr>
                  <w:tcW w:w="917"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2750" w:type="pct"/>
                  <w:tcBorders>
                    <w:top w:val="nil"/>
                    <w:left w:val="nil"/>
                    <w:bottom w:val="nil"/>
                    <w:right w:val="nil"/>
                  </w:tcBorders>
                  <w:shd w:val="clear" w:color="auto" w:fill="E0F1F7" w:themeFill="text2" w:themeFillTint="33"/>
                </w:tcPr>
                <w:p w:rsidR="00666475" w:rsidRDefault="00666475" w:rsidP="00E1189F">
                  <w:pPr>
                    <w:pStyle w:val="TableBodyText"/>
                    <w:jc w:val="left"/>
                  </w:pPr>
                  <w:r>
                    <w:t>Queensland Independent Education &amp; Care Superannuation Trust</w:t>
                  </w:r>
                </w:p>
              </w:tc>
              <w:tc>
                <w:tcPr>
                  <w:tcW w:w="917"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rsidR="00666475" w:rsidRDefault="00666475" w:rsidP="00E1189F">
                  <w:pPr>
                    <w:pStyle w:val="TableBodyText"/>
                    <w:jc w:val="left"/>
                  </w:pPr>
                  <w:r>
                    <w:t>Rei Super</w:t>
                  </w:r>
                </w:p>
              </w:tc>
              <w:tc>
                <w:tcPr>
                  <w:tcW w:w="917"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2750" w:type="pct"/>
                  <w:tcBorders>
                    <w:top w:val="nil"/>
                    <w:left w:val="nil"/>
                    <w:bottom w:val="nil"/>
                    <w:right w:val="nil"/>
                  </w:tcBorders>
                  <w:shd w:val="clear" w:color="auto" w:fill="E0F1F7" w:themeFill="text2" w:themeFillTint="33"/>
                </w:tcPr>
                <w:p w:rsidR="00666475" w:rsidRDefault="00666475" w:rsidP="00E1189F">
                  <w:pPr>
                    <w:pStyle w:val="TableBodyText"/>
                    <w:jc w:val="left"/>
                  </w:pPr>
                  <w:r>
                    <w:t>Retail Employees Superannuation Trust</w:t>
                  </w:r>
                </w:p>
              </w:tc>
              <w:tc>
                <w:tcPr>
                  <w:tcW w:w="917"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rsidR="00666475" w:rsidRDefault="00666475" w:rsidP="00E1189F">
                  <w:pPr>
                    <w:pStyle w:val="TableBodyText"/>
                    <w:jc w:val="left"/>
                  </w:pPr>
                  <w:r>
                    <w:t>Retirement Portfolio Service</w:t>
                  </w:r>
                </w:p>
              </w:tc>
              <w:tc>
                <w:tcPr>
                  <w:tcW w:w="917"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2750" w:type="pct"/>
                  <w:tcBorders>
                    <w:top w:val="nil"/>
                    <w:left w:val="nil"/>
                    <w:bottom w:val="nil"/>
                    <w:right w:val="nil"/>
                  </w:tcBorders>
                  <w:shd w:val="clear" w:color="auto" w:fill="E0F1F7" w:themeFill="text2" w:themeFillTint="33"/>
                </w:tcPr>
                <w:p w:rsidR="00666475" w:rsidRDefault="00666475" w:rsidP="00E1189F">
                  <w:pPr>
                    <w:pStyle w:val="TableBodyText"/>
                    <w:jc w:val="left"/>
                  </w:pPr>
                  <w:r>
                    <w:t>Retirement Wrap</w:t>
                  </w:r>
                  <w:r w:rsidRPr="00A577AC">
                    <w:rPr>
                      <w:rStyle w:val="NoteLabel"/>
                    </w:rPr>
                    <w:t>a</w:t>
                  </w:r>
                </w:p>
              </w:tc>
              <w:tc>
                <w:tcPr>
                  <w:tcW w:w="917"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rsidR="00666475" w:rsidRDefault="00666475" w:rsidP="00E1189F">
                  <w:pPr>
                    <w:pStyle w:val="TableBodyText"/>
                    <w:jc w:val="left"/>
                  </w:pPr>
                  <w:r>
                    <w:t>Rexel Australia Superannuation Plan</w:t>
                  </w:r>
                </w:p>
              </w:tc>
              <w:tc>
                <w:tcPr>
                  <w:tcW w:w="917"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rPr>
                  </w:pP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2750" w:type="pct"/>
                  <w:tcBorders>
                    <w:top w:val="nil"/>
                    <w:left w:val="nil"/>
                    <w:bottom w:val="nil"/>
                    <w:right w:val="nil"/>
                  </w:tcBorders>
                  <w:shd w:val="clear" w:color="auto" w:fill="E0F1F7" w:themeFill="text2" w:themeFillTint="33"/>
                </w:tcPr>
                <w:p w:rsidR="00666475" w:rsidRDefault="00666475" w:rsidP="00E1189F">
                  <w:pPr>
                    <w:pStyle w:val="TableBodyText"/>
                    <w:jc w:val="left"/>
                  </w:pPr>
                  <w:r>
                    <w:t>Russell Investments Master Trust</w:t>
                  </w:r>
                </w:p>
              </w:tc>
              <w:tc>
                <w:tcPr>
                  <w:tcW w:w="917"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rsidR="00666475" w:rsidRDefault="00666475" w:rsidP="00E1189F">
                  <w:pPr>
                    <w:pStyle w:val="TableBodyText"/>
                    <w:jc w:val="left"/>
                  </w:pPr>
                  <w:r>
                    <w:t>Smartsave ‘Member’s Choice’ Superannuation Master Plan</w:t>
                  </w:r>
                </w:p>
              </w:tc>
              <w:tc>
                <w:tcPr>
                  <w:tcW w:w="917"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rPr>
                  </w:pP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2750" w:type="pct"/>
                  <w:tcBorders>
                    <w:top w:val="nil"/>
                    <w:left w:val="nil"/>
                    <w:bottom w:val="nil"/>
                    <w:right w:val="nil"/>
                  </w:tcBorders>
                  <w:shd w:val="clear" w:color="auto" w:fill="FFFFFF" w:themeFill="background1"/>
                </w:tcPr>
                <w:p w:rsidR="00666475" w:rsidRDefault="00666475" w:rsidP="00E1189F">
                  <w:pPr>
                    <w:pStyle w:val="TableBodyText"/>
                    <w:jc w:val="left"/>
                  </w:pPr>
                  <w:r>
                    <w:t>SMF Eligible Rollover Fund</w:t>
                  </w:r>
                </w:p>
              </w:tc>
              <w:tc>
                <w:tcPr>
                  <w:tcW w:w="917"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rPr>
                  </w:pPr>
                </w:p>
              </w:tc>
              <w:tc>
                <w:tcPr>
                  <w:tcW w:w="1333"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rPr>
                  </w:pPr>
                </w:p>
              </w:tc>
            </w:tr>
            <w:tr w:rsidR="00666475" w:rsidTr="00E1189F">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rsidR="00666475" w:rsidRDefault="00666475" w:rsidP="00E1189F">
                  <w:pPr>
                    <w:pStyle w:val="TableBodyText"/>
                    <w:jc w:val="left"/>
                  </w:pPr>
                  <w:r>
                    <w:t>Star Portfolio Superannuation Fund</w:t>
                  </w:r>
                </w:p>
              </w:tc>
              <w:tc>
                <w:tcPr>
                  <w:tcW w:w="917"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2750" w:type="pct"/>
                  <w:tcBorders>
                    <w:top w:val="nil"/>
                    <w:left w:val="nil"/>
                    <w:bottom w:val="nil"/>
                    <w:right w:val="nil"/>
                  </w:tcBorders>
                  <w:shd w:val="clear" w:color="auto" w:fill="E0F1F7" w:themeFill="text2" w:themeFillTint="33"/>
                </w:tcPr>
                <w:p w:rsidR="00666475" w:rsidRDefault="00666475" w:rsidP="00E1189F">
                  <w:pPr>
                    <w:pStyle w:val="TableBodyText"/>
                    <w:jc w:val="left"/>
                  </w:pPr>
                  <w:r>
                    <w:t>State Public Sector Superannuation Scheme</w:t>
                  </w:r>
                </w:p>
              </w:tc>
              <w:tc>
                <w:tcPr>
                  <w:tcW w:w="917"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rsidR="00666475" w:rsidRDefault="00666475" w:rsidP="00E1189F">
                  <w:pPr>
                    <w:pStyle w:val="TableBodyText"/>
                    <w:jc w:val="left"/>
                  </w:pPr>
                  <w:r>
                    <w:t>StatePlus Fixed Term Pension Plan</w:t>
                  </w:r>
                </w:p>
              </w:tc>
              <w:tc>
                <w:tcPr>
                  <w:tcW w:w="917"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2750" w:type="pct"/>
                  <w:tcBorders>
                    <w:top w:val="nil"/>
                    <w:left w:val="nil"/>
                    <w:bottom w:val="nil"/>
                    <w:right w:val="nil"/>
                  </w:tcBorders>
                  <w:shd w:val="clear" w:color="auto" w:fill="E0F1F7" w:themeFill="text2" w:themeFillTint="33"/>
                </w:tcPr>
                <w:p w:rsidR="00666475" w:rsidRDefault="00666475" w:rsidP="00E1189F">
                  <w:pPr>
                    <w:pStyle w:val="TableBodyText"/>
                    <w:jc w:val="left"/>
                  </w:pPr>
                  <w:r>
                    <w:t>StatePlus Retirement Fund</w:t>
                  </w:r>
                </w:p>
              </w:tc>
              <w:tc>
                <w:tcPr>
                  <w:tcW w:w="917"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rsidR="00666475" w:rsidRDefault="00666475" w:rsidP="00E1189F">
                  <w:pPr>
                    <w:pStyle w:val="TableBodyText"/>
                    <w:jc w:val="left"/>
                  </w:pPr>
                  <w:r>
                    <w:t>Statewide Superannuation Trust</w:t>
                  </w:r>
                </w:p>
              </w:tc>
              <w:tc>
                <w:tcPr>
                  <w:tcW w:w="917"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2750" w:type="pct"/>
                  <w:tcBorders>
                    <w:top w:val="nil"/>
                    <w:left w:val="nil"/>
                    <w:bottom w:val="nil"/>
                    <w:right w:val="nil"/>
                  </w:tcBorders>
                  <w:shd w:val="clear" w:color="auto" w:fill="FFFFFF" w:themeFill="background1"/>
                </w:tcPr>
                <w:p w:rsidR="00666475" w:rsidRDefault="00666475" w:rsidP="00E1189F">
                  <w:pPr>
                    <w:pStyle w:val="TableBodyText"/>
                    <w:jc w:val="left"/>
                  </w:pPr>
                  <w:r>
                    <w:t>Stone Superannuation Fund</w:t>
                  </w:r>
                </w:p>
              </w:tc>
              <w:tc>
                <w:tcPr>
                  <w:tcW w:w="917"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rPr>
                  </w:pPr>
                </w:p>
              </w:tc>
              <w:tc>
                <w:tcPr>
                  <w:tcW w:w="1333"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rPr>
                  </w:pPr>
                </w:p>
              </w:tc>
            </w:tr>
            <w:tr w:rsidR="00666475" w:rsidTr="00E1189F">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rsidR="00666475" w:rsidRDefault="00666475" w:rsidP="00E1189F">
                  <w:pPr>
                    <w:pStyle w:val="TableBodyText"/>
                    <w:jc w:val="left"/>
                  </w:pPr>
                  <w:r>
                    <w:t>Suncorp Master Trust</w:t>
                  </w:r>
                </w:p>
              </w:tc>
              <w:tc>
                <w:tcPr>
                  <w:tcW w:w="917"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2750" w:type="pct"/>
                  <w:tcBorders>
                    <w:top w:val="nil"/>
                    <w:left w:val="nil"/>
                    <w:bottom w:val="nil"/>
                    <w:right w:val="nil"/>
                  </w:tcBorders>
                  <w:shd w:val="clear" w:color="auto" w:fill="E0F1F7" w:themeFill="text2" w:themeFillTint="33"/>
                </w:tcPr>
                <w:p w:rsidR="00666475" w:rsidRDefault="00666475" w:rsidP="00E1189F">
                  <w:pPr>
                    <w:pStyle w:val="TableBodyText"/>
                    <w:jc w:val="left"/>
                  </w:pPr>
                  <w:r>
                    <w:t>Sunsuper Superannuation Fund</w:t>
                  </w:r>
                </w:p>
              </w:tc>
              <w:tc>
                <w:tcPr>
                  <w:tcW w:w="917"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rsidR="00666475" w:rsidRDefault="00666475" w:rsidP="00E1189F">
                  <w:pPr>
                    <w:pStyle w:val="TableBodyText"/>
                    <w:jc w:val="left"/>
                  </w:pPr>
                  <w:r>
                    <w:t>Super Directions Fund a</w:t>
                  </w:r>
                </w:p>
              </w:tc>
              <w:tc>
                <w:tcPr>
                  <w:tcW w:w="917"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c>
                <w:tcPr>
                  <w:tcW w:w="2750" w:type="pct"/>
                  <w:tcBorders>
                    <w:top w:val="nil"/>
                    <w:left w:val="nil"/>
                    <w:bottom w:val="nil"/>
                    <w:right w:val="nil"/>
                  </w:tcBorders>
                  <w:shd w:val="clear" w:color="auto" w:fill="E0F1F7" w:themeFill="text2" w:themeFillTint="33"/>
                </w:tcPr>
                <w:p w:rsidR="00666475" w:rsidRDefault="00666475" w:rsidP="00E1189F">
                  <w:pPr>
                    <w:pStyle w:val="TableBodyText"/>
                    <w:jc w:val="left"/>
                  </w:pPr>
                  <w:r>
                    <w:t>Super Safeguard Fund</w:t>
                  </w:r>
                </w:p>
              </w:tc>
              <w:tc>
                <w:tcPr>
                  <w:tcW w:w="917"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rPr>
                  </w:pPr>
                </w:p>
              </w:tc>
              <w:tc>
                <w:tcPr>
                  <w:tcW w:w="1333"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666475" w:rsidTr="00E1189F">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rsidR="00666475" w:rsidRDefault="00666475" w:rsidP="00E1189F">
                  <w:pPr>
                    <w:pStyle w:val="TableBodyText"/>
                    <w:jc w:val="left"/>
                  </w:pPr>
                  <w:r>
                    <w:t>SuperTrace Eligible Rollover Fund</w:t>
                  </w:r>
                </w:p>
              </w:tc>
              <w:tc>
                <w:tcPr>
                  <w:tcW w:w="917"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rPr>
                  </w:pPr>
                </w:p>
              </w:tc>
            </w:tr>
            <w:tr w:rsidR="00666475" w:rsidTr="00E1189F">
              <w:tc>
                <w:tcPr>
                  <w:tcW w:w="2750" w:type="pct"/>
                  <w:tcBorders>
                    <w:top w:val="nil"/>
                    <w:left w:val="nil"/>
                    <w:right w:val="nil"/>
                  </w:tcBorders>
                  <w:shd w:val="clear" w:color="auto" w:fill="E0F1F7" w:themeFill="text2" w:themeFillTint="33"/>
                </w:tcPr>
                <w:p w:rsidR="00666475" w:rsidRDefault="00666475" w:rsidP="00E1189F">
                  <w:pPr>
                    <w:pStyle w:val="TableBodyText"/>
                    <w:jc w:val="left"/>
                  </w:pPr>
                  <w:r>
                    <w:t>Symetry Personal Retirement Fund</w:t>
                  </w:r>
                </w:p>
              </w:tc>
              <w:tc>
                <w:tcPr>
                  <w:tcW w:w="917" w:type="pct"/>
                  <w:tcBorders>
                    <w:top w:val="nil"/>
                    <w:left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bl>
          <w:p w:rsidR="00666475" w:rsidRDefault="00666475" w:rsidP="00E1189F">
            <w:pPr>
              <w:pStyle w:val="Box"/>
            </w:pPr>
          </w:p>
        </w:tc>
      </w:tr>
      <w:tr w:rsidR="00666475" w:rsidTr="00E1189F">
        <w:tc>
          <w:tcPr>
            <w:tcW w:w="5000" w:type="pct"/>
            <w:tcBorders>
              <w:top w:val="nil"/>
              <w:left w:val="nil"/>
              <w:bottom w:val="nil"/>
              <w:right w:val="nil"/>
            </w:tcBorders>
            <w:shd w:val="clear" w:color="auto" w:fill="auto"/>
          </w:tcPr>
          <w:p w:rsidR="00666475" w:rsidRDefault="00666475" w:rsidP="00E1189F">
            <w:pPr>
              <w:pStyle w:val="Note"/>
              <w:rPr>
                <w:i/>
              </w:rPr>
            </w:pPr>
            <w:r w:rsidRPr="008E77FE">
              <w:rPr>
                <w:rStyle w:val="NoteLabel"/>
              </w:rPr>
              <w:t>a</w:t>
            </w:r>
            <w:r>
              <w:t xml:space="preserve"> These funds submitted supplementary survey data after subsequent requests from the PC.</w:t>
            </w:r>
          </w:p>
        </w:tc>
      </w:tr>
      <w:tr w:rsidR="00666475" w:rsidTr="00E1189F">
        <w:tc>
          <w:tcPr>
            <w:tcW w:w="5000" w:type="pct"/>
            <w:tcBorders>
              <w:top w:val="nil"/>
              <w:left w:val="nil"/>
              <w:bottom w:val="nil"/>
              <w:right w:val="nil"/>
            </w:tcBorders>
            <w:shd w:val="clear" w:color="auto" w:fill="auto"/>
          </w:tcPr>
          <w:p w:rsidR="00666475" w:rsidRDefault="00666475" w:rsidP="00E1189F">
            <w:pPr>
              <w:pStyle w:val="Continued"/>
            </w:pPr>
            <w:r>
              <w:t>(continued next page)</w:t>
            </w:r>
          </w:p>
        </w:tc>
      </w:tr>
      <w:tr w:rsidR="00666475" w:rsidTr="00E1189F">
        <w:tc>
          <w:tcPr>
            <w:tcW w:w="5000" w:type="pct"/>
            <w:tcBorders>
              <w:top w:val="nil"/>
              <w:left w:val="nil"/>
              <w:bottom w:val="single" w:sz="6" w:space="0" w:color="78A22F"/>
              <w:right w:val="nil"/>
            </w:tcBorders>
            <w:shd w:val="clear" w:color="auto" w:fill="auto"/>
          </w:tcPr>
          <w:p w:rsidR="00666475" w:rsidRDefault="00666475" w:rsidP="00E1189F">
            <w:pPr>
              <w:pStyle w:val="Box"/>
              <w:spacing w:before="0" w:line="120" w:lineRule="exact"/>
            </w:pPr>
          </w:p>
        </w:tc>
      </w:tr>
      <w:tr w:rsidR="00666475" w:rsidRPr="000863A5" w:rsidTr="00E1189F">
        <w:tc>
          <w:tcPr>
            <w:tcW w:w="5000" w:type="pct"/>
            <w:tcBorders>
              <w:top w:val="single" w:sz="6" w:space="0" w:color="78A22F"/>
              <w:left w:val="nil"/>
              <w:bottom w:val="nil"/>
              <w:right w:val="nil"/>
            </w:tcBorders>
          </w:tcPr>
          <w:p w:rsidR="00666475" w:rsidRPr="00626D32" w:rsidRDefault="00666475" w:rsidP="00E1189F">
            <w:pPr>
              <w:pStyle w:val="BoxSpaceBelow"/>
            </w:pPr>
          </w:p>
        </w:tc>
      </w:tr>
    </w:tbl>
    <w:p w:rsidR="00666475" w:rsidRDefault="00666475" w:rsidP="0066647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66475" w:rsidTr="00E1189F">
        <w:trPr>
          <w:tblHeader/>
        </w:trPr>
        <w:tc>
          <w:tcPr>
            <w:tcW w:w="5000" w:type="pct"/>
            <w:tcBorders>
              <w:top w:val="single" w:sz="6" w:space="0" w:color="78A22F"/>
              <w:left w:val="nil"/>
              <w:bottom w:val="nil"/>
              <w:right w:val="nil"/>
            </w:tcBorders>
            <w:shd w:val="clear" w:color="auto" w:fill="auto"/>
          </w:tcPr>
          <w:p w:rsidR="00666475" w:rsidRPr="00784A05" w:rsidRDefault="00666475" w:rsidP="00E1189F">
            <w:pPr>
              <w:pStyle w:val="TableTitle"/>
            </w:pPr>
            <w:r>
              <w:rPr>
                <w:b w:val="0"/>
              </w:rPr>
              <w:t xml:space="preserve">Table </w:t>
            </w:r>
            <w:r w:rsidRPr="008D1D68">
              <w:rPr>
                <w:b w:val="0"/>
              </w:rPr>
              <w:t>18</w:t>
            </w:r>
            <w:r>
              <w:tab/>
            </w:r>
            <w:r w:rsidRPr="00DB36B6">
              <w:rPr>
                <w:b w:val="0"/>
                <w:sz w:val="18"/>
                <w:szCs w:val="18"/>
              </w:rPr>
              <w:t>(continued)</w:t>
            </w:r>
          </w:p>
        </w:tc>
      </w:tr>
      <w:tr w:rsidR="00666475" w:rsidTr="00E1189F">
        <w:tc>
          <w:tcPr>
            <w:tcW w:w="5000" w:type="pct"/>
            <w:tcBorders>
              <w:top w:val="nil"/>
              <w:left w:val="nil"/>
              <w:bottom w:val="nil"/>
              <w:right w:val="nil"/>
            </w:tcBorders>
            <w:shd w:val="clear" w:color="auto" w:fill="auto"/>
          </w:tcPr>
          <w:tbl>
            <w:tblPr>
              <w:tblStyle w:val="PlainTable1"/>
              <w:tblW w:w="5000" w:type="pct"/>
              <w:tblLook w:val="0400" w:firstRow="0" w:lastRow="0" w:firstColumn="0" w:lastColumn="0" w:noHBand="0" w:noVBand="1"/>
            </w:tblPr>
            <w:tblGrid>
              <w:gridCol w:w="4678"/>
              <w:gridCol w:w="1701"/>
              <w:gridCol w:w="2126"/>
            </w:tblGrid>
            <w:tr w:rsidR="00666475" w:rsidTr="00E1189F">
              <w:trPr>
                <w:cnfStyle w:val="000000100000" w:firstRow="0" w:lastRow="0" w:firstColumn="0" w:lastColumn="0" w:oddVBand="0" w:evenVBand="0" w:oddHBand="1" w:evenHBand="0" w:firstRowFirstColumn="0" w:firstRowLastColumn="0" w:lastRowFirstColumn="0" w:lastRowLastColumn="0"/>
              </w:trPr>
              <w:tc>
                <w:tcPr>
                  <w:tcW w:w="2750" w:type="pct"/>
                  <w:tcBorders>
                    <w:left w:val="nil"/>
                    <w:bottom w:val="single" w:sz="4" w:space="0" w:color="BFBFBF" w:themeColor="background1" w:themeShade="BF"/>
                    <w:right w:val="nil"/>
                  </w:tcBorders>
                  <w:shd w:val="clear" w:color="auto" w:fill="FFFFFF" w:themeFill="background1"/>
                </w:tcPr>
                <w:p w:rsidR="00666475" w:rsidRDefault="00666475" w:rsidP="00E1189F">
                  <w:pPr>
                    <w:pStyle w:val="TableColumnHeading"/>
                    <w:jc w:val="left"/>
                  </w:pPr>
                  <w:r>
                    <w:t>Name</w:t>
                  </w:r>
                </w:p>
              </w:tc>
              <w:tc>
                <w:tcPr>
                  <w:tcW w:w="1000" w:type="pct"/>
                  <w:tcBorders>
                    <w:left w:val="nil"/>
                    <w:bottom w:val="single" w:sz="4" w:space="0" w:color="BFBFBF" w:themeColor="background1" w:themeShade="BF"/>
                    <w:right w:val="nil"/>
                  </w:tcBorders>
                  <w:shd w:val="clear" w:color="auto" w:fill="FFFFFF" w:themeFill="background1"/>
                </w:tcPr>
                <w:p w:rsidR="00666475" w:rsidRDefault="00666475" w:rsidP="00E1189F">
                  <w:pPr>
                    <w:pStyle w:val="TableColumnHeading"/>
                  </w:pPr>
                  <w:r>
                    <w:t>Initial survey</w:t>
                  </w:r>
                </w:p>
              </w:tc>
              <w:tc>
                <w:tcPr>
                  <w:tcW w:w="1250" w:type="pct"/>
                  <w:tcBorders>
                    <w:left w:val="nil"/>
                    <w:bottom w:val="single" w:sz="4" w:space="0" w:color="BFBFBF" w:themeColor="background1" w:themeShade="BF"/>
                    <w:right w:val="nil"/>
                  </w:tcBorders>
                  <w:shd w:val="clear" w:color="auto" w:fill="FFFFFF" w:themeFill="background1"/>
                </w:tcPr>
                <w:p w:rsidR="00666475" w:rsidRDefault="00666475" w:rsidP="00E1189F">
                  <w:pPr>
                    <w:pStyle w:val="TableColumnHeading"/>
                  </w:pPr>
                  <w:r>
                    <w:t>Supplementary survey</w:t>
                  </w:r>
                </w:p>
              </w:tc>
            </w:tr>
            <w:tr w:rsidR="00666475" w:rsidTr="00E1189F">
              <w:tc>
                <w:tcPr>
                  <w:tcW w:w="2750" w:type="pct"/>
                  <w:tcBorders>
                    <w:left w:val="nil"/>
                    <w:bottom w:val="nil"/>
                    <w:right w:val="nil"/>
                  </w:tcBorders>
                  <w:shd w:val="clear" w:color="auto" w:fill="E0F1F7" w:themeFill="text2" w:themeFillTint="33"/>
                </w:tcPr>
                <w:p w:rsidR="00666475" w:rsidRDefault="00666475" w:rsidP="00E1189F">
                  <w:pPr>
                    <w:pStyle w:val="TableBodyText"/>
                    <w:spacing w:before="40"/>
                    <w:jc w:val="left"/>
                  </w:pPr>
                  <w:r>
                    <w:t>Tasplan Superannuation Fund</w:t>
                  </w:r>
                </w:p>
              </w:tc>
              <w:tc>
                <w:tcPr>
                  <w:tcW w:w="1000" w:type="pct"/>
                  <w:tcBorders>
                    <w:left w:val="nil"/>
                    <w:bottom w:val="nil"/>
                    <w:right w:val="nil"/>
                  </w:tcBorders>
                  <w:shd w:val="clear" w:color="auto" w:fill="E0F1F7" w:themeFill="text2" w:themeFillTint="33"/>
                </w:tcPr>
                <w:p w:rsidR="00666475" w:rsidRPr="00636991" w:rsidRDefault="00666475" w:rsidP="00E1189F">
                  <w:pPr>
                    <w:pStyle w:val="TableBodyText"/>
                    <w:spacing w:before="40"/>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c>
                <w:tcPr>
                  <w:tcW w:w="1250" w:type="pct"/>
                  <w:tcBorders>
                    <w:left w:val="nil"/>
                    <w:bottom w:val="nil"/>
                    <w:right w:val="nil"/>
                  </w:tcBorders>
                  <w:shd w:val="clear" w:color="auto" w:fill="E0F1F7" w:themeFill="text2" w:themeFillTint="33"/>
                </w:tcPr>
                <w:p w:rsidR="00666475" w:rsidRPr="00636991" w:rsidRDefault="00666475" w:rsidP="00E1189F">
                  <w:pPr>
                    <w:pStyle w:val="TableBodyText"/>
                    <w:spacing w:before="40"/>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r>
            <w:tr w:rsidR="00666475" w:rsidTr="00E1189F">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rsidR="00666475" w:rsidRDefault="00666475" w:rsidP="00E1189F">
                  <w:pPr>
                    <w:pStyle w:val="TableBodyText"/>
                    <w:jc w:val="left"/>
                  </w:pPr>
                  <w:r>
                    <w:t>Telstra Superannuation Scheme</w:t>
                  </w:r>
                </w:p>
              </w:tc>
              <w:tc>
                <w:tcPr>
                  <w:tcW w:w="1000"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c>
                <w:tcPr>
                  <w:tcW w:w="1250"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r>
            <w:tr w:rsidR="00666475" w:rsidTr="00E1189F">
              <w:tc>
                <w:tcPr>
                  <w:tcW w:w="2750" w:type="pct"/>
                  <w:tcBorders>
                    <w:top w:val="nil"/>
                    <w:left w:val="nil"/>
                    <w:bottom w:val="nil"/>
                    <w:right w:val="nil"/>
                  </w:tcBorders>
                  <w:shd w:val="clear" w:color="auto" w:fill="FFFFFF" w:themeFill="background1"/>
                </w:tcPr>
                <w:p w:rsidR="00666475" w:rsidRDefault="00666475" w:rsidP="00E1189F">
                  <w:pPr>
                    <w:pStyle w:val="TableBodyText"/>
                    <w:jc w:val="left"/>
                  </w:pPr>
                  <w:r>
                    <w:t>The ARA Retirement Fund</w:t>
                  </w:r>
                </w:p>
              </w:tc>
              <w:tc>
                <w:tcPr>
                  <w:tcW w:w="1000"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sz w:val="20"/>
                    </w:rPr>
                  </w:pPr>
                </w:p>
              </w:tc>
              <w:tc>
                <w:tcPr>
                  <w:tcW w:w="1250"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sz w:val="20"/>
                    </w:rPr>
                  </w:pPr>
                </w:p>
              </w:tc>
            </w:tr>
            <w:tr w:rsidR="00666475" w:rsidTr="00E1189F">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rsidR="00666475" w:rsidRDefault="00666475" w:rsidP="00E1189F">
                  <w:pPr>
                    <w:pStyle w:val="TableBodyText"/>
                    <w:jc w:val="left"/>
                  </w:pPr>
                  <w:r>
                    <w:t>The Bendigo Superannuation Plan</w:t>
                  </w:r>
                  <w:r w:rsidRPr="00A577AC">
                    <w:rPr>
                      <w:rStyle w:val="NoteLabel"/>
                    </w:rPr>
                    <w:t>a</w:t>
                  </w:r>
                </w:p>
              </w:tc>
              <w:tc>
                <w:tcPr>
                  <w:tcW w:w="1000"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sz w:val="20"/>
                    </w:rPr>
                  </w:pPr>
                </w:p>
              </w:tc>
              <w:tc>
                <w:tcPr>
                  <w:tcW w:w="1250"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r>
            <w:tr w:rsidR="00666475" w:rsidTr="00E1189F">
              <w:tc>
                <w:tcPr>
                  <w:tcW w:w="2750" w:type="pct"/>
                  <w:tcBorders>
                    <w:top w:val="nil"/>
                    <w:left w:val="nil"/>
                    <w:bottom w:val="nil"/>
                    <w:right w:val="nil"/>
                  </w:tcBorders>
                  <w:shd w:val="clear" w:color="auto" w:fill="E0F1F7" w:themeFill="text2" w:themeFillTint="33"/>
                </w:tcPr>
                <w:p w:rsidR="00666475" w:rsidRDefault="00666475" w:rsidP="00E1189F">
                  <w:pPr>
                    <w:pStyle w:val="TableBodyText"/>
                    <w:jc w:val="left"/>
                  </w:pPr>
                  <w:r>
                    <w:t>The Executive Superannuation Fund</w:t>
                  </w:r>
                </w:p>
              </w:tc>
              <w:tc>
                <w:tcPr>
                  <w:tcW w:w="1000"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c>
                <w:tcPr>
                  <w:tcW w:w="1250"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r>
            <w:tr w:rsidR="00666475" w:rsidTr="00E1189F">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rsidR="00666475" w:rsidRDefault="00666475" w:rsidP="00E1189F">
                  <w:pPr>
                    <w:pStyle w:val="TableBodyText"/>
                    <w:jc w:val="left"/>
                  </w:pPr>
                  <w:r>
                    <w:t>The James Superannuation Fund</w:t>
                  </w:r>
                </w:p>
              </w:tc>
              <w:tc>
                <w:tcPr>
                  <w:tcW w:w="1000"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c>
                <w:tcPr>
                  <w:tcW w:w="1250"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r>
            <w:tr w:rsidR="00666475" w:rsidTr="00E1189F">
              <w:tc>
                <w:tcPr>
                  <w:tcW w:w="2750" w:type="pct"/>
                  <w:tcBorders>
                    <w:top w:val="nil"/>
                    <w:left w:val="nil"/>
                    <w:bottom w:val="nil"/>
                    <w:right w:val="nil"/>
                  </w:tcBorders>
                  <w:shd w:val="clear" w:color="auto" w:fill="FFFFFF" w:themeFill="background1"/>
                </w:tcPr>
                <w:p w:rsidR="00666475" w:rsidRDefault="00666475" w:rsidP="00E1189F">
                  <w:pPr>
                    <w:pStyle w:val="TableBodyText"/>
                    <w:jc w:val="left"/>
                  </w:pPr>
                  <w:r>
                    <w:t>The Paragon Superannuation Fund</w:t>
                  </w:r>
                </w:p>
              </w:tc>
              <w:tc>
                <w:tcPr>
                  <w:tcW w:w="1000"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b/>
                      <w:color w:val="1E6782" w:themeColor="text2" w:themeShade="80"/>
                    </w:rPr>
                  </w:pPr>
                </w:p>
              </w:tc>
              <w:tc>
                <w:tcPr>
                  <w:tcW w:w="1250"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sz w:val="20"/>
                    </w:rPr>
                  </w:pPr>
                </w:p>
              </w:tc>
            </w:tr>
            <w:tr w:rsidR="00666475" w:rsidTr="00E1189F">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FFFFFF" w:themeFill="background1"/>
                </w:tcPr>
                <w:p w:rsidR="00666475" w:rsidRDefault="00666475" w:rsidP="00E1189F">
                  <w:pPr>
                    <w:pStyle w:val="TableBodyText"/>
                    <w:jc w:val="left"/>
                  </w:pPr>
                  <w:r>
                    <w:t>The PPS Corporate Superannuation Fund</w:t>
                  </w:r>
                </w:p>
              </w:tc>
              <w:tc>
                <w:tcPr>
                  <w:tcW w:w="1000"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sz w:val="20"/>
                    </w:rPr>
                  </w:pPr>
                </w:p>
              </w:tc>
              <w:tc>
                <w:tcPr>
                  <w:tcW w:w="1250"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sz w:val="20"/>
                    </w:rPr>
                  </w:pPr>
                </w:p>
              </w:tc>
            </w:tr>
            <w:tr w:rsidR="00666475" w:rsidTr="00E1189F">
              <w:tc>
                <w:tcPr>
                  <w:tcW w:w="2750" w:type="pct"/>
                  <w:tcBorders>
                    <w:top w:val="nil"/>
                    <w:left w:val="nil"/>
                    <w:bottom w:val="nil"/>
                    <w:right w:val="nil"/>
                  </w:tcBorders>
                  <w:shd w:val="clear" w:color="auto" w:fill="FFFFFF" w:themeFill="background1"/>
                </w:tcPr>
                <w:p w:rsidR="00666475" w:rsidRDefault="00666475" w:rsidP="00E1189F">
                  <w:pPr>
                    <w:pStyle w:val="TableBodyText"/>
                    <w:jc w:val="left"/>
                  </w:pPr>
                  <w:r>
                    <w:t>The Retirement Plan</w:t>
                  </w:r>
                </w:p>
              </w:tc>
              <w:tc>
                <w:tcPr>
                  <w:tcW w:w="1000"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sz w:val="20"/>
                    </w:rPr>
                  </w:pPr>
                </w:p>
              </w:tc>
              <w:tc>
                <w:tcPr>
                  <w:tcW w:w="1250"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sz w:val="20"/>
                    </w:rPr>
                  </w:pPr>
                </w:p>
              </w:tc>
            </w:tr>
            <w:tr w:rsidR="00666475" w:rsidTr="00E1189F">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rsidR="00666475" w:rsidRDefault="00666475" w:rsidP="00E1189F">
                  <w:pPr>
                    <w:pStyle w:val="TableBodyText"/>
                    <w:jc w:val="left"/>
                  </w:pPr>
                  <w:r>
                    <w:t>The State Bank Supersafe Approved Deposit Fund</w:t>
                  </w:r>
                </w:p>
              </w:tc>
              <w:tc>
                <w:tcPr>
                  <w:tcW w:w="1000"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c>
                <w:tcPr>
                  <w:tcW w:w="1250"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sz w:val="20"/>
                    </w:rPr>
                  </w:pPr>
                </w:p>
              </w:tc>
            </w:tr>
            <w:tr w:rsidR="00666475" w:rsidTr="00E1189F">
              <w:tc>
                <w:tcPr>
                  <w:tcW w:w="2750" w:type="pct"/>
                  <w:tcBorders>
                    <w:top w:val="nil"/>
                    <w:left w:val="nil"/>
                    <w:bottom w:val="nil"/>
                    <w:right w:val="nil"/>
                  </w:tcBorders>
                  <w:shd w:val="clear" w:color="auto" w:fill="E0F1F7" w:themeFill="text2" w:themeFillTint="33"/>
                </w:tcPr>
                <w:p w:rsidR="00666475" w:rsidRDefault="00666475" w:rsidP="00E1189F">
                  <w:pPr>
                    <w:pStyle w:val="TableBodyText"/>
                    <w:jc w:val="left"/>
                  </w:pPr>
                  <w:r>
                    <w:t>The Super Money Eligible Rollover Fund (SMERF)</w:t>
                  </w:r>
                </w:p>
              </w:tc>
              <w:tc>
                <w:tcPr>
                  <w:tcW w:w="1000"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sz w:val="20"/>
                    </w:rPr>
                  </w:pPr>
                </w:p>
              </w:tc>
              <w:tc>
                <w:tcPr>
                  <w:tcW w:w="1250"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r>
            <w:tr w:rsidR="00666475" w:rsidTr="00E1189F">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FFFFFF" w:themeFill="background1"/>
                </w:tcPr>
                <w:p w:rsidR="00666475" w:rsidRDefault="00666475" w:rsidP="00E1189F">
                  <w:pPr>
                    <w:pStyle w:val="TableBodyText"/>
                    <w:jc w:val="left"/>
                  </w:pPr>
                  <w:r>
                    <w:t>The Towers Watson Superannuation Fund</w:t>
                  </w:r>
                </w:p>
              </w:tc>
              <w:tc>
                <w:tcPr>
                  <w:tcW w:w="1000"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sz w:val="20"/>
                    </w:rPr>
                  </w:pPr>
                </w:p>
              </w:tc>
              <w:tc>
                <w:tcPr>
                  <w:tcW w:w="1250"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sz w:val="20"/>
                    </w:rPr>
                  </w:pPr>
                </w:p>
              </w:tc>
            </w:tr>
            <w:tr w:rsidR="00666475" w:rsidTr="00E1189F">
              <w:tc>
                <w:tcPr>
                  <w:tcW w:w="2750" w:type="pct"/>
                  <w:tcBorders>
                    <w:top w:val="nil"/>
                    <w:left w:val="nil"/>
                    <w:bottom w:val="nil"/>
                    <w:right w:val="nil"/>
                  </w:tcBorders>
                  <w:shd w:val="clear" w:color="auto" w:fill="FFFFFF" w:themeFill="background1"/>
                </w:tcPr>
                <w:p w:rsidR="00666475" w:rsidRDefault="00666475" w:rsidP="00E1189F">
                  <w:pPr>
                    <w:pStyle w:val="TableBodyText"/>
                    <w:jc w:val="left"/>
                  </w:pPr>
                  <w:r>
                    <w:t>The University of Adelaide Superannuation Scheme A 1985</w:t>
                  </w:r>
                </w:p>
              </w:tc>
              <w:tc>
                <w:tcPr>
                  <w:tcW w:w="1000"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sz w:val="20"/>
                    </w:rPr>
                  </w:pPr>
                </w:p>
              </w:tc>
              <w:tc>
                <w:tcPr>
                  <w:tcW w:w="1250"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sz w:val="20"/>
                    </w:rPr>
                  </w:pPr>
                </w:p>
              </w:tc>
            </w:tr>
            <w:tr w:rsidR="00666475" w:rsidTr="00E1189F">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rsidR="00666475" w:rsidRDefault="00666475" w:rsidP="00E1189F">
                  <w:pPr>
                    <w:pStyle w:val="TableBodyText"/>
                    <w:jc w:val="left"/>
                  </w:pPr>
                  <w:r>
                    <w:t>The University of New England Professorial Superannuation Fund</w:t>
                  </w:r>
                </w:p>
              </w:tc>
              <w:tc>
                <w:tcPr>
                  <w:tcW w:w="1000"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c>
                <w:tcPr>
                  <w:tcW w:w="1250"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r>
            <w:tr w:rsidR="00666475" w:rsidTr="00E1189F">
              <w:tc>
                <w:tcPr>
                  <w:tcW w:w="2750" w:type="pct"/>
                  <w:tcBorders>
                    <w:top w:val="nil"/>
                    <w:left w:val="nil"/>
                    <w:bottom w:val="nil"/>
                    <w:right w:val="nil"/>
                  </w:tcBorders>
                  <w:shd w:val="clear" w:color="auto" w:fill="E0F1F7" w:themeFill="text2" w:themeFillTint="33"/>
                </w:tcPr>
                <w:p w:rsidR="00666475" w:rsidRDefault="00666475" w:rsidP="00E1189F">
                  <w:pPr>
                    <w:pStyle w:val="TableBodyText"/>
                    <w:jc w:val="left"/>
                  </w:pPr>
                  <w:r>
                    <w:t>The University of New South Wales Professorial Superannuation Fund</w:t>
                  </w:r>
                </w:p>
              </w:tc>
              <w:tc>
                <w:tcPr>
                  <w:tcW w:w="1000"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c>
                <w:tcPr>
                  <w:tcW w:w="1250"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r>
            <w:tr w:rsidR="00666475" w:rsidTr="00E1189F">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FFFFFF" w:themeFill="background1"/>
                </w:tcPr>
                <w:p w:rsidR="00666475" w:rsidRDefault="00666475" w:rsidP="00E1189F">
                  <w:pPr>
                    <w:pStyle w:val="TableBodyText"/>
                    <w:jc w:val="left"/>
                  </w:pPr>
                  <w:r>
                    <w:t>The University of Sydney Professorial Superannuation System</w:t>
                  </w:r>
                </w:p>
              </w:tc>
              <w:tc>
                <w:tcPr>
                  <w:tcW w:w="1000"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sz w:val="20"/>
                    </w:rPr>
                  </w:pPr>
                </w:p>
              </w:tc>
              <w:tc>
                <w:tcPr>
                  <w:tcW w:w="1250"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r>
            <w:tr w:rsidR="00666475" w:rsidTr="00E1189F">
              <w:tc>
                <w:tcPr>
                  <w:tcW w:w="2750" w:type="pct"/>
                  <w:tcBorders>
                    <w:top w:val="nil"/>
                    <w:left w:val="nil"/>
                    <w:bottom w:val="nil"/>
                    <w:right w:val="nil"/>
                  </w:tcBorders>
                  <w:shd w:val="clear" w:color="auto" w:fill="FFFFFF" w:themeFill="background1"/>
                </w:tcPr>
                <w:p w:rsidR="00666475" w:rsidRDefault="00666475" w:rsidP="00E1189F">
                  <w:pPr>
                    <w:pStyle w:val="TableBodyText"/>
                    <w:jc w:val="left"/>
                  </w:pPr>
                  <w:r>
                    <w:t>The University of Wollongong Professorial Superannuation Scheme</w:t>
                  </w:r>
                </w:p>
              </w:tc>
              <w:tc>
                <w:tcPr>
                  <w:tcW w:w="1000"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sz w:val="20"/>
                    </w:rPr>
                  </w:pPr>
                </w:p>
              </w:tc>
              <w:tc>
                <w:tcPr>
                  <w:tcW w:w="1250"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r>
            <w:tr w:rsidR="00666475" w:rsidTr="00E1189F">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rsidR="00666475" w:rsidRDefault="00666475" w:rsidP="00E1189F">
                  <w:pPr>
                    <w:pStyle w:val="TableBodyText"/>
                    <w:jc w:val="left"/>
                  </w:pPr>
                  <w:r>
                    <w:t>The Victorian Independent Schools Superannuation Fund</w:t>
                  </w:r>
                </w:p>
              </w:tc>
              <w:tc>
                <w:tcPr>
                  <w:tcW w:w="1000"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c>
                <w:tcPr>
                  <w:tcW w:w="1250"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r>
            <w:tr w:rsidR="00666475" w:rsidTr="00E1189F">
              <w:tc>
                <w:tcPr>
                  <w:tcW w:w="2750" w:type="pct"/>
                  <w:tcBorders>
                    <w:top w:val="nil"/>
                    <w:left w:val="nil"/>
                    <w:bottom w:val="nil"/>
                    <w:right w:val="nil"/>
                  </w:tcBorders>
                  <w:shd w:val="clear" w:color="auto" w:fill="FFFFFF" w:themeFill="background1"/>
                </w:tcPr>
                <w:p w:rsidR="00666475" w:rsidRDefault="00666475" w:rsidP="00E1189F">
                  <w:pPr>
                    <w:pStyle w:val="TableBodyText"/>
                    <w:jc w:val="left"/>
                  </w:pPr>
                  <w:r>
                    <w:t>Tidswell Master Superannuation Plan</w:t>
                  </w:r>
                </w:p>
              </w:tc>
              <w:tc>
                <w:tcPr>
                  <w:tcW w:w="1000"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sz w:val="20"/>
                    </w:rPr>
                  </w:pPr>
                </w:p>
              </w:tc>
              <w:tc>
                <w:tcPr>
                  <w:tcW w:w="1250"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sz w:val="20"/>
                    </w:rPr>
                  </w:pPr>
                </w:p>
              </w:tc>
            </w:tr>
            <w:tr w:rsidR="00666475" w:rsidTr="00E1189F">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FFFFFF" w:themeFill="background1"/>
                </w:tcPr>
                <w:p w:rsidR="00666475" w:rsidRDefault="00666475" w:rsidP="00E1189F">
                  <w:pPr>
                    <w:pStyle w:val="TableBodyText"/>
                    <w:jc w:val="left"/>
                  </w:pPr>
                  <w:r>
                    <w:t>Toyota Super</w:t>
                  </w:r>
                </w:p>
              </w:tc>
              <w:tc>
                <w:tcPr>
                  <w:tcW w:w="1000"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sz w:val="20"/>
                    </w:rPr>
                  </w:pPr>
                </w:p>
              </w:tc>
              <w:tc>
                <w:tcPr>
                  <w:tcW w:w="1250"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sz w:val="20"/>
                    </w:rPr>
                  </w:pPr>
                </w:p>
              </w:tc>
            </w:tr>
            <w:tr w:rsidR="00666475" w:rsidTr="00E1189F">
              <w:tc>
                <w:tcPr>
                  <w:tcW w:w="2750" w:type="pct"/>
                  <w:tcBorders>
                    <w:top w:val="nil"/>
                    <w:left w:val="nil"/>
                    <w:bottom w:val="nil"/>
                    <w:right w:val="nil"/>
                  </w:tcBorders>
                  <w:shd w:val="clear" w:color="auto" w:fill="E0F1F7" w:themeFill="text2" w:themeFillTint="33"/>
                </w:tcPr>
                <w:p w:rsidR="00666475" w:rsidRDefault="00666475" w:rsidP="00E1189F">
                  <w:pPr>
                    <w:pStyle w:val="TableBodyText"/>
                    <w:jc w:val="left"/>
                  </w:pPr>
                  <w:r>
                    <w:t>TWU Superannuation Fund</w:t>
                  </w:r>
                </w:p>
              </w:tc>
              <w:tc>
                <w:tcPr>
                  <w:tcW w:w="1000"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c>
                <w:tcPr>
                  <w:tcW w:w="1250"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sz w:val="20"/>
                    </w:rPr>
                  </w:pPr>
                </w:p>
              </w:tc>
            </w:tr>
            <w:tr w:rsidR="00666475" w:rsidTr="00E1189F">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rsidR="00666475" w:rsidRDefault="00666475" w:rsidP="00E1189F">
                  <w:pPr>
                    <w:pStyle w:val="TableBodyText"/>
                    <w:jc w:val="left"/>
                  </w:pPr>
                  <w:r>
                    <w:t>Ultimate Superannuation Fund</w:t>
                  </w:r>
                </w:p>
              </w:tc>
              <w:tc>
                <w:tcPr>
                  <w:tcW w:w="1000"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c>
                <w:tcPr>
                  <w:tcW w:w="1250"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r>
            <w:tr w:rsidR="00666475" w:rsidTr="00E1189F">
              <w:tc>
                <w:tcPr>
                  <w:tcW w:w="2750" w:type="pct"/>
                  <w:tcBorders>
                    <w:top w:val="nil"/>
                    <w:left w:val="nil"/>
                    <w:bottom w:val="nil"/>
                    <w:right w:val="nil"/>
                  </w:tcBorders>
                  <w:shd w:val="clear" w:color="auto" w:fill="E0F1F7" w:themeFill="text2" w:themeFillTint="33"/>
                </w:tcPr>
                <w:p w:rsidR="00666475" w:rsidRDefault="00666475" w:rsidP="00E1189F">
                  <w:pPr>
                    <w:pStyle w:val="TableBodyText"/>
                    <w:jc w:val="left"/>
                  </w:pPr>
                  <w:r>
                    <w:t>Unisuper</w:t>
                  </w:r>
                </w:p>
              </w:tc>
              <w:tc>
                <w:tcPr>
                  <w:tcW w:w="1000"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c>
                <w:tcPr>
                  <w:tcW w:w="1250"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r>
            <w:tr w:rsidR="00666475" w:rsidTr="00E1189F">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FFFFFF" w:themeFill="background1"/>
                </w:tcPr>
                <w:p w:rsidR="00666475" w:rsidRDefault="00666475" w:rsidP="00E1189F">
                  <w:pPr>
                    <w:pStyle w:val="TableBodyText"/>
                    <w:jc w:val="left"/>
                  </w:pPr>
                  <w:r>
                    <w:t>United Technologies Corporation Retirement Plan</w:t>
                  </w:r>
                </w:p>
              </w:tc>
              <w:tc>
                <w:tcPr>
                  <w:tcW w:w="1000"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sz w:val="20"/>
                    </w:rPr>
                  </w:pPr>
                </w:p>
              </w:tc>
              <w:tc>
                <w:tcPr>
                  <w:tcW w:w="1250"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sz w:val="20"/>
                    </w:rPr>
                  </w:pPr>
                </w:p>
              </w:tc>
            </w:tr>
            <w:tr w:rsidR="00666475" w:rsidTr="00E1189F">
              <w:tc>
                <w:tcPr>
                  <w:tcW w:w="2750" w:type="pct"/>
                  <w:tcBorders>
                    <w:top w:val="nil"/>
                    <w:left w:val="nil"/>
                    <w:bottom w:val="nil"/>
                    <w:right w:val="nil"/>
                  </w:tcBorders>
                  <w:shd w:val="clear" w:color="auto" w:fill="E0F1F7" w:themeFill="text2" w:themeFillTint="33"/>
                </w:tcPr>
                <w:p w:rsidR="00666475" w:rsidRDefault="00666475" w:rsidP="00E1189F">
                  <w:pPr>
                    <w:pStyle w:val="TableBodyText"/>
                    <w:jc w:val="left"/>
                  </w:pPr>
                  <w:r>
                    <w:t>Victorian Superannuation Fund</w:t>
                  </w:r>
                </w:p>
              </w:tc>
              <w:tc>
                <w:tcPr>
                  <w:tcW w:w="1000"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c>
                <w:tcPr>
                  <w:tcW w:w="1250"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r>
            <w:tr w:rsidR="00666475" w:rsidTr="00E1189F">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rsidR="00666475" w:rsidRDefault="00666475" w:rsidP="00E1189F">
                  <w:pPr>
                    <w:pStyle w:val="TableBodyText"/>
                    <w:jc w:val="left"/>
                  </w:pPr>
                  <w:r>
                    <w:t>WA Local Government Superannuation Plan</w:t>
                  </w:r>
                </w:p>
              </w:tc>
              <w:tc>
                <w:tcPr>
                  <w:tcW w:w="1000"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c>
                <w:tcPr>
                  <w:tcW w:w="1250"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r>
            <w:tr w:rsidR="00666475" w:rsidTr="00E1189F">
              <w:tc>
                <w:tcPr>
                  <w:tcW w:w="2750" w:type="pct"/>
                  <w:tcBorders>
                    <w:top w:val="nil"/>
                    <w:left w:val="nil"/>
                    <w:bottom w:val="nil"/>
                    <w:right w:val="nil"/>
                  </w:tcBorders>
                  <w:shd w:val="clear" w:color="auto" w:fill="FFFFFF" w:themeFill="background1"/>
                </w:tcPr>
                <w:p w:rsidR="00666475" w:rsidRDefault="00666475" w:rsidP="00E1189F">
                  <w:pPr>
                    <w:pStyle w:val="TableBodyText"/>
                    <w:jc w:val="left"/>
                  </w:pPr>
                  <w:r>
                    <w:t>Wealth Personal Superannuation and Pension Fund</w:t>
                  </w:r>
                </w:p>
              </w:tc>
              <w:tc>
                <w:tcPr>
                  <w:tcW w:w="1000"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sz w:val="20"/>
                    </w:rPr>
                  </w:pPr>
                </w:p>
              </w:tc>
              <w:tc>
                <w:tcPr>
                  <w:tcW w:w="1250"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sz w:val="20"/>
                    </w:rPr>
                  </w:pPr>
                </w:p>
              </w:tc>
            </w:tr>
            <w:tr w:rsidR="00666475" w:rsidTr="00E1189F">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rsidR="00666475" w:rsidRDefault="00666475" w:rsidP="00E1189F">
                  <w:pPr>
                    <w:pStyle w:val="TableBodyText"/>
                    <w:jc w:val="left"/>
                  </w:pPr>
                  <w:r>
                    <w:t>Westpac Mastertrust - Superannuation Division</w:t>
                  </w:r>
                  <w:r w:rsidRPr="00A577AC">
                    <w:rPr>
                      <w:rStyle w:val="NoteLabel"/>
                    </w:rPr>
                    <w:t>a</w:t>
                  </w:r>
                </w:p>
              </w:tc>
              <w:tc>
                <w:tcPr>
                  <w:tcW w:w="1000"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c>
                <w:tcPr>
                  <w:tcW w:w="1250"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r>
            <w:tr w:rsidR="00666475" w:rsidTr="00E1189F">
              <w:trPr>
                <w:trHeight w:val="32"/>
              </w:trPr>
              <w:tc>
                <w:tcPr>
                  <w:tcW w:w="2750" w:type="pct"/>
                  <w:tcBorders>
                    <w:top w:val="nil"/>
                    <w:left w:val="nil"/>
                    <w:bottom w:val="nil"/>
                    <w:right w:val="nil"/>
                  </w:tcBorders>
                  <w:shd w:val="clear" w:color="auto" w:fill="E0F1F7" w:themeFill="text2" w:themeFillTint="33"/>
                </w:tcPr>
                <w:p w:rsidR="00666475" w:rsidRDefault="00666475" w:rsidP="00E1189F">
                  <w:pPr>
                    <w:pStyle w:val="TableBodyText"/>
                    <w:jc w:val="left"/>
                  </w:pPr>
                  <w:r>
                    <w:t>Westpac Personal Superannuation Fund</w:t>
                  </w:r>
                </w:p>
              </w:tc>
              <w:tc>
                <w:tcPr>
                  <w:tcW w:w="1000" w:type="pct"/>
                  <w:tcBorders>
                    <w:top w:val="nil"/>
                    <w:left w:val="nil"/>
                    <w:bottom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c>
                <w:tcPr>
                  <w:tcW w:w="1250" w:type="pct"/>
                  <w:tcBorders>
                    <w:top w:val="nil"/>
                    <w:left w:val="nil"/>
                    <w:bottom w:val="nil"/>
                    <w:right w:val="nil"/>
                  </w:tcBorders>
                  <w:shd w:val="clear" w:color="auto" w:fill="FFFFFF" w:themeFill="background1"/>
                </w:tcPr>
                <w:p w:rsidR="00666475" w:rsidRPr="00636991" w:rsidRDefault="00666475" w:rsidP="00E1189F">
                  <w:pPr>
                    <w:pStyle w:val="TableBodyText"/>
                    <w:jc w:val="center"/>
                    <w:rPr>
                      <w:rFonts w:ascii="Wingdings" w:hAnsi="Wingdings"/>
                      <w:b/>
                      <w:color w:val="1E6782" w:themeColor="text2" w:themeShade="80"/>
                      <w:sz w:val="20"/>
                    </w:rPr>
                  </w:pPr>
                </w:p>
              </w:tc>
            </w:tr>
            <w:tr w:rsidR="00666475" w:rsidTr="00E1189F">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right w:val="nil"/>
                  </w:tcBorders>
                  <w:shd w:val="clear" w:color="auto" w:fill="E0F1F7" w:themeFill="text2" w:themeFillTint="33"/>
                </w:tcPr>
                <w:p w:rsidR="00666475" w:rsidRDefault="00666475" w:rsidP="00E1189F">
                  <w:pPr>
                    <w:pStyle w:val="TableBodyText"/>
                    <w:jc w:val="left"/>
                  </w:pPr>
                  <w:r>
                    <w:t>Zurich Master Superannuation Fund</w:t>
                  </w:r>
                </w:p>
              </w:tc>
              <w:tc>
                <w:tcPr>
                  <w:tcW w:w="1000" w:type="pct"/>
                  <w:tcBorders>
                    <w:top w:val="nil"/>
                    <w:left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c>
                <w:tcPr>
                  <w:tcW w:w="1250" w:type="pct"/>
                  <w:tcBorders>
                    <w:top w:val="nil"/>
                    <w:left w:val="nil"/>
                    <w:right w:val="nil"/>
                  </w:tcBorders>
                  <w:shd w:val="clear" w:color="auto" w:fill="E0F1F7" w:themeFill="text2" w:themeFillTint="33"/>
                </w:tcPr>
                <w:p w:rsidR="00666475" w:rsidRPr="00636991" w:rsidRDefault="00666475" w:rsidP="00E1189F">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r>
          </w:tbl>
          <w:p w:rsidR="00666475" w:rsidRDefault="00666475" w:rsidP="00E1189F">
            <w:pPr>
              <w:pStyle w:val="Box"/>
            </w:pPr>
          </w:p>
        </w:tc>
      </w:tr>
      <w:tr w:rsidR="00666475" w:rsidTr="00E1189F">
        <w:tc>
          <w:tcPr>
            <w:tcW w:w="5000" w:type="pct"/>
            <w:tcBorders>
              <w:top w:val="nil"/>
              <w:left w:val="nil"/>
              <w:bottom w:val="nil"/>
              <w:right w:val="nil"/>
            </w:tcBorders>
            <w:shd w:val="clear" w:color="auto" w:fill="auto"/>
          </w:tcPr>
          <w:p w:rsidR="00666475" w:rsidRDefault="00666475" w:rsidP="00E1189F">
            <w:pPr>
              <w:pStyle w:val="Note"/>
              <w:rPr>
                <w:i/>
              </w:rPr>
            </w:pPr>
            <w:r w:rsidRPr="008E77FE">
              <w:rPr>
                <w:rStyle w:val="NoteLabel"/>
              </w:rPr>
              <w:t>a</w:t>
            </w:r>
            <w:r>
              <w:t xml:space="preserve"> These funds submitted supplementary survey data after subsequent requests from the PC.</w:t>
            </w:r>
          </w:p>
        </w:tc>
      </w:tr>
      <w:tr w:rsidR="00666475" w:rsidTr="00E1189F">
        <w:tc>
          <w:tcPr>
            <w:tcW w:w="5000" w:type="pct"/>
            <w:tcBorders>
              <w:top w:val="nil"/>
              <w:left w:val="nil"/>
              <w:bottom w:val="single" w:sz="6" w:space="0" w:color="78A22F"/>
              <w:right w:val="nil"/>
            </w:tcBorders>
            <w:shd w:val="clear" w:color="auto" w:fill="auto"/>
          </w:tcPr>
          <w:p w:rsidR="00666475" w:rsidRDefault="00666475" w:rsidP="00E1189F">
            <w:pPr>
              <w:pStyle w:val="Box"/>
              <w:spacing w:before="0" w:line="120" w:lineRule="exact"/>
            </w:pPr>
          </w:p>
        </w:tc>
      </w:tr>
      <w:tr w:rsidR="00666475" w:rsidRPr="000863A5" w:rsidTr="00E1189F">
        <w:tc>
          <w:tcPr>
            <w:tcW w:w="5000" w:type="pct"/>
            <w:tcBorders>
              <w:top w:val="single" w:sz="6" w:space="0" w:color="78A22F"/>
              <w:left w:val="nil"/>
              <w:bottom w:val="nil"/>
              <w:right w:val="nil"/>
            </w:tcBorders>
          </w:tcPr>
          <w:p w:rsidR="00666475" w:rsidRPr="00626D32" w:rsidRDefault="00666475" w:rsidP="00E1189F">
            <w:pPr>
              <w:pStyle w:val="BoxSpaceBelow"/>
            </w:pPr>
          </w:p>
        </w:tc>
      </w:tr>
    </w:tbl>
    <w:p w:rsidR="00666475" w:rsidRDefault="00666475" w:rsidP="00666475">
      <w:pPr>
        <w:pStyle w:val="BodyText"/>
      </w:pPr>
    </w:p>
    <w:p w:rsidR="00666475" w:rsidRDefault="00666475" w:rsidP="0066647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66475" w:rsidTr="00E1189F">
        <w:trPr>
          <w:tblHeader/>
        </w:trPr>
        <w:tc>
          <w:tcPr>
            <w:tcW w:w="5000" w:type="pct"/>
            <w:tcBorders>
              <w:top w:val="single" w:sz="6" w:space="0" w:color="78A22F"/>
              <w:left w:val="nil"/>
              <w:bottom w:val="nil"/>
              <w:right w:val="nil"/>
            </w:tcBorders>
            <w:shd w:val="clear" w:color="auto" w:fill="auto"/>
          </w:tcPr>
          <w:p w:rsidR="00666475" w:rsidRPr="00784A05" w:rsidRDefault="00666475" w:rsidP="00E1189F">
            <w:pPr>
              <w:pStyle w:val="TableTitle"/>
            </w:pPr>
            <w:r>
              <w:rPr>
                <w:b w:val="0"/>
              </w:rPr>
              <w:t xml:space="preserve">Table </w:t>
            </w:r>
            <w:bookmarkStart w:id="134" w:name="OLE_LINK66"/>
            <w:r>
              <w:rPr>
                <w:b w:val="0"/>
                <w:noProof/>
              </w:rPr>
              <w:t>19</w:t>
            </w:r>
            <w:bookmarkEnd w:id="134"/>
            <w:r>
              <w:tab/>
              <w:t>Survey responses: asset class returns (2008–2017)</w:t>
            </w:r>
          </w:p>
        </w:tc>
      </w:tr>
      <w:tr w:rsidR="00666475" w:rsidTr="00E1189F">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229"/>
              <w:gridCol w:w="725"/>
              <w:gridCol w:w="866"/>
              <w:gridCol w:w="1109"/>
              <w:gridCol w:w="1448"/>
              <w:gridCol w:w="936"/>
              <w:gridCol w:w="1192"/>
            </w:tblGrid>
            <w:tr w:rsidR="00666475" w:rsidTr="00E1189F">
              <w:trPr>
                <w:tblHeader/>
              </w:trPr>
              <w:tc>
                <w:tcPr>
                  <w:tcW w:w="1310" w:type="pct"/>
                  <w:tcBorders>
                    <w:top w:val="single" w:sz="6" w:space="0" w:color="BFBFBF"/>
                    <w:bottom w:val="single" w:sz="6" w:space="0" w:color="BFBFBF"/>
                  </w:tcBorders>
                  <w:shd w:val="clear" w:color="auto" w:fill="auto"/>
                  <w:tcMar>
                    <w:top w:w="28" w:type="dxa"/>
                  </w:tcMar>
                </w:tcPr>
                <w:p w:rsidR="00666475" w:rsidRDefault="00666475" w:rsidP="00E1189F">
                  <w:pPr>
                    <w:pStyle w:val="TableColumnHeading"/>
                    <w:jc w:val="left"/>
                  </w:pPr>
                </w:p>
              </w:tc>
              <w:tc>
                <w:tcPr>
                  <w:tcW w:w="1587" w:type="pct"/>
                  <w:gridSpan w:val="3"/>
                  <w:tcBorders>
                    <w:top w:val="single" w:sz="6" w:space="0" w:color="BFBFBF"/>
                    <w:bottom w:val="single" w:sz="6" w:space="0" w:color="BFBFBF"/>
                  </w:tcBorders>
                </w:tcPr>
                <w:p w:rsidR="00666475" w:rsidRPr="0002294F" w:rsidRDefault="00666475" w:rsidP="00E1189F">
                  <w:pPr>
                    <w:pStyle w:val="TableColumnHeading"/>
                    <w:ind w:right="28"/>
                    <w:jc w:val="center"/>
                    <w:rPr>
                      <w:b/>
                      <w:i w:val="0"/>
                      <w:vertAlign w:val="superscript"/>
                    </w:rPr>
                  </w:pPr>
                  <w:r>
                    <w:t>Number of observations</w:t>
                  </w:r>
                </w:p>
              </w:tc>
              <w:tc>
                <w:tcPr>
                  <w:tcW w:w="2102" w:type="pct"/>
                  <w:gridSpan w:val="3"/>
                  <w:tcBorders>
                    <w:top w:val="single" w:sz="6" w:space="0" w:color="BFBFBF"/>
                    <w:bottom w:val="single" w:sz="6" w:space="0" w:color="BFBFBF"/>
                  </w:tcBorders>
                </w:tcPr>
                <w:p w:rsidR="00666475" w:rsidRDefault="00666475" w:rsidP="00E1189F">
                  <w:pPr>
                    <w:pStyle w:val="TableColumnHeading"/>
                    <w:ind w:right="28"/>
                    <w:jc w:val="center"/>
                  </w:pPr>
                  <w:r>
                    <w:t>Annualised net investment return (per cent)</w:t>
                  </w:r>
                </w:p>
              </w:tc>
            </w:tr>
            <w:tr w:rsidR="00666475" w:rsidTr="00E1189F">
              <w:trPr>
                <w:tblHeader/>
              </w:trPr>
              <w:tc>
                <w:tcPr>
                  <w:tcW w:w="1310" w:type="pct"/>
                  <w:tcBorders>
                    <w:top w:val="single" w:sz="6" w:space="0" w:color="BFBFBF"/>
                    <w:bottom w:val="single" w:sz="6" w:space="0" w:color="BFBFBF"/>
                  </w:tcBorders>
                  <w:shd w:val="clear" w:color="auto" w:fill="auto"/>
                  <w:tcMar>
                    <w:top w:w="28" w:type="dxa"/>
                  </w:tcMar>
                </w:tcPr>
                <w:p w:rsidR="00666475" w:rsidRDefault="00666475" w:rsidP="00E1189F">
                  <w:pPr>
                    <w:pStyle w:val="TableColumnHeading"/>
                    <w:jc w:val="left"/>
                  </w:pPr>
                  <w:r>
                    <w:t>Asset class</w:t>
                  </w:r>
                </w:p>
              </w:tc>
              <w:tc>
                <w:tcPr>
                  <w:tcW w:w="426" w:type="pct"/>
                  <w:tcBorders>
                    <w:top w:val="single" w:sz="6" w:space="0" w:color="BFBFBF"/>
                    <w:bottom w:val="single" w:sz="6" w:space="0" w:color="BFBFBF"/>
                  </w:tcBorders>
                </w:tcPr>
                <w:p w:rsidR="00666475" w:rsidRDefault="00666475" w:rsidP="00E1189F">
                  <w:pPr>
                    <w:pStyle w:val="TableColumnHeading"/>
                  </w:pPr>
                  <w:r>
                    <w:t>System</w:t>
                  </w:r>
                </w:p>
              </w:tc>
              <w:tc>
                <w:tcPr>
                  <w:tcW w:w="509" w:type="pct"/>
                  <w:tcBorders>
                    <w:top w:val="single" w:sz="6" w:space="0" w:color="BFBFBF"/>
                    <w:bottom w:val="single" w:sz="6" w:space="0" w:color="BFBFBF"/>
                  </w:tcBorders>
                  <w:shd w:val="clear" w:color="auto" w:fill="auto"/>
                  <w:tcMar>
                    <w:top w:w="28" w:type="dxa"/>
                  </w:tcMar>
                </w:tcPr>
                <w:p w:rsidR="00666475" w:rsidRDefault="00666475" w:rsidP="00E1189F">
                  <w:pPr>
                    <w:pStyle w:val="TableColumnHeading"/>
                  </w:pPr>
                  <w:r>
                    <w:t>Retail</w:t>
                  </w:r>
                </w:p>
              </w:tc>
              <w:tc>
                <w:tcPr>
                  <w:tcW w:w="652" w:type="pct"/>
                  <w:tcBorders>
                    <w:top w:val="single" w:sz="6" w:space="0" w:color="BFBFBF"/>
                    <w:bottom w:val="single" w:sz="6" w:space="0" w:color="BFBFBF"/>
                  </w:tcBorders>
                  <w:shd w:val="clear" w:color="auto" w:fill="auto"/>
                  <w:tcMar>
                    <w:top w:w="28" w:type="dxa"/>
                  </w:tcMar>
                </w:tcPr>
                <w:p w:rsidR="00666475" w:rsidRDefault="00666475" w:rsidP="00E1189F">
                  <w:pPr>
                    <w:pStyle w:val="TableColumnHeading"/>
                    <w:ind w:right="28"/>
                  </w:pPr>
                  <w:r>
                    <w:t>Not-for</w:t>
                  </w:r>
                  <w:r>
                    <w:noBreakHyphen/>
                    <w:t>profit</w:t>
                  </w:r>
                </w:p>
              </w:tc>
              <w:tc>
                <w:tcPr>
                  <w:tcW w:w="851" w:type="pct"/>
                  <w:tcBorders>
                    <w:top w:val="single" w:sz="6" w:space="0" w:color="BFBFBF"/>
                    <w:bottom w:val="single" w:sz="6" w:space="0" w:color="BFBFBF"/>
                  </w:tcBorders>
                </w:tcPr>
                <w:p w:rsidR="00666475" w:rsidRDefault="00666475" w:rsidP="00E1189F">
                  <w:pPr>
                    <w:pStyle w:val="TableColumnHeading"/>
                  </w:pPr>
                  <w:r>
                    <w:t>System</w:t>
                  </w:r>
                </w:p>
              </w:tc>
              <w:tc>
                <w:tcPr>
                  <w:tcW w:w="550" w:type="pct"/>
                  <w:tcBorders>
                    <w:top w:val="single" w:sz="6" w:space="0" w:color="BFBFBF"/>
                    <w:bottom w:val="single" w:sz="6" w:space="0" w:color="BFBFBF"/>
                  </w:tcBorders>
                </w:tcPr>
                <w:p w:rsidR="00666475" w:rsidRDefault="00666475" w:rsidP="00E1189F">
                  <w:pPr>
                    <w:pStyle w:val="TableColumnHeading"/>
                  </w:pPr>
                  <w:r>
                    <w:t>Retail</w:t>
                  </w:r>
                </w:p>
              </w:tc>
              <w:tc>
                <w:tcPr>
                  <w:tcW w:w="701" w:type="pct"/>
                  <w:tcBorders>
                    <w:top w:val="single" w:sz="6" w:space="0" w:color="BFBFBF"/>
                    <w:bottom w:val="single" w:sz="6" w:space="0" w:color="BFBFBF"/>
                  </w:tcBorders>
                </w:tcPr>
                <w:p w:rsidR="00666475" w:rsidRDefault="00666475" w:rsidP="00E1189F">
                  <w:pPr>
                    <w:pStyle w:val="TableColumnHeading"/>
                    <w:ind w:right="28"/>
                  </w:pPr>
                  <w:r>
                    <w:t>Not</w:t>
                  </w:r>
                  <w:r>
                    <w:noBreakHyphen/>
                    <w:t>for</w:t>
                  </w:r>
                  <w:r>
                    <w:noBreakHyphen/>
                    <w:t>profit</w:t>
                  </w:r>
                </w:p>
              </w:tc>
            </w:tr>
            <w:tr w:rsidR="00666475" w:rsidTr="00E1189F">
              <w:tc>
                <w:tcPr>
                  <w:tcW w:w="1310" w:type="pct"/>
                  <w:tcBorders>
                    <w:top w:val="single" w:sz="6" w:space="0" w:color="BFBFBF"/>
                  </w:tcBorders>
                </w:tcPr>
                <w:p w:rsidR="00666475" w:rsidRDefault="00666475" w:rsidP="00E1189F">
                  <w:pPr>
                    <w:pStyle w:val="TableUnitsRow"/>
                    <w:jc w:val="left"/>
                  </w:pPr>
                  <w:r>
                    <w:t>Cash</w:t>
                  </w:r>
                </w:p>
              </w:tc>
              <w:tc>
                <w:tcPr>
                  <w:tcW w:w="426" w:type="pct"/>
                  <w:tcBorders>
                    <w:top w:val="single" w:sz="6" w:space="0" w:color="BFBFBF"/>
                  </w:tcBorders>
                  <w:vAlign w:val="bottom"/>
                </w:tcPr>
                <w:p w:rsidR="00666475" w:rsidRPr="00C81966" w:rsidRDefault="00666475" w:rsidP="00E1189F">
                  <w:pPr>
                    <w:pStyle w:val="TableUnitsRow"/>
                  </w:pPr>
                  <w:r>
                    <w:t>750</w:t>
                  </w:r>
                </w:p>
              </w:tc>
              <w:tc>
                <w:tcPr>
                  <w:tcW w:w="509" w:type="pct"/>
                  <w:tcBorders>
                    <w:top w:val="single" w:sz="6" w:space="0" w:color="BFBFBF"/>
                  </w:tcBorders>
                  <w:vAlign w:val="bottom"/>
                </w:tcPr>
                <w:p w:rsidR="00666475" w:rsidRPr="00C81966" w:rsidRDefault="00666475" w:rsidP="00E1189F">
                  <w:pPr>
                    <w:pStyle w:val="TableUnitsRow"/>
                  </w:pPr>
                  <w:r>
                    <w:t>292</w:t>
                  </w:r>
                </w:p>
              </w:tc>
              <w:tc>
                <w:tcPr>
                  <w:tcW w:w="652" w:type="pct"/>
                  <w:tcBorders>
                    <w:top w:val="single" w:sz="6" w:space="0" w:color="BFBFBF"/>
                  </w:tcBorders>
                  <w:vAlign w:val="bottom"/>
                </w:tcPr>
                <w:p w:rsidR="00666475" w:rsidRPr="00C81966" w:rsidRDefault="00666475" w:rsidP="00E1189F">
                  <w:pPr>
                    <w:pStyle w:val="TableUnitsRow"/>
                  </w:pPr>
                  <w:r w:rsidRPr="00C81966">
                    <w:t>458</w:t>
                  </w:r>
                </w:p>
              </w:tc>
              <w:tc>
                <w:tcPr>
                  <w:tcW w:w="851" w:type="pct"/>
                  <w:tcBorders>
                    <w:top w:val="single" w:sz="6" w:space="0" w:color="BFBFBF"/>
                  </w:tcBorders>
                  <w:vAlign w:val="bottom"/>
                </w:tcPr>
                <w:p w:rsidR="00666475" w:rsidRPr="00C81966" w:rsidRDefault="00666475" w:rsidP="00E1189F">
                  <w:pPr>
                    <w:pStyle w:val="TableUnitsRow"/>
                  </w:pPr>
                  <w:r>
                    <w:t>4.05</w:t>
                  </w:r>
                </w:p>
              </w:tc>
              <w:tc>
                <w:tcPr>
                  <w:tcW w:w="550" w:type="pct"/>
                  <w:tcBorders>
                    <w:top w:val="single" w:sz="6" w:space="0" w:color="BFBFBF"/>
                  </w:tcBorders>
                  <w:vAlign w:val="bottom"/>
                </w:tcPr>
                <w:p w:rsidR="00666475" w:rsidRPr="00C81966" w:rsidRDefault="00666475" w:rsidP="00E1189F">
                  <w:pPr>
                    <w:pStyle w:val="TableUnitsRow"/>
                  </w:pPr>
                  <w:r>
                    <w:t>4.17</w:t>
                  </w:r>
                </w:p>
              </w:tc>
              <w:tc>
                <w:tcPr>
                  <w:tcW w:w="701" w:type="pct"/>
                  <w:tcBorders>
                    <w:top w:val="single" w:sz="6" w:space="0" w:color="BFBFBF"/>
                  </w:tcBorders>
                  <w:vAlign w:val="bottom"/>
                </w:tcPr>
                <w:p w:rsidR="00666475" w:rsidRPr="00C81966" w:rsidRDefault="00666475" w:rsidP="00E1189F">
                  <w:pPr>
                    <w:pStyle w:val="TableUnitsRow"/>
                  </w:pPr>
                  <w:r>
                    <w:t>3.95</w:t>
                  </w:r>
                </w:p>
              </w:tc>
            </w:tr>
            <w:tr w:rsidR="00666475" w:rsidTr="00E1189F">
              <w:tc>
                <w:tcPr>
                  <w:tcW w:w="1310" w:type="pct"/>
                </w:tcPr>
                <w:p w:rsidR="00666475" w:rsidRDefault="00666475" w:rsidP="00E1189F">
                  <w:pPr>
                    <w:pStyle w:val="TableBodyText"/>
                    <w:jc w:val="left"/>
                  </w:pPr>
                  <w:r>
                    <w:t>Australian listed equity</w:t>
                  </w:r>
                </w:p>
              </w:tc>
              <w:tc>
                <w:tcPr>
                  <w:tcW w:w="426" w:type="pct"/>
                  <w:vAlign w:val="bottom"/>
                </w:tcPr>
                <w:p w:rsidR="00666475" w:rsidRPr="00C81966" w:rsidRDefault="00666475" w:rsidP="00E1189F">
                  <w:pPr>
                    <w:pStyle w:val="TableUnitsRow"/>
                  </w:pPr>
                  <w:r w:rsidRPr="00C81966">
                    <w:t>749</w:t>
                  </w:r>
                </w:p>
              </w:tc>
              <w:tc>
                <w:tcPr>
                  <w:tcW w:w="509" w:type="pct"/>
                  <w:vAlign w:val="bottom"/>
                </w:tcPr>
                <w:p w:rsidR="00666475" w:rsidRPr="00C81966" w:rsidRDefault="00666475" w:rsidP="00E1189F">
                  <w:pPr>
                    <w:pStyle w:val="TableUnitsRow"/>
                  </w:pPr>
                  <w:r w:rsidRPr="00C81966">
                    <w:t>295</w:t>
                  </w:r>
                </w:p>
              </w:tc>
              <w:tc>
                <w:tcPr>
                  <w:tcW w:w="652" w:type="pct"/>
                  <w:vAlign w:val="bottom"/>
                </w:tcPr>
                <w:p w:rsidR="00666475" w:rsidRPr="00C81966" w:rsidRDefault="00666475" w:rsidP="00E1189F">
                  <w:pPr>
                    <w:pStyle w:val="TableUnitsRow"/>
                  </w:pPr>
                  <w:r w:rsidRPr="00C81966">
                    <w:t>454</w:t>
                  </w:r>
                </w:p>
              </w:tc>
              <w:tc>
                <w:tcPr>
                  <w:tcW w:w="851" w:type="pct"/>
                  <w:vAlign w:val="bottom"/>
                </w:tcPr>
                <w:p w:rsidR="00666475" w:rsidRPr="00C81966" w:rsidRDefault="00666475" w:rsidP="00E1189F">
                  <w:pPr>
                    <w:pStyle w:val="TableUnitsRow"/>
                  </w:pPr>
                  <w:r>
                    <w:t>3.84</w:t>
                  </w:r>
                </w:p>
              </w:tc>
              <w:tc>
                <w:tcPr>
                  <w:tcW w:w="550" w:type="pct"/>
                  <w:vAlign w:val="bottom"/>
                </w:tcPr>
                <w:p w:rsidR="00666475" w:rsidRPr="00C81966" w:rsidRDefault="00666475" w:rsidP="00E1189F">
                  <w:pPr>
                    <w:pStyle w:val="TableUnitsRow"/>
                  </w:pPr>
                  <w:r>
                    <w:t>3.52</w:t>
                  </w:r>
                </w:p>
              </w:tc>
              <w:tc>
                <w:tcPr>
                  <w:tcW w:w="701" w:type="pct"/>
                  <w:vAlign w:val="bottom"/>
                </w:tcPr>
                <w:p w:rsidR="00666475" w:rsidRPr="00C81966" w:rsidRDefault="00666475" w:rsidP="00E1189F">
                  <w:pPr>
                    <w:pStyle w:val="TableUnitsRow"/>
                  </w:pPr>
                  <w:r>
                    <w:t>4.21</w:t>
                  </w:r>
                </w:p>
              </w:tc>
            </w:tr>
            <w:tr w:rsidR="00666475" w:rsidTr="00E1189F">
              <w:tc>
                <w:tcPr>
                  <w:tcW w:w="1310" w:type="pct"/>
                </w:tcPr>
                <w:p w:rsidR="00666475" w:rsidRDefault="00666475" w:rsidP="00E1189F">
                  <w:pPr>
                    <w:pStyle w:val="TableBodyText"/>
                    <w:jc w:val="left"/>
                  </w:pPr>
                  <w:r>
                    <w:t>International listed equity</w:t>
                  </w:r>
                </w:p>
              </w:tc>
              <w:tc>
                <w:tcPr>
                  <w:tcW w:w="426" w:type="pct"/>
                  <w:vAlign w:val="bottom"/>
                </w:tcPr>
                <w:p w:rsidR="00666475" w:rsidRPr="00C81966" w:rsidRDefault="00666475" w:rsidP="00E1189F">
                  <w:pPr>
                    <w:pStyle w:val="TableUnitsRow"/>
                  </w:pPr>
                  <w:r w:rsidRPr="00C81966">
                    <w:t>734</w:t>
                  </w:r>
                </w:p>
              </w:tc>
              <w:tc>
                <w:tcPr>
                  <w:tcW w:w="509" w:type="pct"/>
                  <w:vAlign w:val="bottom"/>
                </w:tcPr>
                <w:p w:rsidR="00666475" w:rsidRPr="00C81966" w:rsidRDefault="00666475" w:rsidP="00E1189F">
                  <w:pPr>
                    <w:pStyle w:val="TableUnitsRow"/>
                  </w:pPr>
                  <w:r w:rsidRPr="00C81966">
                    <w:t>282</w:t>
                  </w:r>
                </w:p>
              </w:tc>
              <w:tc>
                <w:tcPr>
                  <w:tcW w:w="652" w:type="pct"/>
                  <w:vAlign w:val="bottom"/>
                </w:tcPr>
                <w:p w:rsidR="00666475" w:rsidRPr="00C81966" w:rsidRDefault="00666475" w:rsidP="00E1189F">
                  <w:pPr>
                    <w:pStyle w:val="TableUnitsRow"/>
                  </w:pPr>
                  <w:r w:rsidRPr="00C81966">
                    <w:t>452</w:t>
                  </w:r>
                </w:p>
              </w:tc>
              <w:tc>
                <w:tcPr>
                  <w:tcW w:w="851" w:type="pct"/>
                  <w:vAlign w:val="bottom"/>
                </w:tcPr>
                <w:p w:rsidR="00666475" w:rsidRPr="00C81966" w:rsidRDefault="00666475" w:rsidP="00E1189F">
                  <w:pPr>
                    <w:pStyle w:val="TableUnitsRow"/>
                  </w:pPr>
                  <w:r>
                    <w:t>5.37</w:t>
                  </w:r>
                </w:p>
              </w:tc>
              <w:tc>
                <w:tcPr>
                  <w:tcW w:w="550" w:type="pct"/>
                  <w:vAlign w:val="bottom"/>
                </w:tcPr>
                <w:p w:rsidR="00666475" w:rsidRPr="00C81966" w:rsidRDefault="00666475" w:rsidP="00E1189F">
                  <w:pPr>
                    <w:pStyle w:val="TableUnitsRow"/>
                  </w:pPr>
                  <w:r>
                    <w:t>5.02</w:t>
                  </w:r>
                </w:p>
              </w:tc>
              <w:tc>
                <w:tcPr>
                  <w:tcW w:w="701" w:type="pct"/>
                  <w:vAlign w:val="bottom"/>
                </w:tcPr>
                <w:p w:rsidR="00666475" w:rsidRPr="00C81966" w:rsidRDefault="00666475" w:rsidP="00E1189F">
                  <w:pPr>
                    <w:pStyle w:val="TableUnitsRow"/>
                  </w:pPr>
                  <w:r>
                    <w:t>5.63</w:t>
                  </w:r>
                </w:p>
              </w:tc>
            </w:tr>
            <w:tr w:rsidR="00666475" w:rsidTr="00E1189F">
              <w:tc>
                <w:tcPr>
                  <w:tcW w:w="1310" w:type="pct"/>
                </w:tcPr>
                <w:p w:rsidR="00666475" w:rsidRDefault="00666475" w:rsidP="00E1189F">
                  <w:pPr>
                    <w:pStyle w:val="TableBodyText"/>
                    <w:jc w:val="left"/>
                  </w:pPr>
                  <w:r w:rsidRPr="00C81966">
                    <w:t>Australian fixed income</w:t>
                  </w:r>
                </w:p>
              </w:tc>
              <w:tc>
                <w:tcPr>
                  <w:tcW w:w="426" w:type="pct"/>
                  <w:vAlign w:val="bottom"/>
                </w:tcPr>
                <w:p w:rsidR="00666475" w:rsidRPr="00C81966" w:rsidRDefault="00666475" w:rsidP="00E1189F">
                  <w:pPr>
                    <w:pStyle w:val="TableUnitsRow"/>
                  </w:pPr>
                  <w:r w:rsidRPr="00C81966">
                    <w:t>622</w:t>
                  </w:r>
                </w:p>
              </w:tc>
              <w:tc>
                <w:tcPr>
                  <w:tcW w:w="509" w:type="pct"/>
                  <w:vAlign w:val="bottom"/>
                </w:tcPr>
                <w:p w:rsidR="00666475" w:rsidRPr="00C81966" w:rsidRDefault="00666475" w:rsidP="00E1189F">
                  <w:pPr>
                    <w:pStyle w:val="TableUnitsRow"/>
                  </w:pPr>
                  <w:r w:rsidRPr="00C81966">
                    <w:t>264</w:t>
                  </w:r>
                </w:p>
              </w:tc>
              <w:tc>
                <w:tcPr>
                  <w:tcW w:w="652" w:type="pct"/>
                  <w:vAlign w:val="bottom"/>
                </w:tcPr>
                <w:p w:rsidR="00666475" w:rsidRPr="00C81966" w:rsidRDefault="00666475" w:rsidP="00E1189F">
                  <w:pPr>
                    <w:pStyle w:val="TableUnitsRow"/>
                  </w:pPr>
                  <w:r w:rsidRPr="00C81966">
                    <w:t>358</w:t>
                  </w:r>
                </w:p>
              </w:tc>
              <w:tc>
                <w:tcPr>
                  <w:tcW w:w="851" w:type="pct"/>
                  <w:vAlign w:val="bottom"/>
                </w:tcPr>
                <w:p w:rsidR="00666475" w:rsidRPr="00C81966" w:rsidRDefault="00666475" w:rsidP="00E1189F">
                  <w:pPr>
                    <w:pStyle w:val="TableUnitsRow"/>
                  </w:pPr>
                  <w:r>
                    <w:t>6.43</w:t>
                  </w:r>
                </w:p>
              </w:tc>
              <w:tc>
                <w:tcPr>
                  <w:tcW w:w="550" w:type="pct"/>
                  <w:vAlign w:val="bottom"/>
                </w:tcPr>
                <w:p w:rsidR="00666475" w:rsidRPr="00C81966" w:rsidRDefault="00666475" w:rsidP="00E1189F">
                  <w:pPr>
                    <w:pStyle w:val="TableUnitsRow"/>
                  </w:pPr>
                  <w:r>
                    <w:t>6.16</w:t>
                  </w:r>
                </w:p>
              </w:tc>
              <w:tc>
                <w:tcPr>
                  <w:tcW w:w="701" w:type="pct"/>
                  <w:vAlign w:val="bottom"/>
                </w:tcPr>
                <w:p w:rsidR="00666475" w:rsidRPr="00C81966" w:rsidRDefault="00666475" w:rsidP="00E1189F">
                  <w:pPr>
                    <w:pStyle w:val="TableUnitsRow"/>
                  </w:pPr>
                  <w:r>
                    <w:t>6.54</w:t>
                  </w:r>
                </w:p>
              </w:tc>
            </w:tr>
            <w:tr w:rsidR="00666475" w:rsidTr="00E1189F">
              <w:tc>
                <w:tcPr>
                  <w:tcW w:w="1310" w:type="pct"/>
                </w:tcPr>
                <w:p w:rsidR="00666475" w:rsidRDefault="00666475" w:rsidP="00E1189F">
                  <w:pPr>
                    <w:pStyle w:val="TableBodyText"/>
                    <w:jc w:val="left"/>
                  </w:pPr>
                  <w:r w:rsidRPr="00C81966">
                    <w:t>International fixed income</w:t>
                  </w:r>
                </w:p>
              </w:tc>
              <w:tc>
                <w:tcPr>
                  <w:tcW w:w="426" w:type="pct"/>
                  <w:vAlign w:val="bottom"/>
                </w:tcPr>
                <w:p w:rsidR="00666475" w:rsidRPr="00C81966" w:rsidRDefault="00666475" w:rsidP="00E1189F">
                  <w:pPr>
                    <w:pStyle w:val="TableUnitsRow"/>
                  </w:pPr>
                  <w:r w:rsidRPr="00C81966">
                    <w:t>546</w:t>
                  </w:r>
                </w:p>
              </w:tc>
              <w:tc>
                <w:tcPr>
                  <w:tcW w:w="509" w:type="pct"/>
                  <w:vAlign w:val="bottom"/>
                </w:tcPr>
                <w:p w:rsidR="00666475" w:rsidRPr="00C81966" w:rsidRDefault="00666475" w:rsidP="00E1189F">
                  <w:pPr>
                    <w:pStyle w:val="TableUnitsRow"/>
                  </w:pPr>
                  <w:r w:rsidRPr="00C81966">
                    <w:t>223</w:t>
                  </w:r>
                </w:p>
              </w:tc>
              <w:tc>
                <w:tcPr>
                  <w:tcW w:w="652" w:type="pct"/>
                  <w:vAlign w:val="bottom"/>
                </w:tcPr>
                <w:p w:rsidR="00666475" w:rsidRPr="00C81966" w:rsidRDefault="00666475" w:rsidP="00E1189F">
                  <w:pPr>
                    <w:pStyle w:val="TableUnitsRow"/>
                  </w:pPr>
                  <w:r w:rsidRPr="00C81966">
                    <w:t>323</w:t>
                  </w:r>
                </w:p>
              </w:tc>
              <w:tc>
                <w:tcPr>
                  <w:tcW w:w="851" w:type="pct"/>
                  <w:vAlign w:val="bottom"/>
                </w:tcPr>
                <w:p w:rsidR="00666475" w:rsidRPr="00C81966" w:rsidRDefault="00666475" w:rsidP="00E1189F">
                  <w:pPr>
                    <w:pStyle w:val="TableUnitsRow"/>
                  </w:pPr>
                  <w:r>
                    <w:t>7.08</w:t>
                  </w:r>
                </w:p>
              </w:tc>
              <w:tc>
                <w:tcPr>
                  <w:tcW w:w="550" w:type="pct"/>
                  <w:vAlign w:val="bottom"/>
                </w:tcPr>
                <w:p w:rsidR="00666475" w:rsidRPr="00C81966" w:rsidRDefault="00666475" w:rsidP="00E1189F">
                  <w:pPr>
                    <w:pStyle w:val="TableUnitsRow"/>
                  </w:pPr>
                  <w:r>
                    <w:t>6.69</w:t>
                  </w:r>
                </w:p>
              </w:tc>
              <w:tc>
                <w:tcPr>
                  <w:tcW w:w="701" w:type="pct"/>
                  <w:vAlign w:val="bottom"/>
                </w:tcPr>
                <w:p w:rsidR="00666475" w:rsidRPr="00C81966" w:rsidRDefault="00666475" w:rsidP="00E1189F">
                  <w:pPr>
                    <w:pStyle w:val="TableUnitsRow"/>
                  </w:pPr>
                  <w:r>
                    <w:t>7.57</w:t>
                  </w:r>
                </w:p>
              </w:tc>
            </w:tr>
            <w:tr w:rsidR="00666475" w:rsidTr="00E1189F">
              <w:tc>
                <w:tcPr>
                  <w:tcW w:w="1310" w:type="pct"/>
                </w:tcPr>
                <w:p w:rsidR="00666475" w:rsidRDefault="00666475" w:rsidP="00E1189F">
                  <w:pPr>
                    <w:pStyle w:val="TableBodyText"/>
                    <w:jc w:val="left"/>
                  </w:pPr>
                  <w:r>
                    <w:t>Listed infrastructure</w:t>
                  </w:r>
                </w:p>
              </w:tc>
              <w:tc>
                <w:tcPr>
                  <w:tcW w:w="426" w:type="pct"/>
                  <w:vAlign w:val="bottom"/>
                </w:tcPr>
                <w:p w:rsidR="00666475" w:rsidRPr="00C81966" w:rsidRDefault="00666475" w:rsidP="00E1189F">
                  <w:pPr>
                    <w:pStyle w:val="TableUnitsRow"/>
                  </w:pPr>
                  <w:r w:rsidRPr="00C81966">
                    <w:t>161</w:t>
                  </w:r>
                </w:p>
              </w:tc>
              <w:tc>
                <w:tcPr>
                  <w:tcW w:w="509" w:type="pct"/>
                  <w:vAlign w:val="bottom"/>
                </w:tcPr>
                <w:p w:rsidR="00666475" w:rsidRPr="00C81966" w:rsidRDefault="00666475" w:rsidP="00E1189F">
                  <w:pPr>
                    <w:pStyle w:val="TableUnitsRow"/>
                  </w:pPr>
                  <w:r w:rsidRPr="00C81966">
                    <w:t>95</w:t>
                  </w:r>
                </w:p>
              </w:tc>
              <w:tc>
                <w:tcPr>
                  <w:tcW w:w="652" w:type="pct"/>
                  <w:vAlign w:val="bottom"/>
                </w:tcPr>
                <w:p w:rsidR="00666475" w:rsidRPr="00C81966" w:rsidRDefault="00666475" w:rsidP="00E1189F">
                  <w:pPr>
                    <w:pStyle w:val="TableUnitsRow"/>
                  </w:pPr>
                  <w:r w:rsidRPr="00C81966">
                    <w:t>66</w:t>
                  </w:r>
                </w:p>
              </w:tc>
              <w:tc>
                <w:tcPr>
                  <w:tcW w:w="851" w:type="pct"/>
                  <w:vAlign w:val="bottom"/>
                </w:tcPr>
                <w:p w:rsidR="00666475" w:rsidRPr="00C81966" w:rsidRDefault="00666475" w:rsidP="00E1189F">
                  <w:pPr>
                    <w:pStyle w:val="TableUnitsRow"/>
                  </w:pPr>
                  <w:r>
                    <w:t>5.74</w:t>
                  </w:r>
                </w:p>
              </w:tc>
              <w:tc>
                <w:tcPr>
                  <w:tcW w:w="550" w:type="pct"/>
                  <w:vAlign w:val="bottom"/>
                </w:tcPr>
                <w:p w:rsidR="00666475" w:rsidRPr="00C81966" w:rsidRDefault="00666475" w:rsidP="00E1189F">
                  <w:pPr>
                    <w:pStyle w:val="TableUnitsRow"/>
                  </w:pPr>
                  <w:r>
                    <w:t>6.52</w:t>
                  </w:r>
                </w:p>
              </w:tc>
              <w:tc>
                <w:tcPr>
                  <w:tcW w:w="701" w:type="pct"/>
                  <w:vAlign w:val="bottom"/>
                </w:tcPr>
                <w:p w:rsidR="00666475" w:rsidRPr="00C81966" w:rsidRDefault="00666475" w:rsidP="00E1189F">
                  <w:pPr>
                    <w:pStyle w:val="TableUnitsRow"/>
                  </w:pPr>
                  <w:r>
                    <w:t>6.38</w:t>
                  </w:r>
                </w:p>
              </w:tc>
            </w:tr>
            <w:tr w:rsidR="00666475" w:rsidTr="00E1189F">
              <w:tc>
                <w:tcPr>
                  <w:tcW w:w="1310" w:type="pct"/>
                </w:tcPr>
                <w:p w:rsidR="00666475" w:rsidRDefault="00666475" w:rsidP="00E1189F">
                  <w:pPr>
                    <w:pStyle w:val="TableBodyText"/>
                    <w:jc w:val="left"/>
                  </w:pPr>
                  <w:r>
                    <w:t>Unlisted infrastructure</w:t>
                  </w:r>
                </w:p>
              </w:tc>
              <w:tc>
                <w:tcPr>
                  <w:tcW w:w="426" w:type="pct"/>
                  <w:vAlign w:val="bottom"/>
                </w:tcPr>
                <w:p w:rsidR="00666475" w:rsidRPr="00C81966" w:rsidRDefault="00666475" w:rsidP="00E1189F">
                  <w:pPr>
                    <w:pStyle w:val="TableUnitsRow"/>
                  </w:pPr>
                  <w:r w:rsidRPr="00C81966">
                    <w:t>314</w:t>
                  </w:r>
                </w:p>
              </w:tc>
              <w:tc>
                <w:tcPr>
                  <w:tcW w:w="509" w:type="pct"/>
                  <w:vAlign w:val="bottom"/>
                </w:tcPr>
                <w:p w:rsidR="00666475" w:rsidRPr="00C81966" w:rsidRDefault="00666475" w:rsidP="00E1189F">
                  <w:pPr>
                    <w:pStyle w:val="TableUnitsRow"/>
                  </w:pPr>
                  <w:r w:rsidRPr="00C81966">
                    <w:t>48</w:t>
                  </w:r>
                </w:p>
              </w:tc>
              <w:tc>
                <w:tcPr>
                  <w:tcW w:w="652" w:type="pct"/>
                  <w:vAlign w:val="bottom"/>
                </w:tcPr>
                <w:p w:rsidR="00666475" w:rsidRPr="00C81966" w:rsidRDefault="00666475" w:rsidP="00E1189F">
                  <w:pPr>
                    <w:pStyle w:val="TableUnitsRow"/>
                  </w:pPr>
                  <w:r w:rsidRPr="00C81966">
                    <w:t>266</w:t>
                  </w:r>
                </w:p>
              </w:tc>
              <w:tc>
                <w:tcPr>
                  <w:tcW w:w="851" w:type="pct"/>
                  <w:vAlign w:val="bottom"/>
                </w:tcPr>
                <w:p w:rsidR="00666475" w:rsidRPr="00C81966" w:rsidRDefault="00666475" w:rsidP="00E1189F">
                  <w:pPr>
                    <w:pStyle w:val="TableUnitsRow"/>
                  </w:pPr>
                  <w:r>
                    <w:t>9.44</w:t>
                  </w:r>
                </w:p>
              </w:tc>
              <w:tc>
                <w:tcPr>
                  <w:tcW w:w="550" w:type="pct"/>
                  <w:vAlign w:val="bottom"/>
                </w:tcPr>
                <w:p w:rsidR="00666475" w:rsidRPr="00C81966" w:rsidRDefault="00666475" w:rsidP="00E1189F">
                  <w:pPr>
                    <w:pStyle w:val="TableUnitsRow"/>
                  </w:pPr>
                  <w:r>
                    <w:t>8.72</w:t>
                  </w:r>
                </w:p>
              </w:tc>
              <w:tc>
                <w:tcPr>
                  <w:tcW w:w="701" w:type="pct"/>
                  <w:vAlign w:val="bottom"/>
                </w:tcPr>
                <w:p w:rsidR="00666475" w:rsidRPr="00C81966" w:rsidRDefault="00666475" w:rsidP="00E1189F">
                  <w:pPr>
                    <w:pStyle w:val="TableUnitsRow"/>
                  </w:pPr>
                  <w:r>
                    <w:t>9.46</w:t>
                  </w:r>
                </w:p>
              </w:tc>
            </w:tr>
            <w:tr w:rsidR="00666475" w:rsidTr="00E1189F">
              <w:tc>
                <w:tcPr>
                  <w:tcW w:w="1310" w:type="pct"/>
                </w:tcPr>
                <w:p w:rsidR="00666475" w:rsidRDefault="00666475" w:rsidP="00E1189F">
                  <w:pPr>
                    <w:pStyle w:val="TableBodyText"/>
                    <w:jc w:val="left"/>
                  </w:pPr>
                  <w:r>
                    <w:t>Total infrastructure</w:t>
                  </w:r>
                </w:p>
              </w:tc>
              <w:tc>
                <w:tcPr>
                  <w:tcW w:w="426" w:type="pct"/>
                  <w:vAlign w:val="bottom"/>
                </w:tcPr>
                <w:p w:rsidR="00666475" w:rsidRPr="00C81966" w:rsidRDefault="00666475" w:rsidP="00E1189F">
                  <w:pPr>
                    <w:pStyle w:val="TableUnitsRow"/>
                  </w:pPr>
                  <w:r w:rsidRPr="00C81966">
                    <w:t>443</w:t>
                  </w:r>
                </w:p>
              </w:tc>
              <w:tc>
                <w:tcPr>
                  <w:tcW w:w="509" w:type="pct"/>
                  <w:vAlign w:val="bottom"/>
                </w:tcPr>
                <w:p w:rsidR="00666475" w:rsidRPr="00C81966" w:rsidRDefault="00666475" w:rsidP="00E1189F">
                  <w:pPr>
                    <w:pStyle w:val="TableUnitsRow"/>
                  </w:pPr>
                  <w:r w:rsidRPr="00C81966">
                    <w:t>109</w:t>
                  </w:r>
                </w:p>
              </w:tc>
              <w:tc>
                <w:tcPr>
                  <w:tcW w:w="652" w:type="pct"/>
                  <w:vAlign w:val="bottom"/>
                </w:tcPr>
                <w:p w:rsidR="00666475" w:rsidRPr="00C81966" w:rsidRDefault="00666475" w:rsidP="00E1189F">
                  <w:pPr>
                    <w:pStyle w:val="TableUnitsRow"/>
                  </w:pPr>
                  <w:r w:rsidRPr="00C81966">
                    <w:t>334</w:t>
                  </w:r>
                </w:p>
              </w:tc>
              <w:tc>
                <w:tcPr>
                  <w:tcW w:w="851" w:type="pct"/>
                  <w:vAlign w:val="bottom"/>
                </w:tcPr>
                <w:p w:rsidR="00666475" w:rsidRPr="00C81966" w:rsidRDefault="00666475" w:rsidP="00E1189F">
                  <w:pPr>
                    <w:pStyle w:val="TableUnitsRow"/>
                  </w:pPr>
                  <w:r>
                    <w:t>8.96</w:t>
                  </w:r>
                </w:p>
              </w:tc>
              <w:tc>
                <w:tcPr>
                  <w:tcW w:w="550" w:type="pct"/>
                  <w:vAlign w:val="bottom"/>
                </w:tcPr>
                <w:p w:rsidR="00666475" w:rsidRPr="00C81966" w:rsidRDefault="00666475" w:rsidP="00E1189F">
                  <w:pPr>
                    <w:pStyle w:val="TableUnitsRow"/>
                  </w:pPr>
                  <w:r>
                    <w:t>7.50</w:t>
                  </w:r>
                </w:p>
              </w:tc>
              <w:tc>
                <w:tcPr>
                  <w:tcW w:w="701" w:type="pct"/>
                  <w:vAlign w:val="bottom"/>
                </w:tcPr>
                <w:p w:rsidR="00666475" w:rsidRPr="00C81966" w:rsidRDefault="00666475" w:rsidP="00E1189F">
                  <w:pPr>
                    <w:pStyle w:val="TableUnitsRow"/>
                  </w:pPr>
                  <w:r>
                    <w:t>8.93</w:t>
                  </w:r>
                </w:p>
              </w:tc>
            </w:tr>
            <w:tr w:rsidR="00666475" w:rsidTr="00E1189F">
              <w:tc>
                <w:tcPr>
                  <w:tcW w:w="1310" w:type="pct"/>
                </w:tcPr>
                <w:p w:rsidR="00666475" w:rsidRDefault="00666475" w:rsidP="00E1189F">
                  <w:pPr>
                    <w:pStyle w:val="TableBodyText"/>
                    <w:jc w:val="left"/>
                  </w:pPr>
                  <w:r>
                    <w:t>Private equity</w:t>
                  </w:r>
                </w:p>
              </w:tc>
              <w:tc>
                <w:tcPr>
                  <w:tcW w:w="426" w:type="pct"/>
                  <w:vAlign w:val="bottom"/>
                </w:tcPr>
                <w:p w:rsidR="00666475" w:rsidRPr="00C81966" w:rsidRDefault="00666475" w:rsidP="00E1189F">
                  <w:pPr>
                    <w:pStyle w:val="TableUnitsRow"/>
                  </w:pPr>
                  <w:r w:rsidRPr="00C81966">
                    <w:t>379</w:t>
                  </w:r>
                </w:p>
              </w:tc>
              <w:tc>
                <w:tcPr>
                  <w:tcW w:w="509" w:type="pct"/>
                  <w:vAlign w:val="bottom"/>
                </w:tcPr>
                <w:p w:rsidR="00666475" w:rsidRPr="00C81966" w:rsidRDefault="00666475" w:rsidP="00E1189F">
                  <w:pPr>
                    <w:pStyle w:val="TableUnitsRow"/>
                  </w:pPr>
                  <w:r w:rsidRPr="00C81966">
                    <w:t>33</w:t>
                  </w:r>
                </w:p>
              </w:tc>
              <w:tc>
                <w:tcPr>
                  <w:tcW w:w="652" w:type="pct"/>
                  <w:vAlign w:val="bottom"/>
                </w:tcPr>
                <w:p w:rsidR="00666475" w:rsidRPr="00C81966" w:rsidRDefault="00666475" w:rsidP="00E1189F">
                  <w:pPr>
                    <w:pStyle w:val="TableUnitsRow"/>
                  </w:pPr>
                  <w:r w:rsidRPr="00C81966">
                    <w:t>346</w:t>
                  </w:r>
                </w:p>
              </w:tc>
              <w:tc>
                <w:tcPr>
                  <w:tcW w:w="851" w:type="pct"/>
                  <w:vAlign w:val="bottom"/>
                </w:tcPr>
                <w:p w:rsidR="00666475" w:rsidRPr="00C81966" w:rsidRDefault="00666475" w:rsidP="00E1189F">
                  <w:pPr>
                    <w:pStyle w:val="TableUnitsRow"/>
                  </w:pPr>
                  <w:r>
                    <w:t>8.01</w:t>
                  </w:r>
                </w:p>
              </w:tc>
              <w:tc>
                <w:tcPr>
                  <w:tcW w:w="550" w:type="pct"/>
                  <w:vAlign w:val="bottom"/>
                </w:tcPr>
                <w:p w:rsidR="00666475" w:rsidRPr="00C81966" w:rsidRDefault="00666475" w:rsidP="00E1189F">
                  <w:pPr>
                    <w:pStyle w:val="TableUnitsRow"/>
                  </w:pPr>
                  <w:r>
                    <w:t>10.51</w:t>
                  </w:r>
                </w:p>
              </w:tc>
              <w:tc>
                <w:tcPr>
                  <w:tcW w:w="701" w:type="pct"/>
                  <w:vAlign w:val="bottom"/>
                </w:tcPr>
                <w:p w:rsidR="00666475" w:rsidRPr="00C81966" w:rsidRDefault="00666475" w:rsidP="00E1189F">
                  <w:pPr>
                    <w:pStyle w:val="TableUnitsRow"/>
                  </w:pPr>
                  <w:r>
                    <w:t>7.50</w:t>
                  </w:r>
                </w:p>
              </w:tc>
            </w:tr>
            <w:tr w:rsidR="00666475" w:rsidTr="00E1189F">
              <w:tc>
                <w:tcPr>
                  <w:tcW w:w="1310" w:type="pct"/>
                </w:tcPr>
                <w:p w:rsidR="00666475" w:rsidRDefault="00666475" w:rsidP="00E1189F">
                  <w:pPr>
                    <w:pStyle w:val="TableBodyText"/>
                    <w:jc w:val="left"/>
                  </w:pPr>
                  <w:r>
                    <w:t>Listed property</w:t>
                  </w:r>
                </w:p>
              </w:tc>
              <w:tc>
                <w:tcPr>
                  <w:tcW w:w="426" w:type="pct"/>
                  <w:vAlign w:val="bottom"/>
                </w:tcPr>
                <w:p w:rsidR="00666475" w:rsidRPr="00C81966" w:rsidRDefault="00666475" w:rsidP="00E1189F">
                  <w:pPr>
                    <w:pStyle w:val="TableUnitsRow"/>
                  </w:pPr>
                  <w:r w:rsidRPr="00C81966">
                    <w:t>338</w:t>
                  </w:r>
                </w:p>
              </w:tc>
              <w:tc>
                <w:tcPr>
                  <w:tcW w:w="509" w:type="pct"/>
                  <w:vAlign w:val="bottom"/>
                </w:tcPr>
                <w:p w:rsidR="00666475" w:rsidRPr="00C81966" w:rsidRDefault="00666475" w:rsidP="00E1189F">
                  <w:pPr>
                    <w:pStyle w:val="TableUnitsRow"/>
                  </w:pPr>
                  <w:r w:rsidRPr="00C81966">
                    <w:t>202</w:t>
                  </w:r>
                </w:p>
              </w:tc>
              <w:tc>
                <w:tcPr>
                  <w:tcW w:w="652" w:type="pct"/>
                  <w:vAlign w:val="bottom"/>
                </w:tcPr>
                <w:p w:rsidR="00666475" w:rsidRPr="00C81966" w:rsidRDefault="00666475" w:rsidP="00E1189F">
                  <w:pPr>
                    <w:pStyle w:val="TableUnitsRow"/>
                  </w:pPr>
                  <w:r w:rsidRPr="00C81966">
                    <w:t>136</w:t>
                  </w:r>
                </w:p>
              </w:tc>
              <w:tc>
                <w:tcPr>
                  <w:tcW w:w="851" w:type="pct"/>
                  <w:vAlign w:val="bottom"/>
                </w:tcPr>
                <w:p w:rsidR="00666475" w:rsidRPr="00C81966" w:rsidRDefault="00666475" w:rsidP="00E1189F">
                  <w:pPr>
                    <w:pStyle w:val="TableUnitsRow"/>
                  </w:pPr>
                  <w:r>
                    <w:t>1.82</w:t>
                  </w:r>
                </w:p>
              </w:tc>
              <w:tc>
                <w:tcPr>
                  <w:tcW w:w="550" w:type="pct"/>
                  <w:vAlign w:val="bottom"/>
                </w:tcPr>
                <w:p w:rsidR="00666475" w:rsidRPr="00C81966" w:rsidRDefault="00666475" w:rsidP="00E1189F">
                  <w:pPr>
                    <w:pStyle w:val="TableUnitsRow"/>
                  </w:pPr>
                  <w:r>
                    <w:t>1.76</w:t>
                  </w:r>
                </w:p>
              </w:tc>
              <w:tc>
                <w:tcPr>
                  <w:tcW w:w="701" w:type="pct"/>
                  <w:vAlign w:val="bottom"/>
                </w:tcPr>
                <w:p w:rsidR="00666475" w:rsidRPr="00C81966" w:rsidRDefault="00666475" w:rsidP="00E1189F">
                  <w:pPr>
                    <w:pStyle w:val="TableUnitsRow"/>
                  </w:pPr>
                  <w:r>
                    <w:t>2.36</w:t>
                  </w:r>
                </w:p>
              </w:tc>
            </w:tr>
            <w:tr w:rsidR="00666475" w:rsidTr="00E1189F">
              <w:tc>
                <w:tcPr>
                  <w:tcW w:w="1310" w:type="pct"/>
                </w:tcPr>
                <w:p w:rsidR="00666475" w:rsidRDefault="00666475" w:rsidP="00E1189F">
                  <w:pPr>
                    <w:pStyle w:val="TableBodyText"/>
                    <w:jc w:val="left"/>
                  </w:pPr>
                  <w:r>
                    <w:t>Unlisted property</w:t>
                  </w:r>
                </w:p>
              </w:tc>
              <w:tc>
                <w:tcPr>
                  <w:tcW w:w="426" w:type="pct"/>
                  <w:vAlign w:val="bottom"/>
                </w:tcPr>
                <w:p w:rsidR="00666475" w:rsidRPr="00C81966" w:rsidRDefault="00666475" w:rsidP="00E1189F">
                  <w:pPr>
                    <w:pStyle w:val="TableUnitsRow"/>
                  </w:pPr>
                  <w:r w:rsidRPr="00C81966">
                    <w:t>447</w:t>
                  </w:r>
                </w:p>
              </w:tc>
              <w:tc>
                <w:tcPr>
                  <w:tcW w:w="509" w:type="pct"/>
                  <w:vAlign w:val="bottom"/>
                </w:tcPr>
                <w:p w:rsidR="00666475" w:rsidRPr="00C81966" w:rsidRDefault="00666475" w:rsidP="00E1189F">
                  <w:pPr>
                    <w:pStyle w:val="TableUnitsRow"/>
                  </w:pPr>
                  <w:r w:rsidRPr="00C81966">
                    <w:t>94</w:t>
                  </w:r>
                </w:p>
              </w:tc>
              <w:tc>
                <w:tcPr>
                  <w:tcW w:w="652" w:type="pct"/>
                  <w:vAlign w:val="bottom"/>
                </w:tcPr>
                <w:p w:rsidR="00666475" w:rsidRPr="00C81966" w:rsidRDefault="00666475" w:rsidP="00E1189F">
                  <w:pPr>
                    <w:pStyle w:val="TableUnitsRow"/>
                  </w:pPr>
                  <w:r w:rsidRPr="00C81966">
                    <w:t>353</w:t>
                  </w:r>
                </w:p>
              </w:tc>
              <w:tc>
                <w:tcPr>
                  <w:tcW w:w="851" w:type="pct"/>
                  <w:vAlign w:val="bottom"/>
                </w:tcPr>
                <w:p w:rsidR="00666475" w:rsidRPr="00C81966" w:rsidRDefault="00666475" w:rsidP="00E1189F">
                  <w:pPr>
                    <w:pStyle w:val="TableUnitsRow"/>
                  </w:pPr>
                  <w:r>
                    <w:t>6.97</w:t>
                  </w:r>
                </w:p>
              </w:tc>
              <w:tc>
                <w:tcPr>
                  <w:tcW w:w="550" w:type="pct"/>
                  <w:vAlign w:val="bottom"/>
                </w:tcPr>
                <w:p w:rsidR="00666475" w:rsidRPr="00C81966" w:rsidRDefault="00666475" w:rsidP="00E1189F">
                  <w:pPr>
                    <w:pStyle w:val="TableUnitsRow"/>
                  </w:pPr>
                  <w:r>
                    <w:t>8.73</w:t>
                  </w:r>
                </w:p>
              </w:tc>
              <w:tc>
                <w:tcPr>
                  <w:tcW w:w="701" w:type="pct"/>
                  <w:vAlign w:val="bottom"/>
                </w:tcPr>
                <w:p w:rsidR="00666475" w:rsidRPr="00C81966" w:rsidRDefault="00666475" w:rsidP="00E1189F">
                  <w:pPr>
                    <w:pStyle w:val="TableUnitsRow"/>
                  </w:pPr>
                  <w:r>
                    <w:t>6.79</w:t>
                  </w:r>
                </w:p>
              </w:tc>
            </w:tr>
            <w:tr w:rsidR="00666475" w:rsidTr="00E1189F">
              <w:tc>
                <w:tcPr>
                  <w:tcW w:w="1310" w:type="pct"/>
                  <w:tcBorders>
                    <w:bottom w:val="single" w:sz="6" w:space="0" w:color="BFBFBF"/>
                  </w:tcBorders>
                  <w:shd w:val="clear" w:color="auto" w:fill="auto"/>
                </w:tcPr>
                <w:p w:rsidR="00666475" w:rsidRDefault="00666475" w:rsidP="00E1189F">
                  <w:pPr>
                    <w:pStyle w:val="TableBodyText"/>
                    <w:jc w:val="left"/>
                  </w:pPr>
                  <w:r>
                    <w:t>Total property</w:t>
                  </w:r>
                </w:p>
              </w:tc>
              <w:tc>
                <w:tcPr>
                  <w:tcW w:w="426" w:type="pct"/>
                  <w:tcBorders>
                    <w:bottom w:val="single" w:sz="6" w:space="0" w:color="BFBFBF"/>
                  </w:tcBorders>
                  <w:vAlign w:val="bottom"/>
                </w:tcPr>
                <w:p w:rsidR="00666475" w:rsidRPr="00C81966" w:rsidRDefault="00666475" w:rsidP="00E1189F">
                  <w:pPr>
                    <w:pStyle w:val="TableUnitsRow"/>
                  </w:pPr>
                  <w:r w:rsidRPr="00C81966">
                    <w:t>670</w:t>
                  </w:r>
                </w:p>
              </w:tc>
              <w:tc>
                <w:tcPr>
                  <w:tcW w:w="509" w:type="pct"/>
                  <w:tcBorders>
                    <w:bottom w:val="single" w:sz="6" w:space="0" w:color="BFBFBF"/>
                  </w:tcBorders>
                  <w:shd w:val="clear" w:color="auto" w:fill="auto"/>
                  <w:vAlign w:val="bottom"/>
                </w:tcPr>
                <w:p w:rsidR="00666475" w:rsidRPr="00C81966" w:rsidRDefault="00666475" w:rsidP="00E1189F">
                  <w:pPr>
                    <w:pStyle w:val="TableUnitsRow"/>
                  </w:pPr>
                  <w:r w:rsidRPr="00C81966">
                    <w:t>225</w:t>
                  </w:r>
                </w:p>
              </w:tc>
              <w:tc>
                <w:tcPr>
                  <w:tcW w:w="652" w:type="pct"/>
                  <w:tcBorders>
                    <w:bottom w:val="single" w:sz="6" w:space="0" w:color="BFBFBF"/>
                  </w:tcBorders>
                  <w:shd w:val="clear" w:color="auto" w:fill="auto"/>
                  <w:vAlign w:val="bottom"/>
                </w:tcPr>
                <w:p w:rsidR="00666475" w:rsidRPr="00C81966" w:rsidRDefault="00666475" w:rsidP="00E1189F">
                  <w:pPr>
                    <w:pStyle w:val="TableUnitsRow"/>
                  </w:pPr>
                  <w:r w:rsidRPr="00C81966">
                    <w:t>445</w:t>
                  </w:r>
                </w:p>
              </w:tc>
              <w:tc>
                <w:tcPr>
                  <w:tcW w:w="851" w:type="pct"/>
                  <w:tcBorders>
                    <w:bottom w:val="single" w:sz="6" w:space="0" w:color="BFBFBF"/>
                  </w:tcBorders>
                  <w:vAlign w:val="bottom"/>
                </w:tcPr>
                <w:p w:rsidR="00666475" w:rsidRPr="00C81966" w:rsidRDefault="00666475" w:rsidP="00E1189F">
                  <w:pPr>
                    <w:pStyle w:val="TableUnitsRow"/>
                  </w:pPr>
                  <w:r>
                    <w:t>5.51</w:t>
                  </w:r>
                </w:p>
              </w:tc>
              <w:tc>
                <w:tcPr>
                  <w:tcW w:w="550" w:type="pct"/>
                  <w:tcBorders>
                    <w:bottom w:val="single" w:sz="6" w:space="0" w:color="BFBFBF"/>
                  </w:tcBorders>
                  <w:vAlign w:val="bottom"/>
                </w:tcPr>
                <w:p w:rsidR="00666475" w:rsidRPr="00C81966" w:rsidRDefault="00666475" w:rsidP="00E1189F">
                  <w:pPr>
                    <w:pStyle w:val="TableUnitsRow"/>
                  </w:pPr>
                  <w:r>
                    <w:t>2.86</w:t>
                  </w:r>
                </w:p>
              </w:tc>
              <w:tc>
                <w:tcPr>
                  <w:tcW w:w="701" w:type="pct"/>
                  <w:tcBorders>
                    <w:bottom w:val="single" w:sz="6" w:space="0" w:color="BFBFBF"/>
                  </w:tcBorders>
                  <w:vAlign w:val="bottom"/>
                </w:tcPr>
                <w:p w:rsidR="00666475" w:rsidRPr="00C81966" w:rsidRDefault="00666475" w:rsidP="00E1189F">
                  <w:pPr>
                    <w:pStyle w:val="TableUnitsRow"/>
                  </w:pPr>
                  <w:r>
                    <w:t>6.36</w:t>
                  </w:r>
                </w:p>
              </w:tc>
            </w:tr>
          </w:tbl>
          <w:p w:rsidR="00666475" w:rsidRDefault="00666475" w:rsidP="00E1189F">
            <w:pPr>
              <w:pStyle w:val="Box"/>
            </w:pPr>
          </w:p>
        </w:tc>
      </w:tr>
      <w:tr w:rsidR="00666475" w:rsidTr="00E1189F">
        <w:tc>
          <w:tcPr>
            <w:tcW w:w="5000" w:type="pct"/>
            <w:tcBorders>
              <w:top w:val="nil"/>
              <w:left w:val="nil"/>
              <w:bottom w:val="nil"/>
              <w:right w:val="nil"/>
            </w:tcBorders>
            <w:shd w:val="clear" w:color="auto" w:fill="auto"/>
          </w:tcPr>
          <w:p w:rsidR="00666475" w:rsidRDefault="00666475" w:rsidP="00E1189F">
            <w:pPr>
              <w:pStyle w:val="Note"/>
              <w:rPr>
                <w:i/>
              </w:rPr>
            </w:pPr>
            <w:r w:rsidRPr="008E77FE">
              <w:rPr>
                <w:rStyle w:val="NoteLabel"/>
              </w:rPr>
              <w:t>a</w:t>
            </w:r>
            <w:r>
              <w:t xml:space="preserve"> Number of observations refers to over the whole 10 year period. </w:t>
            </w:r>
            <w:r>
              <w:rPr>
                <w:rStyle w:val="NoteLabel"/>
              </w:rPr>
              <w:t>b</w:t>
            </w:r>
            <w:r>
              <w:t xml:space="preserve"> Observations where funds did not split up fixed interest have been excluded. </w:t>
            </w:r>
            <w:r>
              <w:rPr>
                <w:rStyle w:val="NoteLabel"/>
              </w:rPr>
              <w:t>c</w:t>
            </w:r>
            <w:r>
              <w:t xml:space="preserve"> Annualised net investment returns for each asset class are calculated by taking the yearly average return (weighted by fund assets) and calculating the geometric mean over the 10 year period.</w:t>
            </w:r>
          </w:p>
        </w:tc>
      </w:tr>
      <w:tr w:rsidR="00666475" w:rsidTr="00E1189F">
        <w:tc>
          <w:tcPr>
            <w:tcW w:w="5000" w:type="pct"/>
            <w:tcBorders>
              <w:top w:val="nil"/>
              <w:left w:val="nil"/>
              <w:bottom w:val="nil"/>
              <w:right w:val="nil"/>
            </w:tcBorders>
            <w:shd w:val="clear" w:color="auto" w:fill="auto"/>
          </w:tcPr>
          <w:p w:rsidR="00666475" w:rsidRDefault="00666475" w:rsidP="00E1189F">
            <w:pPr>
              <w:pStyle w:val="Source"/>
            </w:pPr>
            <w:r>
              <w:rPr>
                <w:i/>
              </w:rPr>
              <w:t>Source</w:t>
            </w:r>
            <w:r w:rsidRPr="00167F06">
              <w:t xml:space="preserve">: </w:t>
            </w:r>
            <w:r>
              <w:t>Supplementary funds survey.</w:t>
            </w:r>
          </w:p>
        </w:tc>
      </w:tr>
      <w:tr w:rsidR="00666475" w:rsidTr="00E1189F">
        <w:tc>
          <w:tcPr>
            <w:tcW w:w="5000" w:type="pct"/>
            <w:tcBorders>
              <w:top w:val="nil"/>
              <w:left w:val="nil"/>
              <w:bottom w:val="single" w:sz="6" w:space="0" w:color="78A22F"/>
              <w:right w:val="nil"/>
            </w:tcBorders>
            <w:shd w:val="clear" w:color="auto" w:fill="auto"/>
          </w:tcPr>
          <w:p w:rsidR="00666475" w:rsidRDefault="00666475" w:rsidP="00E1189F">
            <w:pPr>
              <w:pStyle w:val="Box"/>
              <w:spacing w:before="0" w:line="120" w:lineRule="exact"/>
            </w:pPr>
          </w:p>
        </w:tc>
      </w:tr>
      <w:tr w:rsidR="00666475" w:rsidRPr="000863A5" w:rsidTr="00E1189F">
        <w:tc>
          <w:tcPr>
            <w:tcW w:w="5000" w:type="pct"/>
            <w:tcBorders>
              <w:top w:val="single" w:sz="6" w:space="0" w:color="78A22F"/>
              <w:left w:val="nil"/>
              <w:bottom w:val="nil"/>
              <w:right w:val="nil"/>
            </w:tcBorders>
          </w:tcPr>
          <w:p w:rsidR="00666475" w:rsidRPr="00626D32" w:rsidRDefault="00666475" w:rsidP="00E1189F">
            <w:pPr>
              <w:pStyle w:val="BoxSpaceBelow"/>
            </w:pPr>
          </w:p>
        </w:tc>
      </w:tr>
    </w:tbl>
    <w:p w:rsidR="00666475" w:rsidRDefault="00666475" w:rsidP="0066647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66475" w:rsidTr="00E1189F">
        <w:trPr>
          <w:tblHeader/>
        </w:trPr>
        <w:tc>
          <w:tcPr>
            <w:tcW w:w="5000" w:type="pct"/>
            <w:tcBorders>
              <w:top w:val="single" w:sz="6" w:space="0" w:color="78A22F"/>
              <w:left w:val="nil"/>
              <w:bottom w:val="nil"/>
              <w:right w:val="nil"/>
            </w:tcBorders>
            <w:shd w:val="clear" w:color="auto" w:fill="auto"/>
          </w:tcPr>
          <w:p w:rsidR="00666475" w:rsidRPr="00784A05" w:rsidRDefault="00666475" w:rsidP="00E1189F">
            <w:pPr>
              <w:pStyle w:val="TableTitle"/>
            </w:pPr>
            <w:r>
              <w:rPr>
                <w:b w:val="0"/>
              </w:rPr>
              <w:t xml:space="preserve">Table </w:t>
            </w:r>
            <w:bookmarkStart w:id="135" w:name="OLE_LINK67"/>
            <w:r>
              <w:rPr>
                <w:b w:val="0"/>
                <w:noProof/>
              </w:rPr>
              <w:t>20</w:t>
            </w:r>
            <w:bookmarkEnd w:id="135"/>
            <w:r>
              <w:tab/>
              <w:t>Survey responses: investment management costs (2017)</w:t>
            </w:r>
          </w:p>
        </w:tc>
      </w:tr>
      <w:tr w:rsidR="00666475" w:rsidTr="00E1189F">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261"/>
              <w:gridCol w:w="720"/>
              <w:gridCol w:w="855"/>
              <w:gridCol w:w="1045"/>
              <w:gridCol w:w="1510"/>
              <w:gridCol w:w="1013"/>
              <w:gridCol w:w="1101"/>
            </w:tblGrid>
            <w:tr w:rsidR="00666475" w:rsidTr="00E1189F">
              <w:trPr>
                <w:tblHeader/>
              </w:trPr>
              <w:tc>
                <w:tcPr>
                  <w:tcW w:w="1333" w:type="pct"/>
                  <w:tcBorders>
                    <w:top w:val="single" w:sz="6" w:space="0" w:color="BFBFBF"/>
                    <w:bottom w:val="single" w:sz="6" w:space="0" w:color="BFBFBF"/>
                  </w:tcBorders>
                  <w:shd w:val="clear" w:color="auto" w:fill="auto"/>
                  <w:tcMar>
                    <w:top w:w="28" w:type="dxa"/>
                  </w:tcMar>
                </w:tcPr>
                <w:p w:rsidR="00666475" w:rsidRDefault="00666475" w:rsidP="00E1189F">
                  <w:pPr>
                    <w:pStyle w:val="TableColumnHeading"/>
                    <w:jc w:val="left"/>
                  </w:pPr>
                </w:p>
              </w:tc>
              <w:tc>
                <w:tcPr>
                  <w:tcW w:w="1527" w:type="pct"/>
                  <w:gridSpan w:val="3"/>
                  <w:tcBorders>
                    <w:top w:val="single" w:sz="6" w:space="0" w:color="BFBFBF"/>
                    <w:bottom w:val="single" w:sz="6" w:space="0" w:color="BFBFBF"/>
                  </w:tcBorders>
                </w:tcPr>
                <w:p w:rsidR="00666475" w:rsidRPr="0002294F" w:rsidRDefault="00666475" w:rsidP="00E1189F">
                  <w:pPr>
                    <w:pStyle w:val="TableColumnHeading"/>
                    <w:ind w:right="28"/>
                    <w:jc w:val="center"/>
                    <w:rPr>
                      <w:b/>
                      <w:i w:val="0"/>
                      <w:vertAlign w:val="superscript"/>
                    </w:rPr>
                  </w:pPr>
                  <w:r>
                    <w:t>Number of observations</w:t>
                  </w:r>
                </w:p>
              </w:tc>
              <w:tc>
                <w:tcPr>
                  <w:tcW w:w="2141" w:type="pct"/>
                  <w:gridSpan w:val="3"/>
                  <w:tcBorders>
                    <w:top w:val="single" w:sz="6" w:space="0" w:color="BFBFBF"/>
                    <w:bottom w:val="single" w:sz="6" w:space="0" w:color="BFBFBF"/>
                  </w:tcBorders>
                </w:tcPr>
                <w:p w:rsidR="00666475" w:rsidRDefault="00666475" w:rsidP="00E1189F">
                  <w:pPr>
                    <w:pStyle w:val="TableColumnHeading"/>
                    <w:ind w:right="28"/>
                    <w:jc w:val="center"/>
                  </w:pPr>
                  <w:r>
                    <w:t>Investment management cost (per cent)</w:t>
                  </w:r>
                </w:p>
              </w:tc>
            </w:tr>
            <w:tr w:rsidR="00666475" w:rsidTr="00E1189F">
              <w:trPr>
                <w:tblHeader/>
              </w:trPr>
              <w:tc>
                <w:tcPr>
                  <w:tcW w:w="1333" w:type="pct"/>
                  <w:tcBorders>
                    <w:top w:val="single" w:sz="6" w:space="0" w:color="BFBFBF"/>
                    <w:bottom w:val="single" w:sz="6" w:space="0" w:color="BFBFBF"/>
                  </w:tcBorders>
                  <w:shd w:val="clear" w:color="auto" w:fill="auto"/>
                  <w:tcMar>
                    <w:top w:w="28" w:type="dxa"/>
                  </w:tcMar>
                </w:tcPr>
                <w:p w:rsidR="00666475" w:rsidRDefault="00666475" w:rsidP="00E1189F">
                  <w:pPr>
                    <w:pStyle w:val="TableColumnHeading"/>
                    <w:jc w:val="left"/>
                  </w:pPr>
                  <w:r>
                    <w:t>Asset class</w:t>
                  </w:r>
                </w:p>
              </w:tc>
              <w:tc>
                <w:tcPr>
                  <w:tcW w:w="424" w:type="pct"/>
                  <w:tcBorders>
                    <w:top w:val="single" w:sz="6" w:space="0" w:color="BFBFBF"/>
                    <w:bottom w:val="single" w:sz="6" w:space="0" w:color="BFBFBF"/>
                  </w:tcBorders>
                </w:tcPr>
                <w:p w:rsidR="00666475" w:rsidRDefault="00666475" w:rsidP="00E1189F">
                  <w:pPr>
                    <w:pStyle w:val="TableColumnHeading"/>
                  </w:pPr>
                  <w:r>
                    <w:t>System</w:t>
                  </w:r>
                </w:p>
              </w:tc>
              <w:tc>
                <w:tcPr>
                  <w:tcW w:w="509" w:type="pct"/>
                  <w:tcBorders>
                    <w:top w:val="single" w:sz="6" w:space="0" w:color="BFBFBF"/>
                    <w:bottom w:val="single" w:sz="6" w:space="0" w:color="BFBFBF"/>
                  </w:tcBorders>
                  <w:shd w:val="clear" w:color="auto" w:fill="auto"/>
                  <w:tcMar>
                    <w:top w:w="28" w:type="dxa"/>
                  </w:tcMar>
                </w:tcPr>
                <w:p w:rsidR="00666475" w:rsidRDefault="00666475" w:rsidP="00E1189F">
                  <w:pPr>
                    <w:pStyle w:val="TableColumnHeading"/>
                  </w:pPr>
                  <w:r>
                    <w:t>Retail</w:t>
                  </w:r>
                </w:p>
              </w:tc>
              <w:tc>
                <w:tcPr>
                  <w:tcW w:w="594" w:type="pct"/>
                  <w:tcBorders>
                    <w:top w:val="single" w:sz="6" w:space="0" w:color="BFBFBF"/>
                    <w:bottom w:val="single" w:sz="6" w:space="0" w:color="BFBFBF"/>
                  </w:tcBorders>
                  <w:shd w:val="clear" w:color="auto" w:fill="auto"/>
                  <w:tcMar>
                    <w:top w:w="28" w:type="dxa"/>
                  </w:tcMar>
                </w:tcPr>
                <w:p w:rsidR="00666475" w:rsidRDefault="00666475" w:rsidP="00E1189F">
                  <w:pPr>
                    <w:pStyle w:val="TableColumnHeading"/>
                    <w:ind w:right="28"/>
                  </w:pPr>
                  <w:r>
                    <w:t>Not</w:t>
                  </w:r>
                  <w:r>
                    <w:noBreakHyphen/>
                    <w:t>for</w:t>
                  </w:r>
                  <w:r>
                    <w:noBreakHyphen/>
                    <w:t>profit</w:t>
                  </w:r>
                </w:p>
              </w:tc>
              <w:tc>
                <w:tcPr>
                  <w:tcW w:w="891" w:type="pct"/>
                  <w:tcBorders>
                    <w:top w:val="single" w:sz="6" w:space="0" w:color="BFBFBF"/>
                    <w:bottom w:val="single" w:sz="6" w:space="0" w:color="BFBFBF"/>
                  </w:tcBorders>
                </w:tcPr>
                <w:p w:rsidR="00666475" w:rsidRDefault="00666475" w:rsidP="00E1189F">
                  <w:pPr>
                    <w:pStyle w:val="TableColumnHeading"/>
                  </w:pPr>
                  <w:r>
                    <w:t>System</w:t>
                  </w:r>
                </w:p>
              </w:tc>
              <w:tc>
                <w:tcPr>
                  <w:tcW w:w="599" w:type="pct"/>
                  <w:tcBorders>
                    <w:top w:val="single" w:sz="6" w:space="0" w:color="BFBFBF"/>
                    <w:bottom w:val="single" w:sz="6" w:space="0" w:color="BFBFBF"/>
                  </w:tcBorders>
                </w:tcPr>
                <w:p w:rsidR="00666475" w:rsidRDefault="00666475" w:rsidP="00E1189F">
                  <w:pPr>
                    <w:pStyle w:val="TableColumnHeading"/>
                  </w:pPr>
                  <w:r>
                    <w:t>Retail</w:t>
                  </w:r>
                </w:p>
              </w:tc>
              <w:tc>
                <w:tcPr>
                  <w:tcW w:w="650" w:type="pct"/>
                  <w:tcBorders>
                    <w:top w:val="single" w:sz="6" w:space="0" w:color="BFBFBF"/>
                    <w:bottom w:val="single" w:sz="6" w:space="0" w:color="BFBFBF"/>
                  </w:tcBorders>
                </w:tcPr>
                <w:p w:rsidR="00666475" w:rsidRDefault="00666475" w:rsidP="00E1189F">
                  <w:pPr>
                    <w:pStyle w:val="TableColumnHeading"/>
                    <w:ind w:right="28"/>
                  </w:pPr>
                  <w:r>
                    <w:t>Not</w:t>
                  </w:r>
                  <w:r>
                    <w:noBreakHyphen/>
                    <w:t>for</w:t>
                  </w:r>
                  <w:r>
                    <w:noBreakHyphen/>
                    <w:t>profit</w:t>
                  </w:r>
                </w:p>
              </w:tc>
            </w:tr>
            <w:tr w:rsidR="00666475" w:rsidTr="00E1189F">
              <w:tc>
                <w:tcPr>
                  <w:tcW w:w="1333" w:type="pct"/>
                  <w:tcBorders>
                    <w:top w:val="single" w:sz="6" w:space="0" w:color="BFBFBF"/>
                  </w:tcBorders>
                </w:tcPr>
                <w:p w:rsidR="00666475" w:rsidRDefault="00666475" w:rsidP="00E1189F">
                  <w:pPr>
                    <w:pStyle w:val="TableUnitsRow"/>
                    <w:jc w:val="left"/>
                  </w:pPr>
                  <w:r>
                    <w:t>Cash</w:t>
                  </w:r>
                </w:p>
              </w:tc>
              <w:tc>
                <w:tcPr>
                  <w:tcW w:w="424"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74</w:t>
                  </w:r>
                </w:p>
              </w:tc>
              <w:tc>
                <w:tcPr>
                  <w:tcW w:w="509"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31</w:t>
                  </w:r>
                </w:p>
              </w:tc>
              <w:tc>
                <w:tcPr>
                  <w:tcW w:w="594"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43</w:t>
                  </w:r>
                </w:p>
              </w:tc>
              <w:tc>
                <w:tcPr>
                  <w:tcW w:w="891"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0.19</w:t>
                  </w:r>
                </w:p>
              </w:tc>
              <w:tc>
                <w:tcPr>
                  <w:tcW w:w="599"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0.44</w:t>
                  </w:r>
                </w:p>
              </w:tc>
              <w:tc>
                <w:tcPr>
                  <w:tcW w:w="650"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0.05</w:t>
                  </w:r>
                </w:p>
              </w:tc>
            </w:tr>
            <w:tr w:rsidR="00666475" w:rsidTr="00E1189F">
              <w:tc>
                <w:tcPr>
                  <w:tcW w:w="1333" w:type="pct"/>
                </w:tcPr>
                <w:p w:rsidR="00666475" w:rsidRDefault="00666475" w:rsidP="00E1189F">
                  <w:pPr>
                    <w:pStyle w:val="TableBodyText"/>
                    <w:jc w:val="left"/>
                  </w:pPr>
                  <w:r>
                    <w:t>Australian listed equity</w:t>
                  </w:r>
                </w:p>
              </w:tc>
              <w:tc>
                <w:tcPr>
                  <w:tcW w:w="424"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80</w:t>
                  </w:r>
                </w:p>
              </w:tc>
              <w:tc>
                <w:tcPr>
                  <w:tcW w:w="509"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34</w:t>
                  </w:r>
                </w:p>
              </w:tc>
              <w:tc>
                <w:tcPr>
                  <w:tcW w:w="594"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46</w:t>
                  </w:r>
                </w:p>
              </w:tc>
              <w:tc>
                <w:tcPr>
                  <w:tcW w:w="891"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0.42</w:t>
                  </w:r>
                </w:p>
              </w:tc>
              <w:tc>
                <w:tcPr>
                  <w:tcW w:w="599"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0.60</w:t>
                  </w:r>
                </w:p>
              </w:tc>
              <w:tc>
                <w:tcPr>
                  <w:tcW w:w="650"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0.32</w:t>
                  </w:r>
                </w:p>
              </w:tc>
            </w:tr>
            <w:tr w:rsidR="00666475" w:rsidTr="00E1189F">
              <w:tc>
                <w:tcPr>
                  <w:tcW w:w="1333" w:type="pct"/>
                </w:tcPr>
                <w:p w:rsidR="00666475" w:rsidRDefault="00666475" w:rsidP="00E1189F">
                  <w:pPr>
                    <w:pStyle w:val="TableBodyText"/>
                    <w:jc w:val="left"/>
                  </w:pPr>
                  <w:r>
                    <w:t>International listed equity</w:t>
                  </w:r>
                </w:p>
              </w:tc>
              <w:tc>
                <w:tcPr>
                  <w:tcW w:w="424"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77</w:t>
                  </w:r>
                </w:p>
              </w:tc>
              <w:tc>
                <w:tcPr>
                  <w:tcW w:w="509"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32</w:t>
                  </w:r>
                </w:p>
              </w:tc>
              <w:tc>
                <w:tcPr>
                  <w:tcW w:w="594"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45</w:t>
                  </w:r>
                </w:p>
              </w:tc>
              <w:tc>
                <w:tcPr>
                  <w:tcW w:w="891"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0.53</w:t>
                  </w:r>
                </w:p>
              </w:tc>
              <w:tc>
                <w:tcPr>
                  <w:tcW w:w="599"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0.66</w:t>
                  </w:r>
                </w:p>
              </w:tc>
              <w:tc>
                <w:tcPr>
                  <w:tcW w:w="650"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0.48</w:t>
                  </w:r>
                </w:p>
              </w:tc>
            </w:tr>
            <w:tr w:rsidR="00666475" w:rsidTr="00E1189F">
              <w:tc>
                <w:tcPr>
                  <w:tcW w:w="1333" w:type="pct"/>
                </w:tcPr>
                <w:p w:rsidR="00666475" w:rsidRDefault="00666475" w:rsidP="00E1189F">
                  <w:pPr>
                    <w:pStyle w:val="TableBodyText"/>
                    <w:jc w:val="left"/>
                  </w:pPr>
                  <w:r w:rsidRPr="00C81966">
                    <w:t>Australian fixed income</w:t>
                  </w:r>
                </w:p>
              </w:tc>
              <w:tc>
                <w:tcPr>
                  <w:tcW w:w="424"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75</w:t>
                  </w:r>
                </w:p>
              </w:tc>
              <w:tc>
                <w:tcPr>
                  <w:tcW w:w="509"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34</w:t>
                  </w:r>
                </w:p>
              </w:tc>
              <w:tc>
                <w:tcPr>
                  <w:tcW w:w="594"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41</w:t>
                  </w:r>
                </w:p>
              </w:tc>
              <w:tc>
                <w:tcPr>
                  <w:tcW w:w="891"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0.18</w:t>
                  </w:r>
                </w:p>
              </w:tc>
              <w:tc>
                <w:tcPr>
                  <w:tcW w:w="599"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0.30</w:t>
                  </w:r>
                </w:p>
              </w:tc>
              <w:tc>
                <w:tcPr>
                  <w:tcW w:w="650"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0.10</w:t>
                  </w:r>
                </w:p>
              </w:tc>
            </w:tr>
            <w:tr w:rsidR="00666475" w:rsidTr="00E1189F">
              <w:tc>
                <w:tcPr>
                  <w:tcW w:w="1333" w:type="pct"/>
                </w:tcPr>
                <w:p w:rsidR="00666475" w:rsidRDefault="00666475" w:rsidP="00E1189F">
                  <w:pPr>
                    <w:pStyle w:val="TableBodyText"/>
                    <w:jc w:val="left"/>
                  </w:pPr>
                  <w:r w:rsidRPr="00C81966">
                    <w:t>International fixed income</w:t>
                  </w:r>
                </w:p>
              </w:tc>
              <w:tc>
                <w:tcPr>
                  <w:tcW w:w="424"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66</w:t>
                  </w:r>
                </w:p>
              </w:tc>
              <w:tc>
                <w:tcPr>
                  <w:tcW w:w="509"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28</w:t>
                  </w:r>
                </w:p>
              </w:tc>
              <w:tc>
                <w:tcPr>
                  <w:tcW w:w="594"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38</w:t>
                  </w:r>
                </w:p>
              </w:tc>
              <w:tc>
                <w:tcPr>
                  <w:tcW w:w="891"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0.41</w:t>
                  </w:r>
                </w:p>
              </w:tc>
              <w:tc>
                <w:tcPr>
                  <w:tcW w:w="599"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0.57</w:t>
                  </w:r>
                </w:p>
              </w:tc>
              <w:tc>
                <w:tcPr>
                  <w:tcW w:w="650"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0.31</w:t>
                  </w:r>
                </w:p>
              </w:tc>
            </w:tr>
            <w:tr w:rsidR="00666475" w:rsidTr="00E1189F">
              <w:tc>
                <w:tcPr>
                  <w:tcW w:w="1333" w:type="pct"/>
                </w:tcPr>
                <w:p w:rsidR="00666475" w:rsidRDefault="00666475" w:rsidP="00E1189F">
                  <w:pPr>
                    <w:pStyle w:val="TableBodyText"/>
                    <w:jc w:val="left"/>
                  </w:pPr>
                  <w:r>
                    <w:t>Listed infrastructure</w:t>
                  </w:r>
                </w:p>
              </w:tc>
              <w:tc>
                <w:tcPr>
                  <w:tcW w:w="424"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27</w:t>
                  </w:r>
                </w:p>
              </w:tc>
              <w:tc>
                <w:tcPr>
                  <w:tcW w:w="509"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16</w:t>
                  </w:r>
                </w:p>
              </w:tc>
              <w:tc>
                <w:tcPr>
                  <w:tcW w:w="594"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11</w:t>
                  </w:r>
                </w:p>
              </w:tc>
              <w:tc>
                <w:tcPr>
                  <w:tcW w:w="891"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0.49</w:t>
                  </w:r>
                </w:p>
              </w:tc>
              <w:tc>
                <w:tcPr>
                  <w:tcW w:w="599"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0.75</w:t>
                  </w:r>
                </w:p>
              </w:tc>
              <w:tc>
                <w:tcPr>
                  <w:tcW w:w="650"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0.38</w:t>
                  </w:r>
                </w:p>
              </w:tc>
            </w:tr>
            <w:tr w:rsidR="00666475" w:rsidTr="00E1189F">
              <w:tc>
                <w:tcPr>
                  <w:tcW w:w="1333" w:type="pct"/>
                </w:tcPr>
                <w:p w:rsidR="00666475" w:rsidRDefault="00666475" w:rsidP="00E1189F">
                  <w:pPr>
                    <w:pStyle w:val="TableBodyText"/>
                    <w:jc w:val="left"/>
                  </w:pPr>
                  <w:r>
                    <w:t>Unlisted infrastructure</w:t>
                  </w:r>
                </w:p>
              </w:tc>
              <w:tc>
                <w:tcPr>
                  <w:tcW w:w="424"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43</w:t>
                  </w:r>
                </w:p>
              </w:tc>
              <w:tc>
                <w:tcPr>
                  <w:tcW w:w="509"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7</w:t>
                  </w:r>
                </w:p>
              </w:tc>
              <w:tc>
                <w:tcPr>
                  <w:tcW w:w="594"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36</w:t>
                  </w:r>
                </w:p>
              </w:tc>
              <w:tc>
                <w:tcPr>
                  <w:tcW w:w="891"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0.95</w:t>
                  </w:r>
                </w:p>
              </w:tc>
              <w:tc>
                <w:tcPr>
                  <w:tcW w:w="599"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3.28</w:t>
                  </w:r>
                </w:p>
              </w:tc>
              <w:tc>
                <w:tcPr>
                  <w:tcW w:w="650"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0.89</w:t>
                  </w:r>
                </w:p>
              </w:tc>
            </w:tr>
            <w:tr w:rsidR="00666475" w:rsidTr="00E1189F">
              <w:tc>
                <w:tcPr>
                  <w:tcW w:w="1333" w:type="pct"/>
                </w:tcPr>
                <w:p w:rsidR="00666475" w:rsidRDefault="00666475" w:rsidP="00E1189F">
                  <w:pPr>
                    <w:pStyle w:val="TableBodyText"/>
                    <w:jc w:val="left"/>
                  </w:pPr>
                  <w:r>
                    <w:t>Private equity</w:t>
                  </w:r>
                </w:p>
              </w:tc>
              <w:tc>
                <w:tcPr>
                  <w:tcW w:w="424"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43</w:t>
                  </w:r>
                </w:p>
              </w:tc>
              <w:tc>
                <w:tcPr>
                  <w:tcW w:w="509"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3</w:t>
                  </w:r>
                </w:p>
              </w:tc>
              <w:tc>
                <w:tcPr>
                  <w:tcW w:w="594"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40</w:t>
                  </w:r>
                </w:p>
              </w:tc>
              <w:tc>
                <w:tcPr>
                  <w:tcW w:w="891"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2.79</w:t>
                  </w:r>
                </w:p>
              </w:tc>
              <w:tc>
                <w:tcPr>
                  <w:tcW w:w="599"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3.13</w:t>
                  </w:r>
                </w:p>
              </w:tc>
              <w:tc>
                <w:tcPr>
                  <w:tcW w:w="650"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2.75</w:t>
                  </w:r>
                </w:p>
              </w:tc>
            </w:tr>
            <w:tr w:rsidR="00666475" w:rsidTr="00E1189F">
              <w:tc>
                <w:tcPr>
                  <w:tcW w:w="1333" w:type="pct"/>
                </w:tcPr>
                <w:p w:rsidR="00666475" w:rsidRDefault="00666475" w:rsidP="00E1189F">
                  <w:pPr>
                    <w:pStyle w:val="TableBodyText"/>
                    <w:jc w:val="left"/>
                  </w:pPr>
                  <w:r>
                    <w:t>Listed property</w:t>
                  </w:r>
                </w:p>
              </w:tc>
              <w:tc>
                <w:tcPr>
                  <w:tcW w:w="424"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42</w:t>
                  </w:r>
                </w:p>
              </w:tc>
              <w:tc>
                <w:tcPr>
                  <w:tcW w:w="509"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25</w:t>
                  </w:r>
                </w:p>
              </w:tc>
              <w:tc>
                <w:tcPr>
                  <w:tcW w:w="594"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17</w:t>
                  </w:r>
                </w:p>
              </w:tc>
              <w:tc>
                <w:tcPr>
                  <w:tcW w:w="891"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0.54</w:t>
                  </w:r>
                </w:p>
              </w:tc>
              <w:tc>
                <w:tcPr>
                  <w:tcW w:w="599"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0.65</w:t>
                  </w:r>
                </w:p>
              </w:tc>
              <w:tc>
                <w:tcPr>
                  <w:tcW w:w="650" w:type="pct"/>
                  <w:tcBorders>
                    <w:top w:val="nil"/>
                    <w:left w:val="nil"/>
                    <w:bottom w:val="nil"/>
                    <w:right w:val="nil"/>
                  </w:tcBorders>
                  <w:shd w:val="clear" w:color="auto" w:fill="auto"/>
                  <w:vAlign w:val="bottom"/>
                </w:tcPr>
                <w:p w:rsidR="00666475" w:rsidRPr="00C81966" w:rsidRDefault="00666475" w:rsidP="00E1189F">
                  <w:pPr>
                    <w:pStyle w:val="TableUnitsRow"/>
                  </w:pPr>
                  <w:r w:rsidRPr="005C30E5">
                    <w:t>0.37</w:t>
                  </w:r>
                </w:p>
              </w:tc>
            </w:tr>
            <w:tr w:rsidR="00666475" w:rsidTr="00E1189F">
              <w:tc>
                <w:tcPr>
                  <w:tcW w:w="1333" w:type="pct"/>
                  <w:tcBorders>
                    <w:bottom w:val="single" w:sz="6" w:space="0" w:color="BFBFBF"/>
                  </w:tcBorders>
                  <w:shd w:val="clear" w:color="auto" w:fill="auto"/>
                </w:tcPr>
                <w:p w:rsidR="00666475" w:rsidRDefault="00666475" w:rsidP="00E1189F">
                  <w:pPr>
                    <w:pStyle w:val="TableBodyText"/>
                    <w:jc w:val="left"/>
                  </w:pPr>
                  <w:r>
                    <w:t>Unlisted property</w:t>
                  </w:r>
                </w:p>
              </w:tc>
              <w:tc>
                <w:tcPr>
                  <w:tcW w:w="424" w:type="pct"/>
                  <w:tcBorders>
                    <w:bottom w:val="single" w:sz="6" w:space="0" w:color="BFBFBF"/>
                  </w:tcBorders>
                  <w:vAlign w:val="bottom"/>
                </w:tcPr>
                <w:p w:rsidR="00666475" w:rsidRPr="00C81966" w:rsidRDefault="00666475" w:rsidP="00E1189F">
                  <w:pPr>
                    <w:pStyle w:val="TableUnitsRow"/>
                  </w:pPr>
                  <w:r w:rsidRPr="005C30E5">
                    <w:t>50</w:t>
                  </w:r>
                </w:p>
              </w:tc>
              <w:tc>
                <w:tcPr>
                  <w:tcW w:w="509" w:type="pct"/>
                  <w:tcBorders>
                    <w:bottom w:val="single" w:sz="6" w:space="0" w:color="BFBFBF"/>
                  </w:tcBorders>
                  <w:shd w:val="clear" w:color="auto" w:fill="auto"/>
                  <w:vAlign w:val="bottom"/>
                </w:tcPr>
                <w:p w:rsidR="00666475" w:rsidRPr="00C81966" w:rsidRDefault="00666475" w:rsidP="00E1189F">
                  <w:pPr>
                    <w:pStyle w:val="TableUnitsRow"/>
                  </w:pPr>
                  <w:r w:rsidRPr="005C30E5">
                    <w:t>13</w:t>
                  </w:r>
                </w:p>
              </w:tc>
              <w:tc>
                <w:tcPr>
                  <w:tcW w:w="594" w:type="pct"/>
                  <w:tcBorders>
                    <w:bottom w:val="single" w:sz="6" w:space="0" w:color="BFBFBF"/>
                  </w:tcBorders>
                  <w:shd w:val="clear" w:color="auto" w:fill="auto"/>
                  <w:vAlign w:val="bottom"/>
                </w:tcPr>
                <w:p w:rsidR="00666475" w:rsidRPr="00C81966" w:rsidRDefault="00666475" w:rsidP="00E1189F">
                  <w:pPr>
                    <w:pStyle w:val="TableUnitsRow"/>
                  </w:pPr>
                  <w:r w:rsidRPr="005C30E5">
                    <w:t>37</w:t>
                  </w:r>
                </w:p>
              </w:tc>
              <w:tc>
                <w:tcPr>
                  <w:tcW w:w="891" w:type="pct"/>
                  <w:tcBorders>
                    <w:bottom w:val="single" w:sz="6" w:space="0" w:color="BFBFBF"/>
                  </w:tcBorders>
                  <w:vAlign w:val="bottom"/>
                </w:tcPr>
                <w:p w:rsidR="00666475" w:rsidRPr="00C81966" w:rsidRDefault="00666475" w:rsidP="00E1189F">
                  <w:pPr>
                    <w:pStyle w:val="TableUnitsRow"/>
                  </w:pPr>
                  <w:r w:rsidRPr="005C30E5">
                    <w:t>0.88</w:t>
                  </w:r>
                </w:p>
              </w:tc>
              <w:tc>
                <w:tcPr>
                  <w:tcW w:w="599" w:type="pct"/>
                  <w:tcBorders>
                    <w:bottom w:val="single" w:sz="6" w:space="0" w:color="BFBFBF"/>
                  </w:tcBorders>
                  <w:vAlign w:val="bottom"/>
                </w:tcPr>
                <w:p w:rsidR="00666475" w:rsidRPr="00C81966" w:rsidRDefault="00666475" w:rsidP="00E1189F">
                  <w:pPr>
                    <w:pStyle w:val="TableUnitsRow"/>
                  </w:pPr>
                  <w:r w:rsidRPr="005C30E5">
                    <w:t>0.93</w:t>
                  </w:r>
                </w:p>
              </w:tc>
              <w:tc>
                <w:tcPr>
                  <w:tcW w:w="650" w:type="pct"/>
                  <w:tcBorders>
                    <w:bottom w:val="single" w:sz="6" w:space="0" w:color="BFBFBF"/>
                  </w:tcBorders>
                  <w:vAlign w:val="bottom"/>
                </w:tcPr>
                <w:p w:rsidR="00666475" w:rsidRPr="00C81966" w:rsidRDefault="00666475" w:rsidP="00E1189F">
                  <w:pPr>
                    <w:pStyle w:val="TableUnitsRow"/>
                  </w:pPr>
                  <w:r w:rsidRPr="005C30E5">
                    <w:t>0.88</w:t>
                  </w:r>
                </w:p>
              </w:tc>
            </w:tr>
          </w:tbl>
          <w:p w:rsidR="00666475" w:rsidRDefault="00666475" w:rsidP="00E1189F">
            <w:pPr>
              <w:pStyle w:val="Box"/>
            </w:pPr>
          </w:p>
        </w:tc>
      </w:tr>
      <w:tr w:rsidR="00666475" w:rsidTr="00E1189F">
        <w:tc>
          <w:tcPr>
            <w:tcW w:w="5000" w:type="pct"/>
            <w:tcBorders>
              <w:top w:val="nil"/>
              <w:left w:val="nil"/>
              <w:bottom w:val="nil"/>
              <w:right w:val="nil"/>
            </w:tcBorders>
            <w:shd w:val="clear" w:color="auto" w:fill="auto"/>
          </w:tcPr>
          <w:p w:rsidR="00666475" w:rsidRDefault="00666475" w:rsidP="00E1189F">
            <w:pPr>
              <w:pStyle w:val="Note"/>
              <w:rPr>
                <w:i/>
              </w:rPr>
            </w:pPr>
            <w:r w:rsidRPr="008E77FE">
              <w:rPr>
                <w:rStyle w:val="NoteLabel"/>
              </w:rPr>
              <w:t>a</w:t>
            </w:r>
            <w:r>
              <w:t xml:space="preserve"> Investment management costs </w:t>
            </w:r>
            <w:r w:rsidRPr="005C30E5">
              <w:t xml:space="preserve">for each asset class are calculated by taking the average </w:t>
            </w:r>
            <w:r>
              <w:t>cost</w:t>
            </w:r>
            <w:r w:rsidRPr="005C30E5">
              <w:t xml:space="preserve"> (weighted by fund assets)</w:t>
            </w:r>
            <w:r>
              <w:t>.</w:t>
            </w:r>
          </w:p>
        </w:tc>
      </w:tr>
      <w:tr w:rsidR="00666475" w:rsidTr="00E1189F">
        <w:tc>
          <w:tcPr>
            <w:tcW w:w="5000" w:type="pct"/>
            <w:tcBorders>
              <w:top w:val="nil"/>
              <w:left w:val="nil"/>
              <w:bottom w:val="nil"/>
              <w:right w:val="nil"/>
            </w:tcBorders>
            <w:shd w:val="clear" w:color="auto" w:fill="auto"/>
          </w:tcPr>
          <w:p w:rsidR="00666475" w:rsidRDefault="00666475" w:rsidP="00E1189F">
            <w:pPr>
              <w:pStyle w:val="Source"/>
            </w:pPr>
            <w:r>
              <w:rPr>
                <w:i/>
              </w:rPr>
              <w:t>Source</w:t>
            </w:r>
            <w:r w:rsidRPr="00167F06">
              <w:t xml:space="preserve">: </w:t>
            </w:r>
            <w:r>
              <w:t>Supplementary funds survey.</w:t>
            </w:r>
          </w:p>
        </w:tc>
      </w:tr>
      <w:tr w:rsidR="00666475" w:rsidTr="00E1189F">
        <w:tc>
          <w:tcPr>
            <w:tcW w:w="5000" w:type="pct"/>
            <w:tcBorders>
              <w:top w:val="nil"/>
              <w:left w:val="nil"/>
              <w:bottom w:val="single" w:sz="6" w:space="0" w:color="78A22F"/>
              <w:right w:val="nil"/>
            </w:tcBorders>
            <w:shd w:val="clear" w:color="auto" w:fill="auto"/>
          </w:tcPr>
          <w:p w:rsidR="00666475" w:rsidRDefault="00666475" w:rsidP="00E1189F">
            <w:pPr>
              <w:pStyle w:val="Box"/>
              <w:spacing w:before="0" w:line="120" w:lineRule="exact"/>
            </w:pPr>
          </w:p>
        </w:tc>
      </w:tr>
    </w:tbl>
    <w:p w:rsidR="00666475" w:rsidRDefault="00666475" w:rsidP="00666475">
      <w:pPr>
        <w:rPr>
          <w:szCs w:val="20"/>
        </w:rPr>
      </w:pPr>
    </w:p>
    <w:p w:rsidR="00666475" w:rsidRPr="0005055D" w:rsidRDefault="00666475" w:rsidP="00666475">
      <w:pPr>
        <w:pStyle w:val="BodyText"/>
      </w:pPr>
    </w:p>
    <w:sectPr w:rsidR="00666475" w:rsidRPr="0005055D" w:rsidSect="00897B08">
      <w:headerReference w:type="default" r:id="rId60"/>
      <w:footerReference w:type="even" r:id="rId61"/>
      <w:footerReference w:type="default" r:id="rId62"/>
      <w:type w:val="oddPage"/>
      <w:pgSz w:w="11907" w:h="16840" w:code="9"/>
      <w:pgMar w:top="1984" w:right="1304" w:bottom="1247" w:left="1814" w:header="1701" w:footer="397" w:gutter="0"/>
      <w:pgNumType w:start="1"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35DD" w:rsidRDefault="007535DD">
      <w:r>
        <w:separator/>
      </w:r>
    </w:p>
  </w:endnote>
  <w:endnote w:type="continuationSeparator" w:id="0">
    <w:p w:rsidR="007535DD" w:rsidRDefault="007535DD">
      <w:r>
        <w:continuationSeparator/>
      </w:r>
    </w:p>
  </w:endnote>
  <w:endnote w:type="continuationNotice" w:id="1">
    <w:p w:rsidR="007535DD" w:rsidRDefault="007535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T Extra">
    <w:panose1 w:val="05050102010205020202"/>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D8D" w:rsidRDefault="005C3D8D" w:rsidP="0019293B">
    <w:pPr>
      <w:pStyle w:val="FooterEnd"/>
    </w:pPr>
  </w:p>
  <w:p w:rsidR="005C3D8D" w:rsidRDefault="005C3D8D" w:rsidP="0019293B">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D8D" w:rsidRDefault="005C3D8D" w:rsidP="007E6DAC"/>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5C3D8D" w:rsidTr="005C3D8D">
      <w:trPr>
        <w:trHeight w:hRule="exact" w:val="567"/>
      </w:trPr>
      <w:tc>
        <w:tcPr>
          <w:tcW w:w="510" w:type="dxa"/>
        </w:tcPr>
        <w:p w:rsidR="005C3D8D" w:rsidRPr="00A24443" w:rsidRDefault="005C3D8D" w:rsidP="007E6DAC">
          <w:pPr>
            <w:pStyle w:val="Footer"/>
            <w:tabs>
              <w:tab w:val="left" w:pos="0"/>
            </w:tabs>
            <w:ind w:right="0"/>
            <w:rPr>
              <w:rStyle w:val="PageNumber"/>
              <w:caps w:val="0"/>
            </w:rPr>
          </w:pPr>
          <w:r>
            <w:rPr>
              <w:rStyle w:val="PageNumber"/>
              <w:caps w:val="0"/>
            </w:rPr>
            <w:t>ii</w:t>
          </w:r>
        </w:p>
      </w:tc>
      <w:tc>
        <w:tcPr>
          <w:tcW w:w="7767" w:type="dxa"/>
        </w:tcPr>
        <w:p w:rsidR="005C3D8D" w:rsidRPr="0013739A" w:rsidRDefault="005C3D8D" w:rsidP="007E6DAC">
          <w:pPr>
            <w:pStyle w:val="Footer"/>
            <w:rPr>
              <w:rFonts w:cs="Arial"/>
            </w:rPr>
          </w:pPr>
          <w:r w:rsidRPr="00BA5B14">
            <w:rPr>
              <w:rFonts w:cs="Arial"/>
            </w:rPr>
            <w:fldChar w:fldCharType="begin"/>
          </w:r>
          <w:r w:rsidRPr="00BA5B14">
            <w:rPr>
              <w:rFonts w:cs="Arial"/>
            </w:rPr>
            <w:instrText xml:space="preserve"> TITLE  \* MERGEFORMAT </w:instrText>
          </w:r>
          <w:r w:rsidRPr="00BA5B14">
            <w:rPr>
              <w:rFonts w:cs="Arial"/>
            </w:rPr>
            <w:fldChar w:fldCharType="separate"/>
          </w:r>
          <w:r w:rsidR="000F2567">
            <w:rPr>
              <w:rFonts w:cs="Arial"/>
            </w:rPr>
            <w:t>Investment performance: Supplementary analysis</w:t>
          </w:r>
          <w:r w:rsidRPr="00BA5B14">
            <w:rPr>
              <w:rFonts w:cs="Arial"/>
            </w:rPr>
            <w:fldChar w:fldCharType="end"/>
          </w:r>
        </w:p>
      </w:tc>
      <w:tc>
        <w:tcPr>
          <w:tcW w:w="510" w:type="dxa"/>
        </w:tcPr>
        <w:p w:rsidR="005C3D8D" w:rsidRDefault="005C3D8D" w:rsidP="007E6DAC">
          <w:pPr>
            <w:pStyle w:val="Footer"/>
          </w:pPr>
        </w:p>
      </w:tc>
    </w:tr>
  </w:tbl>
  <w:p w:rsidR="005C3D8D" w:rsidRDefault="005C3D8D">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8D5" w:rsidRDefault="005B28D5" w:rsidP="007E6DAC"/>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04EC5" w:rsidTr="008F3DB0">
      <w:trPr>
        <w:trHeight w:hRule="exact" w:val="567"/>
      </w:trPr>
      <w:tc>
        <w:tcPr>
          <w:tcW w:w="510" w:type="dxa"/>
        </w:tcPr>
        <w:p w:rsidR="00704EC5" w:rsidRDefault="00704EC5" w:rsidP="00704EC5">
          <w:pPr>
            <w:pStyle w:val="Footer"/>
            <w:ind w:right="360" w:firstLine="360"/>
          </w:pPr>
        </w:p>
      </w:tc>
      <w:tc>
        <w:tcPr>
          <w:tcW w:w="7767" w:type="dxa"/>
        </w:tcPr>
        <w:p w:rsidR="00704EC5" w:rsidRPr="00BA5B14" w:rsidRDefault="00704EC5" w:rsidP="00704EC5">
          <w:pPr>
            <w:pStyle w:val="Footer"/>
            <w:jc w:val="right"/>
            <w:rPr>
              <w:rFonts w:cs="Arial"/>
            </w:rPr>
          </w:pPr>
          <w:r w:rsidRPr="00BA5B14">
            <w:rPr>
              <w:rFonts w:cs="Arial"/>
            </w:rPr>
            <w:fldChar w:fldCharType="begin"/>
          </w:r>
          <w:r w:rsidRPr="00BA5B14">
            <w:rPr>
              <w:rFonts w:cs="Arial"/>
            </w:rPr>
            <w:instrText xml:space="preserve"> TITLE  \* MERGEFORMAT </w:instrText>
          </w:r>
          <w:r w:rsidRPr="00BA5B14">
            <w:rPr>
              <w:rFonts w:cs="Arial"/>
            </w:rPr>
            <w:fldChar w:fldCharType="separate"/>
          </w:r>
          <w:r w:rsidR="000F2567">
            <w:rPr>
              <w:rFonts w:cs="Arial"/>
            </w:rPr>
            <w:t>Investment performance: Supplementary analysis</w:t>
          </w:r>
          <w:r w:rsidRPr="00BA5B14">
            <w:rPr>
              <w:rFonts w:cs="Arial"/>
            </w:rPr>
            <w:fldChar w:fldCharType="end"/>
          </w:r>
        </w:p>
      </w:tc>
      <w:tc>
        <w:tcPr>
          <w:tcW w:w="510" w:type="dxa"/>
        </w:tcPr>
        <w:p w:rsidR="00704EC5" w:rsidRPr="00A24443" w:rsidRDefault="00704EC5" w:rsidP="00704EC5">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0F2567">
            <w:rPr>
              <w:rStyle w:val="PageNumber"/>
              <w:caps w:val="0"/>
              <w:noProof/>
            </w:rPr>
            <w:t>iii</w:t>
          </w:r>
          <w:r w:rsidRPr="00A24443">
            <w:rPr>
              <w:rStyle w:val="PageNumber"/>
              <w:caps w:val="0"/>
            </w:rPr>
            <w:fldChar w:fldCharType="end"/>
          </w:r>
        </w:p>
      </w:tc>
    </w:tr>
  </w:tbl>
  <w:p w:rsidR="005B28D5" w:rsidRDefault="005B28D5">
    <w:pPr>
      <w:pStyle w:val="FooterE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5B28D5" w:rsidTr="005F48ED">
      <w:trPr>
        <w:trHeight w:hRule="exact" w:val="567"/>
      </w:trPr>
      <w:tc>
        <w:tcPr>
          <w:tcW w:w="510" w:type="dxa"/>
        </w:tcPr>
        <w:p w:rsidR="005B28D5" w:rsidRPr="00A24443" w:rsidRDefault="00704EC5" w:rsidP="0019293B">
          <w:pPr>
            <w:pStyle w:val="Footer"/>
            <w:tabs>
              <w:tab w:val="left" w:pos="0"/>
            </w:tabs>
            <w:ind w:right="0"/>
            <w:rPr>
              <w:rStyle w:val="PageNumber"/>
              <w:caps w:val="0"/>
            </w:rPr>
          </w:pPr>
          <w:r w:rsidRPr="00704EC5">
            <w:rPr>
              <w:rStyle w:val="PageNumber"/>
              <w:caps w:val="0"/>
            </w:rPr>
            <w:fldChar w:fldCharType="begin"/>
          </w:r>
          <w:r w:rsidRPr="00704EC5">
            <w:rPr>
              <w:rStyle w:val="PageNumber"/>
              <w:caps w:val="0"/>
            </w:rPr>
            <w:instrText xml:space="preserve"> PAGE   \* MERGEFORMAT </w:instrText>
          </w:r>
          <w:r w:rsidRPr="00704EC5">
            <w:rPr>
              <w:rStyle w:val="PageNumber"/>
              <w:caps w:val="0"/>
            </w:rPr>
            <w:fldChar w:fldCharType="separate"/>
          </w:r>
          <w:r w:rsidR="000F2567">
            <w:rPr>
              <w:rStyle w:val="PageNumber"/>
              <w:caps w:val="0"/>
              <w:noProof/>
            </w:rPr>
            <w:t>18</w:t>
          </w:r>
          <w:r w:rsidRPr="00704EC5">
            <w:rPr>
              <w:rStyle w:val="PageNumber"/>
              <w:caps w:val="0"/>
              <w:noProof/>
            </w:rPr>
            <w:fldChar w:fldCharType="end"/>
          </w:r>
        </w:p>
      </w:tc>
      <w:tc>
        <w:tcPr>
          <w:tcW w:w="7767" w:type="dxa"/>
        </w:tcPr>
        <w:p w:rsidR="005B28D5" w:rsidRPr="0013739A" w:rsidRDefault="00A03607" w:rsidP="0013739A">
          <w:pPr>
            <w:pStyle w:val="Footer"/>
            <w:rPr>
              <w:rFonts w:cs="Arial"/>
            </w:rPr>
          </w:pPr>
          <w:r w:rsidRPr="00D3203C">
            <w:t>Superannuation: Efficiency and Competitiveness</w:t>
          </w:r>
        </w:p>
      </w:tc>
      <w:tc>
        <w:tcPr>
          <w:tcW w:w="510" w:type="dxa"/>
        </w:tcPr>
        <w:p w:rsidR="005B28D5" w:rsidRDefault="005B28D5" w:rsidP="0019293B">
          <w:pPr>
            <w:pStyle w:val="Footer"/>
          </w:pPr>
        </w:p>
      </w:tc>
    </w:tr>
  </w:tbl>
  <w:p w:rsidR="005B28D5" w:rsidRDefault="005B28D5" w:rsidP="0019293B">
    <w:pPr>
      <w:pStyle w:val="FooterEnd"/>
    </w:pPr>
  </w:p>
  <w:p w:rsidR="005B28D5" w:rsidRDefault="005B28D5" w:rsidP="0019293B">
    <w:pPr>
      <w:pStyle w:val="FooterEn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5C3D8D" w:rsidTr="005F48ED">
      <w:trPr>
        <w:trHeight w:hRule="exact" w:val="567"/>
      </w:trPr>
      <w:tc>
        <w:tcPr>
          <w:tcW w:w="510" w:type="dxa"/>
        </w:tcPr>
        <w:p w:rsidR="005C3D8D" w:rsidRDefault="005C3D8D">
          <w:pPr>
            <w:pStyle w:val="Footer"/>
            <w:ind w:right="360" w:firstLine="360"/>
          </w:pPr>
        </w:p>
      </w:tc>
      <w:tc>
        <w:tcPr>
          <w:tcW w:w="7767" w:type="dxa"/>
        </w:tcPr>
        <w:p w:rsidR="005C3D8D" w:rsidRPr="00BA5B14" w:rsidRDefault="007120D7" w:rsidP="0013739A">
          <w:pPr>
            <w:pStyle w:val="Footer"/>
            <w:jc w:val="right"/>
            <w:rPr>
              <w:rFonts w:cs="Arial"/>
            </w:rPr>
          </w:pPr>
          <w:r>
            <w:rPr>
              <w:rFonts w:cs="Arial"/>
            </w:rPr>
            <w:t>Investment performance: Supplementary analysis</w:t>
          </w:r>
        </w:p>
      </w:tc>
      <w:tc>
        <w:tcPr>
          <w:tcW w:w="510" w:type="dxa"/>
        </w:tcPr>
        <w:p w:rsidR="005C3D8D" w:rsidRPr="00A24443" w:rsidRDefault="005C3D8D">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0F2567">
            <w:rPr>
              <w:rStyle w:val="PageNumber"/>
              <w:caps w:val="0"/>
              <w:noProof/>
            </w:rPr>
            <w:t>17</w:t>
          </w:r>
          <w:r w:rsidRPr="00A24443">
            <w:rPr>
              <w:rStyle w:val="PageNumber"/>
              <w:caps w:val="0"/>
            </w:rPr>
            <w:fldChar w:fldCharType="end"/>
          </w:r>
        </w:p>
      </w:tc>
    </w:tr>
  </w:tbl>
  <w:p w:rsidR="005C3D8D" w:rsidRDefault="005C3D8D">
    <w:pPr>
      <w:pStyle w:val="FooterEnd"/>
    </w:pPr>
  </w:p>
  <w:p w:rsidR="005C3D8D" w:rsidRDefault="005C3D8D">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35DD" w:rsidRDefault="007535DD">
      <w:r>
        <w:separator/>
      </w:r>
    </w:p>
  </w:footnote>
  <w:footnote w:type="continuationSeparator" w:id="0">
    <w:p w:rsidR="007535DD" w:rsidRDefault="007535DD">
      <w:r>
        <w:continuationSeparator/>
      </w:r>
    </w:p>
  </w:footnote>
  <w:footnote w:type="continuationNotice" w:id="1">
    <w:p w:rsidR="007535DD" w:rsidRDefault="007535DD"/>
  </w:footnote>
  <w:footnote w:id="2">
    <w:p w:rsidR="005C3D8D" w:rsidRDefault="005C3D8D">
      <w:pPr>
        <w:pStyle w:val="FootnoteText"/>
      </w:pPr>
      <w:r>
        <w:rPr>
          <w:rStyle w:val="FootnoteReference"/>
        </w:rPr>
        <w:footnoteRef/>
      </w:r>
      <w:r>
        <w:tab/>
        <w:t xml:space="preserve">Due to different data collection needs, the supplementary funds survey collected data for 2008–2017 rather than 2007–2016. While it may reduce comparability with CEM benchmarking data, the periods either side of the comparable time span (2006 and 2017) both had relatively high returns. </w:t>
      </w:r>
    </w:p>
  </w:footnote>
  <w:footnote w:id="3">
    <w:p w:rsidR="005C3D8D" w:rsidRDefault="005C3D8D">
      <w:pPr>
        <w:pStyle w:val="FootnoteText"/>
      </w:pPr>
      <w:r>
        <w:rPr>
          <w:rStyle w:val="FootnoteReference"/>
        </w:rPr>
        <w:footnoteRef/>
      </w:r>
      <w:r>
        <w:tab/>
        <w:t>Expenses incurred by funds are considered rather than fees because net returns in APRA fund</w:t>
      </w:r>
      <w:r>
        <w:noBreakHyphen/>
        <w:t>level data are calculated using expenses. However, fees are used in the MySuper product decompositions.</w:t>
      </w:r>
    </w:p>
  </w:footnote>
  <w:footnote w:id="4">
    <w:p w:rsidR="005C3D8D" w:rsidRDefault="005C3D8D">
      <w:pPr>
        <w:pStyle w:val="FootnoteText"/>
      </w:pPr>
      <w:r>
        <w:rPr>
          <w:rStyle w:val="FootnoteReference"/>
        </w:rPr>
        <w:footnoteRef/>
      </w:r>
      <w:r>
        <w:tab/>
        <w:t>Most retail funds have a negative outperformance gap, as the retail segment returns are below their benchmark. Subtracting this from the not</w:t>
      </w:r>
      <w:r>
        <w:noBreakHyphen/>
        <w:t>for</w:t>
      </w:r>
      <w:r>
        <w:noBreakHyphen/>
        <w:t>profit outperformance gap leads to a larger total outperformance gap (subtracting a negative number from a positive number).</w:t>
      </w:r>
    </w:p>
  </w:footnote>
  <w:footnote w:id="5">
    <w:p w:rsidR="005C3D8D" w:rsidRDefault="005C3D8D" w:rsidP="00296753">
      <w:pPr>
        <w:pStyle w:val="FootnoteText"/>
      </w:pPr>
      <w:r>
        <w:rPr>
          <w:rStyle w:val="FootnoteReference"/>
        </w:rPr>
        <w:footnoteRef/>
      </w:r>
      <w:r>
        <w:t xml:space="preserve"> </w:t>
      </w:r>
      <w:r>
        <w:tab/>
        <w:t>These figures are based on the median indirect investment fee for products in 2018, with 295 products represented. This is not full coverage of the system — other data sources may yield different estimates.</w:t>
      </w:r>
    </w:p>
  </w:footnote>
  <w:footnote w:id="6">
    <w:p w:rsidR="005C3D8D" w:rsidRDefault="005C3D8D" w:rsidP="00296753">
      <w:pPr>
        <w:pStyle w:val="FootnoteText"/>
      </w:pPr>
      <w:r>
        <w:rPr>
          <w:rStyle w:val="FootnoteReference"/>
        </w:rPr>
        <w:footnoteRef/>
      </w:r>
      <w:r>
        <w:tab/>
        <w:t>Despite the tax rates being tailored to the segments, the amount of tax paid can differ in the benchmark because of the returns being different in the benchmark. This is because the same tax rate (percentage of investment earnings) can have a different contribution to net returns in percentage points, depending on the level of benchmark returns it is applied to.</w:t>
      </w:r>
    </w:p>
  </w:footnote>
  <w:footnote w:id="7">
    <w:p w:rsidR="005C3D8D" w:rsidRDefault="005C3D8D">
      <w:pPr>
        <w:pStyle w:val="FootnoteText"/>
      </w:pPr>
      <w:r>
        <w:rPr>
          <w:rStyle w:val="FootnoteReference"/>
        </w:rPr>
        <w:footnoteRef/>
      </w:r>
      <w:r>
        <w:tab/>
        <w:t>In this analysis, each fund’s indirect investment expense was computed as the median of the product indirect investment fees (for which the Commission had data). The results suggest that an increase of fund</w:t>
      </w:r>
      <w:r>
        <w:noBreakHyphen/>
        <w:t>level indirect investment expenses of 100 basis points is associated with a decrease in the residual by about 50 basis points. This result is not statistically significant.</w:t>
      </w:r>
    </w:p>
  </w:footnote>
  <w:footnote w:id="8">
    <w:p w:rsidR="005C3D8D" w:rsidRDefault="005C3D8D">
      <w:pPr>
        <w:pStyle w:val="FootnoteText"/>
      </w:pPr>
      <w:r>
        <w:rPr>
          <w:rStyle w:val="FootnoteReference"/>
        </w:rPr>
        <w:footnoteRef/>
      </w:r>
      <w:r>
        <w:t xml:space="preserve"> </w:t>
      </w:r>
      <w:r>
        <w:tab/>
        <w:t>The benchmarking analysis only adjusts for domestic tax; international tax is excluded from the analysis.</w:t>
      </w:r>
    </w:p>
  </w:footnote>
  <w:footnote w:id="9">
    <w:p w:rsidR="005C3D8D" w:rsidRDefault="005C3D8D">
      <w:pPr>
        <w:pStyle w:val="FootnoteText"/>
      </w:pPr>
      <w:r>
        <w:rPr>
          <w:rStyle w:val="FootnoteReference"/>
        </w:rPr>
        <w:footnoteRef/>
      </w:r>
      <w:r>
        <w:t xml:space="preserve"> </w:t>
      </w:r>
      <w:r>
        <w:tab/>
        <w:t>The Commission has changed the source of assets data it uses to aggregate fees across products and funds. Instead of using SuperRatings product</w:t>
      </w:r>
      <w:r>
        <w:noBreakHyphen/>
        <w:t>level data as weights, the Commission is now using APRA data — by combining product</w:t>
      </w:r>
      <w:r>
        <w:noBreakHyphen/>
        <w:t>level asset data for MySuper products with fund</w:t>
      </w:r>
      <w:r>
        <w:noBreakHyphen/>
        <w:t>level asset data. This has expanded the number of products in the dataset used for the analysis. For example, there are now 348 products for 2016, compared to 327 in the draft report analysis.</w:t>
      </w:r>
    </w:p>
  </w:footnote>
  <w:footnote w:id="10">
    <w:p w:rsidR="005C3D8D" w:rsidRDefault="005C3D8D">
      <w:pPr>
        <w:pStyle w:val="FootnoteText"/>
      </w:pPr>
      <w:r w:rsidRPr="00BC3714">
        <w:rPr>
          <w:rStyle w:val="FootnoteReference"/>
        </w:rPr>
        <w:footnoteRef/>
      </w:r>
      <w:r>
        <w:t xml:space="preserve"> </w:t>
      </w:r>
      <w:r>
        <w:tab/>
      </w:r>
      <w:r w:rsidRPr="0012496F">
        <w:t xml:space="preserve">Advice fee revenue is reported in APRA data as either ‘activity’ fee revenue or ‘advice’ fee revenue. APRA defines ‘activity’ fee revenue </w:t>
      </w:r>
      <w:r>
        <w:t>as</w:t>
      </w:r>
      <w:r w:rsidRPr="0012496F">
        <w:t xml:space="preserve"> includ</w:t>
      </w:r>
      <w:r>
        <w:t>ing</w:t>
      </w:r>
      <w:r w:rsidRPr="0012496F">
        <w:t xml:space="preserve"> any advice that ‘is engaged in at the request, or with the consent, of a member or that relates to a member and is required by law’</w:t>
      </w:r>
      <w:r>
        <w:t>. It</w:t>
      </w:r>
      <w:r w:rsidRPr="0012496F">
        <w:t xml:space="preserve"> defines ‘advice’ fee revenue as a residual</w:t>
      </w:r>
      <w:r>
        <w:t>, which</w:t>
      </w:r>
      <w:r w:rsidRPr="0012496F">
        <w:t xml:space="preserve"> ‘relates to the provision of financial product advice to a member by the RSE licensee and which is not incorporated into another fee’</w:t>
      </w:r>
      <w:r>
        <w:t> </w:t>
      </w:r>
      <w:r>
        <w:fldChar w:fldCharType="begin"/>
      </w:r>
      <w:r>
        <w:instrText xml:space="preserve"> ADDIN ZOTERO_ITEM CSL_CITATION {"citationID":"mGDG3Fc0","properties":{"formattedCitation":"(APRA\\uc0\\u160{}2015)","plainCitation":"(APRA 2015)","noteIndex":9},"citationItems":[{"id":"VAHMOPU7/pUMomAGa","uris":["http://zotero.org/groups/447740/items/8DCD25VA"],"uri":["http://zotero.org/groups/447740/items/8DCD25VA"],"itemData":{"id":"IeyGxgoz/RXMipjWd","type":"report","title":"Reporting Standard SRS 540.0 Fees","author":[{"family":"Australian Prudential Regulation Authority","given":""}],"translator":[{"family":"APRA","given":""}],"issued":{"date-parts":[["2015"]]}}}],"schema":"https://github.com/citation-style-language/schema/raw/master/csl-citation.json"} </w:instrText>
      </w:r>
      <w:r>
        <w:fldChar w:fldCharType="separate"/>
      </w:r>
      <w:r w:rsidRPr="0094718D">
        <w:rPr>
          <w:szCs w:val="24"/>
        </w:rPr>
        <w:t>(APRA 2015)</w:t>
      </w:r>
      <w:r>
        <w:fldChar w:fldCharType="end"/>
      </w:r>
      <w:r>
        <w:t>.</w:t>
      </w:r>
    </w:p>
  </w:footnote>
  <w:footnote w:id="11">
    <w:p w:rsidR="005C3D8D" w:rsidRDefault="005C3D8D">
      <w:pPr>
        <w:pStyle w:val="FootnoteText"/>
      </w:pPr>
      <w:r>
        <w:rPr>
          <w:rStyle w:val="FootnoteReference"/>
        </w:rPr>
        <w:footnoteRef/>
      </w:r>
      <w:r>
        <w:tab/>
      </w:r>
      <w:r w:rsidRPr="007B04B5">
        <w:rPr>
          <w:spacing w:val="-2"/>
        </w:rPr>
        <w:t xml:space="preserve">While the concept of an associated </w:t>
      </w:r>
      <w:r>
        <w:rPr>
          <w:spacing w:val="-2"/>
        </w:rPr>
        <w:t xml:space="preserve">provider </w:t>
      </w:r>
      <w:r w:rsidRPr="007B04B5">
        <w:rPr>
          <w:spacing w:val="-2"/>
        </w:rPr>
        <w:t xml:space="preserve">is similar to a related party, it is not precisely the same, </w:t>
      </w:r>
      <w:r>
        <w:rPr>
          <w:spacing w:val="-2"/>
        </w:rPr>
        <w:t xml:space="preserve">but the definition of associated parties captures most related party arrangements </w:t>
      </w:r>
      <w:r>
        <w:rPr>
          <w:spacing w:val="-2"/>
        </w:rPr>
        <w:fldChar w:fldCharType="begin"/>
      </w:r>
      <w:r>
        <w:rPr>
          <w:spacing w:val="-2"/>
        </w:rPr>
        <w:instrText xml:space="preserve"> ADDIN ZOTERO_ITEM CSL_CITATION {"citationID":"9wZEoS52","properties":{"formattedCitation":"(APRA\\uc0\\u160{}2018d)","plainCitation":"(APRA 2018d)","noteIndex":10},"citationItems":[{"id":7360,"uris":["http://zotero.org/groups/447740/items/ENNZHWSC"],"uri":["http://zotero.org/groups/447740/items/ENNZHWSC"],"itemData":{"id":7360,"type":"report","title":"Related Party Arrangements Thematic Review","publisher":"APRA","publisher-place":"Sydney","event-place":"Sydney","author":[{"literal":"Australian Prudential Regulation Authority"}],"translator":[{"literal":"APRA"}],"issued":{"date-parts":[["2018"]]}}}],"schema":"https://github.com/citation-style-language/schema/raw/master/csl-citation.json"} </w:instrText>
      </w:r>
      <w:r>
        <w:rPr>
          <w:spacing w:val="-2"/>
        </w:rPr>
        <w:fldChar w:fldCharType="separate"/>
      </w:r>
      <w:r w:rsidRPr="0005055D">
        <w:rPr>
          <w:szCs w:val="24"/>
        </w:rPr>
        <w:t>(APRA 2018d)</w:t>
      </w:r>
      <w:r>
        <w:rPr>
          <w:spacing w:val="-2"/>
        </w:rPr>
        <w:fldChar w:fldCharType="end"/>
      </w:r>
      <w:r w:rsidRPr="007B04B5">
        <w:rPr>
          <w:spacing w:val="-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704EC5" w:rsidTr="008F3DB0">
      <w:tc>
        <w:tcPr>
          <w:tcW w:w="2155" w:type="dxa"/>
          <w:tcBorders>
            <w:top w:val="single" w:sz="24" w:space="0" w:color="auto"/>
          </w:tcBorders>
        </w:tcPr>
        <w:p w:rsidR="00704EC5" w:rsidRDefault="00704EC5" w:rsidP="00704EC5">
          <w:pPr>
            <w:pStyle w:val="HeaderEven"/>
          </w:pPr>
        </w:p>
      </w:tc>
      <w:tc>
        <w:tcPr>
          <w:tcW w:w="6634" w:type="dxa"/>
          <w:tcBorders>
            <w:top w:val="single" w:sz="6" w:space="0" w:color="auto"/>
          </w:tcBorders>
        </w:tcPr>
        <w:p w:rsidR="00704EC5" w:rsidRDefault="00704EC5" w:rsidP="00704EC5">
          <w:pPr>
            <w:pStyle w:val="HeaderEven"/>
          </w:pPr>
        </w:p>
      </w:tc>
    </w:tr>
  </w:tbl>
  <w:p w:rsidR="00704EC5" w:rsidRPr="00704EC5" w:rsidRDefault="00704EC5" w:rsidP="00704EC5">
    <w:pPr>
      <w:pStyle w:val="Header"/>
      <w:spacing w:line="20" w:lineRule="exact"/>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5C3D8D" w:rsidTr="005C3D8D">
      <w:tc>
        <w:tcPr>
          <w:tcW w:w="2155" w:type="dxa"/>
          <w:tcBorders>
            <w:top w:val="single" w:sz="24" w:space="0" w:color="auto"/>
          </w:tcBorders>
        </w:tcPr>
        <w:p w:rsidR="005C3D8D" w:rsidRDefault="005C3D8D" w:rsidP="007E6DAC">
          <w:pPr>
            <w:pStyle w:val="HeaderEven"/>
          </w:pPr>
        </w:p>
      </w:tc>
      <w:tc>
        <w:tcPr>
          <w:tcW w:w="6634" w:type="dxa"/>
          <w:tcBorders>
            <w:top w:val="single" w:sz="6" w:space="0" w:color="auto"/>
          </w:tcBorders>
        </w:tcPr>
        <w:p w:rsidR="005C3D8D" w:rsidRDefault="005C3D8D" w:rsidP="007E6DAC">
          <w:pPr>
            <w:pStyle w:val="HeaderEven"/>
          </w:pPr>
        </w:p>
      </w:tc>
    </w:tr>
  </w:tbl>
  <w:p w:rsidR="005C3D8D" w:rsidRDefault="005C3D8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704EC5" w:rsidTr="008F3DB0">
      <w:tc>
        <w:tcPr>
          <w:tcW w:w="6634" w:type="dxa"/>
          <w:tcBorders>
            <w:top w:val="single" w:sz="6" w:space="0" w:color="auto"/>
          </w:tcBorders>
        </w:tcPr>
        <w:p w:rsidR="00704EC5" w:rsidRDefault="00704EC5" w:rsidP="00704EC5">
          <w:pPr>
            <w:pStyle w:val="HeaderOdd"/>
          </w:pPr>
        </w:p>
      </w:tc>
      <w:tc>
        <w:tcPr>
          <w:tcW w:w="2155" w:type="dxa"/>
          <w:tcBorders>
            <w:top w:val="single" w:sz="24" w:space="0" w:color="auto"/>
          </w:tcBorders>
        </w:tcPr>
        <w:p w:rsidR="00704EC5" w:rsidRDefault="00704EC5" w:rsidP="00704EC5">
          <w:pPr>
            <w:pStyle w:val="HeaderOdd"/>
          </w:pPr>
        </w:p>
      </w:tc>
    </w:tr>
  </w:tbl>
  <w:p w:rsidR="005B28D5" w:rsidRPr="005B28D5" w:rsidRDefault="005B28D5">
    <w:pPr>
      <w:pStyle w:val="Header"/>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5C3D8D">
      <w:tc>
        <w:tcPr>
          <w:tcW w:w="6634" w:type="dxa"/>
          <w:tcBorders>
            <w:top w:val="single" w:sz="6" w:space="0" w:color="auto"/>
          </w:tcBorders>
        </w:tcPr>
        <w:p w:rsidR="005C3D8D" w:rsidRDefault="005C3D8D" w:rsidP="00E669E2">
          <w:pPr>
            <w:pStyle w:val="HeaderOdd"/>
          </w:pPr>
        </w:p>
      </w:tc>
      <w:tc>
        <w:tcPr>
          <w:tcW w:w="2155" w:type="dxa"/>
          <w:tcBorders>
            <w:top w:val="single" w:sz="24" w:space="0" w:color="auto"/>
          </w:tcBorders>
        </w:tcPr>
        <w:p w:rsidR="005C3D8D" w:rsidRDefault="005C3D8D" w:rsidP="00E669E2">
          <w:pPr>
            <w:pStyle w:val="HeaderOdd"/>
          </w:pPr>
        </w:p>
      </w:tc>
    </w:tr>
  </w:tbl>
  <w:p w:rsidR="005C3D8D" w:rsidRDefault="005C3D8D" w:rsidP="00E669E2">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21C75D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23C6C3F"/>
    <w:multiLevelType w:val="hybridMultilevel"/>
    <w:tmpl w:val="07CC6F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6E303A"/>
    <w:multiLevelType w:val="hybridMultilevel"/>
    <w:tmpl w:val="147403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7"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8" w15:restartNumberingAfterBreak="0">
    <w:nsid w:val="0DFA51C0"/>
    <w:multiLevelType w:val="hybridMultilevel"/>
    <w:tmpl w:val="081ED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2" w15:restartNumberingAfterBreak="0">
    <w:nsid w:val="12A73EE9"/>
    <w:multiLevelType w:val="hybridMultilevel"/>
    <w:tmpl w:val="608433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177F10CC"/>
    <w:multiLevelType w:val="hybridMultilevel"/>
    <w:tmpl w:val="7D9AE43A"/>
    <w:lvl w:ilvl="0" w:tplc="4968853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F5549B0"/>
    <w:multiLevelType w:val="hybridMultilevel"/>
    <w:tmpl w:val="60029F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FB51A33"/>
    <w:multiLevelType w:val="hybridMultilevel"/>
    <w:tmpl w:val="1C50919C"/>
    <w:lvl w:ilvl="0" w:tplc="0C090001">
      <w:start w:val="3"/>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3937F19"/>
    <w:multiLevelType w:val="hybridMultilevel"/>
    <w:tmpl w:val="C5F60750"/>
    <w:lvl w:ilvl="0" w:tplc="1694964E">
      <w:start w:val="53"/>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9"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21" w15:restartNumberingAfterBreak="0">
    <w:nsid w:val="31A544F6"/>
    <w:multiLevelType w:val="hybridMultilevel"/>
    <w:tmpl w:val="985ECD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A436C4D"/>
    <w:multiLevelType w:val="hybridMultilevel"/>
    <w:tmpl w:val="4E824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DDE285A"/>
    <w:multiLevelType w:val="hybridMultilevel"/>
    <w:tmpl w:val="EAD0D9CA"/>
    <w:lvl w:ilvl="0" w:tplc="1FA420A6">
      <w:start w:val="1"/>
      <w:numFmt w:val="bullet"/>
      <w:lvlText w:val="-"/>
      <w:lvlJc w:val="left"/>
      <w:pPr>
        <w:ind w:left="366" w:hanging="360"/>
      </w:pPr>
      <w:rPr>
        <w:rFonts w:ascii="Arial" w:eastAsia="Times New Roman" w:hAnsi="Arial" w:cs="Arial" w:hint="default"/>
      </w:rPr>
    </w:lvl>
    <w:lvl w:ilvl="1" w:tplc="0C090003" w:tentative="1">
      <w:start w:val="1"/>
      <w:numFmt w:val="bullet"/>
      <w:lvlText w:val="o"/>
      <w:lvlJc w:val="left"/>
      <w:pPr>
        <w:ind w:left="1086" w:hanging="360"/>
      </w:pPr>
      <w:rPr>
        <w:rFonts w:ascii="Courier New" w:hAnsi="Courier New" w:cs="Courier New" w:hint="default"/>
      </w:rPr>
    </w:lvl>
    <w:lvl w:ilvl="2" w:tplc="0C090005" w:tentative="1">
      <w:start w:val="1"/>
      <w:numFmt w:val="bullet"/>
      <w:lvlText w:val=""/>
      <w:lvlJc w:val="left"/>
      <w:pPr>
        <w:ind w:left="1806" w:hanging="360"/>
      </w:pPr>
      <w:rPr>
        <w:rFonts w:ascii="Wingdings" w:hAnsi="Wingdings" w:hint="default"/>
      </w:rPr>
    </w:lvl>
    <w:lvl w:ilvl="3" w:tplc="0C090001" w:tentative="1">
      <w:start w:val="1"/>
      <w:numFmt w:val="bullet"/>
      <w:lvlText w:val=""/>
      <w:lvlJc w:val="left"/>
      <w:pPr>
        <w:ind w:left="2526" w:hanging="360"/>
      </w:pPr>
      <w:rPr>
        <w:rFonts w:ascii="Symbol" w:hAnsi="Symbol" w:hint="default"/>
      </w:rPr>
    </w:lvl>
    <w:lvl w:ilvl="4" w:tplc="0C090003" w:tentative="1">
      <w:start w:val="1"/>
      <w:numFmt w:val="bullet"/>
      <w:lvlText w:val="o"/>
      <w:lvlJc w:val="left"/>
      <w:pPr>
        <w:ind w:left="3246" w:hanging="360"/>
      </w:pPr>
      <w:rPr>
        <w:rFonts w:ascii="Courier New" w:hAnsi="Courier New" w:cs="Courier New" w:hint="default"/>
      </w:rPr>
    </w:lvl>
    <w:lvl w:ilvl="5" w:tplc="0C090005" w:tentative="1">
      <w:start w:val="1"/>
      <w:numFmt w:val="bullet"/>
      <w:lvlText w:val=""/>
      <w:lvlJc w:val="left"/>
      <w:pPr>
        <w:ind w:left="3966" w:hanging="360"/>
      </w:pPr>
      <w:rPr>
        <w:rFonts w:ascii="Wingdings" w:hAnsi="Wingdings" w:hint="default"/>
      </w:rPr>
    </w:lvl>
    <w:lvl w:ilvl="6" w:tplc="0C090001" w:tentative="1">
      <w:start w:val="1"/>
      <w:numFmt w:val="bullet"/>
      <w:lvlText w:val=""/>
      <w:lvlJc w:val="left"/>
      <w:pPr>
        <w:ind w:left="4686" w:hanging="360"/>
      </w:pPr>
      <w:rPr>
        <w:rFonts w:ascii="Symbol" w:hAnsi="Symbol" w:hint="default"/>
      </w:rPr>
    </w:lvl>
    <w:lvl w:ilvl="7" w:tplc="0C090003" w:tentative="1">
      <w:start w:val="1"/>
      <w:numFmt w:val="bullet"/>
      <w:lvlText w:val="o"/>
      <w:lvlJc w:val="left"/>
      <w:pPr>
        <w:ind w:left="5406" w:hanging="360"/>
      </w:pPr>
      <w:rPr>
        <w:rFonts w:ascii="Courier New" w:hAnsi="Courier New" w:cs="Courier New" w:hint="default"/>
      </w:rPr>
    </w:lvl>
    <w:lvl w:ilvl="8" w:tplc="0C090005" w:tentative="1">
      <w:start w:val="1"/>
      <w:numFmt w:val="bullet"/>
      <w:lvlText w:val=""/>
      <w:lvlJc w:val="left"/>
      <w:pPr>
        <w:ind w:left="6126" w:hanging="360"/>
      </w:pPr>
      <w:rPr>
        <w:rFonts w:ascii="Wingdings" w:hAnsi="Wingdings" w:hint="default"/>
      </w:rPr>
    </w:lvl>
  </w:abstractNum>
  <w:abstractNum w:abstractNumId="24" w15:restartNumberingAfterBreak="0">
    <w:nsid w:val="4269690F"/>
    <w:multiLevelType w:val="hybridMultilevel"/>
    <w:tmpl w:val="2D1293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5E232D8"/>
    <w:multiLevelType w:val="hybridMultilevel"/>
    <w:tmpl w:val="C86211A8"/>
    <w:lvl w:ilvl="0" w:tplc="5190847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541AB5"/>
    <w:multiLevelType w:val="hybridMultilevel"/>
    <w:tmpl w:val="ABE4D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29"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30" w15:restartNumberingAfterBreak="0">
    <w:nsid w:val="55C9406F"/>
    <w:multiLevelType w:val="hybridMultilevel"/>
    <w:tmpl w:val="30849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32"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3"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35"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36"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20"/>
  </w:num>
  <w:num w:numId="2">
    <w:abstractNumId w:val="4"/>
  </w:num>
  <w:num w:numId="3">
    <w:abstractNumId w:val="28"/>
  </w:num>
  <w:num w:numId="4">
    <w:abstractNumId w:val="6"/>
  </w:num>
  <w:num w:numId="5">
    <w:abstractNumId w:val="34"/>
  </w:num>
  <w:num w:numId="6">
    <w:abstractNumId w:val="31"/>
  </w:num>
  <w:num w:numId="7">
    <w:abstractNumId w:val="11"/>
  </w:num>
  <w:num w:numId="8">
    <w:abstractNumId w:val="29"/>
  </w:num>
  <w:num w:numId="9">
    <w:abstractNumId w:val="10"/>
  </w:num>
  <w:num w:numId="10">
    <w:abstractNumId w:val="9"/>
  </w:num>
  <w:num w:numId="11">
    <w:abstractNumId w:val="18"/>
  </w:num>
  <w:num w:numId="12">
    <w:abstractNumId w:val="19"/>
  </w:num>
  <w:num w:numId="13">
    <w:abstractNumId w:val="7"/>
  </w:num>
  <w:num w:numId="14">
    <w:abstractNumId w:val="32"/>
  </w:num>
  <w:num w:numId="15">
    <w:abstractNumId w:val="35"/>
  </w:num>
  <w:num w:numId="16">
    <w:abstractNumId w:val="27"/>
  </w:num>
  <w:num w:numId="17">
    <w:abstractNumId w:val="36"/>
  </w:num>
  <w:num w:numId="18">
    <w:abstractNumId w:val="0"/>
  </w:num>
  <w:num w:numId="19">
    <w:abstractNumId w:val="2"/>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0">
    <w:abstractNumId w:val="33"/>
  </w:num>
  <w:num w:numId="21">
    <w:abstractNumId w:val="13"/>
  </w:num>
  <w:num w:numId="22">
    <w:abstractNumId w:val="16"/>
  </w:num>
  <w:num w:numId="23">
    <w:abstractNumId w:val="1"/>
  </w:num>
  <w:num w:numId="24">
    <w:abstractNumId w:val="30"/>
  </w:num>
  <w:num w:numId="25">
    <w:abstractNumId w:val="14"/>
  </w:num>
  <w:num w:numId="26">
    <w:abstractNumId w:val="24"/>
  </w:num>
  <w:num w:numId="27">
    <w:abstractNumId w:val="8"/>
  </w:num>
  <w:num w:numId="28">
    <w:abstractNumId w:val="3"/>
  </w:num>
  <w:num w:numId="29">
    <w:abstractNumId w:val="12"/>
  </w:num>
  <w:num w:numId="30">
    <w:abstractNumId w:val="22"/>
  </w:num>
  <w:num w:numId="31">
    <w:abstractNumId w:val="25"/>
  </w:num>
  <w:num w:numId="32">
    <w:abstractNumId w:val="21"/>
  </w:num>
  <w:num w:numId="33">
    <w:abstractNumId w:val="15"/>
  </w:num>
  <w:num w:numId="34">
    <w:abstractNumId w:val="26"/>
  </w:num>
  <w:num w:numId="35">
    <w:abstractNumId w:val="5"/>
  </w:num>
  <w:num w:numId="36">
    <w:abstractNumId w:val="17"/>
  </w:num>
  <w:num w:numId="37">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mirrorMargins/>
  <w:hideGrammaticalErrors/>
  <w:attachedTemplate r:id="rId1"/>
  <w:linkStyle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Investment performance: Additional analysis"/>
    <w:docVar w:name="ShortReportTitle" w:val="Superannuation: Assessing competitiveness and efficiency"/>
  </w:docVars>
  <w:rsids>
    <w:rsidRoot w:val="00E13C04"/>
    <w:rsid w:val="000000B4"/>
    <w:rsid w:val="000006ED"/>
    <w:rsid w:val="00000B70"/>
    <w:rsid w:val="00000C28"/>
    <w:rsid w:val="000010E1"/>
    <w:rsid w:val="0000110E"/>
    <w:rsid w:val="000013DE"/>
    <w:rsid w:val="000020C3"/>
    <w:rsid w:val="00002ABA"/>
    <w:rsid w:val="00002ACD"/>
    <w:rsid w:val="00002B97"/>
    <w:rsid w:val="00002D5E"/>
    <w:rsid w:val="000040E6"/>
    <w:rsid w:val="0000461C"/>
    <w:rsid w:val="00004A68"/>
    <w:rsid w:val="000051B3"/>
    <w:rsid w:val="000055C3"/>
    <w:rsid w:val="0000594C"/>
    <w:rsid w:val="00006702"/>
    <w:rsid w:val="00006A68"/>
    <w:rsid w:val="000071EE"/>
    <w:rsid w:val="000076EA"/>
    <w:rsid w:val="00010CBA"/>
    <w:rsid w:val="00011120"/>
    <w:rsid w:val="000112FE"/>
    <w:rsid w:val="00011C05"/>
    <w:rsid w:val="00012667"/>
    <w:rsid w:val="00012B63"/>
    <w:rsid w:val="00012DFF"/>
    <w:rsid w:val="0001396E"/>
    <w:rsid w:val="00013EDC"/>
    <w:rsid w:val="000141D5"/>
    <w:rsid w:val="00014445"/>
    <w:rsid w:val="00014725"/>
    <w:rsid w:val="00014A1C"/>
    <w:rsid w:val="00014F3E"/>
    <w:rsid w:val="00016711"/>
    <w:rsid w:val="0001746F"/>
    <w:rsid w:val="00017505"/>
    <w:rsid w:val="000175E0"/>
    <w:rsid w:val="00017EF7"/>
    <w:rsid w:val="00021C10"/>
    <w:rsid w:val="00022701"/>
    <w:rsid w:val="000227D5"/>
    <w:rsid w:val="0002284F"/>
    <w:rsid w:val="0002294F"/>
    <w:rsid w:val="00023086"/>
    <w:rsid w:val="00023C51"/>
    <w:rsid w:val="00023F96"/>
    <w:rsid w:val="0002408C"/>
    <w:rsid w:val="000243C3"/>
    <w:rsid w:val="000245AA"/>
    <w:rsid w:val="000246BD"/>
    <w:rsid w:val="000247C6"/>
    <w:rsid w:val="000254C8"/>
    <w:rsid w:val="00025A7A"/>
    <w:rsid w:val="0002630A"/>
    <w:rsid w:val="00026994"/>
    <w:rsid w:val="00026F26"/>
    <w:rsid w:val="00027256"/>
    <w:rsid w:val="00027819"/>
    <w:rsid w:val="00030ADD"/>
    <w:rsid w:val="00030BE6"/>
    <w:rsid w:val="00030D56"/>
    <w:rsid w:val="00030F4A"/>
    <w:rsid w:val="00032595"/>
    <w:rsid w:val="00032618"/>
    <w:rsid w:val="0003281C"/>
    <w:rsid w:val="000329DE"/>
    <w:rsid w:val="00032B71"/>
    <w:rsid w:val="00032C6C"/>
    <w:rsid w:val="00033135"/>
    <w:rsid w:val="00033167"/>
    <w:rsid w:val="0003354B"/>
    <w:rsid w:val="000335E5"/>
    <w:rsid w:val="00033A5A"/>
    <w:rsid w:val="00033F29"/>
    <w:rsid w:val="000342D5"/>
    <w:rsid w:val="00034579"/>
    <w:rsid w:val="00034A12"/>
    <w:rsid w:val="00035B4B"/>
    <w:rsid w:val="00035C6A"/>
    <w:rsid w:val="00035F5C"/>
    <w:rsid w:val="0003664B"/>
    <w:rsid w:val="00036B08"/>
    <w:rsid w:val="00036BDD"/>
    <w:rsid w:val="00036ED4"/>
    <w:rsid w:val="000373EF"/>
    <w:rsid w:val="0003776F"/>
    <w:rsid w:val="00037886"/>
    <w:rsid w:val="000403C3"/>
    <w:rsid w:val="00040B1F"/>
    <w:rsid w:val="00040CEC"/>
    <w:rsid w:val="00040F41"/>
    <w:rsid w:val="00041042"/>
    <w:rsid w:val="0004111F"/>
    <w:rsid w:val="0004124D"/>
    <w:rsid w:val="00041B5D"/>
    <w:rsid w:val="000429AE"/>
    <w:rsid w:val="000435D6"/>
    <w:rsid w:val="00044968"/>
    <w:rsid w:val="00044A48"/>
    <w:rsid w:val="00044AEB"/>
    <w:rsid w:val="00044D7C"/>
    <w:rsid w:val="00045706"/>
    <w:rsid w:val="000458D2"/>
    <w:rsid w:val="00045E07"/>
    <w:rsid w:val="00046536"/>
    <w:rsid w:val="000469A5"/>
    <w:rsid w:val="00046F50"/>
    <w:rsid w:val="00046FB8"/>
    <w:rsid w:val="0004719D"/>
    <w:rsid w:val="00047487"/>
    <w:rsid w:val="00047A04"/>
    <w:rsid w:val="00047B0E"/>
    <w:rsid w:val="00047B34"/>
    <w:rsid w:val="00047D84"/>
    <w:rsid w:val="00047FC7"/>
    <w:rsid w:val="000503DE"/>
    <w:rsid w:val="0005055D"/>
    <w:rsid w:val="000505A3"/>
    <w:rsid w:val="00050CDC"/>
    <w:rsid w:val="000512D2"/>
    <w:rsid w:val="000512D5"/>
    <w:rsid w:val="00051FD2"/>
    <w:rsid w:val="00052199"/>
    <w:rsid w:val="000523AD"/>
    <w:rsid w:val="000535E6"/>
    <w:rsid w:val="00053BBF"/>
    <w:rsid w:val="00054958"/>
    <w:rsid w:val="0005498D"/>
    <w:rsid w:val="00054C71"/>
    <w:rsid w:val="00055077"/>
    <w:rsid w:val="0005551E"/>
    <w:rsid w:val="00055CD7"/>
    <w:rsid w:val="00056007"/>
    <w:rsid w:val="000562BA"/>
    <w:rsid w:val="000565B3"/>
    <w:rsid w:val="00056AE8"/>
    <w:rsid w:val="00056F47"/>
    <w:rsid w:val="0005789A"/>
    <w:rsid w:val="000608D1"/>
    <w:rsid w:val="00060AFB"/>
    <w:rsid w:val="00061A17"/>
    <w:rsid w:val="00061E9F"/>
    <w:rsid w:val="0006230C"/>
    <w:rsid w:val="0006256C"/>
    <w:rsid w:val="000637CD"/>
    <w:rsid w:val="00063A26"/>
    <w:rsid w:val="00063E3F"/>
    <w:rsid w:val="00064674"/>
    <w:rsid w:val="00064EE8"/>
    <w:rsid w:val="00065135"/>
    <w:rsid w:val="00065E59"/>
    <w:rsid w:val="000663ED"/>
    <w:rsid w:val="00066453"/>
    <w:rsid w:val="00066775"/>
    <w:rsid w:val="00066DF1"/>
    <w:rsid w:val="00066E51"/>
    <w:rsid w:val="000670FF"/>
    <w:rsid w:val="000672D8"/>
    <w:rsid w:val="00067533"/>
    <w:rsid w:val="0007074C"/>
    <w:rsid w:val="00070804"/>
    <w:rsid w:val="0007123C"/>
    <w:rsid w:val="0007150B"/>
    <w:rsid w:val="00071973"/>
    <w:rsid w:val="00071CAE"/>
    <w:rsid w:val="0007255C"/>
    <w:rsid w:val="00072593"/>
    <w:rsid w:val="00072DCB"/>
    <w:rsid w:val="00072EB3"/>
    <w:rsid w:val="00072F0A"/>
    <w:rsid w:val="0007311D"/>
    <w:rsid w:val="00073708"/>
    <w:rsid w:val="00076391"/>
    <w:rsid w:val="0007666C"/>
    <w:rsid w:val="000766CA"/>
    <w:rsid w:val="00076EFC"/>
    <w:rsid w:val="000771EE"/>
    <w:rsid w:val="00077720"/>
    <w:rsid w:val="0008007A"/>
    <w:rsid w:val="00080F1F"/>
    <w:rsid w:val="0008130D"/>
    <w:rsid w:val="0008202D"/>
    <w:rsid w:val="0008234F"/>
    <w:rsid w:val="00082384"/>
    <w:rsid w:val="0008238F"/>
    <w:rsid w:val="000828B9"/>
    <w:rsid w:val="0008290E"/>
    <w:rsid w:val="0008396B"/>
    <w:rsid w:val="000842D7"/>
    <w:rsid w:val="0008489D"/>
    <w:rsid w:val="000849EB"/>
    <w:rsid w:val="00084BEE"/>
    <w:rsid w:val="00084D15"/>
    <w:rsid w:val="00084FC0"/>
    <w:rsid w:val="000851DF"/>
    <w:rsid w:val="00085B32"/>
    <w:rsid w:val="00085C96"/>
    <w:rsid w:val="00085E2D"/>
    <w:rsid w:val="00086074"/>
    <w:rsid w:val="000862FF"/>
    <w:rsid w:val="00086422"/>
    <w:rsid w:val="00086867"/>
    <w:rsid w:val="00086A92"/>
    <w:rsid w:val="0008723A"/>
    <w:rsid w:val="000873C7"/>
    <w:rsid w:val="000877A7"/>
    <w:rsid w:val="000906C0"/>
    <w:rsid w:val="00090C9E"/>
    <w:rsid w:val="00090FDA"/>
    <w:rsid w:val="0009125A"/>
    <w:rsid w:val="00091354"/>
    <w:rsid w:val="00091A0E"/>
    <w:rsid w:val="00092CC1"/>
    <w:rsid w:val="00093220"/>
    <w:rsid w:val="000938F5"/>
    <w:rsid w:val="00093C90"/>
    <w:rsid w:val="00093DC6"/>
    <w:rsid w:val="000952AA"/>
    <w:rsid w:val="00095663"/>
    <w:rsid w:val="00095684"/>
    <w:rsid w:val="00095892"/>
    <w:rsid w:val="00095C3A"/>
    <w:rsid w:val="00095E32"/>
    <w:rsid w:val="00096E55"/>
    <w:rsid w:val="000973D4"/>
    <w:rsid w:val="0009750D"/>
    <w:rsid w:val="0009783E"/>
    <w:rsid w:val="00097AC3"/>
    <w:rsid w:val="000A126A"/>
    <w:rsid w:val="000A191F"/>
    <w:rsid w:val="000A1FBC"/>
    <w:rsid w:val="000A2394"/>
    <w:rsid w:val="000A25F1"/>
    <w:rsid w:val="000A2916"/>
    <w:rsid w:val="000A30D6"/>
    <w:rsid w:val="000A399B"/>
    <w:rsid w:val="000A3E06"/>
    <w:rsid w:val="000A4370"/>
    <w:rsid w:val="000A5A7D"/>
    <w:rsid w:val="000A5EB1"/>
    <w:rsid w:val="000A60D0"/>
    <w:rsid w:val="000A6E95"/>
    <w:rsid w:val="000A7138"/>
    <w:rsid w:val="000A727F"/>
    <w:rsid w:val="000A78EB"/>
    <w:rsid w:val="000B0E89"/>
    <w:rsid w:val="000B0F1C"/>
    <w:rsid w:val="000B1022"/>
    <w:rsid w:val="000B1355"/>
    <w:rsid w:val="000B1DEC"/>
    <w:rsid w:val="000B22CB"/>
    <w:rsid w:val="000B2A59"/>
    <w:rsid w:val="000B30AF"/>
    <w:rsid w:val="000B405A"/>
    <w:rsid w:val="000B4B26"/>
    <w:rsid w:val="000B4FD6"/>
    <w:rsid w:val="000B601B"/>
    <w:rsid w:val="000B619F"/>
    <w:rsid w:val="000B6BF1"/>
    <w:rsid w:val="000B6EEF"/>
    <w:rsid w:val="000B6F5C"/>
    <w:rsid w:val="000B73B1"/>
    <w:rsid w:val="000B73DC"/>
    <w:rsid w:val="000B7627"/>
    <w:rsid w:val="000B7710"/>
    <w:rsid w:val="000B79A6"/>
    <w:rsid w:val="000B7CB8"/>
    <w:rsid w:val="000C0C34"/>
    <w:rsid w:val="000C1F9B"/>
    <w:rsid w:val="000C207E"/>
    <w:rsid w:val="000C2842"/>
    <w:rsid w:val="000C28DA"/>
    <w:rsid w:val="000C2A47"/>
    <w:rsid w:val="000C2E3F"/>
    <w:rsid w:val="000C2E54"/>
    <w:rsid w:val="000C2FE7"/>
    <w:rsid w:val="000C3BA9"/>
    <w:rsid w:val="000C408B"/>
    <w:rsid w:val="000C4432"/>
    <w:rsid w:val="000C4852"/>
    <w:rsid w:val="000C4F54"/>
    <w:rsid w:val="000C53CC"/>
    <w:rsid w:val="000C5F55"/>
    <w:rsid w:val="000C6529"/>
    <w:rsid w:val="000C6CAE"/>
    <w:rsid w:val="000C6DCC"/>
    <w:rsid w:val="000C6DF4"/>
    <w:rsid w:val="000C6E3C"/>
    <w:rsid w:val="000C70F0"/>
    <w:rsid w:val="000C7565"/>
    <w:rsid w:val="000C76C3"/>
    <w:rsid w:val="000C7B79"/>
    <w:rsid w:val="000D0123"/>
    <w:rsid w:val="000D046E"/>
    <w:rsid w:val="000D0D61"/>
    <w:rsid w:val="000D0ECA"/>
    <w:rsid w:val="000D2287"/>
    <w:rsid w:val="000D2F01"/>
    <w:rsid w:val="000D3078"/>
    <w:rsid w:val="000D3393"/>
    <w:rsid w:val="000D3466"/>
    <w:rsid w:val="000D3A84"/>
    <w:rsid w:val="000D3FB0"/>
    <w:rsid w:val="000D41E9"/>
    <w:rsid w:val="000D439F"/>
    <w:rsid w:val="000D4523"/>
    <w:rsid w:val="000D4631"/>
    <w:rsid w:val="000D46F2"/>
    <w:rsid w:val="000D53F1"/>
    <w:rsid w:val="000D5A30"/>
    <w:rsid w:val="000D5D2F"/>
    <w:rsid w:val="000D5E41"/>
    <w:rsid w:val="000D6ABE"/>
    <w:rsid w:val="000D7297"/>
    <w:rsid w:val="000D7C62"/>
    <w:rsid w:val="000D7D54"/>
    <w:rsid w:val="000E027E"/>
    <w:rsid w:val="000E045A"/>
    <w:rsid w:val="000E07B1"/>
    <w:rsid w:val="000E159C"/>
    <w:rsid w:val="000E1706"/>
    <w:rsid w:val="000E180F"/>
    <w:rsid w:val="000E1B08"/>
    <w:rsid w:val="000E1C4D"/>
    <w:rsid w:val="000E218A"/>
    <w:rsid w:val="000E2546"/>
    <w:rsid w:val="000E2584"/>
    <w:rsid w:val="000E26A4"/>
    <w:rsid w:val="000E2C07"/>
    <w:rsid w:val="000E3051"/>
    <w:rsid w:val="000E47B8"/>
    <w:rsid w:val="000E4F68"/>
    <w:rsid w:val="000E6219"/>
    <w:rsid w:val="000E6A64"/>
    <w:rsid w:val="000E7277"/>
    <w:rsid w:val="000E783D"/>
    <w:rsid w:val="000E793B"/>
    <w:rsid w:val="000F0035"/>
    <w:rsid w:val="000F02BF"/>
    <w:rsid w:val="000F02FF"/>
    <w:rsid w:val="000F04E7"/>
    <w:rsid w:val="000F060A"/>
    <w:rsid w:val="000F10A1"/>
    <w:rsid w:val="000F15F6"/>
    <w:rsid w:val="000F1DC2"/>
    <w:rsid w:val="000F1E1D"/>
    <w:rsid w:val="000F1EE1"/>
    <w:rsid w:val="000F1F18"/>
    <w:rsid w:val="000F1FB4"/>
    <w:rsid w:val="000F2185"/>
    <w:rsid w:val="000F24D9"/>
    <w:rsid w:val="000F2567"/>
    <w:rsid w:val="000F2B94"/>
    <w:rsid w:val="000F2D75"/>
    <w:rsid w:val="000F2F10"/>
    <w:rsid w:val="000F3407"/>
    <w:rsid w:val="000F35BC"/>
    <w:rsid w:val="000F37D9"/>
    <w:rsid w:val="000F420B"/>
    <w:rsid w:val="000F4257"/>
    <w:rsid w:val="000F43C5"/>
    <w:rsid w:val="000F46FA"/>
    <w:rsid w:val="000F539C"/>
    <w:rsid w:val="000F55B8"/>
    <w:rsid w:val="000F5668"/>
    <w:rsid w:val="000F58B4"/>
    <w:rsid w:val="000F5D58"/>
    <w:rsid w:val="000F6027"/>
    <w:rsid w:val="000F6038"/>
    <w:rsid w:val="000F6065"/>
    <w:rsid w:val="000F6218"/>
    <w:rsid w:val="000F6C9C"/>
    <w:rsid w:val="000F6F12"/>
    <w:rsid w:val="000F7256"/>
    <w:rsid w:val="0010046A"/>
    <w:rsid w:val="0010093B"/>
    <w:rsid w:val="00100B1B"/>
    <w:rsid w:val="00100FBE"/>
    <w:rsid w:val="001018EC"/>
    <w:rsid w:val="001019D5"/>
    <w:rsid w:val="0010236A"/>
    <w:rsid w:val="00102410"/>
    <w:rsid w:val="001024CA"/>
    <w:rsid w:val="00102604"/>
    <w:rsid w:val="00102ED0"/>
    <w:rsid w:val="001032A4"/>
    <w:rsid w:val="00103650"/>
    <w:rsid w:val="00103A57"/>
    <w:rsid w:val="00103EC5"/>
    <w:rsid w:val="0010440F"/>
    <w:rsid w:val="00104718"/>
    <w:rsid w:val="0010472C"/>
    <w:rsid w:val="00104949"/>
    <w:rsid w:val="001049C4"/>
    <w:rsid w:val="00104C34"/>
    <w:rsid w:val="00104E10"/>
    <w:rsid w:val="00104E33"/>
    <w:rsid w:val="001053A5"/>
    <w:rsid w:val="00105ED1"/>
    <w:rsid w:val="0010600E"/>
    <w:rsid w:val="00106E03"/>
    <w:rsid w:val="0010759F"/>
    <w:rsid w:val="00107E61"/>
    <w:rsid w:val="00110116"/>
    <w:rsid w:val="0011028A"/>
    <w:rsid w:val="00110421"/>
    <w:rsid w:val="00110711"/>
    <w:rsid w:val="001109B5"/>
    <w:rsid w:val="00110A80"/>
    <w:rsid w:val="001114F5"/>
    <w:rsid w:val="00111680"/>
    <w:rsid w:val="00111C98"/>
    <w:rsid w:val="0011241C"/>
    <w:rsid w:val="00112641"/>
    <w:rsid w:val="00112774"/>
    <w:rsid w:val="00113256"/>
    <w:rsid w:val="00113A62"/>
    <w:rsid w:val="0011434B"/>
    <w:rsid w:val="001143B5"/>
    <w:rsid w:val="001143C3"/>
    <w:rsid w:val="00115036"/>
    <w:rsid w:val="001150EA"/>
    <w:rsid w:val="001152C2"/>
    <w:rsid w:val="0011538F"/>
    <w:rsid w:val="001157F0"/>
    <w:rsid w:val="00115A17"/>
    <w:rsid w:val="00115D92"/>
    <w:rsid w:val="00115FAA"/>
    <w:rsid w:val="001164DE"/>
    <w:rsid w:val="00116D68"/>
    <w:rsid w:val="00116F3B"/>
    <w:rsid w:val="00117A26"/>
    <w:rsid w:val="00120072"/>
    <w:rsid w:val="0012071A"/>
    <w:rsid w:val="00120E88"/>
    <w:rsid w:val="00121BC6"/>
    <w:rsid w:val="00122A02"/>
    <w:rsid w:val="00122A2C"/>
    <w:rsid w:val="00122A6B"/>
    <w:rsid w:val="00122AF8"/>
    <w:rsid w:val="00122FA1"/>
    <w:rsid w:val="00123095"/>
    <w:rsid w:val="001232C1"/>
    <w:rsid w:val="00123691"/>
    <w:rsid w:val="00123AC1"/>
    <w:rsid w:val="00124239"/>
    <w:rsid w:val="001245A7"/>
    <w:rsid w:val="001248BB"/>
    <w:rsid w:val="0012496F"/>
    <w:rsid w:val="0012683E"/>
    <w:rsid w:val="0012687C"/>
    <w:rsid w:val="00126EB8"/>
    <w:rsid w:val="00127485"/>
    <w:rsid w:val="001274D4"/>
    <w:rsid w:val="00127CE4"/>
    <w:rsid w:val="00130918"/>
    <w:rsid w:val="00130AF0"/>
    <w:rsid w:val="0013107F"/>
    <w:rsid w:val="00131182"/>
    <w:rsid w:val="00131207"/>
    <w:rsid w:val="00131C87"/>
    <w:rsid w:val="00132667"/>
    <w:rsid w:val="00132A02"/>
    <w:rsid w:val="00132E1D"/>
    <w:rsid w:val="00133196"/>
    <w:rsid w:val="00133537"/>
    <w:rsid w:val="00133C59"/>
    <w:rsid w:val="00133E4C"/>
    <w:rsid w:val="001342D0"/>
    <w:rsid w:val="001345FE"/>
    <w:rsid w:val="00134E91"/>
    <w:rsid w:val="00135431"/>
    <w:rsid w:val="00136311"/>
    <w:rsid w:val="001363AA"/>
    <w:rsid w:val="001364CD"/>
    <w:rsid w:val="001365C1"/>
    <w:rsid w:val="001365E4"/>
    <w:rsid w:val="001365EF"/>
    <w:rsid w:val="00136E20"/>
    <w:rsid w:val="00136EDB"/>
    <w:rsid w:val="00136EF2"/>
    <w:rsid w:val="0013739A"/>
    <w:rsid w:val="00137B39"/>
    <w:rsid w:val="00137ECB"/>
    <w:rsid w:val="00137F51"/>
    <w:rsid w:val="001400F1"/>
    <w:rsid w:val="001402C4"/>
    <w:rsid w:val="00140F1D"/>
    <w:rsid w:val="00141631"/>
    <w:rsid w:val="0014165B"/>
    <w:rsid w:val="00141747"/>
    <w:rsid w:val="00141F90"/>
    <w:rsid w:val="00142165"/>
    <w:rsid w:val="001421E6"/>
    <w:rsid w:val="0014253A"/>
    <w:rsid w:val="00142ECA"/>
    <w:rsid w:val="00143D51"/>
    <w:rsid w:val="0014462C"/>
    <w:rsid w:val="00145CF5"/>
    <w:rsid w:val="00145E35"/>
    <w:rsid w:val="00146810"/>
    <w:rsid w:val="00146E68"/>
    <w:rsid w:val="0014751F"/>
    <w:rsid w:val="0014761B"/>
    <w:rsid w:val="0014782A"/>
    <w:rsid w:val="001479BC"/>
    <w:rsid w:val="0015092E"/>
    <w:rsid w:val="001518EC"/>
    <w:rsid w:val="00151C25"/>
    <w:rsid w:val="0015312C"/>
    <w:rsid w:val="001532DD"/>
    <w:rsid w:val="00153334"/>
    <w:rsid w:val="00153B8C"/>
    <w:rsid w:val="00153E6A"/>
    <w:rsid w:val="00153F5B"/>
    <w:rsid w:val="0015430F"/>
    <w:rsid w:val="001546A0"/>
    <w:rsid w:val="00154890"/>
    <w:rsid w:val="00154DEF"/>
    <w:rsid w:val="00155E69"/>
    <w:rsid w:val="00156824"/>
    <w:rsid w:val="001568A1"/>
    <w:rsid w:val="0015693C"/>
    <w:rsid w:val="0015769B"/>
    <w:rsid w:val="00157878"/>
    <w:rsid w:val="001579BC"/>
    <w:rsid w:val="00157E81"/>
    <w:rsid w:val="001604F1"/>
    <w:rsid w:val="00160F70"/>
    <w:rsid w:val="001616A3"/>
    <w:rsid w:val="00161A4D"/>
    <w:rsid w:val="00162099"/>
    <w:rsid w:val="00162434"/>
    <w:rsid w:val="00162B21"/>
    <w:rsid w:val="001633BD"/>
    <w:rsid w:val="00163529"/>
    <w:rsid w:val="00163C8A"/>
    <w:rsid w:val="00163F95"/>
    <w:rsid w:val="00163FE3"/>
    <w:rsid w:val="00164270"/>
    <w:rsid w:val="001645A8"/>
    <w:rsid w:val="00164983"/>
    <w:rsid w:val="0016559A"/>
    <w:rsid w:val="00165BA6"/>
    <w:rsid w:val="001660D7"/>
    <w:rsid w:val="00166C3D"/>
    <w:rsid w:val="00167563"/>
    <w:rsid w:val="001678F1"/>
    <w:rsid w:val="00167B86"/>
    <w:rsid w:val="00170198"/>
    <w:rsid w:val="001708FE"/>
    <w:rsid w:val="00170A4C"/>
    <w:rsid w:val="00170B99"/>
    <w:rsid w:val="00170E28"/>
    <w:rsid w:val="00170EEF"/>
    <w:rsid w:val="001710A0"/>
    <w:rsid w:val="001714E8"/>
    <w:rsid w:val="00171AA4"/>
    <w:rsid w:val="00171CD6"/>
    <w:rsid w:val="001725B9"/>
    <w:rsid w:val="00172A78"/>
    <w:rsid w:val="0017328B"/>
    <w:rsid w:val="00173378"/>
    <w:rsid w:val="00173558"/>
    <w:rsid w:val="0017408D"/>
    <w:rsid w:val="001740BC"/>
    <w:rsid w:val="00174333"/>
    <w:rsid w:val="001745C0"/>
    <w:rsid w:val="001750E1"/>
    <w:rsid w:val="00175642"/>
    <w:rsid w:val="0017580E"/>
    <w:rsid w:val="00175B4E"/>
    <w:rsid w:val="001769FD"/>
    <w:rsid w:val="00176AFC"/>
    <w:rsid w:val="00176D13"/>
    <w:rsid w:val="00177212"/>
    <w:rsid w:val="00177B92"/>
    <w:rsid w:val="00177D27"/>
    <w:rsid w:val="001807E8"/>
    <w:rsid w:val="001817CA"/>
    <w:rsid w:val="001828CE"/>
    <w:rsid w:val="00182FD2"/>
    <w:rsid w:val="0018301D"/>
    <w:rsid w:val="00183E82"/>
    <w:rsid w:val="00184C93"/>
    <w:rsid w:val="00184D01"/>
    <w:rsid w:val="00184D11"/>
    <w:rsid w:val="00184DAA"/>
    <w:rsid w:val="00185D13"/>
    <w:rsid w:val="00185FF9"/>
    <w:rsid w:val="001860D7"/>
    <w:rsid w:val="001863F1"/>
    <w:rsid w:val="00186997"/>
    <w:rsid w:val="001878BB"/>
    <w:rsid w:val="001901DB"/>
    <w:rsid w:val="001902BA"/>
    <w:rsid w:val="00190416"/>
    <w:rsid w:val="001906D3"/>
    <w:rsid w:val="00190968"/>
    <w:rsid w:val="00191AE0"/>
    <w:rsid w:val="00192088"/>
    <w:rsid w:val="0019208A"/>
    <w:rsid w:val="0019293B"/>
    <w:rsid w:val="00192988"/>
    <w:rsid w:val="00192B07"/>
    <w:rsid w:val="00192B9D"/>
    <w:rsid w:val="00192CF3"/>
    <w:rsid w:val="0019302A"/>
    <w:rsid w:val="00193457"/>
    <w:rsid w:val="0019359C"/>
    <w:rsid w:val="00193A5E"/>
    <w:rsid w:val="0019426B"/>
    <w:rsid w:val="00194311"/>
    <w:rsid w:val="0019509C"/>
    <w:rsid w:val="00195276"/>
    <w:rsid w:val="0019569F"/>
    <w:rsid w:val="00195A96"/>
    <w:rsid w:val="00195D33"/>
    <w:rsid w:val="00195E8E"/>
    <w:rsid w:val="00196A32"/>
    <w:rsid w:val="00197D01"/>
    <w:rsid w:val="001A0023"/>
    <w:rsid w:val="001A01CC"/>
    <w:rsid w:val="001A0790"/>
    <w:rsid w:val="001A16A6"/>
    <w:rsid w:val="001A1810"/>
    <w:rsid w:val="001A1B29"/>
    <w:rsid w:val="001A2261"/>
    <w:rsid w:val="001A229B"/>
    <w:rsid w:val="001A2531"/>
    <w:rsid w:val="001A2A14"/>
    <w:rsid w:val="001A2C3C"/>
    <w:rsid w:val="001A30F4"/>
    <w:rsid w:val="001A380A"/>
    <w:rsid w:val="001A3883"/>
    <w:rsid w:val="001A3FE0"/>
    <w:rsid w:val="001A412A"/>
    <w:rsid w:val="001A48C3"/>
    <w:rsid w:val="001A4B4B"/>
    <w:rsid w:val="001A4DB1"/>
    <w:rsid w:val="001A4F9B"/>
    <w:rsid w:val="001A4FA6"/>
    <w:rsid w:val="001A5456"/>
    <w:rsid w:val="001A566D"/>
    <w:rsid w:val="001A60CF"/>
    <w:rsid w:val="001A6170"/>
    <w:rsid w:val="001A6A4B"/>
    <w:rsid w:val="001A6B8F"/>
    <w:rsid w:val="001A74E1"/>
    <w:rsid w:val="001A7871"/>
    <w:rsid w:val="001B0603"/>
    <w:rsid w:val="001B0663"/>
    <w:rsid w:val="001B0921"/>
    <w:rsid w:val="001B0B78"/>
    <w:rsid w:val="001B0DE9"/>
    <w:rsid w:val="001B1005"/>
    <w:rsid w:val="001B109B"/>
    <w:rsid w:val="001B1B59"/>
    <w:rsid w:val="001B23CD"/>
    <w:rsid w:val="001B28ED"/>
    <w:rsid w:val="001B345B"/>
    <w:rsid w:val="001B345C"/>
    <w:rsid w:val="001B3B60"/>
    <w:rsid w:val="001B459A"/>
    <w:rsid w:val="001B4602"/>
    <w:rsid w:val="001B4F2B"/>
    <w:rsid w:val="001B51A0"/>
    <w:rsid w:val="001B5591"/>
    <w:rsid w:val="001B57EA"/>
    <w:rsid w:val="001B59BA"/>
    <w:rsid w:val="001B663B"/>
    <w:rsid w:val="001B71D3"/>
    <w:rsid w:val="001B7344"/>
    <w:rsid w:val="001B7BA5"/>
    <w:rsid w:val="001B7D37"/>
    <w:rsid w:val="001B7FA7"/>
    <w:rsid w:val="001C0496"/>
    <w:rsid w:val="001C0865"/>
    <w:rsid w:val="001C0A38"/>
    <w:rsid w:val="001C0AED"/>
    <w:rsid w:val="001C1205"/>
    <w:rsid w:val="001C1705"/>
    <w:rsid w:val="001C2353"/>
    <w:rsid w:val="001C252F"/>
    <w:rsid w:val="001C2996"/>
    <w:rsid w:val="001C2B68"/>
    <w:rsid w:val="001C2FFE"/>
    <w:rsid w:val="001C3886"/>
    <w:rsid w:val="001C3ABA"/>
    <w:rsid w:val="001C3CC3"/>
    <w:rsid w:val="001C3F68"/>
    <w:rsid w:val="001C44A5"/>
    <w:rsid w:val="001C4AFB"/>
    <w:rsid w:val="001C5111"/>
    <w:rsid w:val="001C57A6"/>
    <w:rsid w:val="001C5991"/>
    <w:rsid w:val="001C5E77"/>
    <w:rsid w:val="001C6FB1"/>
    <w:rsid w:val="001C7202"/>
    <w:rsid w:val="001C7B02"/>
    <w:rsid w:val="001C7C57"/>
    <w:rsid w:val="001D0A62"/>
    <w:rsid w:val="001D0A76"/>
    <w:rsid w:val="001D0E9D"/>
    <w:rsid w:val="001D1A72"/>
    <w:rsid w:val="001D1BBC"/>
    <w:rsid w:val="001D1CC6"/>
    <w:rsid w:val="001D2420"/>
    <w:rsid w:val="001D2B2D"/>
    <w:rsid w:val="001D31A8"/>
    <w:rsid w:val="001D37D0"/>
    <w:rsid w:val="001D37D4"/>
    <w:rsid w:val="001D380B"/>
    <w:rsid w:val="001D3877"/>
    <w:rsid w:val="001D3C91"/>
    <w:rsid w:val="001D3D91"/>
    <w:rsid w:val="001D47BD"/>
    <w:rsid w:val="001D507E"/>
    <w:rsid w:val="001D6159"/>
    <w:rsid w:val="001D6EF3"/>
    <w:rsid w:val="001D70E2"/>
    <w:rsid w:val="001D735C"/>
    <w:rsid w:val="001D7382"/>
    <w:rsid w:val="001D75CE"/>
    <w:rsid w:val="001D76BE"/>
    <w:rsid w:val="001E025F"/>
    <w:rsid w:val="001E06D6"/>
    <w:rsid w:val="001E07A2"/>
    <w:rsid w:val="001E07ED"/>
    <w:rsid w:val="001E0A64"/>
    <w:rsid w:val="001E0B8F"/>
    <w:rsid w:val="001E0EDE"/>
    <w:rsid w:val="001E13F1"/>
    <w:rsid w:val="001E18C1"/>
    <w:rsid w:val="001E1980"/>
    <w:rsid w:val="001E1CED"/>
    <w:rsid w:val="001E25B6"/>
    <w:rsid w:val="001E325F"/>
    <w:rsid w:val="001E38FE"/>
    <w:rsid w:val="001E4642"/>
    <w:rsid w:val="001E5237"/>
    <w:rsid w:val="001E5288"/>
    <w:rsid w:val="001E52B5"/>
    <w:rsid w:val="001E5568"/>
    <w:rsid w:val="001E58B4"/>
    <w:rsid w:val="001E5F25"/>
    <w:rsid w:val="001E5F4E"/>
    <w:rsid w:val="001E67AD"/>
    <w:rsid w:val="001E68B0"/>
    <w:rsid w:val="001E6926"/>
    <w:rsid w:val="001E792F"/>
    <w:rsid w:val="001E7BE8"/>
    <w:rsid w:val="001E7FBA"/>
    <w:rsid w:val="001F0248"/>
    <w:rsid w:val="001F02F7"/>
    <w:rsid w:val="001F0DED"/>
    <w:rsid w:val="001F141E"/>
    <w:rsid w:val="001F153F"/>
    <w:rsid w:val="001F15F5"/>
    <w:rsid w:val="001F2366"/>
    <w:rsid w:val="001F328F"/>
    <w:rsid w:val="001F3745"/>
    <w:rsid w:val="001F3815"/>
    <w:rsid w:val="001F3A28"/>
    <w:rsid w:val="001F3BAA"/>
    <w:rsid w:val="001F3EB3"/>
    <w:rsid w:val="001F4F86"/>
    <w:rsid w:val="001F7110"/>
    <w:rsid w:val="001F7364"/>
    <w:rsid w:val="001F7A7A"/>
    <w:rsid w:val="00200118"/>
    <w:rsid w:val="002019CF"/>
    <w:rsid w:val="00201EF5"/>
    <w:rsid w:val="00202340"/>
    <w:rsid w:val="0020258D"/>
    <w:rsid w:val="0020267C"/>
    <w:rsid w:val="002029A5"/>
    <w:rsid w:val="00202C2C"/>
    <w:rsid w:val="00202FDB"/>
    <w:rsid w:val="00203050"/>
    <w:rsid w:val="00204B93"/>
    <w:rsid w:val="00204D5A"/>
    <w:rsid w:val="00204E94"/>
    <w:rsid w:val="0020542A"/>
    <w:rsid w:val="0020589F"/>
    <w:rsid w:val="00206532"/>
    <w:rsid w:val="002070D8"/>
    <w:rsid w:val="0020723C"/>
    <w:rsid w:val="002104D3"/>
    <w:rsid w:val="002108D6"/>
    <w:rsid w:val="00210CF6"/>
    <w:rsid w:val="002117D6"/>
    <w:rsid w:val="00211815"/>
    <w:rsid w:val="002123EF"/>
    <w:rsid w:val="00212ADE"/>
    <w:rsid w:val="00212BED"/>
    <w:rsid w:val="00213376"/>
    <w:rsid w:val="00213382"/>
    <w:rsid w:val="002133ED"/>
    <w:rsid w:val="002135AB"/>
    <w:rsid w:val="002135ED"/>
    <w:rsid w:val="00213FD3"/>
    <w:rsid w:val="00214258"/>
    <w:rsid w:val="002144BE"/>
    <w:rsid w:val="002149B9"/>
    <w:rsid w:val="00214B10"/>
    <w:rsid w:val="0021504F"/>
    <w:rsid w:val="0021512C"/>
    <w:rsid w:val="00215B40"/>
    <w:rsid w:val="00215C7C"/>
    <w:rsid w:val="00215C9D"/>
    <w:rsid w:val="0021699C"/>
    <w:rsid w:val="00216F9A"/>
    <w:rsid w:val="0021718E"/>
    <w:rsid w:val="00217CCD"/>
    <w:rsid w:val="00220BC6"/>
    <w:rsid w:val="00221E51"/>
    <w:rsid w:val="002225AA"/>
    <w:rsid w:val="002227D6"/>
    <w:rsid w:val="00222A6A"/>
    <w:rsid w:val="00222BA7"/>
    <w:rsid w:val="00222EBF"/>
    <w:rsid w:val="00222F86"/>
    <w:rsid w:val="00223055"/>
    <w:rsid w:val="002230C8"/>
    <w:rsid w:val="0022325B"/>
    <w:rsid w:val="002233F1"/>
    <w:rsid w:val="00223538"/>
    <w:rsid w:val="0022386F"/>
    <w:rsid w:val="00223E5F"/>
    <w:rsid w:val="0022455A"/>
    <w:rsid w:val="002245B3"/>
    <w:rsid w:val="0022532B"/>
    <w:rsid w:val="002259EF"/>
    <w:rsid w:val="002259FE"/>
    <w:rsid w:val="002261DA"/>
    <w:rsid w:val="002263BD"/>
    <w:rsid w:val="00226893"/>
    <w:rsid w:val="00226C84"/>
    <w:rsid w:val="00226E63"/>
    <w:rsid w:val="002271BF"/>
    <w:rsid w:val="00227436"/>
    <w:rsid w:val="002279B5"/>
    <w:rsid w:val="00230F7F"/>
    <w:rsid w:val="00231838"/>
    <w:rsid w:val="00231C01"/>
    <w:rsid w:val="002320B8"/>
    <w:rsid w:val="0023242D"/>
    <w:rsid w:val="0023264B"/>
    <w:rsid w:val="002328FF"/>
    <w:rsid w:val="002333F9"/>
    <w:rsid w:val="0023417C"/>
    <w:rsid w:val="00234252"/>
    <w:rsid w:val="002342A1"/>
    <w:rsid w:val="002345C7"/>
    <w:rsid w:val="00234A5E"/>
    <w:rsid w:val="0023538A"/>
    <w:rsid w:val="0023539F"/>
    <w:rsid w:val="0023564E"/>
    <w:rsid w:val="002358E4"/>
    <w:rsid w:val="0023625D"/>
    <w:rsid w:val="00236994"/>
    <w:rsid w:val="00240578"/>
    <w:rsid w:val="00240602"/>
    <w:rsid w:val="00240A4B"/>
    <w:rsid w:val="00240D28"/>
    <w:rsid w:val="002415E6"/>
    <w:rsid w:val="0024190F"/>
    <w:rsid w:val="002419C3"/>
    <w:rsid w:val="00242279"/>
    <w:rsid w:val="0024240A"/>
    <w:rsid w:val="0024241A"/>
    <w:rsid w:val="0024373B"/>
    <w:rsid w:val="00243997"/>
    <w:rsid w:val="00244E02"/>
    <w:rsid w:val="00245011"/>
    <w:rsid w:val="0024516C"/>
    <w:rsid w:val="0024564F"/>
    <w:rsid w:val="002457A8"/>
    <w:rsid w:val="00245B7F"/>
    <w:rsid w:val="00245C82"/>
    <w:rsid w:val="00246638"/>
    <w:rsid w:val="00246939"/>
    <w:rsid w:val="00246A48"/>
    <w:rsid w:val="00246D44"/>
    <w:rsid w:val="002470C9"/>
    <w:rsid w:val="00250828"/>
    <w:rsid w:val="00250B17"/>
    <w:rsid w:val="00251204"/>
    <w:rsid w:val="00252260"/>
    <w:rsid w:val="00252291"/>
    <w:rsid w:val="00252F30"/>
    <w:rsid w:val="0025313B"/>
    <w:rsid w:val="002532D9"/>
    <w:rsid w:val="00253982"/>
    <w:rsid w:val="002539DF"/>
    <w:rsid w:val="002548A3"/>
    <w:rsid w:val="00254B6B"/>
    <w:rsid w:val="0025506B"/>
    <w:rsid w:val="002550FB"/>
    <w:rsid w:val="00256FDD"/>
    <w:rsid w:val="002571CC"/>
    <w:rsid w:val="00257842"/>
    <w:rsid w:val="002608AC"/>
    <w:rsid w:val="00260DA4"/>
    <w:rsid w:val="002612A5"/>
    <w:rsid w:val="002626AF"/>
    <w:rsid w:val="00263200"/>
    <w:rsid w:val="00263423"/>
    <w:rsid w:val="00263B4D"/>
    <w:rsid w:val="002640A1"/>
    <w:rsid w:val="00264A33"/>
    <w:rsid w:val="00264CC7"/>
    <w:rsid w:val="002659B8"/>
    <w:rsid w:val="002661A9"/>
    <w:rsid w:val="0026665D"/>
    <w:rsid w:val="00266850"/>
    <w:rsid w:val="00267B7B"/>
    <w:rsid w:val="002708B3"/>
    <w:rsid w:val="00271B22"/>
    <w:rsid w:val="00271DEB"/>
    <w:rsid w:val="0027214D"/>
    <w:rsid w:val="002724BA"/>
    <w:rsid w:val="002726B0"/>
    <w:rsid w:val="00272AE8"/>
    <w:rsid w:val="00272D60"/>
    <w:rsid w:val="00272F67"/>
    <w:rsid w:val="002730DF"/>
    <w:rsid w:val="00273800"/>
    <w:rsid w:val="00273B0B"/>
    <w:rsid w:val="00273FFD"/>
    <w:rsid w:val="0027451C"/>
    <w:rsid w:val="002746F2"/>
    <w:rsid w:val="00275210"/>
    <w:rsid w:val="00275B4C"/>
    <w:rsid w:val="00275F94"/>
    <w:rsid w:val="00277F0B"/>
    <w:rsid w:val="0028009F"/>
    <w:rsid w:val="002801BA"/>
    <w:rsid w:val="00281B4A"/>
    <w:rsid w:val="0028403F"/>
    <w:rsid w:val="002842B0"/>
    <w:rsid w:val="0028439D"/>
    <w:rsid w:val="00284E5A"/>
    <w:rsid w:val="002860F3"/>
    <w:rsid w:val="00286893"/>
    <w:rsid w:val="002872CF"/>
    <w:rsid w:val="0028784C"/>
    <w:rsid w:val="00287858"/>
    <w:rsid w:val="0028787F"/>
    <w:rsid w:val="00287A5B"/>
    <w:rsid w:val="00287ACE"/>
    <w:rsid w:val="0029066A"/>
    <w:rsid w:val="00290B5C"/>
    <w:rsid w:val="0029104B"/>
    <w:rsid w:val="002912BC"/>
    <w:rsid w:val="0029141B"/>
    <w:rsid w:val="00291668"/>
    <w:rsid w:val="00291B21"/>
    <w:rsid w:val="00291B40"/>
    <w:rsid w:val="0029213B"/>
    <w:rsid w:val="00292347"/>
    <w:rsid w:val="00292AB6"/>
    <w:rsid w:val="00293456"/>
    <w:rsid w:val="002936D2"/>
    <w:rsid w:val="00294837"/>
    <w:rsid w:val="00294A5F"/>
    <w:rsid w:val="00294B2D"/>
    <w:rsid w:val="00294EDA"/>
    <w:rsid w:val="002951F6"/>
    <w:rsid w:val="0029546A"/>
    <w:rsid w:val="002958B4"/>
    <w:rsid w:val="00295C5E"/>
    <w:rsid w:val="002960CB"/>
    <w:rsid w:val="00296753"/>
    <w:rsid w:val="00296C8C"/>
    <w:rsid w:val="00296D92"/>
    <w:rsid w:val="00297453"/>
    <w:rsid w:val="002978DC"/>
    <w:rsid w:val="002A0757"/>
    <w:rsid w:val="002A11C4"/>
    <w:rsid w:val="002A1362"/>
    <w:rsid w:val="002A16D5"/>
    <w:rsid w:val="002A1F89"/>
    <w:rsid w:val="002A216B"/>
    <w:rsid w:val="002A2B35"/>
    <w:rsid w:val="002A2CE2"/>
    <w:rsid w:val="002A3488"/>
    <w:rsid w:val="002A4D3F"/>
    <w:rsid w:val="002A612F"/>
    <w:rsid w:val="002A6344"/>
    <w:rsid w:val="002A64E4"/>
    <w:rsid w:val="002A657C"/>
    <w:rsid w:val="002A68DC"/>
    <w:rsid w:val="002A726C"/>
    <w:rsid w:val="002A73CB"/>
    <w:rsid w:val="002A7ADE"/>
    <w:rsid w:val="002B0D2F"/>
    <w:rsid w:val="002B15B5"/>
    <w:rsid w:val="002B1AFC"/>
    <w:rsid w:val="002B1D50"/>
    <w:rsid w:val="002B263F"/>
    <w:rsid w:val="002B300D"/>
    <w:rsid w:val="002B3BCC"/>
    <w:rsid w:val="002B3CA1"/>
    <w:rsid w:val="002B3E8F"/>
    <w:rsid w:val="002B4008"/>
    <w:rsid w:val="002B426A"/>
    <w:rsid w:val="002B45F1"/>
    <w:rsid w:val="002B46AC"/>
    <w:rsid w:val="002B521B"/>
    <w:rsid w:val="002B5637"/>
    <w:rsid w:val="002B59C3"/>
    <w:rsid w:val="002B5C50"/>
    <w:rsid w:val="002B6C99"/>
    <w:rsid w:val="002B7422"/>
    <w:rsid w:val="002B79FC"/>
    <w:rsid w:val="002B7A4A"/>
    <w:rsid w:val="002B7EC8"/>
    <w:rsid w:val="002C047C"/>
    <w:rsid w:val="002C0798"/>
    <w:rsid w:val="002C08A1"/>
    <w:rsid w:val="002C1515"/>
    <w:rsid w:val="002C15C4"/>
    <w:rsid w:val="002C1B23"/>
    <w:rsid w:val="002C1C6F"/>
    <w:rsid w:val="002C2078"/>
    <w:rsid w:val="002C22D8"/>
    <w:rsid w:val="002C25F6"/>
    <w:rsid w:val="002C2807"/>
    <w:rsid w:val="002C2E90"/>
    <w:rsid w:val="002C2FA2"/>
    <w:rsid w:val="002C2FC0"/>
    <w:rsid w:val="002C35AF"/>
    <w:rsid w:val="002C4136"/>
    <w:rsid w:val="002C439F"/>
    <w:rsid w:val="002C43BF"/>
    <w:rsid w:val="002C4819"/>
    <w:rsid w:val="002C4ABB"/>
    <w:rsid w:val="002C4CD7"/>
    <w:rsid w:val="002C562E"/>
    <w:rsid w:val="002C5A8C"/>
    <w:rsid w:val="002C5BFB"/>
    <w:rsid w:val="002C5C85"/>
    <w:rsid w:val="002C6153"/>
    <w:rsid w:val="002C6177"/>
    <w:rsid w:val="002C62CA"/>
    <w:rsid w:val="002C62FA"/>
    <w:rsid w:val="002C6473"/>
    <w:rsid w:val="002C6487"/>
    <w:rsid w:val="002C6BBC"/>
    <w:rsid w:val="002C6C36"/>
    <w:rsid w:val="002D02C2"/>
    <w:rsid w:val="002D051F"/>
    <w:rsid w:val="002D0C42"/>
    <w:rsid w:val="002D0DDF"/>
    <w:rsid w:val="002D0E8E"/>
    <w:rsid w:val="002D10AC"/>
    <w:rsid w:val="002D130B"/>
    <w:rsid w:val="002D1688"/>
    <w:rsid w:val="002D19D3"/>
    <w:rsid w:val="002D1E86"/>
    <w:rsid w:val="002D2B23"/>
    <w:rsid w:val="002D305D"/>
    <w:rsid w:val="002D35EC"/>
    <w:rsid w:val="002D36A6"/>
    <w:rsid w:val="002D40D0"/>
    <w:rsid w:val="002D5243"/>
    <w:rsid w:val="002D5A3C"/>
    <w:rsid w:val="002D5B85"/>
    <w:rsid w:val="002D611B"/>
    <w:rsid w:val="002D6837"/>
    <w:rsid w:val="002D6AE4"/>
    <w:rsid w:val="002D6E34"/>
    <w:rsid w:val="002D6FB1"/>
    <w:rsid w:val="002D7057"/>
    <w:rsid w:val="002D7503"/>
    <w:rsid w:val="002D7C2D"/>
    <w:rsid w:val="002E0307"/>
    <w:rsid w:val="002E08F1"/>
    <w:rsid w:val="002E09F3"/>
    <w:rsid w:val="002E0C7D"/>
    <w:rsid w:val="002E0CB8"/>
    <w:rsid w:val="002E0E63"/>
    <w:rsid w:val="002E11F2"/>
    <w:rsid w:val="002E16E7"/>
    <w:rsid w:val="002E19AE"/>
    <w:rsid w:val="002E203F"/>
    <w:rsid w:val="002E208C"/>
    <w:rsid w:val="002E2349"/>
    <w:rsid w:val="002E2551"/>
    <w:rsid w:val="002E2B3A"/>
    <w:rsid w:val="002E2BC4"/>
    <w:rsid w:val="002E3188"/>
    <w:rsid w:val="002E34DC"/>
    <w:rsid w:val="002E3716"/>
    <w:rsid w:val="002E3B42"/>
    <w:rsid w:val="002E54B0"/>
    <w:rsid w:val="002E6A9F"/>
    <w:rsid w:val="002E6CC3"/>
    <w:rsid w:val="002E774A"/>
    <w:rsid w:val="002E7C1A"/>
    <w:rsid w:val="002E7D90"/>
    <w:rsid w:val="002F0EE1"/>
    <w:rsid w:val="002F0EE7"/>
    <w:rsid w:val="002F1328"/>
    <w:rsid w:val="002F1601"/>
    <w:rsid w:val="002F179E"/>
    <w:rsid w:val="002F1C8B"/>
    <w:rsid w:val="002F1DDC"/>
    <w:rsid w:val="002F2231"/>
    <w:rsid w:val="002F226B"/>
    <w:rsid w:val="002F2393"/>
    <w:rsid w:val="002F30D0"/>
    <w:rsid w:val="002F3865"/>
    <w:rsid w:val="002F3FC3"/>
    <w:rsid w:val="002F4036"/>
    <w:rsid w:val="002F4498"/>
    <w:rsid w:val="002F555F"/>
    <w:rsid w:val="002F56F1"/>
    <w:rsid w:val="002F5D30"/>
    <w:rsid w:val="002F6960"/>
    <w:rsid w:val="002F6E1F"/>
    <w:rsid w:val="003004EA"/>
    <w:rsid w:val="00300888"/>
    <w:rsid w:val="00301189"/>
    <w:rsid w:val="00301226"/>
    <w:rsid w:val="003013F2"/>
    <w:rsid w:val="0030159C"/>
    <w:rsid w:val="00301668"/>
    <w:rsid w:val="00301CC7"/>
    <w:rsid w:val="00301E4A"/>
    <w:rsid w:val="00302F2E"/>
    <w:rsid w:val="00303DD5"/>
    <w:rsid w:val="00303E0A"/>
    <w:rsid w:val="00303F50"/>
    <w:rsid w:val="00304149"/>
    <w:rsid w:val="003042AF"/>
    <w:rsid w:val="0030473D"/>
    <w:rsid w:val="00304F7E"/>
    <w:rsid w:val="00305FCE"/>
    <w:rsid w:val="003062A7"/>
    <w:rsid w:val="0030638A"/>
    <w:rsid w:val="003069F4"/>
    <w:rsid w:val="00306D55"/>
    <w:rsid w:val="00307376"/>
    <w:rsid w:val="003079C3"/>
    <w:rsid w:val="00307A07"/>
    <w:rsid w:val="00307CC7"/>
    <w:rsid w:val="00307ED6"/>
    <w:rsid w:val="003105A1"/>
    <w:rsid w:val="00311037"/>
    <w:rsid w:val="00312121"/>
    <w:rsid w:val="00312A46"/>
    <w:rsid w:val="00312C7B"/>
    <w:rsid w:val="00313102"/>
    <w:rsid w:val="00313286"/>
    <w:rsid w:val="00313799"/>
    <w:rsid w:val="00314BE2"/>
    <w:rsid w:val="00314FC5"/>
    <w:rsid w:val="00314FFA"/>
    <w:rsid w:val="0031541D"/>
    <w:rsid w:val="00315B95"/>
    <w:rsid w:val="003168B8"/>
    <w:rsid w:val="003177D7"/>
    <w:rsid w:val="00317F78"/>
    <w:rsid w:val="00317F9E"/>
    <w:rsid w:val="00320006"/>
    <w:rsid w:val="0032017B"/>
    <w:rsid w:val="003209D6"/>
    <w:rsid w:val="00320AC7"/>
    <w:rsid w:val="0032179F"/>
    <w:rsid w:val="00322302"/>
    <w:rsid w:val="0032262A"/>
    <w:rsid w:val="00322921"/>
    <w:rsid w:val="00322965"/>
    <w:rsid w:val="00322C9D"/>
    <w:rsid w:val="00322D64"/>
    <w:rsid w:val="00323A89"/>
    <w:rsid w:val="00323E09"/>
    <w:rsid w:val="003253FB"/>
    <w:rsid w:val="003255C9"/>
    <w:rsid w:val="0032598B"/>
    <w:rsid w:val="003259A8"/>
    <w:rsid w:val="003269D8"/>
    <w:rsid w:val="00327485"/>
    <w:rsid w:val="003274B8"/>
    <w:rsid w:val="003276CC"/>
    <w:rsid w:val="003302EA"/>
    <w:rsid w:val="0033031C"/>
    <w:rsid w:val="003305AB"/>
    <w:rsid w:val="0033088B"/>
    <w:rsid w:val="00330952"/>
    <w:rsid w:val="00331798"/>
    <w:rsid w:val="00331814"/>
    <w:rsid w:val="0033191A"/>
    <w:rsid w:val="003322DA"/>
    <w:rsid w:val="00332BFF"/>
    <w:rsid w:val="00332DF5"/>
    <w:rsid w:val="003331A5"/>
    <w:rsid w:val="00333932"/>
    <w:rsid w:val="003342FF"/>
    <w:rsid w:val="003350B2"/>
    <w:rsid w:val="00335202"/>
    <w:rsid w:val="00335311"/>
    <w:rsid w:val="00336756"/>
    <w:rsid w:val="00336CD3"/>
    <w:rsid w:val="003401D0"/>
    <w:rsid w:val="003405D7"/>
    <w:rsid w:val="00340636"/>
    <w:rsid w:val="003418D5"/>
    <w:rsid w:val="00341B7F"/>
    <w:rsid w:val="00341BD4"/>
    <w:rsid w:val="00342158"/>
    <w:rsid w:val="00342A28"/>
    <w:rsid w:val="00342C44"/>
    <w:rsid w:val="00343910"/>
    <w:rsid w:val="0034429D"/>
    <w:rsid w:val="00344D25"/>
    <w:rsid w:val="0034534C"/>
    <w:rsid w:val="003456CA"/>
    <w:rsid w:val="00345BBE"/>
    <w:rsid w:val="00345BED"/>
    <w:rsid w:val="00345ED6"/>
    <w:rsid w:val="0034655E"/>
    <w:rsid w:val="003467BC"/>
    <w:rsid w:val="003476A7"/>
    <w:rsid w:val="00347BDE"/>
    <w:rsid w:val="00350153"/>
    <w:rsid w:val="00350709"/>
    <w:rsid w:val="00350933"/>
    <w:rsid w:val="003518AA"/>
    <w:rsid w:val="00352165"/>
    <w:rsid w:val="00352431"/>
    <w:rsid w:val="00352582"/>
    <w:rsid w:val="00353182"/>
    <w:rsid w:val="00353760"/>
    <w:rsid w:val="003538E4"/>
    <w:rsid w:val="00353AB2"/>
    <w:rsid w:val="00353CD8"/>
    <w:rsid w:val="00353EF4"/>
    <w:rsid w:val="0035476A"/>
    <w:rsid w:val="003548C6"/>
    <w:rsid w:val="00354D40"/>
    <w:rsid w:val="00354DA4"/>
    <w:rsid w:val="00355568"/>
    <w:rsid w:val="003565D9"/>
    <w:rsid w:val="00356A78"/>
    <w:rsid w:val="00356D99"/>
    <w:rsid w:val="003573EA"/>
    <w:rsid w:val="00357965"/>
    <w:rsid w:val="00357CF3"/>
    <w:rsid w:val="003600AF"/>
    <w:rsid w:val="003602E1"/>
    <w:rsid w:val="003606D3"/>
    <w:rsid w:val="00360972"/>
    <w:rsid w:val="0036120D"/>
    <w:rsid w:val="0036149F"/>
    <w:rsid w:val="00361B36"/>
    <w:rsid w:val="00361DD4"/>
    <w:rsid w:val="00361FCE"/>
    <w:rsid w:val="00362174"/>
    <w:rsid w:val="00362324"/>
    <w:rsid w:val="00362718"/>
    <w:rsid w:val="00362B36"/>
    <w:rsid w:val="00362D22"/>
    <w:rsid w:val="00362E2A"/>
    <w:rsid w:val="00362ED8"/>
    <w:rsid w:val="00362F28"/>
    <w:rsid w:val="00363412"/>
    <w:rsid w:val="0036363C"/>
    <w:rsid w:val="00363EE3"/>
    <w:rsid w:val="00364475"/>
    <w:rsid w:val="00364ABA"/>
    <w:rsid w:val="00364D3C"/>
    <w:rsid w:val="00364DEC"/>
    <w:rsid w:val="00364F31"/>
    <w:rsid w:val="00365A98"/>
    <w:rsid w:val="00365E2B"/>
    <w:rsid w:val="00365FB9"/>
    <w:rsid w:val="00366350"/>
    <w:rsid w:val="003664EA"/>
    <w:rsid w:val="00366581"/>
    <w:rsid w:val="003669FA"/>
    <w:rsid w:val="00366A38"/>
    <w:rsid w:val="003675D8"/>
    <w:rsid w:val="00367909"/>
    <w:rsid w:val="0036792E"/>
    <w:rsid w:val="003701AF"/>
    <w:rsid w:val="003701B6"/>
    <w:rsid w:val="0037026F"/>
    <w:rsid w:val="0037076B"/>
    <w:rsid w:val="00370A91"/>
    <w:rsid w:val="00370BCF"/>
    <w:rsid w:val="00371240"/>
    <w:rsid w:val="0037144E"/>
    <w:rsid w:val="00371582"/>
    <w:rsid w:val="003719B5"/>
    <w:rsid w:val="00372019"/>
    <w:rsid w:val="003727C4"/>
    <w:rsid w:val="0037299C"/>
    <w:rsid w:val="003729D4"/>
    <w:rsid w:val="00372C51"/>
    <w:rsid w:val="00372D47"/>
    <w:rsid w:val="00372D55"/>
    <w:rsid w:val="00373EFE"/>
    <w:rsid w:val="00374121"/>
    <w:rsid w:val="00374374"/>
    <w:rsid w:val="00374731"/>
    <w:rsid w:val="00375271"/>
    <w:rsid w:val="00376AF4"/>
    <w:rsid w:val="00376E59"/>
    <w:rsid w:val="00376ECA"/>
    <w:rsid w:val="00377BEA"/>
    <w:rsid w:val="00377EC1"/>
    <w:rsid w:val="0038030A"/>
    <w:rsid w:val="00380340"/>
    <w:rsid w:val="003804D8"/>
    <w:rsid w:val="00380C1B"/>
    <w:rsid w:val="00380C62"/>
    <w:rsid w:val="00380F83"/>
    <w:rsid w:val="00381512"/>
    <w:rsid w:val="00381726"/>
    <w:rsid w:val="00382BFA"/>
    <w:rsid w:val="00382C52"/>
    <w:rsid w:val="00382EDE"/>
    <w:rsid w:val="00384093"/>
    <w:rsid w:val="003843DA"/>
    <w:rsid w:val="00384870"/>
    <w:rsid w:val="00384D9E"/>
    <w:rsid w:val="00384DF6"/>
    <w:rsid w:val="00384E50"/>
    <w:rsid w:val="00385926"/>
    <w:rsid w:val="003861B4"/>
    <w:rsid w:val="0038647F"/>
    <w:rsid w:val="00387969"/>
    <w:rsid w:val="003879D6"/>
    <w:rsid w:val="0039045E"/>
    <w:rsid w:val="003904EA"/>
    <w:rsid w:val="0039078C"/>
    <w:rsid w:val="003909CF"/>
    <w:rsid w:val="00390B82"/>
    <w:rsid w:val="0039196A"/>
    <w:rsid w:val="003919F9"/>
    <w:rsid w:val="00391A0C"/>
    <w:rsid w:val="003920CF"/>
    <w:rsid w:val="003923A3"/>
    <w:rsid w:val="003925F3"/>
    <w:rsid w:val="00392775"/>
    <w:rsid w:val="00392BE0"/>
    <w:rsid w:val="00392CD2"/>
    <w:rsid w:val="00392EE3"/>
    <w:rsid w:val="003933A8"/>
    <w:rsid w:val="00393ACA"/>
    <w:rsid w:val="00393DAA"/>
    <w:rsid w:val="00393F1D"/>
    <w:rsid w:val="003941EE"/>
    <w:rsid w:val="00394621"/>
    <w:rsid w:val="00394993"/>
    <w:rsid w:val="00394C30"/>
    <w:rsid w:val="003950D3"/>
    <w:rsid w:val="003952B5"/>
    <w:rsid w:val="003956D1"/>
    <w:rsid w:val="00395E26"/>
    <w:rsid w:val="0039633C"/>
    <w:rsid w:val="00396899"/>
    <w:rsid w:val="003973DB"/>
    <w:rsid w:val="003A0139"/>
    <w:rsid w:val="003A0C36"/>
    <w:rsid w:val="003A1404"/>
    <w:rsid w:val="003A1497"/>
    <w:rsid w:val="003A1B2E"/>
    <w:rsid w:val="003A2245"/>
    <w:rsid w:val="003A2401"/>
    <w:rsid w:val="003A2835"/>
    <w:rsid w:val="003A2FA0"/>
    <w:rsid w:val="003A350A"/>
    <w:rsid w:val="003A355A"/>
    <w:rsid w:val="003A36E7"/>
    <w:rsid w:val="003A3FC6"/>
    <w:rsid w:val="003A41B1"/>
    <w:rsid w:val="003A469B"/>
    <w:rsid w:val="003A4AC5"/>
    <w:rsid w:val="003A4B46"/>
    <w:rsid w:val="003A5261"/>
    <w:rsid w:val="003A5D70"/>
    <w:rsid w:val="003A5E78"/>
    <w:rsid w:val="003A68F1"/>
    <w:rsid w:val="003A6DB1"/>
    <w:rsid w:val="003A6F74"/>
    <w:rsid w:val="003A71DB"/>
    <w:rsid w:val="003A7441"/>
    <w:rsid w:val="003A7635"/>
    <w:rsid w:val="003A7A24"/>
    <w:rsid w:val="003B10DC"/>
    <w:rsid w:val="003B16E8"/>
    <w:rsid w:val="003B1C54"/>
    <w:rsid w:val="003B23C2"/>
    <w:rsid w:val="003B2464"/>
    <w:rsid w:val="003B27E0"/>
    <w:rsid w:val="003B2F71"/>
    <w:rsid w:val="003B39AE"/>
    <w:rsid w:val="003B46C9"/>
    <w:rsid w:val="003B4937"/>
    <w:rsid w:val="003B4953"/>
    <w:rsid w:val="003B4D5B"/>
    <w:rsid w:val="003B5239"/>
    <w:rsid w:val="003B5286"/>
    <w:rsid w:val="003B52BF"/>
    <w:rsid w:val="003B52F2"/>
    <w:rsid w:val="003B6044"/>
    <w:rsid w:val="003B622A"/>
    <w:rsid w:val="003B64CB"/>
    <w:rsid w:val="003B692A"/>
    <w:rsid w:val="003B6B2A"/>
    <w:rsid w:val="003B6B8D"/>
    <w:rsid w:val="003B6BD5"/>
    <w:rsid w:val="003B6BDC"/>
    <w:rsid w:val="003B7134"/>
    <w:rsid w:val="003B73A7"/>
    <w:rsid w:val="003B7B9A"/>
    <w:rsid w:val="003C0128"/>
    <w:rsid w:val="003C0284"/>
    <w:rsid w:val="003C02CD"/>
    <w:rsid w:val="003C059A"/>
    <w:rsid w:val="003C07E0"/>
    <w:rsid w:val="003C0E35"/>
    <w:rsid w:val="003C1714"/>
    <w:rsid w:val="003C1A6A"/>
    <w:rsid w:val="003C1D79"/>
    <w:rsid w:val="003C272E"/>
    <w:rsid w:val="003C2F82"/>
    <w:rsid w:val="003C38B5"/>
    <w:rsid w:val="003C3949"/>
    <w:rsid w:val="003C3AF0"/>
    <w:rsid w:val="003C4394"/>
    <w:rsid w:val="003C4629"/>
    <w:rsid w:val="003C4A12"/>
    <w:rsid w:val="003C4B22"/>
    <w:rsid w:val="003C4DFF"/>
    <w:rsid w:val="003C4E99"/>
    <w:rsid w:val="003C5027"/>
    <w:rsid w:val="003C5399"/>
    <w:rsid w:val="003C5697"/>
    <w:rsid w:val="003C569E"/>
    <w:rsid w:val="003C57B7"/>
    <w:rsid w:val="003C58FF"/>
    <w:rsid w:val="003C5D99"/>
    <w:rsid w:val="003C62A3"/>
    <w:rsid w:val="003C7AA4"/>
    <w:rsid w:val="003C7E92"/>
    <w:rsid w:val="003D082A"/>
    <w:rsid w:val="003D08AB"/>
    <w:rsid w:val="003D0931"/>
    <w:rsid w:val="003D1087"/>
    <w:rsid w:val="003D1116"/>
    <w:rsid w:val="003D2C73"/>
    <w:rsid w:val="003D2E82"/>
    <w:rsid w:val="003D30E7"/>
    <w:rsid w:val="003D328F"/>
    <w:rsid w:val="003D3798"/>
    <w:rsid w:val="003D3E34"/>
    <w:rsid w:val="003D42E8"/>
    <w:rsid w:val="003D4FE9"/>
    <w:rsid w:val="003D5106"/>
    <w:rsid w:val="003D55DD"/>
    <w:rsid w:val="003D58C1"/>
    <w:rsid w:val="003D5C24"/>
    <w:rsid w:val="003D5CD7"/>
    <w:rsid w:val="003D5E19"/>
    <w:rsid w:val="003D5F88"/>
    <w:rsid w:val="003D6F95"/>
    <w:rsid w:val="003D7039"/>
    <w:rsid w:val="003D7779"/>
    <w:rsid w:val="003D7DA0"/>
    <w:rsid w:val="003D7FE7"/>
    <w:rsid w:val="003E1467"/>
    <w:rsid w:val="003E1B5F"/>
    <w:rsid w:val="003E1EDC"/>
    <w:rsid w:val="003E25A8"/>
    <w:rsid w:val="003E2F59"/>
    <w:rsid w:val="003E316B"/>
    <w:rsid w:val="003E399A"/>
    <w:rsid w:val="003E3F13"/>
    <w:rsid w:val="003E459F"/>
    <w:rsid w:val="003E45D5"/>
    <w:rsid w:val="003E461D"/>
    <w:rsid w:val="003E4911"/>
    <w:rsid w:val="003E4FB8"/>
    <w:rsid w:val="003E516D"/>
    <w:rsid w:val="003E53CC"/>
    <w:rsid w:val="003E5794"/>
    <w:rsid w:val="003E6257"/>
    <w:rsid w:val="003E6FBF"/>
    <w:rsid w:val="003E72F8"/>
    <w:rsid w:val="003E734C"/>
    <w:rsid w:val="003E746B"/>
    <w:rsid w:val="003F0533"/>
    <w:rsid w:val="003F071C"/>
    <w:rsid w:val="003F0789"/>
    <w:rsid w:val="003F08D8"/>
    <w:rsid w:val="003F0CC7"/>
    <w:rsid w:val="003F15F7"/>
    <w:rsid w:val="003F1812"/>
    <w:rsid w:val="003F21BC"/>
    <w:rsid w:val="003F24AE"/>
    <w:rsid w:val="003F29BB"/>
    <w:rsid w:val="003F2CA8"/>
    <w:rsid w:val="003F2D53"/>
    <w:rsid w:val="003F2EAD"/>
    <w:rsid w:val="003F3282"/>
    <w:rsid w:val="003F38E3"/>
    <w:rsid w:val="003F3AA3"/>
    <w:rsid w:val="003F3BAE"/>
    <w:rsid w:val="003F3C10"/>
    <w:rsid w:val="003F3CF1"/>
    <w:rsid w:val="003F3F9E"/>
    <w:rsid w:val="003F54D0"/>
    <w:rsid w:val="003F576B"/>
    <w:rsid w:val="003F5E19"/>
    <w:rsid w:val="003F6246"/>
    <w:rsid w:val="003F655C"/>
    <w:rsid w:val="003F65C6"/>
    <w:rsid w:val="003F6875"/>
    <w:rsid w:val="003F7042"/>
    <w:rsid w:val="003F7190"/>
    <w:rsid w:val="003F7C61"/>
    <w:rsid w:val="004002DF"/>
    <w:rsid w:val="00400A45"/>
    <w:rsid w:val="00401265"/>
    <w:rsid w:val="004012E0"/>
    <w:rsid w:val="00401620"/>
    <w:rsid w:val="00401846"/>
    <w:rsid w:val="00401882"/>
    <w:rsid w:val="004019A7"/>
    <w:rsid w:val="00402778"/>
    <w:rsid w:val="00402901"/>
    <w:rsid w:val="00402AA4"/>
    <w:rsid w:val="0040387F"/>
    <w:rsid w:val="00403A1F"/>
    <w:rsid w:val="00403A7A"/>
    <w:rsid w:val="00404AE1"/>
    <w:rsid w:val="00405548"/>
    <w:rsid w:val="004064FF"/>
    <w:rsid w:val="00406972"/>
    <w:rsid w:val="004069FB"/>
    <w:rsid w:val="0040712F"/>
    <w:rsid w:val="0040725C"/>
    <w:rsid w:val="004100C8"/>
    <w:rsid w:val="00410526"/>
    <w:rsid w:val="004106DA"/>
    <w:rsid w:val="00411DBD"/>
    <w:rsid w:val="0041211D"/>
    <w:rsid w:val="00412ACE"/>
    <w:rsid w:val="004134C6"/>
    <w:rsid w:val="00413894"/>
    <w:rsid w:val="00413AB9"/>
    <w:rsid w:val="004141C3"/>
    <w:rsid w:val="004145D2"/>
    <w:rsid w:val="004150A9"/>
    <w:rsid w:val="00415517"/>
    <w:rsid w:val="00415CBD"/>
    <w:rsid w:val="00415E5B"/>
    <w:rsid w:val="00415EF7"/>
    <w:rsid w:val="00415FE6"/>
    <w:rsid w:val="00416642"/>
    <w:rsid w:val="00416A5E"/>
    <w:rsid w:val="00416B5A"/>
    <w:rsid w:val="00416DEC"/>
    <w:rsid w:val="00416ED2"/>
    <w:rsid w:val="00416FEA"/>
    <w:rsid w:val="00417370"/>
    <w:rsid w:val="004178FA"/>
    <w:rsid w:val="00417A0A"/>
    <w:rsid w:val="00417C9F"/>
    <w:rsid w:val="00417FA2"/>
    <w:rsid w:val="00420C59"/>
    <w:rsid w:val="004220AC"/>
    <w:rsid w:val="004221D7"/>
    <w:rsid w:val="00422329"/>
    <w:rsid w:val="00422693"/>
    <w:rsid w:val="004226A2"/>
    <w:rsid w:val="00422C64"/>
    <w:rsid w:val="00422D95"/>
    <w:rsid w:val="00422D9B"/>
    <w:rsid w:val="00423017"/>
    <w:rsid w:val="00423569"/>
    <w:rsid w:val="0042368F"/>
    <w:rsid w:val="00423773"/>
    <w:rsid w:val="00423D83"/>
    <w:rsid w:val="00423E82"/>
    <w:rsid w:val="00423F00"/>
    <w:rsid w:val="004248EE"/>
    <w:rsid w:val="00424A24"/>
    <w:rsid w:val="00424BE9"/>
    <w:rsid w:val="00424D0E"/>
    <w:rsid w:val="00424F43"/>
    <w:rsid w:val="00425128"/>
    <w:rsid w:val="00425335"/>
    <w:rsid w:val="00425C75"/>
    <w:rsid w:val="00425E83"/>
    <w:rsid w:val="00425ED8"/>
    <w:rsid w:val="004268DB"/>
    <w:rsid w:val="00426CB4"/>
    <w:rsid w:val="00426D98"/>
    <w:rsid w:val="0042735B"/>
    <w:rsid w:val="00427489"/>
    <w:rsid w:val="00427B83"/>
    <w:rsid w:val="004301CD"/>
    <w:rsid w:val="004302BA"/>
    <w:rsid w:val="00430353"/>
    <w:rsid w:val="004307CE"/>
    <w:rsid w:val="00430878"/>
    <w:rsid w:val="00430F3E"/>
    <w:rsid w:val="00431249"/>
    <w:rsid w:val="00431AF6"/>
    <w:rsid w:val="0043209B"/>
    <w:rsid w:val="004326C8"/>
    <w:rsid w:val="00432DB8"/>
    <w:rsid w:val="00433571"/>
    <w:rsid w:val="00433C7D"/>
    <w:rsid w:val="00433DB3"/>
    <w:rsid w:val="00433F38"/>
    <w:rsid w:val="00434292"/>
    <w:rsid w:val="004347D4"/>
    <w:rsid w:val="00434C19"/>
    <w:rsid w:val="00434F4E"/>
    <w:rsid w:val="00435942"/>
    <w:rsid w:val="00435D92"/>
    <w:rsid w:val="00435DB2"/>
    <w:rsid w:val="00436724"/>
    <w:rsid w:val="00436CF0"/>
    <w:rsid w:val="00437E8F"/>
    <w:rsid w:val="00437F47"/>
    <w:rsid w:val="0044059B"/>
    <w:rsid w:val="00440687"/>
    <w:rsid w:val="00440AC7"/>
    <w:rsid w:val="00440BF6"/>
    <w:rsid w:val="0044170B"/>
    <w:rsid w:val="00441AE5"/>
    <w:rsid w:val="00441B80"/>
    <w:rsid w:val="004426E6"/>
    <w:rsid w:val="00442D7B"/>
    <w:rsid w:val="0044325F"/>
    <w:rsid w:val="00443BE2"/>
    <w:rsid w:val="00443CA1"/>
    <w:rsid w:val="00444028"/>
    <w:rsid w:val="00444075"/>
    <w:rsid w:val="00444111"/>
    <w:rsid w:val="0044490E"/>
    <w:rsid w:val="004463B5"/>
    <w:rsid w:val="0044643C"/>
    <w:rsid w:val="00446A3D"/>
    <w:rsid w:val="0044719D"/>
    <w:rsid w:val="004471AD"/>
    <w:rsid w:val="0044726F"/>
    <w:rsid w:val="00450810"/>
    <w:rsid w:val="0045083B"/>
    <w:rsid w:val="00450C8B"/>
    <w:rsid w:val="00450CDD"/>
    <w:rsid w:val="0045100F"/>
    <w:rsid w:val="004510F2"/>
    <w:rsid w:val="00451147"/>
    <w:rsid w:val="00451816"/>
    <w:rsid w:val="004526C3"/>
    <w:rsid w:val="004539F2"/>
    <w:rsid w:val="00453A45"/>
    <w:rsid w:val="004540E5"/>
    <w:rsid w:val="004543D2"/>
    <w:rsid w:val="004543EE"/>
    <w:rsid w:val="00454817"/>
    <w:rsid w:val="00454B22"/>
    <w:rsid w:val="00454F02"/>
    <w:rsid w:val="00454FB3"/>
    <w:rsid w:val="0045529F"/>
    <w:rsid w:val="004552A2"/>
    <w:rsid w:val="004558BC"/>
    <w:rsid w:val="00455D69"/>
    <w:rsid w:val="00456894"/>
    <w:rsid w:val="00456911"/>
    <w:rsid w:val="00456F09"/>
    <w:rsid w:val="0045728F"/>
    <w:rsid w:val="004576A5"/>
    <w:rsid w:val="00457736"/>
    <w:rsid w:val="00457B7A"/>
    <w:rsid w:val="00457CDA"/>
    <w:rsid w:val="004603C2"/>
    <w:rsid w:val="00460414"/>
    <w:rsid w:val="00460566"/>
    <w:rsid w:val="00460801"/>
    <w:rsid w:val="0046098A"/>
    <w:rsid w:val="00460F20"/>
    <w:rsid w:val="00461625"/>
    <w:rsid w:val="00462C59"/>
    <w:rsid w:val="004635D9"/>
    <w:rsid w:val="00463ADD"/>
    <w:rsid w:val="00463D64"/>
    <w:rsid w:val="00464877"/>
    <w:rsid w:val="00464A36"/>
    <w:rsid w:val="00464CF8"/>
    <w:rsid w:val="0046514E"/>
    <w:rsid w:val="004657DE"/>
    <w:rsid w:val="00465C13"/>
    <w:rsid w:val="004665D8"/>
    <w:rsid w:val="004700DD"/>
    <w:rsid w:val="00470737"/>
    <w:rsid w:val="00470D20"/>
    <w:rsid w:val="00470FC3"/>
    <w:rsid w:val="00471379"/>
    <w:rsid w:val="00471F00"/>
    <w:rsid w:val="004726AB"/>
    <w:rsid w:val="00472957"/>
    <w:rsid w:val="0047297D"/>
    <w:rsid w:val="0047339C"/>
    <w:rsid w:val="0047390C"/>
    <w:rsid w:val="00473A33"/>
    <w:rsid w:val="00473B93"/>
    <w:rsid w:val="00474392"/>
    <w:rsid w:val="004749DE"/>
    <w:rsid w:val="00474C63"/>
    <w:rsid w:val="00474E1E"/>
    <w:rsid w:val="0047558C"/>
    <w:rsid w:val="00475A7B"/>
    <w:rsid w:val="00475F95"/>
    <w:rsid w:val="00476477"/>
    <w:rsid w:val="00476B2E"/>
    <w:rsid w:val="00476E9E"/>
    <w:rsid w:val="00477144"/>
    <w:rsid w:val="004775FE"/>
    <w:rsid w:val="00480631"/>
    <w:rsid w:val="0048081E"/>
    <w:rsid w:val="00480D79"/>
    <w:rsid w:val="0048101E"/>
    <w:rsid w:val="00481A75"/>
    <w:rsid w:val="00481B31"/>
    <w:rsid w:val="00482813"/>
    <w:rsid w:val="00482A47"/>
    <w:rsid w:val="00482FE2"/>
    <w:rsid w:val="00483B5C"/>
    <w:rsid w:val="00483EDF"/>
    <w:rsid w:val="0048467D"/>
    <w:rsid w:val="0048469D"/>
    <w:rsid w:val="00484C2D"/>
    <w:rsid w:val="00484CA2"/>
    <w:rsid w:val="00484D6C"/>
    <w:rsid w:val="004857D8"/>
    <w:rsid w:val="00485AC1"/>
    <w:rsid w:val="00485D25"/>
    <w:rsid w:val="004862BB"/>
    <w:rsid w:val="00486C38"/>
    <w:rsid w:val="00487323"/>
    <w:rsid w:val="0048743C"/>
    <w:rsid w:val="0048744F"/>
    <w:rsid w:val="004874F5"/>
    <w:rsid w:val="0048774C"/>
    <w:rsid w:val="0048789F"/>
    <w:rsid w:val="00487915"/>
    <w:rsid w:val="00487A42"/>
    <w:rsid w:val="00487AF0"/>
    <w:rsid w:val="004903BF"/>
    <w:rsid w:val="00491380"/>
    <w:rsid w:val="0049150D"/>
    <w:rsid w:val="00491920"/>
    <w:rsid w:val="00491D86"/>
    <w:rsid w:val="00491E49"/>
    <w:rsid w:val="0049244C"/>
    <w:rsid w:val="004929A2"/>
    <w:rsid w:val="0049335F"/>
    <w:rsid w:val="004936DC"/>
    <w:rsid w:val="004939C7"/>
    <w:rsid w:val="00493B73"/>
    <w:rsid w:val="00493DD6"/>
    <w:rsid w:val="004942A8"/>
    <w:rsid w:val="0049459F"/>
    <w:rsid w:val="00494D5D"/>
    <w:rsid w:val="00495467"/>
    <w:rsid w:val="00495B97"/>
    <w:rsid w:val="00495F21"/>
    <w:rsid w:val="00496023"/>
    <w:rsid w:val="00496AB2"/>
    <w:rsid w:val="00496C02"/>
    <w:rsid w:val="00496D7C"/>
    <w:rsid w:val="004979A9"/>
    <w:rsid w:val="00497E57"/>
    <w:rsid w:val="004A0063"/>
    <w:rsid w:val="004A00A3"/>
    <w:rsid w:val="004A0293"/>
    <w:rsid w:val="004A09E7"/>
    <w:rsid w:val="004A0B2C"/>
    <w:rsid w:val="004A15E5"/>
    <w:rsid w:val="004A1DBD"/>
    <w:rsid w:val="004A20E7"/>
    <w:rsid w:val="004A2AA6"/>
    <w:rsid w:val="004A2C27"/>
    <w:rsid w:val="004A2C50"/>
    <w:rsid w:val="004A2D0C"/>
    <w:rsid w:val="004A304A"/>
    <w:rsid w:val="004A36E1"/>
    <w:rsid w:val="004A38DD"/>
    <w:rsid w:val="004A3B48"/>
    <w:rsid w:val="004A3B9C"/>
    <w:rsid w:val="004A3EFF"/>
    <w:rsid w:val="004A41B9"/>
    <w:rsid w:val="004A42FD"/>
    <w:rsid w:val="004A458B"/>
    <w:rsid w:val="004A564E"/>
    <w:rsid w:val="004A58CB"/>
    <w:rsid w:val="004A5F49"/>
    <w:rsid w:val="004A675A"/>
    <w:rsid w:val="004A69F6"/>
    <w:rsid w:val="004A6AB5"/>
    <w:rsid w:val="004A7559"/>
    <w:rsid w:val="004A7805"/>
    <w:rsid w:val="004A7A3B"/>
    <w:rsid w:val="004B00E9"/>
    <w:rsid w:val="004B03A8"/>
    <w:rsid w:val="004B126C"/>
    <w:rsid w:val="004B13CA"/>
    <w:rsid w:val="004B1DA0"/>
    <w:rsid w:val="004B2367"/>
    <w:rsid w:val="004B2E03"/>
    <w:rsid w:val="004B38AE"/>
    <w:rsid w:val="004B3ADF"/>
    <w:rsid w:val="004B428F"/>
    <w:rsid w:val="004B43AE"/>
    <w:rsid w:val="004B4E9D"/>
    <w:rsid w:val="004B5A3E"/>
    <w:rsid w:val="004B5A68"/>
    <w:rsid w:val="004B5E6D"/>
    <w:rsid w:val="004B61C5"/>
    <w:rsid w:val="004B67C5"/>
    <w:rsid w:val="004B7782"/>
    <w:rsid w:val="004B7F04"/>
    <w:rsid w:val="004C0070"/>
    <w:rsid w:val="004C056B"/>
    <w:rsid w:val="004C16CD"/>
    <w:rsid w:val="004C17D9"/>
    <w:rsid w:val="004C1EEB"/>
    <w:rsid w:val="004C2603"/>
    <w:rsid w:val="004C273D"/>
    <w:rsid w:val="004C2889"/>
    <w:rsid w:val="004C296C"/>
    <w:rsid w:val="004C29BF"/>
    <w:rsid w:val="004C30ED"/>
    <w:rsid w:val="004C371D"/>
    <w:rsid w:val="004C3F85"/>
    <w:rsid w:val="004C4D16"/>
    <w:rsid w:val="004C53C0"/>
    <w:rsid w:val="004C55A6"/>
    <w:rsid w:val="004C6046"/>
    <w:rsid w:val="004C629D"/>
    <w:rsid w:val="004C6302"/>
    <w:rsid w:val="004C696B"/>
    <w:rsid w:val="004C72AD"/>
    <w:rsid w:val="004C7408"/>
    <w:rsid w:val="004C7684"/>
    <w:rsid w:val="004C76BA"/>
    <w:rsid w:val="004C7B30"/>
    <w:rsid w:val="004C7D16"/>
    <w:rsid w:val="004C7EDA"/>
    <w:rsid w:val="004D01FE"/>
    <w:rsid w:val="004D02C7"/>
    <w:rsid w:val="004D0A26"/>
    <w:rsid w:val="004D1410"/>
    <w:rsid w:val="004D1F1D"/>
    <w:rsid w:val="004D24F0"/>
    <w:rsid w:val="004D254A"/>
    <w:rsid w:val="004D2A4A"/>
    <w:rsid w:val="004D2EF3"/>
    <w:rsid w:val="004D352F"/>
    <w:rsid w:val="004D3682"/>
    <w:rsid w:val="004D3D02"/>
    <w:rsid w:val="004D4605"/>
    <w:rsid w:val="004D4B50"/>
    <w:rsid w:val="004D4BEE"/>
    <w:rsid w:val="004D5028"/>
    <w:rsid w:val="004D554B"/>
    <w:rsid w:val="004D5675"/>
    <w:rsid w:val="004D5744"/>
    <w:rsid w:val="004D5D80"/>
    <w:rsid w:val="004D6542"/>
    <w:rsid w:val="004D659C"/>
    <w:rsid w:val="004D67E3"/>
    <w:rsid w:val="004D704F"/>
    <w:rsid w:val="004D7241"/>
    <w:rsid w:val="004D7463"/>
    <w:rsid w:val="004D7E4D"/>
    <w:rsid w:val="004E0805"/>
    <w:rsid w:val="004E0A5B"/>
    <w:rsid w:val="004E0AE1"/>
    <w:rsid w:val="004E0C30"/>
    <w:rsid w:val="004E0D7D"/>
    <w:rsid w:val="004E0EC2"/>
    <w:rsid w:val="004E1565"/>
    <w:rsid w:val="004E189E"/>
    <w:rsid w:val="004E1DF4"/>
    <w:rsid w:val="004E277D"/>
    <w:rsid w:val="004E2C1F"/>
    <w:rsid w:val="004E3E89"/>
    <w:rsid w:val="004E4068"/>
    <w:rsid w:val="004E40C5"/>
    <w:rsid w:val="004E4904"/>
    <w:rsid w:val="004E4F55"/>
    <w:rsid w:val="004E5896"/>
    <w:rsid w:val="004E6E07"/>
    <w:rsid w:val="004E793C"/>
    <w:rsid w:val="004E7CD5"/>
    <w:rsid w:val="004E7DA3"/>
    <w:rsid w:val="004E7E50"/>
    <w:rsid w:val="004F0E43"/>
    <w:rsid w:val="004F17C5"/>
    <w:rsid w:val="004F1F1D"/>
    <w:rsid w:val="004F2270"/>
    <w:rsid w:val="004F2A50"/>
    <w:rsid w:val="004F311D"/>
    <w:rsid w:val="004F4796"/>
    <w:rsid w:val="004F47B9"/>
    <w:rsid w:val="004F4AB8"/>
    <w:rsid w:val="004F4B46"/>
    <w:rsid w:val="004F4D15"/>
    <w:rsid w:val="004F59E2"/>
    <w:rsid w:val="004F67E1"/>
    <w:rsid w:val="004F7D44"/>
    <w:rsid w:val="005003DD"/>
    <w:rsid w:val="0050057E"/>
    <w:rsid w:val="00500DA5"/>
    <w:rsid w:val="0050202E"/>
    <w:rsid w:val="005024C3"/>
    <w:rsid w:val="00502641"/>
    <w:rsid w:val="0050297C"/>
    <w:rsid w:val="00502BCD"/>
    <w:rsid w:val="00502C6B"/>
    <w:rsid w:val="00502FD7"/>
    <w:rsid w:val="00503BA5"/>
    <w:rsid w:val="0050435F"/>
    <w:rsid w:val="0050455B"/>
    <w:rsid w:val="005045AF"/>
    <w:rsid w:val="00505809"/>
    <w:rsid w:val="00505920"/>
    <w:rsid w:val="005059B0"/>
    <w:rsid w:val="00505D53"/>
    <w:rsid w:val="005069A4"/>
    <w:rsid w:val="005073C2"/>
    <w:rsid w:val="00507823"/>
    <w:rsid w:val="00507CF1"/>
    <w:rsid w:val="0051045F"/>
    <w:rsid w:val="0051117F"/>
    <w:rsid w:val="0051144F"/>
    <w:rsid w:val="00511591"/>
    <w:rsid w:val="00511843"/>
    <w:rsid w:val="0051230F"/>
    <w:rsid w:val="00512754"/>
    <w:rsid w:val="005127EA"/>
    <w:rsid w:val="005128C9"/>
    <w:rsid w:val="00512927"/>
    <w:rsid w:val="0051306E"/>
    <w:rsid w:val="00513460"/>
    <w:rsid w:val="005136B7"/>
    <w:rsid w:val="005140D9"/>
    <w:rsid w:val="00514989"/>
    <w:rsid w:val="00514B61"/>
    <w:rsid w:val="00514C0A"/>
    <w:rsid w:val="00514C44"/>
    <w:rsid w:val="00515198"/>
    <w:rsid w:val="0051619C"/>
    <w:rsid w:val="00517248"/>
    <w:rsid w:val="005172ED"/>
    <w:rsid w:val="00517795"/>
    <w:rsid w:val="00520519"/>
    <w:rsid w:val="00520603"/>
    <w:rsid w:val="005206D9"/>
    <w:rsid w:val="005207F3"/>
    <w:rsid w:val="0052090B"/>
    <w:rsid w:val="00520ECB"/>
    <w:rsid w:val="00520FD4"/>
    <w:rsid w:val="0052102D"/>
    <w:rsid w:val="005211D3"/>
    <w:rsid w:val="00521504"/>
    <w:rsid w:val="0052154F"/>
    <w:rsid w:val="005219B9"/>
    <w:rsid w:val="00521A3D"/>
    <w:rsid w:val="005228A1"/>
    <w:rsid w:val="00522EE3"/>
    <w:rsid w:val="00523219"/>
    <w:rsid w:val="00523639"/>
    <w:rsid w:val="00524053"/>
    <w:rsid w:val="00524063"/>
    <w:rsid w:val="005241F0"/>
    <w:rsid w:val="00524CC5"/>
    <w:rsid w:val="00525D18"/>
    <w:rsid w:val="00525DE3"/>
    <w:rsid w:val="005261D2"/>
    <w:rsid w:val="00526AB7"/>
    <w:rsid w:val="00526CA8"/>
    <w:rsid w:val="00526FC5"/>
    <w:rsid w:val="00527426"/>
    <w:rsid w:val="005305FB"/>
    <w:rsid w:val="005311E6"/>
    <w:rsid w:val="00531445"/>
    <w:rsid w:val="005316B7"/>
    <w:rsid w:val="0053181D"/>
    <w:rsid w:val="00531AB6"/>
    <w:rsid w:val="00531FE5"/>
    <w:rsid w:val="005322FC"/>
    <w:rsid w:val="00532AD8"/>
    <w:rsid w:val="00532F25"/>
    <w:rsid w:val="005330F1"/>
    <w:rsid w:val="005331AE"/>
    <w:rsid w:val="005336BB"/>
    <w:rsid w:val="005338E5"/>
    <w:rsid w:val="00533A4F"/>
    <w:rsid w:val="00533D93"/>
    <w:rsid w:val="00533FF0"/>
    <w:rsid w:val="0053411B"/>
    <w:rsid w:val="005343C2"/>
    <w:rsid w:val="005348C6"/>
    <w:rsid w:val="00534919"/>
    <w:rsid w:val="00534FE6"/>
    <w:rsid w:val="00535D63"/>
    <w:rsid w:val="00536351"/>
    <w:rsid w:val="0053737D"/>
    <w:rsid w:val="0053796A"/>
    <w:rsid w:val="00537981"/>
    <w:rsid w:val="00537982"/>
    <w:rsid w:val="00537A8E"/>
    <w:rsid w:val="00537E6E"/>
    <w:rsid w:val="005402FA"/>
    <w:rsid w:val="005406BF"/>
    <w:rsid w:val="005408E0"/>
    <w:rsid w:val="0054130C"/>
    <w:rsid w:val="005419BF"/>
    <w:rsid w:val="00541CF3"/>
    <w:rsid w:val="00541E1A"/>
    <w:rsid w:val="005437D7"/>
    <w:rsid w:val="0054399D"/>
    <w:rsid w:val="0054405B"/>
    <w:rsid w:val="005449FF"/>
    <w:rsid w:val="00544D90"/>
    <w:rsid w:val="00545545"/>
    <w:rsid w:val="0054563E"/>
    <w:rsid w:val="00545DEA"/>
    <w:rsid w:val="005466A2"/>
    <w:rsid w:val="00546B7F"/>
    <w:rsid w:val="00546D68"/>
    <w:rsid w:val="00546D75"/>
    <w:rsid w:val="005474E6"/>
    <w:rsid w:val="00547C4C"/>
    <w:rsid w:val="0055036B"/>
    <w:rsid w:val="00550787"/>
    <w:rsid w:val="00550961"/>
    <w:rsid w:val="00550B71"/>
    <w:rsid w:val="005513A1"/>
    <w:rsid w:val="00551A18"/>
    <w:rsid w:val="00551ABB"/>
    <w:rsid w:val="00551CC3"/>
    <w:rsid w:val="005526BF"/>
    <w:rsid w:val="00552918"/>
    <w:rsid w:val="00552F88"/>
    <w:rsid w:val="0055325C"/>
    <w:rsid w:val="005532A9"/>
    <w:rsid w:val="005532E4"/>
    <w:rsid w:val="005538A8"/>
    <w:rsid w:val="00553CCA"/>
    <w:rsid w:val="005546BF"/>
    <w:rsid w:val="005548C6"/>
    <w:rsid w:val="0055498D"/>
    <w:rsid w:val="00554B3D"/>
    <w:rsid w:val="00554DE6"/>
    <w:rsid w:val="005568AA"/>
    <w:rsid w:val="00557691"/>
    <w:rsid w:val="00557774"/>
    <w:rsid w:val="005579C8"/>
    <w:rsid w:val="00557A1A"/>
    <w:rsid w:val="00557BF1"/>
    <w:rsid w:val="00557CEC"/>
    <w:rsid w:val="00557D2F"/>
    <w:rsid w:val="00557E68"/>
    <w:rsid w:val="005609F0"/>
    <w:rsid w:val="00560FB6"/>
    <w:rsid w:val="0056156A"/>
    <w:rsid w:val="00561C3C"/>
    <w:rsid w:val="00561FEE"/>
    <w:rsid w:val="00562787"/>
    <w:rsid w:val="0056288C"/>
    <w:rsid w:val="00562D2B"/>
    <w:rsid w:val="00562D8F"/>
    <w:rsid w:val="00562E01"/>
    <w:rsid w:val="005639AD"/>
    <w:rsid w:val="0056459E"/>
    <w:rsid w:val="00564932"/>
    <w:rsid w:val="00564E0F"/>
    <w:rsid w:val="005659BA"/>
    <w:rsid w:val="00565BBA"/>
    <w:rsid w:val="00566266"/>
    <w:rsid w:val="00566452"/>
    <w:rsid w:val="00566BC1"/>
    <w:rsid w:val="00566D6B"/>
    <w:rsid w:val="00566E8F"/>
    <w:rsid w:val="0056706E"/>
    <w:rsid w:val="005673E0"/>
    <w:rsid w:val="005677D0"/>
    <w:rsid w:val="005700D8"/>
    <w:rsid w:val="005704A6"/>
    <w:rsid w:val="00570A61"/>
    <w:rsid w:val="00570DA6"/>
    <w:rsid w:val="00571017"/>
    <w:rsid w:val="005719A7"/>
    <w:rsid w:val="00571D0F"/>
    <w:rsid w:val="00571DAF"/>
    <w:rsid w:val="0057276B"/>
    <w:rsid w:val="005729BD"/>
    <w:rsid w:val="00572AE7"/>
    <w:rsid w:val="00572FD3"/>
    <w:rsid w:val="00573437"/>
    <w:rsid w:val="005736A3"/>
    <w:rsid w:val="00573998"/>
    <w:rsid w:val="00573BE3"/>
    <w:rsid w:val="005747A5"/>
    <w:rsid w:val="00574A16"/>
    <w:rsid w:val="00574E02"/>
    <w:rsid w:val="00575055"/>
    <w:rsid w:val="00575186"/>
    <w:rsid w:val="00575D46"/>
    <w:rsid w:val="005763AE"/>
    <w:rsid w:val="005771E7"/>
    <w:rsid w:val="005772C4"/>
    <w:rsid w:val="00577437"/>
    <w:rsid w:val="00577DA9"/>
    <w:rsid w:val="00580154"/>
    <w:rsid w:val="00580AC2"/>
    <w:rsid w:val="00580C0F"/>
    <w:rsid w:val="0058132B"/>
    <w:rsid w:val="0058153E"/>
    <w:rsid w:val="0058189F"/>
    <w:rsid w:val="00581BBB"/>
    <w:rsid w:val="00581CE2"/>
    <w:rsid w:val="005821F2"/>
    <w:rsid w:val="0058239F"/>
    <w:rsid w:val="005824C0"/>
    <w:rsid w:val="0058277F"/>
    <w:rsid w:val="00582EDD"/>
    <w:rsid w:val="00583110"/>
    <w:rsid w:val="00583399"/>
    <w:rsid w:val="00583400"/>
    <w:rsid w:val="005835F0"/>
    <w:rsid w:val="00583C39"/>
    <w:rsid w:val="00583D7E"/>
    <w:rsid w:val="005841B0"/>
    <w:rsid w:val="005841EB"/>
    <w:rsid w:val="005844DA"/>
    <w:rsid w:val="0058453C"/>
    <w:rsid w:val="0058597E"/>
    <w:rsid w:val="005859A9"/>
    <w:rsid w:val="00585D09"/>
    <w:rsid w:val="0058603C"/>
    <w:rsid w:val="0058650F"/>
    <w:rsid w:val="0058678F"/>
    <w:rsid w:val="00586A09"/>
    <w:rsid w:val="00586A90"/>
    <w:rsid w:val="00586ED8"/>
    <w:rsid w:val="00586F32"/>
    <w:rsid w:val="005872FE"/>
    <w:rsid w:val="00587364"/>
    <w:rsid w:val="005874E4"/>
    <w:rsid w:val="005877C5"/>
    <w:rsid w:val="00587D7F"/>
    <w:rsid w:val="00587F28"/>
    <w:rsid w:val="00590480"/>
    <w:rsid w:val="005909CF"/>
    <w:rsid w:val="00590D29"/>
    <w:rsid w:val="00591E71"/>
    <w:rsid w:val="00591E8E"/>
    <w:rsid w:val="005924BE"/>
    <w:rsid w:val="005929F3"/>
    <w:rsid w:val="00592A2E"/>
    <w:rsid w:val="00592CEF"/>
    <w:rsid w:val="00592EC4"/>
    <w:rsid w:val="005932BC"/>
    <w:rsid w:val="00593751"/>
    <w:rsid w:val="005937FF"/>
    <w:rsid w:val="00593993"/>
    <w:rsid w:val="00593ADD"/>
    <w:rsid w:val="00593F5F"/>
    <w:rsid w:val="005941C9"/>
    <w:rsid w:val="005944A1"/>
    <w:rsid w:val="005947AB"/>
    <w:rsid w:val="00594B99"/>
    <w:rsid w:val="005952A0"/>
    <w:rsid w:val="00595780"/>
    <w:rsid w:val="00595A28"/>
    <w:rsid w:val="00595D98"/>
    <w:rsid w:val="00597169"/>
    <w:rsid w:val="005A086F"/>
    <w:rsid w:val="005A0D41"/>
    <w:rsid w:val="005A1534"/>
    <w:rsid w:val="005A16BB"/>
    <w:rsid w:val="005A26F7"/>
    <w:rsid w:val="005A3522"/>
    <w:rsid w:val="005A382C"/>
    <w:rsid w:val="005A3E13"/>
    <w:rsid w:val="005A3E8C"/>
    <w:rsid w:val="005A50BB"/>
    <w:rsid w:val="005A553F"/>
    <w:rsid w:val="005A5B56"/>
    <w:rsid w:val="005A5CB6"/>
    <w:rsid w:val="005A62D1"/>
    <w:rsid w:val="005A789E"/>
    <w:rsid w:val="005A7971"/>
    <w:rsid w:val="005A7ADE"/>
    <w:rsid w:val="005B05FB"/>
    <w:rsid w:val="005B07AA"/>
    <w:rsid w:val="005B0D7E"/>
    <w:rsid w:val="005B0D94"/>
    <w:rsid w:val="005B10F2"/>
    <w:rsid w:val="005B111B"/>
    <w:rsid w:val="005B1831"/>
    <w:rsid w:val="005B28D5"/>
    <w:rsid w:val="005B2D5C"/>
    <w:rsid w:val="005B2DD4"/>
    <w:rsid w:val="005B385C"/>
    <w:rsid w:val="005B3AA9"/>
    <w:rsid w:val="005B3AE5"/>
    <w:rsid w:val="005B3FF1"/>
    <w:rsid w:val="005B41B0"/>
    <w:rsid w:val="005B4480"/>
    <w:rsid w:val="005B4921"/>
    <w:rsid w:val="005B4EFA"/>
    <w:rsid w:val="005B5479"/>
    <w:rsid w:val="005B547F"/>
    <w:rsid w:val="005B5624"/>
    <w:rsid w:val="005C042D"/>
    <w:rsid w:val="005C097B"/>
    <w:rsid w:val="005C0B32"/>
    <w:rsid w:val="005C0E2D"/>
    <w:rsid w:val="005C1099"/>
    <w:rsid w:val="005C123E"/>
    <w:rsid w:val="005C1703"/>
    <w:rsid w:val="005C1779"/>
    <w:rsid w:val="005C20B9"/>
    <w:rsid w:val="005C2136"/>
    <w:rsid w:val="005C2B22"/>
    <w:rsid w:val="005C305D"/>
    <w:rsid w:val="005C30E5"/>
    <w:rsid w:val="005C3D87"/>
    <w:rsid w:val="005C3D8D"/>
    <w:rsid w:val="005C46D6"/>
    <w:rsid w:val="005C55FE"/>
    <w:rsid w:val="005C58E5"/>
    <w:rsid w:val="005C5BC2"/>
    <w:rsid w:val="005C5D34"/>
    <w:rsid w:val="005C62DC"/>
    <w:rsid w:val="005C70F3"/>
    <w:rsid w:val="005C7CB1"/>
    <w:rsid w:val="005C7F21"/>
    <w:rsid w:val="005D0EB2"/>
    <w:rsid w:val="005D100C"/>
    <w:rsid w:val="005D13CE"/>
    <w:rsid w:val="005D148E"/>
    <w:rsid w:val="005D1C6B"/>
    <w:rsid w:val="005D329F"/>
    <w:rsid w:val="005D344F"/>
    <w:rsid w:val="005D34AD"/>
    <w:rsid w:val="005D3B16"/>
    <w:rsid w:val="005D3FAA"/>
    <w:rsid w:val="005D41B7"/>
    <w:rsid w:val="005D43D5"/>
    <w:rsid w:val="005D4773"/>
    <w:rsid w:val="005D4C36"/>
    <w:rsid w:val="005D4DD4"/>
    <w:rsid w:val="005D4F0E"/>
    <w:rsid w:val="005D51EB"/>
    <w:rsid w:val="005D5A6F"/>
    <w:rsid w:val="005D5E37"/>
    <w:rsid w:val="005D61C6"/>
    <w:rsid w:val="005D6DF2"/>
    <w:rsid w:val="005D741C"/>
    <w:rsid w:val="005D7A2B"/>
    <w:rsid w:val="005D7BF2"/>
    <w:rsid w:val="005D7C06"/>
    <w:rsid w:val="005D7C27"/>
    <w:rsid w:val="005E0FE6"/>
    <w:rsid w:val="005E1A94"/>
    <w:rsid w:val="005E1FD6"/>
    <w:rsid w:val="005E2424"/>
    <w:rsid w:val="005E25C3"/>
    <w:rsid w:val="005E309B"/>
    <w:rsid w:val="005E3599"/>
    <w:rsid w:val="005E3EA1"/>
    <w:rsid w:val="005E46DE"/>
    <w:rsid w:val="005E48F1"/>
    <w:rsid w:val="005E491D"/>
    <w:rsid w:val="005E4BE2"/>
    <w:rsid w:val="005E5752"/>
    <w:rsid w:val="005E57F1"/>
    <w:rsid w:val="005E5EC1"/>
    <w:rsid w:val="005E619D"/>
    <w:rsid w:val="005E6B66"/>
    <w:rsid w:val="005E77F9"/>
    <w:rsid w:val="005E7C97"/>
    <w:rsid w:val="005F012E"/>
    <w:rsid w:val="005F015F"/>
    <w:rsid w:val="005F03BC"/>
    <w:rsid w:val="005F08A3"/>
    <w:rsid w:val="005F0DD8"/>
    <w:rsid w:val="005F1342"/>
    <w:rsid w:val="005F1430"/>
    <w:rsid w:val="005F152F"/>
    <w:rsid w:val="005F2777"/>
    <w:rsid w:val="005F2D6E"/>
    <w:rsid w:val="005F48ED"/>
    <w:rsid w:val="005F64CB"/>
    <w:rsid w:val="005F696F"/>
    <w:rsid w:val="005F7DB6"/>
    <w:rsid w:val="00600408"/>
    <w:rsid w:val="00600436"/>
    <w:rsid w:val="00601125"/>
    <w:rsid w:val="006012C5"/>
    <w:rsid w:val="00601DB2"/>
    <w:rsid w:val="00601DBE"/>
    <w:rsid w:val="00601F02"/>
    <w:rsid w:val="00602077"/>
    <w:rsid w:val="00602429"/>
    <w:rsid w:val="00602E1A"/>
    <w:rsid w:val="00602F2C"/>
    <w:rsid w:val="0060367E"/>
    <w:rsid w:val="00603A89"/>
    <w:rsid w:val="00603F8B"/>
    <w:rsid w:val="0060410D"/>
    <w:rsid w:val="00604D7B"/>
    <w:rsid w:val="006050BB"/>
    <w:rsid w:val="0060551F"/>
    <w:rsid w:val="00605A91"/>
    <w:rsid w:val="00605E27"/>
    <w:rsid w:val="00605E4A"/>
    <w:rsid w:val="006061E9"/>
    <w:rsid w:val="0060648B"/>
    <w:rsid w:val="00606E74"/>
    <w:rsid w:val="00606E76"/>
    <w:rsid w:val="00606E78"/>
    <w:rsid w:val="006071A2"/>
    <w:rsid w:val="006071EE"/>
    <w:rsid w:val="00607BF1"/>
    <w:rsid w:val="00610662"/>
    <w:rsid w:val="00610F9C"/>
    <w:rsid w:val="006112D2"/>
    <w:rsid w:val="0061131D"/>
    <w:rsid w:val="006117FF"/>
    <w:rsid w:val="00611B2E"/>
    <w:rsid w:val="00611B55"/>
    <w:rsid w:val="00611C3F"/>
    <w:rsid w:val="0061237A"/>
    <w:rsid w:val="006127E9"/>
    <w:rsid w:val="0061294E"/>
    <w:rsid w:val="00612AB3"/>
    <w:rsid w:val="00612B2E"/>
    <w:rsid w:val="006133A4"/>
    <w:rsid w:val="00613E1B"/>
    <w:rsid w:val="0061434D"/>
    <w:rsid w:val="0061441A"/>
    <w:rsid w:val="00614863"/>
    <w:rsid w:val="00614D55"/>
    <w:rsid w:val="00614E29"/>
    <w:rsid w:val="00615289"/>
    <w:rsid w:val="00615889"/>
    <w:rsid w:val="006160F8"/>
    <w:rsid w:val="00616F3A"/>
    <w:rsid w:val="00617411"/>
    <w:rsid w:val="00617AC3"/>
    <w:rsid w:val="00617DD2"/>
    <w:rsid w:val="00617E5A"/>
    <w:rsid w:val="00617EA7"/>
    <w:rsid w:val="00617ED4"/>
    <w:rsid w:val="00620278"/>
    <w:rsid w:val="006202D0"/>
    <w:rsid w:val="006204C7"/>
    <w:rsid w:val="00620556"/>
    <w:rsid w:val="0062061D"/>
    <w:rsid w:val="00620EC6"/>
    <w:rsid w:val="006213EB"/>
    <w:rsid w:val="00621859"/>
    <w:rsid w:val="00621BCF"/>
    <w:rsid w:val="00622048"/>
    <w:rsid w:val="00622256"/>
    <w:rsid w:val="00622265"/>
    <w:rsid w:val="006232A6"/>
    <w:rsid w:val="006241AA"/>
    <w:rsid w:val="006248ED"/>
    <w:rsid w:val="00624D66"/>
    <w:rsid w:val="00625049"/>
    <w:rsid w:val="006253F0"/>
    <w:rsid w:val="00625910"/>
    <w:rsid w:val="006263C3"/>
    <w:rsid w:val="00627B48"/>
    <w:rsid w:val="00627DDE"/>
    <w:rsid w:val="00630D4D"/>
    <w:rsid w:val="006313CC"/>
    <w:rsid w:val="00632A74"/>
    <w:rsid w:val="00634732"/>
    <w:rsid w:val="006347C1"/>
    <w:rsid w:val="00635062"/>
    <w:rsid w:val="0063578C"/>
    <w:rsid w:val="00635EF4"/>
    <w:rsid w:val="0063604D"/>
    <w:rsid w:val="00636B96"/>
    <w:rsid w:val="00636E0C"/>
    <w:rsid w:val="00637881"/>
    <w:rsid w:val="006378F8"/>
    <w:rsid w:val="0063793C"/>
    <w:rsid w:val="0064061E"/>
    <w:rsid w:val="006407AB"/>
    <w:rsid w:val="00641EA4"/>
    <w:rsid w:val="006421EB"/>
    <w:rsid w:val="0064235E"/>
    <w:rsid w:val="00642494"/>
    <w:rsid w:val="0064353B"/>
    <w:rsid w:val="00643C10"/>
    <w:rsid w:val="00643DD8"/>
    <w:rsid w:val="00643F2B"/>
    <w:rsid w:val="00644493"/>
    <w:rsid w:val="00644638"/>
    <w:rsid w:val="0064496F"/>
    <w:rsid w:val="00644D5B"/>
    <w:rsid w:val="00644ECE"/>
    <w:rsid w:val="00645570"/>
    <w:rsid w:val="006456AA"/>
    <w:rsid w:val="00645744"/>
    <w:rsid w:val="006471C1"/>
    <w:rsid w:val="006474E3"/>
    <w:rsid w:val="0064796E"/>
    <w:rsid w:val="00647A32"/>
    <w:rsid w:val="00647E56"/>
    <w:rsid w:val="00650E66"/>
    <w:rsid w:val="00650EE5"/>
    <w:rsid w:val="00651007"/>
    <w:rsid w:val="006512B3"/>
    <w:rsid w:val="00651727"/>
    <w:rsid w:val="00651C0B"/>
    <w:rsid w:val="0065245A"/>
    <w:rsid w:val="00652A11"/>
    <w:rsid w:val="00652CC4"/>
    <w:rsid w:val="00653248"/>
    <w:rsid w:val="006536FA"/>
    <w:rsid w:val="00653717"/>
    <w:rsid w:val="006539BC"/>
    <w:rsid w:val="00653B33"/>
    <w:rsid w:val="00653CB2"/>
    <w:rsid w:val="006548EC"/>
    <w:rsid w:val="00654D42"/>
    <w:rsid w:val="00655202"/>
    <w:rsid w:val="00655DF9"/>
    <w:rsid w:val="00656117"/>
    <w:rsid w:val="006566F9"/>
    <w:rsid w:val="00656FB8"/>
    <w:rsid w:val="006578EB"/>
    <w:rsid w:val="00657B5A"/>
    <w:rsid w:val="00657E8C"/>
    <w:rsid w:val="0066008E"/>
    <w:rsid w:val="006604CD"/>
    <w:rsid w:val="00660531"/>
    <w:rsid w:val="00660553"/>
    <w:rsid w:val="006606CD"/>
    <w:rsid w:val="00660750"/>
    <w:rsid w:val="0066083C"/>
    <w:rsid w:val="00661033"/>
    <w:rsid w:val="006611AB"/>
    <w:rsid w:val="0066170D"/>
    <w:rsid w:val="00661F15"/>
    <w:rsid w:val="00662A67"/>
    <w:rsid w:val="00663CC8"/>
    <w:rsid w:val="006641CA"/>
    <w:rsid w:val="006642E4"/>
    <w:rsid w:val="00664807"/>
    <w:rsid w:val="006649AF"/>
    <w:rsid w:val="00665125"/>
    <w:rsid w:val="00666058"/>
    <w:rsid w:val="00666319"/>
    <w:rsid w:val="00666475"/>
    <w:rsid w:val="00666E02"/>
    <w:rsid w:val="00666FC4"/>
    <w:rsid w:val="0066730A"/>
    <w:rsid w:val="00667E19"/>
    <w:rsid w:val="0067083E"/>
    <w:rsid w:val="00670B6B"/>
    <w:rsid w:val="00670E43"/>
    <w:rsid w:val="00671320"/>
    <w:rsid w:val="006713D9"/>
    <w:rsid w:val="00671A52"/>
    <w:rsid w:val="006720F6"/>
    <w:rsid w:val="0067256F"/>
    <w:rsid w:val="00672D6C"/>
    <w:rsid w:val="00672D6D"/>
    <w:rsid w:val="00672DB5"/>
    <w:rsid w:val="0067317E"/>
    <w:rsid w:val="00673595"/>
    <w:rsid w:val="00673B45"/>
    <w:rsid w:val="00673B72"/>
    <w:rsid w:val="00673D49"/>
    <w:rsid w:val="00674090"/>
    <w:rsid w:val="006748AD"/>
    <w:rsid w:val="0067575E"/>
    <w:rsid w:val="0067580E"/>
    <w:rsid w:val="00675B07"/>
    <w:rsid w:val="0067608F"/>
    <w:rsid w:val="00676717"/>
    <w:rsid w:val="00676DA0"/>
    <w:rsid w:val="00677118"/>
    <w:rsid w:val="0067758D"/>
    <w:rsid w:val="00677F91"/>
    <w:rsid w:val="00680105"/>
    <w:rsid w:val="006805E7"/>
    <w:rsid w:val="006806EC"/>
    <w:rsid w:val="00680D4B"/>
    <w:rsid w:val="00681031"/>
    <w:rsid w:val="006812E7"/>
    <w:rsid w:val="00681301"/>
    <w:rsid w:val="00681816"/>
    <w:rsid w:val="00681AF2"/>
    <w:rsid w:val="006825E8"/>
    <w:rsid w:val="006826BE"/>
    <w:rsid w:val="00682AB1"/>
    <w:rsid w:val="00682B2E"/>
    <w:rsid w:val="00683178"/>
    <w:rsid w:val="006831F8"/>
    <w:rsid w:val="0068327A"/>
    <w:rsid w:val="00683BFA"/>
    <w:rsid w:val="00683EBC"/>
    <w:rsid w:val="0068401E"/>
    <w:rsid w:val="006840FC"/>
    <w:rsid w:val="00684279"/>
    <w:rsid w:val="0068482F"/>
    <w:rsid w:val="006852FB"/>
    <w:rsid w:val="006853F8"/>
    <w:rsid w:val="00685AE5"/>
    <w:rsid w:val="00685B52"/>
    <w:rsid w:val="00685D07"/>
    <w:rsid w:val="006860E1"/>
    <w:rsid w:val="006865A2"/>
    <w:rsid w:val="006868C3"/>
    <w:rsid w:val="00686D2D"/>
    <w:rsid w:val="00686D4F"/>
    <w:rsid w:val="0068720F"/>
    <w:rsid w:val="006905A9"/>
    <w:rsid w:val="00690B9F"/>
    <w:rsid w:val="00690C32"/>
    <w:rsid w:val="00690E09"/>
    <w:rsid w:val="006918DD"/>
    <w:rsid w:val="00691D1F"/>
    <w:rsid w:val="00691DBA"/>
    <w:rsid w:val="0069214F"/>
    <w:rsid w:val="0069279B"/>
    <w:rsid w:val="00692B72"/>
    <w:rsid w:val="00693777"/>
    <w:rsid w:val="006937B7"/>
    <w:rsid w:val="00693CB9"/>
    <w:rsid w:val="00693D2B"/>
    <w:rsid w:val="00693FE8"/>
    <w:rsid w:val="006943E7"/>
    <w:rsid w:val="00694672"/>
    <w:rsid w:val="00694A38"/>
    <w:rsid w:val="006950BD"/>
    <w:rsid w:val="0069535C"/>
    <w:rsid w:val="0069571A"/>
    <w:rsid w:val="00695E30"/>
    <w:rsid w:val="00696066"/>
    <w:rsid w:val="00696555"/>
    <w:rsid w:val="006968CF"/>
    <w:rsid w:val="00696A96"/>
    <w:rsid w:val="006972A5"/>
    <w:rsid w:val="00697EC6"/>
    <w:rsid w:val="006A1139"/>
    <w:rsid w:val="006A114B"/>
    <w:rsid w:val="006A1821"/>
    <w:rsid w:val="006A1D62"/>
    <w:rsid w:val="006A250A"/>
    <w:rsid w:val="006A3239"/>
    <w:rsid w:val="006A33B3"/>
    <w:rsid w:val="006A39FE"/>
    <w:rsid w:val="006A3B92"/>
    <w:rsid w:val="006A3D91"/>
    <w:rsid w:val="006A3FC1"/>
    <w:rsid w:val="006A4337"/>
    <w:rsid w:val="006A43E3"/>
    <w:rsid w:val="006A4655"/>
    <w:rsid w:val="006A4D43"/>
    <w:rsid w:val="006A53E1"/>
    <w:rsid w:val="006A54B8"/>
    <w:rsid w:val="006A59FA"/>
    <w:rsid w:val="006A5E38"/>
    <w:rsid w:val="006A5E92"/>
    <w:rsid w:val="006A607B"/>
    <w:rsid w:val="006A6A7F"/>
    <w:rsid w:val="006A6AC1"/>
    <w:rsid w:val="006A6F02"/>
    <w:rsid w:val="006A7552"/>
    <w:rsid w:val="006A7E16"/>
    <w:rsid w:val="006B090F"/>
    <w:rsid w:val="006B0BAB"/>
    <w:rsid w:val="006B0CAE"/>
    <w:rsid w:val="006B169C"/>
    <w:rsid w:val="006B1713"/>
    <w:rsid w:val="006B1871"/>
    <w:rsid w:val="006B20A6"/>
    <w:rsid w:val="006B270B"/>
    <w:rsid w:val="006B2B3C"/>
    <w:rsid w:val="006B3087"/>
    <w:rsid w:val="006B317D"/>
    <w:rsid w:val="006B348F"/>
    <w:rsid w:val="006B35BE"/>
    <w:rsid w:val="006B3DA0"/>
    <w:rsid w:val="006B3DB3"/>
    <w:rsid w:val="006B3E71"/>
    <w:rsid w:val="006B3F24"/>
    <w:rsid w:val="006B409C"/>
    <w:rsid w:val="006B422F"/>
    <w:rsid w:val="006B424A"/>
    <w:rsid w:val="006B4331"/>
    <w:rsid w:val="006B53D8"/>
    <w:rsid w:val="006B5581"/>
    <w:rsid w:val="006B5986"/>
    <w:rsid w:val="006B5D00"/>
    <w:rsid w:val="006B6598"/>
    <w:rsid w:val="006B696F"/>
    <w:rsid w:val="006B6E0B"/>
    <w:rsid w:val="006B6F1B"/>
    <w:rsid w:val="006B729B"/>
    <w:rsid w:val="006B75F9"/>
    <w:rsid w:val="006B7FDC"/>
    <w:rsid w:val="006C0326"/>
    <w:rsid w:val="006C04B9"/>
    <w:rsid w:val="006C088F"/>
    <w:rsid w:val="006C0AEE"/>
    <w:rsid w:val="006C0FFF"/>
    <w:rsid w:val="006C148E"/>
    <w:rsid w:val="006C14F5"/>
    <w:rsid w:val="006C162F"/>
    <w:rsid w:val="006C1D81"/>
    <w:rsid w:val="006C250F"/>
    <w:rsid w:val="006C25A2"/>
    <w:rsid w:val="006C2865"/>
    <w:rsid w:val="006C3471"/>
    <w:rsid w:val="006C38DB"/>
    <w:rsid w:val="006C403F"/>
    <w:rsid w:val="006C42D1"/>
    <w:rsid w:val="006C4728"/>
    <w:rsid w:val="006C4BA0"/>
    <w:rsid w:val="006C55C1"/>
    <w:rsid w:val="006C7038"/>
    <w:rsid w:val="006C71E6"/>
    <w:rsid w:val="006C72FD"/>
    <w:rsid w:val="006C7320"/>
    <w:rsid w:val="006D0461"/>
    <w:rsid w:val="006D1114"/>
    <w:rsid w:val="006D138C"/>
    <w:rsid w:val="006D15D1"/>
    <w:rsid w:val="006D1D34"/>
    <w:rsid w:val="006D20F8"/>
    <w:rsid w:val="006D2637"/>
    <w:rsid w:val="006D27E8"/>
    <w:rsid w:val="006D2C39"/>
    <w:rsid w:val="006D32D1"/>
    <w:rsid w:val="006D35D8"/>
    <w:rsid w:val="006D3952"/>
    <w:rsid w:val="006D3E00"/>
    <w:rsid w:val="006D4C8C"/>
    <w:rsid w:val="006D4E0C"/>
    <w:rsid w:val="006D522D"/>
    <w:rsid w:val="006D600E"/>
    <w:rsid w:val="006D739C"/>
    <w:rsid w:val="006D74D8"/>
    <w:rsid w:val="006D7D56"/>
    <w:rsid w:val="006E0A61"/>
    <w:rsid w:val="006E170B"/>
    <w:rsid w:val="006E1D96"/>
    <w:rsid w:val="006E201E"/>
    <w:rsid w:val="006E2182"/>
    <w:rsid w:val="006E225C"/>
    <w:rsid w:val="006E2D2E"/>
    <w:rsid w:val="006E38A1"/>
    <w:rsid w:val="006E4727"/>
    <w:rsid w:val="006E4926"/>
    <w:rsid w:val="006E4928"/>
    <w:rsid w:val="006E51E2"/>
    <w:rsid w:val="006E5905"/>
    <w:rsid w:val="006E5B19"/>
    <w:rsid w:val="006E6386"/>
    <w:rsid w:val="006E67F6"/>
    <w:rsid w:val="006E6EF1"/>
    <w:rsid w:val="006E6F8A"/>
    <w:rsid w:val="006E73EF"/>
    <w:rsid w:val="006E7739"/>
    <w:rsid w:val="006E7D53"/>
    <w:rsid w:val="006E7F29"/>
    <w:rsid w:val="006F0D1D"/>
    <w:rsid w:val="006F0EAC"/>
    <w:rsid w:val="006F15FD"/>
    <w:rsid w:val="006F174E"/>
    <w:rsid w:val="006F2646"/>
    <w:rsid w:val="006F31F8"/>
    <w:rsid w:val="006F39CD"/>
    <w:rsid w:val="006F3D5B"/>
    <w:rsid w:val="006F428B"/>
    <w:rsid w:val="006F4297"/>
    <w:rsid w:val="006F46C7"/>
    <w:rsid w:val="006F4916"/>
    <w:rsid w:val="006F4947"/>
    <w:rsid w:val="006F4A78"/>
    <w:rsid w:val="006F6A1F"/>
    <w:rsid w:val="006F6C44"/>
    <w:rsid w:val="006F72EB"/>
    <w:rsid w:val="006F75FC"/>
    <w:rsid w:val="006F7949"/>
    <w:rsid w:val="006F7DF7"/>
    <w:rsid w:val="006F7FB5"/>
    <w:rsid w:val="00700141"/>
    <w:rsid w:val="00700AE1"/>
    <w:rsid w:val="00701560"/>
    <w:rsid w:val="00701A5A"/>
    <w:rsid w:val="00701DF5"/>
    <w:rsid w:val="00701EB0"/>
    <w:rsid w:val="007026E8"/>
    <w:rsid w:val="00702F33"/>
    <w:rsid w:val="00703A70"/>
    <w:rsid w:val="007044EF"/>
    <w:rsid w:val="00704793"/>
    <w:rsid w:val="007047F9"/>
    <w:rsid w:val="00704846"/>
    <w:rsid w:val="00704AB0"/>
    <w:rsid w:val="00704ABF"/>
    <w:rsid w:val="00704EC5"/>
    <w:rsid w:val="00704F04"/>
    <w:rsid w:val="007050E8"/>
    <w:rsid w:val="007052DF"/>
    <w:rsid w:val="007058D1"/>
    <w:rsid w:val="0070646C"/>
    <w:rsid w:val="00706538"/>
    <w:rsid w:val="0070720D"/>
    <w:rsid w:val="00707872"/>
    <w:rsid w:val="007079C9"/>
    <w:rsid w:val="00707A3D"/>
    <w:rsid w:val="00707EEC"/>
    <w:rsid w:val="0071002D"/>
    <w:rsid w:val="0071036E"/>
    <w:rsid w:val="00710A57"/>
    <w:rsid w:val="00710B4B"/>
    <w:rsid w:val="00710BF1"/>
    <w:rsid w:val="0071109B"/>
    <w:rsid w:val="00711A7C"/>
    <w:rsid w:val="007120D7"/>
    <w:rsid w:val="0071279F"/>
    <w:rsid w:val="00712DAB"/>
    <w:rsid w:val="007130B4"/>
    <w:rsid w:val="007133F3"/>
    <w:rsid w:val="00713CDD"/>
    <w:rsid w:val="00713D8A"/>
    <w:rsid w:val="00713F51"/>
    <w:rsid w:val="00714B90"/>
    <w:rsid w:val="00714D4D"/>
    <w:rsid w:val="007151EA"/>
    <w:rsid w:val="00715571"/>
    <w:rsid w:val="0071579C"/>
    <w:rsid w:val="00715810"/>
    <w:rsid w:val="00715EFC"/>
    <w:rsid w:val="007160EC"/>
    <w:rsid w:val="007162FA"/>
    <w:rsid w:val="00717B3B"/>
    <w:rsid w:val="00717C2D"/>
    <w:rsid w:val="0072076F"/>
    <w:rsid w:val="00720F31"/>
    <w:rsid w:val="00721087"/>
    <w:rsid w:val="007212D7"/>
    <w:rsid w:val="00722081"/>
    <w:rsid w:val="00722403"/>
    <w:rsid w:val="00722CF4"/>
    <w:rsid w:val="00722CF8"/>
    <w:rsid w:val="007233A0"/>
    <w:rsid w:val="00723A47"/>
    <w:rsid w:val="00723F03"/>
    <w:rsid w:val="0072455F"/>
    <w:rsid w:val="0072463F"/>
    <w:rsid w:val="00724D20"/>
    <w:rsid w:val="00725E99"/>
    <w:rsid w:val="00725FDF"/>
    <w:rsid w:val="0072619C"/>
    <w:rsid w:val="007261E3"/>
    <w:rsid w:val="0072650E"/>
    <w:rsid w:val="007266D3"/>
    <w:rsid w:val="007267BE"/>
    <w:rsid w:val="00726F00"/>
    <w:rsid w:val="0072722E"/>
    <w:rsid w:val="0072754F"/>
    <w:rsid w:val="00727722"/>
    <w:rsid w:val="00727EA0"/>
    <w:rsid w:val="0073079C"/>
    <w:rsid w:val="007307A9"/>
    <w:rsid w:val="007311F3"/>
    <w:rsid w:val="007315C7"/>
    <w:rsid w:val="00731929"/>
    <w:rsid w:val="00731AA2"/>
    <w:rsid w:val="00731B77"/>
    <w:rsid w:val="00732029"/>
    <w:rsid w:val="00732E75"/>
    <w:rsid w:val="007331DF"/>
    <w:rsid w:val="0073348C"/>
    <w:rsid w:val="00733859"/>
    <w:rsid w:val="0073386E"/>
    <w:rsid w:val="00733CD2"/>
    <w:rsid w:val="007342BE"/>
    <w:rsid w:val="007347E5"/>
    <w:rsid w:val="00734F9B"/>
    <w:rsid w:val="00735484"/>
    <w:rsid w:val="0073577C"/>
    <w:rsid w:val="00735A9E"/>
    <w:rsid w:val="00735DE2"/>
    <w:rsid w:val="00735E69"/>
    <w:rsid w:val="007362AA"/>
    <w:rsid w:val="0073646F"/>
    <w:rsid w:val="00736B08"/>
    <w:rsid w:val="00736DF2"/>
    <w:rsid w:val="00737DCB"/>
    <w:rsid w:val="00740616"/>
    <w:rsid w:val="00740871"/>
    <w:rsid w:val="00740EED"/>
    <w:rsid w:val="00740F76"/>
    <w:rsid w:val="00741370"/>
    <w:rsid w:val="007417F1"/>
    <w:rsid w:val="007418EC"/>
    <w:rsid w:val="00741AC5"/>
    <w:rsid w:val="007424DD"/>
    <w:rsid w:val="007429C0"/>
    <w:rsid w:val="007431A8"/>
    <w:rsid w:val="0074355D"/>
    <w:rsid w:val="007437A8"/>
    <w:rsid w:val="00743F51"/>
    <w:rsid w:val="00743FD6"/>
    <w:rsid w:val="0074486A"/>
    <w:rsid w:val="00744E6E"/>
    <w:rsid w:val="0074541C"/>
    <w:rsid w:val="007457BA"/>
    <w:rsid w:val="00745ED0"/>
    <w:rsid w:val="0074604E"/>
    <w:rsid w:val="00746EF5"/>
    <w:rsid w:val="00747555"/>
    <w:rsid w:val="0074797F"/>
    <w:rsid w:val="00750378"/>
    <w:rsid w:val="00750386"/>
    <w:rsid w:val="00751075"/>
    <w:rsid w:val="007514DD"/>
    <w:rsid w:val="0075282B"/>
    <w:rsid w:val="00752D51"/>
    <w:rsid w:val="00752F09"/>
    <w:rsid w:val="007535DD"/>
    <w:rsid w:val="00753628"/>
    <w:rsid w:val="00753B50"/>
    <w:rsid w:val="00753C85"/>
    <w:rsid w:val="00753FDC"/>
    <w:rsid w:val="007541D7"/>
    <w:rsid w:val="00754581"/>
    <w:rsid w:val="0075500A"/>
    <w:rsid w:val="00755317"/>
    <w:rsid w:val="007553CE"/>
    <w:rsid w:val="00755BF1"/>
    <w:rsid w:val="00757A2E"/>
    <w:rsid w:val="00757A3F"/>
    <w:rsid w:val="00757C2E"/>
    <w:rsid w:val="00757E72"/>
    <w:rsid w:val="0076005A"/>
    <w:rsid w:val="007600ED"/>
    <w:rsid w:val="007602AB"/>
    <w:rsid w:val="007602ED"/>
    <w:rsid w:val="007604BB"/>
    <w:rsid w:val="0076102D"/>
    <w:rsid w:val="0076115B"/>
    <w:rsid w:val="00761659"/>
    <w:rsid w:val="00761E44"/>
    <w:rsid w:val="0076222D"/>
    <w:rsid w:val="00762A34"/>
    <w:rsid w:val="00762A3D"/>
    <w:rsid w:val="00762CC3"/>
    <w:rsid w:val="00763941"/>
    <w:rsid w:val="00763C86"/>
    <w:rsid w:val="00764881"/>
    <w:rsid w:val="0076532E"/>
    <w:rsid w:val="00765DA5"/>
    <w:rsid w:val="007662F2"/>
    <w:rsid w:val="0076682C"/>
    <w:rsid w:val="0076690B"/>
    <w:rsid w:val="00766B3B"/>
    <w:rsid w:val="00766B56"/>
    <w:rsid w:val="007672F1"/>
    <w:rsid w:val="00767953"/>
    <w:rsid w:val="00767A7A"/>
    <w:rsid w:val="00770141"/>
    <w:rsid w:val="007702CF"/>
    <w:rsid w:val="00770AB6"/>
    <w:rsid w:val="0077131A"/>
    <w:rsid w:val="00771B15"/>
    <w:rsid w:val="00772909"/>
    <w:rsid w:val="00772BAC"/>
    <w:rsid w:val="00772C94"/>
    <w:rsid w:val="00772FF2"/>
    <w:rsid w:val="00773296"/>
    <w:rsid w:val="0077392D"/>
    <w:rsid w:val="00773B3B"/>
    <w:rsid w:val="00773F35"/>
    <w:rsid w:val="007742BE"/>
    <w:rsid w:val="00774D19"/>
    <w:rsid w:val="00775289"/>
    <w:rsid w:val="00775290"/>
    <w:rsid w:val="00775499"/>
    <w:rsid w:val="00775AA5"/>
    <w:rsid w:val="00775B11"/>
    <w:rsid w:val="007760FB"/>
    <w:rsid w:val="00776D12"/>
    <w:rsid w:val="00776EDA"/>
    <w:rsid w:val="00776F40"/>
    <w:rsid w:val="007772B3"/>
    <w:rsid w:val="007801F8"/>
    <w:rsid w:val="007802DC"/>
    <w:rsid w:val="00780740"/>
    <w:rsid w:val="0078076D"/>
    <w:rsid w:val="00780890"/>
    <w:rsid w:val="00781036"/>
    <w:rsid w:val="00781200"/>
    <w:rsid w:val="0078126E"/>
    <w:rsid w:val="00782006"/>
    <w:rsid w:val="007820FD"/>
    <w:rsid w:val="00782D3F"/>
    <w:rsid w:val="007833F9"/>
    <w:rsid w:val="00783B67"/>
    <w:rsid w:val="0078420D"/>
    <w:rsid w:val="0078519B"/>
    <w:rsid w:val="00785232"/>
    <w:rsid w:val="007854F2"/>
    <w:rsid w:val="00785CA4"/>
    <w:rsid w:val="00785D95"/>
    <w:rsid w:val="007867AD"/>
    <w:rsid w:val="00786BC5"/>
    <w:rsid w:val="00786C82"/>
    <w:rsid w:val="007877D2"/>
    <w:rsid w:val="00787DA9"/>
    <w:rsid w:val="00790B5A"/>
    <w:rsid w:val="007911E5"/>
    <w:rsid w:val="007911EA"/>
    <w:rsid w:val="0079120B"/>
    <w:rsid w:val="00791474"/>
    <w:rsid w:val="00791808"/>
    <w:rsid w:val="00791842"/>
    <w:rsid w:val="00791C8B"/>
    <w:rsid w:val="00792461"/>
    <w:rsid w:val="00792932"/>
    <w:rsid w:val="0079322B"/>
    <w:rsid w:val="00793248"/>
    <w:rsid w:val="007933D4"/>
    <w:rsid w:val="007933DE"/>
    <w:rsid w:val="0079409B"/>
    <w:rsid w:val="0079416E"/>
    <w:rsid w:val="007946F9"/>
    <w:rsid w:val="00795199"/>
    <w:rsid w:val="007953A0"/>
    <w:rsid w:val="00795D6C"/>
    <w:rsid w:val="00795F79"/>
    <w:rsid w:val="007961F3"/>
    <w:rsid w:val="0079701E"/>
    <w:rsid w:val="007970A1"/>
    <w:rsid w:val="00797BA7"/>
    <w:rsid w:val="00797C7D"/>
    <w:rsid w:val="007A00CD"/>
    <w:rsid w:val="007A010A"/>
    <w:rsid w:val="007A05EB"/>
    <w:rsid w:val="007A0621"/>
    <w:rsid w:val="007A0693"/>
    <w:rsid w:val="007A0701"/>
    <w:rsid w:val="007A12B1"/>
    <w:rsid w:val="007A1A49"/>
    <w:rsid w:val="007A2127"/>
    <w:rsid w:val="007A21EB"/>
    <w:rsid w:val="007A24C3"/>
    <w:rsid w:val="007A328C"/>
    <w:rsid w:val="007A4586"/>
    <w:rsid w:val="007A474E"/>
    <w:rsid w:val="007A4B52"/>
    <w:rsid w:val="007A4BEA"/>
    <w:rsid w:val="007A4CF0"/>
    <w:rsid w:val="007A54B8"/>
    <w:rsid w:val="007A54D4"/>
    <w:rsid w:val="007A6363"/>
    <w:rsid w:val="007A65B9"/>
    <w:rsid w:val="007A6DC9"/>
    <w:rsid w:val="007A702D"/>
    <w:rsid w:val="007A72B9"/>
    <w:rsid w:val="007A7715"/>
    <w:rsid w:val="007A7913"/>
    <w:rsid w:val="007B0B62"/>
    <w:rsid w:val="007B1141"/>
    <w:rsid w:val="007B1A93"/>
    <w:rsid w:val="007B1E04"/>
    <w:rsid w:val="007B1E16"/>
    <w:rsid w:val="007B1E3C"/>
    <w:rsid w:val="007B1F46"/>
    <w:rsid w:val="007B2210"/>
    <w:rsid w:val="007B2B6C"/>
    <w:rsid w:val="007B304B"/>
    <w:rsid w:val="007B3C6B"/>
    <w:rsid w:val="007B40E6"/>
    <w:rsid w:val="007B4172"/>
    <w:rsid w:val="007B4953"/>
    <w:rsid w:val="007B4975"/>
    <w:rsid w:val="007B49AB"/>
    <w:rsid w:val="007B4EDC"/>
    <w:rsid w:val="007B4F54"/>
    <w:rsid w:val="007B526C"/>
    <w:rsid w:val="007B53FA"/>
    <w:rsid w:val="007B5EFB"/>
    <w:rsid w:val="007B6415"/>
    <w:rsid w:val="007B6C23"/>
    <w:rsid w:val="007B6C4B"/>
    <w:rsid w:val="007B6D8E"/>
    <w:rsid w:val="007B7296"/>
    <w:rsid w:val="007B734E"/>
    <w:rsid w:val="007B76A2"/>
    <w:rsid w:val="007C0251"/>
    <w:rsid w:val="007C08E3"/>
    <w:rsid w:val="007C116B"/>
    <w:rsid w:val="007C17DE"/>
    <w:rsid w:val="007C1B04"/>
    <w:rsid w:val="007C1F61"/>
    <w:rsid w:val="007C25AB"/>
    <w:rsid w:val="007C36C9"/>
    <w:rsid w:val="007C377F"/>
    <w:rsid w:val="007C3DB7"/>
    <w:rsid w:val="007C4247"/>
    <w:rsid w:val="007C4A75"/>
    <w:rsid w:val="007C503A"/>
    <w:rsid w:val="007C5536"/>
    <w:rsid w:val="007C67FC"/>
    <w:rsid w:val="007C7509"/>
    <w:rsid w:val="007D0928"/>
    <w:rsid w:val="007D175E"/>
    <w:rsid w:val="007D1839"/>
    <w:rsid w:val="007D1DBF"/>
    <w:rsid w:val="007D2392"/>
    <w:rsid w:val="007D24A2"/>
    <w:rsid w:val="007D2624"/>
    <w:rsid w:val="007D31FD"/>
    <w:rsid w:val="007D3BBA"/>
    <w:rsid w:val="007D3E72"/>
    <w:rsid w:val="007D4964"/>
    <w:rsid w:val="007D57F9"/>
    <w:rsid w:val="007D5EC5"/>
    <w:rsid w:val="007D61FE"/>
    <w:rsid w:val="007D6401"/>
    <w:rsid w:val="007D692C"/>
    <w:rsid w:val="007D69B2"/>
    <w:rsid w:val="007D6EDF"/>
    <w:rsid w:val="007D77EE"/>
    <w:rsid w:val="007D78ED"/>
    <w:rsid w:val="007D7EAD"/>
    <w:rsid w:val="007E01E4"/>
    <w:rsid w:val="007E03C6"/>
    <w:rsid w:val="007E048A"/>
    <w:rsid w:val="007E07A1"/>
    <w:rsid w:val="007E09D7"/>
    <w:rsid w:val="007E1526"/>
    <w:rsid w:val="007E19E4"/>
    <w:rsid w:val="007E1AB6"/>
    <w:rsid w:val="007E1E9D"/>
    <w:rsid w:val="007E200B"/>
    <w:rsid w:val="007E20AF"/>
    <w:rsid w:val="007E225F"/>
    <w:rsid w:val="007E3932"/>
    <w:rsid w:val="007E5409"/>
    <w:rsid w:val="007E602C"/>
    <w:rsid w:val="007E6083"/>
    <w:rsid w:val="007E6DAC"/>
    <w:rsid w:val="007E6ED4"/>
    <w:rsid w:val="007E6FC8"/>
    <w:rsid w:val="007E70BC"/>
    <w:rsid w:val="007E769E"/>
    <w:rsid w:val="007E7A12"/>
    <w:rsid w:val="007E7B7C"/>
    <w:rsid w:val="007E7E1D"/>
    <w:rsid w:val="007F021A"/>
    <w:rsid w:val="007F0A7D"/>
    <w:rsid w:val="007F0DE2"/>
    <w:rsid w:val="007F13EE"/>
    <w:rsid w:val="007F1DC2"/>
    <w:rsid w:val="007F2EB4"/>
    <w:rsid w:val="007F364B"/>
    <w:rsid w:val="007F374D"/>
    <w:rsid w:val="007F3D14"/>
    <w:rsid w:val="007F4500"/>
    <w:rsid w:val="007F4940"/>
    <w:rsid w:val="007F4949"/>
    <w:rsid w:val="007F5080"/>
    <w:rsid w:val="007F5517"/>
    <w:rsid w:val="007F5667"/>
    <w:rsid w:val="007F585D"/>
    <w:rsid w:val="007F5930"/>
    <w:rsid w:val="007F5A4A"/>
    <w:rsid w:val="007F5AA4"/>
    <w:rsid w:val="007F6098"/>
    <w:rsid w:val="007F6E3D"/>
    <w:rsid w:val="007F7107"/>
    <w:rsid w:val="007F7374"/>
    <w:rsid w:val="007F78BC"/>
    <w:rsid w:val="007F796E"/>
    <w:rsid w:val="007F7BEB"/>
    <w:rsid w:val="007F7CFF"/>
    <w:rsid w:val="007F7E59"/>
    <w:rsid w:val="00800333"/>
    <w:rsid w:val="00800857"/>
    <w:rsid w:val="00800BDE"/>
    <w:rsid w:val="00800D4C"/>
    <w:rsid w:val="00801382"/>
    <w:rsid w:val="008029BE"/>
    <w:rsid w:val="0080378B"/>
    <w:rsid w:val="00804895"/>
    <w:rsid w:val="00804A1F"/>
    <w:rsid w:val="00804C56"/>
    <w:rsid w:val="00804EF0"/>
    <w:rsid w:val="0080515A"/>
    <w:rsid w:val="00805B2A"/>
    <w:rsid w:val="00805D7B"/>
    <w:rsid w:val="008060CA"/>
    <w:rsid w:val="00806664"/>
    <w:rsid w:val="008066F7"/>
    <w:rsid w:val="00806711"/>
    <w:rsid w:val="008067AA"/>
    <w:rsid w:val="0080765A"/>
    <w:rsid w:val="0081030F"/>
    <w:rsid w:val="008106A7"/>
    <w:rsid w:val="00810829"/>
    <w:rsid w:val="00810BDC"/>
    <w:rsid w:val="00810C1C"/>
    <w:rsid w:val="0081189B"/>
    <w:rsid w:val="00812621"/>
    <w:rsid w:val="00812F4A"/>
    <w:rsid w:val="008134D5"/>
    <w:rsid w:val="008134FD"/>
    <w:rsid w:val="00813747"/>
    <w:rsid w:val="008138EC"/>
    <w:rsid w:val="00813F9C"/>
    <w:rsid w:val="00814824"/>
    <w:rsid w:val="008151B5"/>
    <w:rsid w:val="008151C7"/>
    <w:rsid w:val="008157B0"/>
    <w:rsid w:val="00815ACF"/>
    <w:rsid w:val="00815BDB"/>
    <w:rsid w:val="00815D5F"/>
    <w:rsid w:val="00815DC3"/>
    <w:rsid w:val="008165C6"/>
    <w:rsid w:val="00816B85"/>
    <w:rsid w:val="00816DF7"/>
    <w:rsid w:val="00816E3D"/>
    <w:rsid w:val="008172CA"/>
    <w:rsid w:val="0081797C"/>
    <w:rsid w:val="00817DEE"/>
    <w:rsid w:val="0082087D"/>
    <w:rsid w:val="00820C3F"/>
    <w:rsid w:val="00820EC7"/>
    <w:rsid w:val="0082111F"/>
    <w:rsid w:val="00821502"/>
    <w:rsid w:val="0082183C"/>
    <w:rsid w:val="00822421"/>
    <w:rsid w:val="00822698"/>
    <w:rsid w:val="00822958"/>
    <w:rsid w:val="00822C91"/>
    <w:rsid w:val="0082309F"/>
    <w:rsid w:val="00823583"/>
    <w:rsid w:val="00823680"/>
    <w:rsid w:val="008247F3"/>
    <w:rsid w:val="00824E33"/>
    <w:rsid w:val="00824FA9"/>
    <w:rsid w:val="008251AF"/>
    <w:rsid w:val="00825246"/>
    <w:rsid w:val="008252D5"/>
    <w:rsid w:val="008254EA"/>
    <w:rsid w:val="00825F6E"/>
    <w:rsid w:val="00826322"/>
    <w:rsid w:val="00826B50"/>
    <w:rsid w:val="00826D1C"/>
    <w:rsid w:val="00827671"/>
    <w:rsid w:val="00830608"/>
    <w:rsid w:val="00830C6E"/>
    <w:rsid w:val="00830D08"/>
    <w:rsid w:val="00830D60"/>
    <w:rsid w:val="0083135C"/>
    <w:rsid w:val="0083139D"/>
    <w:rsid w:val="0083145A"/>
    <w:rsid w:val="0083210F"/>
    <w:rsid w:val="008322D0"/>
    <w:rsid w:val="0083258E"/>
    <w:rsid w:val="008326F8"/>
    <w:rsid w:val="00832E2C"/>
    <w:rsid w:val="00833543"/>
    <w:rsid w:val="0083364D"/>
    <w:rsid w:val="008338CF"/>
    <w:rsid w:val="00833AF8"/>
    <w:rsid w:val="00833C54"/>
    <w:rsid w:val="00833C9B"/>
    <w:rsid w:val="00833DEF"/>
    <w:rsid w:val="008350F3"/>
    <w:rsid w:val="008351AF"/>
    <w:rsid w:val="00835771"/>
    <w:rsid w:val="008358A2"/>
    <w:rsid w:val="008358FD"/>
    <w:rsid w:val="00835927"/>
    <w:rsid w:val="00835BE8"/>
    <w:rsid w:val="0083604B"/>
    <w:rsid w:val="0083634B"/>
    <w:rsid w:val="008366E3"/>
    <w:rsid w:val="0083694A"/>
    <w:rsid w:val="008370AE"/>
    <w:rsid w:val="008373A0"/>
    <w:rsid w:val="00837A77"/>
    <w:rsid w:val="0084029F"/>
    <w:rsid w:val="0084073C"/>
    <w:rsid w:val="00840E89"/>
    <w:rsid w:val="008412BE"/>
    <w:rsid w:val="00842933"/>
    <w:rsid w:val="00842CC2"/>
    <w:rsid w:val="00842EC8"/>
    <w:rsid w:val="0084333C"/>
    <w:rsid w:val="008433B0"/>
    <w:rsid w:val="00843577"/>
    <w:rsid w:val="00843B82"/>
    <w:rsid w:val="00843FC3"/>
    <w:rsid w:val="008448BD"/>
    <w:rsid w:val="008448E4"/>
    <w:rsid w:val="0084518F"/>
    <w:rsid w:val="008458DD"/>
    <w:rsid w:val="00845AC8"/>
    <w:rsid w:val="00845CF3"/>
    <w:rsid w:val="00845E1D"/>
    <w:rsid w:val="00846487"/>
    <w:rsid w:val="008470AF"/>
    <w:rsid w:val="00847805"/>
    <w:rsid w:val="00847A3C"/>
    <w:rsid w:val="00850675"/>
    <w:rsid w:val="0085080D"/>
    <w:rsid w:val="00851280"/>
    <w:rsid w:val="008512DA"/>
    <w:rsid w:val="00851360"/>
    <w:rsid w:val="00851AE9"/>
    <w:rsid w:val="00852061"/>
    <w:rsid w:val="0085260D"/>
    <w:rsid w:val="0085299B"/>
    <w:rsid w:val="008529C6"/>
    <w:rsid w:val="00852A07"/>
    <w:rsid w:val="00852AE3"/>
    <w:rsid w:val="00852D8D"/>
    <w:rsid w:val="008537FE"/>
    <w:rsid w:val="00853C18"/>
    <w:rsid w:val="00853E9C"/>
    <w:rsid w:val="0085469E"/>
    <w:rsid w:val="0085500B"/>
    <w:rsid w:val="00855178"/>
    <w:rsid w:val="00855990"/>
    <w:rsid w:val="00855F09"/>
    <w:rsid w:val="00856444"/>
    <w:rsid w:val="0085668D"/>
    <w:rsid w:val="00856ACF"/>
    <w:rsid w:val="008571B7"/>
    <w:rsid w:val="0085723E"/>
    <w:rsid w:val="008573BB"/>
    <w:rsid w:val="00857445"/>
    <w:rsid w:val="0086032C"/>
    <w:rsid w:val="008605F4"/>
    <w:rsid w:val="0086082C"/>
    <w:rsid w:val="00860B3A"/>
    <w:rsid w:val="00860D28"/>
    <w:rsid w:val="008610E7"/>
    <w:rsid w:val="008614A7"/>
    <w:rsid w:val="0086169B"/>
    <w:rsid w:val="00861A00"/>
    <w:rsid w:val="00861A9E"/>
    <w:rsid w:val="00861B96"/>
    <w:rsid w:val="00861E5F"/>
    <w:rsid w:val="00861FCB"/>
    <w:rsid w:val="008620D8"/>
    <w:rsid w:val="0086258D"/>
    <w:rsid w:val="00862EF2"/>
    <w:rsid w:val="0086365A"/>
    <w:rsid w:val="0086417B"/>
    <w:rsid w:val="008643B1"/>
    <w:rsid w:val="00864ADC"/>
    <w:rsid w:val="00865126"/>
    <w:rsid w:val="00865763"/>
    <w:rsid w:val="008657CB"/>
    <w:rsid w:val="00865B61"/>
    <w:rsid w:val="008660D2"/>
    <w:rsid w:val="00866FEB"/>
    <w:rsid w:val="0086732A"/>
    <w:rsid w:val="00867ED1"/>
    <w:rsid w:val="00871C2B"/>
    <w:rsid w:val="00871E72"/>
    <w:rsid w:val="008721EE"/>
    <w:rsid w:val="0087288E"/>
    <w:rsid w:val="00872F6E"/>
    <w:rsid w:val="00872F75"/>
    <w:rsid w:val="00873045"/>
    <w:rsid w:val="00873266"/>
    <w:rsid w:val="008733CB"/>
    <w:rsid w:val="00873551"/>
    <w:rsid w:val="008737B9"/>
    <w:rsid w:val="00873BF1"/>
    <w:rsid w:val="00873E11"/>
    <w:rsid w:val="0087456B"/>
    <w:rsid w:val="008746FF"/>
    <w:rsid w:val="00874D61"/>
    <w:rsid w:val="008750BD"/>
    <w:rsid w:val="00875B4A"/>
    <w:rsid w:val="00876217"/>
    <w:rsid w:val="00876223"/>
    <w:rsid w:val="008762E4"/>
    <w:rsid w:val="00876624"/>
    <w:rsid w:val="008768D6"/>
    <w:rsid w:val="00876CF7"/>
    <w:rsid w:val="00876FD5"/>
    <w:rsid w:val="00877384"/>
    <w:rsid w:val="00877D3E"/>
    <w:rsid w:val="00877EE3"/>
    <w:rsid w:val="00880153"/>
    <w:rsid w:val="00880273"/>
    <w:rsid w:val="00880A37"/>
    <w:rsid w:val="00880F97"/>
    <w:rsid w:val="0088118F"/>
    <w:rsid w:val="008812B5"/>
    <w:rsid w:val="0088133A"/>
    <w:rsid w:val="00881417"/>
    <w:rsid w:val="008819DA"/>
    <w:rsid w:val="0088225D"/>
    <w:rsid w:val="0088289A"/>
    <w:rsid w:val="008829A8"/>
    <w:rsid w:val="00882B24"/>
    <w:rsid w:val="00883680"/>
    <w:rsid w:val="00884565"/>
    <w:rsid w:val="008860FE"/>
    <w:rsid w:val="0088640A"/>
    <w:rsid w:val="00886AC5"/>
    <w:rsid w:val="00886E31"/>
    <w:rsid w:val="00887F2A"/>
    <w:rsid w:val="008901AD"/>
    <w:rsid w:val="00890D81"/>
    <w:rsid w:val="00891062"/>
    <w:rsid w:val="00891464"/>
    <w:rsid w:val="00892715"/>
    <w:rsid w:val="0089285E"/>
    <w:rsid w:val="008929A7"/>
    <w:rsid w:val="00892E94"/>
    <w:rsid w:val="0089302D"/>
    <w:rsid w:val="00893060"/>
    <w:rsid w:val="0089436C"/>
    <w:rsid w:val="00894453"/>
    <w:rsid w:val="008945B8"/>
    <w:rsid w:val="00894CE1"/>
    <w:rsid w:val="008954FD"/>
    <w:rsid w:val="0089568F"/>
    <w:rsid w:val="00895A10"/>
    <w:rsid w:val="00896043"/>
    <w:rsid w:val="00896543"/>
    <w:rsid w:val="0089655D"/>
    <w:rsid w:val="0089668F"/>
    <w:rsid w:val="00897195"/>
    <w:rsid w:val="00897658"/>
    <w:rsid w:val="00897B08"/>
    <w:rsid w:val="00897C05"/>
    <w:rsid w:val="00897C16"/>
    <w:rsid w:val="00897F3F"/>
    <w:rsid w:val="008A019E"/>
    <w:rsid w:val="008A0709"/>
    <w:rsid w:val="008A0C37"/>
    <w:rsid w:val="008A0DED"/>
    <w:rsid w:val="008A0FEC"/>
    <w:rsid w:val="008A10C8"/>
    <w:rsid w:val="008A1504"/>
    <w:rsid w:val="008A16F8"/>
    <w:rsid w:val="008A2499"/>
    <w:rsid w:val="008A344C"/>
    <w:rsid w:val="008A34FD"/>
    <w:rsid w:val="008A4277"/>
    <w:rsid w:val="008A4833"/>
    <w:rsid w:val="008A4965"/>
    <w:rsid w:val="008A4FC5"/>
    <w:rsid w:val="008A5013"/>
    <w:rsid w:val="008A5088"/>
    <w:rsid w:val="008A5221"/>
    <w:rsid w:val="008A57F3"/>
    <w:rsid w:val="008A5B2A"/>
    <w:rsid w:val="008A5CA3"/>
    <w:rsid w:val="008A5E35"/>
    <w:rsid w:val="008A61B9"/>
    <w:rsid w:val="008A6C23"/>
    <w:rsid w:val="008A6DD9"/>
    <w:rsid w:val="008A7715"/>
    <w:rsid w:val="008B0B53"/>
    <w:rsid w:val="008B0D8D"/>
    <w:rsid w:val="008B12E4"/>
    <w:rsid w:val="008B18F3"/>
    <w:rsid w:val="008B1F28"/>
    <w:rsid w:val="008B2162"/>
    <w:rsid w:val="008B23D2"/>
    <w:rsid w:val="008B29C9"/>
    <w:rsid w:val="008B2EA0"/>
    <w:rsid w:val="008B34C2"/>
    <w:rsid w:val="008B3528"/>
    <w:rsid w:val="008B3E8D"/>
    <w:rsid w:val="008B3E90"/>
    <w:rsid w:val="008B4098"/>
    <w:rsid w:val="008B4130"/>
    <w:rsid w:val="008B4516"/>
    <w:rsid w:val="008B4965"/>
    <w:rsid w:val="008B4FF3"/>
    <w:rsid w:val="008B731F"/>
    <w:rsid w:val="008B7395"/>
    <w:rsid w:val="008B7452"/>
    <w:rsid w:val="008B7778"/>
    <w:rsid w:val="008C000A"/>
    <w:rsid w:val="008C04F7"/>
    <w:rsid w:val="008C0660"/>
    <w:rsid w:val="008C0989"/>
    <w:rsid w:val="008C0E63"/>
    <w:rsid w:val="008C1103"/>
    <w:rsid w:val="008C1252"/>
    <w:rsid w:val="008C14A3"/>
    <w:rsid w:val="008C1708"/>
    <w:rsid w:val="008C1CD8"/>
    <w:rsid w:val="008C2D0A"/>
    <w:rsid w:val="008C3D4B"/>
    <w:rsid w:val="008C3DCF"/>
    <w:rsid w:val="008C4500"/>
    <w:rsid w:val="008C4692"/>
    <w:rsid w:val="008C4B99"/>
    <w:rsid w:val="008C4F64"/>
    <w:rsid w:val="008C4FDE"/>
    <w:rsid w:val="008C55D0"/>
    <w:rsid w:val="008C5A22"/>
    <w:rsid w:val="008C5AF6"/>
    <w:rsid w:val="008C5B1A"/>
    <w:rsid w:val="008C655E"/>
    <w:rsid w:val="008C6C82"/>
    <w:rsid w:val="008C72AD"/>
    <w:rsid w:val="008C7426"/>
    <w:rsid w:val="008C7622"/>
    <w:rsid w:val="008C7EC4"/>
    <w:rsid w:val="008D0303"/>
    <w:rsid w:val="008D0477"/>
    <w:rsid w:val="008D05DE"/>
    <w:rsid w:val="008D071D"/>
    <w:rsid w:val="008D0850"/>
    <w:rsid w:val="008D0EC0"/>
    <w:rsid w:val="008D158A"/>
    <w:rsid w:val="008D1B0D"/>
    <w:rsid w:val="008D1D68"/>
    <w:rsid w:val="008D1DC5"/>
    <w:rsid w:val="008D1F3D"/>
    <w:rsid w:val="008D1FBE"/>
    <w:rsid w:val="008D28F4"/>
    <w:rsid w:val="008D29F5"/>
    <w:rsid w:val="008D2FEF"/>
    <w:rsid w:val="008D365C"/>
    <w:rsid w:val="008D3AFA"/>
    <w:rsid w:val="008D3B55"/>
    <w:rsid w:val="008D4C72"/>
    <w:rsid w:val="008D5771"/>
    <w:rsid w:val="008D5849"/>
    <w:rsid w:val="008D6093"/>
    <w:rsid w:val="008D6879"/>
    <w:rsid w:val="008D6C19"/>
    <w:rsid w:val="008D7622"/>
    <w:rsid w:val="008D7683"/>
    <w:rsid w:val="008E00AE"/>
    <w:rsid w:val="008E01A0"/>
    <w:rsid w:val="008E02A0"/>
    <w:rsid w:val="008E034A"/>
    <w:rsid w:val="008E044F"/>
    <w:rsid w:val="008E076A"/>
    <w:rsid w:val="008E0C59"/>
    <w:rsid w:val="008E1490"/>
    <w:rsid w:val="008E1891"/>
    <w:rsid w:val="008E2128"/>
    <w:rsid w:val="008E22B0"/>
    <w:rsid w:val="008E2310"/>
    <w:rsid w:val="008E2A36"/>
    <w:rsid w:val="008E3782"/>
    <w:rsid w:val="008E3EE7"/>
    <w:rsid w:val="008E4091"/>
    <w:rsid w:val="008E486D"/>
    <w:rsid w:val="008E4B96"/>
    <w:rsid w:val="008E5434"/>
    <w:rsid w:val="008E5683"/>
    <w:rsid w:val="008E56A1"/>
    <w:rsid w:val="008E5C11"/>
    <w:rsid w:val="008E6B3C"/>
    <w:rsid w:val="008E6E6A"/>
    <w:rsid w:val="008E6F9A"/>
    <w:rsid w:val="008E7276"/>
    <w:rsid w:val="008E75FC"/>
    <w:rsid w:val="008E7945"/>
    <w:rsid w:val="008F0016"/>
    <w:rsid w:val="008F093B"/>
    <w:rsid w:val="008F0977"/>
    <w:rsid w:val="008F0A83"/>
    <w:rsid w:val="008F0BF4"/>
    <w:rsid w:val="008F1BDD"/>
    <w:rsid w:val="008F233A"/>
    <w:rsid w:val="008F37D3"/>
    <w:rsid w:val="008F3F8A"/>
    <w:rsid w:val="008F41C0"/>
    <w:rsid w:val="008F5BE9"/>
    <w:rsid w:val="008F6632"/>
    <w:rsid w:val="008F73BD"/>
    <w:rsid w:val="008F7EB2"/>
    <w:rsid w:val="009002AD"/>
    <w:rsid w:val="00900C04"/>
    <w:rsid w:val="00900E91"/>
    <w:rsid w:val="00901CD7"/>
    <w:rsid w:val="009021A6"/>
    <w:rsid w:val="009022D8"/>
    <w:rsid w:val="00902C0C"/>
    <w:rsid w:val="00902C32"/>
    <w:rsid w:val="00902D9E"/>
    <w:rsid w:val="009030BF"/>
    <w:rsid w:val="00903649"/>
    <w:rsid w:val="00903B52"/>
    <w:rsid w:val="00903E6F"/>
    <w:rsid w:val="0090442D"/>
    <w:rsid w:val="00904555"/>
    <w:rsid w:val="00904618"/>
    <w:rsid w:val="00904B3E"/>
    <w:rsid w:val="009056A7"/>
    <w:rsid w:val="00905952"/>
    <w:rsid w:val="00905C08"/>
    <w:rsid w:val="00905DA7"/>
    <w:rsid w:val="00905F8D"/>
    <w:rsid w:val="0090616A"/>
    <w:rsid w:val="00906A0F"/>
    <w:rsid w:val="00906C01"/>
    <w:rsid w:val="009070A1"/>
    <w:rsid w:val="0090712F"/>
    <w:rsid w:val="009077CB"/>
    <w:rsid w:val="00907EE9"/>
    <w:rsid w:val="0091028C"/>
    <w:rsid w:val="0091032F"/>
    <w:rsid w:val="0091038B"/>
    <w:rsid w:val="00910683"/>
    <w:rsid w:val="009107EF"/>
    <w:rsid w:val="00910E10"/>
    <w:rsid w:val="00910E69"/>
    <w:rsid w:val="00910F44"/>
    <w:rsid w:val="00911499"/>
    <w:rsid w:val="0091180E"/>
    <w:rsid w:val="0091181D"/>
    <w:rsid w:val="00911852"/>
    <w:rsid w:val="009124BA"/>
    <w:rsid w:val="00912C49"/>
    <w:rsid w:val="00912F17"/>
    <w:rsid w:val="0091306D"/>
    <w:rsid w:val="00913589"/>
    <w:rsid w:val="00913791"/>
    <w:rsid w:val="009138FC"/>
    <w:rsid w:val="00913AE9"/>
    <w:rsid w:val="00914368"/>
    <w:rsid w:val="00914455"/>
    <w:rsid w:val="0091520E"/>
    <w:rsid w:val="0091539F"/>
    <w:rsid w:val="00916019"/>
    <w:rsid w:val="0091639A"/>
    <w:rsid w:val="00916AE8"/>
    <w:rsid w:val="00916B42"/>
    <w:rsid w:val="00917135"/>
    <w:rsid w:val="00917313"/>
    <w:rsid w:val="0091788C"/>
    <w:rsid w:val="0091796D"/>
    <w:rsid w:val="00917BFA"/>
    <w:rsid w:val="00917EB7"/>
    <w:rsid w:val="009200D0"/>
    <w:rsid w:val="009200DD"/>
    <w:rsid w:val="0092062E"/>
    <w:rsid w:val="009208F0"/>
    <w:rsid w:val="0092097C"/>
    <w:rsid w:val="00920C1C"/>
    <w:rsid w:val="00921034"/>
    <w:rsid w:val="00921400"/>
    <w:rsid w:val="00921591"/>
    <w:rsid w:val="0092177C"/>
    <w:rsid w:val="00921B8B"/>
    <w:rsid w:val="00921F65"/>
    <w:rsid w:val="00922422"/>
    <w:rsid w:val="009230F5"/>
    <w:rsid w:val="00923BE4"/>
    <w:rsid w:val="00924058"/>
    <w:rsid w:val="00924916"/>
    <w:rsid w:val="00924AD4"/>
    <w:rsid w:val="00924D00"/>
    <w:rsid w:val="00924D89"/>
    <w:rsid w:val="00925126"/>
    <w:rsid w:val="0092553D"/>
    <w:rsid w:val="0093067A"/>
    <w:rsid w:val="00930991"/>
    <w:rsid w:val="00931076"/>
    <w:rsid w:val="009312F3"/>
    <w:rsid w:val="0093148F"/>
    <w:rsid w:val="0093160C"/>
    <w:rsid w:val="009316E7"/>
    <w:rsid w:val="00931C0B"/>
    <w:rsid w:val="00932353"/>
    <w:rsid w:val="00933FE0"/>
    <w:rsid w:val="00934545"/>
    <w:rsid w:val="009345D9"/>
    <w:rsid w:val="00934B15"/>
    <w:rsid w:val="00934DD9"/>
    <w:rsid w:val="00934F7C"/>
    <w:rsid w:val="00935163"/>
    <w:rsid w:val="009353A4"/>
    <w:rsid w:val="009356C6"/>
    <w:rsid w:val="0093570A"/>
    <w:rsid w:val="009358CD"/>
    <w:rsid w:val="00936B4A"/>
    <w:rsid w:val="00936B67"/>
    <w:rsid w:val="00936E4F"/>
    <w:rsid w:val="009374B2"/>
    <w:rsid w:val="009375FF"/>
    <w:rsid w:val="00937AAA"/>
    <w:rsid w:val="00940C87"/>
    <w:rsid w:val="009410FF"/>
    <w:rsid w:val="00941F44"/>
    <w:rsid w:val="00941FB8"/>
    <w:rsid w:val="009421D2"/>
    <w:rsid w:val="0094235E"/>
    <w:rsid w:val="009423E8"/>
    <w:rsid w:val="0094278B"/>
    <w:rsid w:val="00942B62"/>
    <w:rsid w:val="0094327F"/>
    <w:rsid w:val="00943951"/>
    <w:rsid w:val="00943EE9"/>
    <w:rsid w:val="009448A0"/>
    <w:rsid w:val="00945983"/>
    <w:rsid w:val="009459DE"/>
    <w:rsid w:val="009469CF"/>
    <w:rsid w:val="00946BCE"/>
    <w:rsid w:val="00946C2A"/>
    <w:rsid w:val="0094718D"/>
    <w:rsid w:val="00950045"/>
    <w:rsid w:val="00950292"/>
    <w:rsid w:val="009502FE"/>
    <w:rsid w:val="009505C9"/>
    <w:rsid w:val="009507CC"/>
    <w:rsid w:val="00950968"/>
    <w:rsid w:val="00950DC8"/>
    <w:rsid w:val="00951FA7"/>
    <w:rsid w:val="009522AF"/>
    <w:rsid w:val="00952390"/>
    <w:rsid w:val="0095323B"/>
    <w:rsid w:val="009537A4"/>
    <w:rsid w:val="00953A63"/>
    <w:rsid w:val="00953FF5"/>
    <w:rsid w:val="0095414E"/>
    <w:rsid w:val="009542AD"/>
    <w:rsid w:val="00954631"/>
    <w:rsid w:val="00954AEC"/>
    <w:rsid w:val="00954C5E"/>
    <w:rsid w:val="00955133"/>
    <w:rsid w:val="0095576E"/>
    <w:rsid w:val="00955944"/>
    <w:rsid w:val="00955A1A"/>
    <w:rsid w:val="00955B94"/>
    <w:rsid w:val="0095600C"/>
    <w:rsid w:val="00956397"/>
    <w:rsid w:val="0095650B"/>
    <w:rsid w:val="00956A0C"/>
    <w:rsid w:val="00956BD9"/>
    <w:rsid w:val="009577DD"/>
    <w:rsid w:val="00957AE1"/>
    <w:rsid w:val="0096076F"/>
    <w:rsid w:val="00961638"/>
    <w:rsid w:val="009621C2"/>
    <w:rsid w:val="00962200"/>
    <w:rsid w:val="00962489"/>
    <w:rsid w:val="0096255C"/>
    <w:rsid w:val="00962685"/>
    <w:rsid w:val="0096343F"/>
    <w:rsid w:val="00963615"/>
    <w:rsid w:val="00963E2B"/>
    <w:rsid w:val="009641A0"/>
    <w:rsid w:val="009643C7"/>
    <w:rsid w:val="00964707"/>
    <w:rsid w:val="00965441"/>
    <w:rsid w:val="00965751"/>
    <w:rsid w:val="00965ACD"/>
    <w:rsid w:val="00966146"/>
    <w:rsid w:val="009662F7"/>
    <w:rsid w:val="009668AE"/>
    <w:rsid w:val="00966E64"/>
    <w:rsid w:val="00966F63"/>
    <w:rsid w:val="009672C8"/>
    <w:rsid w:val="009674AE"/>
    <w:rsid w:val="00967A8C"/>
    <w:rsid w:val="00967CD3"/>
    <w:rsid w:val="009701D8"/>
    <w:rsid w:val="00970619"/>
    <w:rsid w:val="009707C3"/>
    <w:rsid w:val="00970EDB"/>
    <w:rsid w:val="00970F1B"/>
    <w:rsid w:val="00972176"/>
    <w:rsid w:val="009728CB"/>
    <w:rsid w:val="00972994"/>
    <w:rsid w:val="00972C5F"/>
    <w:rsid w:val="009732AB"/>
    <w:rsid w:val="0097330F"/>
    <w:rsid w:val="009752E8"/>
    <w:rsid w:val="00975CB5"/>
    <w:rsid w:val="00976AC5"/>
    <w:rsid w:val="00976C7C"/>
    <w:rsid w:val="00976DCF"/>
    <w:rsid w:val="00976F67"/>
    <w:rsid w:val="009770DA"/>
    <w:rsid w:val="009778F7"/>
    <w:rsid w:val="00977DFB"/>
    <w:rsid w:val="00980B2B"/>
    <w:rsid w:val="009820C6"/>
    <w:rsid w:val="0098282E"/>
    <w:rsid w:val="00982AD1"/>
    <w:rsid w:val="00983177"/>
    <w:rsid w:val="0098333C"/>
    <w:rsid w:val="009855F8"/>
    <w:rsid w:val="009858F6"/>
    <w:rsid w:val="00985D93"/>
    <w:rsid w:val="009870C9"/>
    <w:rsid w:val="00990447"/>
    <w:rsid w:val="00990A7E"/>
    <w:rsid w:val="00990C2C"/>
    <w:rsid w:val="009915B5"/>
    <w:rsid w:val="00991C4C"/>
    <w:rsid w:val="00992341"/>
    <w:rsid w:val="00992737"/>
    <w:rsid w:val="0099293F"/>
    <w:rsid w:val="0099328A"/>
    <w:rsid w:val="00993518"/>
    <w:rsid w:val="00994DC4"/>
    <w:rsid w:val="009959AE"/>
    <w:rsid w:val="00996039"/>
    <w:rsid w:val="00996266"/>
    <w:rsid w:val="0099630E"/>
    <w:rsid w:val="009965B6"/>
    <w:rsid w:val="0099721B"/>
    <w:rsid w:val="009972F3"/>
    <w:rsid w:val="00997593"/>
    <w:rsid w:val="00997856"/>
    <w:rsid w:val="00997D6C"/>
    <w:rsid w:val="00997E1C"/>
    <w:rsid w:val="009A008A"/>
    <w:rsid w:val="009A03ED"/>
    <w:rsid w:val="009A13BA"/>
    <w:rsid w:val="009A13C7"/>
    <w:rsid w:val="009A1714"/>
    <w:rsid w:val="009A1769"/>
    <w:rsid w:val="009A2789"/>
    <w:rsid w:val="009A33E6"/>
    <w:rsid w:val="009A3412"/>
    <w:rsid w:val="009A344D"/>
    <w:rsid w:val="009A3545"/>
    <w:rsid w:val="009A3618"/>
    <w:rsid w:val="009A417A"/>
    <w:rsid w:val="009A4421"/>
    <w:rsid w:val="009A450B"/>
    <w:rsid w:val="009A46A6"/>
    <w:rsid w:val="009A50C7"/>
    <w:rsid w:val="009A5171"/>
    <w:rsid w:val="009A5624"/>
    <w:rsid w:val="009A5756"/>
    <w:rsid w:val="009A57DD"/>
    <w:rsid w:val="009A5CBF"/>
    <w:rsid w:val="009A5D16"/>
    <w:rsid w:val="009A60C9"/>
    <w:rsid w:val="009A640E"/>
    <w:rsid w:val="009A68A4"/>
    <w:rsid w:val="009A7BA7"/>
    <w:rsid w:val="009B00DE"/>
    <w:rsid w:val="009B07C8"/>
    <w:rsid w:val="009B0A79"/>
    <w:rsid w:val="009B11D9"/>
    <w:rsid w:val="009B15C0"/>
    <w:rsid w:val="009B18A2"/>
    <w:rsid w:val="009B19DB"/>
    <w:rsid w:val="009B1B42"/>
    <w:rsid w:val="009B1EF2"/>
    <w:rsid w:val="009B240F"/>
    <w:rsid w:val="009B2899"/>
    <w:rsid w:val="009B29BA"/>
    <w:rsid w:val="009B2C32"/>
    <w:rsid w:val="009B347B"/>
    <w:rsid w:val="009B35EF"/>
    <w:rsid w:val="009B377F"/>
    <w:rsid w:val="009B3878"/>
    <w:rsid w:val="009B39E1"/>
    <w:rsid w:val="009B3C3A"/>
    <w:rsid w:val="009B4018"/>
    <w:rsid w:val="009B4119"/>
    <w:rsid w:val="009B465A"/>
    <w:rsid w:val="009B4940"/>
    <w:rsid w:val="009B4A8D"/>
    <w:rsid w:val="009B4AA0"/>
    <w:rsid w:val="009B4C1A"/>
    <w:rsid w:val="009B5655"/>
    <w:rsid w:val="009B58E0"/>
    <w:rsid w:val="009B5942"/>
    <w:rsid w:val="009B5D99"/>
    <w:rsid w:val="009B62BE"/>
    <w:rsid w:val="009B6BC1"/>
    <w:rsid w:val="009B6CA1"/>
    <w:rsid w:val="009B7094"/>
    <w:rsid w:val="009B74EE"/>
    <w:rsid w:val="009B75AC"/>
    <w:rsid w:val="009B7EBB"/>
    <w:rsid w:val="009C05FD"/>
    <w:rsid w:val="009C07F7"/>
    <w:rsid w:val="009C0CC4"/>
    <w:rsid w:val="009C1090"/>
    <w:rsid w:val="009C1253"/>
    <w:rsid w:val="009C1379"/>
    <w:rsid w:val="009C1677"/>
    <w:rsid w:val="009C19E4"/>
    <w:rsid w:val="009C22FF"/>
    <w:rsid w:val="009C27BA"/>
    <w:rsid w:val="009C2A53"/>
    <w:rsid w:val="009C2E2C"/>
    <w:rsid w:val="009C2F2D"/>
    <w:rsid w:val="009C343D"/>
    <w:rsid w:val="009C3830"/>
    <w:rsid w:val="009C3BBB"/>
    <w:rsid w:val="009C41DC"/>
    <w:rsid w:val="009C486B"/>
    <w:rsid w:val="009C559D"/>
    <w:rsid w:val="009C67F3"/>
    <w:rsid w:val="009C6E0F"/>
    <w:rsid w:val="009C7223"/>
    <w:rsid w:val="009C7F82"/>
    <w:rsid w:val="009D068F"/>
    <w:rsid w:val="009D07A2"/>
    <w:rsid w:val="009D2384"/>
    <w:rsid w:val="009D2462"/>
    <w:rsid w:val="009D250B"/>
    <w:rsid w:val="009D2F02"/>
    <w:rsid w:val="009D321F"/>
    <w:rsid w:val="009D34CC"/>
    <w:rsid w:val="009D3A7F"/>
    <w:rsid w:val="009D3BE0"/>
    <w:rsid w:val="009D3EA3"/>
    <w:rsid w:val="009D4551"/>
    <w:rsid w:val="009D46C5"/>
    <w:rsid w:val="009D5AAC"/>
    <w:rsid w:val="009D64E0"/>
    <w:rsid w:val="009D66D5"/>
    <w:rsid w:val="009D6A68"/>
    <w:rsid w:val="009D6BE0"/>
    <w:rsid w:val="009D75AD"/>
    <w:rsid w:val="009D75F5"/>
    <w:rsid w:val="009D76B5"/>
    <w:rsid w:val="009E047F"/>
    <w:rsid w:val="009E049D"/>
    <w:rsid w:val="009E04B1"/>
    <w:rsid w:val="009E1008"/>
    <w:rsid w:val="009E1355"/>
    <w:rsid w:val="009E1804"/>
    <w:rsid w:val="009E1843"/>
    <w:rsid w:val="009E1844"/>
    <w:rsid w:val="009E1CAD"/>
    <w:rsid w:val="009E3534"/>
    <w:rsid w:val="009E3A8F"/>
    <w:rsid w:val="009E405D"/>
    <w:rsid w:val="009E4279"/>
    <w:rsid w:val="009E44E7"/>
    <w:rsid w:val="009E480E"/>
    <w:rsid w:val="009E48BC"/>
    <w:rsid w:val="009E49AE"/>
    <w:rsid w:val="009E4E6D"/>
    <w:rsid w:val="009E5392"/>
    <w:rsid w:val="009E547E"/>
    <w:rsid w:val="009E5ABB"/>
    <w:rsid w:val="009E5F37"/>
    <w:rsid w:val="009E5F8C"/>
    <w:rsid w:val="009E62BE"/>
    <w:rsid w:val="009E65EA"/>
    <w:rsid w:val="009E6B11"/>
    <w:rsid w:val="009E6DBF"/>
    <w:rsid w:val="009E78F4"/>
    <w:rsid w:val="009E7CA4"/>
    <w:rsid w:val="009F0013"/>
    <w:rsid w:val="009F077E"/>
    <w:rsid w:val="009F07BC"/>
    <w:rsid w:val="009F0BEB"/>
    <w:rsid w:val="009F0D1B"/>
    <w:rsid w:val="009F0E4F"/>
    <w:rsid w:val="009F1B2F"/>
    <w:rsid w:val="009F1C10"/>
    <w:rsid w:val="009F3A4C"/>
    <w:rsid w:val="009F41DE"/>
    <w:rsid w:val="009F447F"/>
    <w:rsid w:val="009F4D76"/>
    <w:rsid w:val="009F53DD"/>
    <w:rsid w:val="009F5B04"/>
    <w:rsid w:val="009F5BBD"/>
    <w:rsid w:val="009F5DA0"/>
    <w:rsid w:val="009F5DC3"/>
    <w:rsid w:val="009F696D"/>
    <w:rsid w:val="009F6BC6"/>
    <w:rsid w:val="009F714E"/>
    <w:rsid w:val="009F7460"/>
    <w:rsid w:val="009F74EF"/>
    <w:rsid w:val="009F767B"/>
    <w:rsid w:val="009F7D42"/>
    <w:rsid w:val="009F7EFB"/>
    <w:rsid w:val="00A006B7"/>
    <w:rsid w:val="00A01030"/>
    <w:rsid w:val="00A01624"/>
    <w:rsid w:val="00A017B3"/>
    <w:rsid w:val="00A01E56"/>
    <w:rsid w:val="00A02293"/>
    <w:rsid w:val="00A0249C"/>
    <w:rsid w:val="00A02826"/>
    <w:rsid w:val="00A02954"/>
    <w:rsid w:val="00A02969"/>
    <w:rsid w:val="00A029E9"/>
    <w:rsid w:val="00A0353F"/>
    <w:rsid w:val="00A03607"/>
    <w:rsid w:val="00A04BE5"/>
    <w:rsid w:val="00A04F00"/>
    <w:rsid w:val="00A0501E"/>
    <w:rsid w:val="00A050D8"/>
    <w:rsid w:val="00A055F2"/>
    <w:rsid w:val="00A05FB1"/>
    <w:rsid w:val="00A06D31"/>
    <w:rsid w:val="00A07E68"/>
    <w:rsid w:val="00A10270"/>
    <w:rsid w:val="00A104AD"/>
    <w:rsid w:val="00A1073F"/>
    <w:rsid w:val="00A108C7"/>
    <w:rsid w:val="00A110B7"/>
    <w:rsid w:val="00A11485"/>
    <w:rsid w:val="00A1210B"/>
    <w:rsid w:val="00A12722"/>
    <w:rsid w:val="00A12745"/>
    <w:rsid w:val="00A12910"/>
    <w:rsid w:val="00A129FB"/>
    <w:rsid w:val="00A14151"/>
    <w:rsid w:val="00A1442C"/>
    <w:rsid w:val="00A147E7"/>
    <w:rsid w:val="00A14A3B"/>
    <w:rsid w:val="00A153B3"/>
    <w:rsid w:val="00A1559B"/>
    <w:rsid w:val="00A15C59"/>
    <w:rsid w:val="00A15D5A"/>
    <w:rsid w:val="00A15D66"/>
    <w:rsid w:val="00A1684F"/>
    <w:rsid w:val="00A170D2"/>
    <w:rsid w:val="00A17328"/>
    <w:rsid w:val="00A178F7"/>
    <w:rsid w:val="00A17A2F"/>
    <w:rsid w:val="00A17FDE"/>
    <w:rsid w:val="00A2034D"/>
    <w:rsid w:val="00A2043E"/>
    <w:rsid w:val="00A2079D"/>
    <w:rsid w:val="00A208D3"/>
    <w:rsid w:val="00A210E9"/>
    <w:rsid w:val="00A211D7"/>
    <w:rsid w:val="00A214E4"/>
    <w:rsid w:val="00A21591"/>
    <w:rsid w:val="00A21D7E"/>
    <w:rsid w:val="00A21FCC"/>
    <w:rsid w:val="00A22975"/>
    <w:rsid w:val="00A22EA3"/>
    <w:rsid w:val="00A22F60"/>
    <w:rsid w:val="00A23A20"/>
    <w:rsid w:val="00A23D72"/>
    <w:rsid w:val="00A24443"/>
    <w:rsid w:val="00A24451"/>
    <w:rsid w:val="00A24559"/>
    <w:rsid w:val="00A24567"/>
    <w:rsid w:val="00A25066"/>
    <w:rsid w:val="00A25079"/>
    <w:rsid w:val="00A253E7"/>
    <w:rsid w:val="00A256DC"/>
    <w:rsid w:val="00A25E98"/>
    <w:rsid w:val="00A25FB9"/>
    <w:rsid w:val="00A25FDB"/>
    <w:rsid w:val="00A26314"/>
    <w:rsid w:val="00A2636A"/>
    <w:rsid w:val="00A2674B"/>
    <w:rsid w:val="00A268B9"/>
    <w:rsid w:val="00A2703A"/>
    <w:rsid w:val="00A2723A"/>
    <w:rsid w:val="00A3020A"/>
    <w:rsid w:val="00A304C8"/>
    <w:rsid w:val="00A309AE"/>
    <w:rsid w:val="00A30CDB"/>
    <w:rsid w:val="00A31066"/>
    <w:rsid w:val="00A31161"/>
    <w:rsid w:val="00A31479"/>
    <w:rsid w:val="00A329E4"/>
    <w:rsid w:val="00A32E24"/>
    <w:rsid w:val="00A32F01"/>
    <w:rsid w:val="00A3377D"/>
    <w:rsid w:val="00A33B6D"/>
    <w:rsid w:val="00A33DFF"/>
    <w:rsid w:val="00A33E1F"/>
    <w:rsid w:val="00A34275"/>
    <w:rsid w:val="00A35115"/>
    <w:rsid w:val="00A35871"/>
    <w:rsid w:val="00A35B7D"/>
    <w:rsid w:val="00A35E88"/>
    <w:rsid w:val="00A364EB"/>
    <w:rsid w:val="00A36555"/>
    <w:rsid w:val="00A368AB"/>
    <w:rsid w:val="00A36982"/>
    <w:rsid w:val="00A36D9A"/>
    <w:rsid w:val="00A36F7A"/>
    <w:rsid w:val="00A37ECC"/>
    <w:rsid w:val="00A4164D"/>
    <w:rsid w:val="00A417A9"/>
    <w:rsid w:val="00A41B55"/>
    <w:rsid w:val="00A41D9D"/>
    <w:rsid w:val="00A42448"/>
    <w:rsid w:val="00A424EB"/>
    <w:rsid w:val="00A4257C"/>
    <w:rsid w:val="00A4271F"/>
    <w:rsid w:val="00A42DA8"/>
    <w:rsid w:val="00A42EB1"/>
    <w:rsid w:val="00A42F23"/>
    <w:rsid w:val="00A439D3"/>
    <w:rsid w:val="00A43ACC"/>
    <w:rsid w:val="00A43CC8"/>
    <w:rsid w:val="00A43ED9"/>
    <w:rsid w:val="00A448E8"/>
    <w:rsid w:val="00A4490F"/>
    <w:rsid w:val="00A45089"/>
    <w:rsid w:val="00A451DC"/>
    <w:rsid w:val="00A45519"/>
    <w:rsid w:val="00A46092"/>
    <w:rsid w:val="00A46180"/>
    <w:rsid w:val="00A46194"/>
    <w:rsid w:val="00A46AD0"/>
    <w:rsid w:val="00A46CD6"/>
    <w:rsid w:val="00A474C2"/>
    <w:rsid w:val="00A474C8"/>
    <w:rsid w:val="00A50078"/>
    <w:rsid w:val="00A505E6"/>
    <w:rsid w:val="00A50995"/>
    <w:rsid w:val="00A51E00"/>
    <w:rsid w:val="00A52C73"/>
    <w:rsid w:val="00A536AA"/>
    <w:rsid w:val="00A53DEA"/>
    <w:rsid w:val="00A53DFA"/>
    <w:rsid w:val="00A544E8"/>
    <w:rsid w:val="00A544FB"/>
    <w:rsid w:val="00A549D9"/>
    <w:rsid w:val="00A54C35"/>
    <w:rsid w:val="00A550C1"/>
    <w:rsid w:val="00A5516F"/>
    <w:rsid w:val="00A554AB"/>
    <w:rsid w:val="00A55837"/>
    <w:rsid w:val="00A55861"/>
    <w:rsid w:val="00A55DD7"/>
    <w:rsid w:val="00A55DEC"/>
    <w:rsid w:val="00A57062"/>
    <w:rsid w:val="00A574AC"/>
    <w:rsid w:val="00A577AC"/>
    <w:rsid w:val="00A57D96"/>
    <w:rsid w:val="00A57FA4"/>
    <w:rsid w:val="00A609E6"/>
    <w:rsid w:val="00A611C2"/>
    <w:rsid w:val="00A617D6"/>
    <w:rsid w:val="00A61D9E"/>
    <w:rsid w:val="00A61F22"/>
    <w:rsid w:val="00A61F7C"/>
    <w:rsid w:val="00A6205E"/>
    <w:rsid w:val="00A629B4"/>
    <w:rsid w:val="00A6336A"/>
    <w:rsid w:val="00A63723"/>
    <w:rsid w:val="00A63838"/>
    <w:rsid w:val="00A63C57"/>
    <w:rsid w:val="00A646C5"/>
    <w:rsid w:val="00A64791"/>
    <w:rsid w:val="00A64F34"/>
    <w:rsid w:val="00A65455"/>
    <w:rsid w:val="00A6579C"/>
    <w:rsid w:val="00A658A6"/>
    <w:rsid w:val="00A658D2"/>
    <w:rsid w:val="00A65CC0"/>
    <w:rsid w:val="00A661F7"/>
    <w:rsid w:val="00A6698A"/>
    <w:rsid w:val="00A6753E"/>
    <w:rsid w:val="00A67637"/>
    <w:rsid w:val="00A67781"/>
    <w:rsid w:val="00A679D4"/>
    <w:rsid w:val="00A70283"/>
    <w:rsid w:val="00A706D3"/>
    <w:rsid w:val="00A70882"/>
    <w:rsid w:val="00A70D05"/>
    <w:rsid w:val="00A7229E"/>
    <w:rsid w:val="00A7270D"/>
    <w:rsid w:val="00A72CBB"/>
    <w:rsid w:val="00A735CA"/>
    <w:rsid w:val="00A738E0"/>
    <w:rsid w:val="00A74695"/>
    <w:rsid w:val="00A74EE9"/>
    <w:rsid w:val="00A75066"/>
    <w:rsid w:val="00A752C9"/>
    <w:rsid w:val="00A7535A"/>
    <w:rsid w:val="00A75DD0"/>
    <w:rsid w:val="00A761F9"/>
    <w:rsid w:val="00A763D8"/>
    <w:rsid w:val="00A76717"/>
    <w:rsid w:val="00A76C2C"/>
    <w:rsid w:val="00A76CED"/>
    <w:rsid w:val="00A76EF5"/>
    <w:rsid w:val="00A76F5A"/>
    <w:rsid w:val="00A8009C"/>
    <w:rsid w:val="00A80A4A"/>
    <w:rsid w:val="00A80F9A"/>
    <w:rsid w:val="00A8185C"/>
    <w:rsid w:val="00A820BD"/>
    <w:rsid w:val="00A825C1"/>
    <w:rsid w:val="00A82F9A"/>
    <w:rsid w:val="00A8350F"/>
    <w:rsid w:val="00A83713"/>
    <w:rsid w:val="00A83A34"/>
    <w:rsid w:val="00A845C6"/>
    <w:rsid w:val="00A84820"/>
    <w:rsid w:val="00A848D7"/>
    <w:rsid w:val="00A84B9B"/>
    <w:rsid w:val="00A8618A"/>
    <w:rsid w:val="00A8663C"/>
    <w:rsid w:val="00A8664C"/>
    <w:rsid w:val="00A8728C"/>
    <w:rsid w:val="00A87A6C"/>
    <w:rsid w:val="00A87B50"/>
    <w:rsid w:val="00A900DA"/>
    <w:rsid w:val="00A90AA1"/>
    <w:rsid w:val="00A90AFD"/>
    <w:rsid w:val="00A90D3E"/>
    <w:rsid w:val="00A913B0"/>
    <w:rsid w:val="00A91F98"/>
    <w:rsid w:val="00A92B53"/>
    <w:rsid w:val="00A92F35"/>
    <w:rsid w:val="00A932C0"/>
    <w:rsid w:val="00A93877"/>
    <w:rsid w:val="00A93C5B"/>
    <w:rsid w:val="00A93CE3"/>
    <w:rsid w:val="00A94A00"/>
    <w:rsid w:val="00A94B55"/>
    <w:rsid w:val="00A94DAF"/>
    <w:rsid w:val="00A94FA6"/>
    <w:rsid w:val="00A9552C"/>
    <w:rsid w:val="00A955E9"/>
    <w:rsid w:val="00A96135"/>
    <w:rsid w:val="00A964A1"/>
    <w:rsid w:val="00A96C9D"/>
    <w:rsid w:val="00A97050"/>
    <w:rsid w:val="00A97708"/>
    <w:rsid w:val="00A97CD5"/>
    <w:rsid w:val="00AA0352"/>
    <w:rsid w:val="00AA0B48"/>
    <w:rsid w:val="00AA1929"/>
    <w:rsid w:val="00AA1A42"/>
    <w:rsid w:val="00AA1B7D"/>
    <w:rsid w:val="00AA2800"/>
    <w:rsid w:val="00AA2B50"/>
    <w:rsid w:val="00AA2E96"/>
    <w:rsid w:val="00AA3EBD"/>
    <w:rsid w:val="00AA4396"/>
    <w:rsid w:val="00AA49A0"/>
    <w:rsid w:val="00AA500E"/>
    <w:rsid w:val="00AA5225"/>
    <w:rsid w:val="00AA57C9"/>
    <w:rsid w:val="00AA5BAB"/>
    <w:rsid w:val="00AA5D0A"/>
    <w:rsid w:val="00AA5D2B"/>
    <w:rsid w:val="00AA60BA"/>
    <w:rsid w:val="00AA6232"/>
    <w:rsid w:val="00AA631E"/>
    <w:rsid w:val="00AA66C3"/>
    <w:rsid w:val="00AA6710"/>
    <w:rsid w:val="00AA699E"/>
    <w:rsid w:val="00AA6E9B"/>
    <w:rsid w:val="00AA7AAA"/>
    <w:rsid w:val="00AA7CDD"/>
    <w:rsid w:val="00AA7F30"/>
    <w:rsid w:val="00AB0681"/>
    <w:rsid w:val="00AB07EA"/>
    <w:rsid w:val="00AB104E"/>
    <w:rsid w:val="00AB12D4"/>
    <w:rsid w:val="00AB20E8"/>
    <w:rsid w:val="00AB33A4"/>
    <w:rsid w:val="00AB34BB"/>
    <w:rsid w:val="00AB3DE9"/>
    <w:rsid w:val="00AB3F69"/>
    <w:rsid w:val="00AB4CDD"/>
    <w:rsid w:val="00AB526A"/>
    <w:rsid w:val="00AB53CE"/>
    <w:rsid w:val="00AB5419"/>
    <w:rsid w:val="00AB5451"/>
    <w:rsid w:val="00AB5A34"/>
    <w:rsid w:val="00AB6082"/>
    <w:rsid w:val="00AB609C"/>
    <w:rsid w:val="00AB6546"/>
    <w:rsid w:val="00AB693D"/>
    <w:rsid w:val="00AB6C22"/>
    <w:rsid w:val="00AB6F26"/>
    <w:rsid w:val="00AB7003"/>
    <w:rsid w:val="00AC061E"/>
    <w:rsid w:val="00AC1C9B"/>
    <w:rsid w:val="00AC26F8"/>
    <w:rsid w:val="00AC2927"/>
    <w:rsid w:val="00AC37B6"/>
    <w:rsid w:val="00AC3A15"/>
    <w:rsid w:val="00AC4049"/>
    <w:rsid w:val="00AC4A08"/>
    <w:rsid w:val="00AC4E0E"/>
    <w:rsid w:val="00AC5355"/>
    <w:rsid w:val="00AC56DA"/>
    <w:rsid w:val="00AC5910"/>
    <w:rsid w:val="00AC636C"/>
    <w:rsid w:val="00AC65C0"/>
    <w:rsid w:val="00AC6DBA"/>
    <w:rsid w:val="00AC6F97"/>
    <w:rsid w:val="00AC76E7"/>
    <w:rsid w:val="00AC78FC"/>
    <w:rsid w:val="00AC7DA5"/>
    <w:rsid w:val="00AD02CD"/>
    <w:rsid w:val="00AD1DC5"/>
    <w:rsid w:val="00AD292B"/>
    <w:rsid w:val="00AD2D13"/>
    <w:rsid w:val="00AD2FFC"/>
    <w:rsid w:val="00AD387A"/>
    <w:rsid w:val="00AD3C1C"/>
    <w:rsid w:val="00AD4136"/>
    <w:rsid w:val="00AD4671"/>
    <w:rsid w:val="00AD515A"/>
    <w:rsid w:val="00AD520B"/>
    <w:rsid w:val="00AD68C3"/>
    <w:rsid w:val="00AD69E8"/>
    <w:rsid w:val="00AD6CCD"/>
    <w:rsid w:val="00AD7C1B"/>
    <w:rsid w:val="00AE0390"/>
    <w:rsid w:val="00AE04FF"/>
    <w:rsid w:val="00AE0AC8"/>
    <w:rsid w:val="00AE0D1D"/>
    <w:rsid w:val="00AE0DEA"/>
    <w:rsid w:val="00AE0EC2"/>
    <w:rsid w:val="00AE115D"/>
    <w:rsid w:val="00AE1386"/>
    <w:rsid w:val="00AE1598"/>
    <w:rsid w:val="00AE1A33"/>
    <w:rsid w:val="00AE1BE2"/>
    <w:rsid w:val="00AE1C82"/>
    <w:rsid w:val="00AE214E"/>
    <w:rsid w:val="00AE28A7"/>
    <w:rsid w:val="00AE2C2B"/>
    <w:rsid w:val="00AE2FE2"/>
    <w:rsid w:val="00AE326B"/>
    <w:rsid w:val="00AE337D"/>
    <w:rsid w:val="00AE3BCC"/>
    <w:rsid w:val="00AE4742"/>
    <w:rsid w:val="00AE4864"/>
    <w:rsid w:val="00AE4CB0"/>
    <w:rsid w:val="00AE6027"/>
    <w:rsid w:val="00AE6310"/>
    <w:rsid w:val="00AE6334"/>
    <w:rsid w:val="00AE65AE"/>
    <w:rsid w:val="00AE65B2"/>
    <w:rsid w:val="00AE67BC"/>
    <w:rsid w:val="00AE781C"/>
    <w:rsid w:val="00AE7B21"/>
    <w:rsid w:val="00AF0072"/>
    <w:rsid w:val="00AF020F"/>
    <w:rsid w:val="00AF0306"/>
    <w:rsid w:val="00AF0D80"/>
    <w:rsid w:val="00AF1004"/>
    <w:rsid w:val="00AF1583"/>
    <w:rsid w:val="00AF1C72"/>
    <w:rsid w:val="00AF1DDA"/>
    <w:rsid w:val="00AF2BC8"/>
    <w:rsid w:val="00AF2F19"/>
    <w:rsid w:val="00AF30EC"/>
    <w:rsid w:val="00AF428B"/>
    <w:rsid w:val="00AF4EA8"/>
    <w:rsid w:val="00AF517F"/>
    <w:rsid w:val="00AF5A4F"/>
    <w:rsid w:val="00AF6A4F"/>
    <w:rsid w:val="00AF6E85"/>
    <w:rsid w:val="00AF7350"/>
    <w:rsid w:val="00AF7408"/>
    <w:rsid w:val="00AF751E"/>
    <w:rsid w:val="00AF7878"/>
    <w:rsid w:val="00AF7DAC"/>
    <w:rsid w:val="00B0005F"/>
    <w:rsid w:val="00B00563"/>
    <w:rsid w:val="00B0112E"/>
    <w:rsid w:val="00B0156A"/>
    <w:rsid w:val="00B01682"/>
    <w:rsid w:val="00B01685"/>
    <w:rsid w:val="00B01777"/>
    <w:rsid w:val="00B01833"/>
    <w:rsid w:val="00B02393"/>
    <w:rsid w:val="00B02878"/>
    <w:rsid w:val="00B02BCB"/>
    <w:rsid w:val="00B0322B"/>
    <w:rsid w:val="00B03B27"/>
    <w:rsid w:val="00B03BCD"/>
    <w:rsid w:val="00B0455E"/>
    <w:rsid w:val="00B048BC"/>
    <w:rsid w:val="00B04B5E"/>
    <w:rsid w:val="00B04C90"/>
    <w:rsid w:val="00B04F8B"/>
    <w:rsid w:val="00B05A45"/>
    <w:rsid w:val="00B05A48"/>
    <w:rsid w:val="00B05C8E"/>
    <w:rsid w:val="00B06179"/>
    <w:rsid w:val="00B069D4"/>
    <w:rsid w:val="00B06ACC"/>
    <w:rsid w:val="00B06AD2"/>
    <w:rsid w:val="00B0783B"/>
    <w:rsid w:val="00B07DA3"/>
    <w:rsid w:val="00B1010B"/>
    <w:rsid w:val="00B103D4"/>
    <w:rsid w:val="00B10B3E"/>
    <w:rsid w:val="00B1107A"/>
    <w:rsid w:val="00B117F5"/>
    <w:rsid w:val="00B11D65"/>
    <w:rsid w:val="00B1208B"/>
    <w:rsid w:val="00B12504"/>
    <w:rsid w:val="00B12BEE"/>
    <w:rsid w:val="00B135E6"/>
    <w:rsid w:val="00B13756"/>
    <w:rsid w:val="00B13A90"/>
    <w:rsid w:val="00B13B9B"/>
    <w:rsid w:val="00B13C0B"/>
    <w:rsid w:val="00B14B76"/>
    <w:rsid w:val="00B14F41"/>
    <w:rsid w:val="00B150C0"/>
    <w:rsid w:val="00B150E1"/>
    <w:rsid w:val="00B15404"/>
    <w:rsid w:val="00B154ED"/>
    <w:rsid w:val="00B15F49"/>
    <w:rsid w:val="00B16440"/>
    <w:rsid w:val="00B169A9"/>
    <w:rsid w:val="00B170B0"/>
    <w:rsid w:val="00B1714B"/>
    <w:rsid w:val="00B20504"/>
    <w:rsid w:val="00B2153E"/>
    <w:rsid w:val="00B21A53"/>
    <w:rsid w:val="00B21CA5"/>
    <w:rsid w:val="00B21EB9"/>
    <w:rsid w:val="00B21FB0"/>
    <w:rsid w:val="00B21FB1"/>
    <w:rsid w:val="00B22371"/>
    <w:rsid w:val="00B224D1"/>
    <w:rsid w:val="00B22521"/>
    <w:rsid w:val="00B22884"/>
    <w:rsid w:val="00B22A4B"/>
    <w:rsid w:val="00B22CF9"/>
    <w:rsid w:val="00B231DF"/>
    <w:rsid w:val="00B231E9"/>
    <w:rsid w:val="00B234C0"/>
    <w:rsid w:val="00B23627"/>
    <w:rsid w:val="00B2406B"/>
    <w:rsid w:val="00B24CF8"/>
    <w:rsid w:val="00B24EEB"/>
    <w:rsid w:val="00B24F07"/>
    <w:rsid w:val="00B25AF4"/>
    <w:rsid w:val="00B25C6A"/>
    <w:rsid w:val="00B25D98"/>
    <w:rsid w:val="00B261B0"/>
    <w:rsid w:val="00B2708B"/>
    <w:rsid w:val="00B2730B"/>
    <w:rsid w:val="00B27995"/>
    <w:rsid w:val="00B3030B"/>
    <w:rsid w:val="00B3049C"/>
    <w:rsid w:val="00B3093A"/>
    <w:rsid w:val="00B30985"/>
    <w:rsid w:val="00B3103C"/>
    <w:rsid w:val="00B31D44"/>
    <w:rsid w:val="00B31F7E"/>
    <w:rsid w:val="00B3207B"/>
    <w:rsid w:val="00B32652"/>
    <w:rsid w:val="00B3271D"/>
    <w:rsid w:val="00B32918"/>
    <w:rsid w:val="00B32B00"/>
    <w:rsid w:val="00B3305F"/>
    <w:rsid w:val="00B3342D"/>
    <w:rsid w:val="00B3434D"/>
    <w:rsid w:val="00B345C1"/>
    <w:rsid w:val="00B34603"/>
    <w:rsid w:val="00B346BB"/>
    <w:rsid w:val="00B349B0"/>
    <w:rsid w:val="00B34B8C"/>
    <w:rsid w:val="00B34E04"/>
    <w:rsid w:val="00B3518D"/>
    <w:rsid w:val="00B36334"/>
    <w:rsid w:val="00B364E1"/>
    <w:rsid w:val="00B36CA3"/>
    <w:rsid w:val="00B37677"/>
    <w:rsid w:val="00B3788B"/>
    <w:rsid w:val="00B37CCD"/>
    <w:rsid w:val="00B37F32"/>
    <w:rsid w:val="00B40725"/>
    <w:rsid w:val="00B40C18"/>
    <w:rsid w:val="00B40D0F"/>
    <w:rsid w:val="00B41788"/>
    <w:rsid w:val="00B41BE6"/>
    <w:rsid w:val="00B41C75"/>
    <w:rsid w:val="00B41C91"/>
    <w:rsid w:val="00B41E06"/>
    <w:rsid w:val="00B425C3"/>
    <w:rsid w:val="00B428DF"/>
    <w:rsid w:val="00B42DB4"/>
    <w:rsid w:val="00B42E05"/>
    <w:rsid w:val="00B4373D"/>
    <w:rsid w:val="00B438CD"/>
    <w:rsid w:val="00B4397D"/>
    <w:rsid w:val="00B43F7B"/>
    <w:rsid w:val="00B440AD"/>
    <w:rsid w:val="00B44605"/>
    <w:rsid w:val="00B447F4"/>
    <w:rsid w:val="00B44BB8"/>
    <w:rsid w:val="00B44DDF"/>
    <w:rsid w:val="00B455ED"/>
    <w:rsid w:val="00B45B49"/>
    <w:rsid w:val="00B46094"/>
    <w:rsid w:val="00B4633B"/>
    <w:rsid w:val="00B463E8"/>
    <w:rsid w:val="00B46784"/>
    <w:rsid w:val="00B46D19"/>
    <w:rsid w:val="00B46DC1"/>
    <w:rsid w:val="00B46FAC"/>
    <w:rsid w:val="00B471A4"/>
    <w:rsid w:val="00B479BB"/>
    <w:rsid w:val="00B504A7"/>
    <w:rsid w:val="00B50A12"/>
    <w:rsid w:val="00B50D4E"/>
    <w:rsid w:val="00B51086"/>
    <w:rsid w:val="00B51193"/>
    <w:rsid w:val="00B5139E"/>
    <w:rsid w:val="00B5139F"/>
    <w:rsid w:val="00B5182A"/>
    <w:rsid w:val="00B51E05"/>
    <w:rsid w:val="00B522A7"/>
    <w:rsid w:val="00B52367"/>
    <w:rsid w:val="00B533F2"/>
    <w:rsid w:val="00B53E7E"/>
    <w:rsid w:val="00B53EA7"/>
    <w:rsid w:val="00B53F4B"/>
    <w:rsid w:val="00B5426E"/>
    <w:rsid w:val="00B55569"/>
    <w:rsid w:val="00B55A49"/>
    <w:rsid w:val="00B55FA1"/>
    <w:rsid w:val="00B55FA2"/>
    <w:rsid w:val="00B56562"/>
    <w:rsid w:val="00B568F8"/>
    <w:rsid w:val="00B578DF"/>
    <w:rsid w:val="00B57AFC"/>
    <w:rsid w:val="00B57FA7"/>
    <w:rsid w:val="00B6010E"/>
    <w:rsid w:val="00B60184"/>
    <w:rsid w:val="00B60373"/>
    <w:rsid w:val="00B605EC"/>
    <w:rsid w:val="00B60690"/>
    <w:rsid w:val="00B6071E"/>
    <w:rsid w:val="00B61170"/>
    <w:rsid w:val="00B61233"/>
    <w:rsid w:val="00B614FF"/>
    <w:rsid w:val="00B61654"/>
    <w:rsid w:val="00B61D65"/>
    <w:rsid w:val="00B6201A"/>
    <w:rsid w:val="00B62937"/>
    <w:rsid w:val="00B62E53"/>
    <w:rsid w:val="00B62E73"/>
    <w:rsid w:val="00B62EB4"/>
    <w:rsid w:val="00B63022"/>
    <w:rsid w:val="00B63079"/>
    <w:rsid w:val="00B6342E"/>
    <w:rsid w:val="00B63941"/>
    <w:rsid w:val="00B63C23"/>
    <w:rsid w:val="00B63D8D"/>
    <w:rsid w:val="00B63EB9"/>
    <w:rsid w:val="00B63F7D"/>
    <w:rsid w:val="00B64632"/>
    <w:rsid w:val="00B647EF"/>
    <w:rsid w:val="00B64964"/>
    <w:rsid w:val="00B64D27"/>
    <w:rsid w:val="00B64E37"/>
    <w:rsid w:val="00B6549F"/>
    <w:rsid w:val="00B6566F"/>
    <w:rsid w:val="00B65F56"/>
    <w:rsid w:val="00B660DB"/>
    <w:rsid w:val="00B667FE"/>
    <w:rsid w:val="00B6694F"/>
    <w:rsid w:val="00B66A4A"/>
    <w:rsid w:val="00B66AC8"/>
    <w:rsid w:val="00B66D8E"/>
    <w:rsid w:val="00B67464"/>
    <w:rsid w:val="00B6758B"/>
    <w:rsid w:val="00B67979"/>
    <w:rsid w:val="00B67C72"/>
    <w:rsid w:val="00B67F68"/>
    <w:rsid w:val="00B70D0A"/>
    <w:rsid w:val="00B7113F"/>
    <w:rsid w:val="00B7130A"/>
    <w:rsid w:val="00B713A8"/>
    <w:rsid w:val="00B715F4"/>
    <w:rsid w:val="00B71B4C"/>
    <w:rsid w:val="00B72C2F"/>
    <w:rsid w:val="00B72DA0"/>
    <w:rsid w:val="00B73321"/>
    <w:rsid w:val="00B73460"/>
    <w:rsid w:val="00B73867"/>
    <w:rsid w:val="00B73B0C"/>
    <w:rsid w:val="00B74237"/>
    <w:rsid w:val="00B7499A"/>
    <w:rsid w:val="00B74B40"/>
    <w:rsid w:val="00B74D99"/>
    <w:rsid w:val="00B75811"/>
    <w:rsid w:val="00B75A06"/>
    <w:rsid w:val="00B75BD5"/>
    <w:rsid w:val="00B768D7"/>
    <w:rsid w:val="00B77D2D"/>
    <w:rsid w:val="00B80522"/>
    <w:rsid w:val="00B81303"/>
    <w:rsid w:val="00B81307"/>
    <w:rsid w:val="00B8134B"/>
    <w:rsid w:val="00B81C0C"/>
    <w:rsid w:val="00B81DCF"/>
    <w:rsid w:val="00B82624"/>
    <w:rsid w:val="00B8303A"/>
    <w:rsid w:val="00B83166"/>
    <w:rsid w:val="00B83630"/>
    <w:rsid w:val="00B83876"/>
    <w:rsid w:val="00B8408C"/>
    <w:rsid w:val="00B84E25"/>
    <w:rsid w:val="00B84EE3"/>
    <w:rsid w:val="00B84F0F"/>
    <w:rsid w:val="00B84F66"/>
    <w:rsid w:val="00B865A8"/>
    <w:rsid w:val="00B86ADD"/>
    <w:rsid w:val="00B87713"/>
    <w:rsid w:val="00B90089"/>
    <w:rsid w:val="00B905C8"/>
    <w:rsid w:val="00B90614"/>
    <w:rsid w:val="00B90680"/>
    <w:rsid w:val="00B907B2"/>
    <w:rsid w:val="00B909F3"/>
    <w:rsid w:val="00B90D78"/>
    <w:rsid w:val="00B912A3"/>
    <w:rsid w:val="00B915E7"/>
    <w:rsid w:val="00B9177A"/>
    <w:rsid w:val="00B91825"/>
    <w:rsid w:val="00B91A88"/>
    <w:rsid w:val="00B92148"/>
    <w:rsid w:val="00B93B58"/>
    <w:rsid w:val="00B940E6"/>
    <w:rsid w:val="00B94BEF"/>
    <w:rsid w:val="00B9525C"/>
    <w:rsid w:val="00B9584A"/>
    <w:rsid w:val="00B9614B"/>
    <w:rsid w:val="00B97125"/>
    <w:rsid w:val="00B9752C"/>
    <w:rsid w:val="00B9770C"/>
    <w:rsid w:val="00B97884"/>
    <w:rsid w:val="00BA061F"/>
    <w:rsid w:val="00BA1A8A"/>
    <w:rsid w:val="00BA1B5F"/>
    <w:rsid w:val="00BA1BAC"/>
    <w:rsid w:val="00BA1CC8"/>
    <w:rsid w:val="00BA1F11"/>
    <w:rsid w:val="00BA2289"/>
    <w:rsid w:val="00BA24E2"/>
    <w:rsid w:val="00BA2BCF"/>
    <w:rsid w:val="00BA2E63"/>
    <w:rsid w:val="00BA388F"/>
    <w:rsid w:val="00BA3AD4"/>
    <w:rsid w:val="00BA4B7F"/>
    <w:rsid w:val="00BA4BA3"/>
    <w:rsid w:val="00BA4F4A"/>
    <w:rsid w:val="00BA5465"/>
    <w:rsid w:val="00BA5B14"/>
    <w:rsid w:val="00BA5DD5"/>
    <w:rsid w:val="00BA5EFC"/>
    <w:rsid w:val="00BA65E7"/>
    <w:rsid w:val="00BA68E0"/>
    <w:rsid w:val="00BA6960"/>
    <w:rsid w:val="00BA69B7"/>
    <w:rsid w:val="00BA6A0B"/>
    <w:rsid w:val="00BA6B2F"/>
    <w:rsid w:val="00BA72A1"/>
    <w:rsid w:val="00BA73B6"/>
    <w:rsid w:val="00BA7405"/>
    <w:rsid w:val="00BA7D7A"/>
    <w:rsid w:val="00BA7E27"/>
    <w:rsid w:val="00BB0342"/>
    <w:rsid w:val="00BB0859"/>
    <w:rsid w:val="00BB0D23"/>
    <w:rsid w:val="00BB1294"/>
    <w:rsid w:val="00BB1BB6"/>
    <w:rsid w:val="00BB1BFA"/>
    <w:rsid w:val="00BB1FBC"/>
    <w:rsid w:val="00BB20BD"/>
    <w:rsid w:val="00BB2144"/>
    <w:rsid w:val="00BB23B0"/>
    <w:rsid w:val="00BB2603"/>
    <w:rsid w:val="00BB2CE4"/>
    <w:rsid w:val="00BB2D31"/>
    <w:rsid w:val="00BB36EF"/>
    <w:rsid w:val="00BB3C7B"/>
    <w:rsid w:val="00BB3CA0"/>
    <w:rsid w:val="00BB4B65"/>
    <w:rsid w:val="00BB4D0D"/>
    <w:rsid w:val="00BB4FCD"/>
    <w:rsid w:val="00BB5A6A"/>
    <w:rsid w:val="00BB5F4F"/>
    <w:rsid w:val="00BB6759"/>
    <w:rsid w:val="00BB704C"/>
    <w:rsid w:val="00BB72E4"/>
    <w:rsid w:val="00BB7420"/>
    <w:rsid w:val="00BB74DC"/>
    <w:rsid w:val="00BB7862"/>
    <w:rsid w:val="00BB7BE9"/>
    <w:rsid w:val="00BB7E09"/>
    <w:rsid w:val="00BC0262"/>
    <w:rsid w:val="00BC04E9"/>
    <w:rsid w:val="00BC0AA5"/>
    <w:rsid w:val="00BC0EF8"/>
    <w:rsid w:val="00BC0F6A"/>
    <w:rsid w:val="00BC1461"/>
    <w:rsid w:val="00BC14C2"/>
    <w:rsid w:val="00BC1963"/>
    <w:rsid w:val="00BC196C"/>
    <w:rsid w:val="00BC1B38"/>
    <w:rsid w:val="00BC1BA9"/>
    <w:rsid w:val="00BC294E"/>
    <w:rsid w:val="00BC2FC7"/>
    <w:rsid w:val="00BC32B1"/>
    <w:rsid w:val="00BC3322"/>
    <w:rsid w:val="00BC3362"/>
    <w:rsid w:val="00BC34B0"/>
    <w:rsid w:val="00BC3670"/>
    <w:rsid w:val="00BC3714"/>
    <w:rsid w:val="00BC428E"/>
    <w:rsid w:val="00BC4368"/>
    <w:rsid w:val="00BC459F"/>
    <w:rsid w:val="00BC45C7"/>
    <w:rsid w:val="00BC46BC"/>
    <w:rsid w:val="00BC4A51"/>
    <w:rsid w:val="00BC4B6B"/>
    <w:rsid w:val="00BC5065"/>
    <w:rsid w:val="00BC52A5"/>
    <w:rsid w:val="00BC55E3"/>
    <w:rsid w:val="00BC5C4B"/>
    <w:rsid w:val="00BC66AC"/>
    <w:rsid w:val="00BC6E3C"/>
    <w:rsid w:val="00BC6EA0"/>
    <w:rsid w:val="00BC7CC5"/>
    <w:rsid w:val="00BD060E"/>
    <w:rsid w:val="00BD0F86"/>
    <w:rsid w:val="00BD13EA"/>
    <w:rsid w:val="00BD1B4D"/>
    <w:rsid w:val="00BD2AB2"/>
    <w:rsid w:val="00BD2DE2"/>
    <w:rsid w:val="00BD2EFD"/>
    <w:rsid w:val="00BD3159"/>
    <w:rsid w:val="00BD38BE"/>
    <w:rsid w:val="00BD3B93"/>
    <w:rsid w:val="00BD4162"/>
    <w:rsid w:val="00BD4D8B"/>
    <w:rsid w:val="00BD561E"/>
    <w:rsid w:val="00BD56C9"/>
    <w:rsid w:val="00BD5A58"/>
    <w:rsid w:val="00BD6136"/>
    <w:rsid w:val="00BD6406"/>
    <w:rsid w:val="00BD6DA7"/>
    <w:rsid w:val="00BD7A2B"/>
    <w:rsid w:val="00BD7C17"/>
    <w:rsid w:val="00BD7FAF"/>
    <w:rsid w:val="00BE00A7"/>
    <w:rsid w:val="00BE00F7"/>
    <w:rsid w:val="00BE022C"/>
    <w:rsid w:val="00BE0245"/>
    <w:rsid w:val="00BE02CE"/>
    <w:rsid w:val="00BE0563"/>
    <w:rsid w:val="00BE06BE"/>
    <w:rsid w:val="00BE0C1E"/>
    <w:rsid w:val="00BE0FC1"/>
    <w:rsid w:val="00BE1412"/>
    <w:rsid w:val="00BE1ACF"/>
    <w:rsid w:val="00BE1ED9"/>
    <w:rsid w:val="00BE2733"/>
    <w:rsid w:val="00BE2755"/>
    <w:rsid w:val="00BE2CDC"/>
    <w:rsid w:val="00BE2EEF"/>
    <w:rsid w:val="00BE3220"/>
    <w:rsid w:val="00BE3516"/>
    <w:rsid w:val="00BE3574"/>
    <w:rsid w:val="00BE3808"/>
    <w:rsid w:val="00BE402F"/>
    <w:rsid w:val="00BE4802"/>
    <w:rsid w:val="00BE4BEF"/>
    <w:rsid w:val="00BE4E7E"/>
    <w:rsid w:val="00BE4E9E"/>
    <w:rsid w:val="00BE4F1B"/>
    <w:rsid w:val="00BE4F89"/>
    <w:rsid w:val="00BE51A7"/>
    <w:rsid w:val="00BE53A6"/>
    <w:rsid w:val="00BE5418"/>
    <w:rsid w:val="00BE63B2"/>
    <w:rsid w:val="00BE686C"/>
    <w:rsid w:val="00BE6C1E"/>
    <w:rsid w:val="00BE6DDD"/>
    <w:rsid w:val="00BE6F15"/>
    <w:rsid w:val="00BE72A8"/>
    <w:rsid w:val="00BE75A4"/>
    <w:rsid w:val="00BE762B"/>
    <w:rsid w:val="00BE7923"/>
    <w:rsid w:val="00BE7BCE"/>
    <w:rsid w:val="00BF0C0F"/>
    <w:rsid w:val="00BF12D8"/>
    <w:rsid w:val="00BF15AF"/>
    <w:rsid w:val="00BF1AC5"/>
    <w:rsid w:val="00BF2252"/>
    <w:rsid w:val="00BF281B"/>
    <w:rsid w:val="00BF3875"/>
    <w:rsid w:val="00BF3D7A"/>
    <w:rsid w:val="00BF42A9"/>
    <w:rsid w:val="00BF43A9"/>
    <w:rsid w:val="00BF43B9"/>
    <w:rsid w:val="00BF4BEF"/>
    <w:rsid w:val="00BF4E69"/>
    <w:rsid w:val="00BF4FF7"/>
    <w:rsid w:val="00BF573D"/>
    <w:rsid w:val="00BF58BD"/>
    <w:rsid w:val="00BF5A13"/>
    <w:rsid w:val="00BF5D41"/>
    <w:rsid w:val="00BF61F2"/>
    <w:rsid w:val="00BF7070"/>
    <w:rsid w:val="00BF73CE"/>
    <w:rsid w:val="00BF7D9E"/>
    <w:rsid w:val="00C0069E"/>
    <w:rsid w:val="00C00860"/>
    <w:rsid w:val="00C009BA"/>
    <w:rsid w:val="00C00A97"/>
    <w:rsid w:val="00C00D7A"/>
    <w:rsid w:val="00C010E9"/>
    <w:rsid w:val="00C0208F"/>
    <w:rsid w:val="00C0210D"/>
    <w:rsid w:val="00C02836"/>
    <w:rsid w:val="00C028CF"/>
    <w:rsid w:val="00C0337C"/>
    <w:rsid w:val="00C03530"/>
    <w:rsid w:val="00C03A3E"/>
    <w:rsid w:val="00C03B88"/>
    <w:rsid w:val="00C04760"/>
    <w:rsid w:val="00C04913"/>
    <w:rsid w:val="00C049AC"/>
    <w:rsid w:val="00C062E9"/>
    <w:rsid w:val="00C0652B"/>
    <w:rsid w:val="00C069AA"/>
    <w:rsid w:val="00C06CBB"/>
    <w:rsid w:val="00C06D03"/>
    <w:rsid w:val="00C06E99"/>
    <w:rsid w:val="00C07195"/>
    <w:rsid w:val="00C07248"/>
    <w:rsid w:val="00C076E2"/>
    <w:rsid w:val="00C07A7B"/>
    <w:rsid w:val="00C07B64"/>
    <w:rsid w:val="00C1079F"/>
    <w:rsid w:val="00C10B1D"/>
    <w:rsid w:val="00C1127B"/>
    <w:rsid w:val="00C113D1"/>
    <w:rsid w:val="00C11C3B"/>
    <w:rsid w:val="00C11EFD"/>
    <w:rsid w:val="00C12C74"/>
    <w:rsid w:val="00C13086"/>
    <w:rsid w:val="00C131C0"/>
    <w:rsid w:val="00C13721"/>
    <w:rsid w:val="00C141D4"/>
    <w:rsid w:val="00C1435A"/>
    <w:rsid w:val="00C14FE4"/>
    <w:rsid w:val="00C15612"/>
    <w:rsid w:val="00C1561E"/>
    <w:rsid w:val="00C158B4"/>
    <w:rsid w:val="00C15C34"/>
    <w:rsid w:val="00C16185"/>
    <w:rsid w:val="00C1630B"/>
    <w:rsid w:val="00C16896"/>
    <w:rsid w:val="00C169C8"/>
    <w:rsid w:val="00C16F5E"/>
    <w:rsid w:val="00C17E6F"/>
    <w:rsid w:val="00C209B9"/>
    <w:rsid w:val="00C20FC6"/>
    <w:rsid w:val="00C21336"/>
    <w:rsid w:val="00C21CF2"/>
    <w:rsid w:val="00C21D48"/>
    <w:rsid w:val="00C22D76"/>
    <w:rsid w:val="00C2368B"/>
    <w:rsid w:val="00C2399F"/>
    <w:rsid w:val="00C23C84"/>
    <w:rsid w:val="00C23CD4"/>
    <w:rsid w:val="00C23F84"/>
    <w:rsid w:val="00C242EA"/>
    <w:rsid w:val="00C24889"/>
    <w:rsid w:val="00C24973"/>
    <w:rsid w:val="00C249DF"/>
    <w:rsid w:val="00C24A6F"/>
    <w:rsid w:val="00C24FD3"/>
    <w:rsid w:val="00C256EF"/>
    <w:rsid w:val="00C25ACD"/>
    <w:rsid w:val="00C26092"/>
    <w:rsid w:val="00C26D48"/>
    <w:rsid w:val="00C26D5D"/>
    <w:rsid w:val="00C27C65"/>
    <w:rsid w:val="00C27DED"/>
    <w:rsid w:val="00C27FEE"/>
    <w:rsid w:val="00C3066D"/>
    <w:rsid w:val="00C317FC"/>
    <w:rsid w:val="00C3287A"/>
    <w:rsid w:val="00C328FC"/>
    <w:rsid w:val="00C32A69"/>
    <w:rsid w:val="00C32E0D"/>
    <w:rsid w:val="00C3300A"/>
    <w:rsid w:val="00C3306A"/>
    <w:rsid w:val="00C330FB"/>
    <w:rsid w:val="00C3358B"/>
    <w:rsid w:val="00C33593"/>
    <w:rsid w:val="00C338E1"/>
    <w:rsid w:val="00C33911"/>
    <w:rsid w:val="00C33AA5"/>
    <w:rsid w:val="00C34105"/>
    <w:rsid w:val="00C3415E"/>
    <w:rsid w:val="00C344DB"/>
    <w:rsid w:val="00C359C8"/>
    <w:rsid w:val="00C35A10"/>
    <w:rsid w:val="00C35A9A"/>
    <w:rsid w:val="00C36930"/>
    <w:rsid w:val="00C3762B"/>
    <w:rsid w:val="00C40120"/>
    <w:rsid w:val="00C40AFA"/>
    <w:rsid w:val="00C412E1"/>
    <w:rsid w:val="00C41CB2"/>
    <w:rsid w:val="00C42545"/>
    <w:rsid w:val="00C4261B"/>
    <w:rsid w:val="00C42846"/>
    <w:rsid w:val="00C42D4C"/>
    <w:rsid w:val="00C42FD2"/>
    <w:rsid w:val="00C430BF"/>
    <w:rsid w:val="00C44074"/>
    <w:rsid w:val="00C444E2"/>
    <w:rsid w:val="00C44A30"/>
    <w:rsid w:val="00C45377"/>
    <w:rsid w:val="00C45BD2"/>
    <w:rsid w:val="00C45C19"/>
    <w:rsid w:val="00C46152"/>
    <w:rsid w:val="00C46ACF"/>
    <w:rsid w:val="00C4746F"/>
    <w:rsid w:val="00C476C7"/>
    <w:rsid w:val="00C47A5F"/>
    <w:rsid w:val="00C50077"/>
    <w:rsid w:val="00C5023E"/>
    <w:rsid w:val="00C508BA"/>
    <w:rsid w:val="00C50EE5"/>
    <w:rsid w:val="00C51A41"/>
    <w:rsid w:val="00C52416"/>
    <w:rsid w:val="00C526EC"/>
    <w:rsid w:val="00C52C36"/>
    <w:rsid w:val="00C52EBA"/>
    <w:rsid w:val="00C5348A"/>
    <w:rsid w:val="00C534A8"/>
    <w:rsid w:val="00C54191"/>
    <w:rsid w:val="00C543F4"/>
    <w:rsid w:val="00C54F95"/>
    <w:rsid w:val="00C5509E"/>
    <w:rsid w:val="00C5520F"/>
    <w:rsid w:val="00C55AB2"/>
    <w:rsid w:val="00C55BA8"/>
    <w:rsid w:val="00C562C9"/>
    <w:rsid w:val="00C56418"/>
    <w:rsid w:val="00C57156"/>
    <w:rsid w:val="00C57A68"/>
    <w:rsid w:val="00C6119E"/>
    <w:rsid w:val="00C611F9"/>
    <w:rsid w:val="00C61CE1"/>
    <w:rsid w:val="00C6291C"/>
    <w:rsid w:val="00C633CB"/>
    <w:rsid w:val="00C637F1"/>
    <w:rsid w:val="00C63C2C"/>
    <w:rsid w:val="00C641C8"/>
    <w:rsid w:val="00C647CA"/>
    <w:rsid w:val="00C647D2"/>
    <w:rsid w:val="00C662D4"/>
    <w:rsid w:val="00C66351"/>
    <w:rsid w:val="00C664CD"/>
    <w:rsid w:val="00C66851"/>
    <w:rsid w:val="00C6742E"/>
    <w:rsid w:val="00C67D3B"/>
    <w:rsid w:val="00C7042A"/>
    <w:rsid w:val="00C70497"/>
    <w:rsid w:val="00C70AB0"/>
    <w:rsid w:val="00C712B7"/>
    <w:rsid w:val="00C713C8"/>
    <w:rsid w:val="00C7154E"/>
    <w:rsid w:val="00C71750"/>
    <w:rsid w:val="00C71D9F"/>
    <w:rsid w:val="00C721B3"/>
    <w:rsid w:val="00C72207"/>
    <w:rsid w:val="00C72502"/>
    <w:rsid w:val="00C728A2"/>
    <w:rsid w:val="00C72E3B"/>
    <w:rsid w:val="00C73556"/>
    <w:rsid w:val="00C73613"/>
    <w:rsid w:val="00C736B7"/>
    <w:rsid w:val="00C73D64"/>
    <w:rsid w:val="00C73F01"/>
    <w:rsid w:val="00C74D40"/>
    <w:rsid w:val="00C75D3E"/>
    <w:rsid w:val="00C75D83"/>
    <w:rsid w:val="00C76344"/>
    <w:rsid w:val="00C763D3"/>
    <w:rsid w:val="00C764AA"/>
    <w:rsid w:val="00C76501"/>
    <w:rsid w:val="00C76873"/>
    <w:rsid w:val="00C769C8"/>
    <w:rsid w:val="00C7723D"/>
    <w:rsid w:val="00C77397"/>
    <w:rsid w:val="00C80017"/>
    <w:rsid w:val="00C806F7"/>
    <w:rsid w:val="00C8155B"/>
    <w:rsid w:val="00C81B7C"/>
    <w:rsid w:val="00C81D4A"/>
    <w:rsid w:val="00C8210E"/>
    <w:rsid w:val="00C82855"/>
    <w:rsid w:val="00C83161"/>
    <w:rsid w:val="00C83458"/>
    <w:rsid w:val="00C83559"/>
    <w:rsid w:val="00C835AC"/>
    <w:rsid w:val="00C84297"/>
    <w:rsid w:val="00C8457B"/>
    <w:rsid w:val="00C85713"/>
    <w:rsid w:val="00C85B43"/>
    <w:rsid w:val="00C86260"/>
    <w:rsid w:val="00C864F6"/>
    <w:rsid w:val="00C8654A"/>
    <w:rsid w:val="00C86877"/>
    <w:rsid w:val="00C8703D"/>
    <w:rsid w:val="00C8762C"/>
    <w:rsid w:val="00C9050F"/>
    <w:rsid w:val="00C90621"/>
    <w:rsid w:val="00C90C56"/>
    <w:rsid w:val="00C90D22"/>
    <w:rsid w:val="00C90F41"/>
    <w:rsid w:val="00C9134D"/>
    <w:rsid w:val="00C91B16"/>
    <w:rsid w:val="00C91E7E"/>
    <w:rsid w:val="00C91EEB"/>
    <w:rsid w:val="00C9209C"/>
    <w:rsid w:val="00C9213C"/>
    <w:rsid w:val="00C9235A"/>
    <w:rsid w:val="00C92508"/>
    <w:rsid w:val="00C928F9"/>
    <w:rsid w:val="00C92D12"/>
    <w:rsid w:val="00C932F3"/>
    <w:rsid w:val="00C93885"/>
    <w:rsid w:val="00C941C9"/>
    <w:rsid w:val="00C94787"/>
    <w:rsid w:val="00C95D9E"/>
    <w:rsid w:val="00C95E24"/>
    <w:rsid w:val="00C95E60"/>
    <w:rsid w:val="00C95E8C"/>
    <w:rsid w:val="00C95F0E"/>
    <w:rsid w:val="00C9676E"/>
    <w:rsid w:val="00C96AD4"/>
    <w:rsid w:val="00C96DDA"/>
    <w:rsid w:val="00C96F19"/>
    <w:rsid w:val="00C978DB"/>
    <w:rsid w:val="00C97A64"/>
    <w:rsid w:val="00CA0008"/>
    <w:rsid w:val="00CA00F9"/>
    <w:rsid w:val="00CA018E"/>
    <w:rsid w:val="00CA058D"/>
    <w:rsid w:val="00CA0600"/>
    <w:rsid w:val="00CA0665"/>
    <w:rsid w:val="00CA1210"/>
    <w:rsid w:val="00CA163B"/>
    <w:rsid w:val="00CA16FB"/>
    <w:rsid w:val="00CA1839"/>
    <w:rsid w:val="00CA1EBB"/>
    <w:rsid w:val="00CA2346"/>
    <w:rsid w:val="00CA289C"/>
    <w:rsid w:val="00CA2961"/>
    <w:rsid w:val="00CA2C90"/>
    <w:rsid w:val="00CA3822"/>
    <w:rsid w:val="00CA3CCA"/>
    <w:rsid w:val="00CA3E7C"/>
    <w:rsid w:val="00CA3FBD"/>
    <w:rsid w:val="00CA3FDF"/>
    <w:rsid w:val="00CA3FF4"/>
    <w:rsid w:val="00CA41F8"/>
    <w:rsid w:val="00CA4C5A"/>
    <w:rsid w:val="00CA5077"/>
    <w:rsid w:val="00CA50E6"/>
    <w:rsid w:val="00CA5933"/>
    <w:rsid w:val="00CA6AF3"/>
    <w:rsid w:val="00CA7059"/>
    <w:rsid w:val="00CA73D1"/>
    <w:rsid w:val="00CA75E4"/>
    <w:rsid w:val="00CA7AEC"/>
    <w:rsid w:val="00CB07E7"/>
    <w:rsid w:val="00CB0F92"/>
    <w:rsid w:val="00CB1054"/>
    <w:rsid w:val="00CB125C"/>
    <w:rsid w:val="00CB1AD5"/>
    <w:rsid w:val="00CB1C5E"/>
    <w:rsid w:val="00CB20B9"/>
    <w:rsid w:val="00CB2172"/>
    <w:rsid w:val="00CB2702"/>
    <w:rsid w:val="00CB37DF"/>
    <w:rsid w:val="00CB38EB"/>
    <w:rsid w:val="00CB3B42"/>
    <w:rsid w:val="00CB44EE"/>
    <w:rsid w:val="00CB4AB0"/>
    <w:rsid w:val="00CB50D7"/>
    <w:rsid w:val="00CB646E"/>
    <w:rsid w:val="00CB66CE"/>
    <w:rsid w:val="00CB66F4"/>
    <w:rsid w:val="00CB6F5A"/>
    <w:rsid w:val="00CB713B"/>
    <w:rsid w:val="00CB7177"/>
    <w:rsid w:val="00CB7537"/>
    <w:rsid w:val="00CB7BEA"/>
    <w:rsid w:val="00CB7CED"/>
    <w:rsid w:val="00CC0311"/>
    <w:rsid w:val="00CC0465"/>
    <w:rsid w:val="00CC068F"/>
    <w:rsid w:val="00CC070F"/>
    <w:rsid w:val="00CC0F81"/>
    <w:rsid w:val="00CC15DF"/>
    <w:rsid w:val="00CC1998"/>
    <w:rsid w:val="00CC1A0C"/>
    <w:rsid w:val="00CC2957"/>
    <w:rsid w:val="00CC2E3A"/>
    <w:rsid w:val="00CC313C"/>
    <w:rsid w:val="00CC3C9C"/>
    <w:rsid w:val="00CC47D6"/>
    <w:rsid w:val="00CC4946"/>
    <w:rsid w:val="00CC4D73"/>
    <w:rsid w:val="00CC5015"/>
    <w:rsid w:val="00CC64A1"/>
    <w:rsid w:val="00CC7215"/>
    <w:rsid w:val="00CC75B9"/>
    <w:rsid w:val="00CC78A6"/>
    <w:rsid w:val="00CD0981"/>
    <w:rsid w:val="00CD0C81"/>
    <w:rsid w:val="00CD23C6"/>
    <w:rsid w:val="00CD250A"/>
    <w:rsid w:val="00CD27C7"/>
    <w:rsid w:val="00CD2D77"/>
    <w:rsid w:val="00CD2D8B"/>
    <w:rsid w:val="00CD3C5B"/>
    <w:rsid w:val="00CD3EA0"/>
    <w:rsid w:val="00CD4641"/>
    <w:rsid w:val="00CD4C82"/>
    <w:rsid w:val="00CD4D23"/>
    <w:rsid w:val="00CD65B8"/>
    <w:rsid w:val="00CD6945"/>
    <w:rsid w:val="00CD69D3"/>
    <w:rsid w:val="00CD71DF"/>
    <w:rsid w:val="00CD7622"/>
    <w:rsid w:val="00CD7F15"/>
    <w:rsid w:val="00CE081F"/>
    <w:rsid w:val="00CE0886"/>
    <w:rsid w:val="00CE0C2F"/>
    <w:rsid w:val="00CE1A85"/>
    <w:rsid w:val="00CE1C12"/>
    <w:rsid w:val="00CE212F"/>
    <w:rsid w:val="00CE2221"/>
    <w:rsid w:val="00CE24B7"/>
    <w:rsid w:val="00CE266A"/>
    <w:rsid w:val="00CE2C0F"/>
    <w:rsid w:val="00CE2DEE"/>
    <w:rsid w:val="00CE3044"/>
    <w:rsid w:val="00CE3BF8"/>
    <w:rsid w:val="00CE404B"/>
    <w:rsid w:val="00CE47CC"/>
    <w:rsid w:val="00CE49E1"/>
    <w:rsid w:val="00CE4D6A"/>
    <w:rsid w:val="00CE4DAE"/>
    <w:rsid w:val="00CE5627"/>
    <w:rsid w:val="00CE5762"/>
    <w:rsid w:val="00CE599E"/>
    <w:rsid w:val="00CE6398"/>
    <w:rsid w:val="00CE66A8"/>
    <w:rsid w:val="00CE6DEF"/>
    <w:rsid w:val="00CE73CE"/>
    <w:rsid w:val="00CE78CC"/>
    <w:rsid w:val="00CE7B31"/>
    <w:rsid w:val="00CE7B41"/>
    <w:rsid w:val="00CE7F94"/>
    <w:rsid w:val="00CF047F"/>
    <w:rsid w:val="00CF0527"/>
    <w:rsid w:val="00CF24D4"/>
    <w:rsid w:val="00CF2AF5"/>
    <w:rsid w:val="00CF2CFE"/>
    <w:rsid w:val="00CF36EF"/>
    <w:rsid w:val="00CF37B6"/>
    <w:rsid w:val="00CF393D"/>
    <w:rsid w:val="00CF3B11"/>
    <w:rsid w:val="00CF3D3F"/>
    <w:rsid w:val="00CF3E6C"/>
    <w:rsid w:val="00CF4472"/>
    <w:rsid w:val="00CF47F6"/>
    <w:rsid w:val="00CF4810"/>
    <w:rsid w:val="00CF49E8"/>
    <w:rsid w:val="00CF5095"/>
    <w:rsid w:val="00CF533C"/>
    <w:rsid w:val="00CF5419"/>
    <w:rsid w:val="00CF573B"/>
    <w:rsid w:val="00CF5A02"/>
    <w:rsid w:val="00CF610D"/>
    <w:rsid w:val="00CF6204"/>
    <w:rsid w:val="00CF659B"/>
    <w:rsid w:val="00CF6A53"/>
    <w:rsid w:val="00CF6AF2"/>
    <w:rsid w:val="00CF73BC"/>
    <w:rsid w:val="00CF74B6"/>
    <w:rsid w:val="00CF7DB5"/>
    <w:rsid w:val="00CF7F84"/>
    <w:rsid w:val="00D000CD"/>
    <w:rsid w:val="00D0024E"/>
    <w:rsid w:val="00D010E4"/>
    <w:rsid w:val="00D0164D"/>
    <w:rsid w:val="00D01D6E"/>
    <w:rsid w:val="00D0292C"/>
    <w:rsid w:val="00D02966"/>
    <w:rsid w:val="00D02C71"/>
    <w:rsid w:val="00D02D56"/>
    <w:rsid w:val="00D02DC1"/>
    <w:rsid w:val="00D03E66"/>
    <w:rsid w:val="00D042D7"/>
    <w:rsid w:val="00D0431C"/>
    <w:rsid w:val="00D04A9C"/>
    <w:rsid w:val="00D04AB9"/>
    <w:rsid w:val="00D0673F"/>
    <w:rsid w:val="00D067DD"/>
    <w:rsid w:val="00D06FB0"/>
    <w:rsid w:val="00D10106"/>
    <w:rsid w:val="00D10253"/>
    <w:rsid w:val="00D106A2"/>
    <w:rsid w:val="00D10807"/>
    <w:rsid w:val="00D10ACC"/>
    <w:rsid w:val="00D10BAB"/>
    <w:rsid w:val="00D1120D"/>
    <w:rsid w:val="00D112E1"/>
    <w:rsid w:val="00D1141F"/>
    <w:rsid w:val="00D114B6"/>
    <w:rsid w:val="00D11684"/>
    <w:rsid w:val="00D11D2F"/>
    <w:rsid w:val="00D11E23"/>
    <w:rsid w:val="00D11E56"/>
    <w:rsid w:val="00D12CF9"/>
    <w:rsid w:val="00D12D2F"/>
    <w:rsid w:val="00D130C4"/>
    <w:rsid w:val="00D1327F"/>
    <w:rsid w:val="00D1344C"/>
    <w:rsid w:val="00D13454"/>
    <w:rsid w:val="00D134B0"/>
    <w:rsid w:val="00D136A3"/>
    <w:rsid w:val="00D138F1"/>
    <w:rsid w:val="00D13CDA"/>
    <w:rsid w:val="00D14167"/>
    <w:rsid w:val="00D147A3"/>
    <w:rsid w:val="00D14F9E"/>
    <w:rsid w:val="00D151C8"/>
    <w:rsid w:val="00D15368"/>
    <w:rsid w:val="00D158E1"/>
    <w:rsid w:val="00D15F30"/>
    <w:rsid w:val="00D16593"/>
    <w:rsid w:val="00D16705"/>
    <w:rsid w:val="00D16EF2"/>
    <w:rsid w:val="00D17583"/>
    <w:rsid w:val="00D17C01"/>
    <w:rsid w:val="00D17C07"/>
    <w:rsid w:val="00D2015D"/>
    <w:rsid w:val="00D201E2"/>
    <w:rsid w:val="00D20C03"/>
    <w:rsid w:val="00D20D82"/>
    <w:rsid w:val="00D217A5"/>
    <w:rsid w:val="00D21A5A"/>
    <w:rsid w:val="00D220D2"/>
    <w:rsid w:val="00D22197"/>
    <w:rsid w:val="00D22C86"/>
    <w:rsid w:val="00D22D93"/>
    <w:rsid w:val="00D22FB2"/>
    <w:rsid w:val="00D23360"/>
    <w:rsid w:val="00D23D63"/>
    <w:rsid w:val="00D240CA"/>
    <w:rsid w:val="00D24284"/>
    <w:rsid w:val="00D250BD"/>
    <w:rsid w:val="00D25619"/>
    <w:rsid w:val="00D25EF0"/>
    <w:rsid w:val="00D25F7A"/>
    <w:rsid w:val="00D25FCF"/>
    <w:rsid w:val="00D264BD"/>
    <w:rsid w:val="00D26B7B"/>
    <w:rsid w:val="00D26DD8"/>
    <w:rsid w:val="00D270A4"/>
    <w:rsid w:val="00D27175"/>
    <w:rsid w:val="00D27EE1"/>
    <w:rsid w:val="00D3081C"/>
    <w:rsid w:val="00D31546"/>
    <w:rsid w:val="00D3160F"/>
    <w:rsid w:val="00D317B3"/>
    <w:rsid w:val="00D3193B"/>
    <w:rsid w:val="00D31FE9"/>
    <w:rsid w:val="00D3203C"/>
    <w:rsid w:val="00D32519"/>
    <w:rsid w:val="00D325EC"/>
    <w:rsid w:val="00D32F2A"/>
    <w:rsid w:val="00D3335E"/>
    <w:rsid w:val="00D334C2"/>
    <w:rsid w:val="00D339E8"/>
    <w:rsid w:val="00D343DE"/>
    <w:rsid w:val="00D34E11"/>
    <w:rsid w:val="00D34E1B"/>
    <w:rsid w:val="00D3553E"/>
    <w:rsid w:val="00D356CA"/>
    <w:rsid w:val="00D368FF"/>
    <w:rsid w:val="00D36A94"/>
    <w:rsid w:val="00D36C64"/>
    <w:rsid w:val="00D36CDE"/>
    <w:rsid w:val="00D375E4"/>
    <w:rsid w:val="00D376BA"/>
    <w:rsid w:val="00D37BF0"/>
    <w:rsid w:val="00D37F81"/>
    <w:rsid w:val="00D4160B"/>
    <w:rsid w:val="00D4163F"/>
    <w:rsid w:val="00D41947"/>
    <w:rsid w:val="00D419FC"/>
    <w:rsid w:val="00D41E33"/>
    <w:rsid w:val="00D4225C"/>
    <w:rsid w:val="00D423E5"/>
    <w:rsid w:val="00D42783"/>
    <w:rsid w:val="00D42CAB"/>
    <w:rsid w:val="00D42E79"/>
    <w:rsid w:val="00D42F8E"/>
    <w:rsid w:val="00D434A0"/>
    <w:rsid w:val="00D43A7F"/>
    <w:rsid w:val="00D43ADF"/>
    <w:rsid w:val="00D43C65"/>
    <w:rsid w:val="00D43DA8"/>
    <w:rsid w:val="00D43EFD"/>
    <w:rsid w:val="00D440DB"/>
    <w:rsid w:val="00D441F5"/>
    <w:rsid w:val="00D44276"/>
    <w:rsid w:val="00D443C3"/>
    <w:rsid w:val="00D44637"/>
    <w:rsid w:val="00D448E5"/>
    <w:rsid w:val="00D44AB1"/>
    <w:rsid w:val="00D44C62"/>
    <w:rsid w:val="00D44D1D"/>
    <w:rsid w:val="00D45031"/>
    <w:rsid w:val="00D45287"/>
    <w:rsid w:val="00D45634"/>
    <w:rsid w:val="00D4566D"/>
    <w:rsid w:val="00D45B62"/>
    <w:rsid w:val="00D45BE3"/>
    <w:rsid w:val="00D4704A"/>
    <w:rsid w:val="00D476D7"/>
    <w:rsid w:val="00D50111"/>
    <w:rsid w:val="00D50A68"/>
    <w:rsid w:val="00D51250"/>
    <w:rsid w:val="00D5174F"/>
    <w:rsid w:val="00D517BB"/>
    <w:rsid w:val="00D51BD3"/>
    <w:rsid w:val="00D52075"/>
    <w:rsid w:val="00D52201"/>
    <w:rsid w:val="00D524B5"/>
    <w:rsid w:val="00D52936"/>
    <w:rsid w:val="00D5344D"/>
    <w:rsid w:val="00D535F0"/>
    <w:rsid w:val="00D53A6B"/>
    <w:rsid w:val="00D53CCE"/>
    <w:rsid w:val="00D54C19"/>
    <w:rsid w:val="00D5568A"/>
    <w:rsid w:val="00D56A12"/>
    <w:rsid w:val="00D57314"/>
    <w:rsid w:val="00D57543"/>
    <w:rsid w:val="00D576B1"/>
    <w:rsid w:val="00D60045"/>
    <w:rsid w:val="00D6042F"/>
    <w:rsid w:val="00D608E3"/>
    <w:rsid w:val="00D60EA9"/>
    <w:rsid w:val="00D61289"/>
    <w:rsid w:val="00D612C4"/>
    <w:rsid w:val="00D61F33"/>
    <w:rsid w:val="00D62B14"/>
    <w:rsid w:val="00D62C7F"/>
    <w:rsid w:val="00D63215"/>
    <w:rsid w:val="00D63261"/>
    <w:rsid w:val="00D6371A"/>
    <w:rsid w:val="00D63BDD"/>
    <w:rsid w:val="00D63D73"/>
    <w:rsid w:val="00D64452"/>
    <w:rsid w:val="00D6486A"/>
    <w:rsid w:val="00D64B25"/>
    <w:rsid w:val="00D64EA2"/>
    <w:rsid w:val="00D64F1F"/>
    <w:rsid w:val="00D64FA3"/>
    <w:rsid w:val="00D65265"/>
    <w:rsid w:val="00D6554B"/>
    <w:rsid w:val="00D6592F"/>
    <w:rsid w:val="00D6629F"/>
    <w:rsid w:val="00D667DE"/>
    <w:rsid w:val="00D66A60"/>
    <w:rsid w:val="00D66E1E"/>
    <w:rsid w:val="00D679CC"/>
    <w:rsid w:val="00D700D3"/>
    <w:rsid w:val="00D701E7"/>
    <w:rsid w:val="00D70696"/>
    <w:rsid w:val="00D70AD4"/>
    <w:rsid w:val="00D70CFA"/>
    <w:rsid w:val="00D7122B"/>
    <w:rsid w:val="00D72776"/>
    <w:rsid w:val="00D73529"/>
    <w:rsid w:val="00D7383C"/>
    <w:rsid w:val="00D73CD7"/>
    <w:rsid w:val="00D73D32"/>
    <w:rsid w:val="00D74469"/>
    <w:rsid w:val="00D74D9C"/>
    <w:rsid w:val="00D74EAF"/>
    <w:rsid w:val="00D75722"/>
    <w:rsid w:val="00D75DF5"/>
    <w:rsid w:val="00D76396"/>
    <w:rsid w:val="00D7775C"/>
    <w:rsid w:val="00D778F9"/>
    <w:rsid w:val="00D77D69"/>
    <w:rsid w:val="00D77D96"/>
    <w:rsid w:val="00D77F0F"/>
    <w:rsid w:val="00D80969"/>
    <w:rsid w:val="00D80CF5"/>
    <w:rsid w:val="00D811C5"/>
    <w:rsid w:val="00D82120"/>
    <w:rsid w:val="00D82359"/>
    <w:rsid w:val="00D8290F"/>
    <w:rsid w:val="00D82EC1"/>
    <w:rsid w:val="00D82EE9"/>
    <w:rsid w:val="00D83150"/>
    <w:rsid w:val="00D8317E"/>
    <w:rsid w:val="00D83692"/>
    <w:rsid w:val="00D8409F"/>
    <w:rsid w:val="00D8421B"/>
    <w:rsid w:val="00D84673"/>
    <w:rsid w:val="00D84750"/>
    <w:rsid w:val="00D851C6"/>
    <w:rsid w:val="00D85278"/>
    <w:rsid w:val="00D8533F"/>
    <w:rsid w:val="00D858D9"/>
    <w:rsid w:val="00D862E7"/>
    <w:rsid w:val="00D863E1"/>
    <w:rsid w:val="00D86742"/>
    <w:rsid w:val="00D873B2"/>
    <w:rsid w:val="00D87567"/>
    <w:rsid w:val="00D905E2"/>
    <w:rsid w:val="00D90966"/>
    <w:rsid w:val="00D90998"/>
    <w:rsid w:val="00D90DAB"/>
    <w:rsid w:val="00D90F74"/>
    <w:rsid w:val="00D91A45"/>
    <w:rsid w:val="00D91F83"/>
    <w:rsid w:val="00D921BA"/>
    <w:rsid w:val="00D92734"/>
    <w:rsid w:val="00D927CC"/>
    <w:rsid w:val="00D929D2"/>
    <w:rsid w:val="00D929EB"/>
    <w:rsid w:val="00D92A9C"/>
    <w:rsid w:val="00D93025"/>
    <w:rsid w:val="00D939DE"/>
    <w:rsid w:val="00D93E06"/>
    <w:rsid w:val="00D95AE8"/>
    <w:rsid w:val="00D9696C"/>
    <w:rsid w:val="00D96D75"/>
    <w:rsid w:val="00D96EAA"/>
    <w:rsid w:val="00D97CB4"/>
    <w:rsid w:val="00D97F15"/>
    <w:rsid w:val="00DA029C"/>
    <w:rsid w:val="00DA0D42"/>
    <w:rsid w:val="00DA0E7A"/>
    <w:rsid w:val="00DA15D3"/>
    <w:rsid w:val="00DA1DD6"/>
    <w:rsid w:val="00DA283F"/>
    <w:rsid w:val="00DA29A6"/>
    <w:rsid w:val="00DA2DBB"/>
    <w:rsid w:val="00DA3022"/>
    <w:rsid w:val="00DA32EE"/>
    <w:rsid w:val="00DA3423"/>
    <w:rsid w:val="00DA57CF"/>
    <w:rsid w:val="00DA5BBA"/>
    <w:rsid w:val="00DA6546"/>
    <w:rsid w:val="00DA65BC"/>
    <w:rsid w:val="00DA6751"/>
    <w:rsid w:val="00DA6A0F"/>
    <w:rsid w:val="00DA6A71"/>
    <w:rsid w:val="00DA784E"/>
    <w:rsid w:val="00DA7FA2"/>
    <w:rsid w:val="00DB0244"/>
    <w:rsid w:val="00DB0D5E"/>
    <w:rsid w:val="00DB1210"/>
    <w:rsid w:val="00DB1653"/>
    <w:rsid w:val="00DB17BF"/>
    <w:rsid w:val="00DB1DD0"/>
    <w:rsid w:val="00DB2097"/>
    <w:rsid w:val="00DB26D2"/>
    <w:rsid w:val="00DB28C4"/>
    <w:rsid w:val="00DB2950"/>
    <w:rsid w:val="00DB2F55"/>
    <w:rsid w:val="00DB2FE7"/>
    <w:rsid w:val="00DB302B"/>
    <w:rsid w:val="00DB31A6"/>
    <w:rsid w:val="00DB3A31"/>
    <w:rsid w:val="00DB4840"/>
    <w:rsid w:val="00DB4F0F"/>
    <w:rsid w:val="00DB4F5D"/>
    <w:rsid w:val="00DB565C"/>
    <w:rsid w:val="00DB594F"/>
    <w:rsid w:val="00DB5AF9"/>
    <w:rsid w:val="00DB5F75"/>
    <w:rsid w:val="00DB6659"/>
    <w:rsid w:val="00DB67C9"/>
    <w:rsid w:val="00DB6C10"/>
    <w:rsid w:val="00DB72DC"/>
    <w:rsid w:val="00DB72DD"/>
    <w:rsid w:val="00DB75A7"/>
    <w:rsid w:val="00DB7DB4"/>
    <w:rsid w:val="00DC0C95"/>
    <w:rsid w:val="00DC128B"/>
    <w:rsid w:val="00DC133F"/>
    <w:rsid w:val="00DC1487"/>
    <w:rsid w:val="00DC16A6"/>
    <w:rsid w:val="00DC1802"/>
    <w:rsid w:val="00DC1A79"/>
    <w:rsid w:val="00DC2028"/>
    <w:rsid w:val="00DC21E3"/>
    <w:rsid w:val="00DC24B2"/>
    <w:rsid w:val="00DC29E1"/>
    <w:rsid w:val="00DC361F"/>
    <w:rsid w:val="00DC37FF"/>
    <w:rsid w:val="00DC3DDB"/>
    <w:rsid w:val="00DC401E"/>
    <w:rsid w:val="00DC4375"/>
    <w:rsid w:val="00DC46DE"/>
    <w:rsid w:val="00DC4D78"/>
    <w:rsid w:val="00DC4F0B"/>
    <w:rsid w:val="00DC523C"/>
    <w:rsid w:val="00DC5293"/>
    <w:rsid w:val="00DC5570"/>
    <w:rsid w:val="00DC6736"/>
    <w:rsid w:val="00DC677A"/>
    <w:rsid w:val="00DC6992"/>
    <w:rsid w:val="00DC76FF"/>
    <w:rsid w:val="00DC7F2D"/>
    <w:rsid w:val="00DD2A77"/>
    <w:rsid w:val="00DD2FA4"/>
    <w:rsid w:val="00DD3AF8"/>
    <w:rsid w:val="00DD3EAD"/>
    <w:rsid w:val="00DD40A2"/>
    <w:rsid w:val="00DD4654"/>
    <w:rsid w:val="00DD4F6A"/>
    <w:rsid w:val="00DD526C"/>
    <w:rsid w:val="00DD5C02"/>
    <w:rsid w:val="00DD628D"/>
    <w:rsid w:val="00DD631D"/>
    <w:rsid w:val="00DD63EC"/>
    <w:rsid w:val="00DD6580"/>
    <w:rsid w:val="00DD663E"/>
    <w:rsid w:val="00DD6C46"/>
    <w:rsid w:val="00DD6C48"/>
    <w:rsid w:val="00DD7436"/>
    <w:rsid w:val="00DD7A9E"/>
    <w:rsid w:val="00DD7E6A"/>
    <w:rsid w:val="00DD7F13"/>
    <w:rsid w:val="00DE2377"/>
    <w:rsid w:val="00DE2AD3"/>
    <w:rsid w:val="00DE3069"/>
    <w:rsid w:val="00DE328D"/>
    <w:rsid w:val="00DE329D"/>
    <w:rsid w:val="00DE3A39"/>
    <w:rsid w:val="00DE3E04"/>
    <w:rsid w:val="00DE4A23"/>
    <w:rsid w:val="00DE4B81"/>
    <w:rsid w:val="00DE51B9"/>
    <w:rsid w:val="00DE57F9"/>
    <w:rsid w:val="00DE5896"/>
    <w:rsid w:val="00DE5910"/>
    <w:rsid w:val="00DE5B7E"/>
    <w:rsid w:val="00DE6406"/>
    <w:rsid w:val="00DE6586"/>
    <w:rsid w:val="00DE6894"/>
    <w:rsid w:val="00DE6964"/>
    <w:rsid w:val="00DE7510"/>
    <w:rsid w:val="00DE75BA"/>
    <w:rsid w:val="00DE77C3"/>
    <w:rsid w:val="00DE77D6"/>
    <w:rsid w:val="00DE7C9E"/>
    <w:rsid w:val="00DF0061"/>
    <w:rsid w:val="00DF17FA"/>
    <w:rsid w:val="00DF18F9"/>
    <w:rsid w:val="00DF1B4F"/>
    <w:rsid w:val="00DF1B50"/>
    <w:rsid w:val="00DF1C15"/>
    <w:rsid w:val="00DF23CB"/>
    <w:rsid w:val="00DF2666"/>
    <w:rsid w:val="00DF2C1C"/>
    <w:rsid w:val="00DF37A9"/>
    <w:rsid w:val="00DF3F95"/>
    <w:rsid w:val="00DF4003"/>
    <w:rsid w:val="00DF4323"/>
    <w:rsid w:val="00DF464D"/>
    <w:rsid w:val="00DF48AF"/>
    <w:rsid w:val="00DF5145"/>
    <w:rsid w:val="00DF5283"/>
    <w:rsid w:val="00DF6180"/>
    <w:rsid w:val="00DF6B01"/>
    <w:rsid w:val="00DF714E"/>
    <w:rsid w:val="00DF7186"/>
    <w:rsid w:val="00DF71E3"/>
    <w:rsid w:val="00DF731A"/>
    <w:rsid w:val="00DF755A"/>
    <w:rsid w:val="00DF7671"/>
    <w:rsid w:val="00DF7A1B"/>
    <w:rsid w:val="00E0040E"/>
    <w:rsid w:val="00E00551"/>
    <w:rsid w:val="00E00ECD"/>
    <w:rsid w:val="00E010BA"/>
    <w:rsid w:val="00E014BE"/>
    <w:rsid w:val="00E0187B"/>
    <w:rsid w:val="00E01A71"/>
    <w:rsid w:val="00E01B87"/>
    <w:rsid w:val="00E01D7F"/>
    <w:rsid w:val="00E01F23"/>
    <w:rsid w:val="00E01F96"/>
    <w:rsid w:val="00E020A7"/>
    <w:rsid w:val="00E02249"/>
    <w:rsid w:val="00E02A5E"/>
    <w:rsid w:val="00E02C29"/>
    <w:rsid w:val="00E02FA7"/>
    <w:rsid w:val="00E03588"/>
    <w:rsid w:val="00E03F69"/>
    <w:rsid w:val="00E0415F"/>
    <w:rsid w:val="00E047E6"/>
    <w:rsid w:val="00E04A95"/>
    <w:rsid w:val="00E050C8"/>
    <w:rsid w:val="00E05B86"/>
    <w:rsid w:val="00E05C03"/>
    <w:rsid w:val="00E0602F"/>
    <w:rsid w:val="00E06099"/>
    <w:rsid w:val="00E0624F"/>
    <w:rsid w:val="00E06A90"/>
    <w:rsid w:val="00E06AB9"/>
    <w:rsid w:val="00E06E51"/>
    <w:rsid w:val="00E0789C"/>
    <w:rsid w:val="00E078C2"/>
    <w:rsid w:val="00E079F9"/>
    <w:rsid w:val="00E07EDF"/>
    <w:rsid w:val="00E102F8"/>
    <w:rsid w:val="00E10301"/>
    <w:rsid w:val="00E1076A"/>
    <w:rsid w:val="00E10884"/>
    <w:rsid w:val="00E10D91"/>
    <w:rsid w:val="00E114A9"/>
    <w:rsid w:val="00E11585"/>
    <w:rsid w:val="00E11A7D"/>
    <w:rsid w:val="00E11D6F"/>
    <w:rsid w:val="00E1286B"/>
    <w:rsid w:val="00E12986"/>
    <w:rsid w:val="00E1298C"/>
    <w:rsid w:val="00E12AE3"/>
    <w:rsid w:val="00E13295"/>
    <w:rsid w:val="00E13890"/>
    <w:rsid w:val="00E13C04"/>
    <w:rsid w:val="00E13CA3"/>
    <w:rsid w:val="00E13D46"/>
    <w:rsid w:val="00E142D6"/>
    <w:rsid w:val="00E14362"/>
    <w:rsid w:val="00E14AB0"/>
    <w:rsid w:val="00E14EF6"/>
    <w:rsid w:val="00E152F4"/>
    <w:rsid w:val="00E15346"/>
    <w:rsid w:val="00E15CFB"/>
    <w:rsid w:val="00E16344"/>
    <w:rsid w:val="00E16349"/>
    <w:rsid w:val="00E1664E"/>
    <w:rsid w:val="00E166BA"/>
    <w:rsid w:val="00E1748C"/>
    <w:rsid w:val="00E1788E"/>
    <w:rsid w:val="00E17C72"/>
    <w:rsid w:val="00E17D56"/>
    <w:rsid w:val="00E17FAD"/>
    <w:rsid w:val="00E20018"/>
    <w:rsid w:val="00E20289"/>
    <w:rsid w:val="00E20DB9"/>
    <w:rsid w:val="00E211B1"/>
    <w:rsid w:val="00E214D6"/>
    <w:rsid w:val="00E21896"/>
    <w:rsid w:val="00E21FC6"/>
    <w:rsid w:val="00E2252C"/>
    <w:rsid w:val="00E22E5A"/>
    <w:rsid w:val="00E23105"/>
    <w:rsid w:val="00E23E38"/>
    <w:rsid w:val="00E244BD"/>
    <w:rsid w:val="00E24608"/>
    <w:rsid w:val="00E24697"/>
    <w:rsid w:val="00E24767"/>
    <w:rsid w:val="00E24AA4"/>
    <w:rsid w:val="00E25520"/>
    <w:rsid w:val="00E26087"/>
    <w:rsid w:val="00E2639D"/>
    <w:rsid w:val="00E2668B"/>
    <w:rsid w:val="00E2670C"/>
    <w:rsid w:val="00E267A2"/>
    <w:rsid w:val="00E272F0"/>
    <w:rsid w:val="00E276D9"/>
    <w:rsid w:val="00E3061C"/>
    <w:rsid w:val="00E30676"/>
    <w:rsid w:val="00E30698"/>
    <w:rsid w:val="00E30B3E"/>
    <w:rsid w:val="00E310EA"/>
    <w:rsid w:val="00E31180"/>
    <w:rsid w:val="00E3153B"/>
    <w:rsid w:val="00E3194F"/>
    <w:rsid w:val="00E325A1"/>
    <w:rsid w:val="00E331C6"/>
    <w:rsid w:val="00E33466"/>
    <w:rsid w:val="00E33E35"/>
    <w:rsid w:val="00E341D8"/>
    <w:rsid w:val="00E34230"/>
    <w:rsid w:val="00E3426B"/>
    <w:rsid w:val="00E35630"/>
    <w:rsid w:val="00E35A57"/>
    <w:rsid w:val="00E35B4A"/>
    <w:rsid w:val="00E361B9"/>
    <w:rsid w:val="00E36B9A"/>
    <w:rsid w:val="00E404FD"/>
    <w:rsid w:val="00E40782"/>
    <w:rsid w:val="00E40B44"/>
    <w:rsid w:val="00E41292"/>
    <w:rsid w:val="00E41740"/>
    <w:rsid w:val="00E41B5B"/>
    <w:rsid w:val="00E42103"/>
    <w:rsid w:val="00E42996"/>
    <w:rsid w:val="00E42CAA"/>
    <w:rsid w:val="00E431A9"/>
    <w:rsid w:val="00E43474"/>
    <w:rsid w:val="00E436F7"/>
    <w:rsid w:val="00E43927"/>
    <w:rsid w:val="00E4406C"/>
    <w:rsid w:val="00E44660"/>
    <w:rsid w:val="00E44BA6"/>
    <w:rsid w:val="00E44C1E"/>
    <w:rsid w:val="00E450CC"/>
    <w:rsid w:val="00E45DFD"/>
    <w:rsid w:val="00E464EA"/>
    <w:rsid w:val="00E46F13"/>
    <w:rsid w:val="00E4707F"/>
    <w:rsid w:val="00E4790E"/>
    <w:rsid w:val="00E47E1E"/>
    <w:rsid w:val="00E50AF9"/>
    <w:rsid w:val="00E51DC1"/>
    <w:rsid w:val="00E521E4"/>
    <w:rsid w:val="00E52A95"/>
    <w:rsid w:val="00E52F8B"/>
    <w:rsid w:val="00E53125"/>
    <w:rsid w:val="00E5320E"/>
    <w:rsid w:val="00E53282"/>
    <w:rsid w:val="00E534B9"/>
    <w:rsid w:val="00E534D9"/>
    <w:rsid w:val="00E5355B"/>
    <w:rsid w:val="00E54597"/>
    <w:rsid w:val="00E54B28"/>
    <w:rsid w:val="00E54B2F"/>
    <w:rsid w:val="00E5504F"/>
    <w:rsid w:val="00E551CE"/>
    <w:rsid w:val="00E55237"/>
    <w:rsid w:val="00E557E1"/>
    <w:rsid w:val="00E558F6"/>
    <w:rsid w:val="00E55D28"/>
    <w:rsid w:val="00E56075"/>
    <w:rsid w:val="00E56437"/>
    <w:rsid w:val="00E57547"/>
    <w:rsid w:val="00E57767"/>
    <w:rsid w:val="00E57F52"/>
    <w:rsid w:val="00E6075E"/>
    <w:rsid w:val="00E615E6"/>
    <w:rsid w:val="00E6279D"/>
    <w:rsid w:val="00E62823"/>
    <w:rsid w:val="00E629E8"/>
    <w:rsid w:val="00E63B7B"/>
    <w:rsid w:val="00E63D77"/>
    <w:rsid w:val="00E64D79"/>
    <w:rsid w:val="00E64D90"/>
    <w:rsid w:val="00E65920"/>
    <w:rsid w:val="00E65E9B"/>
    <w:rsid w:val="00E66386"/>
    <w:rsid w:val="00E669E2"/>
    <w:rsid w:val="00E66B31"/>
    <w:rsid w:val="00E66D56"/>
    <w:rsid w:val="00E66DCF"/>
    <w:rsid w:val="00E67E91"/>
    <w:rsid w:val="00E7021E"/>
    <w:rsid w:val="00E70501"/>
    <w:rsid w:val="00E7073C"/>
    <w:rsid w:val="00E707FF"/>
    <w:rsid w:val="00E711C1"/>
    <w:rsid w:val="00E71389"/>
    <w:rsid w:val="00E713A0"/>
    <w:rsid w:val="00E72336"/>
    <w:rsid w:val="00E72669"/>
    <w:rsid w:val="00E72CD2"/>
    <w:rsid w:val="00E73622"/>
    <w:rsid w:val="00E739CB"/>
    <w:rsid w:val="00E73D90"/>
    <w:rsid w:val="00E73DED"/>
    <w:rsid w:val="00E740FF"/>
    <w:rsid w:val="00E747BF"/>
    <w:rsid w:val="00E75146"/>
    <w:rsid w:val="00E75C9C"/>
    <w:rsid w:val="00E76135"/>
    <w:rsid w:val="00E7770B"/>
    <w:rsid w:val="00E800F7"/>
    <w:rsid w:val="00E804F4"/>
    <w:rsid w:val="00E805B1"/>
    <w:rsid w:val="00E806D6"/>
    <w:rsid w:val="00E807AD"/>
    <w:rsid w:val="00E80C7F"/>
    <w:rsid w:val="00E81274"/>
    <w:rsid w:val="00E81501"/>
    <w:rsid w:val="00E82138"/>
    <w:rsid w:val="00E82144"/>
    <w:rsid w:val="00E82BE9"/>
    <w:rsid w:val="00E82F4F"/>
    <w:rsid w:val="00E832E5"/>
    <w:rsid w:val="00E839F2"/>
    <w:rsid w:val="00E843F0"/>
    <w:rsid w:val="00E847DF"/>
    <w:rsid w:val="00E849C2"/>
    <w:rsid w:val="00E84C3D"/>
    <w:rsid w:val="00E85A59"/>
    <w:rsid w:val="00E85B27"/>
    <w:rsid w:val="00E85FA3"/>
    <w:rsid w:val="00E86381"/>
    <w:rsid w:val="00E864DF"/>
    <w:rsid w:val="00E8653A"/>
    <w:rsid w:val="00E86610"/>
    <w:rsid w:val="00E8670E"/>
    <w:rsid w:val="00E86713"/>
    <w:rsid w:val="00E86C8C"/>
    <w:rsid w:val="00E871AF"/>
    <w:rsid w:val="00E87A01"/>
    <w:rsid w:val="00E87B59"/>
    <w:rsid w:val="00E87DFE"/>
    <w:rsid w:val="00E90E78"/>
    <w:rsid w:val="00E9114D"/>
    <w:rsid w:val="00E91E5A"/>
    <w:rsid w:val="00E920EC"/>
    <w:rsid w:val="00E921D4"/>
    <w:rsid w:val="00E92474"/>
    <w:rsid w:val="00E92E35"/>
    <w:rsid w:val="00E92F98"/>
    <w:rsid w:val="00E932A2"/>
    <w:rsid w:val="00E93B6D"/>
    <w:rsid w:val="00E93D6E"/>
    <w:rsid w:val="00E941D1"/>
    <w:rsid w:val="00E94712"/>
    <w:rsid w:val="00E9491E"/>
    <w:rsid w:val="00E94CE7"/>
    <w:rsid w:val="00E94F89"/>
    <w:rsid w:val="00E957BB"/>
    <w:rsid w:val="00E95E36"/>
    <w:rsid w:val="00E966EF"/>
    <w:rsid w:val="00E96709"/>
    <w:rsid w:val="00E9681C"/>
    <w:rsid w:val="00E96981"/>
    <w:rsid w:val="00E96E1B"/>
    <w:rsid w:val="00EA093A"/>
    <w:rsid w:val="00EA11C1"/>
    <w:rsid w:val="00EA251F"/>
    <w:rsid w:val="00EA2799"/>
    <w:rsid w:val="00EA376A"/>
    <w:rsid w:val="00EA392E"/>
    <w:rsid w:val="00EA4085"/>
    <w:rsid w:val="00EA420A"/>
    <w:rsid w:val="00EA463A"/>
    <w:rsid w:val="00EA46AB"/>
    <w:rsid w:val="00EA4FE0"/>
    <w:rsid w:val="00EA524F"/>
    <w:rsid w:val="00EA56A4"/>
    <w:rsid w:val="00EA57CE"/>
    <w:rsid w:val="00EA5980"/>
    <w:rsid w:val="00EA5B09"/>
    <w:rsid w:val="00EA6053"/>
    <w:rsid w:val="00EA62AB"/>
    <w:rsid w:val="00EA70EB"/>
    <w:rsid w:val="00EA718D"/>
    <w:rsid w:val="00EA73CD"/>
    <w:rsid w:val="00EA75EB"/>
    <w:rsid w:val="00EA79D9"/>
    <w:rsid w:val="00EA7A97"/>
    <w:rsid w:val="00EB006A"/>
    <w:rsid w:val="00EB02A3"/>
    <w:rsid w:val="00EB066E"/>
    <w:rsid w:val="00EB095C"/>
    <w:rsid w:val="00EB133F"/>
    <w:rsid w:val="00EB1A26"/>
    <w:rsid w:val="00EB1E2E"/>
    <w:rsid w:val="00EB2300"/>
    <w:rsid w:val="00EB2582"/>
    <w:rsid w:val="00EB2C96"/>
    <w:rsid w:val="00EB2CC3"/>
    <w:rsid w:val="00EB309B"/>
    <w:rsid w:val="00EB317E"/>
    <w:rsid w:val="00EB3202"/>
    <w:rsid w:val="00EB37E6"/>
    <w:rsid w:val="00EB39D3"/>
    <w:rsid w:val="00EB3E59"/>
    <w:rsid w:val="00EB3E8E"/>
    <w:rsid w:val="00EB429D"/>
    <w:rsid w:val="00EB4AEE"/>
    <w:rsid w:val="00EB4F08"/>
    <w:rsid w:val="00EB5597"/>
    <w:rsid w:val="00EB55F7"/>
    <w:rsid w:val="00EB5ACB"/>
    <w:rsid w:val="00EB6BEF"/>
    <w:rsid w:val="00EC00DF"/>
    <w:rsid w:val="00EC058F"/>
    <w:rsid w:val="00EC0942"/>
    <w:rsid w:val="00EC0A92"/>
    <w:rsid w:val="00EC0F17"/>
    <w:rsid w:val="00EC12CB"/>
    <w:rsid w:val="00EC17F9"/>
    <w:rsid w:val="00EC1973"/>
    <w:rsid w:val="00EC1A04"/>
    <w:rsid w:val="00EC1F6A"/>
    <w:rsid w:val="00EC2668"/>
    <w:rsid w:val="00EC2844"/>
    <w:rsid w:val="00EC3697"/>
    <w:rsid w:val="00EC36E9"/>
    <w:rsid w:val="00EC4317"/>
    <w:rsid w:val="00EC43DE"/>
    <w:rsid w:val="00EC46E8"/>
    <w:rsid w:val="00EC4A44"/>
    <w:rsid w:val="00EC4FFF"/>
    <w:rsid w:val="00EC5500"/>
    <w:rsid w:val="00EC56BC"/>
    <w:rsid w:val="00EC577F"/>
    <w:rsid w:val="00EC5901"/>
    <w:rsid w:val="00EC667C"/>
    <w:rsid w:val="00EC66FC"/>
    <w:rsid w:val="00EC691D"/>
    <w:rsid w:val="00EC6922"/>
    <w:rsid w:val="00EC6FA7"/>
    <w:rsid w:val="00EC7215"/>
    <w:rsid w:val="00EC7590"/>
    <w:rsid w:val="00EC7767"/>
    <w:rsid w:val="00EC7F7D"/>
    <w:rsid w:val="00ED03B5"/>
    <w:rsid w:val="00ED0A81"/>
    <w:rsid w:val="00ED0AD6"/>
    <w:rsid w:val="00ED1130"/>
    <w:rsid w:val="00ED1449"/>
    <w:rsid w:val="00ED1603"/>
    <w:rsid w:val="00ED16DF"/>
    <w:rsid w:val="00ED18F8"/>
    <w:rsid w:val="00ED1F5B"/>
    <w:rsid w:val="00ED21C7"/>
    <w:rsid w:val="00ED2C0F"/>
    <w:rsid w:val="00ED31AA"/>
    <w:rsid w:val="00ED427D"/>
    <w:rsid w:val="00ED53D5"/>
    <w:rsid w:val="00ED5468"/>
    <w:rsid w:val="00ED57A2"/>
    <w:rsid w:val="00ED5AFA"/>
    <w:rsid w:val="00ED5C53"/>
    <w:rsid w:val="00ED72D3"/>
    <w:rsid w:val="00EE0403"/>
    <w:rsid w:val="00EE0D75"/>
    <w:rsid w:val="00EE1567"/>
    <w:rsid w:val="00EE230A"/>
    <w:rsid w:val="00EE270B"/>
    <w:rsid w:val="00EE29CC"/>
    <w:rsid w:val="00EE2F38"/>
    <w:rsid w:val="00EE3127"/>
    <w:rsid w:val="00EE31B8"/>
    <w:rsid w:val="00EE40C6"/>
    <w:rsid w:val="00EE422C"/>
    <w:rsid w:val="00EE497B"/>
    <w:rsid w:val="00EE4C99"/>
    <w:rsid w:val="00EE659B"/>
    <w:rsid w:val="00EE6AB9"/>
    <w:rsid w:val="00EE6EDA"/>
    <w:rsid w:val="00EE6F2A"/>
    <w:rsid w:val="00EE778E"/>
    <w:rsid w:val="00EE7B7C"/>
    <w:rsid w:val="00EE7F55"/>
    <w:rsid w:val="00EF064F"/>
    <w:rsid w:val="00EF0DC9"/>
    <w:rsid w:val="00EF117B"/>
    <w:rsid w:val="00EF12DB"/>
    <w:rsid w:val="00EF1B97"/>
    <w:rsid w:val="00EF2696"/>
    <w:rsid w:val="00EF2CF5"/>
    <w:rsid w:val="00EF2E2D"/>
    <w:rsid w:val="00EF323C"/>
    <w:rsid w:val="00EF335E"/>
    <w:rsid w:val="00EF375F"/>
    <w:rsid w:val="00EF3C2A"/>
    <w:rsid w:val="00EF3CAE"/>
    <w:rsid w:val="00EF3D6C"/>
    <w:rsid w:val="00EF4846"/>
    <w:rsid w:val="00EF48AA"/>
    <w:rsid w:val="00EF48D5"/>
    <w:rsid w:val="00EF493A"/>
    <w:rsid w:val="00EF4CE4"/>
    <w:rsid w:val="00EF4D15"/>
    <w:rsid w:val="00EF587C"/>
    <w:rsid w:val="00EF5B56"/>
    <w:rsid w:val="00EF5CE6"/>
    <w:rsid w:val="00EF6326"/>
    <w:rsid w:val="00EF664A"/>
    <w:rsid w:val="00EF6719"/>
    <w:rsid w:val="00EF6C6C"/>
    <w:rsid w:val="00EF70E1"/>
    <w:rsid w:val="00EF71B4"/>
    <w:rsid w:val="00EF78A0"/>
    <w:rsid w:val="00EF79C1"/>
    <w:rsid w:val="00EF7CCF"/>
    <w:rsid w:val="00EF7DEB"/>
    <w:rsid w:val="00EF7E21"/>
    <w:rsid w:val="00EF7FF1"/>
    <w:rsid w:val="00F0033F"/>
    <w:rsid w:val="00F004AB"/>
    <w:rsid w:val="00F00578"/>
    <w:rsid w:val="00F00743"/>
    <w:rsid w:val="00F008D0"/>
    <w:rsid w:val="00F01565"/>
    <w:rsid w:val="00F01632"/>
    <w:rsid w:val="00F017C5"/>
    <w:rsid w:val="00F01CD5"/>
    <w:rsid w:val="00F01E07"/>
    <w:rsid w:val="00F01F59"/>
    <w:rsid w:val="00F02345"/>
    <w:rsid w:val="00F02C65"/>
    <w:rsid w:val="00F02E73"/>
    <w:rsid w:val="00F035FE"/>
    <w:rsid w:val="00F03983"/>
    <w:rsid w:val="00F0454E"/>
    <w:rsid w:val="00F046EB"/>
    <w:rsid w:val="00F05002"/>
    <w:rsid w:val="00F0511F"/>
    <w:rsid w:val="00F056FC"/>
    <w:rsid w:val="00F05711"/>
    <w:rsid w:val="00F0580A"/>
    <w:rsid w:val="00F05C91"/>
    <w:rsid w:val="00F05D15"/>
    <w:rsid w:val="00F0632F"/>
    <w:rsid w:val="00F066D0"/>
    <w:rsid w:val="00F069AE"/>
    <w:rsid w:val="00F06A2E"/>
    <w:rsid w:val="00F06EF7"/>
    <w:rsid w:val="00F06F26"/>
    <w:rsid w:val="00F0722B"/>
    <w:rsid w:val="00F07469"/>
    <w:rsid w:val="00F074D5"/>
    <w:rsid w:val="00F10476"/>
    <w:rsid w:val="00F10893"/>
    <w:rsid w:val="00F10BA6"/>
    <w:rsid w:val="00F10E4D"/>
    <w:rsid w:val="00F112C5"/>
    <w:rsid w:val="00F1134F"/>
    <w:rsid w:val="00F113BE"/>
    <w:rsid w:val="00F117DF"/>
    <w:rsid w:val="00F11C23"/>
    <w:rsid w:val="00F11C40"/>
    <w:rsid w:val="00F11C4F"/>
    <w:rsid w:val="00F1209C"/>
    <w:rsid w:val="00F12328"/>
    <w:rsid w:val="00F13225"/>
    <w:rsid w:val="00F135D8"/>
    <w:rsid w:val="00F137C5"/>
    <w:rsid w:val="00F13AEB"/>
    <w:rsid w:val="00F13CD0"/>
    <w:rsid w:val="00F14572"/>
    <w:rsid w:val="00F15112"/>
    <w:rsid w:val="00F16238"/>
    <w:rsid w:val="00F17016"/>
    <w:rsid w:val="00F17090"/>
    <w:rsid w:val="00F17381"/>
    <w:rsid w:val="00F177AD"/>
    <w:rsid w:val="00F177F7"/>
    <w:rsid w:val="00F20C2D"/>
    <w:rsid w:val="00F229DE"/>
    <w:rsid w:val="00F235BF"/>
    <w:rsid w:val="00F2391D"/>
    <w:rsid w:val="00F23D39"/>
    <w:rsid w:val="00F242E7"/>
    <w:rsid w:val="00F244D6"/>
    <w:rsid w:val="00F246C1"/>
    <w:rsid w:val="00F24A9C"/>
    <w:rsid w:val="00F24D04"/>
    <w:rsid w:val="00F259C1"/>
    <w:rsid w:val="00F25B39"/>
    <w:rsid w:val="00F25E06"/>
    <w:rsid w:val="00F2605C"/>
    <w:rsid w:val="00F26070"/>
    <w:rsid w:val="00F261B7"/>
    <w:rsid w:val="00F263F2"/>
    <w:rsid w:val="00F2666A"/>
    <w:rsid w:val="00F26E31"/>
    <w:rsid w:val="00F277A3"/>
    <w:rsid w:val="00F27BB4"/>
    <w:rsid w:val="00F302DB"/>
    <w:rsid w:val="00F30957"/>
    <w:rsid w:val="00F30A6A"/>
    <w:rsid w:val="00F30C47"/>
    <w:rsid w:val="00F30ECC"/>
    <w:rsid w:val="00F30F69"/>
    <w:rsid w:val="00F31299"/>
    <w:rsid w:val="00F3129A"/>
    <w:rsid w:val="00F313EA"/>
    <w:rsid w:val="00F316CE"/>
    <w:rsid w:val="00F31AA7"/>
    <w:rsid w:val="00F31AE6"/>
    <w:rsid w:val="00F31C02"/>
    <w:rsid w:val="00F31CC0"/>
    <w:rsid w:val="00F322C0"/>
    <w:rsid w:val="00F329EB"/>
    <w:rsid w:val="00F32AD0"/>
    <w:rsid w:val="00F32FF0"/>
    <w:rsid w:val="00F3318B"/>
    <w:rsid w:val="00F332C4"/>
    <w:rsid w:val="00F34164"/>
    <w:rsid w:val="00F34F5B"/>
    <w:rsid w:val="00F3534A"/>
    <w:rsid w:val="00F35903"/>
    <w:rsid w:val="00F35BFB"/>
    <w:rsid w:val="00F35F85"/>
    <w:rsid w:val="00F3625E"/>
    <w:rsid w:val="00F36516"/>
    <w:rsid w:val="00F36ACC"/>
    <w:rsid w:val="00F371C5"/>
    <w:rsid w:val="00F37346"/>
    <w:rsid w:val="00F3744B"/>
    <w:rsid w:val="00F374EE"/>
    <w:rsid w:val="00F3798C"/>
    <w:rsid w:val="00F37B2F"/>
    <w:rsid w:val="00F37B57"/>
    <w:rsid w:val="00F37BF4"/>
    <w:rsid w:val="00F37E79"/>
    <w:rsid w:val="00F37EAC"/>
    <w:rsid w:val="00F40145"/>
    <w:rsid w:val="00F40307"/>
    <w:rsid w:val="00F4094C"/>
    <w:rsid w:val="00F40BEF"/>
    <w:rsid w:val="00F41316"/>
    <w:rsid w:val="00F41C77"/>
    <w:rsid w:val="00F41E24"/>
    <w:rsid w:val="00F41EF9"/>
    <w:rsid w:val="00F425D5"/>
    <w:rsid w:val="00F42972"/>
    <w:rsid w:val="00F42981"/>
    <w:rsid w:val="00F42BAB"/>
    <w:rsid w:val="00F42C63"/>
    <w:rsid w:val="00F4364A"/>
    <w:rsid w:val="00F43D45"/>
    <w:rsid w:val="00F44386"/>
    <w:rsid w:val="00F44673"/>
    <w:rsid w:val="00F4490C"/>
    <w:rsid w:val="00F454C4"/>
    <w:rsid w:val="00F45B3B"/>
    <w:rsid w:val="00F45D8B"/>
    <w:rsid w:val="00F45DD6"/>
    <w:rsid w:val="00F46589"/>
    <w:rsid w:val="00F4667D"/>
    <w:rsid w:val="00F47C88"/>
    <w:rsid w:val="00F50BE4"/>
    <w:rsid w:val="00F51113"/>
    <w:rsid w:val="00F51609"/>
    <w:rsid w:val="00F51A75"/>
    <w:rsid w:val="00F51CD4"/>
    <w:rsid w:val="00F51D54"/>
    <w:rsid w:val="00F51EC3"/>
    <w:rsid w:val="00F5233C"/>
    <w:rsid w:val="00F52D8A"/>
    <w:rsid w:val="00F532C2"/>
    <w:rsid w:val="00F53331"/>
    <w:rsid w:val="00F53CC9"/>
    <w:rsid w:val="00F53D95"/>
    <w:rsid w:val="00F54456"/>
    <w:rsid w:val="00F5474D"/>
    <w:rsid w:val="00F54E04"/>
    <w:rsid w:val="00F55C25"/>
    <w:rsid w:val="00F55E4C"/>
    <w:rsid w:val="00F56C02"/>
    <w:rsid w:val="00F56CF5"/>
    <w:rsid w:val="00F5795F"/>
    <w:rsid w:val="00F603AE"/>
    <w:rsid w:val="00F60523"/>
    <w:rsid w:val="00F60537"/>
    <w:rsid w:val="00F60D7E"/>
    <w:rsid w:val="00F60EEA"/>
    <w:rsid w:val="00F610BE"/>
    <w:rsid w:val="00F61568"/>
    <w:rsid w:val="00F61821"/>
    <w:rsid w:val="00F61F8D"/>
    <w:rsid w:val="00F6211A"/>
    <w:rsid w:val="00F6365D"/>
    <w:rsid w:val="00F643D1"/>
    <w:rsid w:val="00F65AD8"/>
    <w:rsid w:val="00F65E55"/>
    <w:rsid w:val="00F66A83"/>
    <w:rsid w:val="00F67049"/>
    <w:rsid w:val="00F67209"/>
    <w:rsid w:val="00F70080"/>
    <w:rsid w:val="00F706D7"/>
    <w:rsid w:val="00F71722"/>
    <w:rsid w:val="00F71E27"/>
    <w:rsid w:val="00F71FAC"/>
    <w:rsid w:val="00F72D4F"/>
    <w:rsid w:val="00F73665"/>
    <w:rsid w:val="00F73727"/>
    <w:rsid w:val="00F7446E"/>
    <w:rsid w:val="00F7464A"/>
    <w:rsid w:val="00F74BE7"/>
    <w:rsid w:val="00F74F0B"/>
    <w:rsid w:val="00F76527"/>
    <w:rsid w:val="00F76678"/>
    <w:rsid w:val="00F766A7"/>
    <w:rsid w:val="00F76A90"/>
    <w:rsid w:val="00F76CB9"/>
    <w:rsid w:val="00F775D3"/>
    <w:rsid w:val="00F776D1"/>
    <w:rsid w:val="00F8029C"/>
    <w:rsid w:val="00F80ACF"/>
    <w:rsid w:val="00F80FBE"/>
    <w:rsid w:val="00F81006"/>
    <w:rsid w:val="00F812BC"/>
    <w:rsid w:val="00F812E9"/>
    <w:rsid w:val="00F814C4"/>
    <w:rsid w:val="00F81A91"/>
    <w:rsid w:val="00F823AF"/>
    <w:rsid w:val="00F82663"/>
    <w:rsid w:val="00F8273F"/>
    <w:rsid w:val="00F82DC4"/>
    <w:rsid w:val="00F83327"/>
    <w:rsid w:val="00F8463F"/>
    <w:rsid w:val="00F84D67"/>
    <w:rsid w:val="00F85271"/>
    <w:rsid w:val="00F85325"/>
    <w:rsid w:val="00F85532"/>
    <w:rsid w:val="00F8588F"/>
    <w:rsid w:val="00F85E1E"/>
    <w:rsid w:val="00F86716"/>
    <w:rsid w:val="00F871C6"/>
    <w:rsid w:val="00F878F4"/>
    <w:rsid w:val="00F87923"/>
    <w:rsid w:val="00F87DEC"/>
    <w:rsid w:val="00F905BE"/>
    <w:rsid w:val="00F90838"/>
    <w:rsid w:val="00F91016"/>
    <w:rsid w:val="00F91386"/>
    <w:rsid w:val="00F91C55"/>
    <w:rsid w:val="00F91D2D"/>
    <w:rsid w:val="00F927D6"/>
    <w:rsid w:val="00F9282E"/>
    <w:rsid w:val="00F928B2"/>
    <w:rsid w:val="00F92B81"/>
    <w:rsid w:val="00F93291"/>
    <w:rsid w:val="00F93749"/>
    <w:rsid w:val="00F93B70"/>
    <w:rsid w:val="00F93C76"/>
    <w:rsid w:val="00F94134"/>
    <w:rsid w:val="00F945D0"/>
    <w:rsid w:val="00F949ED"/>
    <w:rsid w:val="00F94CF0"/>
    <w:rsid w:val="00F94DDD"/>
    <w:rsid w:val="00F94F1B"/>
    <w:rsid w:val="00F9518A"/>
    <w:rsid w:val="00F95E54"/>
    <w:rsid w:val="00F9614D"/>
    <w:rsid w:val="00F96387"/>
    <w:rsid w:val="00F9701C"/>
    <w:rsid w:val="00F97702"/>
    <w:rsid w:val="00F97DF1"/>
    <w:rsid w:val="00F97E5A"/>
    <w:rsid w:val="00F97F79"/>
    <w:rsid w:val="00F97F87"/>
    <w:rsid w:val="00FA0074"/>
    <w:rsid w:val="00FA0182"/>
    <w:rsid w:val="00FA01C5"/>
    <w:rsid w:val="00FA09B0"/>
    <w:rsid w:val="00FA1238"/>
    <w:rsid w:val="00FA14AB"/>
    <w:rsid w:val="00FA224A"/>
    <w:rsid w:val="00FA37F9"/>
    <w:rsid w:val="00FA3DE4"/>
    <w:rsid w:val="00FA40E6"/>
    <w:rsid w:val="00FA4423"/>
    <w:rsid w:val="00FA4EFA"/>
    <w:rsid w:val="00FA51E0"/>
    <w:rsid w:val="00FA57DA"/>
    <w:rsid w:val="00FA5E78"/>
    <w:rsid w:val="00FA68D4"/>
    <w:rsid w:val="00FA7186"/>
    <w:rsid w:val="00FA774E"/>
    <w:rsid w:val="00FA7E8C"/>
    <w:rsid w:val="00FB03C9"/>
    <w:rsid w:val="00FB0BA5"/>
    <w:rsid w:val="00FB1672"/>
    <w:rsid w:val="00FB20EA"/>
    <w:rsid w:val="00FB2329"/>
    <w:rsid w:val="00FB33F8"/>
    <w:rsid w:val="00FB3ADF"/>
    <w:rsid w:val="00FB4573"/>
    <w:rsid w:val="00FB4BFE"/>
    <w:rsid w:val="00FB569B"/>
    <w:rsid w:val="00FB5B3B"/>
    <w:rsid w:val="00FB5FCD"/>
    <w:rsid w:val="00FB5FFE"/>
    <w:rsid w:val="00FB65E4"/>
    <w:rsid w:val="00FB6862"/>
    <w:rsid w:val="00FB73B4"/>
    <w:rsid w:val="00FB7E7A"/>
    <w:rsid w:val="00FC03B3"/>
    <w:rsid w:val="00FC157F"/>
    <w:rsid w:val="00FC15C8"/>
    <w:rsid w:val="00FC1944"/>
    <w:rsid w:val="00FC31C1"/>
    <w:rsid w:val="00FC3845"/>
    <w:rsid w:val="00FC3D4A"/>
    <w:rsid w:val="00FC3D90"/>
    <w:rsid w:val="00FC3FEF"/>
    <w:rsid w:val="00FC41A0"/>
    <w:rsid w:val="00FC4205"/>
    <w:rsid w:val="00FC4FBC"/>
    <w:rsid w:val="00FC6B15"/>
    <w:rsid w:val="00FC6BB5"/>
    <w:rsid w:val="00FC73D6"/>
    <w:rsid w:val="00FC7EA9"/>
    <w:rsid w:val="00FD0036"/>
    <w:rsid w:val="00FD087E"/>
    <w:rsid w:val="00FD1479"/>
    <w:rsid w:val="00FD1DD1"/>
    <w:rsid w:val="00FD217C"/>
    <w:rsid w:val="00FD22B1"/>
    <w:rsid w:val="00FD2519"/>
    <w:rsid w:val="00FD27B0"/>
    <w:rsid w:val="00FD2954"/>
    <w:rsid w:val="00FD31E7"/>
    <w:rsid w:val="00FD33F1"/>
    <w:rsid w:val="00FD3447"/>
    <w:rsid w:val="00FD3453"/>
    <w:rsid w:val="00FD3566"/>
    <w:rsid w:val="00FD3A9E"/>
    <w:rsid w:val="00FD42CA"/>
    <w:rsid w:val="00FD5010"/>
    <w:rsid w:val="00FD545A"/>
    <w:rsid w:val="00FD5BAE"/>
    <w:rsid w:val="00FD5DE3"/>
    <w:rsid w:val="00FD61A0"/>
    <w:rsid w:val="00FD69EF"/>
    <w:rsid w:val="00FD6C97"/>
    <w:rsid w:val="00FD6DC9"/>
    <w:rsid w:val="00FD7098"/>
    <w:rsid w:val="00FD7306"/>
    <w:rsid w:val="00FD74C7"/>
    <w:rsid w:val="00FE1CAF"/>
    <w:rsid w:val="00FE23E1"/>
    <w:rsid w:val="00FE2EA5"/>
    <w:rsid w:val="00FE3961"/>
    <w:rsid w:val="00FE3AEE"/>
    <w:rsid w:val="00FE3C71"/>
    <w:rsid w:val="00FE441F"/>
    <w:rsid w:val="00FE4633"/>
    <w:rsid w:val="00FE495C"/>
    <w:rsid w:val="00FE4998"/>
    <w:rsid w:val="00FE4CD6"/>
    <w:rsid w:val="00FE4D13"/>
    <w:rsid w:val="00FE5334"/>
    <w:rsid w:val="00FE5397"/>
    <w:rsid w:val="00FE5BEA"/>
    <w:rsid w:val="00FE6697"/>
    <w:rsid w:val="00FE7A91"/>
    <w:rsid w:val="00FF053F"/>
    <w:rsid w:val="00FF0C75"/>
    <w:rsid w:val="00FF0E72"/>
    <w:rsid w:val="00FF0F30"/>
    <w:rsid w:val="00FF115B"/>
    <w:rsid w:val="00FF272A"/>
    <w:rsid w:val="00FF2865"/>
    <w:rsid w:val="00FF2D69"/>
    <w:rsid w:val="00FF2D8B"/>
    <w:rsid w:val="00FF35AC"/>
    <w:rsid w:val="00FF3B89"/>
    <w:rsid w:val="00FF3FC6"/>
    <w:rsid w:val="00FF471E"/>
    <w:rsid w:val="00FF4905"/>
    <w:rsid w:val="00FF4CA3"/>
    <w:rsid w:val="00FF4FC1"/>
    <w:rsid w:val="00FF53E8"/>
    <w:rsid w:val="00FF5521"/>
    <w:rsid w:val="00FF5AEF"/>
    <w:rsid w:val="00FF5C59"/>
    <w:rsid w:val="00FF5D00"/>
    <w:rsid w:val="00FF5E29"/>
    <w:rsid w:val="00FF617B"/>
    <w:rsid w:val="00FF636D"/>
    <w:rsid w:val="00FF6696"/>
    <w:rsid w:val="00FF68BE"/>
    <w:rsid w:val="00FF6B42"/>
    <w:rsid w:val="00FF6F2C"/>
    <w:rsid w:val="00FF7230"/>
    <w:rsid w:val="00FF7A8D"/>
    <w:rsid w:val="00FF7B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C4F6A4D3-6A55-441B-B7B6-265002CB8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2567"/>
    <w:rPr>
      <w:sz w:val="24"/>
      <w:szCs w:val="24"/>
    </w:rPr>
  </w:style>
  <w:style w:type="paragraph" w:styleId="Heading1">
    <w:name w:val="heading 1"/>
    <w:basedOn w:val="BodyText"/>
    <w:next w:val="BodyText"/>
    <w:rsid w:val="000F2567"/>
    <w:pPr>
      <w:keepNext/>
      <w:spacing w:before="160" w:after="1360" w:line="600" w:lineRule="exact"/>
      <w:ind w:left="907" w:hanging="907"/>
      <w:jc w:val="left"/>
      <w:outlineLvl w:val="0"/>
    </w:pPr>
    <w:rPr>
      <w:sz w:val="52"/>
    </w:rPr>
  </w:style>
  <w:style w:type="paragraph" w:styleId="Heading2">
    <w:name w:val="heading 2"/>
    <w:basedOn w:val="Chapter"/>
    <w:next w:val="BodyText"/>
    <w:qFormat/>
    <w:rsid w:val="000F2567"/>
    <w:pPr>
      <w:spacing w:before="600" w:after="0" w:line="400" w:lineRule="exact"/>
      <w:ind w:left="907" w:hanging="907"/>
      <w:outlineLvl w:val="1"/>
    </w:pPr>
    <w:rPr>
      <w:rFonts w:ascii="Arial" w:hAnsi="Arial"/>
      <w:b/>
      <w:sz w:val="32"/>
    </w:rPr>
  </w:style>
  <w:style w:type="paragraph" w:styleId="Heading3">
    <w:name w:val="heading 3"/>
    <w:basedOn w:val="Heading2"/>
    <w:next w:val="BodyText"/>
    <w:qFormat/>
    <w:rsid w:val="000F2567"/>
    <w:pPr>
      <w:spacing w:before="560" w:line="320" w:lineRule="exact"/>
      <w:ind w:left="0" w:firstLine="0"/>
      <w:outlineLvl w:val="2"/>
    </w:pPr>
    <w:rPr>
      <w:sz w:val="26"/>
    </w:rPr>
  </w:style>
  <w:style w:type="paragraph" w:styleId="Heading4">
    <w:name w:val="heading 4"/>
    <w:basedOn w:val="Heading3"/>
    <w:next w:val="BodyText"/>
    <w:qFormat/>
    <w:rsid w:val="000F2567"/>
    <w:pPr>
      <w:spacing w:before="480"/>
      <w:outlineLvl w:val="3"/>
    </w:pPr>
    <w:rPr>
      <w:b w:val="0"/>
      <w:sz w:val="24"/>
    </w:rPr>
  </w:style>
  <w:style w:type="paragraph" w:styleId="Heading5">
    <w:name w:val="heading 5"/>
    <w:basedOn w:val="Heading4"/>
    <w:next w:val="BodyText"/>
    <w:link w:val="Heading5Char"/>
    <w:qFormat/>
    <w:rsid w:val="000F2567"/>
    <w:pPr>
      <w:outlineLvl w:val="4"/>
    </w:pPr>
    <w:rPr>
      <w:i/>
      <w:sz w:val="22"/>
    </w:rPr>
  </w:style>
  <w:style w:type="paragraph" w:styleId="Heading6">
    <w:name w:val="heading 6"/>
    <w:basedOn w:val="BodyText"/>
    <w:next w:val="BodyText"/>
    <w:semiHidden/>
    <w:rsid w:val="000F2567"/>
    <w:pPr>
      <w:spacing w:after="60"/>
      <w:jc w:val="left"/>
      <w:outlineLvl w:val="5"/>
    </w:pPr>
    <w:rPr>
      <w:i/>
      <w:sz w:val="22"/>
    </w:rPr>
  </w:style>
  <w:style w:type="paragraph" w:styleId="Heading7">
    <w:name w:val="heading 7"/>
    <w:basedOn w:val="BodyText"/>
    <w:next w:val="BodyText"/>
    <w:semiHidden/>
    <w:rsid w:val="000F2567"/>
    <w:pPr>
      <w:spacing w:after="60" w:line="240" w:lineRule="auto"/>
      <w:jc w:val="left"/>
      <w:outlineLvl w:val="6"/>
    </w:pPr>
    <w:rPr>
      <w:rFonts w:ascii="Arial" w:hAnsi="Arial"/>
      <w:sz w:val="20"/>
    </w:rPr>
  </w:style>
  <w:style w:type="paragraph" w:styleId="Heading8">
    <w:name w:val="heading 8"/>
    <w:basedOn w:val="BodyText"/>
    <w:next w:val="BodyText"/>
    <w:semiHidden/>
    <w:rsid w:val="000F2567"/>
    <w:pPr>
      <w:spacing w:after="60" w:line="240" w:lineRule="auto"/>
      <w:jc w:val="left"/>
      <w:outlineLvl w:val="7"/>
    </w:pPr>
    <w:rPr>
      <w:rFonts w:ascii="Arial" w:hAnsi="Arial"/>
      <w:i/>
      <w:sz w:val="20"/>
    </w:rPr>
  </w:style>
  <w:style w:type="paragraph" w:styleId="Heading9">
    <w:name w:val="heading 9"/>
    <w:basedOn w:val="BodyText"/>
    <w:next w:val="BodyText"/>
    <w:semiHidden/>
    <w:rsid w:val="000F2567"/>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rsid w:val="000F256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F2567"/>
  </w:style>
  <w:style w:type="paragraph" w:styleId="BodyText">
    <w:name w:val="Body Text"/>
    <w:link w:val="BodyTextChar"/>
    <w:qFormat/>
    <w:rsid w:val="000F2567"/>
    <w:pPr>
      <w:spacing w:before="240" w:line="300" w:lineRule="atLeast"/>
      <w:jc w:val="both"/>
    </w:pPr>
    <w:rPr>
      <w:sz w:val="24"/>
    </w:rPr>
  </w:style>
  <w:style w:type="paragraph" w:styleId="Footer">
    <w:name w:val="footer"/>
    <w:basedOn w:val="BodyText"/>
    <w:link w:val="FooterChar"/>
    <w:rsid w:val="000F2567"/>
    <w:pPr>
      <w:spacing w:before="80" w:line="200" w:lineRule="exact"/>
      <w:ind w:right="6"/>
      <w:jc w:val="left"/>
    </w:pPr>
    <w:rPr>
      <w:rFonts w:ascii="Arial" w:hAnsi="Arial"/>
      <w:caps/>
      <w:spacing w:val="-4"/>
      <w:sz w:val="16"/>
    </w:rPr>
  </w:style>
  <w:style w:type="paragraph" w:customStyle="1" w:styleId="FooterEnd">
    <w:name w:val="Footer End"/>
    <w:basedOn w:val="Footer"/>
    <w:rsid w:val="000F2567"/>
    <w:pPr>
      <w:spacing w:before="0" w:line="20" w:lineRule="exact"/>
    </w:pPr>
  </w:style>
  <w:style w:type="paragraph" w:styleId="Header">
    <w:name w:val="header"/>
    <w:basedOn w:val="BodyText"/>
    <w:rsid w:val="000F2567"/>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0F2567"/>
    <w:pPr>
      <w:spacing w:line="20" w:lineRule="exact"/>
    </w:pPr>
    <w:rPr>
      <w:sz w:val="16"/>
    </w:rPr>
  </w:style>
  <w:style w:type="paragraph" w:customStyle="1" w:styleId="HeaderEven">
    <w:name w:val="Header Even"/>
    <w:basedOn w:val="Header"/>
    <w:rsid w:val="000F2567"/>
  </w:style>
  <w:style w:type="paragraph" w:customStyle="1" w:styleId="HeaderOdd">
    <w:name w:val="Header Odd"/>
    <w:basedOn w:val="Header"/>
    <w:rsid w:val="000F2567"/>
  </w:style>
  <w:style w:type="character" w:styleId="PageNumber">
    <w:name w:val="page number"/>
    <w:basedOn w:val="DefaultParagraphFont"/>
    <w:rsid w:val="000F2567"/>
    <w:rPr>
      <w:rFonts w:ascii="Arial" w:hAnsi="Arial"/>
      <w:b/>
      <w:sz w:val="16"/>
    </w:rPr>
  </w:style>
  <w:style w:type="paragraph" w:customStyle="1" w:styleId="Abbreviation">
    <w:name w:val="Abbreviation"/>
    <w:basedOn w:val="BodyText"/>
    <w:rsid w:val="000F2567"/>
    <w:pPr>
      <w:spacing w:before="120"/>
      <w:ind w:left="2381" w:hanging="2381"/>
      <w:jc w:val="left"/>
    </w:pPr>
  </w:style>
  <w:style w:type="paragraph" w:customStyle="1" w:styleId="Box">
    <w:name w:val="Box"/>
    <w:basedOn w:val="BodyText"/>
    <w:link w:val="BoxChar"/>
    <w:qFormat/>
    <w:rsid w:val="000F2567"/>
    <w:pPr>
      <w:keepNext/>
      <w:spacing w:before="120" w:line="260" w:lineRule="atLeast"/>
    </w:pPr>
    <w:rPr>
      <w:rFonts w:ascii="Arial" w:hAnsi="Arial"/>
      <w:sz w:val="20"/>
    </w:rPr>
  </w:style>
  <w:style w:type="paragraph" w:customStyle="1" w:styleId="BoxContinued">
    <w:name w:val="Box Continued"/>
    <w:basedOn w:val="BodyText"/>
    <w:next w:val="BodyText"/>
    <w:semiHidden/>
    <w:rsid w:val="000F2567"/>
    <w:pPr>
      <w:spacing w:before="180" w:line="220" w:lineRule="exact"/>
      <w:jc w:val="right"/>
    </w:pPr>
    <w:rPr>
      <w:rFonts w:ascii="Arial" w:hAnsi="Arial"/>
      <w:sz w:val="18"/>
    </w:rPr>
  </w:style>
  <w:style w:type="paragraph" w:customStyle="1" w:styleId="BoxHeading1">
    <w:name w:val="Box Heading 1"/>
    <w:basedOn w:val="BodyText"/>
    <w:next w:val="Box"/>
    <w:rsid w:val="000F2567"/>
    <w:pPr>
      <w:keepNext/>
      <w:spacing w:before="200" w:line="280" w:lineRule="atLeast"/>
    </w:pPr>
    <w:rPr>
      <w:rFonts w:ascii="Arial" w:hAnsi="Arial"/>
      <w:b/>
      <w:sz w:val="22"/>
    </w:rPr>
  </w:style>
  <w:style w:type="paragraph" w:customStyle="1" w:styleId="BoxHeading2">
    <w:name w:val="Box Heading 2"/>
    <w:basedOn w:val="BoxHeading1"/>
    <w:next w:val="Normal"/>
    <w:rsid w:val="000F2567"/>
    <w:rPr>
      <w:b w:val="0"/>
      <w:i/>
    </w:rPr>
  </w:style>
  <w:style w:type="paragraph" w:customStyle="1" w:styleId="BoxListBullet">
    <w:name w:val="Box List Bullet"/>
    <w:basedOn w:val="BodyText"/>
    <w:rsid w:val="000F2567"/>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0F2567"/>
    <w:pPr>
      <w:numPr>
        <w:numId w:val="13"/>
      </w:numPr>
      <w:ind w:left="568" w:hanging="284"/>
    </w:pPr>
  </w:style>
  <w:style w:type="paragraph" w:customStyle="1" w:styleId="BoxListNumber">
    <w:name w:val="Box List Number"/>
    <w:basedOn w:val="BodyText"/>
    <w:rsid w:val="000F2567"/>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F2567"/>
    <w:pPr>
      <w:numPr>
        <w:ilvl w:val="1"/>
      </w:numPr>
      <w:ind w:left="681" w:hanging="397"/>
    </w:pPr>
  </w:style>
  <w:style w:type="paragraph" w:customStyle="1" w:styleId="BoxQuote">
    <w:name w:val="Box Quote"/>
    <w:basedOn w:val="BodyText"/>
    <w:next w:val="Box"/>
    <w:qFormat/>
    <w:rsid w:val="000F2567"/>
    <w:pPr>
      <w:keepNext/>
      <w:spacing w:before="60" w:line="240" w:lineRule="exact"/>
      <w:ind w:left="284"/>
    </w:pPr>
    <w:rPr>
      <w:rFonts w:ascii="Arial" w:hAnsi="Arial"/>
      <w:sz w:val="18"/>
    </w:rPr>
  </w:style>
  <w:style w:type="paragraph" w:customStyle="1" w:styleId="Note">
    <w:name w:val="Note"/>
    <w:basedOn w:val="BodyText"/>
    <w:next w:val="BodyText"/>
    <w:rsid w:val="000F2567"/>
    <w:pPr>
      <w:keepLines/>
      <w:spacing w:before="80" w:line="220" w:lineRule="exact"/>
    </w:pPr>
    <w:rPr>
      <w:rFonts w:ascii="Arial" w:hAnsi="Arial"/>
      <w:sz w:val="18"/>
    </w:rPr>
  </w:style>
  <w:style w:type="paragraph" w:customStyle="1" w:styleId="Source">
    <w:name w:val="Source"/>
    <w:basedOn w:val="Normal"/>
    <w:next w:val="BodyText"/>
    <w:link w:val="SourceChar"/>
    <w:rsid w:val="000F2567"/>
    <w:pPr>
      <w:keepLines/>
      <w:spacing w:before="80" w:line="220" w:lineRule="exact"/>
      <w:jc w:val="both"/>
    </w:pPr>
    <w:rPr>
      <w:rFonts w:ascii="Arial" w:hAnsi="Arial"/>
      <w:sz w:val="18"/>
      <w:szCs w:val="20"/>
    </w:rPr>
  </w:style>
  <w:style w:type="paragraph" w:customStyle="1" w:styleId="BoxSource">
    <w:name w:val="Box Source"/>
    <w:basedOn w:val="Source"/>
    <w:next w:val="BodyText"/>
    <w:rsid w:val="000F2567"/>
    <w:pPr>
      <w:spacing w:before="120"/>
    </w:pPr>
  </w:style>
  <w:style w:type="paragraph" w:customStyle="1" w:styleId="BoxSpaceAbove">
    <w:name w:val="Box Space Above"/>
    <w:basedOn w:val="BodyText"/>
    <w:rsid w:val="000F2567"/>
    <w:pPr>
      <w:keepNext/>
      <w:spacing w:before="360" w:line="80" w:lineRule="exact"/>
      <w:jc w:val="left"/>
    </w:pPr>
  </w:style>
  <w:style w:type="paragraph" w:styleId="Caption">
    <w:name w:val="caption"/>
    <w:basedOn w:val="Normal"/>
    <w:next w:val="BodyText"/>
    <w:rsid w:val="000F2567"/>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0F2567"/>
    <w:pPr>
      <w:spacing w:before="120" w:after="0"/>
    </w:pPr>
  </w:style>
  <w:style w:type="paragraph" w:customStyle="1" w:styleId="BoxSubtitle">
    <w:name w:val="Box Subtitle"/>
    <w:basedOn w:val="BoxTitle"/>
    <w:next w:val="Normal"/>
    <w:rsid w:val="000F2567"/>
    <w:pPr>
      <w:spacing w:after="80" w:line="200" w:lineRule="exact"/>
      <w:ind w:firstLine="0"/>
    </w:pPr>
    <w:rPr>
      <w:b w:val="0"/>
      <w:sz w:val="20"/>
    </w:rPr>
  </w:style>
  <w:style w:type="paragraph" w:customStyle="1" w:styleId="Chapter">
    <w:name w:val="Chapter"/>
    <w:basedOn w:val="Heading1"/>
    <w:next w:val="BodyText"/>
    <w:semiHidden/>
    <w:rsid w:val="000F2567"/>
    <w:pPr>
      <w:ind w:left="0" w:firstLine="0"/>
      <w:outlineLvl w:val="9"/>
    </w:pPr>
  </w:style>
  <w:style w:type="paragraph" w:customStyle="1" w:styleId="ChapterSummary">
    <w:name w:val="Chapter Summary"/>
    <w:basedOn w:val="BodyText"/>
    <w:rsid w:val="000F2567"/>
    <w:pPr>
      <w:spacing w:line="280" w:lineRule="atLeast"/>
      <w:ind w:left="907"/>
    </w:pPr>
    <w:rPr>
      <w:rFonts w:ascii="Arial" w:hAnsi="Arial"/>
      <w:b/>
      <w:sz w:val="20"/>
    </w:rPr>
  </w:style>
  <w:style w:type="character" w:styleId="CommentReference">
    <w:name w:val="annotation reference"/>
    <w:basedOn w:val="DefaultParagraphFont"/>
    <w:semiHidden/>
    <w:rsid w:val="000F2567"/>
    <w:rPr>
      <w:b/>
      <w:vanish/>
      <w:color w:val="FF00FF"/>
      <w:sz w:val="20"/>
    </w:rPr>
  </w:style>
  <w:style w:type="paragraph" w:styleId="CommentText">
    <w:name w:val="annotation text"/>
    <w:basedOn w:val="Normal"/>
    <w:link w:val="CommentTextChar"/>
    <w:semiHidden/>
    <w:rsid w:val="000F2567"/>
    <w:pPr>
      <w:spacing w:before="120" w:line="240" w:lineRule="atLeast"/>
      <w:ind w:left="567" w:hanging="567"/>
    </w:pPr>
    <w:rPr>
      <w:sz w:val="20"/>
    </w:rPr>
  </w:style>
  <w:style w:type="paragraph" w:customStyle="1" w:styleId="Continued">
    <w:name w:val="Continued"/>
    <w:basedOn w:val="BoxContinued"/>
    <w:next w:val="BodyText"/>
    <w:rsid w:val="000F2567"/>
  </w:style>
  <w:style w:type="character" w:customStyle="1" w:styleId="DocumentInfo">
    <w:name w:val="Document Info"/>
    <w:basedOn w:val="DefaultParagraphFont"/>
    <w:semiHidden/>
    <w:rsid w:val="000F2567"/>
    <w:rPr>
      <w:rFonts w:ascii="Arial" w:hAnsi="Arial"/>
      <w:sz w:val="14"/>
    </w:rPr>
  </w:style>
  <w:style w:type="character" w:customStyle="1" w:styleId="DraftingNote">
    <w:name w:val="Drafting Note"/>
    <w:basedOn w:val="DefaultParagraphFont"/>
    <w:rsid w:val="000F2567"/>
    <w:rPr>
      <w:b/>
      <w:color w:val="FF0000"/>
      <w:sz w:val="24"/>
      <w:u w:val="dotted"/>
    </w:rPr>
  </w:style>
  <w:style w:type="paragraph" w:customStyle="1" w:styleId="Figure">
    <w:name w:val="Figure"/>
    <w:basedOn w:val="BodyText"/>
    <w:rsid w:val="000F2567"/>
    <w:pPr>
      <w:keepNext/>
      <w:spacing w:before="120" w:after="120" w:line="240" w:lineRule="atLeast"/>
      <w:jc w:val="center"/>
    </w:pPr>
  </w:style>
  <w:style w:type="paragraph" w:customStyle="1" w:styleId="FigureTitle">
    <w:name w:val="Figure Title"/>
    <w:basedOn w:val="Caption"/>
    <w:next w:val="Subtitle"/>
    <w:rsid w:val="000F2567"/>
    <w:pPr>
      <w:spacing w:before="120"/>
    </w:pPr>
  </w:style>
  <w:style w:type="paragraph" w:styleId="Subtitle">
    <w:name w:val="Subtitle"/>
    <w:basedOn w:val="Caption"/>
    <w:link w:val="SubtitleChar"/>
    <w:qFormat/>
    <w:rsid w:val="000F2567"/>
    <w:pPr>
      <w:spacing w:before="0" w:line="200" w:lineRule="exact"/>
      <w:ind w:firstLine="0"/>
    </w:pPr>
    <w:rPr>
      <w:b w:val="0"/>
      <w:sz w:val="20"/>
    </w:rPr>
  </w:style>
  <w:style w:type="paragraph" w:customStyle="1" w:styleId="Finding">
    <w:name w:val="Finding"/>
    <w:basedOn w:val="BodyText"/>
    <w:rsid w:val="000F2567"/>
    <w:pPr>
      <w:keepLines/>
      <w:spacing w:before="120" w:line="280" w:lineRule="atLeast"/>
    </w:pPr>
    <w:rPr>
      <w:rFonts w:ascii="Arial" w:hAnsi="Arial"/>
      <w:sz w:val="22"/>
    </w:rPr>
  </w:style>
  <w:style w:type="paragraph" w:customStyle="1" w:styleId="FindingBullet">
    <w:name w:val="Finding Bullet"/>
    <w:basedOn w:val="Finding"/>
    <w:rsid w:val="000F2567"/>
    <w:pPr>
      <w:numPr>
        <w:numId w:val="15"/>
      </w:numPr>
      <w:spacing w:before="80"/>
    </w:pPr>
  </w:style>
  <w:style w:type="paragraph" w:customStyle="1" w:styleId="FindingNoTitle">
    <w:name w:val="Finding NoTitle"/>
    <w:basedOn w:val="Finding"/>
    <w:semiHidden/>
    <w:rsid w:val="000F2567"/>
    <w:pPr>
      <w:spacing w:before="240"/>
    </w:pPr>
  </w:style>
  <w:style w:type="paragraph" w:customStyle="1" w:styleId="RecTitle">
    <w:name w:val="Rec Title"/>
    <w:basedOn w:val="BodyText"/>
    <w:next w:val="Rec"/>
    <w:qFormat/>
    <w:rsid w:val="000F2567"/>
    <w:pPr>
      <w:keepNext/>
      <w:keepLines/>
      <w:spacing w:line="280" w:lineRule="atLeast"/>
    </w:pPr>
    <w:rPr>
      <w:rFonts w:ascii="Arial" w:hAnsi="Arial"/>
      <w:caps/>
      <w:sz w:val="18"/>
    </w:rPr>
  </w:style>
  <w:style w:type="paragraph" w:customStyle="1" w:styleId="FindingTitle">
    <w:name w:val="Finding Title"/>
    <w:basedOn w:val="RecTitle"/>
    <w:next w:val="Finding"/>
    <w:rsid w:val="000F2567"/>
  </w:style>
  <w:style w:type="character" w:styleId="FootnoteReference">
    <w:name w:val="footnote reference"/>
    <w:basedOn w:val="DefaultParagraphFont"/>
    <w:semiHidden/>
    <w:rsid w:val="000F2567"/>
    <w:rPr>
      <w:rFonts w:ascii="Times New Roman" w:hAnsi="Times New Roman"/>
      <w:position w:val="6"/>
      <w:sz w:val="20"/>
      <w:vertAlign w:val="baseline"/>
    </w:rPr>
  </w:style>
  <w:style w:type="paragraph" w:styleId="FootnoteText">
    <w:name w:val="footnote text"/>
    <w:basedOn w:val="BodyText"/>
    <w:rsid w:val="000F256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0F2567"/>
    <w:rPr>
      <w:i/>
    </w:rPr>
  </w:style>
  <w:style w:type="paragraph" w:customStyle="1" w:styleId="Jurisdictioncommentsbodytext">
    <w:name w:val="Jurisdiction comments body text"/>
    <w:rsid w:val="000F2567"/>
    <w:pPr>
      <w:spacing w:after="140"/>
      <w:jc w:val="both"/>
    </w:pPr>
    <w:rPr>
      <w:rFonts w:ascii="Arial" w:hAnsi="Arial"/>
      <w:sz w:val="24"/>
      <w:lang w:eastAsia="en-US"/>
    </w:rPr>
  </w:style>
  <w:style w:type="paragraph" w:customStyle="1" w:styleId="Jurisdictioncommentsheading">
    <w:name w:val="Jurisdiction comments heading"/>
    <w:rsid w:val="000F2567"/>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0F2567"/>
    <w:pPr>
      <w:numPr>
        <w:numId w:val="2"/>
      </w:numPr>
      <w:spacing w:after="140"/>
      <w:jc w:val="both"/>
    </w:pPr>
    <w:rPr>
      <w:rFonts w:ascii="Arial" w:hAnsi="Arial"/>
      <w:sz w:val="24"/>
      <w:lang w:eastAsia="en-US"/>
    </w:rPr>
  </w:style>
  <w:style w:type="paragraph" w:styleId="ListBullet">
    <w:name w:val="List Bullet"/>
    <w:basedOn w:val="BodyText"/>
    <w:rsid w:val="000F2567"/>
    <w:pPr>
      <w:numPr>
        <w:numId w:val="3"/>
      </w:numPr>
      <w:spacing w:before="120"/>
    </w:pPr>
  </w:style>
  <w:style w:type="paragraph" w:styleId="ListBullet2">
    <w:name w:val="List Bullet 2"/>
    <w:basedOn w:val="BodyText"/>
    <w:rsid w:val="000F2567"/>
    <w:pPr>
      <w:numPr>
        <w:numId w:val="4"/>
      </w:numPr>
      <w:spacing w:before="120"/>
    </w:pPr>
  </w:style>
  <w:style w:type="paragraph" w:styleId="ListBullet3">
    <w:name w:val="List Bullet 3"/>
    <w:basedOn w:val="BodyText"/>
    <w:rsid w:val="000F2567"/>
    <w:pPr>
      <w:numPr>
        <w:numId w:val="5"/>
      </w:numPr>
      <w:spacing w:before="120"/>
      <w:ind w:left="1020" w:hanging="340"/>
    </w:pPr>
  </w:style>
  <w:style w:type="paragraph" w:styleId="ListNumber">
    <w:name w:val="List Number"/>
    <w:basedOn w:val="BodyText"/>
    <w:rsid w:val="000F2567"/>
    <w:pPr>
      <w:numPr>
        <w:numId w:val="9"/>
      </w:numPr>
      <w:spacing w:before="120"/>
    </w:pPr>
  </w:style>
  <w:style w:type="paragraph" w:styleId="ListNumber2">
    <w:name w:val="List Number 2"/>
    <w:basedOn w:val="ListNumber"/>
    <w:rsid w:val="000F2567"/>
    <w:pPr>
      <w:numPr>
        <w:ilvl w:val="1"/>
      </w:numPr>
    </w:pPr>
  </w:style>
  <w:style w:type="paragraph" w:styleId="ListNumber3">
    <w:name w:val="List Number 3"/>
    <w:basedOn w:val="ListNumber2"/>
    <w:rsid w:val="000F2567"/>
    <w:pPr>
      <w:numPr>
        <w:ilvl w:val="2"/>
      </w:numPr>
    </w:pPr>
  </w:style>
  <w:style w:type="character" w:customStyle="1" w:styleId="NoteLabel">
    <w:name w:val="Note Label"/>
    <w:basedOn w:val="DefaultParagraphFont"/>
    <w:rsid w:val="000F2567"/>
    <w:rPr>
      <w:rFonts w:ascii="Arial" w:hAnsi="Arial"/>
      <w:b/>
      <w:position w:val="6"/>
      <w:sz w:val="18"/>
    </w:rPr>
  </w:style>
  <w:style w:type="paragraph" w:customStyle="1" w:styleId="PartDivider">
    <w:name w:val="Part Divider"/>
    <w:basedOn w:val="BodyText"/>
    <w:next w:val="BodyText"/>
    <w:semiHidden/>
    <w:rsid w:val="000F2567"/>
    <w:pPr>
      <w:spacing w:before="0" w:line="40" w:lineRule="exact"/>
      <w:jc w:val="right"/>
    </w:pPr>
    <w:rPr>
      <w:smallCaps/>
      <w:sz w:val="16"/>
    </w:rPr>
  </w:style>
  <w:style w:type="paragraph" w:customStyle="1" w:styleId="PartNumber">
    <w:name w:val="Part Number"/>
    <w:basedOn w:val="BodyText"/>
    <w:next w:val="BodyText"/>
    <w:semiHidden/>
    <w:rsid w:val="000F2567"/>
    <w:pPr>
      <w:spacing w:before="4000" w:line="320" w:lineRule="exact"/>
      <w:ind w:left="6634"/>
      <w:jc w:val="right"/>
    </w:pPr>
    <w:rPr>
      <w:smallCaps/>
      <w:spacing w:val="60"/>
      <w:sz w:val="32"/>
    </w:rPr>
  </w:style>
  <w:style w:type="paragraph" w:customStyle="1" w:styleId="PartTitle">
    <w:name w:val="Part Title"/>
    <w:basedOn w:val="BodyText"/>
    <w:semiHidden/>
    <w:rsid w:val="000F2567"/>
    <w:pPr>
      <w:spacing w:before="160" w:after="1360" w:line="520" w:lineRule="exact"/>
      <w:ind w:right="2381"/>
      <w:jc w:val="right"/>
    </w:pPr>
    <w:rPr>
      <w:smallCaps/>
      <w:sz w:val="52"/>
    </w:rPr>
  </w:style>
  <w:style w:type="paragraph" w:styleId="Quote">
    <w:name w:val="Quote"/>
    <w:basedOn w:val="BodyText"/>
    <w:next w:val="BodyText"/>
    <w:qFormat/>
    <w:rsid w:val="000F2567"/>
    <w:pPr>
      <w:spacing w:before="120" w:line="280" w:lineRule="exact"/>
      <w:ind w:left="340"/>
    </w:pPr>
    <w:rPr>
      <w:sz w:val="22"/>
    </w:rPr>
  </w:style>
  <w:style w:type="paragraph" w:customStyle="1" w:styleId="QuoteBullet">
    <w:name w:val="Quote Bullet"/>
    <w:basedOn w:val="Quote"/>
    <w:rsid w:val="000F2567"/>
    <w:pPr>
      <w:numPr>
        <w:numId w:val="6"/>
      </w:numPr>
    </w:pPr>
  </w:style>
  <w:style w:type="paragraph" w:customStyle="1" w:styleId="Rec">
    <w:name w:val="Rec"/>
    <w:basedOn w:val="BodyText"/>
    <w:qFormat/>
    <w:rsid w:val="000F2567"/>
    <w:pPr>
      <w:keepLines/>
      <w:spacing w:before="120" w:line="280" w:lineRule="atLeast"/>
    </w:pPr>
    <w:rPr>
      <w:rFonts w:ascii="Arial" w:hAnsi="Arial"/>
      <w:sz w:val="22"/>
    </w:rPr>
  </w:style>
  <w:style w:type="paragraph" w:customStyle="1" w:styleId="RecBullet">
    <w:name w:val="Rec Bullet"/>
    <w:basedOn w:val="Rec"/>
    <w:rsid w:val="000F2567"/>
    <w:pPr>
      <w:numPr>
        <w:numId w:val="17"/>
      </w:numPr>
      <w:spacing w:before="80"/>
    </w:pPr>
  </w:style>
  <w:style w:type="paragraph" w:customStyle="1" w:styleId="RecB">
    <w:name w:val="RecB"/>
    <w:basedOn w:val="Normal"/>
    <w:semiHidden/>
    <w:rsid w:val="000F2567"/>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0F2567"/>
    <w:pPr>
      <w:numPr>
        <w:numId w:val="11"/>
      </w:numPr>
      <w:spacing w:before="80"/>
    </w:pPr>
  </w:style>
  <w:style w:type="paragraph" w:customStyle="1" w:styleId="RecBNoTitle">
    <w:name w:val="RecB NoTitle"/>
    <w:basedOn w:val="RecB"/>
    <w:semiHidden/>
    <w:rsid w:val="000F2567"/>
    <w:pPr>
      <w:spacing w:before="240"/>
    </w:pPr>
  </w:style>
  <w:style w:type="paragraph" w:customStyle="1" w:styleId="Reference">
    <w:name w:val="Reference"/>
    <w:basedOn w:val="BodyText"/>
    <w:rsid w:val="000F2567"/>
    <w:pPr>
      <w:spacing w:before="120"/>
      <w:ind w:left="340" w:hanging="340"/>
    </w:pPr>
  </w:style>
  <w:style w:type="paragraph" w:customStyle="1" w:styleId="SequenceInfo">
    <w:name w:val="Sequence Info"/>
    <w:basedOn w:val="BodyText"/>
    <w:semiHidden/>
    <w:rsid w:val="000F2567"/>
    <w:rPr>
      <w:vanish/>
      <w:sz w:val="16"/>
    </w:rPr>
  </w:style>
  <w:style w:type="paragraph" w:customStyle="1" w:styleId="SideNote">
    <w:name w:val="Side Note"/>
    <w:basedOn w:val="BodyText"/>
    <w:next w:val="BodyText"/>
    <w:semiHidden/>
    <w:rsid w:val="000F2567"/>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0F2567"/>
    <w:pPr>
      <w:framePr w:wrap="around"/>
      <w:numPr>
        <w:numId w:val="7"/>
      </w:numPr>
      <w:tabs>
        <w:tab w:val="left" w:pos="227"/>
      </w:tabs>
    </w:pPr>
  </w:style>
  <w:style w:type="paragraph" w:customStyle="1" w:styleId="SideNoteGraphic">
    <w:name w:val="Side Note Graphic"/>
    <w:basedOn w:val="SideNote"/>
    <w:next w:val="BodyText"/>
    <w:semiHidden/>
    <w:rsid w:val="000F2567"/>
    <w:pPr>
      <w:framePr w:wrap="around"/>
    </w:pPr>
  </w:style>
  <w:style w:type="paragraph" w:customStyle="1" w:styleId="TableBodyText">
    <w:name w:val="Table Body Text"/>
    <w:basedOn w:val="BodyText"/>
    <w:link w:val="TableBodyTextChar"/>
    <w:rsid w:val="000F2567"/>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0F2567"/>
    <w:pPr>
      <w:numPr>
        <w:numId w:val="8"/>
      </w:numPr>
      <w:jc w:val="left"/>
    </w:pPr>
  </w:style>
  <w:style w:type="paragraph" w:customStyle="1" w:styleId="TableColumnHeading">
    <w:name w:val="Table Column Heading"/>
    <w:basedOn w:val="TableBodyText"/>
    <w:rsid w:val="000F2567"/>
    <w:pPr>
      <w:spacing w:before="80" w:after="80"/>
    </w:pPr>
    <w:rPr>
      <w:i/>
    </w:rPr>
  </w:style>
  <w:style w:type="paragraph" w:styleId="TOC2">
    <w:name w:val="toc 2"/>
    <w:basedOn w:val="TOC1"/>
    <w:rsid w:val="000F2567"/>
    <w:pPr>
      <w:ind w:left="1134" w:hanging="624"/>
    </w:pPr>
    <w:rPr>
      <w:b w:val="0"/>
    </w:rPr>
  </w:style>
  <w:style w:type="paragraph" w:styleId="TOC3">
    <w:name w:val="toc 3"/>
    <w:basedOn w:val="TOC2"/>
    <w:rsid w:val="000F2567"/>
    <w:pPr>
      <w:spacing w:before="60"/>
      <w:ind w:left="1190" w:hanging="680"/>
    </w:pPr>
  </w:style>
  <w:style w:type="paragraph" w:styleId="TableofFigures">
    <w:name w:val="table of figures"/>
    <w:basedOn w:val="TOC3"/>
    <w:next w:val="BodyText"/>
    <w:semiHidden/>
    <w:rsid w:val="000F2567"/>
    <w:pPr>
      <w:ind w:left="737" w:hanging="737"/>
    </w:pPr>
  </w:style>
  <w:style w:type="paragraph" w:customStyle="1" w:styleId="TableTitle">
    <w:name w:val="Table Title"/>
    <w:basedOn w:val="Caption"/>
    <w:next w:val="Subtitle"/>
    <w:link w:val="TableTitleChar"/>
    <w:qFormat/>
    <w:rsid w:val="000F2567"/>
    <w:pPr>
      <w:spacing w:before="120"/>
    </w:pPr>
  </w:style>
  <w:style w:type="paragraph" w:customStyle="1" w:styleId="TableUnitsRow">
    <w:name w:val="Table Units Row"/>
    <w:basedOn w:val="TableBodyText"/>
    <w:rsid w:val="000F2567"/>
    <w:pPr>
      <w:spacing w:before="40"/>
    </w:pPr>
  </w:style>
  <w:style w:type="paragraph" w:styleId="TOC1">
    <w:name w:val="toc 1"/>
    <w:basedOn w:val="Normal"/>
    <w:next w:val="TOC2"/>
    <w:link w:val="TOC1Char"/>
    <w:rsid w:val="000F256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0F2567"/>
    <w:pPr>
      <w:ind w:left="1191" w:firstLine="0"/>
    </w:pPr>
  </w:style>
  <w:style w:type="paragraph" w:customStyle="1" w:styleId="RecBBullet2">
    <w:name w:val="RecB Bullet 2"/>
    <w:basedOn w:val="ListBullet2"/>
    <w:semiHidden/>
    <w:rsid w:val="000F2567"/>
    <w:pPr>
      <w:pBdr>
        <w:left w:val="single" w:sz="24" w:space="29" w:color="C0C0C0"/>
      </w:pBdr>
    </w:pPr>
    <w:rPr>
      <w:b/>
      <w:i/>
    </w:rPr>
  </w:style>
  <w:style w:type="paragraph" w:styleId="BalloonText">
    <w:name w:val="Balloon Text"/>
    <w:basedOn w:val="Normal"/>
    <w:link w:val="BalloonTextChar"/>
    <w:rsid w:val="000F2567"/>
    <w:rPr>
      <w:rFonts w:ascii="Tahoma" w:hAnsi="Tahoma" w:cs="Tahoma"/>
      <w:sz w:val="16"/>
      <w:szCs w:val="16"/>
    </w:rPr>
  </w:style>
  <w:style w:type="character" w:customStyle="1" w:styleId="BalloonTextChar">
    <w:name w:val="Balloon Text Char"/>
    <w:basedOn w:val="DefaultParagraphFont"/>
    <w:link w:val="BalloonText"/>
    <w:rsid w:val="000F2567"/>
    <w:rPr>
      <w:rFonts w:ascii="Tahoma" w:hAnsi="Tahoma" w:cs="Tahoma"/>
      <w:sz w:val="16"/>
      <w:szCs w:val="16"/>
    </w:rPr>
  </w:style>
  <w:style w:type="character" w:customStyle="1" w:styleId="SubtitleChar">
    <w:name w:val="Subtitle Char"/>
    <w:basedOn w:val="DefaultParagraphFont"/>
    <w:link w:val="Subtitle"/>
    <w:rsid w:val="000F2567"/>
    <w:rPr>
      <w:rFonts w:ascii="Arial" w:hAnsi="Arial"/>
      <w:szCs w:val="24"/>
    </w:rPr>
  </w:style>
  <w:style w:type="paragraph" w:customStyle="1" w:styleId="BoxListBullet3">
    <w:name w:val="Box List Bullet 3"/>
    <w:basedOn w:val="ListBullet3"/>
    <w:rsid w:val="000F2567"/>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0F2567"/>
    <w:rPr>
      <w:i/>
      <w:iCs/>
    </w:rPr>
  </w:style>
  <w:style w:type="paragraph" w:customStyle="1" w:styleId="BoxQuoteBullet">
    <w:name w:val="Box Quote Bullet"/>
    <w:basedOn w:val="BoxQuote"/>
    <w:next w:val="Box"/>
    <w:rsid w:val="000F2567"/>
    <w:pPr>
      <w:numPr>
        <w:numId w:val="12"/>
      </w:numPr>
      <w:ind w:left="568" w:hanging="284"/>
    </w:pPr>
  </w:style>
  <w:style w:type="paragraph" w:customStyle="1" w:styleId="InformationRequestBullet">
    <w:name w:val="Information Request Bullet"/>
    <w:basedOn w:val="ListBullet"/>
    <w:next w:val="BodyText"/>
    <w:rsid w:val="000F2567"/>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0F2567"/>
    <w:pPr>
      <w:keepNext w:val="0"/>
      <w:spacing w:before="60" w:after="60" w:line="80" w:lineRule="exact"/>
    </w:pPr>
    <w:rPr>
      <w:sz w:val="14"/>
    </w:rPr>
  </w:style>
  <w:style w:type="paragraph" w:customStyle="1" w:styleId="KeyPointsListBullet">
    <w:name w:val="Key Points List Bullet"/>
    <w:basedOn w:val="Normal"/>
    <w:qFormat/>
    <w:rsid w:val="000F2567"/>
    <w:pPr>
      <w:keepNext/>
      <w:numPr>
        <w:numId w:val="20"/>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0F2567"/>
    <w:pPr>
      <w:numPr>
        <w:numId w:val="21"/>
      </w:numPr>
      <w:ind w:left="568" w:hanging="284"/>
    </w:pPr>
  </w:style>
  <w:style w:type="paragraph" w:customStyle="1" w:styleId="InformationRequestTitle">
    <w:name w:val="Information Request Title"/>
    <w:basedOn w:val="FindingTitle"/>
    <w:next w:val="InformationRequest"/>
    <w:rsid w:val="000F2567"/>
    <w:rPr>
      <w:i/>
    </w:rPr>
  </w:style>
  <w:style w:type="paragraph" w:customStyle="1" w:styleId="Space">
    <w:name w:val="Space"/>
    <w:basedOn w:val="Normal"/>
    <w:rsid w:val="000F2567"/>
    <w:pPr>
      <w:keepNext/>
      <w:spacing w:line="120" w:lineRule="exact"/>
      <w:jc w:val="both"/>
    </w:pPr>
    <w:rPr>
      <w:rFonts w:ascii="Arial" w:hAnsi="Arial"/>
      <w:sz w:val="20"/>
      <w:szCs w:val="20"/>
    </w:rPr>
  </w:style>
  <w:style w:type="paragraph" w:customStyle="1" w:styleId="Heading1nochapterno">
    <w:name w:val="Heading 1 (no chapter no.)"/>
    <w:basedOn w:val="Heading1"/>
    <w:rsid w:val="000F2567"/>
    <w:pPr>
      <w:spacing w:before="0"/>
      <w:ind w:left="0" w:firstLine="0"/>
    </w:pPr>
  </w:style>
  <w:style w:type="paragraph" w:customStyle="1" w:styleId="Heading2nosectionno">
    <w:name w:val="Heading 2 (no section no.)"/>
    <w:basedOn w:val="Heading2"/>
    <w:rsid w:val="000F2567"/>
    <w:pPr>
      <w:ind w:left="0" w:firstLine="0"/>
    </w:pPr>
  </w:style>
  <w:style w:type="character" w:customStyle="1" w:styleId="Heading5Char">
    <w:name w:val="Heading 5 Char"/>
    <w:basedOn w:val="DefaultParagraphFont"/>
    <w:link w:val="Heading5"/>
    <w:rsid w:val="000F2567"/>
    <w:rPr>
      <w:rFonts w:ascii="Arial" w:hAnsi="Arial"/>
      <w:i/>
      <w:sz w:val="22"/>
    </w:rPr>
  </w:style>
  <w:style w:type="paragraph" w:customStyle="1" w:styleId="Figurespace">
    <w:name w:val="Figure space"/>
    <w:basedOn w:val="Box"/>
    <w:rsid w:val="000F2567"/>
    <w:pPr>
      <w:spacing w:before="0" w:line="120" w:lineRule="exact"/>
    </w:pPr>
  </w:style>
  <w:style w:type="paragraph" w:customStyle="1" w:styleId="FooterDraftReport">
    <w:name w:val="FooterDraftReport"/>
    <w:basedOn w:val="Footer"/>
    <w:link w:val="FooterDraftReportChar"/>
    <w:rsid w:val="000F2567"/>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0F2567"/>
    <w:rPr>
      <w:sz w:val="24"/>
    </w:rPr>
  </w:style>
  <w:style w:type="character" w:customStyle="1" w:styleId="FooterChar">
    <w:name w:val="Footer Char"/>
    <w:basedOn w:val="BodyTextChar"/>
    <w:link w:val="Footer"/>
    <w:rsid w:val="000F2567"/>
    <w:rPr>
      <w:rFonts w:ascii="Arial" w:hAnsi="Arial"/>
      <w:caps/>
      <w:spacing w:val="-4"/>
      <w:sz w:val="16"/>
    </w:rPr>
  </w:style>
  <w:style w:type="character" w:customStyle="1" w:styleId="FooterDraftReportChar">
    <w:name w:val="FooterDraftReport Char"/>
    <w:basedOn w:val="FooterChar"/>
    <w:link w:val="FooterDraftReport"/>
    <w:rsid w:val="000F2567"/>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0F25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0F2567"/>
    <w:rPr>
      <w:rFonts w:ascii="Arial" w:hAnsi="Arial"/>
      <w:b/>
      <w:sz w:val="26"/>
      <w:szCs w:val="26"/>
      <w:lang w:eastAsia="en-US"/>
    </w:rPr>
  </w:style>
  <w:style w:type="character" w:customStyle="1" w:styleId="Continuedintitle">
    <w:name w:val="Continued (in title)"/>
    <w:basedOn w:val="DefaultParagraphFont"/>
    <w:rsid w:val="000F2567"/>
    <w:rPr>
      <w:rFonts w:ascii="Arial" w:hAnsi="Arial"/>
      <w:b/>
      <w:sz w:val="18"/>
    </w:rPr>
  </w:style>
  <w:style w:type="paragraph" w:styleId="CommentSubject">
    <w:name w:val="annotation subject"/>
    <w:basedOn w:val="CommentText"/>
    <w:next w:val="CommentText"/>
    <w:link w:val="CommentSubjectChar"/>
    <w:semiHidden/>
    <w:unhideWhenUsed/>
    <w:rsid w:val="009C22FF"/>
    <w:pPr>
      <w:spacing w:before="0" w:line="240" w:lineRule="auto"/>
      <w:ind w:left="0" w:firstLine="0"/>
    </w:pPr>
    <w:rPr>
      <w:b/>
      <w:bCs/>
      <w:szCs w:val="20"/>
    </w:rPr>
  </w:style>
  <w:style w:type="character" w:customStyle="1" w:styleId="CommentTextChar">
    <w:name w:val="Comment Text Char"/>
    <w:basedOn w:val="DefaultParagraphFont"/>
    <w:link w:val="CommentText"/>
    <w:semiHidden/>
    <w:rsid w:val="009C22FF"/>
    <w:rPr>
      <w:szCs w:val="24"/>
    </w:rPr>
  </w:style>
  <w:style w:type="character" w:customStyle="1" w:styleId="CommentSubjectChar">
    <w:name w:val="Comment Subject Char"/>
    <w:basedOn w:val="CommentTextChar"/>
    <w:link w:val="CommentSubject"/>
    <w:semiHidden/>
    <w:rsid w:val="009C22FF"/>
    <w:rPr>
      <w:b/>
      <w:bCs/>
      <w:szCs w:val="24"/>
    </w:rPr>
  </w:style>
  <w:style w:type="character" w:customStyle="1" w:styleId="BoxChar">
    <w:name w:val="Box Char"/>
    <w:link w:val="Box"/>
    <w:locked/>
    <w:rsid w:val="00D8409F"/>
    <w:rPr>
      <w:rFonts w:ascii="Arial" w:hAnsi="Arial"/>
    </w:rPr>
  </w:style>
  <w:style w:type="paragraph" w:styleId="Revision">
    <w:name w:val="Revision"/>
    <w:hidden/>
    <w:uiPriority w:val="99"/>
    <w:semiHidden/>
    <w:rsid w:val="00222BA7"/>
    <w:rPr>
      <w:sz w:val="24"/>
      <w:szCs w:val="24"/>
    </w:rPr>
  </w:style>
  <w:style w:type="character" w:styleId="PlaceholderText">
    <w:name w:val="Placeholder Text"/>
    <w:basedOn w:val="DefaultParagraphFont"/>
    <w:uiPriority w:val="99"/>
    <w:semiHidden/>
    <w:rsid w:val="003C1D79"/>
    <w:rPr>
      <w:color w:val="808080"/>
    </w:rPr>
  </w:style>
  <w:style w:type="paragraph" w:styleId="NormalWeb">
    <w:name w:val="Normal (Web)"/>
    <w:basedOn w:val="Normal"/>
    <w:uiPriority w:val="99"/>
    <w:unhideWhenUsed/>
    <w:rsid w:val="0010093B"/>
    <w:pPr>
      <w:spacing w:before="100" w:beforeAutospacing="1" w:after="100" w:afterAutospacing="1"/>
    </w:pPr>
  </w:style>
  <w:style w:type="character" w:customStyle="1" w:styleId="SourceChar">
    <w:name w:val="Source Char"/>
    <w:link w:val="Source"/>
    <w:rsid w:val="00C641C8"/>
    <w:rPr>
      <w:rFonts w:ascii="Arial" w:hAnsi="Arial"/>
      <w:sz w:val="18"/>
    </w:rPr>
  </w:style>
  <w:style w:type="character" w:customStyle="1" w:styleId="TableBodyTextChar">
    <w:name w:val="Table Body Text Char"/>
    <w:link w:val="TableBodyText"/>
    <w:rsid w:val="00C641C8"/>
    <w:rPr>
      <w:rFonts w:ascii="Arial" w:hAnsi="Arial"/>
      <w:sz w:val="18"/>
    </w:rPr>
  </w:style>
  <w:style w:type="character" w:customStyle="1" w:styleId="TableTitleChar">
    <w:name w:val="Table Title Char"/>
    <w:basedOn w:val="DefaultParagraphFont"/>
    <w:link w:val="TableTitle"/>
    <w:rsid w:val="00C641C8"/>
    <w:rPr>
      <w:rFonts w:ascii="Arial" w:hAnsi="Arial"/>
      <w:b/>
      <w:sz w:val="24"/>
      <w:szCs w:val="24"/>
    </w:rPr>
  </w:style>
  <w:style w:type="character" w:styleId="Hyperlink">
    <w:name w:val="Hyperlink"/>
    <w:basedOn w:val="DefaultParagraphFont"/>
    <w:uiPriority w:val="99"/>
    <w:unhideWhenUsed/>
    <w:rsid w:val="00D43EFD"/>
    <w:rPr>
      <w:color w:val="000000" w:themeColor="hyperlink"/>
      <w:u w:val="single"/>
    </w:rPr>
  </w:style>
  <w:style w:type="character" w:styleId="FollowedHyperlink">
    <w:name w:val="FollowedHyperlink"/>
    <w:basedOn w:val="DefaultParagraphFont"/>
    <w:semiHidden/>
    <w:unhideWhenUsed/>
    <w:rsid w:val="001F153F"/>
    <w:rPr>
      <w:color w:val="BFBFBF" w:themeColor="followedHyperlink"/>
      <w:u w:val="single"/>
    </w:rPr>
  </w:style>
  <w:style w:type="paragraph" w:styleId="Bibliography">
    <w:name w:val="Bibliography"/>
    <w:basedOn w:val="Normal"/>
    <w:next w:val="Normal"/>
    <w:uiPriority w:val="37"/>
    <w:unhideWhenUsed/>
    <w:rsid w:val="007933D4"/>
    <w:pPr>
      <w:spacing w:after="240"/>
      <w:ind w:left="720" w:hanging="720"/>
    </w:pPr>
  </w:style>
  <w:style w:type="table" w:styleId="PlainTable1">
    <w:name w:val="Plain Table 1"/>
    <w:basedOn w:val="TableNormal"/>
    <w:uiPriority w:val="41"/>
    <w:rsid w:val="009448A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ndnoteReference">
    <w:name w:val="endnote reference"/>
    <w:basedOn w:val="DefaultParagraphFont"/>
    <w:semiHidden/>
    <w:unhideWhenUsed/>
    <w:rsid w:val="004D67E3"/>
    <w:rPr>
      <w:vertAlign w:val="superscript"/>
    </w:rPr>
  </w:style>
  <w:style w:type="paragraph" w:customStyle="1" w:styleId="Heading1NotTOC">
    <w:name w:val="Heading 1 Not TOC"/>
    <w:basedOn w:val="Heading1"/>
    <w:next w:val="BodyText"/>
    <w:rsid w:val="00085E2D"/>
    <w:rPr>
      <w:kern w:val="28"/>
      <w:szCs w:val="26"/>
      <w:lang w:eastAsia="en-US"/>
    </w:rPr>
  </w:style>
  <w:style w:type="paragraph" w:styleId="TOCHeading">
    <w:name w:val="TOC Heading"/>
    <w:basedOn w:val="Heading1"/>
    <w:next w:val="Normal"/>
    <w:uiPriority w:val="39"/>
    <w:unhideWhenUsed/>
    <w:qFormat/>
    <w:rsid w:val="00C11C3B"/>
    <w:pPr>
      <w:keepLines/>
      <w:spacing w:before="240" w:after="0" w:line="259" w:lineRule="auto"/>
      <w:ind w:left="0" w:firstLine="0"/>
      <w:outlineLvl w:val="9"/>
    </w:pPr>
    <w:rPr>
      <w:rFonts w:asciiTheme="majorHAnsi" w:eastAsiaTheme="majorEastAsia" w:hAnsiTheme="majorHAnsi" w:cstheme="majorBidi"/>
      <w:color w:val="597923" w:themeColor="accent1" w:themeShade="BF"/>
      <w:sz w:val="32"/>
      <w:szCs w:val="32"/>
      <w:lang w:val="en-US" w:eastAsia="en-US"/>
    </w:rPr>
  </w:style>
  <w:style w:type="paragraph" w:customStyle="1" w:styleId="Copyrightheading">
    <w:name w:val="Copyright heading"/>
    <w:basedOn w:val="TOC1"/>
    <w:link w:val="CopyrightheadingChar"/>
    <w:qFormat/>
    <w:rsid w:val="00B13A90"/>
    <w:pPr>
      <w:spacing w:line="300" w:lineRule="exact"/>
    </w:pPr>
    <w:rPr>
      <w:sz w:val="22"/>
    </w:rPr>
  </w:style>
  <w:style w:type="character" w:customStyle="1" w:styleId="CopyrightheadingChar">
    <w:name w:val="Copyright heading Char"/>
    <w:basedOn w:val="DefaultParagraphFont"/>
    <w:link w:val="Copyrightheading"/>
    <w:rsid w:val="00B13A90"/>
    <w:rPr>
      <w:rFonts w:ascii="Arial" w:hAnsi="Arial"/>
      <w:b/>
      <w:sz w:val="22"/>
      <w:szCs w:val="26"/>
      <w:lang w:eastAsia="en-US"/>
    </w:rPr>
  </w:style>
  <w:style w:type="paragraph" w:customStyle="1" w:styleId="Copyrightbodytext">
    <w:name w:val="Copyright bodytext"/>
    <w:basedOn w:val="BodyText"/>
    <w:link w:val="CopyrightbodytextChar"/>
    <w:qFormat/>
    <w:rsid w:val="00B13A90"/>
    <w:pPr>
      <w:spacing w:before="60"/>
    </w:pPr>
  </w:style>
  <w:style w:type="character" w:customStyle="1" w:styleId="CopyrightbodytextChar">
    <w:name w:val="Copyright bodytext Char"/>
    <w:basedOn w:val="BodyTextChar"/>
    <w:link w:val="Copyrightbodytext"/>
    <w:rsid w:val="00B13A90"/>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6999">
      <w:bodyDiv w:val="1"/>
      <w:marLeft w:val="0"/>
      <w:marRight w:val="0"/>
      <w:marTop w:val="0"/>
      <w:marBottom w:val="0"/>
      <w:divBdr>
        <w:top w:val="none" w:sz="0" w:space="0" w:color="auto"/>
        <w:left w:val="none" w:sz="0" w:space="0" w:color="auto"/>
        <w:bottom w:val="none" w:sz="0" w:space="0" w:color="auto"/>
        <w:right w:val="none" w:sz="0" w:space="0" w:color="auto"/>
      </w:divBdr>
    </w:div>
    <w:div w:id="173763832">
      <w:bodyDiv w:val="1"/>
      <w:marLeft w:val="0"/>
      <w:marRight w:val="0"/>
      <w:marTop w:val="0"/>
      <w:marBottom w:val="0"/>
      <w:divBdr>
        <w:top w:val="none" w:sz="0" w:space="0" w:color="auto"/>
        <w:left w:val="none" w:sz="0" w:space="0" w:color="auto"/>
        <w:bottom w:val="none" w:sz="0" w:space="0" w:color="auto"/>
        <w:right w:val="none" w:sz="0" w:space="0" w:color="auto"/>
      </w:divBdr>
    </w:div>
    <w:div w:id="186212423">
      <w:bodyDiv w:val="1"/>
      <w:marLeft w:val="0"/>
      <w:marRight w:val="0"/>
      <w:marTop w:val="0"/>
      <w:marBottom w:val="0"/>
      <w:divBdr>
        <w:top w:val="none" w:sz="0" w:space="0" w:color="auto"/>
        <w:left w:val="none" w:sz="0" w:space="0" w:color="auto"/>
        <w:bottom w:val="none" w:sz="0" w:space="0" w:color="auto"/>
        <w:right w:val="none" w:sz="0" w:space="0" w:color="auto"/>
      </w:divBdr>
    </w:div>
    <w:div w:id="207959007">
      <w:bodyDiv w:val="1"/>
      <w:marLeft w:val="0"/>
      <w:marRight w:val="0"/>
      <w:marTop w:val="0"/>
      <w:marBottom w:val="0"/>
      <w:divBdr>
        <w:top w:val="none" w:sz="0" w:space="0" w:color="auto"/>
        <w:left w:val="none" w:sz="0" w:space="0" w:color="auto"/>
        <w:bottom w:val="none" w:sz="0" w:space="0" w:color="auto"/>
        <w:right w:val="none" w:sz="0" w:space="0" w:color="auto"/>
      </w:divBdr>
    </w:div>
    <w:div w:id="435441861">
      <w:bodyDiv w:val="1"/>
      <w:marLeft w:val="0"/>
      <w:marRight w:val="0"/>
      <w:marTop w:val="0"/>
      <w:marBottom w:val="0"/>
      <w:divBdr>
        <w:top w:val="none" w:sz="0" w:space="0" w:color="auto"/>
        <w:left w:val="none" w:sz="0" w:space="0" w:color="auto"/>
        <w:bottom w:val="none" w:sz="0" w:space="0" w:color="auto"/>
        <w:right w:val="none" w:sz="0" w:space="0" w:color="auto"/>
      </w:divBdr>
    </w:div>
    <w:div w:id="439029933">
      <w:bodyDiv w:val="1"/>
      <w:marLeft w:val="0"/>
      <w:marRight w:val="0"/>
      <w:marTop w:val="0"/>
      <w:marBottom w:val="0"/>
      <w:divBdr>
        <w:top w:val="none" w:sz="0" w:space="0" w:color="auto"/>
        <w:left w:val="none" w:sz="0" w:space="0" w:color="auto"/>
        <w:bottom w:val="none" w:sz="0" w:space="0" w:color="auto"/>
        <w:right w:val="none" w:sz="0" w:space="0" w:color="auto"/>
      </w:divBdr>
    </w:div>
    <w:div w:id="472066764">
      <w:bodyDiv w:val="1"/>
      <w:marLeft w:val="0"/>
      <w:marRight w:val="0"/>
      <w:marTop w:val="0"/>
      <w:marBottom w:val="0"/>
      <w:divBdr>
        <w:top w:val="none" w:sz="0" w:space="0" w:color="auto"/>
        <w:left w:val="none" w:sz="0" w:space="0" w:color="auto"/>
        <w:bottom w:val="none" w:sz="0" w:space="0" w:color="auto"/>
        <w:right w:val="none" w:sz="0" w:space="0" w:color="auto"/>
      </w:divBdr>
    </w:div>
    <w:div w:id="791090468">
      <w:bodyDiv w:val="1"/>
      <w:marLeft w:val="0"/>
      <w:marRight w:val="0"/>
      <w:marTop w:val="0"/>
      <w:marBottom w:val="0"/>
      <w:divBdr>
        <w:top w:val="none" w:sz="0" w:space="0" w:color="auto"/>
        <w:left w:val="none" w:sz="0" w:space="0" w:color="auto"/>
        <w:bottom w:val="none" w:sz="0" w:space="0" w:color="auto"/>
        <w:right w:val="none" w:sz="0" w:space="0" w:color="auto"/>
      </w:divBdr>
    </w:div>
    <w:div w:id="1161847630">
      <w:bodyDiv w:val="1"/>
      <w:marLeft w:val="0"/>
      <w:marRight w:val="0"/>
      <w:marTop w:val="0"/>
      <w:marBottom w:val="0"/>
      <w:divBdr>
        <w:top w:val="none" w:sz="0" w:space="0" w:color="auto"/>
        <w:left w:val="none" w:sz="0" w:space="0" w:color="auto"/>
        <w:bottom w:val="none" w:sz="0" w:space="0" w:color="auto"/>
        <w:right w:val="none" w:sz="0" w:space="0" w:color="auto"/>
      </w:divBdr>
    </w:div>
    <w:div w:id="1394233606">
      <w:bodyDiv w:val="1"/>
      <w:marLeft w:val="0"/>
      <w:marRight w:val="0"/>
      <w:marTop w:val="0"/>
      <w:marBottom w:val="0"/>
      <w:divBdr>
        <w:top w:val="none" w:sz="0" w:space="0" w:color="auto"/>
        <w:left w:val="none" w:sz="0" w:space="0" w:color="auto"/>
        <w:bottom w:val="none" w:sz="0" w:space="0" w:color="auto"/>
        <w:right w:val="none" w:sz="0" w:space="0" w:color="auto"/>
      </w:divBdr>
    </w:div>
    <w:div w:id="1641495870">
      <w:bodyDiv w:val="1"/>
      <w:marLeft w:val="0"/>
      <w:marRight w:val="0"/>
      <w:marTop w:val="0"/>
      <w:marBottom w:val="0"/>
      <w:divBdr>
        <w:top w:val="none" w:sz="0" w:space="0" w:color="auto"/>
        <w:left w:val="none" w:sz="0" w:space="0" w:color="auto"/>
        <w:bottom w:val="none" w:sz="0" w:space="0" w:color="auto"/>
        <w:right w:val="none" w:sz="0" w:space="0" w:color="auto"/>
      </w:divBdr>
    </w:div>
    <w:div w:id="1711034050">
      <w:bodyDiv w:val="1"/>
      <w:marLeft w:val="0"/>
      <w:marRight w:val="0"/>
      <w:marTop w:val="0"/>
      <w:marBottom w:val="0"/>
      <w:divBdr>
        <w:top w:val="none" w:sz="0" w:space="0" w:color="auto"/>
        <w:left w:val="none" w:sz="0" w:space="0" w:color="auto"/>
        <w:bottom w:val="none" w:sz="0" w:space="0" w:color="auto"/>
        <w:right w:val="none" w:sz="0" w:space="0" w:color="auto"/>
      </w:divBdr>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 w:id="1941837810">
      <w:bodyDiv w:val="1"/>
      <w:marLeft w:val="0"/>
      <w:marRight w:val="0"/>
      <w:marTop w:val="0"/>
      <w:marBottom w:val="0"/>
      <w:divBdr>
        <w:top w:val="none" w:sz="0" w:space="0" w:color="auto"/>
        <w:left w:val="none" w:sz="0" w:space="0" w:color="auto"/>
        <w:bottom w:val="none" w:sz="0" w:space="0" w:color="auto"/>
        <w:right w:val="none" w:sz="0" w:space="0" w:color="auto"/>
      </w:divBdr>
    </w:div>
    <w:div w:id="2020420877">
      <w:bodyDiv w:val="1"/>
      <w:marLeft w:val="0"/>
      <w:marRight w:val="0"/>
      <w:marTop w:val="0"/>
      <w:marBottom w:val="0"/>
      <w:divBdr>
        <w:top w:val="none" w:sz="0" w:space="0" w:color="auto"/>
        <w:left w:val="none" w:sz="0" w:space="0" w:color="auto"/>
        <w:bottom w:val="none" w:sz="0" w:space="0" w:color="auto"/>
        <w:right w:val="none" w:sz="0" w:space="0" w:color="auto"/>
      </w:divBdr>
    </w:div>
    <w:div w:id="2044547814">
      <w:bodyDiv w:val="1"/>
      <w:marLeft w:val="0"/>
      <w:marRight w:val="0"/>
      <w:marTop w:val="0"/>
      <w:marBottom w:val="0"/>
      <w:divBdr>
        <w:top w:val="none" w:sz="0" w:space="0" w:color="auto"/>
        <w:left w:val="none" w:sz="0" w:space="0" w:color="auto"/>
        <w:bottom w:val="none" w:sz="0" w:space="0" w:color="auto"/>
        <w:right w:val="none" w:sz="0" w:space="0" w:color="auto"/>
      </w:divBdr>
    </w:div>
    <w:div w:id="2091585899">
      <w:bodyDiv w:val="1"/>
      <w:marLeft w:val="0"/>
      <w:marRight w:val="0"/>
      <w:marTop w:val="0"/>
      <w:marBottom w:val="0"/>
      <w:divBdr>
        <w:top w:val="none" w:sz="0" w:space="0" w:color="auto"/>
        <w:left w:val="none" w:sz="0" w:space="0" w:color="auto"/>
        <w:bottom w:val="none" w:sz="0" w:space="0" w:color="auto"/>
        <w:right w:val="none" w:sz="0" w:space="0" w:color="auto"/>
      </w:divBdr>
    </w:div>
    <w:div w:id="213879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image" Target="media/image7.emf"/><Relationship Id="rId39" Type="http://schemas.openxmlformats.org/officeDocument/2006/relationships/image" Target="media/image20.emf"/><Relationship Id="rId21" Type="http://schemas.openxmlformats.org/officeDocument/2006/relationships/footer" Target="footer3.xml"/><Relationship Id="rId34" Type="http://schemas.openxmlformats.org/officeDocument/2006/relationships/image" Target="media/image15.emf"/><Relationship Id="rId42" Type="http://schemas.openxmlformats.org/officeDocument/2006/relationships/image" Target="media/image23.emf"/><Relationship Id="rId47" Type="http://schemas.openxmlformats.org/officeDocument/2006/relationships/image" Target="media/image28.emf"/><Relationship Id="rId50" Type="http://schemas.openxmlformats.org/officeDocument/2006/relationships/image" Target="media/image31.emf"/><Relationship Id="rId55" Type="http://schemas.openxmlformats.org/officeDocument/2006/relationships/image" Target="media/image36.emf"/><Relationship Id="rId63"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0.emf"/><Relationship Id="rId41" Type="http://schemas.openxmlformats.org/officeDocument/2006/relationships/image" Target="media/image22.emf"/><Relationship Id="rId54" Type="http://schemas.openxmlformats.org/officeDocument/2006/relationships/image" Target="media/image35.emf"/><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5.emf"/><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png"/><Relationship Id="rId53" Type="http://schemas.openxmlformats.org/officeDocument/2006/relationships/image" Target="media/image34.emf"/><Relationship Id="rId58" Type="http://schemas.openxmlformats.org/officeDocument/2006/relationships/image" Target="media/image39.emf"/><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image" Target="media/image30.emf"/><Relationship Id="rId57" Type="http://schemas.openxmlformats.org/officeDocument/2006/relationships/image" Target="media/image38.emf"/><Relationship Id="rId61" Type="http://schemas.openxmlformats.org/officeDocument/2006/relationships/footer" Target="footer4.xml"/><Relationship Id="rId10" Type="http://schemas.openxmlformats.org/officeDocument/2006/relationships/settings" Target="settings.xml"/><Relationship Id="rId19" Type="http://schemas.openxmlformats.org/officeDocument/2006/relationships/footer" Target="footer2.xml"/><Relationship Id="rId31" Type="http://schemas.openxmlformats.org/officeDocument/2006/relationships/image" Target="media/image12.emf"/><Relationship Id="rId44" Type="http://schemas.openxmlformats.org/officeDocument/2006/relationships/image" Target="media/image25.png"/><Relationship Id="rId52" Type="http://schemas.openxmlformats.org/officeDocument/2006/relationships/image" Target="media/image33.emf"/><Relationship Id="rId60"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4.png"/><Relationship Id="rId48" Type="http://schemas.openxmlformats.org/officeDocument/2006/relationships/image" Target="media/image29.emf"/><Relationship Id="rId56" Type="http://schemas.openxmlformats.org/officeDocument/2006/relationships/image" Target="media/image37.emf"/><Relationship Id="rId64"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image" Target="media/image32.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7.emf"/><Relationship Id="rId59" Type="http://schemas.openxmlformats.org/officeDocument/2006/relationships/image" Target="media/image40.emf"/></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3\chapter.dotm" TargetMode="Externa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3f4bcce7-ac1a-4c9d-aa3e-7e77695652db">
      <Terms xmlns="http://schemas.microsoft.com/office/infopath/2007/PartnerControls"/>
    </TaxKeywordTaxHTField>
    <V3Comments xmlns="http://schemas.microsoft.com/sharepoint/v3" xsi:nil="true"/>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Final Report</TermName>
          <TermId xmlns="http://schemas.microsoft.com/office/infopath/2007/PartnerControls">2ba7de50-4c1d-4453-9bfb-2c08018fad73</TermId>
        </TermInfo>
      </Terms>
    </p7a0baa8c88445a78b6f55906390ba17>
    <TaxCatchAll xmlns="3f4bcce7-ac1a-4c9d-aa3e-7e77695652db">
      <Value>5472</Value>
      <Value>270</Value>
      <Value>5372</Value>
    </TaxCatchAll>
    <FL2 xmlns="8044c801-d84b-4ee1-a77e-678f8dcdee17" xsi:nil="true"/>
    <FL3 xmlns="8044c801-d84b-4ee1-a77e-678f8dcdee17" xsi:nil="true"/>
    <FL1 xmlns="8044c801-d84b-4ee1-a77e-678f8dcdee17" xsi:nil="true"/>
    <h20df32552a643f2a630a5dfc4a69db9 xmlns="67e32579-d437-4bfd-8d11-ed37c0a663ab">
      <Terms xmlns="http://schemas.microsoft.com/office/infopath/2007/PartnerControls">
        <TermInfo xmlns="http://schemas.microsoft.com/office/infopath/2007/PartnerControls">
          <TermName xmlns="http://schemas.microsoft.com/office/infopath/2007/PartnerControls">Final report</TermName>
          <TermId xmlns="http://schemas.microsoft.com/office/infopath/2007/PartnerControls">ddcea15e-f768-4908-9e2f-1fc22490cc39</TermId>
        </TermInfo>
      </Terms>
    </h20df32552a643f2a630a5dfc4a69db9>
    <f68637994c0d4cadb16208f7b3848547 xmlns="67e32579-d437-4bfd-8d11-ed37c0a663ab">
      <Terms xmlns="http://schemas.microsoft.com/office/infopath/2007/PartnerControls">
        <TermInfo xmlns="http://schemas.microsoft.com/office/infopath/2007/PartnerControls">
          <TermName xmlns="http://schemas.microsoft.com/office/infopath/2007/PartnerControls">Supplementary papers</TermName>
          <TermId xmlns="http://schemas.microsoft.com/office/infopath/2007/PartnerControls">93590498-a386-4257-8c2a-f2d5965a5e36</TermId>
        </TermInfo>
      </Terms>
    </f68637994c0d4cadb16208f7b3848547>
  </documentManagement>
</p:properties>
</file>

<file path=customXml/item2.xml><?xml version="1.0" encoding="utf-8"?>
<?mso-contentType ?>
<SharedContentType xmlns="Microsoft.SharePoint.Taxonomy.ContentTypeSync" SourceId="70da5c63-8548-4ac8-9616-83b0f373280e" ContentTypeId="0x010100D3A21470BE7AB346AB38A1E797824EF901" PreviousValue="false"/>
</file>

<file path=customXml/item3.xml><?xml version="1.0" encoding="utf-8"?>
<ct:contentTypeSchema xmlns:ct="http://schemas.microsoft.com/office/2006/metadata/contentType" xmlns:ma="http://schemas.microsoft.com/office/2006/metadata/properties/metaAttributes" ct:_="" ma:_="" ma:contentTypeName="Report Docs" ma:contentTypeID="0x010100D3A21470BE7AB346AB38A1E797824EF901006D2091A8DAB9304495829FBAB88AD001" ma:contentTypeVersion="19" ma:contentTypeDescription="Includes Draft Chapters and working documents for Reports" ma:contentTypeScope="" ma:versionID="044bd917ba10e59b1ae7da77bd4cb6d9">
  <xsd:schema xmlns:xsd="http://www.w3.org/2001/XMLSchema" xmlns:xs="http://www.w3.org/2001/XMLSchema" xmlns:p="http://schemas.microsoft.com/office/2006/metadata/properties" xmlns:ns1="http://schemas.microsoft.com/sharepoint/v3" xmlns:ns2="3f4bcce7-ac1a-4c9d-aa3e-7e77695652db" xmlns:ns4="8044c801-d84b-4ee1-a77e-678f8dcdee17" xmlns:ns5="67e32579-d437-4bfd-8d11-ed37c0a663ab" targetNamespace="http://schemas.microsoft.com/office/2006/metadata/properties" ma:root="true" ma:fieldsID="0875348d06fe1381fd30156649000d26" ns1:_="" ns2:_="" ns4:_="" ns5:_="">
    <xsd:import namespace="http://schemas.microsoft.com/sharepoint/v3"/>
    <xsd:import namespace="3f4bcce7-ac1a-4c9d-aa3e-7e77695652db"/>
    <xsd:import namespace="8044c801-d84b-4ee1-a77e-678f8dcdee17"/>
    <xsd:import namespace="67e32579-d437-4bfd-8d11-ed37c0a663ab"/>
    <xsd:element name="properties">
      <xsd:complexType>
        <xsd:sequence>
          <xsd:element name="documentManagement">
            <xsd:complexType>
              <xsd:all>
                <xsd:element ref="ns2:TaxCatchAll" minOccurs="0"/>
                <xsd:element ref="ns2:TaxCatchAllLabel" minOccurs="0"/>
                <xsd:element ref="ns2:_dlc_DocId" minOccurs="0"/>
                <xsd:element ref="ns2:_dlc_DocIdUrl" minOccurs="0"/>
                <xsd:element ref="ns2:_dlc_DocIdPersistId" minOccurs="0"/>
                <xsd:element ref="ns2:TaxKeywordTaxHTField" minOccurs="0"/>
                <xsd:element ref="ns1:V3Comments" minOccurs="0"/>
                <xsd:element ref="ns4:FL2" minOccurs="0"/>
                <xsd:element ref="ns4:FL1" minOccurs="0"/>
                <xsd:element ref="ns4:FL3" minOccurs="0"/>
                <xsd:element ref="ns4:FL2_x003a_FL2" minOccurs="0"/>
                <xsd:element ref="ns2:p7a0baa8c88445a78b6f55906390ba17" minOccurs="0"/>
                <xsd:element ref="ns5:h20df32552a643f2a630a5dfc4a69db9" minOccurs="0"/>
                <xsd:element ref="ns5:f68637994c0d4cadb16208f7b384854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15"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TaxKeywordTaxHTField" ma:index="13"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p7a0baa8c88445a78b6f55906390ba17" ma:index="22" ma:taxonomy="true" ma:internalName="p7a0baa8c88445a78b6f55906390ba17" ma:taxonomyFieldName="Record_x0020_Tag" ma:displayName="Record" ma:default="" ma:fieldId="{97a0baa8-c884-45a7-8b6f-55906390ba17}" ma:sspId="70da5c63-8548-4ac8-9616-83b0f373280e" ma:termSetId="e99b77ca-c000-4e3f-a77f-a64077d5e2f2" ma:anchorId="609e2780-d171-4fcc-ba6e-ba515af27ffb"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044c801-d84b-4ee1-a77e-678f8dcdee17" elementFormDefault="qualified">
    <xsd:import namespace="http://schemas.microsoft.com/office/2006/documentManagement/types"/>
    <xsd:import namespace="http://schemas.microsoft.com/office/infopath/2007/PartnerControls"/>
    <xsd:element name="FL2" ma:index="17" nillable="true" ma:displayName="FL2" ma:default="" ma:list="{abb4af11-d5e9-4feb-84a3-b857758d3c0b}" ma:internalName="_x0046_L2" ma:readOnly="false" ma:showField="Title" ma:web="57f94c8e-0dd1-41a8-9e3f-5b9a6543b5d2">
      <xsd:simpleType>
        <xsd:restriction base="dms:Lookup"/>
      </xsd:simpleType>
    </xsd:element>
    <xsd:element name="FL1" ma:index="18" nillable="true" ma:displayName="FL1" ma:default="" ma:list="{901f7870-0864-4369-90bc-165856d2014e}" ma:internalName="_x0046_L1" ma:showField="Title" ma:web="57f94c8e-0dd1-41a8-9e3f-5b9a6543b5d2">
      <xsd:simpleType>
        <xsd:restriction base="dms:Lookup"/>
      </xsd:simpleType>
    </xsd:element>
    <xsd:element name="FL3" ma:index="19" nillable="true" ma:displayName="FL3" ma:default="" ma:list="{cbd8701a-49cd-4278-91bc-abf23b17fb75}" ma:internalName="_x0046_L3" ma:readOnly="false" ma:showField="Title" ma:web="57f94c8e-0dd1-41a8-9e3f-5b9a6543b5d2">
      <xsd:simpleType>
        <xsd:restriction base="dms:Lookup"/>
      </xsd:simpleType>
    </xsd:element>
    <xsd:element name="FL2_x003a_FL2" ma:index="20" nillable="true" ma:displayName="FL2:FL2" ma:hidden="true" ma:list="{abb4af11-d5e9-4feb-84a3-b857758d3c0b}" ma:internalName="FL2_x003A_FL2" ma:readOnly="true" ma:showField="Title" ma:web="57f94c8e-0dd1-41a8-9e3f-5b9a6543b5d2">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67e32579-d437-4bfd-8d11-ed37c0a663ab" elementFormDefault="qualified">
    <xsd:import namespace="http://schemas.microsoft.com/office/2006/documentManagement/types"/>
    <xsd:import namespace="http://schemas.microsoft.com/office/infopath/2007/PartnerControls"/>
    <xsd:element name="h20df32552a643f2a630a5dfc4a69db9" ma:index="24" nillable="true" ma:taxonomy="true" ma:internalName="h20df32552a643f2a630a5dfc4a69db9" ma:taxonomyFieldName="Lvl_x0020_1" ma:displayName="Lvl 1" ma:default="" ma:fieldId="{120df325-52a6-43f2-a630-a5dfc4a69db9}" ma:sspId="70da5c63-8548-4ac8-9616-83b0f373280e" ma:termSetId="c6465de3-3c85-4d19-848e-9291b2de1740" ma:anchorId="cc7c2568-34cc-4304-a88c-1559bf9fdb76" ma:open="true" ma:isKeyword="false">
      <xsd:complexType>
        <xsd:sequence>
          <xsd:element ref="pc:Terms" minOccurs="0" maxOccurs="1"/>
        </xsd:sequence>
      </xsd:complexType>
    </xsd:element>
    <xsd:element name="f68637994c0d4cadb16208f7b3848547" ma:index="26" nillable="true" ma:taxonomy="true" ma:internalName="f68637994c0d4cadb16208f7b3848547" ma:taxonomyFieldName="Lvl_x0020_2" ma:displayName="Lvl 2" ma:default="" ma:fieldId="{f6863799-4c0d-4cad-b162-08f7b3848547}" ma:sspId="70da5c63-8548-4ac8-9616-83b0f373280e" ma:termSetId="c6465de3-3c85-4d19-848e-9291b2de1740" ma:anchorId="cc7c2568-34cc-4304-a88c-1559bf9fdb76"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customXsn xmlns="http://schemas.microsoft.com/office/2006/metadata/customXsn">
  <xsnLocation/>
  <cached>True</cached>
  <openByDefault>False</openByDefault>
  <xsnScope/>
</customXs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ABC35-255E-4F4A-B9BD-0D4DA89E5916}">
  <ds:schemaRefs>
    <ds:schemaRef ds:uri="http://purl.org/dc/elements/1.1/"/>
    <ds:schemaRef ds:uri="http://schemas.microsoft.com/office/2006/metadata/properties"/>
    <ds:schemaRef ds:uri="3f4bcce7-ac1a-4c9d-aa3e-7e77695652db"/>
    <ds:schemaRef ds:uri="http://purl.org/dc/terms/"/>
    <ds:schemaRef ds:uri="http://schemas.microsoft.com/office/infopath/2007/PartnerControls"/>
    <ds:schemaRef ds:uri="http://schemas.microsoft.com/office/2006/documentManagement/types"/>
    <ds:schemaRef ds:uri="http://www.w3.org/XML/1998/namespace"/>
    <ds:schemaRef ds:uri="67e32579-d437-4bfd-8d11-ed37c0a663ab"/>
    <ds:schemaRef ds:uri="8044c801-d84b-4ee1-a77e-678f8dcdee17"/>
    <ds:schemaRef ds:uri="http://schemas.openxmlformats.org/package/2006/metadata/core-properties"/>
    <ds:schemaRef ds:uri="http://schemas.microsoft.com/sharepoint/v3"/>
    <ds:schemaRef ds:uri="http://purl.org/dc/dcmitype/"/>
  </ds:schemaRefs>
</ds:datastoreItem>
</file>

<file path=customXml/itemProps2.xml><?xml version="1.0" encoding="utf-8"?>
<ds:datastoreItem xmlns:ds="http://schemas.openxmlformats.org/officeDocument/2006/customXml" ds:itemID="{A59AF159-22B3-4A96-8AA5-97015F2BB59D}">
  <ds:schemaRefs>
    <ds:schemaRef ds:uri="Microsoft.SharePoint.Taxonomy.ContentTypeSync"/>
  </ds:schemaRefs>
</ds:datastoreItem>
</file>

<file path=customXml/itemProps3.xml><?xml version="1.0" encoding="utf-8"?>
<ds:datastoreItem xmlns:ds="http://schemas.openxmlformats.org/officeDocument/2006/customXml" ds:itemID="{9F2084DE-C001-4C91-930D-C15D9E4A92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4bcce7-ac1a-4c9d-aa3e-7e77695652db"/>
    <ds:schemaRef ds:uri="8044c801-d84b-4ee1-a77e-678f8dcdee17"/>
    <ds:schemaRef ds:uri="67e32579-d437-4bfd-8d11-ed37c0a663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27B979-EF8B-47F4-9C3A-79D3AAEAA7D1}">
  <ds:schemaRefs>
    <ds:schemaRef ds:uri="http://schemas.microsoft.com/office/2006/metadata/customXsn"/>
  </ds:schemaRefs>
</ds:datastoreItem>
</file>

<file path=customXml/itemProps5.xml><?xml version="1.0" encoding="utf-8"?>
<ds:datastoreItem xmlns:ds="http://schemas.openxmlformats.org/officeDocument/2006/customXml" ds:itemID="{606E0D9E-AB82-4904-8947-3C5BA3EDC3B1}">
  <ds:schemaRefs>
    <ds:schemaRef ds:uri="http://schemas.microsoft.com/sharepoint/v3/contenttype/forms"/>
  </ds:schemaRefs>
</ds:datastoreItem>
</file>

<file path=customXml/itemProps6.xml><?xml version="1.0" encoding="utf-8"?>
<ds:datastoreItem xmlns:ds="http://schemas.openxmlformats.org/officeDocument/2006/customXml" ds:itemID="{6B2A305F-D606-4608-AD06-3A073F08A925}">
  <ds:schemaRefs>
    <ds:schemaRef ds:uri="http://schemas.microsoft.com/sharepoint/events"/>
  </ds:schemaRefs>
</ds:datastoreItem>
</file>

<file path=customXml/itemProps7.xml><?xml version="1.0" encoding="utf-8"?>
<ds:datastoreItem xmlns:ds="http://schemas.openxmlformats.org/officeDocument/2006/customXml" ds:itemID="{6CFD3C8D-E95D-49A1-AFBC-B82235D32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chapter.dotm</Template>
  <TotalTime>27</TotalTime>
  <Pages>79</Pages>
  <Words>22396</Words>
  <Characters>122573</Characters>
  <Application>Microsoft Office Word</Application>
  <DocSecurity>0</DocSecurity>
  <Lines>1021</Lines>
  <Paragraphs>289</Paragraphs>
  <ScaleCrop>false</ScaleCrop>
  <HeadingPairs>
    <vt:vector size="2" baseType="variant">
      <vt:variant>
        <vt:lpstr>Title</vt:lpstr>
      </vt:variant>
      <vt:variant>
        <vt:i4>1</vt:i4>
      </vt:variant>
    </vt:vector>
  </HeadingPairs>
  <TitlesOfParts>
    <vt:vector size="1" baseType="lpstr">
      <vt:lpstr>Investment performance: Supplementary analysis</vt:lpstr>
    </vt:vector>
  </TitlesOfParts>
  <Company>Productivity Commission</Company>
  <LinksUpToDate>false</LinksUpToDate>
  <CharactersWithSpaces>144680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Investment performance: Supplementary analysis</dc:title>
  <dc:subject>Superannuation: Assessing competitiveness and efficiency</dc:subject>
  <dc:creator>Productivity Commission</dc:creator>
  <cp:keywords/>
  <dc:description>1.</dc:description>
  <cp:lastModifiedBy>Pimperl, Mark</cp:lastModifiedBy>
  <cp:revision>8</cp:revision>
  <cp:lastPrinted>2018-10-25T21:28:00Z</cp:lastPrinted>
  <dcterms:created xsi:type="dcterms:W3CDTF">2018-10-25T19:16:00Z</dcterms:created>
  <dcterms:modified xsi:type="dcterms:W3CDTF">2018-10-25T21:42:00Z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0x010100D3A21470BE7AB346AB38A1E797824EF901006D2091A8DAB9304495829FBAB88AD001</vt:lpwstr>
  </property>
  <property fmtid="{D5CDD505-2E9C-101B-9397-08002B2CF9AE}" pid="3" name="Record Tag">
    <vt:lpwstr>270;#Final Report|2ba7de50-4c1d-4453-9bfb-2c08018fad73</vt:lpwstr>
  </property>
  <property fmtid="{D5CDD505-2E9C-101B-9397-08002B2CF9AE}" pid="4" name="TaxKeyword">
    <vt:lpwstr/>
  </property>
  <property fmtid="{D5CDD505-2E9C-101B-9397-08002B2CF9AE}" pid="5" name="Lvl2">
    <vt:lpwstr>3008;#Joey|460d2af2-fad4-40c6-9c9d-e20d7931fb60</vt:lpwstr>
  </property>
  <property fmtid="{D5CDD505-2E9C-101B-9397-08002B2CF9AE}" pid="6" name="Lvl1">
    <vt:lpwstr>2417;#Work|99ea8601-be60-41bd-aa1d-0b4927db0045</vt:lpwstr>
  </property>
  <property fmtid="{D5CDD505-2E9C-101B-9397-08002B2CF9AE}" pid="7" name="Lvl 2">
    <vt:lpwstr>5472;#Supplementary papers|93590498-a386-4257-8c2a-f2d5965a5e36</vt:lpwstr>
  </property>
  <property fmtid="{D5CDD505-2E9C-101B-9397-08002B2CF9AE}" pid="8" name="Lvl 1">
    <vt:lpwstr>5372;#Final report|ddcea15e-f768-4908-9e2f-1fc22490cc39</vt:lpwstr>
  </property>
  <property fmtid="{D5CDD505-2E9C-101B-9397-08002B2CF9AE}" pid="9" name="ZOTERO_PREF_2">
    <vt:lpwstr>lue="true"/&gt;&lt;pref name="automaticJournalAbbreviations" value="true"/&gt;&lt;/prefs&gt;&lt;/data&gt;</vt:lpwstr>
  </property>
  <property fmtid="{D5CDD505-2E9C-101B-9397-08002B2CF9AE}" pid="10" name="ZOTERO_PREF_1">
    <vt:lpwstr>&lt;data data-version="3" zotero-version="5.0.54"&gt;&lt;session id="VAHMOPU7"/&gt;&lt;style id="http://www.zotero.org/styles/unisa-harvard" hasBibliography="1" bibliographyStyleHasBeenSet="1"/&gt;&lt;prefs&gt;&lt;pref name="fieldType" value="Field"/&gt;&lt;pref name="storeReferences" va</vt:lpwstr>
  </property>
</Properties>
</file>