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07" w:rsidRPr="00236292" w:rsidRDefault="00CD5407" w:rsidP="00CD5407">
      <w:pPr>
        <w:spacing w:line="120" w:lineRule="exact"/>
        <w:ind w:right="-249"/>
        <w:rPr>
          <w:b/>
          <w:sz w:val="24"/>
        </w:rPr>
      </w:pPr>
    </w:p>
    <w:p w:rsidR="00CD5407" w:rsidRPr="0096089A" w:rsidRDefault="00CD5407" w:rsidP="0096089A">
      <w:pPr>
        <w:spacing w:before="60" w:after="240" w:line="240" w:lineRule="auto"/>
        <w:ind w:left="714"/>
        <w:jc w:val="both"/>
        <w:rPr>
          <w:sz w:val="24"/>
        </w:rPr>
      </w:pPr>
    </w:p>
    <w:p w:rsidR="00CD5407" w:rsidRDefault="00CD5407" w:rsidP="00CD5407">
      <w:pPr>
        <w:spacing w:after="0" w:line="240" w:lineRule="auto"/>
      </w:pPr>
    </w:p>
    <w:p w:rsidR="00CD5407" w:rsidRDefault="00CD5407" w:rsidP="00C95CEA">
      <w:pPr>
        <w:spacing w:after="0" w:line="240" w:lineRule="auto"/>
      </w:pPr>
    </w:p>
    <w:p w:rsidR="00C95CEA" w:rsidRDefault="00C95CEA" w:rsidP="00C95CEA">
      <w:pPr>
        <w:spacing w:after="0" w:line="240" w:lineRule="auto"/>
      </w:pPr>
      <w:r>
        <w:t>Intellectual Property Arrangements</w:t>
      </w:r>
    </w:p>
    <w:p w:rsidR="00C95CEA" w:rsidRDefault="00C95CEA" w:rsidP="00C95CEA">
      <w:pPr>
        <w:spacing w:after="0" w:line="240" w:lineRule="auto"/>
      </w:pPr>
      <w:r>
        <w:t>Productivity Commission</w:t>
      </w:r>
    </w:p>
    <w:p w:rsidR="00C95CEA" w:rsidRDefault="00C95CEA" w:rsidP="00C95CEA">
      <w:pPr>
        <w:spacing w:after="0" w:line="240" w:lineRule="auto"/>
      </w:pPr>
      <w:r>
        <w:t>GPO Box 1428</w:t>
      </w:r>
    </w:p>
    <w:p w:rsidR="00C95CEA" w:rsidRDefault="00C95CEA" w:rsidP="00C95CEA">
      <w:pPr>
        <w:spacing w:after="0" w:line="240" w:lineRule="auto"/>
      </w:pPr>
      <w:r>
        <w:t>Canberra City ACT 2601</w:t>
      </w:r>
    </w:p>
    <w:p w:rsidR="00C95CEA" w:rsidRDefault="005C6E04" w:rsidP="00C95CEA">
      <w:pPr>
        <w:spacing w:after="0" w:line="240" w:lineRule="auto"/>
      </w:pPr>
      <w:hyperlink r:id="rId9" w:history="1">
        <w:r w:rsidR="00C95CEA" w:rsidRPr="00CB6A82">
          <w:rPr>
            <w:rStyle w:val="Hyperlink"/>
          </w:rPr>
          <w:t>Intellectual.property@pc.gov.au</w:t>
        </w:r>
      </w:hyperlink>
    </w:p>
    <w:p w:rsidR="00C95CEA" w:rsidRDefault="00C95CEA" w:rsidP="00C95CEA"/>
    <w:p w:rsidR="00E35DB6" w:rsidRDefault="00E35DB6" w:rsidP="00C95CEA"/>
    <w:p w:rsidR="00C95CEA" w:rsidRDefault="00C95CEA" w:rsidP="00C95CEA">
      <w:r>
        <w:t>Dear Commission,</w:t>
      </w:r>
    </w:p>
    <w:p w:rsidR="00E35DB6" w:rsidRDefault="00E35DB6" w:rsidP="00C95CEA"/>
    <w:p w:rsidR="00C95CEA" w:rsidRPr="004F387C" w:rsidRDefault="00C95CEA" w:rsidP="00FC5464">
      <w:pPr>
        <w:jc w:val="both"/>
        <w:rPr>
          <w:b/>
        </w:rPr>
      </w:pPr>
      <w:r>
        <w:t xml:space="preserve">The </w:t>
      </w:r>
      <w:r w:rsidRPr="004F387C">
        <w:rPr>
          <w:b/>
        </w:rPr>
        <w:t>Au</w:t>
      </w:r>
      <w:r w:rsidR="002741FD">
        <w:rPr>
          <w:b/>
        </w:rPr>
        <w:t>stralian Technology Network of U</w:t>
      </w:r>
      <w:r w:rsidRPr="004F387C">
        <w:rPr>
          <w:b/>
        </w:rPr>
        <w:t>niversities (ATN)</w:t>
      </w:r>
      <w:r>
        <w:t xml:space="preserve"> is pleased to make the following submission to the </w:t>
      </w:r>
      <w:r w:rsidRPr="00824910">
        <w:rPr>
          <w:b/>
        </w:rPr>
        <w:t>Productiv</w:t>
      </w:r>
      <w:bookmarkStart w:id="0" w:name="_GoBack"/>
      <w:bookmarkEnd w:id="0"/>
      <w:r w:rsidRPr="00824910">
        <w:rPr>
          <w:b/>
        </w:rPr>
        <w:t>ity Commission’s Review on Intellectual Property Arrangements</w:t>
      </w:r>
      <w:r>
        <w:t>.</w:t>
      </w:r>
    </w:p>
    <w:p w:rsidR="00C95CEA" w:rsidRDefault="00DE223A" w:rsidP="00FC5464">
      <w:pPr>
        <w:jc w:val="both"/>
        <w:rPr>
          <w:rFonts w:cstheme="minorHAnsi"/>
        </w:rPr>
      </w:pPr>
      <w:r>
        <w:rPr>
          <w:rFonts w:cstheme="minorHAnsi"/>
        </w:rPr>
        <w:t>U</w:t>
      </w:r>
      <w:r w:rsidR="00C95CEA">
        <w:rPr>
          <w:rFonts w:cstheme="minorHAnsi"/>
        </w:rPr>
        <w:t xml:space="preserve">niversities have a strong role to play in the commercialisation of research as they are closely linked to the generation of knowledge via the training of human capital and producing public </w:t>
      </w:r>
      <w:r w:rsidR="00C95CEA">
        <w:t>research and development</w:t>
      </w:r>
      <w:r w:rsidR="00C95CEA">
        <w:rPr>
          <w:rFonts w:cstheme="minorHAnsi"/>
        </w:rPr>
        <w:t xml:space="preserve"> (R&amp;D), in addition to </w:t>
      </w:r>
      <w:r w:rsidR="007F6BB5">
        <w:rPr>
          <w:rFonts w:cstheme="minorHAnsi"/>
        </w:rPr>
        <w:t xml:space="preserve">having </w:t>
      </w:r>
      <w:r w:rsidR="00C95CEA">
        <w:rPr>
          <w:rFonts w:cstheme="minorHAnsi"/>
        </w:rPr>
        <w:t>an increasing focus on technology transfer activities.</w:t>
      </w:r>
      <w:r w:rsidR="005E09C1">
        <w:rPr>
          <w:rStyle w:val="FootnoteReference"/>
          <w:rFonts w:cstheme="minorHAnsi"/>
        </w:rPr>
        <w:footnoteReference w:id="1"/>
      </w:r>
      <w:r w:rsidR="00C95CEA">
        <w:rPr>
          <w:rStyle w:val="EndnoteReference"/>
          <w:rFonts w:cstheme="minorHAnsi"/>
        </w:rPr>
        <w:endnoteReference w:id="1"/>
      </w:r>
      <w:r w:rsidR="00C95CEA">
        <w:rPr>
          <w:rFonts w:cstheme="minorHAnsi"/>
        </w:rPr>
        <w:t xml:space="preserve"> </w:t>
      </w:r>
    </w:p>
    <w:p w:rsidR="006B76DF" w:rsidRDefault="006B76DF" w:rsidP="00FC5464">
      <w:pPr>
        <w:jc w:val="both"/>
        <w:rPr>
          <w:rFonts w:cstheme="minorHAnsi"/>
        </w:rPr>
      </w:pPr>
      <w:r>
        <w:rPr>
          <w:rFonts w:cstheme="minorHAnsi"/>
        </w:rPr>
        <w:t xml:space="preserve">As noted by Innovation Australia chair, Bill Ferris, </w:t>
      </w:r>
      <w:r w:rsidR="001D546D">
        <w:rPr>
          <w:rFonts w:cstheme="minorHAnsi"/>
        </w:rPr>
        <w:t xml:space="preserve">while </w:t>
      </w:r>
      <w:r w:rsidR="00432878">
        <w:rPr>
          <w:rFonts w:cstheme="minorHAnsi"/>
        </w:rPr>
        <w:t xml:space="preserve">Australia produces </w:t>
      </w:r>
      <w:r w:rsidR="00B43C58">
        <w:rPr>
          <w:rFonts w:cstheme="minorHAnsi"/>
        </w:rPr>
        <w:t xml:space="preserve">high quality </w:t>
      </w:r>
      <w:r w:rsidR="004F2C43">
        <w:rPr>
          <w:rFonts w:cstheme="minorHAnsi"/>
        </w:rPr>
        <w:t xml:space="preserve">research, collectively </w:t>
      </w:r>
      <w:r w:rsidR="001D546D">
        <w:rPr>
          <w:rFonts w:cstheme="minorHAnsi"/>
        </w:rPr>
        <w:t>we</w:t>
      </w:r>
      <w:r w:rsidR="005A341E">
        <w:rPr>
          <w:rFonts w:cstheme="minorHAnsi"/>
        </w:rPr>
        <w:t xml:space="preserve"> </w:t>
      </w:r>
      <w:r w:rsidR="00D66C0F">
        <w:rPr>
          <w:rFonts w:cstheme="minorHAnsi"/>
        </w:rPr>
        <w:t>fail</w:t>
      </w:r>
      <w:r w:rsidR="00B43C58">
        <w:rPr>
          <w:rFonts w:cstheme="minorHAnsi"/>
        </w:rPr>
        <w:t xml:space="preserve"> in “</w:t>
      </w:r>
      <w:r w:rsidR="00B43C58" w:rsidRPr="00B43C58">
        <w:rPr>
          <w:rFonts w:cstheme="minorHAnsi"/>
        </w:rPr>
        <w:t>our ability to commercialise and get our fair share of the world’s marketplace for this intellectual property and inventiveness. Australia is struggling to even stay within the top 30 OECD nations in terms of any commercialisation metrics. In doing so we are now at risk of squandering opportunities created by our hig</w:t>
      </w:r>
      <w:r w:rsidR="00B43C58">
        <w:rPr>
          <w:rFonts w:cstheme="minorHAnsi"/>
        </w:rPr>
        <w:t>hly credentialed R&amp;D platforms.”</w:t>
      </w:r>
      <w:r w:rsidR="00B43C58">
        <w:rPr>
          <w:rStyle w:val="EndnoteReference"/>
          <w:rFonts w:cstheme="minorHAnsi"/>
        </w:rPr>
        <w:endnoteReference w:id="2"/>
      </w:r>
    </w:p>
    <w:p w:rsidR="004F2C43" w:rsidRDefault="004F2C43" w:rsidP="00FC5464">
      <w:pPr>
        <w:jc w:val="both"/>
        <w:rPr>
          <w:rFonts w:cstheme="minorHAnsi"/>
        </w:rPr>
      </w:pPr>
      <w:r>
        <w:t xml:space="preserve">The ATN supports the Commission’s proposed approach of clearer, flexible and transparent models of IP management so that </w:t>
      </w:r>
      <w:r w:rsidRPr="00605180">
        <w:rPr>
          <w:rFonts w:cstheme="minorHAnsi"/>
        </w:rPr>
        <w:t>outcomes of research have every opportunity to deliver economic, social and environmental benefits</w:t>
      </w:r>
      <w:r>
        <w:rPr>
          <w:rFonts w:cstheme="minorHAnsi"/>
        </w:rPr>
        <w:t>. The system needs to provide the right incentives to Publicly Funded Research Organisations</w:t>
      </w:r>
      <w:r w:rsidR="007002FA">
        <w:rPr>
          <w:rFonts w:cstheme="minorHAnsi"/>
        </w:rPr>
        <w:t xml:space="preserve"> (PFROs)</w:t>
      </w:r>
      <w:r>
        <w:rPr>
          <w:rFonts w:cstheme="minorHAnsi"/>
        </w:rPr>
        <w:t>,</w:t>
      </w:r>
      <w:r w:rsidRPr="00605180">
        <w:rPr>
          <w:rFonts w:cstheme="minorHAnsi"/>
        </w:rPr>
        <w:t xml:space="preserve"> industry collaborators and entrepreneurs i</w:t>
      </w:r>
      <w:r>
        <w:rPr>
          <w:rFonts w:cstheme="minorHAnsi"/>
        </w:rPr>
        <w:t xml:space="preserve">n Australia </w:t>
      </w:r>
      <w:r w:rsidR="00F7124B">
        <w:rPr>
          <w:rFonts w:cstheme="minorHAnsi"/>
        </w:rPr>
        <w:t>to invest and create innovative products and services</w:t>
      </w:r>
      <w:r>
        <w:rPr>
          <w:rFonts w:cstheme="minorHAnsi"/>
        </w:rPr>
        <w:t>.</w:t>
      </w:r>
    </w:p>
    <w:p w:rsidR="00C95CEA" w:rsidRDefault="00C95CEA" w:rsidP="00FC5464">
      <w:pPr>
        <w:jc w:val="both"/>
      </w:pPr>
      <w:r>
        <w:rPr>
          <w:rFonts w:cstheme="minorHAnsi"/>
        </w:rPr>
        <w:t>Collaboration</w:t>
      </w:r>
      <w:r w:rsidR="00D42CE6">
        <w:rPr>
          <w:rFonts w:cstheme="minorHAnsi"/>
        </w:rPr>
        <w:t xml:space="preserve"> has consistently been noted as a </w:t>
      </w:r>
      <w:r>
        <w:rPr>
          <w:rFonts w:cstheme="minorHAnsi"/>
        </w:rPr>
        <w:t>key to increasing the reach of impact from scientific research</w:t>
      </w:r>
      <w:r w:rsidR="00D42CE6">
        <w:rPr>
          <w:rStyle w:val="EndnoteReference"/>
          <w:rFonts w:cstheme="minorHAnsi"/>
        </w:rPr>
        <w:endnoteReference w:id="3"/>
      </w:r>
      <w:r>
        <w:rPr>
          <w:rFonts w:cstheme="minorHAnsi"/>
        </w:rPr>
        <w:t xml:space="preserve">. </w:t>
      </w:r>
      <w:r>
        <w:t xml:space="preserve">It has been shown that </w:t>
      </w:r>
      <w:r w:rsidRPr="00936D3D">
        <w:t xml:space="preserve">firms </w:t>
      </w:r>
      <w:r>
        <w:t>which</w:t>
      </w:r>
      <w:r w:rsidRPr="00936D3D">
        <w:t xml:space="preserve"> innovate and source their ideas from research organisations (‘science-based’ innovation) are 34 per cent more productive than those that do not</w:t>
      </w:r>
      <w:r>
        <w:t>;</w:t>
      </w:r>
      <w:r w:rsidRPr="00936D3D">
        <w:t xml:space="preserve"> and that firms that accompany their innovations with collaboration are 31 per cent more productive</w:t>
      </w:r>
      <w:r w:rsidRPr="005E4202">
        <w:rPr>
          <w:vertAlign w:val="superscript"/>
        </w:rPr>
        <w:endnoteReference w:id="4"/>
      </w:r>
      <w:r w:rsidRPr="00936D3D">
        <w:t>.</w:t>
      </w:r>
      <w:r w:rsidR="007002FA">
        <w:t xml:space="preserve"> </w:t>
      </w:r>
    </w:p>
    <w:p w:rsidR="000C4D8B" w:rsidRDefault="00CD5407" w:rsidP="006F417E">
      <w:pPr>
        <w:spacing w:after="0" w:line="240" w:lineRule="auto"/>
        <w:ind w:right="283"/>
        <w:jc w:val="both"/>
      </w:pPr>
      <w:r>
        <w:rPr>
          <w:noProof/>
          <w:sz w:val="20"/>
          <w:lang w:eastAsia="en-AU"/>
        </w:rPr>
        <w:drawing>
          <wp:anchor distT="0" distB="0" distL="114300" distR="114300" simplePos="0" relativeHeight="251659264" behindDoc="1" locked="0" layoutInCell="1" allowOverlap="1" wp14:anchorId="47B9E96F" wp14:editId="423D32EC">
            <wp:simplePos x="0" y="0"/>
            <wp:positionH relativeFrom="page">
              <wp:posOffset>6349365</wp:posOffset>
            </wp:positionH>
            <wp:positionV relativeFrom="page">
              <wp:posOffset>9511665</wp:posOffset>
            </wp:positionV>
            <wp:extent cx="864000" cy="633600"/>
            <wp:effectExtent l="0" t="0" r="0" b="0"/>
            <wp:wrapTight wrapText="bothSides">
              <wp:wrapPolygon edited="0">
                <wp:start x="0" y="0"/>
                <wp:lineTo x="0" y="20798"/>
                <wp:lineTo x="20965" y="20798"/>
                <wp:lineTo x="20965" y="0"/>
                <wp:lineTo x="0" y="0"/>
              </wp:wrapPolygon>
            </wp:wrapTight>
            <wp:docPr id="199" name="Picture 199" descr="ATN letterhea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N letterhead 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000" cy="6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CEA">
        <w:rPr>
          <w:rFonts w:cstheme="minorHAnsi"/>
        </w:rPr>
        <w:t xml:space="preserve">It is essential that policy frameworks such as Intellectual Property (IP) enables and </w:t>
      </w:r>
      <w:r w:rsidR="00C95CEA">
        <w:rPr>
          <w:rFonts w:cstheme="minorHAnsi"/>
        </w:rPr>
        <w:lastRenderedPageBreak/>
        <w:t xml:space="preserve">incentivises </w:t>
      </w:r>
      <w:r w:rsidR="00CD21E4">
        <w:rPr>
          <w:rFonts w:cstheme="minorHAnsi"/>
        </w:rPr>
        <w:t xml:space="preserve">R&amp;D </w:t>
      </w:r>
      <w:r w:rsidR="00C95CEA">
        <w:rPr>
          <w:rFonts w:cstheme="minorHAnsi"/>
        </w:rPr>
        <w:t>collaboration between the creator</w:t>
      </w:r>
      <w:r w:rsidR="00C65070">
        <w:rPr>
          <w:rFonts w:cstheme="minorHAnsi"/>
        </w:rPr>
        <w:t xml:space="preserve">s and researchers of technology, along with their </w:t>
      </w:r>
      <w:r w:rsidR="00C95CEA">
        <w:rPr>
          <w:rFonts w:cstheme="minorHAnsi"/>
        </w:rPr>
        <w:t xml:space="preserve">industry partners and the community impacted by the technology. </w:t>
      </w:r>
      <w:r w:rsidR="00C95CEA">
        <w:t xml:space="preserve">The ATN urges the Productivity Commission to support IP arrangements which ensure that the maximum value in terms of impact and community benefit can </w:t>
      </w:r>
      <w:r w:rsidR="007002FA">
        <w:t xml:space="preserve">be </w:t>
      </w:r>
      <w:r w:rsidR="00C95CEA">
        <w:t xml:space="preserve">gained from the application of R&amp;D activities. </w:t>
      </w:r>
      <w:r w:rsidR="00081FBB">
        <w:t>Further, t</w:t>
      </w:r>
      <w:r w:rsidR="00C95CEA">
        <w:t>he ATN</w:t>
      </w:r>
      <w:r w:rsidR="000C4D8B">
        <w:t xml:space="preserve"> </w:t>
      </w:r>
      <w:r w:rsidR="00C95CEA">
        <w:t>supports developing a</w:t>
      </w:r>
      <w:r w:rsidR="00822B02">
        <w:t xml:space="preserve">n </w:t>
      </w:r>
      <w:r w:rsidR="00D42CE6">
        <w:t>innovation</w:t>
      </w:r>
      <w:r w:rsidR="00C95CEA">
        <w:t xml:space="preserve"> framework for assessing IP arrangements that targets additional innovation and creative output. Noting that Australian enterprises tend to limit their innovation to ‘new to business’ rather than ‘new to market’ or ‘new to world’ innovations</w:t>
      </w:r>
      <w:r w:rsidR="00C95CEA">
        <w:rPr>
          <w:rStyle w:val="EndnoteReference"/>
        </w:rPr>
        <w:endnoteReference w:id="5"/>
      </w:r>
      <w:r w:rsidR="00C95CEA">
        <w:t>, it is important that IP arrangements target the efficiency of such processes.</w:t>
      </w:r>
      <w:r w:rsidR="00D42CE6">
        <w:t xml:space="preserve"> Significant work in this area has been done by IP Australia in developing </w:t>
      </w:r>
      <w:r w:rsidR="00D42CE6">
        <w:rPr>
          <w:i/>
        </w:rPr>
        <w:t>Source IP</w:t>
      </w:r>
      <w:r w:rsidR="00A12C6F">
        <w:rPr>
          <w:i/>
        </w:rPr>
        <w:t>,</w:t>
      </w:r>
      <w:r w:rsidR="00D42CE6">
        <w:t xml:space="preserve"> </w:t>
      </w:r>
      <w:r w:rsidR="00A12C6F">
        <w:t>an open source portal</w:t>
      </w:r>
      <w:r w:rsidR="00D42CE6">
        <w:t xml:space="preserve"> </w:t>
      </w:r>
      <w:r w:rsidR="00A12C6F">
        <w:t>allowing</w:t>
      </w:r>
      <w:r w:rsidR="00D42CE6">
        <w:t xml:space="preserve"> users to search for Australian inventions, discover licensable IP and make contact with</w:t>
      </w:r>
      <w:r w:rsidR="00A12C6F">
        <w:t xml:space="preserve"> inventors.</w:t>
      </w:r>
      <w:r w:rsidR="00D42CE6">
        <w:rPr>
          <w:rStyle w:val="EndnoteReference"/>
        </w:rPr>
        <w:endnoteReference w:id="6"/>
      </w:r>
    </w:p>
    <w:p w:rsidR="000C4D8B" w:rsidRDefault="000C4D8B" w:rsidP="006F417E">
      <w:pPr>
        <w:spacing w:after="0" w:line="240" w:lineRule="auto"/>
        <w:ind w:right="283"/>
        <w:jc w:val="both"/>
      </w:pPr>
    </w:p>
    <w:p w:rsidR="000C4D8B" w:rsidRDefault="000C4D8B" w:rsidP="006F417E">
      <w:pPr>
        <w:spacing w:after="0" w:line="240" w:lineRule="auto"/>
        <w:ind w:right="283"/>
        <w:jc w:val="both"/>
        <w:rPr>
          <w:b/>
          <w:i/>
        </w:rPr>
      </w:pPr>
      <w:r w:rsidRPr="006D3D79">
        <w:rPr>
          <w:b/>
          <w:i/>
        </w:rPr>
        <w:t xml:space="preserve">Efficiency and Performance of Australia’s IP System </w:t>
      </w:r>
    </w:p>
    <w:p w:rsidR="000C4D8B" w:rsidRPr="006D3D79" w:rsidRDefault="000C4D8B" w:rsidP="006F417E">
      <w:pPr>
        <w:spacing w:after="0" w:line="240" w:lineRule="auto"/>
        <w:ind w:right="283"/>
        <w:jc w:val="both"/>
        <w:rPr>
          <w:b/>
          <w:i/>
        </w:rPr>
      </w:pPr>
    </w:p>
    <w:p w:rsidR="000C4D8B" w:rsidRDefault="000C4D8B" w:rsidP="006F417E">
      <w:pPr>
        <w:ind w:right="283"/>
        <w:jc w:val="both"/>
      </w:pPr>
      <w:r>
        <w:t>Regarding the efficiency of Australia’s IP system, while Australia’s resourcing for commercialisation (</w:t>
      </w:r>
      <w:r w:rsidR="00CB1FF0">
        <w:t xml:space="preserve">in terms of </w:t>
      </w:r>
      <w:r>
        <w:t>FTE per institution) is roughly on par with that of countries such as the US, Canada and the UK, our comparative output is poor, with fewer invention disclosures and US Patents issued per $US100m in Research Expenditure.</w:t>
      </w:r>
      <w:r>
        <w:rPr>
          <w:rStyle w:val="EndnoteReference"/>
        </w:rPr>
        <w:endnoteReference w:id="7"/>
      </w:r>
      <w:r>
        <w:t xml:space="preserve"> According to a recent report by UNESCO, Australia has recorded the greatest decline within the G20 in share of triadic patents between 2002 and 2012.</w:t>
      </w:r>
      <w:r w:rsidRPr="00AA16B1">
        <w:rPr>
          <w:rStyle w:val="EndnoteReference"/>
        </w:rPr>
        <w:t xml:space="preserve"> </w:t>
      </w:r>
      <w:r>
        <w:rPr>
          <w:rStyle w:val="EndnoteReference"/>
        </w:rPr>
        <w:endnoteReference w:id="8"/>
      </w:r>
    </w:p>
    <w:p w:rsidR="000C4D8B" w:rsidRDefault="000C4D8B" w:rsidP="006F417E">
      <w:pPr>
        <w:ind w:right="283"/>
        <w:jc w:val="both"/>
      </w:pPr>
      <w:r>
        <w:t xml:space="preserve">Scale is an issue Australia needs to address in order to emulate other countries’ productivity with IP. </w:t>
      </w:r>
      <w:r w:rsidRPr="00A05221">
        <w:t xml:space="preserve">Australia's 20 largest corporations have </w:t>
      </w:r>
      <w:r>
        <w:t>just 3,400 patents between them, compared to US companies such as Google and IBM who own around 50,000 alone.</w:t>
      </w:r>
      <w:r>
        <w:rPr>
          <w:rStyle w:val="EndnoteReference"/>
        </w:rPr>
        <w:endnoteReference w:id="9"/>
      </w:r>
      <w:r>
        <w:t xml:space="preserve"> The IP Australia Report shows that although 19,304 patents were granted in 2014, an overwhelming 94 per cent were granted to non-residents in Australia, with the remainder filed by Australian resident companies and Australia’s publicly funded research organisations (including universities).</w:t>
      </w:r>
      <w:r>
        <w:rPr>
          <w:rStyle w:val="EndnoteReference"/>
        </w:rPr>
        <w:endnoteReference w:id="10"/>
      </w:r>
      <w:r>
        <w:t xml:space="preserve"> Incentives need to be put in place to compel Australia’s innovators and entrepreneurs to develop and license their IP in Australia. </w:t>
      </w:r>
    </w:p>
    <w:p w:rsidR="000C4D8B" w:rsidRDefault="000C4D8B" w:rsidP="006F417E">
      <w:pPr>
        <w:ind w:right="283"/>
        <w:jc w:val="both"/>
      </w:pPr>
      <w:r>
        <w:t>Further highlighting Australia’s low innovation efficiency, in 2013, Australia’s investment in generating IP as a share of GDP was 2.6 per cent, compared to the US who invested 4.7 percent in generating IP – almost double the Australian investment.</w:t>
      </w:r>
      <w:r>
        <w:rPr>
          <w:rStyle w:val="EndnoteReference"/>
        </w:rPr>
        <w:endnoteReference w:id="11"/>
      </w:r>
      <w:r>
        <w:t xml:space="preserve"> Patent and Trademarks Attorneys </w:t>
      </w:r>
      <w:proofErr w:type="spellStart"/>
      <w:r>
        <w:t>Kaggwa</w:t>
      </w:r>
      <w:proofErr w:type="spellEnd"/>
      <w:r>
        <w:t xml:space="preserve"> and </w:t>
      </w:r>
      <w:proofErr w:type="spellStart"/>
      <w:r>
        <w:t>Caporn</w:t>
      </w:r>
      <w:proofErr w:type="spellEnd"/>
      <w:r>
        <w:t xml:space="preserve"> note that</w:t>
      </w:r>
      <w:r w:rsidRPr="00CE1B1F">
        <w:t xml:space="preserve">, </w:t>
      </w:r>
    </w:p>
    <w:p w:rsidR="000C4D8B" w:rsidRDefault="000C4D8B" w:rsidP="006F417E">
      <w:pPr>
        <w:ind w:left="720" w:right="283"/>
        <w:jc w:val="both"/>
      </w:pPr>
      <w:r>
        <w:t>“</w:t>
      </w:r>
      <w:r w:rsidRPr="00CE1B1F">
        <w:t>Australian entities paid nearly $4 billion to foreign companies or entities</w:t>
      </w:r>
      <w:r>
        <w:t xml:space="preserve"> [in 2013]</w:t>
      </w:r>
      <w:r w:rsidRPr="00CE1B1F">
        <w:t xml:space="preserve"> and received $748 million from foreign entities in charges for the use of IP. Australia is therefore operating in an environment where the value of IP imports exceeds IP exports and is therefore running what can be considered a consistent IP trade deficit.  As such, there is further room to improve for Australian businesses when it comes to generating innovative outputs that can provide a source of revenue, not only for business but also for the national economy.</w:t>
      </w:r>
      <w:r>
        <w:t>”</w:t>
      </w:r>
      <w:r>
        <w:rPr>
          <w:rStyle w:val="EndnoteReference"/>
        </w:rPr>
        <w:endnoteReference w:id="12"/>
      </w:r>
    </w:p>
    <w:p w:rsidR="000C4D8B" w:rsidRDefault="000C4D8B" w:rsidP="006F417E">
      <w:pPr>
        <w:spacing w:after="0" w:line="240" w:lineRule="auto"/>
        <w:ind w:right="283"/>
        <w:jc w:val="both"/>
      </w:pPr>
      <w:r>
        <w:t>Table 1</w:t>
      </w:r>
      <w:r w:rsidR="00D76DDC">
        <w:t xml:space="preserve"> and figure 1</w:t>
      </w:r>
      <w:r>
        <w:t xml:space="preserve"> below shows that per $US100 million of research expenditure, Australia trails its international competitors in terms of invention disclosures, US patents issued, LOAs executed, and number of start-ups formed</w:t>
      </w:r>
      <w:r w:rsidR="00C471DC">
        <w:t>.</w:t>
      </w:r>
    </w:p>
    <w:p w:rsidR="000C4D8B" w:rsidRDefault="000C4D8B" w:rsidP="006F417E">
      <w:pPr>
        <w:spacing w:after="0" w:line="240" w:lineRule="auto"/>
        <w:ind w:right="283"/>
        <w:jc w:val="both"/>
      </w:pPr>
    </w:p>
    <w:p w:rsidR="000C4D8B" w:rsidRDefault="000C4D8B" w:rsidP="006F417E">
      <w:pPr>
        <w:spacing w:after="0" w:line="240" w:lineRule="auto"/>
        <w:ind w:right="283"/>
        <w:sectPr w:rsidR="000C4D8B" w:rsidSect="008E1403">
          <w:headerReference w:type="first" r:id="rId11"/>
          <w:pgSz w:w="11907" w:h="16840" w:code="9"/>
          <w:pgMar w:top="1134" w:right="1134" w:bottom="1134" w:left="1134" w:header="709" w:footer="709" w:gutter="0"/>
          <w:cols w:space="708"/>
          <w:titlePg/>
        </w:sectPr>
      </w:pPr>
    </w:p>
    <w:p w:rsidR="00CD6CCF" w:rsidRPr="0098135F" w:rsidRDefault="00CD6CCF" w:rsidP="005F7E68">
      <w:pPr>
        <w:rPr>
          <w:b/>
        </w:rPr>
      </w:pPr>
      <w:r w:rsidRPr="0098135F">
        <w:rPr>
          <w:b/>
        </w:rPr>
        <w:lastRenderedPageBreak/>
        <w:t>Table 1. International Comparison of Intellectual Property Activity</w:t>
      </w:r>
    </w:p>
    <w:tbl>
      <w:tblPr>
        <w:tblW w:w="5000" w:type="pct"/>
        <w:tblLook w:val="04A0" w:firstRow="1" w:lastRow="0" w:firstColumn="1" w:lastColumn="0" w:noHBand="0" w:noVBand="1"/>
      </w:tblPr>
      <w:tblGrid>
        <w:gridCol w:w="3352"/>
        <w:gridCol w:w="1018"/>
        <w:gridCol w:w="1104"/>
        <w:gridCol w:w="1045"/>
        <w:gridCol w:w="876"/>
        <w:gridCol w:w="959"/>
        <w:gridCol w:w="1024"/>
        <w:gridCol w:w="826"/>
        <w:gridCol w:w="826"/>
        <w:gridCol w:w="1082"/>
        <w:gridCol w:w="828"/>
        <w:gridCol w:w="828"/>
        <w:gridCol w:w="1020"/>
      </w:tblGrid>
      <w:tr w:rsidR="00CD6CCF" w:rsidRPr="005F7E68" w:rsidTr="008F576E">
        <w:trPr>
          <w:trHeight w:val="300"/>
        </w:trPr>
        <w:tc>
          <w:tcPr>
            <w:tcW w:w="1133" w:type="pct"/>
            <w:tcBorders>
              <w:top w:val="single" w:sz="4" w:space="0" w:color="auto"/>
              <w:left w:val="single" w:sz="4" w:space="0" w:color="auto"/>
              <w:bottom w:val="nil"/>
              <w:right w:val="single" w:sz="4" w:space="0" w:color="auto"/>
            </w:tcBorders>
            <w:shd w:val="clear" w:color="auto" w:fill="auto"/>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p>
        </w:tc>
        <w:tc>
          <w:tcPr>
            <w:tcW w:w="344" w:type="pct"/>
            <w:tcBorders>
              <w:top w:val="single" w:sz="4" w:space="0" w:color="auto"/>
              <w:left w:val="nil"/>
              <w:bottom w:val="single" w:sz="4" w:space="0" w:color="auto"/>
              <w:right w:val="nil"/>
            </w:tcBorders>
            <w:shd w:val="clear" w:color="000000" w:fill="A9D08E"/>
            <w:noWrap/>
            <w:vAlign w:val="bottom"/>
            <w:hideMark/>
          </w:tcPr>
          <w:p w:rsidR="00CD6CCF" w:rsidRPr="005F7E68" w:rsidRDefault="00CD6CCF" w:rsidP="008F576E">
            <w:pPr>
              <w:spacing w:after="0" w:line="240" w:lineRule="auto"/>
              <w:jc w:val="center"/>
              <w:rPr>
                <w:rFonts w:ascii="Calibri" w:eastAsia="Times New Roman" w:hAnsi="Calibri" w:cs="Calibri"/>
                <w:b/>
                <w:bCs/>
                <w:color w:val="000000"/>
                <w:lang w:eastAsia="en-AU"/>
              </w:rPr>
            </w:pPr>
          </w:p>
        </w:tc>
        <w:tc>
          <w:tcPr>
            <w:tcW w:w="373" w:type="pct"/>
            <w:tcBorders>
              <w:top w:val="single" w:sz="4" w:space="0" w:color="auto"/>
              <w:left w:val="nil"/>
              <w:bottom w:val="single" w:sz="4" w:space="0" w:color="auto"/>
              <w:right w:val="nil"/>
            </w:tcBorders>
            <w:shd w:val="clear" w:color="000000" w:fill="A9D08E"/>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b/>
                <w:bCs/>
                <w:color w:val="000000"/>
                <w:lang w:eastAsia="en-AU"/>
              </w:rPr>
              <w:t>Australia</w:t>
            </w:r>
          </w:p>
        </w:tc>
        <w:tc>
          <w:tcPr>
            <w:tcW w:w="353" w:type="pct"/>
            <w:tcBorders>
              <w:top w:val="single" w:sz="4" w:space="0" w:color="auto"/>
              <w:left w:val="nil"/>
              <w:bottom w:val="single" w:sz="4" w:space="0" w:color="auto"/>
              <w:right w:val="single" w:sz="4" w:space="0" w:color="auto"/>
            </w:tcBorders>
            <w:shd w:val="clear" w:color="000000" w:fill="A9D08E"/>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p>
        </w:tc>
        <w:tc>
          <w:tcPr>
            <w:tcW w:w="296" w:type="pct"/>
            <w:tcBorders>
              <w:top w:val="single" w:sz="4" w:space="0" w:color="auto"/>
              <w:left w:val="nil"/>
              <w:bottom w:val="single" w:sz="4" w:space="0" w:color="auto"/>
              <w:right w:val="nil"/>
            </w:tcBorders>
            <w:shd w:val="clear" w:color="auto" w:fill="auto"/>
            <w:noWrap/>
            <w:vAlign w:val="bottom"/>
            <w:hideMark/>
          </w:tcPr>
          <w:p w:rsidR="00CD6CCF" w:rsidRPr="005F7E68" w:rsidRDefault="00CD6CCF" w:rsidP="008F576E">
            <w:pPr>
              <w:spacing w:after="0" w:line="240" w:lineRule="auto"/>
              <w:jc w:val="center"/>
              <w:rPr>
                <w:rFonts w:ascii="Calibri" w:eastAsia="Times New Roman" w:hAnsi="Calibri" w:cs="Calibri"/>
                <w:b/>
                <w:bCs/>
                <w:color w:val="000000"/>
                <w:lang w:eastAsia="en-AU"/>
              </w:rPr>
            </w:pPr>
          </w:p>
        </w:tc>
        <w:tc>
          <w:tcPr>
            <w:tcW w:w="324" w:type="pct"/>
            <w:tcBorders>
              <w:top w:val="single" w:sz="4" w:space="0" w:color="auto"/>
              <w:left w:val="nil"/>
              <w:bottom w:val="single" w:sz="4" w:space="0" w:color="auto"/>
              <w:right w:val="nil"/>
            </w:tcBorders>
            <w:shd w:val="clear" w:color="auto" w:fill="auto"/>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b/>
                <w:bCs/>
                <w:color w:val="000000"/>
                <w:lang w:eastAsia="en-AU"/>
              </w:rPr>
              <w:t>Canada</w:t>
            </w:r>
          </w:p>
        </w:tc>
        <w:tc>
          <w:tcPr>
            <w:tcW w:w="346" w:type="pct"/>
            <w:tcBorders>
              <w:top w:val="single" w:sz="4" w:space="0" w:color="auto"/>
              <w:left w:val="nil"/>
              <w:bottom w:val="single" w:sz="4" w:space="0" w:color="auto"/>
              <w:right w:val="single" w:sz="4" w:space="0" w:color="auto"/>
            </w:tcBorders>
            <w:shd w:val="clear" w:color="auto" w:fill="auto"/>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p>
        </w:tc>
        <w:tc>
          <w:tcPr>
            <w:tcW w:w="279" w:type="pct"/>
            <w:tcBorders>
              <w:top w:val="single" w:sz="4" w:space="0" w:color="auto"/>
              <w:left w:val="nil"/>
              <w:bottom w:val="single" w:sz="4" w:space="0" w:color="auto"/>
              <w:right w:val="nil"/>
            </w:tcBorders>
            <w:shd w:val="clear" w:color="000000" w:fill="A9D08E"/>
            <w:noWrap/>
            <w:vAlign w:val="bottom"/>
          </w:tcPr>
          <w:p w:rsidR="00CD6CCF" w:rsidRPr="005F7E68" w:rsidRDefault="00CD6CCF" w:rsidP="008F576E">
            <w:pPr>
              <w:spacing w:after="0" w:line="240" w:lineRule="auto"/>
              <w:jc w:val="center"/>
              <w:rPr>
                <w:rFonts w:ascii="Calibri" w:eastAsia="Times New Roman" w:hAnsi="Calibri" w:cs="Calibri"/>
                <w:b/>
                <w:bCs/>
                <w:color w:val="000000"/>
                <w:lang w:eastAsia="en-AU"/>
              </w:rPr>
            </w:pPr>
          </w:p>
        </w:tc>
        <w:tc>
          <w:tcPr>
            <w:tcW w:w="279" w:type="pct"/>
            <w:tcBorders>
              <w:top w:val="single" w:sz="4" w:space="0" w:color="auto"/>
              <w:left w:val="nil"/>
              <w:bottom w:val="single" w:sz="4" w:space="0" w:color="auto"/>
              <w:right w:val="nil"/>
            </w:tcBorders>
            <w:shd w:val="clear" w:color="000000" w:fill="A9D08E"/>
            <w:noWrap/>
            <w:vAlign w:val="bottom"/>
            <w:hideMark/>
          </w:tcPr>
          <w:p w:rsidR="00CD6CCF" w:rsidRPr="005F7E68" w:rsidRDefault="00CD6CCF" w:rsidP="008F576E">
            <w:pPr>
              <w:spacing w:after="0" w:line="240" w:lineRule="auto"/>
              <w:jc w:val="center"/>
              <w:rPr>
                <w:rFonts w:ascii="Calibri" w:eastAsia="Times New Roman" w:hAnsi="Calibri" w:cs="Calibri"/>
                <w:b/>
                <w:bCs/>
                <w:color w:val="000000"/>
                <w:lang w:eastAsia="en-AU"/>
              </w:rPr>
            </w:pPr>
            <w:r w:rsidRPr="005F7E68">
              <w:rPr>
                <w:rFonts w:ascii="Calibri" w:eastAsia="Times New Roman" w:hAnsi="Calibri" w:cs="Calibri"/>
                <w:b/>
                <w:bCs/>
                <w:color w:val="000000"/>
                <w:lang w:eastAsia="en-AU"/>
              </w:rPr>
              <w:t>US</w:t>
            </w:r>
          </w:p>
        </w:tc>
        <w:tc>
          <w:tcPr>
            <w:tcW w:w="366" w:type="pct"/>
            <w:tcBorders>
              <w:top w:val="single" w:sz="4" w:space="0" w:color="auto"/>
              <w:left w:val="nil"/>
              <w:bottom w:val="single" w:sz="4" w:space="0" w:color="auto"/>
              <w:right w:val="single" w:sz="4" w:space="0" w:color="auto"/>
            </w:tcBorders>
            <w:shd w:val="clear" w:color="000000" w:fill="A9D08E"/>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p>
        </w:tc>
        <w:tc>
          <w:tcPr>
            <w:tcW w:w="280" w:type="pct"/>
            <w:tcBorders>
              <w:top w:val="single" w:sz="4" w:space="0" w:color="auto"/>
              <w:left w:val="nil"/>
              <w:bottom w:val="single" w:sz="4" w:space="0" w:color="auto"/>
              <w:right w:val="nil"/>
            </w:tcBorders>
            <w:shd w:val="clear" w:color="auto" w:fill="auto"/>
            <w:noWrap/>
            <w:vAlign w:val="bottom"/>
            <w:hideMark/>
          </w:tcPr>
          <w:p w:rsidR="00CD6CCF" w:rsidRPr="005F7E68" w:rsidRDefault="00CD6CCF" w:rsidP="008F576E">
            <w:pPr>
              <w:spacing w:after="0" w:line="240" w:lineRule="auto"/>
              <w:jc w:val="center"/>
              <w:rPr>
                <w:rFonts w:ascii="Calibri" w:eastAsia="Times New Roman" w:hAnsi="Calibri" w:cs="Calibri"/>
                <w:b/>
                <w:bCs/>
                <w:color w:val="000000"/>
                <w:lang w:eastAsia="en-AU"/>
              </w:rPr>
            </w:pPr>
          </w:p>
        </w:tc>
        <w:tc>
          <w:tcPr>
            <w:tcW w:w="280" w:type="pct"/>
            <w:tcBorders>
              <w:top w:val="single" w:sz="4" w:space="0" w:color="auto"/>
              <w:left w:val="nil"/>
              <w:bottom w:val="single" w:sz="4" w:space="0" w:color="auto"/>
              <w:right w:val="nil"/>
            </w:tcBorders>
            <w:shd w:val="clear" w:color="auto" w:fill="auto"/>
            <w:noWrap/>
            <w:vAlign w:val="bottom"/>
            <w:hideMark/>
          </w:tcPr>
          <w:p w:rsidR="00CD6CCF" w:rsidRPr="005F7E68" w:rsidRDefault="00CD6CCF" w:rsidP="008F576E">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b/>
                <w:bCs/>
                <w:color w:val="000000"/>
                <w:lang w:eastAsia="en-AU"/>
              </w:rPr>
              <w:t>UK</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CD6CCF" w:rsidRPr="005F7E68" w:rsidRDefault="00CD6CCF" w:rsidP="008F576E">
            <w:pPr>
              <w:spacing w:after="0" w:line="240" w:lineRule="auto"/>
              <w:rPr>
                <w:rFonts w:ascii="Calibri" w:eastAsia="Times New Roman" w:hAnsi="Calibri" w:cs="Calibri"/>
                <w:color w:val="000000"/>
                <w:lang w:eastAsia="en-AU"/>
              </w:rPr>
            </w:pPr>
            <w:r w:rsidRPr="005F7E68">
              <w:rPr>
                <w:rFonts w:ascii="Calibri" w:eastAsia="Times New Roman" w:hAnsi="Calibri" w:cs="Calibri"/>
                <w:color w:val="000000"/>
                <w:lang w:eastAsia="en-AU"/>
              </w:rPr>
              <w:t> </w:t>
            </w:r>
          </w:p>
        </w:tc>
      </w:tr>
      <w:tr w:rsidR="00CD6CCF" w:rsidRPr="005F7E68" w:rsidTr="00CD6CCF">
        <w:trPr>
          <w:trHeight w:val="405"/>
        </w:trPr>
        <w:tc>
          <w:tcPr>
            <w:tcW w:w="1133" w:type="pct"/>
            <w:tcBorders>
              <w:top w:val="nil"/>
              <w:left w:val="single" w:sz="4" w:space="0" w:color="auto"/>
              <w:bottom w:val="nil"/>
              <w:right w:val="single" w:sz="4" w:space="0" w:color="auto"/>
            </w:tcBorders>
            <w:shd w:val="clear" w:color="auto" w:fill="auto"/>
            <w:noWrap/>
            <w:vAlign w:val="bottom"/>
            <w:hideMark/>
          </w:tcPr>
          <w:p w:rsidR="00CD6CCF" w:rsidRPr="005F7E68" w:rsidRDefault="00CD6CCF" w:rsidP="008F576E">
            <w:pPr>
              <w:spacing w:after="0" w:line="240" w:lineRule="auto"/>
              <w:rPr>
                <w:rFonts w:ascii="Calibri" w:eastAsia="Times New Roman" w:hAnsi="Calibri" w:cs="Calibri"/>
                <w:color w:val="000000"/>
                <w:lang w:eastAsia="en-AU"/>
              </w:rPr>
            </w:pPr>
            <w:r w:rsidRPr="005F7E68">
              <w:rPr>
                <w:rFonts w:ascii="Calibri" w:eastAsia="Times New Roman" w:hAnsi="Calibri" w:cs="Calibri"/>
                <w:color w:val="000000"/>
                <w:lang w:eastAsia="en-AU"/>
              </w:rPr>
              <w:t> </w:t>
            </w:r>
          </w:p>
        </w:tc>
        <w:tc>
          <w:tcPr>
            <w:tcW w:w="344"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2012</w:t>
            </w:r>
          </w:p>
        </w:tc>
        <w:tc>
          <w:tcPr>
            <w:tcW w:w="373"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2013</w:t>
            </w:r>
          </w:p>
        </w:tc>
        <w:tc>
          <w:tcPr>
            <w:tcW w:w="353" w:type="pct"/>
            <w:tcBorders>
              <w:top w:val="single" w:sz="4" w:space="0" w:color="auto"/>
              <w:left w:val="nil"/>
              <w:bottom w:val="nil"/>
              <w:right w:val="single" w:sz="4" w:space="0" w:color="auto"/>
            </w:tcBorders>
            <w:shd w:val="clear" w:color="auto" w:fill="auto"/>
            <w:vAlign w:val="center"/>
            <w:hideMark/>
          </w:tcPr>
          <w:p w:rsidR="00CD6CCF" w:rsidRPr="005F7E68" w:rsidRDefault="00C459E3" w:rsidP="00CD6CCF">
            <w:pPr>
              <w:spacing w:after="0" w:line="240" w:lineRule="auto"/>
              <w:jc w:val="center"/>
              <w:rPr>
                <w:rFonts w:ascii="Calibri" w:eastAsia="Times New Roman" w:hAnsi="Calibri" w:cs="Calibri"/>
                <w:b/>
                <w:i/>
                <w:iCs/>
                <w:color w:val="000000"/>
                <w:lang w:eastAsia="en-AU"/>
              </w:rPr>
            </w:pPr>
            <w:r>
              <w:rPr>
                <w:rFonts w:ascii="Calibri" w:eastAsia="Times New Roman" w:hAnsi="Calibri" w:cs="Calibri"/>
                <w:b/>
                <w:i/>
                <w:iCs/>
                <w:color w:val="000000"/>
                <w:lang w:eastAsia="en-AU"/>
              </w:rPr>
              <w:t>5-year A</w:t>
            </w:r>
            <w:r w:rsidR="00CD6CCF" w:rsidRPr="005F7E68">
              <w:rPr>
                <w:rFonts w:ascii="Calibri" w:eastAsia="Times New Roman" w:hAnsi="Calibri" w:cs="Calibri"/>
                <w:b/>
                <w:i/>
                <w:iCs/>
                <w:color w:val="000000"/>
                <w:lang w:eastAsia="en-AU"/>
              </w:rPr>
              <w:t>ve</w:t>
            </w:r>
            <w:r>
              <w:rPr>
                <w:rFonts w:ascii="Calibri" w:eastAsia="Times New Roman" w:hAnsi="Calibri" w:cs="Calibri"/>
                <w:b/>
                <w:i/>
                <w:iCs/>
                <w:color w:val="000000"/>
                <w:lang w:eastAsia="en-AU"/>
              </w:rPr>
              <w:t>.</w:t>
            </w:r>
          </w:p>
        </w:tc>
        <w:tc>
          <w:tcPr>
            <w:tcW w:w="296"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2012</w:t>
            </w:r>
          </w:p>
        </w:tc>
        <w:tc>
          <w:tcPr>
            <w:tcW w:w="324"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2013</w:t>
            </w:r>
          </w:p>
        </w:tc>
        <w:tc>
          <w:tcPr>
            <w:tcW w:w="346" w:type="pct"/>
            <w:tcBorders>
              <w:top w:val="single" w:sz="4" w:space="0" w:color="auto"/>
              <w:left w:val="nil"/>
              <w:bottom w:val="nil"/>
              <w:right w:val="single" w:sz="4" w:space="0" w:color="auto"/>
            </w:tcBorders>
            <w:shd w:val="clear" w:color="auto" w:fill="auto"/>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 xml:space="preserve">5-year </w:t>
            </w:r>
            <w:r w:rsidR="00C459E3">
              <w:rPr>
                <w:rFonts w:ascii="Calibri" w:eastAsia="Times New Roman" w:hAnsi="Calibri" w:cs="Calibri"/>
                <w:b/>
                <w:i/>
                <w:iCs/>
                <w:color w:val="000000"/>
                <w:lang w:eastAsia="en-AU"/>
              </w:rPr>
              <w:t>A</w:t>
            </w:r>
            <w:r w:rsidR="00C459E3" w:rsidRPr="005F7E68">
              <w:rPr>
                <w:rFonts w:ascii="Calibri" w:eastAsia="Times New Roman" w:hAnsi="Calibri" w:cs="Calibri"/>
                <w:b/>
                <w:i/>
                <w:iCs/>
                <w:color w:val="000000"/>
                <w:lang w:eastAsia="en-AU"/>
              </w:rPr>
              <w:t>ve</w:t>
            </w:r>
            <w:r w:rsidR="00C459E3">
              <w:rPr>
                <w:rFonts w:ascii="Calibri" w:eastAsia="Times New Roman" w:hAnsi="Calibri" w:cs="Calibri"/>
                <w:b/>
                <w:i/>
                <w:iCs/>
                <w:color w:val="000000"/>
                <w:lang w:eastAsia="en-AU"/>
              </w:rPr>
              <w:t>.</w:t>
            </w:r>
          </w:p>
        </w:tc>
        <w:tc>
          <w:tcPr>
            <w:tcW w:w="279"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2012</w:t>
            </w:r>
          </w:p>
        </w:tc>
        <w:tc>
          <w:tcPr>
            <w:tcW w:w="279"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2013</w:t>
            </w:r>
          </w:p>
        </w:tc>
        <w:tc>
          <w:tcPr>
            <w:tcW w:w="366" w:type="pct"/>
            <w:tcBorders>
              <w:top w:val="single" w:sz="4" w:space="0" w:color="auto"/>
              <w:left w:val="nil"/>
              <w:bottom w:val="nil"/>
              <w:right w:val="single" w:sz="4" w:space="0" w:color="auto"/>
            </w:tcBorders>
            <w:shd w:val="clear" w:color="auto" w:fill="auto"/>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 xml:space="preserve">5-year </w:t>
            </w:r>
            <w:r w:rsidR="00C459E3">
              <w:rPr>
                <w:rFonts w:ascii="Calibri" w:eastAsia="Times New Roman" w:hAnsi="Calibri" w:cs="Calibri"/>
                <w:b/>
                <w:i/>
                <w:iCs/>
                <w:color w:val="000000"/>
                <w:lang w:eastAsia="en-AU"/>
              </w:rPr>
              <w:t>A</w:t>
            </w:r>
            <w:r w:rsidR="00C459E3" w:rsidRPr="005F7E68">
              <w:rPr>
                <w:rFonts w:ascii="Calibri" w:eastAsia="Times New Roman" w:hAnsi="Calibri" w:cs="Calibri"/>
                <w:b/>
                <w:i/>
                <w:iCs/>
                <w:color w:val="000000"/>
                <w:lang w:eastAsia="en-AU"/>
              </w:rPr>
              <w:t>ve</w:t>
            </w:r>
            <w:r w:rsidR="00C459E3">
              <w:rPr>
                <w:rFonts w:ascii="Calibri" w:eastAsia="Times New Roman" w:hAnsi="Calibri" w:cs="Calibri"/>
                <w:b/>
                <w:i/>
                <w:iCs/>
                <w:color w:val="000000"/>
                <w:lang w:eastAsia="en-AU"/>
              </w:rPr>
              <w:t>.</w:t>
            </w:r>
          </w:p>
        </w:tc>
        <w:tc>
          <w:tcPr>
            <w:tcW w:w="280"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2012</w:t>
            </w:r>
          </w:p>
        </w:tc>
        <w:tc>
          <w:tcPr>
            <w:tcW w:w="280" w:type="pct"/>
            <w:tcBorders>
              <w:top w:val="single" w:sz="4" w:space="0" w:color="auto"/>
              <w:left w:val="nil"/>
              <w:bottom w:val="nil"/>
              <w:right w:val="nil"/>
            </w:tcBorders>
            <w:shd w:val="clear" w:color="auto" w:fill="auto"/>
            <w:noWrap/>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2013</w:t>
            </w:r>
          </w:p>
        </w:tc>
        <w:tc>
          <w:tcPr>
            <w:tcW w:w="345" w:type="pct"/>
            <w:tcBorders>
              <w:top w:val="single" w:sz="4" w:space="0" w:color="auto"/>
              <w:left w:val="nil"/>
              <w:bottom w:val="nil"/>
              <w:right w:val="single" w:sz="4" w:space="0" w:color="auto"/>
            </w:tcBorders>
            <w:shd w:val="clear" w:color="auto" w:fill="auto"/>
            <w:vAlign w:val="center"/>
            <w:hideMark/>
          </w:tcPr>
          <w:p w:rsidR="00CD6CCF" w:rsidRPr="005F7E68" w:rsidRDefault="00CD6CCF" w:rsidP="00CD6CCF">
            <w:pPr>
              <w:spacing w:after="0" w:line="240" w:lineRule="auto"/>
              <w:jc w:val="center"/>
              <w:rPr>
                <w:rFonts w:ascii="Calibri" w:eastAsia="Times New Roman" w:hAnsi="Calibri" w:cs="Calibri"/>
                <w:b/>
                <w:i/>
                <w:iCs/>
                <w:color w:val="000000"/>
                <w:lang w:eastAsia="en-AU"/>
              </w:rPr>
            </w:pPr>
            <w:r w:rsidRPr="005F7E68">
              <w:rPr>
                <w:rFonts w:ascii="Calibri" w:eastAsia="Times New Roman" w:hAnsi="Calibri" w:cs="Calibri"/>
                <w:b/>
                <w:i/>
                <w:iCs/>
                <w:color w:val="000000"/>
                <w:lang w:eastAsia="en-AU"/>
              </w:rPr>
              <w:t xml:space="preserve">5-year </w:t>
            </w:r>
            <w:r w:rsidR="00C459E3">
              <w:rPr>
                <w:rFonts w:ascii="Calibri" w:eastAsia="Times New Roman" w:hAnsi="Calibri" w:cs="Calibri"/>
                <w:b/>
                <w:i/>
                <w:iCs/>
                <w:color w:val="000000"/>
                <w:lang w:eastAsia="en-AU"/>
              </w:rPr>
              <w:t>A</w:t>
            </w:r>
            <w:r w:rsidR="00C459E3" w:rsidRPr="005F7E68">
              <w:rPr>
                <w:rFonts w:ascii="Calibri" w:eastAsia="Times New Roman" w:hAnsi="Calibri" w:cs="Calibri"/>
                <w:b/>
                <w:i/>
                <w:iCs/>
                <w:color w:val="000000"/>
                <w:lang w:eastAsia="en-AU"/>
              </w:rPr>
              <w:t>ve</w:t>
            </w:r>
            <w:r w:rsidR="00C459E3">
              <w:rPr>
                <w:rFonts w:ascii="Calibri" w:eastAsia="Times New Roman" w:hAnsi="Calibri" w:cs="Calibri"/>
                <w:b/>
                <w:i/>
                <w:iCs/>
                <w:color w:val="000000"/>
                <w:lang w:eastAsia="en-AU"/>
              </w:rPr>
              <w:t>.</w:t>
            </w:r>
          </w:p>
        </w:tc>
      </w:tr>
      <w:tr w:rsidR="00CD6CCF" w:rsidRPr="005F7E68" w:rsidTr="00C459E3">
        <w:trPr>
          <w:trHeight w:val="600"/>
        </w:trPr>
        <w:tc>
          <w:tcPr>
            <w:tcW w:w="1133" w:type="pct"/>
            <w:tcBorders>
              <w:top w:val="nil"/>
              <w:left w:val="single" w:sz="4" w:space="0" w:color="auto"/>
              <w:bottom w:val="nil"/>
              <w:right w:val="single" w:sz="4" w:space="0" w:color="auto"/>
            </w:tcBorders>
            <w:shd w:val="clear" w:color="000000" w:fill="D0CECE"/>
            <w:vAlign w:val="bottom"/>
            <w:hideMark/>
          </w:tcPr>
          <w:p w:rsidR="00CD6CCF" w:rsidRPr="005F7E68" w:rsidRDefault="00CD6CCF" w:rsidP="008F576E">
            <w:pPr>
              <w:spacing w:after="0" w:line="240" w:lineRule="auto"/>
              <w:rPr>
                <w:rFonts w:ascii="Calibri" w:eastAsia="Times New Roman" w:hAnsi="Calibri" w:cs="Calibri"/>
                <w:b/>
                <w:bCs/>
                <w:color w:val="000000"/>
                <w:lang w:eastAsia="en-AU"/>
              </w:rPr>
            </w:pPr>
            <w:r w:rsidRPr="005F7E68">
              <w:rPr>
                <w:rFonts w:ascii="Calibri" w:eastAsia="Times New Roman" w:hAnsi="Calibri" w:cs="Calibri"/>
                <w:b/>
                <w:bCs/>
                <w:color w:val="000000"/>
                <w:lang w:eastAsia="en-AU"/>
              </w:rPr>
              <w:t>Number of Invention Disclosures per $US100m research expenditure</w:t>
            </w:r>
          </w:p>
        </w:tc>
        <w:tc>
          <w:tcPr>
            <w:tcW w:w="344"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22.1</w:t>
            </w:r>
          </w:p>
        </w:tc>
        <w:tc>
          <w:tcPr>
            <w:tcW w:w="373"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23.6</w:t>
            </w:r>
          </w:p>
        </w:tc>
        <w:tc>
          <w:tcPr>
            <w:tcW w:w="353" w:type="pct"/>
            <w:tcBorders>
              <w:top w:val="nil"/>
              <w:left w:val="nil"/>
              <w:bottom w:val="nil"/>
              <w:right w:val="single" w:sz="4" w:space="0" w:color="auto"/>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25.3</w:t>
            </w:r>
          </w:p>
        </w:tc>
        <w:tc>
          <w:tcPr>
            <w:tcW w:w="296"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39.5</w:t>
            </w:r>
          </w:p>
        </w:tc>
        <w:tc>
          <w:tcPr>
            <w:tcW w:w="324"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43.2</w:t>
            </w:r>
          </w:p>
        </w:tc>
        <w:tc>
          <w:tcPr>
            <w:tcW w:w="346" w:type="pct"/>
            <w:tcBorders>
              <w:top w:val="nil"/>
              <w:left w:val="nil"/>
              <w:bottom w:val="nil"/>
              <w:right w:val="single" w:sz="4" w:space="0" w:color="auto"/>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39.2</w:t>
            </w:r>
          </w:p>
        </w:tc>
        <w:tc>
          <w:tcPr>
            <w:tcW w:w="279"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37.3</w:t>
            </w:r>
          </w:p>
        </w:tc>
        <w:tc>
          <w:tcPr>
            <w:tcW w:w="279"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36.9</w:t>
            </w:r>
          </w:p>
        </w:tc>
        <w:tc>
          <w:tcPr>
            <w:tcW w:w="366" w:type="pct"/>
            <w:tcBorders>
              <w:top w:val="nil"/>
              <w:left w:val="nil"/>
              <w:bottom w:val="nil"/>
              <w:right w:val="single" w:sz="4" w:space="0" w:color="auto"/>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36.5</w:t>
            </w:r>
          </w:p>
        </w:tc>
        <w:tc>
          <w:tcPr>
            <w:tcW w:w="280" w:type="pct"/>
            <w:tcBorders>
              <w:top w:val="nil"/>
              <w:left w:val="nil"/>
              <w:bottom w:val="nil"/>
              <w:right w:val="nil"/>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45.0</w:t>
            </w:r>
          </w:p>
        </w:tc>
        <w:tc>
          <w:tcPr>
            <w:tcW w:w="280" w:type="pct"/>
            <w:tcBorders>
              <w:top w:val="nil"/>
              <w:left w:val="nil"/>
              <w:bottom w:val="nil"/>
              <w:right w:val="nil"/>
            </w:tcBorders>
            <w:shd w:val="clear" w:color="000000" w:fill="D0CECE"/>
            <w:noWrap/>
            <w:vAlign w:val="center"/>
            <w:hideMark/>
          </w:tcPr>
          <w:p w:rsidR="00CD6CCF" w:rsidRPr="005F7E68" w:rsidRDefault="0089019A" w:rsidP="00C459E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345" w:type="pct"/>
            <w:tcBorders>
              <w:top w:val="nil"/>
              <w:left w:val="nil"/>
              <w:bottom w:val="nil"/>
              <w:right w:val="single" w:sz="4" w:space="0" w:color="auto"/>
            </w:tcBorders>
            <w:shd w:val="clear" w:color="000000" w:fill="D0CECE"/>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44.6</w:t>
            </w:r>
          </w:p>
        </w:tc>
      </w:tr>
      <w:tr w:rsidR="00CD6CCF" w:rsidRPr="005F7E68" w:rsidTr="00C459E3">
        <w:trPr>
          <w:trHeight w:val="600"/>
        </w:trPr>
        <w:tc>
          <w:tcPr>
            <w:tcW w:w="1133" w:type="pct"/>
            <w:tcBorders>
              <w:top w:val="nil"/>
              <w:left w:val="single" w:sz="4" w:space="0" w:color="auto"/>
              <w:bottom w:val="nil"/>
              <w:right w:val="single" w:sz="4" w:space="0" w:color="auto"/>
            </w:tcBorders>
            <w:shd w:val="clear" w:color="auto" w:fill="auto"/>
            <w:vAlign w:val="bottom"/>
            <w:hideMark/>
          </w:tcPr>
          <w:p w:rsidR="00CD6CCF" w:rsidRPr="005F7E68" w:rsidRDefault="00CD6CCF" w:rsidP="008F576E">
            <w:pPr>
              <w:spacing w:after="0" w:line="240" w:lineRule="auto"/>
              <w:rPr>
                <w:rFonts w:ascii="Calibri" w:eastAsia="Times New Roman" w:hAnsi="Calibri" w:cs="Calibri"/>
                <w:color w:val="000000"/>
                <w:lang w:eastAsia="en-AU"/>
              </w:rPr>
            </w:pPr>
            <w:r w:rsidRPr="005F7E68">
              <w:rPr>
                <w:rFonts w:ascii="Calibri" w:eastAsia="Times New Roman" w:hAnsi="Calibri" w:cs="Calibri"/>
                <w:color w:val="000000"/>
                <w:lang w:eastAsia="en-AU"/>
              </w:rPr>
              <w:t>US Patents issued per $100m research expenditure</w:t>
            </w:r>
          </w:p>
        </w:tc>
        <w:tc>
          <w:tcPr>
            <w:tcW w:w="344"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1.8</w:t>
            </w:r>
          </w:p>
        </w:tc>
        <w:tc>
          <w:tcPr>
            <w:tcW w:w="373"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2.0</w:t>
            </w:r>
          </w:p>
        </w:tc>
        <w:tc>
          <w:tcPr>
            <w:tcW w:w="353" w:type="pct"/>
            <w:tcBorders>
              <w:top w:val="nil"/>
              <w:left w:val="nil"/>
              <w:bottom w:val="nil"/>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1.8</w:t>
            </w:r>
          </w:p>
        </w:tc>
        <w:tc>
          <w:tcPr>
            <w:tcW w:w="296"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4.0</w:t>
            </w:r>
          </w:p>
        </w:tc>
        <w:tc>
          <w:tcPr>
            <w:tcW w:w="324"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5.3</w:t>
            </w:r>
          </w:p>
        </w:tc>
        <w:tc>
          <w:tcPr>
            <w:tcW w:w="346" w:type="pct"/>
            <w:tcBorders>
              <w:top w:val="nil"/>
              <w:left w:val="nil"/>
              <w:bottom w:val="nil"/>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3.7</w:t>
            </w:r>
          </w:p>
        </w:tc>
        <w:tc>
          <w:tcPr>
            <w:tcW w:w="279"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8.1</w:t>
            </w:r>
          </w:p>
        </w:tc>
        <w:tc>
          <w:tcPr>
            <w:tcW w:w="279"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8.8</w:t>
            </w:r>
          </w:p>
        </w:tc>
        <w:tc>
          <w:tcPr>
            <w:tcW w:w="366" w:type="pct"/>
            <w:tcBorders>
              <w:top w:val="nil"/>
              <w:left w:val="nil"/>
              <w:bottom w:val="nil"/>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7.7</w:t>
            </w:r>
          </w:p>
        </w:tc>
        <w:tc>
          <w:tcPr>
            <w:tcW w:w="280" w:type="pct"/>
            <w:tcBorders>
              <w:top w:val="nil"/>
              <w:left w:val="nil"/>
              <w:bottom w:val="nil"/>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10.0</w:t>
            </w:r>
          </w:p>
        </w:tc>
        <w:tc>
          <w:tcPr>
            <w:tcW w:w="280" w:type="pct"/>
            <w:tcBorders>
              <w:top w:val="nil"/>
              <w:left w:val="nil"/>
              <w:bottom w:val="nil"/>
              <w:right w:val="nil"/>
            </w:tcBorders>
            <w:shd w:val="clear" w:color="auto" w:fill="auto"/>
            <w:noWrap/>
            <w:vAlign w:val="center"/>
            <w:hideMark/>
          </w:tcPr>
          <w:p w:rsidR="00CD6CCF" w:rsidRPr="005F7E68" w:rsidRDefault="0089019A" w:rsidP="00C459E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345" w:type="pct"/>
            <w:tcBorders>
              <w:top w:val="nil"/>
              <w:left w:val="nil"/>
              <w:bottom w:val="nil"/>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9.0</w:t>
            </w:r>
          </w:p>
        </w:tc>
      </w:tr>
      <w:tr w:rsidR="00CD6CCF" w:rsidRPr="005F7E68" w:rsidTr="00C459E3">
        <w:trPr>
          <w:trHeight w:val="600"/>
        </w:trPr>
        <w:tc>
          <w:tcPr>
            <w:tcW w:w="1133" w:type="pct"/>
            <w:tcBorders>
              <w:top w:val="nil"/>
              <w:left w:val="single" w:sz="4" w:space="0" w:color="auto"/>
              <w:bottom w:val="nil"/>
              <w:right w:val="single" w:sz="4" w:space="0" w:color="auto"/>
            </w:tcBorders>
            <w:shd w:val="clear" w:color="000000" w:fill="D0CECE"/>
            <w:vAlign w:val="bottom"/>
            <w:hideMark/>
          </w:tcPr>
          <w:p w:rsidR="00CD6CCF" w:rsidRPr="005F7E68" w:rsidRDefault="00CD6CCF" w:rsidP="008F576E">
            <w:pPr>
              <w:spacing w:after="0" w:line="240" w:lineRule="auto"/>
              <w:rPr>
                <w:rFonts w:ascii="Calibri" w:eastAsia="Times New Roman" w:hAnsi="Calibri" w:cs="Calibri"/>
                <w:b/>
                <w:bCs/>
                <w:color w:val="000000"/>
                <w:lang w:eastAsia="en-AU"/>
              </w:rPr>
            </w:pPr>
            <w:r w:rsidRPr="005F7E68">
              <w:rPr>
                <w:rFonts w:ascii="Calibri" w:eastAsia="Times New Roman" w:hAnsi="Calibri" w:cs="Calibri"/>
                <w:b/>
                <w:bCs/>
                <w:color w:val="000000"/>
                <w:lang w:eastAsia="en-AU"/>
              </w:rPr>
              <w:t>Number of LOAs Executed per $US100m research expenditure</w:t>
            </w:r>
          </w:p>
        </w:tc>
        <w:tc>
          <w:tcPr>
            <w:tcW w:w="344"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7.4</w:t>
            </w:r>
          </w:p>
        </w:tc>
        <w:tc>
          <w:tcPr>
            <w:tcW w:w="373"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10.1</w:t>
            </w:r>
          </w:p>
        </w:tc>
        <w:tc>
          <w:tcPr>
            <w:tcW w:w="353" w:type="pct"/>
            <w:tcBorders>
              <w:top w:val="nil"/>
              <w:left w:val="nil"/>
              <w:bottom w:val="nil"/>
              <w:right w:val="single" w:sz="4" w:space="0" w:color="auto"/>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8.6</w:t>
            </w:r>
          </w:p>
        </w:tc>
        <w:tc>
          <w:tcPr>
            <w:tcW w:w="296"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12.1</w:t>
            </w:r>
          </w:p>
        </w:tc>
        <w:tc>
          <w:tcPr>
            <w:tcW w:w="324"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9.5</w:t>
            </w:r>
          </w:p>
        </w:tc>
        <w:tc>
          <w:tcPr>
            <w:tcW w:w="346" w:type="pct"/>
            <w:tcBorders>
              <w:top w:val="nil"/>
              <w:left w:val="nil"/>
              <w:bottom w:val="nil"/>
              <w:right w:val="single" w:sz="4" w:space="0" w:color="auto"/>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11.8</w:t>
            </w:r>
          </w:p>
        </w:tc>
        <w:tc>
          <w:tcPr>
            <w:tcW w:w="279"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10</w:t>
            </w:r>
          </w:p>
        </w:tc>
        <w:tc>
          <w:tcPr>
            <w:tcW w:w="279"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10.1</w:t>
            </w:r>
          </w:p>
        </w:tc>
        <w:tc>
          <w:tcPr>
            <w:tcW w:w="366" w:type="pct"/>
            <w:tcBorders>
              <w:top w:val="nil"/>
              <w:left w:val="nil"/>
              <w:bottom w:val="nil"/>
              <w:right w:val="single" w:sz="4" w:space="0" w:color="auto"/>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9.8</w:t>
            </w:r>
          </w:p>
        </w:tc>
        <w:tc>
          <w:tcPr>
            <w:tcW w:w="280" w:type="pct"/>
            <w:tcBorders>
              <w:top w:val="nil"/>
              <w:left w:val="nil"/>
              <w:bottom w:val="nil"/>
              <w:right w:val="nil"/>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95</w:t>
            </w:r>
          </w:p>
        </w:tc>
        <w:tc>
          <w:tcPr>
            <w:tcW w:w="280" w:type="pct"/>
            <w:tcBorders>
              <w:top w:val="nil"/>
              <w:left w:val="nil"/>
              <w:bottom w:val="nil"/>
              <w:right w:val="nil"/>
            </w:tcBorders>
            <w:shd w:val="clear" w:color="000000" w:fill="D0CECE"/>
            <w:vAlign w:val="center"/>
            <w:hideMark/>
          </w:tcPr>
          <w:p w:rsidR="00CD6CCF" w:rsidRPr="005F7E68" w:rsidRDefault="0089019A" w:rsidP="00C459E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345" w:type="pct"/>
            <w:tcBorders>
              <w:top w:val="nil"/>
              <w:left w:val="nil"/>
              <w:bottom w:val="nil"/>
              <w:right w:val="single" w:sz="4" w:space="0" w:color="auto"/>
            </w:tcBorders>
            <w:shd w:val="clear" w:color="000000" w:fill="D0CECE"/>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69.5</w:t>
            </w:r>
          </w:p>
        </w:tc>
      </w:tr>
      <w:tr w:rsidR="00CD6CCF" w:rsidRPr="005F7E68" w:rsidTr="00C459E3">
        <w:trPr>
          <w:trHeight w:val="900"/>
        </w:trPr>
        <w:tc>
          <w:tcPr>
            <w:tcW w:w="1133" w:type="pct"/>
            <w:tcBorders>
              <w:top w:val="nil"/>
              <w:left w:val="single" w:sz="4" w:space="0" w:color="auto"/>
              <w:bottom w:val="single" w:sz="4" w:space="0" w:color="auto"/>
              <w:right w:val="single" w:sz="4" w:space="0" w:color="auto"/>
            </w:tcBorders>
            <w:shd w:val="clear" w:color="auto" w:fill="auto"/>
            <w:vAlign w:val="bottom"/>
            <w:hideMark/>
          </w:tcPr>
          <w:p w:rsidR="00CD6CCF" w:rsidRPr="005F7E68" w:rsidRDefault="00CD6CCF" w:rsidP="008F576E">
            <w:pPr>
              <w:spacing w:after="0" w:line="240" w:lineRule="auto"/>
              <w:rPr>
                <w:rFonts w:ascii="Calibri" w:eastAsia="Times New Roman" w:hAnsi="Calibri" w:cs="Calibri"/>
                <w:color w:val="000000"/>
                <w:lang w:eastAsia="en-AU"/>
              </w:rPr>
            </w:pPr>
            <w:r w:rsidRPr="005F7E68">
              <w:rPr>
                <w:rFonts w:ascii="Calibri" w:eastAsia="Times New Roman" w:hAnsi="Calibri" w:cs="Calibri"/>
                <w:color w:val="000000"/>
                <w:lang w:eastAsia="en-AU"/>
              </w:rPr>
              <w:t>Number of start-up companies formed per $US100m research expenditure,</w:t>
            </w:r>
          </w:p>
        </w:tc>
        <w:tc>
          <w:tcPr>
            <w:tcW w:w="344"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0.4</w:t>
            </w:r>
          </w:p>
        </w:tc>
        <w:tc>
          <w:tcPr>
            <w:tcW w:w="373"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0.4</w:t>
            </w:r>
          </w:p>
        </w:tc>
        <w:tc>
          <w:tcPr>
            <w:tcW w:w="353" w:type="pct"/>
            <w:tcBorders>
              <w:top w:val="nil"/>
              <w:left w:val="nil"/>
              <w:bottom w:val="single" w:sz="4" w:space="0" w:color="auto"/>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0.4</w:t>
            </w:r>
          </w:p>
        </w:tc>
        <w:tc>
          <w:tcPr>
            <w:tcW w:w="296"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1.3</w:t>
            </w:r>
          </w:p>
        </w:tc>
        <w:tc>
          <w:tcPr>
            <w:tcW w:w="324"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1.5</w:t>
            </w:r>
          </w:p>
        </w:tc>
        <w:tc>
          <w:tcPr>
            <w:tcW w:w="346" w:type="pct"/>
            <w:tcBorders>
              <w:top w:val="nil"/>
              <w:left w:val="nil"/>
              <w:bottom w:val="single" w:sz="4" w:space="0" w:color="auto"/>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1.3</w:t>
            </w:r>
          </w:p>
        </w:tc>
        <w:tc>
          <w:tcPr>
            <w:tcW w:w="279"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1.1</w:t>
            </w:r>
          </w:p>
        </w:tc>
        <w:tc>
          <w:tcPr>
            <w:tcW w:w="279"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1.3</w:t>
            </w:r>
          </w:p>
        </w:tc>
        <w:tc>
          <w:tcPr>
            <w:tcW w:w="366" w:type="pct"/>
            <w:tcBorders>
              <w:top w:val="nil"/>
              <w:left w:val="nil"/>
              <w:bottom w:val="single" w:sz="4" w:space="0" w:color="auto"/>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1.1</w:t>
            </w:r>
          </w:p>
        </w:tc>
        <w:tc>
          <w:tcPr>
            <w:tcW w:w="280" w:type="pct"/>
            <w:tcBorders>
              <w:top w:val="nil"/>
              <w:left w:val="nil"/>
              <w:bottom w:val="single" w:sz="4" w:space="0" w:color="auto"/>
              <w:right w:val="nil"/>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1.6</w:t>
            </w:r>
          </w:p>
        </w:tc>
        <w:tc>
          <w:tcPr>
            <w:tcW w:w="280" w:type="pct"/>
            <w:tcBorders>
              <w:top w:val="nil"/>
              <w:left w:val="nil"/>
              <w:bottom w:val="single" w:sz="4" w:space="0" w:color="auto"/>
              <w:right w:val="nil"/>
            </w:tcBorders>
            <w:shd w:val="clear" w:color="auto" w:fill="auto"/>
            <w:noWrap/>
            <w:vAlign w:val="center"/>
            <w:hideMark/>
          </w:tcPr>
          <w:p w:rsidR="00CD6CCF" w:rsidRPr="005F7E68" w:rsidRDefault="0089019A" w:rsidP="00C459E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345" w:type="pct"/>
            <w:tcBorders>
              <w:top w:val="nil"/>
              <w:left w:val="nil"/>
              <w:bottom w:val="single" w:sz="4" w:space="0" w:color="auto"/>
              <w:right w:val="single" w:sz="4" w:space="0" w:color="auto"/>
            </w:tcBorders>
            <w:shd w:val="clear" w:color="auto" w:fill="auto"/>
            <w:noWrap/>
            <w:vAlign w:val="center"/>
            <w:hideMark/>
          </w:tcPr>
          <w:p w:rsidR="00CD6CCF" w:rsidRPr="005F7E68" w:rsidRDefault="00CD6CCF" w:rsidP="00C459E3">
            <w:pPr>
              <w:spacing w:after="0" w:line="240" w:lineRule="auto"/>
              <w:jc w:val="center"/>
              <w:rPr>
                <w:rFonts w:ascii="Calibri" w:eastAsia="Times New Roman" w:hAnsi="Calibri" w:cs="Calibri"/>
                <w:color w:val="000000"/>
                <w:lang w:eastAsia="en-AU"/>
              </w:rPr>
            </w:pPr>
            <w:r w:rsidRPr="005F7E68">
              <w:rPr>
                <w:rFonts w:ascii="Calibri" w:eastAsia="Times New Roman" w:hAnsi="Calibri" w:cs="Calibri"/>
                <w:color w:val="000000"/>
                <w:lang w:eastAsia="en-AU"/>
              </w:rPr>
              <w:t>2.3</w:t>
            </w:r>
          </w:p>
        </w:tc>
      </w:tr>
    </w:tbl>
    <w:p w:rsidR="005F7E68" w:rsidRDefault="00255609" w:rsidP="005F7E68">
      <w:r w:rsidRPr="00255609">
        <w:t xml:space="preserve">Data from the Department of Industry, Innovation and Science's National Survey for Research Commercialisation 2013; </w:t>
      </w:r>
      <w:r w:rsidR="00C459E3">
        <w:t>Comparison s</w:t>
      </w:r>
      <w:r w:rsidRPr="00255609">
        <w:t xml:space="preserve">ources:  AUTM US and Canadian Licensing Activity Surveys, AUTM Statistics Access for Tech Transfer (STATT) Database, UK Higher Education - Business Community Interaction Survey.  </w:t>
      </w:r>
    </w:p>
    <w:p w:rsidR="00255609" w:rsidRDefault="00255609" w:rsidP="005F7E68">
      <w:pPr>
        <w:sectPr w:rsidR="00255609" w:rsidSect="005F7E68">
          <w:headerReference w:type="first" r:id="rId12"/>
          <w:footerReference w:type="first" r:id="rId13"/>
          <w:pgSz w:w="16840" w:h="11907" w:orient="landscape" w:code="9"/>
          <w:pgMar w:top="1134" w:right="1134" w:bottom="1134" w:left="1134" w:header="709" w:footer="709" w:gutter="0"/>
          <w:cols w:space="708"/>
          <w:titlePg/>
          <w:docGrid w:linePitch="299"/>
        </w:sectPr>
      </w:pPr>
    </w:p>
    <w:p w:rsidR="00255609" w:rsidRDefault="005F7E68" w:rsidP="005F7E68">
      <w:pPr>
        <w:rPr>
          <w:noProof/>
          <w:lang w:eastAsia="en-AU"/>
        </w:rPr>
      </w:pPr>
      <w:r>
        <w:rPr>
          <w:noProof/>
          <w:lang w:eastAsia="en-AU"/>
        </w:rPr>
        <w:lastRenderedPageBreak/>
        <w:drawing>
          <wp:inline distT="0" distB="0" distL="0" distR="0">
            <wp:extent cx="4526987" cy="2523490"/>
            <wp:effectExtent l="0" t="0" r="6985" b="0"/>
            <wp:docPr id="4" name="Picture 4" descr="Figure 7: Number of Invention Disclosures per $US100m research expenditure,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Number of Invention Disclosures per $US100m research expenditure, 2004-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1458" cy="2537131"/>
                    </a:xfrm>
                    <a:prstGeom prst="rect">
                      <a:avLst/>
                    </a:prstGeom>
                    <a:noFill/>
                    <a:ln>
                      <a:noFill/>
                    </a:ln>
                  </pic:spPr>
                </pic:pic>
              </a:graphicData>
            </a:graphic>
          </wp:inline>
        </w:drawing>
      </w:r>
      <w:r w:rsidR="00255609" w:rsidRPr="00255609">
        <w:rPr>
          <w:noProof/>
          <w:lang w:eastAsia="en-AU"/>
        </w:rPr>
        <w:t xml:space="preserve"> </w:t>
      </w:r>
      <w:r w:rsidR="00255609">
        <w:rPr>
          <w:noProof/>
          <w:lang w:eastAsia="en-AU"/>
        </w:rPr>
        <w:drawing>
          <wp:inline distT="0" distB="0" distL="0" distR="0" wp14:anchorId="318E77F0" wp14:editId="419BFDA4">
            <wp:extent cx="4401820" cy="2616200"/>
            <wp:effectExtent l="0" t="0" r="0" b="0"/>
            <wp:docPr id="13" name="Picture 13" descr="Figure 9: Number of LOAs Executed per $US100m research expenditure,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 Number of LOAs Executed per $US100m research expenditure, 2004-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1820" cy="2616200"/>
                    </a:xfrm>
                    <a:prstGeom prst="rect">
                      <a:avLst/>
                    </a:prstGeom>
                    <a:noFill/>
                    <a:ln>
                      <a:noFill/>
                    </a:ln>
                  </pic:spPr>
                </pic:pic>
              </a:graphicData>
            </a:graphic>
          </wp:inline>
        </w:drawing>
      </w:r>
    </w:p>
    <w:p w:rsidR="00255609" w:rsidRDefault="00CD6CCF" w:rsidP="005F7E68">
      <w:pPr>
        <w:rPr>
          <w:noProof/>
          <w:lang w:eastAsia="en-AU"/>
        </w:rPr>
      </w:pPr>
      <w:r>
        <w:rPr>
          <w:noProof/>
          <w:lang w:eastAsia="en-AU"/>
        </w:rPr>
        <w:drawing>
          <wp:inline distT="0" distB="0" distL="0" distR="0" wp14:anchorId="23C377E6" wp14:editId="1CDB68A8">
            <wp:extent cx="4479869" cy="2338812"/>
            <wp:effectExtent l="0" t="0" r="0" b="4445"/>
            <wp:docPr id="14" name="Picture 14" descr="Figure 8: US Patents issued per $US100m research expenditure,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8: US Patents issued per $US100m research expenditure, 2004-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6553" cy="2357964"/>
                    </a:xfrm>
                    <a:prstGeom prst="rect">
                      <a:avLst/>
                    </a:prstGeom>
                    <a:noFill/>
                    <a:ln>
                      <a:noFill/>
                    </a:ln>
                  </pic:spPr>
                </pic:pic>
              </a:graphicData>
            </a:graphic>
          </wp:inline>
        </w:drawing>
      </w:r>
      <w:r>
        <w:rPr>
          <w:noProof/>
          <w:lang w:eastAsia="en-AU"/>
        </w:rPr>
        <w:drawing>
          <wp:inline distT="0" distB="0" distL="0" distR="0" wp14:anchorId="1271CB20" wp14:editId="328A3A0E">
            <wp:extent cx="4786630" cy="2543847"/>
            <wp:effectExtent l="0" t="0" r="0" b="8890"/>
            <wp:docPr id="16" name="Picture 16" descr="Figure 10: Number of start-up companies formed per $US100m research expenditure,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0: Number of start-up companies formed per $US100m research expenditure, 2004-2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1964" cy="2551996"/>
                    </a:xfrm>
                    <a:prstGeom prst="rect">
                      <a:avLst/>
                    </a:prstGeom>
                    <a:noFill/>
                    <a:ln>
                      <a:noFill/>
                    </a:ln>
                  </pic:spPr>
                </pic:pic>
              </a:graphicData>
            </a:graphic>
          </wp:inline>
        </w:drawing>
      </w:r>
    </w:p>
    <w:p w:rsidR="00255609" w:rsidRDefault="00255609" w:rsidP="005F7E68">
      <w:pPr>
        <w:sectPr w:rsidR="00255609" w:rsidSect="00255609">
          <w:headerReference w:type="first" r:id="rId18"/>
          <w:footerReference w:type="first" r:id="rId19"/>
          <w:type w:val="continuous"/>
          <w:pgSz w:w="16840" w:h="11907" w:orient="landscape" w:code="9"/>
          <w:pgMar w:top="1134" w:right="1134" w:bottom="1134" w:left="1134" w:header="709" w:footer="709" w:gutter="0"/>
          <w:cols w:num="2" w:space="708"/>
          <w:titlePg/>
          <w:docGrid w:linePitch="299"/>
        </w:sectPr>
      </w:pPr>
    </w:p>
    <w:p w:rsidR="005F7E68" w:rsidRDefault="005F7E68" w:rsidP="005F7E68"/>
    <w:p w:rsidR="00C95CEA" w:rsidRPr="006D3D79" w:rsidRDefault="00C95CEA" w:rsidP="00FC5464">
      <w:pPr>
        <w:spacing w:after="0" w:line="240" w:lineRule="auto"/>
        <w:jc w:val="both"/>
        <w:rPr>
          <w:b/>
          <w:i/>
        </w:rPr>
      </w:pPr>
      <w:r>
        <w:rPr>
          <w:b/>
          <w:i/>
        </w:rPr>
        <w:t>Publicly Funded Research Organisations and Intellectual Property</w:t>
      </w:r>
    </w:p>
    <w:p w:rsidR="00C95CEA" w:rsidRDefault="00C95CEA" w:rsidP="00FC5464">
      <w:pPr>
        <w:spacing w:after="0" w:line="240" w:lineRule="auto"/>
        <w:jc w:val="both"/>
        <w:rPr>
          <w:rFonts w:cstheme="minorHAnsi"/>
        </w:rPr>
      </w:pPr>
    </w:p>
    <w:p w:rsidR="00C95CEA" w:rsidRDefault="00DD451B" w:rsidP="00FC5464">
      <w:pPr>
        <w:spacing w:after="0" w:line="240" w:lineRule="auto"/>
        <w:jc w:val="both"/>
        <w:rPr>
          <w:rFonts w:cstheme="minorHAnsi"/>
        </w:rPr>
      </w:pPr>
      <w:r>
        <w:rPr>
          <w:rFonts w:cstheme="minorHAnsi"/>
        </w:rPr>
        <w:t>As stated in the Productivity Commission’s Issues Paper,</w:t>
      </w:r>
      <w:r w:rsidRPr="00CC4B0C">
        <w:rPr>
          <w:rFonts w:cstheme="minorHAnsi"/>
        </w:rPr>
        <w:t xml:space="preserve"> the costs and benefits of generating IP vary between the public, priv</w:t>
      </w:r>
      <w:r>
        <w:rPr>
          <w:rFonts w:cstheme="minorHAnsi"/>
        </w:rPr>
        <w:t xml:space="preserve">ate and not-for-profit sectors. </w:t>
      </w:r>
      <w:r w:rsidR="001A26B9">
        <w:rPr>
          <w:rFonts w:cstheme="minorHAnsi"/>
        </w:rPr>
        <w:t xml:space="preserve">Innovative, high income countries successfully integrate publicly funded research into both their value chains and commercialisation practices. </w:t>
      </w:r>
      <w:r w:rsidR="00CD6CCF">
        <w:rPr>
          <w:rFonts w:cstheme="minorHAnsi"/>
        </w:rPr>
        <w:t>Table 2</w:t>
      </w:r>
      <w:r w:rsidR="00C95CEA">
        <w:rPr>
          <w:rFonts w:cstheme="minorHAnsi"/>
        </w:rPr>
        <w:t xml:space="preserve"> shows that Australia’s PFROs, over the most recent five year period for which data was collected, had on average 672 dedicated commercialisation staff a year, amounting to approximately $89 million in staff costs. In terms of resourcing, this is a significant investment into the commercialisation of research findings within PFROs. For this level of resourcing, in the last 5 years, PFROs have produced an average of 956 new patent and plant breeder rights per year, 22 new start-up companies per, and generated an annual average of $222 million of gross income from LOAs, and $153 million worth of equity holdings from start-up companies. </w:t>
      </w:r>
    </w:p>
    <w:p w:rsidR="00C95CEA" w:rsidRDefault="00C95CEA" w:rsidP="00FC5464">
      <w:pPr>
        <w:spacing w:after="0" w:line="240" w:lineRule="auto"/>
        <w:jc w:val="both"/>
        <w:rPr>
          <w:rFonts w:cstheme="minorHAnsi"/>
        </w:rPr>
      </w:pPr>
    </w:p>
    <w:p w:rsidR="00C95CEA" w:rsidRPr="001438C8" w:rsidRDefault="00CD6CCF" w:rsidP="00FC5464">
      <w:pPr>
        <w:spacing w:after="0" w:line="240" w:lineRule="auto"/>
        <w:jc w:val="both"/>
        <w:rPr>
          <w:rFonts w:ascii="Calibri" w:eastAsia="Times New Roman" w:hAnsi="Calibri" w:cs="Calibri"/>
          <w:b/>
          <w:color w:val="000000"/>
          <w:lang w:eastAsia="en-AU"/>
        </w:rPr>
      </w:pPr>
      <w:r>
        <w:rPr>
          <w:rFonts w:ascii="Calibri" w:eastAsia="Times New Roman" w:hAnsi="Calibri" w:cs="Calibri"/>
          <w:b/>
          <w:color w:val="000000"/>
          <w:lang w:eastAsia="en-AU"/>
        </w:rPr>
        <w:t>Table 2</w:t>
      </w:r>
      <w:r w:rsidR="00C95CEA">
        <w:rPr>
          <w:rFonts w:ascii="Calibri" w:eastAsia="Times New Roman" w:hAnsi="Calibri" w:cs="Calibri"/>
          <w:b/>
          <w:color w:val="000000"/>
          <w:lang w:eastAsia="en-AU"/>
        </w:rPr>
        <w:t xml:space="preserve">. </w:t>
      </w:r>
      <w:r w:rsidR="00C95CEA" w:rsidRPr="001438C8">
        <w:rPr>
          <w:rFonts w:ascii="Calibri" w:eastAsia="Times New Roman" w:hAnsi="Calibri" w:cs="Calibri"/>
          <w:b/>
          <w:color w:val="000000"/>
          <w:lang w:eastAsia="en-AU"/>
        </w:rPr>
        <w:t>Australian publicly funded research organisations</w:t>
      </w:r>
    </w:p>
    <w:tbl>
      <w:tblPr>
        <w:tblW w:w="8200" w:type="dxa"/>
        <w:tblLook w:val="04A0" w:firstRow="1" w:lastRow="0" w:firstColumn="1" w:lastColumn="0" w:noHBand="0" w:noVBand="1"/>
      </w:tblPr>
      <w:tblGrid>
        <w:gridCol w:w="4600"/>
        <w:gridCol w:w="960"/>
        <w:gridCol w:w="960"/>
        <w:gridCol w:w="1680"/>
      </w:tblGrid>
      <w:tr w:rsidR="00C95CEA" w:rsidRPr="001438C8" w:rsidTr="00C95CEA">
        <w:trPr>
          <w:trHeight w:val="315"/>
        </w:trPr>
        <w:tc>
          <w:tcPr>
            <w:tcW w:w="4600" w:type="dxa"/>
            <w:tcBorders>
              <w:top w:val="nil"/>
              <w:left w:val="nil"/>
              <w:bottom w:val="nil"/>
              <w:right w:val="nil"/>
            </w:tcBorders>
            <w:shd w:val="clear" w:color="auto" w:fill="auto"/>
            <w:vAlign w:val="bottom"/>
            <w:hideMark/>
          </w:tcPr>
          <w:p w:rsidR="00C95CEA" w:rsidRPr="001438C8" w:rsidRDefault="00C95CEA" w:rsidP="00FC5464">
            <w:pPr>
              <w:spacing w:after="0" w:line="240" w:lineRule="auto"/>
              <w:jc w:val="both"/>
              <w:rPr>
                <w:rFonts w:ascii="Times New Roman" w:eastAsia="Times New Roman" w:hAnsi="Times New Roman" w:cs="Times New Roman"/>
                <w:sz w:val="24"/>
                <w:szCs w:val="24"/>
                <w:lang w:eastAsia="en-AU"/>
              </w:rPr>
            </w:pPr>
          </w:p>
        </w:tc>
        <w:tc>
          <w:tcPr>
            <w:tcW w:w="960" w:type="dxa"/>
            <w:tcBorders>
              <w:top w:val="nil"/>
              <w:left w:val="nil"/>
              <w:bottom w:val="nil"/>
              <w:right w:val="nil"/>
            </w:tcBorders>
            <w:shd w:val="clear" w:color="000000" w:fill="9BC2E6"/>
            <w:noWrap/>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2013</w:t>
            </w:r>
          </w:p>
        </w:tc>
        <w:tc>
          <w:tcPr>
            <w:tcW w:w="960" w:type="dxa"/>
            <w:tcBorders>
              <w:top w:val="nil"/>
              <w:left w:val="nil"/>
              <w:bottom w:val="nil"/>
              <w:right w:val="nil"/>
            </w:tcBorders>
            <w:shd w:val="clear" w:color="000000" w:fill="9BC2E6"/>
            <w:noWrap/>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2012</w:t>
            </w:r>
          </w:p>
        </w:tc>
        <w:tc>
          <w:tcPr>
            <w:tcW w:w="1680" w:type="dxa"/>
            <w:tcBorders>
              <w:top w:val="nil"/>
              <w:left w:val="nil"/>
              <w:bottom w:val="nil"/>
              <w:right w:val="nil"/>
            </w:tcBorders>
            <w:shd w:val="clear" w:color="000000" w:fill="9BC2E6"/>
            <w:noWrap/>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Pr>
                <w:rFonts w:ascii="Calibri" w:eastAsia="Times New Roman" w:hAnsi="Calibri" w:cs="Calibri"/>
                <w:b/>
                <w:bCs/>
                <w:color w:val="000000"/>
                <w:lang w:eastAsia="en-AU"/>
              </w:rPr>
              <w:t>5</w:t>
            </w:r>
            <w:r w:rsidRPr="001438C8">
              <w:rPr>
                <w:rFonts w:ascii="Calibri" w:eastAsia="Times New Roman" w:hAnsi="Calibri" w:cs="Calibri"/>
                <w:b/>
                <w:bCs/>
                <w:color w:val="000000"/>
                <w:lang w:eastAsia="en-AU"/>
              </w:rPr>
              <w:t>-year average</w:t>
            </w:r>
          </w:p>
        </w:tc>
      </w:tr>
      <w:tr w:rsidR="00C95CEA" w:rsidRPr="001438C8" w:rsidTr="00C95CEA">
        <w:trPr>
          <w:trHeight w:val="300"/>
        </w:trPr>
        <w:tc>
          <w:tcPr>
            <w:tcW w:w="4600" w:type="dxa"/>
            <w:tcBorders>
              <w:top w:val="single" w:sz="8" w:space="0" w:color="auto"/>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 xml:space="preserve">Dedicated Commercialisation staff </w:t>
            </w:r>
            <w:r>
              <w:rPr>
                <w:rFonts w:ascii="Calibri" w:eastAsia="Times New Roman" w:hAnsi="Calibri" w:cs="Calibri"/>
                <w:b/>
                <w:bCs/>
                <w:color w:val="000000"/>
                <w:lang w:eastAsia="en-AU"/>
              </w:rPr>
              <w:t>(</w:t>
            </w:r>
            <w:r w:rsidRPr="001438C8">
              <w:rPr>
                <w:rFonts w:ascii="Calibri" w:eastAsia="Times New Roman" w:hAnsi="Calibri" w:cs="Calibri"/>
                <w:b/>
                <w:bCs/>
                <w:color w:val="000000"/>
                <w:lang w:eastAsia="en-AU"/>
              </w:rPr>
              <w:t>FTE</w:t>
            </w:r>
            <w:r>
              <w:rPr>
                <w:rFonts w:ascii="Calibri" w:eastAsia="Times New Roman" w:hAnsi="Calibri" w:cs="Calibri"/>
                <w:b/>
                <w:bCs/>
                <w:color w:val="000000"/>
                <w:lang w:eastAsia="en-AU"/>
              </w:rPr>
              <w:t>)</w:t>
            </w:r>
          </w:p>
        </w:tc>
        <w:tc>
          <w:tcPr>
            <w:tcW w:w="960" w:type="dxa"/>
            <w:tcBorders>
              <w:top w:val="single" w:sz="8" w:space="0" w:color="auto"/>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724</w:t>
            </w:r>
          </w:p>
        </w:tc>
        <w:tc>
          <w:tcPr>
            <w:tcW w:w="960" w:type="dxa"/>
            <w:tcBorders>
              <w:top w:val="single" w:sz="8" w:space="0" w:color="auto"/>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575</w:t>
            </w:r>
          </w:p>
        </w:tc>
        <w:tc>
          <w:tcPr>
            <w:tcW w:w="1680" w:type="dxa"/>
            <w:tcBorders>
              <w:top w:val="single" w:sz="8" w:space="0" w:color="auto"/>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672</w:t>
            </w:r>
          </w:p>
        </w:tc>
      </w:tr>
      <w:tr w:rsidR="00C95CEA" w:rsidRPr="001438C8" w:rsidTr="00C95CEA">
        <w:trPr>
          <w:trHeight w:val="300"/>
        </w:trPr>
        <w:tc>
          <w:tcPr>
            <w:tcW w:w="4600" w:type="dxa"/>
            <w:tcBorders>
              <w:top w:val="single" w:sz="8" w:space="0" w:color="auto"/>
              <w:left w:val="nil"/>
              <w:bottom w:val="single" w:sz="4" w:space="0" w:color="auto"/>
              <w:right w:val="nil"/>
            </w:tcBorders>
            <w:shd w:val="clear" w:color="auto" w:fill="auto"/>
            <w:vAlign w:val="bottom"/>
          </w:tcPr>
          <w:p w:rsidR="00C95CEA" w:rsidRPr="001438C8" w:rsidRDefault="00C95CEA" w:rsidP="00FC5464">
            <w:pPr>
              <w:spacing w:after="0" w:line="240" w:lineRule="auto"/>
              <w:jc w:val="both"/>
              <w:rPr>
                <w:rFonts w:ascii="Calibri" w:eastAsia="Times New Roman" w:hAnsi="Calibri" w:cs="Calibri"/>
                <w:b/>
                <w:bCs/>
                <w:color w:val="000000"/>
                <w:lang w:eastAsia="en-AU"/>
              </w:rPr>
            </w:pPr>
            <w:r>
              <w:rPr>
                <w:rFonts w:ascii="Calibri" w:eastAsia="Times New Roman" w:hAnsi="Calibri" w:cs="Calibri"/>
                <w:b/>
                <w:bCs/>
                <w:color w:val="000000"/>
                <w:lang w:eastAsia="en-AU"/>
              </w:rPr>
              <w:t>Total staff costs ($’000)</w:t>
            </w:r>
          </w:p>
        </w:tc>
        <w:tc>
          <w:tcPr>
            <w:tcW w:w="960" w:type="dxa"/>
            <w:tcBorders>
              <w:top w:val="single" w:sz="8" w:space="0" w:color="auto"/>
              <w:left w:val="nil"/>
              <w:bottom w:val="single" w:sz="4" w:space="0" w:color="auto"/>
              <w:right w:val="nil"/>
            </w:tcBorders>
            <w:shd w:val="clear" w:color="auto" w:fill="auto"/>
            <w:noWrap/>
            <w:vAlign w:val="bottom"/>
          </w:tcPr>
          <w:p w:rsidR="00C95CEA"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101,746</w:t>
            </w:r>
          </w:p>
        </w:tc>
        <w:tc>
          <w:tcPr>
            <w:tcW w:w="960" w:type="dxa"/>
            <w:tcBorders>
              <w:top w:val="single" w:sz="8" w:space="0" w:color="auto"/>
              <w:left w:val="nil"/>
              <w:bottom w:val="single" w:sz="4" w:space="0" w:color="auto"/>
              <w:right w:val="nil"/>
            </w:tcBorders>
            <w:shd w:val="clear" w:color="auto" w:fill="auto"/>
            <w:noWrap/>
            <w:vAlign w:val="bottom"/>
          </w:tcPr>
          <w:p w:rsidR="00C95CEA"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78,061</w:t>
            </w:r>
          </w:p>
        </w:tc>
        <w:tc>
          <w:tcPr>
            <w:tcW w:w="1680" w:type="dxa"/>
            <w:tcBorders>
              <w:top w:val="single" w:sz="8" w:space="0" w:color="auto"/>
              <w:left w:val="nil"/>
              <w:bottom w:val="single" w:sz="4" w:space="0" w:color="auto"/>
              <w:right w:val="nil"/>
            </w:tcBorders>
            <w:shd w:val="clear" w:color="auto" w:fill="auto"/>
            <w:noWrap/>
            <w:vAlign w:val="bottom"/>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89,118</w:t>
            </w:r>
          </w:p>
        </w:tc>
      </w:tr>
      <w:tr w:rsidR="00C95CEA" w:rsidRPr="001438C8" w:rsidTr="00C95CEA">
        <w:trPr>
          <w:trHeight w:val="300"/>
        </w:trPr>
        <w:tc>
          <w:tcPr>
            <w:tcW w:w="4600" w:type="dxa"/>
            <w:tcBorders>
              <w:top w:val="nil"/>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Invention disclosures</w:t>
            </w:r>
            <w:r>
              <w:rPr>
                <w:rFonts w:ascii="Calibri" w:eastAsia="Times New Roman" w:hAnsi="Calibri" w:cs="Calibri"/>
                <w:b/>
                <w:bCs/>
                <w:color w:val="000000"/>
                <w:lang w:eastAsia="en-AU"/>
              </w:rPr>
              <w:t xml:space="preserve"> (No.</w:t>
            </w:r>
            <w:r w:rsidRPr="001438C8">
              <w:rPr>
                <w:rFonts w:ascii="Calibri" w:eastAsia="Times New Roman" w:hAnsi="Calibri" w:cs="Calibri"/>
                <w:b/>
                <w:bCs/>
                <w:color w:val="000000"/>
                <w:lang w:eastAsia="en-AU"/>
              </w:rPr>
              <w:t>)</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1,420</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1,390</w:t>
            </w:r>
          </w:p>
        </w:tc>
        <w:tc>
          <w:tcPr>
            <w:tcW w:w="168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1530</w:t>
            </w:r>
          </w:p>
        </w:tc>
      </w:tr>
      <w:tr w:rsidR="00C95CEA" w:rsidRPr="001438C8" w:rsidTr="00C95CEA">
        <w:trPr>
          <w:trHeight w:val="600"/>
        </w:trPr>
        <w:tc>
          <w:tcPr>
            <w:tcW w:w="4600" w:type="dxa"/>
            <w:tcBorders>
              <w:top w:val="nil"/>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D47D64">
              <w:rPr>
                <w:rFonts w:ascii="Calibri" w:eastAsia="Times New Roman" w:hAnsi="Calibri" w:cs="Calibri"/>
                <w:b/>
                <w:bCs/>
                <w:color w:val="000000"/>
                <w:lang w:eastAsia="en-AU"/>
              </w:rPr>
              <w:t xml:space="preserve">Patent and </w:t>
            </w:r>
            <w:r>
              <w:rPr>
                <w:rFonts w:ascii="Calibri" w:eastAsia="Times New Roman" w:hAnsi="Calibri" w:cs="Calibri"/>
                <w:b/>
                <w:bCs/>
                <w:color w:val="000000"/>
                <w:lang w:eastAsia="en-AU"/>
              </w:rPr>
              <w:t>plant breeder rights filed (No.</w:t>
            </w:r>
            <w:r w:rsidRPr="001438C8">
              <w:rPr>
                <w:rFonts w:ascii="Calibri" w:eastAsia="Times New Roman" w:hAnsi="Calibri" w:cs="Calibri"/>
                <w:b/>
                <w:bCs/>
                <w:color w:val="000000"/>
                <w:lang w:eastAsia="en-AU"/>
              </w:rPr>
              <w:t>)</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1,872</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1,779</w:t>
            </w:r>
          </w:p>
        </w:tc>
        <w:tc>
          <w:tcPr>
            <w:tcW w:w="168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1813</w:t>
            </w:r>
          </w:p>
        </w:tc>
      </w:tr>
      <w:tr w:rsidR="00C95CEA" w:rsidRPr="001438C8" w:rsidTr="00C95CEA">
        <w:trPr>
          <w:trHeight w:val="600"/>
        </w:trPr>
        <w:tc>
          <w:tcPr>
            <w:tcW w:w="4600" w:type="dxa"/>
            <w:tcBorders>
              <w:top w:val="nil"/>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Patent and plant breeder rights issued worldwide</w:t>
            </w:r>
            <w:r>
              <w:rPr>
                <w:rFonts w:ascii="Calibri" w:eastAsia="Times New Roman" w:hAnsi="Calibri" w:cs="Calibri"/>
                <w:b/>
                <w:bCs/>
                <w:color w:val="000000"/>
                <w:lang w:eastAsia="en-AU"/>
              </w:rPr>
              <w:t xml:space="preserve"> (No.</w:t>
            </w:r>
            <w:r w:rsidRPr="001438C8">
              <w:rPr>
                <w:rFonts w:ascii="Calibri" w:eastAsia="Times New Roman" w:hAnsi="Calibri" w:cs="Calibri"/>
                <w:b/>
                <w:bCs/>
                <w:color w:val="000000"/>
                <w:lang w:eastAsia="en-AU"/>
              </w:rPr>
              <w:t>)</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1,059</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857</w:t>
            </w:r>
          </w:p>
        </w:tc>
        <w:tc>
          <w:tcPr>
            <w:tcW w:w="168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956</w:t>
            </w:r>
          </w:p>
        </w:tc>
      </w:tr>
      <w:tr w:rsidR="00C95CEA" w:rsidRPr="001438C8" w:rsidTr="00C95CEA">
        <w:trPr>
          <w:trHeight w:val="300"/>
        </w:trPr>
        <w:tc>
          <w:tcPr>
            <w:tcW w:w="4600" w:type="dxa"/>
            <w:tcBorders>
              <w:top w:val="nil"/>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Pr>
                <w:rFonts w:ascii="Calibri" w:eastAsia="Times New Roman" w:hAnsi="Calibri" w:cs="Calibri"/>
                <w:b/>
                <w:bCs/>
                <w:color w:val="000000"/>
                <w:lang w:eastAsia="en-AU"/>
              </w:rPr>
              <w:t>LOAs yielding income (No.</w:t>
            </w:r>
            <w:r w:rsidRPr="001438C8">
              <w:rPr>
                <w:rFonts w:ascii="Calibri" w:eastAsia="Times New Roman" w:hAnsi="Calibri" w:cs="Calibri"/>
                <w:b/>
                <w:bCs/>
                <w:color w:val="000000"/>
                <w:lang w:eastAsia="en-AU"/>
              </w:rPr>
              <w:t>)</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950</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762</w:t>
            </w:r>
          </w:p>
        </w:tc>
        <w:tc>
          <w:tcPr>
            <w:tcW w:w="168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803</w:t>
            </w:r>
          </w:p>
        </w:tc>
      </w:tr>
      <w:tr w:rsidR="00C95CEA" w:rsidRPr="001438C8" w:rsidTr="00C95CEA">
        <w:trPr>
          <w:trHeight w:val="300"/>
        </w:trPr>
        <w:tc>
          <w:tcPr>
            <w:tcW w:w="4600" w:type="dxa"/>
            <w:tcBorders>
              <w:top w:val="nil"/>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Adjusted gross income from LOAs ($000's)</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120,210</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344,718</w:t>
            </w:r>
          </w:p>
        </w:tc>
        <w:tc>
          <w:tcPr>
            <w:tcW w:w="168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221,692</w:t>
            </w:r>
          </w:p>
        </w:tc>
      </w:tr>
      <w:tr w:rsidR="00C95CEA" w:rsidRPr="001438C8" w:rsidTr="00C95CEA">
        <w:trPr>
          <w:trHeight w:val="600"/>
        </w:trPr>
        <w:tc>
          <w:tcPr>
            <w:tcW w:w="4600" w:type="dxa"/>
            <w:tcBorders>
              <w:top w:val="nil"/>
              <w:left w:val="nil"/>
              <w:bottom w:val="single" w:sz="4"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Start-up companies formed during the year (</w:t>
            </w:r>
            <w:r>
              <w:rPr>
                <w:rFonts w:ascii="Calibri" w:eastAsia="Times New Roman" w:hAnsi="Calibri" w:cs="Calibri"/>
                <w:b/>
                <w:bCs/>
                <w:color w:val="000000"/>
                <w:lang w:eastAsia="en-AU"/>
              </w:rPr>
              <w:t>No.</w:t>
            </w:r>
            <w:r w:rsidRPr="001438C8">
              <w:rPr>
                <w:rFonts w:ascii="Calibri" w:eastAsia="Times New Roman" w:hAnsi="Calibri" w:cs="Calibri"/>
                <w:b/>
                <w:bCs/>
                <w:color w:val="000000"/>
                <w:lang w:eastAsia="en-AU"/>
              </w:rPr>
              <w:t>)</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26</w:t>
            </w:r>
          </w:p>
        </w:tc>
        <w:tc>
          <w:tcPr>
            <w:tcW w:w="96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22</w:t>
            </w:r>
          </w:p>
        </w:tc>
        <w:tc>
          <w:tcPr>
            <w:tcW w:w="1680" w:type="dxa"/>
            <w:tcBorders>
              <w:top w:val="nil"/>
              <w:left w:val="nil"/>
              <w:bottom w:val="single" w:sz="4"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22</w:t>
            </w:r>
          </w:p>
        </w:tc>
      </w:tr>
      <w:tr w:rsidR="00C95CEA" w:rsidRPr="001438C8" w:rsidTr="00C95CEA">
        <w:trPr>
          <w:trHeight w:val="615"/>
        </w:trPr>
        <w:tc>
          <w:tcPr>
            <w:tcW w:w="4600" w:type="dxa"/>
            <w:tcBorders>
              <w:top w:val="nil"/>
              <w:left w:val="nil"/>
              <w:bottom w:val="single" w:sz="8" w:space="0" w:color="auto"/>
              <w:right w:val="nil"/>
            </w:tcBorders>
            <w:shd w:val="clear" w:color="auto" w:fill="auto"/>
            <w:vAlign w:val="bottom"/>
            <w:hideMark/>
          </w:tcPr>
          <w:p w:rsidR="00C95CEA" w:rsidRPr="001438C8" w:rsidRDefault="00C95CEA" w:rsidP="00FC5464">
            <w:pPr>
              <w:spacing w:after="0" w:line="240" w:lineRule="auto"/>
              <w:jc w:val="both"/>
              <w:rPr>
                <w:rFonts w:ascii="Calibri" w:eastAsia="Times New Roman" w:hAnsi="Calibri" w:cs="Calibri"/>
                <w:b/>
                <w:bCs/>
                <w:color w:val="000000"/>
                <w:lang w:eastAsia="en-AU"/>
              </w:rPr>
            </w:pPr>
            <w:r w:rsidRPr="001438C8">
              <w:rPr>
                <w:rFonts w:ascii="Calibri" w:eastAsia="Times New Roman" w:hAnsi="Calibri" w:cs="Calibri"/>
                <w:b/>
                <w:bCs/>
                <w:color w:val="000000"/>
                <w:lang w:eastAsia="en-AU"/>
              </w:rPr>
              <w:t>Value of start-up company equity holdings ($000's)</w:t>
            </w:r>
          </w:p>
        </w:tc>
        <w:tc>
          <w:tcPr>
            <w:tcW w:w="960" w:type="dxa"/>
            <w:tcBorders>
              <w:top w:val="nil"/>
              <w:left w:val="nil"/>
              <w:bottom w:val="single" w:sz="8"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144,050</w:t>
            </w:r>
          </w:p>
        </w:tc>
        <w:tc>
          <w:tcPr>
            <w:tcW w:w="960" w:type="dxa"/>
            <w:tcBorders>
              <w:top w:val="nil"/>
              <w:left w:val="nil"/>
              <w:bottom w:val="single" w:sz="8"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99,629</w:t>
            </w:r>
          </w:p>
        </w:tc>
        <w:tc>
          <w:tcPr>
            <w:tcW w:w="1680" w:type="dxa"/>
            <w:tcBorders>
              <w:top w:val="nil"/>
              <w:left w:val="nil"/>
              <w:bottom w:val="single" w:sz="8" w:space="0" w:color="auto"/>
              <w:right w:val="nil"/>
            </w:tcBorders>
            <w:shd w:val="clear" w:color="auto" w:fill="auto"/>
            <w:noWrap/>
            <w:vAlign w:val="bottom"/>
            <w:hideMark/>
          </w:tcPr>
          <w:p w:rsidR="00C95CEA" w:rsidRPr="001438C8" w:rsidRDefault="00C95CEA" w:rsidP="00FC5464">
            <w:pPr>
              <w:spacing w:after="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153,027</w:t>
            </w:r>
          </w:p>
        </w:tc>
      </w:tr>
    </w:tbl>
    <w:p w:rsidR="00C95CEA" w:rsidRDefault="00C95CEA" w:rsidP="00FC5464">
      <w:pPr>
        <w:jc w:val="both"/>
      </w:pPr>
    </w:p>
    <w:p w:rsidR="008232A2" w:rsidRDefault="002C5C18" w:rsidP="00FC5464">
      <w:pPr>
        <w:jc w:val="both"/>
        <w:rPr>
          <w:rFonts w:cstheme="minorHAnsi"/>
        </w:rPr>
      </w:pPr>
      <w:r>
        <w:rPr>
          <w:rFonts w:cstheme="minorHAnsi"/>
        </w:rPr>
        <w:t xml:space="preserve">However, </w:t>
      </w:r>
      <w:r w:rsidR="00F61941">
        <w:rPr>
          <w:rFonts w:cstheme="minorHAnsi"/>
        </w:rPr>
        <w:t xml:space="preserve">the IP outputs of PFROs have </w:t>
      </w:r>
      <w:r>
        <w:rPr>
          <w:rFonts w:cstheme="minorHAnsi"/>
        </w:rPr>
        <w:t xml:space="preserve">a </w:t>
      </w:r>
      <w:r w:rsidR="00C95CEA">
        <w:rPr>
          <w:rFonts w:cstheme="minorHAnsi"/>
        </w:rPr>
        <w:t xml:space="preserve">similar </w:t>
      </w:r>
      <w:r>
        <w:rPr>
          <w:rFonts w:cstheme="minorHAnsi"/>
        </w:rPr>
        <w:t>lack of scale</w:t>
      </w:r>
      <w:r w:rsidR="009E08C5">
        <w:rPr>
          <w:rFonts w:cstheme="minorHAnsi"/>
        </w:rPr>
        <w:t xml:space="preserve"> </w:t>
      </w:r>
      <w:r w:rsidR="004C5E30">
        <w:rPr>
          <w:rFonts w:cstheme="minorHAnsi"/>
        </w:rPr>
        <w:t>as that of Australia’s broader IP system</w:t>
      </w:r>
      <w:r w:rsidR="00F61941">
        <w:rPr>
          <w:rFonts w:cstheme="minorHAnsi"/>
        </w:rPr>
        <w:t xml:space="preserve">. </w:t>
      </w:r>
      <w:r w:rsidR="00C95CEA" w:rsidRPr="00C45E53">
        <w:rPr>
          <w:rFonts w:cstheme="minorHAnsi"/>
        </w:rPr>
        <w:t>For exa</w:t>
      </w:r>
      <w:r w:rsidR="008D2F22">
        <w:rPr>
          <w:rFonts w:cstheme="minorHAnsi"/>
        </w:rPr>
        <w:t>mple, in 2012, of the total $345</w:t>
      </w:r>
      <w:r w:rsidR="00C95CEA" w:rsidRPr="00C45E53">
        <w:rPr>
          <w:rFonts w:cstheme="minorHAnsi"/>
        </w:rPr>
        <w:t xml:space="preserve"> million generated from active LOAs by PFROs, $290 million was attributable to one case. Similar findings have been shown elsewhere.</w:t>
      </w:r>
      <w:r w:rsidR="00C95CEA">
        <w:rPr>
          <w:rFonts w:cstheme="minorHAnsi"/>
        </w:rPr>
        <w:t xml:space="preserve"> </w:t>
      </w:r>
      <w:r w:rsidR="00C95CEA" w:rsidRPr="008644FD">
        <w:rPr>
          <w:rFonts w:cstheme="minorHAnsi"/>
        </w:rPr>
        <w:t>In a 2013 study of 130 US-based universities, it was found that</w:t>
      </w:r>
      <w:r w:rsidR="00C95CEA">
        <w:rPr>
          <w:rFonts w:cstheme="minorHAnsi"/>
        </w:rPr>
        <w:t xml:space="preserve"> the</w:t>
      </w:r>
      <w:r w:rsidR="00C95CEA" w:rsidRPr="00A1123F">
        <w:rPr>
          <w:rFonts w:cstheme="minorHAnsi"/>
        </w:rPr>
        <w:t xml:space="preserve"> majority of </w:t>
      </w:r>
      <w:r w:rsidR="00C95CEA">
        <w:rPr>
          <w:rFonts w:cstheme="minorHAnsi"/>
        </w:rPr>
        <w:t xml:space="preserve">successful commercial ventures are </w:t>
      </w:r>
      <w:r w:rsidR="00C95CEA" w:rsidRPr="00A1123F">
        <w:rPr>
          <w:rFonts w:cstheme="minorHAnsi"/>
        </w:rPr>
        <w:t>driven by a few institution</w:t>
      </w:r>
      <w:r w:rsidR="00C95CEA">
        <w:rPr>
          <w:rFonts w:cstheme="minorHAnsi"/>
        </w:rPr>
        <w:t>s or single cases</w:t>
      </w:r>
      <w:r w:rsidR="00C95CEA">
        <w:rPr>
          <w:rStyle w:val="EndnoteReference"/>
          <w:rFonts w:cstheme="minorHAnsi"/>
        </w:rPr>
        <w:endnoteReference w:id="13"/>
      </w:r>
      <w:r w:rsidR="00C95CEA" w:rsidRPr="00A1123F">
        <w:rPr>
          <w:rFonts w:cstheme="minorHAnsi"/>
        </w:rPr>
        <w:t>.</w:t>
      </w:r>
      <w:r w:rsidR="00C95CEA">
        <w:rPr>
          <w:rFonts w:cstheme="minorHAnsi"/>
        </w:rPr>
        <w:t xml:space="preserve"> The study also suggested that</w:t>
      </w:r>
      <w:r w:rsidR="00C95CEA" w:rsidRPr="008644FD">
        <w:rPr>
          <w:rFonts w:cstheme="minorHAnsi"/>
        </w:rPr>
        <w:t xml:space="preserve"> the universities did not generate enough licensing income to cover the wages of their technology transfer staff and the legal costs for the patents they file</w:t>
      </w:r>
      <w:r w:rsidR="00C95CEA">
        <w:rPr>
          <w:rFonts w:cstheme="minorHAnsi"/>
        </w:rPr>
        <w:t xml:space="preserve">. </w:t>
      </w:r>
      <w:r w:rsidR="000A0C90">
        <w:rPr>
          <w:rFonts w:cstheme="minorHAnsi"/>
        </w:rPr>
        <w:t xml:space="preserve">To provide the right level of incentive to create IP, proportional to the effort to generate it, reward structures within universities could recognise </w:t>
      </w:r>
      <w:r w:rsidR="00695083">
        <w:rPr>
          <w:rFonts w:cstheme="minorHAnsi"/>
        </w:rPr>
        <w:t xml:space="preserve">a greater range of activity including traditional measures such as publications and research income, but also engagement activities such as partnering with industries, influencing policy and IP </w:t>
      </w:r>
      <w:r w:rsidR="003E7DAB">
        <w:rPr>
          <w:rFonts w:cstheme="minorHAnsi"/>
        </w:rPr>
        <w:t>activity</w:t>
      </w:r>
      <w:r w:rsidR="00695083">
        <w:rPr>
          <w:rFonts w:cstheme="minorHAnsi"/>
        </w:rPr>
        <w:t xml:space="preserve">.  </w:t>
      </w:r>
    </w:p>
    <w:p w:rsidR="004B534C" w:rsidRDefault="004B534C" w:rsidP="00FC5464">
      <w:pPr>
        <w:jc w:val="both"/>
        <w:rPr>
          <w:rFonts w:cstheme="minorHAnsi"/>
        </w:rPr>
      </w:pPr>
      <w:r>
        <w:rPr>
          <w:b/>
          <w:i/>
        </w:rPr>
        <w:t>International Benchmarks</w:t>
      </w:r>
    </w:p>
    <w:p w:rsidR="000C4D8B" w:rsidRDefault="004B534C" w:rsidP="00FC5464">
      <w:pPr>
        <w:jc w:val="both"/>
        <w:rPr>
          <w:rFonts w:cstheme="minorHAnsi"/>
        </w:rPr>
      </w:pPr>
      <w:r>
        <w:rPr>
          <w:rFonts w:cstheme="minorHAnsi"/>
        </w:rPr>
        <w:t xml:space="preserve">There is no shortage of international frameworks to look to in developing IP policies which support innovation. </w:t>
      </w:r>
    </w:p>
    <w:p w:rsidR="004B534C" w:rsidRDefault="004B534C" w:rsidP="00FC5464">
      <w:pPr>
        <w:jc w:val="both"/>
        <w:rPr>
          <w:rFonts w:cstheme="minorHAnsi"/>
        </w:rPr>
      </w:pPr>
      <w:r w:rsidRPr="006B0841">
        <w:rPr>
          <w:rFonts w:cstheme="minorHAnsi"/>
        </w:rPr>
        <w:t>China is currently implementing its’</w:t>
      </w:r>
      <w:r w:rsidRPr="006B0841">
        <w:rPr>
          <w:rFonts w:cstheme="minorHAnsi"/>
          <w:i/>
        </w:rPr>
        <w:t xml:space="preserve"> 2014–2020 Action Plan on the Implementation of National Intellectual Property Strategy</w:t>
      </w:r>
      <w:r w:rsidRPr="006B0841">
        <w:rPr>
          <w:rFonts w:cstheme="minorHAnsi"/>
        </w:rPr>
        <w:t xml:space="preserve"> with significant reform</w:t>
      </w:r>
      <w:r>
        <w:rPr>
          <w:rStyle w:val="EndnoteReference"/>
          <w:rFonts w:cstheme="minorHAnsi"/>
        </w:rPr>
        <w:endnoteReference w:id="14"/>
      </w:r>
      <w:r w:rsidRPr="006B0841">
        <w:rPr>
          <w:rFonts w:cstheme="minorHAnsi"/>
        </w:rPr>
        <w:t xml:space="preserve">. </w:t>
      </w:r>
      <w:r w:rsidR="009568AF">
        <w:rPr>
          <w:rFonts w:cstheme="minorHAnsi"/>
        </w:rPr>
        <w:t>In the US, t</w:t>
      </w:r>
      <w:r>
        <w:rPr>
          <w:rFonts w:cstheme="minorHAnsi"/>
        </w:rPr>
        <w:t xml:space="preserve">he </w:t>
      </w:r>
      <w:proofErr w:type="spellStart"/>
      <w:r>
        <w:rPr>
          <w:rFonts w:cstheme="minorHAnsi"/>
        </w:rPr>
        <w:t>Bayh</w:t>
      </w:r>
      <w:proofErr w:type="spellEnd"/>
      <w:r>
        <w:rPr>
          <w:rFonts w:cstheme="minorHAnsi"/>
        </w:rPr>
        <w:t>-Dole Act has had a significant impact on the nations’ landscape of technology transfer</w:t>
      </w:r>
      <w:r>
        <w:rPr>
          <w:rStyle w:val="EndnoteReference"/>
          <w:rFonts w:cstheme="minorHAnsi"/>
        </w:rPr>
        <w:endnoteReference w:id="15"/>
      </w:r>
      <w:r>
        <w:rPr>
          <w:rFonts w:cstheme="minorHAnsi"/>
        </w:rPr>
        <w:t xml:space="preserve">. The major provisions of the </w:t>
      </w:r>
      <w:proofErr w:type="spellStart"/>
      <w:r>
        <w:rPr>
          <w:rFonts w:cstheme="minorHAnsi"/>
        </w:rPr>
        <w:t>Bayh</w:t>
      </w:r>
      <w:proofErr w:type="spellEnd"/>
      <w:r>
        <w:rPr>
          <w:rFonts w:cstheme="minorHAnsi"/>
        </w:rPr>
        <w:t>-Doyle Act are:</w:t>
      </w:r>
    </w:p>
    <w:p w:rsidR="004B534C" w:rsidRPr="005C5797" w:rsidRDefault="004B534C" w:rsidP="00FC5464">
      <w:pPr>
        <w:pStyle w:val="ListParagraph"/>
        <w:numPr>
          <w:ilvl w:val="0"/>
          <w:numId w:val="8"/>
        </w:numPr>
        <w:jc w:val="both"/>
        <w:rPr>
          <w:rFonts w:cstheme="minorHAnsi"/>
        </w:rPr>
      </w:pPr>
      <w:r w:rsidRPr="005C5797">
        <w:rPr>
          <w:rFonts w:cstheme="minorHAnsi"/>
        </w:rPr>
        <w:lastRenderedPageBreak/>
        <w:t>Non-profits, including universities, and small businesses may elect to retain title to innovations developed under federally-funded research programs</w:t>
      </w:r>
      <w:r>
        <w:rPr>
          <w:rFonts w:cstheme="minorHAnsi"/>
        </w:rPr>
        <w:t>;</w:t>
      </w:r>
    </w:p>
    <w:p w:rsidR="004B534C" w:rsidRPr="005C5797" w:rsidRDefault="004B534C" w:rsidP="00FC5464">
      <w:pPr>
        <w:pStyle w:val="ListParagraph"/>
        <w:numPr>
          <w:ilvl w:val="0"/>
          <w:numId w:val="8"/>
        </w:numPr>
        <w:jc w:val="both"/>
        <w:rPr>
          <w:rFonts w:cstheme="minorHAnsi"/>
        </w:rPr>
      </w:pPr>
      <w:r w:rsidRPr="005C5797">
        <w:rPr>
          <w:rFonts w:cstheme="minorHAnsi"/>
        </w:rPr>
        <w:t>Universities are encouraged to collaborate with commercial concerns to promote the utilization of inventions arising from federal funding</w:t>
      </w:r>
      <w:r>
        <w:rPr>
          <w:rFonts w:cstheme="minorHAnsi"/>
        </w:rPr>
        <w:t>;</w:t>
      </w:r>
    </w:p>
    <w:p w:rsidR="004B534C" w:rsidRPr="005C5797" w:rsidRDefault="004B534C" w:rsidP="00FC5464">
      <w:pPr>
        <w:pStyle w:val="ListParagraph"/>
        <w:numPr>
          <w:ilvl w:val="0"/>
          <w:numId w:val="8"/>
        </w:numPr>
        <w:jc w:val="both"/>
        <w:rPr>
          <w:rFonts w:cstheme="minorHAnsi"/>
        </w:rPr>
      </w:pPr>
      <w:r w:rsidRPr="005C5797">
        <w:rPr>
          <w:rFonts w:cstheme="minorHAnsi"/>
        </w:rPr>
        <w:t>Universities are expected to file patents on inventions they elect to own</w:t>
      </w:r>
      <w:r>
        <w:rPr>
          <w:rFonts w:cstheme="minorHAnsi"/>
        </w:rPr>
        <w:t>;</w:t>
      </w:r>
    </w:p>
    <w:p w:rsidR="004B534C" w:rsidRPr="005C5797" w:rsidRDefault="004B534C" w:rsidP="00FC5464">
      <w:pPr>
        <w:pStyle w:val="ListParagraph"/>
        <w:numPr>
          <w:ilvl w:val="0"/>
          <w:numId w:val="8"/>
        </w:numPr>
        <w:jc w:val="both"/>
        <w:rPr>
          <w:rFonts w:cstheme="minorHAnsi"/>
        </w:rPr>
      </w:pPr>
      <w:r w:rsidRPr="005C5797">
        <w:rPr>
          <w:rFonts w:cstheme="minorHAnsi"/>
        </w:rPr>
        <w:t>Universities are expected to give licensing preference to small businesses</w:t>
      </w:r>
      <w:r>
        <w:rPr>
          <w:rFonts w:cstheme="minorHAnsi"/>
        </w:rPr>
        <w:t>;</w:t>
      </w:r>
    </w:p>
    <w:p w:rsidR="004B534C" w:rsidRPr="005C5797" w:rsidRDefault="004B534C" w:rsidP="00FC5464">
      <w:pPr>
        <w:pStyle w:val="ListParagraph"/>
        <w:numPr>
          <w:ilvl w:val="0"/>
          <w:numId w:val="8"/>
        </w:numPr>
        <w:jc w:val="both"/>
        <w:rPr>
          <w:rFonts w:cstheme="minorHAnsi"/>
        </w:rPr>
      </w:pPr>
      <w:r w:rsidRPr="005C5797">
        <w:rPr>
          <w:rFonts w:cstheme="minorHAnsi"/>
        </w:rPr>
        <w:t>The government retains a non-exclusive license to practice the patent throughout the world</w:t>
      </w:r>
      <w:r>
        <w:rPr>
          <w:rFonts w:cstheme="minorHAnsi"/>
        </w:rPr>
        <w:t>; and</w:t>
      </w:r>
    </w:p>
    <w:p w:rsidR="004B534C" w:rsidRPr="005C5797" w:rsidRDefault="004B534C" w:rsidP="00FC5464">
      <w:pPr>
        <w:pStyle w:val="ListParagraph"/>
        <w:numPr>
          <w:ilvl w:val="0"/>
          <w:numId w:val="8"/>
        </w:numPr>
        <w:jc w:val="both"/>
        <w:rPr>
          <w:rFonts w:cstheme="minorHAnsi"/>
        </w:rPr>
      </w:pPr>
      <w:r w:rsidRPr="005C5797">
        <w:rPr>
          <w:rFonts w:cstheme="minorHAnsi"/>
        </w:rPr>
        <w:t>The government retains march-in rights.</w:t>
      </w:r>
    </w:p>
    <w:p w:rsidR="004B534C" w:rsidRDefault="004B534C" w:rsidP="00FC5464">
      <w:pPr>
        <w:jc w:val="both"/>
        <w:rPr>
          <w:rFonts w:cstheme="minorHAnsi"/>
        </w:rPr>
      </w:pPr>
      <w:r>
        <w:rPr>
          <w:rFonts w:cstheme="minorHAnsi"/>
        </w:rPr>
        <w:t>Legislative approaches to incentivise PFROs to commercialise their research have also been adopted in other economies.</w:t>
      </w:r>
      <w:r>
        <w:rPr>
          <w:rStyle w:val="EndnoteReference"/>
          <w:rFonts w:cstheme="minorHAnsi"/>
        </w:rPr>
        <w:endnoteReference w:id="16"/>
      </w:r>
      <w:r>
        <w:rPr>
          <w:rFonts w:cstheme="minorHAnsi"/>
        </w:rPr>
        <w:t xml:space="preserve"> Israel was among the first countries to implement IP policies for its universities in the 1960s, with the following principles</w:t>
      </w:r>
      <w:r>
        <w:rPr>
          <w:rStyle w:val="EndnoteReference"/>
          <w:rFonts w:cstheme="minorHAnsi"/>
        </w:rPr>
        <w:endnoteReference w:id="17"/>
      </w:r>
      <w:r>
        <w:rPr>
          <w:rFonts w:cstheme="minorHAnsi"/>
        </w:rPr>
        <w:t>:</w:t>
      </w:r>
    </w:p>
    <w:p w:rsidR="004B534C" w:rsidRPr="00E57C3D" w:rsidRDefault="004B534C" w:rsidP="00FC5464">
      <w:pPr>
        <w:pStyle w:val="ListParagraph"/>
        <w:numPr>
          <w:ilvl w:val="0"/>
          <w:numId w:val="7"/>
        </w:numPr>
        <w:jc w:val="both"/>
        <w:rPr>
          <w:rFonts w:cstheme="minorHAnsi"/>
        </w:rPr>
      </w:pPr>
      <w:r>
        <w:t>Researchers must disclose to the university any research of commercial potential;</w:t>
      </w:r>
    </w:p>
    <w:p w:rsidR="004B534C" w:rsidRPr="00E57C3D" w:rsidRDefault="004B534C" w:rsidP="00FC5464">
      <w:pPr>
        <w:pStyle w:val="ListParagraph"/>
        <w:numPr>
          <w:ilvl w:val="0"/>
          <w:numId w:val="7"/>
        </w:numPr>
        <w:jc w:val="both"/>
        <w:rPr>
          <w:rFonts w:cstheme="minorHAnsi"/>
        </w:rPr>
      </w:pPr>
      <w:r>
        <w:t>Universities own the IP of “institute inventions” (service invention);</w:t>
      </w:r>
    </w:p>
    <w:p w:rsidR="004B534C" w:rsidRPr="00E57C3D" w:rsidRDefault="004B534C" w:rsidP="00FC5464">
      <w:pPr>
        <w:pStyle w:val="ListParagraph"/>
        <w:numPr>
          <w:ilvl w:val="0"/>
          <w:numId w:val="7"/>
        </w:numPr>
        <w:jc w:val="both"/>
        <w:rPr>
          <w:rFonts w:cstheme="minorHAnsi"/>
        </w:rPr>
      </w:pPr>
      <w:r>
        <w:t xml:space="preserve">Institute inventions are discoveries of employees and others, related to the university; </w:t>
      </w:r>
    </w:p>
    <w:p w:rsidR="004B534C" w:rsidRPr="00E57C3D" w:rsidRDefault="004B534C" w:rsidP="00FC5464">
      <w:pPr>
        <w:pStyle w:val="ListParagraph"/>
        <w:numPr>
          <w:ilvl w:val="0"/>
          <w:numId w:val="7"/>
        </w:numPr>
        <w:jc w:val="both"/>
        <w:rPr>
          <w:rFonts w:cstheme="minorHAnsi"/>
        </w:rPr>
      </w:pPr>
      <w:r>
        <w:t xml:space="preserve">Institute inventions are commercialized solely by the TTC (Technology Transfer Company); </w:t>
      </w:r>
    </w:p>
    <w:p w:rsidR="004B534C" w:rsidRPr="00E57C3D" w:rsidRDefault="004B534C" w:rsidP="00FC5464">
      <w:pPr>
        <w:pStyle w:val="ListParagraph"/>
        <w:numPr>
          <w:ilvl w:val="0"/>
          <w:numId w:val="7"/>
        </w:numPr>
        <w:jc w:val="both"/>
        <w:rPr>
          <w:rFonts w:cstheme="minorHAnsi"/>
        </w:rPr>
      </w:pPr>
      <w:r>
        <w:t xml:space="preserve">Commercialization revenues are shared by the inventors (40- 50%; 50-60%) and the university; and </w:t>
      </w:r>
    </w:p>
    <w:p w:rsidR="004B534C" w:rsidRPr="003666FA" w:rsidRDefault="004B534C" w:rsidP="00FC5464">
      <w:pPr>
        <w:pStyle w:val="ListParagraph"/>
        <w:numPr>
          <w:ilvl w:val="0"/>
          <w:numId w:val="7"/>
        </w:numPr>
        <w:jc w:val="both"/>
        <w:rPr>
          <w:rFonts w:cstheme="minorHAnsi"/>
        </w:rPr>
      </w:pPr>
      <w:r>
        <w:t>If the TTC chooses not to file for patent, the inventors can do it at their own expense.</w:t>
      </w:r>
    </w:p>
    <w:p w:rsidR="009568AF" w:rsidRDefault="009568AF" w:rsidP="00FC5464">
      <w:pPr>
        <w:jc w:val="both"/>
        <w:rPr>
          <w:rFonts w:cstheme="minorHAnsi"/>
        </w:rPr>
      </w:pPr>
      <w:r>
        <w:rPr>
          <w:rFonts w:cstheme="minorHAnsi"/>
        </w:rPr>
        <w:t>Significantly, Israel’s Office of the Chief Scientist</w:t>
      </w:r>
      <w:r w:rsidR="00B61763">
        <w:rPr>
          <w:rFonts w:cstheme="minorHAnsi"/>
        </w:rPr>
        <w:t xml:space="preserve"> (OSC)</w:t>
      </w:r>
      <w:r w:rsidR="001E1423">
        <w:rPr>
          <w:rFonts w:cstheme="minorHAnsi"/>
        </w:rPr>
        <w:t xml:space="preserve"> at the ministry of Industry, Trade and </w:t>
      </w:r>
      <w:proofErr w:type="spellStart"/>
      <w:r w:rsidR="001E1423">
        <w:rPr>
          <w:rFonts w:cstheme="minorHAnsi"/>
        </w:rPr>
        <w:t>Labor</w:t>
      </w:r>
      <w:proofErr w:type="spellEnd"/>
      <w:r>
        <w:rPr>
          <w:rFonts w:cstheme="minorHAnsi"/>
        </w:rPr>
        <w:t xml:space="preserve"> </w:t>
      </w:r>
      <w:r w:rsidR="00ED092A">
        <w:rPr>
          <w:rFonts w:cstheme="minorHAnsi"/>
        </w:rPr>
        <w:t>have</w:t>
      </w:r>
      <w:r>
        <w:rPr>
          <w:rFonts w:cstheme="minorHAnsi"/>
        </w:rPr>
        <w:t xml:space="preserve"> restrictions on the internationalization of knowledge created unde</w:t>
      </w:r>
      <w:r w:rsidR="001E1423">
        <w:rPr>
          <w:rFonts w:cstheme="minorHAnsi"/>
        </w:rPr>
        <w:t>r their R&amp;D</w:t>
      </w:r>
      <w:r>
        <w:rPr>
          <w:rFonts w:cstheme="minorHAnsi"/>
        </w:rPr>
        <w:t xml:space="preserve"> programs. </w:t>
      </w:r>
      <w:r w:rsidR="00B61763">
        <w:rPr>
          <w:rFonts w:cstheme="minorHAnsi"/>
        </w:rPr>
        <w:t>Under</w:t>
      </w:r>
      <w:r w:rsidR="00B61763">
        <w:t xml:space="preserve"> Israel’s Encouragement of Research and Development Law, 1984 (the “R&amp;D Law”) </w:t>
      </w:r>
      <w:r w:rsidR="00B61763" w:rsidRPr="00B61763">
        <w:t xml:space="preserve">transfer of </w:t>
      </w:r>
      <w:r w:rsidR="00C67CBE">
        <w:t>‘</w:t>
      </w:r>
      <w:r w:rsidR="00B61763" w:rsidRPr="00B61763">
        <w:t>know-how</w:t>
      </w:r>
      <w:r w:rsidR="00C67CBE">
        <w:t>’</w:t>
      </w:r>
      <w:r w:rsidR="00B61763" w:rsidRPr="00B61763">
        <w:t xml:space="preserve"> to entities outside of Israel is subject to OCS approval and</w:t>
      </w:r>
      <w:r w:rsidR="00384DAA">
        <w:t xml:space="preserve"> </w:t>
      </w:r>
      <w:r w:rsidR="00B61763" w:rsidRPr="00B61763">
        <w:t>requires the OCS-supported company to pay a "redemption fee" to the OCS</w:t>
      </w:r>
      <w:r w:rsidR="00B61763">
        <w:t xml:space="preserve"> depending on how much of the R&amp;D positions remains in Israel</w:t>
      </w:r>
      <w:r w:rsidR="00211B09">
        <w:rPr>
          <w:rStyle w:val="EndnoteReference"/>
        </w:rPr>
        <w:endnoteReference w:id="18"/>
      </w:r>
      <w:r w:rsidR="00B61763" w:rsidRPr="00B61763">
        <w:t>.</w:t>
      </w:r>
    </w:p>
    <w:p w:rsidR="004B534C" w:rsidRDefault="001E1423" w:rsidP="00FC5464">
      <w:pPr>
        <w:jc w:val="both"/>
        <w:rPr>
          <w:rFonts w:cstheme="minorHAnsi"/>
        </w:rPr>
      </w:pPr>
      <w:r>
        <w:rPr>
          <w:rFonts w:cstheme="minorHAnsi"/>
        </w:rPr>
        <w:t>The ATN acknowledges that</w:t>
      </w:r>
      <w:r w:rsidR="004B534C">
        <w:rPr>
          <w:rFonts w:cstheme="minorHAnsi"/>
        </w:rPr>
        <w:t xml:space="preserve"> simply enacting legislation is not sufficient to increase</w:t>
      </w:r>
      <w:r w:rsidR="00D05D30">
        <w:rPr>
          <w:rFonts w:cstheme="minorHAnsi"/>
        </w:rPr>
        <w:t xml:space="preserve"> </w:t>
      </w:r>
      <w:r w:rsidR="004B534C">
        <w:rPr>
          <w:rFonts w:cstheme="minorHAnsi"/>
        </w:rPr>
        <w:t>innovative outputs</w:t>
      </w:r>
      <w:r w:rsidR="00C67CBE">
        <w:rPr>
          <w:rFonts w:cstheme="minorHAnsi"/>
        </w:rPr>
        <w:t xml:space="preserve"> and intellectual property activity</w:t>
      </w:r>
      <w:r w:rsidR="004B534C">
        <w:rPr>
          <w:rFonts w:cstheme="minorHAnsi"/>
        </w:rPr>
        <w:t xml:space="preserve">, and </w:t>
      </w:r>
      <w:r>
        <w:rPr>
          <w:rFonts w:cstheme="minorHAnsi"/>
        </w:rPr>
        <w:t xml:space="preserve">advises the </w:t>
      </w:r>
      <w:r w:rsidR="004B534C">
        <w:rPr>
          <w:rFonts w:cstheme="minorHAnsi"/>
        </w:rPr>
        <w:t>Productivity Commission consider the inquiry into IP arrangements within the scope of related innovation policies</w:t>
      </w:r>
      <w:r>
        <w:rPr>
          <w:rFonts w:cstheme="minorHAnsi"/>
        </w:rPr>
        <w:t xml:space="preserve"> and</w:t>
      </w:r>
      <w:r w:rsidR="00C67CBE">
        <w:rPr>
          <w:rFonts w:cstheme="minorHAnsi"/>
        </w:rPr>
        <w:t xml:space="preserve"> the</w:t>
      </w:r>
      <w:r>
        <w:rPr>
          <w:rFonts w:cstheme="minorHAnsi"/>
        </w:rPr>
        <w:t xml:space="preserve"> national context</w:t>
      </w:r>
      <w:r w:rsidR="004B534C">
        <w:rPr>
          <w:rFonts w:cstheme="minorHAnsi"/>
        </w:rPr>
        <w:t>.</w:t>
      </w:r>
    </w:p>
    <w:p w:rsidR="00994C5D" w:rsidRPr="00994C5D" w:rsidRDefault="00C95CEA" w:rsidP="00FC5464">
      <w:pPr>
        <w:pStyle w:val="Default"/>
        <w:jc w:val="both"/>
        <w:rPr>
          <w:rFonts w:asciiTheme="minorHAnsi" w:eastAsiaTheme="minorHAnsi" w:hAnsiTheme="minorHAnsi" w:cstheme="minorHAnsi"/>
          <w:color w:val="auto"/>
          <w:sz w:val="22"/>
          <w:szCs w:val="22"/>
          <w:lang w:eastAsia="en-US"/>
        </w:rPr>
      </w:pPr>
      <w:r w:rsidRPr="00994C5D">
        <w:rPr>
          <w:rFonts w:asciiTheme="minorHAnsi" w:eastAsiaTheme="minorHAnsi" w:hAnsiTheme="minorHAnsi" w:cstheme="minorHAnsi"/>
          <w:color w:val="auto"/>
          <w:sz w:val="22"/>
          <w:szCs w:val="22"/>
          <w:lang w:eastAsia="en-US"/>
        </w:rPr>
        <w:t xml:space="preserve">If you have any queries or would like to discuss this submission further, please do not hesitate to call me </w:t>
      </w:r>
      <w:r w:rsidR="0096089A">
        <w:rPr>
          <w:rFonts w:asciiTheme="minorHAnsi" w:eastAsiaTheme="minorHAnsi" w:hAnsiTheme="minorHAnsi" w:cstheme="minorHAnsi"/>
          <w:color w:val="auto"/>
          <w:sz w:val="22"/>
          <w:szCs w:val="22"/>
          <w:lang w:eastAsia="en-US"/>
        </w:rPr>
        <w:t>.</w:t>
      </w:r>
    </w:p>
    <w:p w:rsidR="0029406F" w:rsidRDefault="00C95CEA" w:rsidP="0029406F">
      <w:pPr>
        <w:pStyle w:val="Footer"/>
        <w:jc w:val="both"/>
        <w:rPr>
          <w:rFonts w:cs="Calibri"/>
        </w:rPr>
      </w:pPr>
      <w:r w:rsidRPr="00331A9E">
        <w:rPr>
          <w:rFonts w:cs="Calibri"/>
        </w:rPr>
        <w:t>Yours sincerely</w:t>
      </w:r>
      <w:r w:rsidR="00C67CBE">
        <w:rPr>
          <w:rFonts w:cs="Calibri"/>
        </w:rPr>
        <w:t>,</w:t>
      </w:r>
    </w:p>
    <w:p w:rsidR="00C95CEA" w:rsidRPr="00331A9E" w:rsidRDefault="00C95CEA" w:rsidP="0029406F">
      <w:pPr>
        <w:pStyle w:val="Footer"/>
        <w:jc w:val="both"/>
        <w:rPr>
          <w:rFonts w:ascii="Calibri" w:hAnsi="Calibri" w:cs="Calibri"/>
        </w:rPr>
      </w:pPr>
    </w:p>
    <w:p w:rsidR="0029406F" w:rsidRDefault="00C95CEA" w:rsidP="009E0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331A9E">
        <w:rPr>
          <w:rFonts w:ascii="Calibri" w:hAnsi="Calibri" w:cs="Calibri"/>
        </w:rPr>
        <w:t>Renee Hindmarsh</w:t>
      </w:r>
    </w:p>
    <w:p w:rsidR="00656F98" w:rsidRPr="0029406F" w:rsidRDefault="00C95CEA" w:rsidP="009E0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sectPr w:rsidR="00656F98" w:rsidRPr="0029406F" w:rsidSect="00255609">
          <w:footerReference w:type="first" r:id="rId20"/>
          <w:pgSz w:w="11907" w:h="16840" w:code="9"/>
          <w:pgMar w:top="1134" w:right="1134" w:bottom="1134" w:left="1134" w:header="709" w:footer="709" w:gutter="0"/>
          <w:cols w:space="708"/>
          <w:titlePg/>
          <w:docGrid w:linePitch="299"/>
        </w:sectPr>
      </w:pPr>
      <w:r w:rsidRPr="00994C5D">
        <w:rPr>
          <w:rFonts w:cstheme="minorHAnsi"/>
          <w:b/>
        </w:rPr>
        <w:t>ATN Executive Directo</w:t>
      </w:r>
      <w:r w:rsidR="002656C4">
        <w:rPr>
          <w:rFonts w:cstheme="minorHAnsi"/>
          <w:b/>
        </w:rPr>
        <w:t>r</w:t>
      </w:r>
    </w:p>
    <w:p w:rsidR="00C95CEA" w:rsidRPr="006D3D79" w:rsidRDefault="00C95CEA" w:rsidP="00C95CEA">
      <w:pPr>
        <w:spacing w:after="0" w:line="240" w:lineRule="auto"/>
        <w:rPr>
          <w:b/>
          <w:i/>
        </w:rPr>
      </w:pPr>
      <w:r>
        <w:rPr>
          <w:b/>
          <w:i/>
        </w:rPr>
        <w:lastRenderedPageBreak/>
        <w:t xml:space="preserve">Appendix 1. </w:t>
      </w:r>
      <w:r w:rsidRPr="006D3D79">
        <w:rPr>
          <w:b/>
          <w:i/>
        </w:rPr>
        <w:t>Case Studies of Successful ATN Ventures</w:t>
      </w:r>
    </w:p>
    <w:p w:rsidR="00C95CEA" w:rsidRDefault="00C95CEA" w:rsidP="00C95CEA">
      <w:pPr>
        <w:rPr>
          <w:b/>
        </w:rPr>
      </w:pPr>
    </w:p>
    <w:p w:rsidR="00C95CEA" w:rsidRPr="00F709F2" w:rsidRDefault="00C95CEA" w:rsidP="00FC5464">
      <w:pPr>
        <w:jc w:val="both"/>
        <w:rPr>
          <w:b/>
        </w:rPr>
      </w:pPr>
      <w:r w:rsidRPr="00F709F2">
        <w:rPr>
          <w:b/>
        </w:rPr>
        <w:t xml:space="preserve">Curtin – </w:t>
      </w:r>
      <w:proofErr w:type="spellStart"/>
      <w:r w:rsidRPr="00F709F2">
        <w:rPr>
          <w:b/>
        </w:rPr>
        <w:t>iCetana</w:t>
      </w:r>
      <w:proofErr w:type="spellEnd"/>
    </w:p>
    <w:p w:rsidR="00C95CEA" w:rsidRDefault="00C95CEA" w:rsidP="00FC5464">
      <w:pPr>
        <w:jc w:val="both"/>
      </w:pPr>
      <w:proofErr w:type="spellStart"/>
      <w:r>
        <w:t>iCentana</w:t>
      </w:r>
      <w:proofErr w:type="spellEnd"/>
      <w:r>
        <w:t xml:space="preserve"> is a software company that has developed a video analytics application based on a patented innovative technology for “anomaly detection in large data-sets” developed by </w:t>
      </w:r>
      <w:proofErr w:type="spellStart"/>
      <w:r>
        <w:t>Prof.</w:t>
      </w:r>
      <w:proofErr w:type="spellEnd"/>
      <w:r>
        <w:t xml:space="preserve"> </w:t>
      </w:r>
      <w:proofErr w:type="spellStart"/>
      <w:r>
        <w:t>Svetha</w:t>
      </w:r>
      <w:proofErr w:type="spellEnd"/>
      <w:r>
        <w:t xml:space="preserve"> Venkatesh and her research team at Curtin University.  The software application automatically learns “movement patterns” in a scene and then analyses live feeds from multiple video cameras to detect and send alerts of any “abnormal movement behaviour” in real-time.  The initial focus of the anomaly detection technology is in the field of Video Content Analytics, particularly in the area of public security surveillance.</w:t>
      </w:r>
    </w:p>
    <w:p w:rsidR="00C95CEA" w:rsidRDefault="00C95CEA" w:rsidP="00FC5464">
      <w:pPr>
        <w:jc w:val="both"/>
      </w:pPr>
      <w:r>
        <w:t>Other potential applications for the anomaly detection technology outside the public security video surveillance market include the use in complex data network intrusion/exception detection, network performance monitoring, financial data-mining and defence oriented developments.</w:t>
      </w:r>
    </w:p>
    <w:p w:rsidR="00C95CEA" w:rsidRDefault="00C95CEA" w:rsidP="00FC5464">
      <w:pPr>
        <w:jc w:val="both"/>
      </w:pPr>
      <w:proofErr w:type="spellStart"/>
      <w:r>
        <w:t>iCetana</w:t>
      </w:r>
      <w:proofErr w:type="spellEnd"/>
      <w:r>
        <w:t xml:space="preserve"> received patent approval from the United States Patent and Trademark Office in 2014, and is a winner of the “Broadband Innovation Award” at the 2010 Tech 23 Event, the WA Innovator of the Year Award in 2011, and </w:t>
      </w:r>
      <w:r w:rsidRPr="00F709F2">
        <w:t xml:space="preserve">Milestone System’s “Best Solution Partner” </w:t>
      </w:r>
      <w:r>
        <w:t xml:space="preserve">in </w:t>
      </w:r>
      <w:r w:rsidRPr="00F709F2">
        <w:t>2013</w:t>
      </w:r>
      <w:r>
        <w:t>.</w:t>
      </w:r>
    </w:p>
    <w:p w:rsidR="00C95CEA" w:rsidRPr="0003155D" w:rsidRDefault="00C95CEA" w:rsidP="00FC5464">
      <w:pPr>
        <w:jc w:val="both"/>
        <w:rPr>
          <w:b/>
        </w:rPr>
      </w:pPr>
      <w:proofErr w:type="spellStart"/>
      <w:r w:rsidRPr="0003155D">
        <w:rPr>
          <w:b/>
        </w:rPr>
        <w:t>QUT</w:t>
      </w:r>
      <w:proofErr w:type="spellEnd"/>
      <w:r w:rsidRPr="0003155D">
        <w:rPr>
          <w:b/>
        </w:rPr>
        <w:t xml:space="preserve"> </w:t>
      </w:r>
      <w:proofErr w:type="spellStart"/>
      <w:r w:rsidRPr="0003155D">
        <w:rPr>
          <w:b/>
        </w:rPr>
        <w:t>Bluebox</w:t>
      </w:r>
      <w:proofErr w:type="spellEnd"/>
      <w:r w:rsidRPr="0003155D">
        <w:rPr>
          <w:b/>
        </w:rPr>
        <w:t xml:space="preserve"> – Tissue Therapies Limited</w:t>
      </w:r>
    </w:p>
    <w:p w:rsidR="00C95CEA" w:rsidRDefault="00C95CEA" w:rsidP="00FC5464">
      <w:pPr>
        <w:jc w:val="both"/>
      </w:pPr>
      <w:r>
        <w:t xml:space="preserve">Over the past decade, researchers at the QUT Tissue Repair and Regeneration Program have developed a new, cost-effective, innovative wound treatment, </w:t>
      </w:r>
      <w:proofErr w:type="spellStart"/>
      <w:r>
        <w:t>VitroGro</w:t>
      </w:r>
      <w:proofErr w:type="spellEnd"/>
      <w:r>
        <w:t xml:space="preserve">® </w:t>
      </w:r>
      <w:proofErr w:type="spellStart"/>
      <w:r>
        <w:t>ECM</w:t>
      </w:r>
      <w:proofErr w:type="spellEnd"/>
      <w:r>
        <w:t xml:space="preserve">. </w:t>
      </w:r>
      <w:proofErr w:type="spellStart"/>
      <w:r>
        <w:t>VitroGro</w:t>
      </w:r>
      <w:proofErr w:type="spellEnd"/>
      <w:r>
        <w:t xml:space="preserve">® </w:t>
      </w:r>
      <w:proofErr w:type="spellStart"/>
      <w:r>
        <w:t>ECM</w:t>
      </w:r>
      <w:proofErr w:type="spellEnd"/>
      <w:r>
        <w:t xml:space="preserve"> is a synthetic protein that replaces the degraded matrix of a hard to heal wound. </w:t>
      </w:r>
      <w:proofErr w:type="spellStart"/>
      <w:r>
        <w:t>VitroGro</w:t>
      </w:r>
      <w:proofErr w:type="spellEnd"/>
      <w:r>
        <w:t xml:space="preserve">® </w:t>
      </w:r>
      <w:proofErr w:type="spellStart"/>
      <w:r>
        <w:t>ECM</w:t>
      </w:r>
      <w:proofErr w:type="spellEnd"/>
      <w:r>
        <w:t xml:space="preserve"> binds to a prepared wound bed and provides a scaffold for cell attachment, which is a requirement for subsequent cell functions critical for healing, such as cell proliferation and migration. The degraded ECM present in hard to heal wounds confounds healing and by replacing this dysfunctional ECM the cycle of wound chronicity (non-healing) can be broken and the normal healing processes initiated.</w:t>
      </w:r>
    </w:p>
    <w:p w:rsidR="00C95CEA" w:rsidRDefault="00C95CEA" w:rsidP="00FC5464">
      <w:pPr>
        <w:jc w:val="both"/>
      </w:pPr>
      <w:proofErr w:type="spellStart"/>
      <w:r>
        <w:t>VitroGro</w:t>
      </w:r>
      <w:proofErr w:type="spellEnd"/>
      <w:r>
        <w:t xml:space="preserve">® </w:t>
      </w:r>
      <w:proofErr w:type="spellStart"/>
      <w:r>
        <w:t>ECM</w:t>
      </w:r>
      <w:proofErr w:type="spellEnd"/>
      <w:r>
        <w:t xml:space="preserve"> is a safe, easy to use liquid that is applied to the surface of the wound reducing time and costs of treatment for hard to heal wounds, delivering both improved patient outcomes and an economic benefit for the healthcare community. Early in the development process, </w:t>
      </w:r>
      <w:proofErr w:type="spellStart"/>
      <w:r>
        <w:t>VitroGro</w:t>
      </w:r>
      <w:proofErr w:type="spellEnd"/>
      <w:r>
        <w:t xml:space="preserve">® was identified as an exciting synthetic protein technology platform that had a variety of applications in medical and research markets. Following the discovery, intellectual property protection was sought by QUT in 2001 and Tissue Therapies Limited was formed in 2003 to commercialise products resulting from the </w:t>
      </w:r>
      <w:proofErr w:type="spellStart"/>
      <w:r>
        <w:t>VitroGro</w:t>
      </w:r>
      <w:proofErr w:type="spellEnd"/>
      <w:r>
        <w:t xml:space="preserve">® platform. </w:t>
      </w:r>
      <w:proofErr w:type="spellStart"/>
      <w:r>
        <w:t>VitroGro</w:t>
      </w:r>
      <w:proofErr w:type="spellEnd"/>
      <w:r>
        <w:t xml:space="preserve">® </w:t>
      </w:r>
      <w:proofErr w:type="spellStart"/>
      <w:r>
        <w:t>ECM</w:t>
      </w:r>
      <w:proofErr w:type="spellEnd"/>
      <w:r>
        <w:t xml:space="preserve"> is the first commercial product for </w:t>
      </w:r>
      <w:proofErr w:type="spellStart"/>
      <w:r>
        <w:t>VitroGro</w:t>
      </w:r>
      <w:proofErr w:type="spellEnd"/>
      <w:r>
        <w:t>® technology.</w:t>
      </w:r>
    </w:p>
    <w:p w:rsidR="00C95CEA" w:rsidRDefault="00C95CEA" w:rsidP="00FC5464">
      <w:pPr>
        <w:jc w:val="both"/>
      </w:pPr>
      <w:r>
        <w:t xml:space="preserve">To enable the commercialisation of the QUT Intellectual Property, Tissue Therapies Limited secured a world-wide exclusive licence from </w:t>
      </w:r>
      <w:proofErr w:type="spellStart"/>
      <w:r>
        <w:t>QUT</w:t>
      </w:r>
      <w:proofErr w:type="spellEnd"/>
      <w:r>
        <w:t xml:space="preserve"> to commercialise </w:t>
      </w:r>
      <w:proofErr w:type="spellStart"/>
      <w:r>
        <w:t>VitroGro</w:t>
      </w:r>
      <w:proofErr w:type="spellEnd"/>
      <w:r>
        <w:t xml:space="preserve">® products. Tissue Therapies Limited identified a significant need in wound care for improving the outcome of hard to heal wounds, such as venous leg ulcers, arterial leg ulcers, mixed leg ulcers, diabetic foot ulcers and pressure ulcers and the </w:t>
      </w:r>
      <w:proofErr w:type="spellStart"/>
      <w:r>
        <w:t>VitroGro</w:t>
      </w:r>
      <w:proofErr w:type="spellEnd"/>
      <w:r>
        <w:t xml:space="preserve">® </w:t>
      </w:r>
      <w:proofErr w:type="spellStart"/>
      <w:r>
        <w:t>ECM</w:t>
      </w:r>
      <w:proofErr w:type="spellEnd"/>
      <w:r>
        <w:t xml:space="preserve"> product was developed to address this need.</w:t>
      </w:r>
    </w:p>
    <w:p w:rsidR="00C95CEA" w:rsidRDefault="00C95CEA" w:rsidP="00FC5464">
      <w:pPr>
        <w:jc w:val="both"/>
      </w:pPr>
      <w:r>
        <w:t xml:space="preserve">In order to raise further funds to produce </w:t>
      </w:r>
      <w:proofErr w:type="spellStart"/>
      <w:r>
        <w:t>VitroGro</w:t>
      </w:r>
      <w:proofErr w:type="spellEnd"/>
      <w:r>
        <w:t xml:space="preserve">® </w:t>
      </w:r>
      <w:proofErr w:type="spellStart"/>
      <w:r>
        <w:t>ECM</w:t>
      </w:r>
      <w:proofErr w:type="spellEnd"/>
      <w:r>
        <w:t xml:space="preserve"> on a commercial scale, Tissue Therapies Limited listed publically on the Australian Stock Exchange (ASX) in 2004. They raised significant capital and also had further support from key strategic partners, the Queensland State Government, the Australian Research Council and the National Health and Medical Research Council. The QUT research team collaborated extensively with Tissue Therapies Limited to enable the development, pre-clinical trials, cGMP manufacture, regulatory approvals and a successful human clinical trial of </w:t>
      </w:r>
      <w:proofErr w:type="spellStart"/>
      <w:r>
        <w:t>VitroGro</w:t>
      </w:r>
      <w:proofErr w:type="spellEnd"/>
      <w:r>
        <w:t xml:space="preserve">® </w:t>
      </w:r>
      <w:proofErr w:type="spellStart"/>
      <w:r>
        <w:t>ECM</w:t>
      </w:r>
      <w:proofErr w:type="spellEnd"/>
      <w:r>
        <w:t>.</w:t>
      </w:r>
    </w:p>
    <w:p w:rsidR="00C95CEA" w:rsidRDefault="00C95CEA" w:rsidP="00FC5464">
      <w:pPr>
        <w:jc w:val="both"/>
        <w:rPr>
          <w:b/>
        </w:rPr>
      </w:pPr>
      <w:proofErr w:type="spellStart"/>
      <w:r w:rsidRPr="007A74DA">
        <w:rPr>
          <w:b/>
        </w:rPr>
        <w:lastRenderedPageBreak/>
        <w:t>RMIT</w:t>
      </w:r>
      <w:proofErr w:type="spellEnd"/>
      <w:r w:rsidRPr="007A74DA">
        <w:rPr>
          <w:b/>
        </w:rPr>
        <w:t xml:space="preserve"> –</w:t>
      </w:r>
      <w:r>
        <w:rPr>
          <w:b/>
        </w:rPr>
        <w:t xml:space="preserve"> Anti-</w:t>
      </w:r>
      <w:proofErr w:type="spellStart"/>
      <w:r>
        <w:rPr>
          <w:b/>
        </w:rPr>
        <w:t>Turbulance</w:t>
      </w:r>
      <w:proofErr w:type="spellEnd"/>
      <w:r>
        <w:rPr>
          <w:b/>
        </w:rPr>
        <w:t xml:space="preserve"> Technology</w:t>
      </w:r>
    </w:p>
    <w:p w:rsidR="00C95CEA" w:rsidRDefault="00C95CEA" w:rsidP="00FC5464">
      <w:pPr>
        <w:jc w:val="both"/>
      </w:pPr>
      <w:r>
        <w:t>Australian researchers are seeking a patent on an system that mimics the way feathers help birds detect disturbances in the air.</w:t>
      </w:r>
      <w:r w:rsidR="00CD5407">
        <w:t xml:space="preserve"> </w:t>
      </w:r>
      <w:r>
        <w:t>Inspired by nature’s own anti-turbulence devices, RMIT University engineers say they are developing technology to end turbulence on flights.</w:t>
      </w:r>
      <w:r w:rsidR="00CD5407">
        <w:t xml:space="preserve"> </w:t>
      </w:r>
      <w:r>
        <w:t xml:space="preserve">The patent submission is the result of PhD research by </w:t>
      </w:r>
      <w:proofErr w:type="spellStart"/>
      <w:r>
        <w:t>Abdulghani</w:t>
      </w:r>
      <w:proofErr w:type="spellEnd"/>
      <w:r>
        <w:t xml:space="preserve"> Mohamed, supervised by experts from the School of Aerospace, Mechanical and Manufacturing Engineering.</w:t>
      </w:r>
    </w:p>
    <w:p w:rsidR="00C95CEA" w:rsidRDefault="00C95CEA" w:rsidP="00FC5464">
      <w:pPr>
        <w:jc w:val="both"/>
      </w:pPr>
      <w:r>
        <w:t>Research supervisor for RMIT’s Unmanned Aircraft Systems Research Team, Professor Simon Watkins, says flight testing on a micro plane showed the system significantly reduced the effects of turbulence.</w:t>
      </w:r>
    </w:p>
    <w:p w:rsidR="00C95CEA" w:rsidRDefault="00C95CEA" w:rsidP="00FC5464">
      <w:pPr>
        <w:jc w:val="both"/>
      </w:pPr>
      <w:r>
        <w:t>“By sensing gusts and disturbances in air flow through their feathers, birds are able to fly gracefully rather than bouncing around in turbulent air,” he said.</w:t>
      </w:r>
    </w:p>
    <w:p w:rsidR="00C95CEA" w:rsidRDefault="00C95CEA" w:rsidP="00FC5464">
      <w:pPr>
        <w:jc w:val="both"/>
      </w:pPr>
      <w:r>
        <w:t>“The system we have developed replicates this natural technology, with the aim of enabling planes to fly smoothly through even severe turbulence - just like birds.”</w:t>
      </w:r>
    </w:p>
    <w:p w:rsidR="00C95CEA" w:rsidRDefault="00C95CEA" w:rsidP="00FC5464">
      <w:pPr>
        <w:jc w:val="both"/>
      </w:pPr>
      <w:r>
        <w:t>The system is based on the concept of phase-advanced sensing, in which flow disturbance is sensed before it results in aircraft movement. This is achieved by early sensing of the pressures from gust effects on the leading parts of the wing or by measuring the gusts ahead of the wing.</w:t>
      </w:r>
    </w:p>
    <w:p w:rsidR="00C95CEA" w:rsidRDefault="00C95CEA" w:rsidP="00FC5464">
      <w:pPr>
        <w:jc w:val="both"/>
      </w:pPr>
      <w:r>
        <w:t>Professor Watkins says the system has great potential for all sizes of aircraft and could not only reduce the effects of turbulence on passengers but also reduce loads on plane wings, leading to lower fatigue and hence longer life.</w:t>
      </w:r>
    </w:p>
    <w:p w:rsidR="00C95CEA" w:rsidRPr="007A74DA" w:rsidRDefault="00C95CEA" w:rsidP="00FC5464">
      <w:pPr>
        <w:jc w:val="both"/>
        <w:rPr>
          <w:b/>
        </w:rPr>
      </w:pPr>
      <w:r>
        <w:t>“While we need to explore new sensor arrangements to apply this technology to larger and faster aircraft, we have proven the idea on the most challenging problem of keeping small, lightweight planes steady - since these are the ones that get bounced around the most,” he said.</w:t>
      </w:r>
    </w:p>
    <w:p w:rsidR="00C95CEA" w:rsidRDefault="00C95CEA" w:rsidP="00FC5464">
      <w:pPr>
        <w:jc w:val="both"/>
        <w:rPr>
          <w:b/>
        </w:rPr>
      </w:pPr>
      <w:r w:rsidRPr="007A74DA">
        <w:rPr>
          <w:b/>
        </w:rPr>
        <w:t>UTS –</w:t>
      </w:r>
      <w:r>
        <w:rPr>
          <w:b/>
        </w:rPr>
        <w:t xml:space="preserve"> </w:t>
      </w:r>
      <w:proofErr w:type="spellStart"/>
      <w:r>
        <w:rPr>
          <w:b/>
        </w:rPr>
        <w:t>Piivot</w:t>
      </w:r>
      <w:proofErr w:type="spellEnd"/>
    </w:p>
    <w:p w:rsidR="005A266B" w:rsidRPr="005A266B" w:rsidRDefault="005A266B" w:rsidP="005A266B">
      <w:pPr>
        <w:jc w:val="both"/>
      </w:pPr>
      <w:r w:rsidRPr="005A266B">
        <w:rPr>
          <w:bCs/>
        </w:rPr>
        <w:t xml:space="preserve">UTS is at the heart of fostering Australia’s own ‘Silicon Valley’, as a key partner in </w:t>
      </w:r>
      <w:proofErr w:type="spellStart"/>
      <w:r w:rsidRPr="005A266B">
        <w:rPr>
          <w:bCs/>
        </w:rPr>
        <w:t>Piivot</w:t>
      </w:r>
      <w:proofErr w:type="spellEnd"/>
      <w:r w:rsidRPr="005A266B">
        <w:rPr>
          <w:bCs/>
        </w:rPr>
        <w:t>, Sydney’s recently launched digital creative knowledge hub.</w:t>
      </w:r>
    </w:p>
    <w:p w:rsidR="005A266B" w:rsidRPr="005A266B" w:rsidRDefault="005A266B" w:rsidP="005A266B">
      <w:pPr>
        <w:jc w:val="both"/>
      </w:pPr>
      <w:r w:rsidRPr="005A266B">
        <w:t>Incubated at UTS’s Ultimo campus – the nexus of a vibrant digital creative entrepreneurial ecosystem – </w:t>
      </w:r>
      <w:proofErr w:type="spellStart"/>
      <w:r w:rsidR="0096089A">
        <w:fldChar w:fldCharType="begin"/>
      </w:r>
      <w:r w:rsidR="0096089A">
        <w:instrText xml:space="preserve"> HYPERLINK "http://www.piivot.sydney/" </w:instrText>
      </w:r>
      <w:r w:rsidR="0096089A">
        <w:fldChar w:fldCharType="separate"/>
      </w:r>
      <w:r w:rsidRPr="005A266B">
        <w:rPr>
          <w:rStyle w:val="Hyperlink"/>
        </w:rPr>
        <w:t>Piivot</w:t>
      </w:r>
      <w:proofErr w:type="spellEnd"/>
      <w:r w:rsidR="0096089A">
        <w:rPr>
          <w:rStyle w:val="Hyperlink"/>
        </w:rPr>
        <w:fldChar w:fldCharType="end"/>
      </w:r>
      <w:r w:rsidRPr="005A266B">
        <w:t xml:space="preserve"> is a collaboration between UTS, the NSW Government, Commonwealth Bank, Microsoft, engineering and design firm ARUP and </w:t>
      </w:r>
      <w:proofErr w:type="spellStart"/>
      <w:r w:rsidRPr="005A266B">
        <w:t>Ultimo’s</w:t>
      </w:r>
      <w:proofErr w:type="spellEnd"/>
      <w:r w:rsidRPr="005A266B">
        <w:t xml:space="preserve"> co-working </w:t>
      </w:r>
      <w:proofErr w:type="spellStart"/>
      <w:r w:rsidRPr="005A266B">
        <w:t>startup</w:t>
      </w:r>
      <w:proofErr w:type="spellEnd"/>
      <w:r w:rsidRPr="005A266B">
        <w:t xml:space="preserve"> </w:t>
      </w:r>
      <w:proofErr w:type="spellStart"/>
      <w:r w:rsidRPr="005A266B">
        <w:t>Fishburners</w:t>
      </w:r>
      <w:proofErr w:type="spellEnd"/>
      <w:r w:rsidRPr="005A266B">
        <w:t>.</w:t>
      </w:r>
    </w:p>
    <w:p w:rsidR="005A266B" w:rsidRPr="005A266B" w:rsidRDefault="005A266B" w:rsidP="005A266B">
      <w:pPr>
        <w:jc w:val="both"/>
      </w:pPr>
      <w:proofErr w:type="spellStart"/>
      <w:r w:rsidRPr="005A266B">
        <w:t>Startup</w:t>
      </w:r>
      <w:proofErr w:type="spellEnd"/>
      <w:r w:rsidRPr="005A266B">
        <w:t xml:space="preserve"> hubs like Silicon Valley, the United Kingdom’s </w:t>
      </w:r>
      <w:proofErr w:type="spellStart"/>
      <w:r w:rsidRPr="005A266B">
        <w:t>TechCity</w:t>
      </w:r>
      <w:proofErr w:type="spellEnd"/>
      <w:r w:rsidRPr="005A266B">
        <w:t>, Hub Singapore and Start Tel Aviv have shown that collaboration is critical to driving innovation. With UTS at its core, Ultimo is an ideal location for a Sydney-based hub, with the suburb and neighbouring Surry Hills and CBD areas boasting a high concentration of entrepreneurial and innovative organisations.</w:t>
      </w:r>
    </w:p>
    <w:p w:rsidR="005A266B" w:rsidRPr="005A266B" w:rsidRDefault="005A266B" w:rsidP="005A266B">
      <w:pPr>
        <w:jc w:val="both"/>
      </w:pPr>
      <w:r w:rsidRPr="005A266B">
        <w:t>"Sydney is a global innovation leader, with NSW home to 40 per cent of Australia's creative and digital industries, and City of Sydney data showing a 252 per cent jump in workers in those industries in Pyrmont and Ultimo over the past six years," said UTS Deputy-Vice Chancellor (Resources) Patrick Woods.</w:t>
      </w:r>
    </w:p>
    <w:p w:rsidR="005A266B" w:rsidRPr="005A266B" w:rsidRDefault="005A266B" w:rsidP="005A266B">
      <w:pPr>
        <w:jc w:val="both"/>
      </w:pPr>
      <w:r w:rsidRPr="005A266B">
        <w:t xml:space="preserve">"The industry profile and workforce is here, and at the same time the physical infrastructure is transforming the urban landscape with billions of dollars in new developments at Central Park, the UTS campus, Darling Harbour, the Goods Line and </w:t>
      </w:r>
      <w:proofErr w:type="spellStart"/>
      <w:r w:rsidRPr="005A266B">
        <w:t>Barangaroo</w:t>
      </w:r>
      <w:proofErr w:type="spellEnd"/>
      <w:r w:rsidRPr="005A266B">
        <w:t>."</w:t>
      </w:r>
    </w:p>
    <w:p w:rsidR="005A266B" w:rsidRPr="005A266B" w:rsidRDefault="005A266B" w:rsidP="005A266B">
      <w:pPr>
        <w:jc w:val="both"/>
      </w:pPr>
      <w:r w:rsidRPr="005A266B">
        <w:t xml:space="preserve">Mr Woods said although Ultimo and the surrounding precinct were thriving by Australian standards, industry had recognised a need to increase competitiveness on a global scale, and that the </w:t>
      </w:r>
      <w:proofErr w:type="spellStart"/>
      <w:r w:rsidRPr="005A266B">
        <w:t>Piivot</w:t>
      </w:r>
      <w:proofErr w:type="spellEnd"/>
      <w:r w:rsidRPr="005A266B">
        <w:t xml:space="preserve"> hub would add value in this area by working with the tech </w:t>
      </w:r>
      <w:proofErr w:type="spellStart"/>
      <w:r w:rsidRPr="005A266B">
        <w:t>startup</w:t>
      </w:r>
      <w:proofErr w:type="spellEnd"/>
      <w:r w:rsidRPr="005A266B">
        <w:t xml:space="preserve"> community to strengthen activity.</w:t>
      </w:r>
    </w:p>
    <w:p w:rsidR="005A266B" w:rsidRPr="005A266B" w:rsidRDefault="005A266B" w:rsidP="005A266B">
      <w:pPr>
        <w:jc w:val="both"/>
      </w:pPr>
      <w:r w:rsidRPr="005A266B">
        <w:t>“We are not trying to replicate or stifle what is already taking place here or what has already happened organically,” he said. “We want to facilitate something that gets the best out of it.”</w:t>
      </w:r>
    </w:p>
    <w:p w:rsidR="005A266B" w:rsidRPr="005A266B" w:rsidRDefault="005A266B" w:rsidP="005A266B">
      <w:pPr>
        <w:jc w:val="both"/>
      </w:pPr>
      <w:proofErr w:type="spellStart"/>
      <w:r w:rsidRPr="005A266B">
        <w:lastRenderedPageBreak/>
        <w:t>Piivot</w:t>
      </w:r>
      <w:proofErr w:type="spellEnd"/>
      <w:r w:rsidRPr="005A266B">
        <w:t xml:space="preserve"> aims to cement Sydney’s place on the map as the nation’s digital creative capital, by connecting start-ups to more established innovative companies and other </w:t>
      </w:r>
      <w:proofErr w:type="spellStart"/>
      <w:r w:rsidRPr="005A266B">
        <w:t>startups</w:t>
      </w:r>
      <w:proofErr w:type="spellEnd"/>
      <w:r w:rsidRPr="005A266B">
        <w:t>, as well as fostering opportunities for learning, networking, mentoring and internships.</w:t>
      </w:r>
    </w:p>
    <w:p w:rsidR="005A266B" w:rsidRPr="005A266B" w:rsidRDefault="005A266B" w:rsidP="005A266B">
      <w:pPr>
        <w:jc w:val="both"/>
      </w:pPr>
      <w:r w:rsidRPr="005A266B">
        <w:t>It also seeks to stimulate and influence national debate and policymaking by gathering and sharing information, news and leading thinking on innovation and entrepreneurship.</w:t>
      </w:r>
    </w:p>
    <w:p w:rsidR="005A266B" w:rsidRPr="005A266B" w:rsidRDefault="005A266B" w:rsidP="005A266B">
      <w:pPr>
        <w:jc w:val="both"/>
      </w:pPr>
      <w:r w:rsidRPr="005A266B">
        <w:t xml:space="preserve">The launch of </w:t>
      </w:r>
      <w:proofErr w:type="spellStart"/>
      <w:r w:rsidRPr="005A266B">
        <w:t>Piivot</w:t>
      </w:r>
      <w:proofErr w:type="spellEnd"/>
      <w:r w:rsidRPr="005A266B">
        <w:t xml:space="preserve"> continues </w:t>
      </w:r>
      <w:proofErr w:type="spellStart"/>
      <w:r w:rsidRPr="005A266B">
        <w:t>UTS’s</w:t>
      </w:r>
      <w:proofErr w:type="spellEnd"/>
      <w:r w:rsidRPr="005A266B">
        <w:t xml:space="preserve"> commitment to supporting Australia’s </w:t>
      </w:r>
      <w:proofErr w:type="spellStart"/>
      <w:r w:rsidRPr="005A266B">
        <w:t>startup</w:t>
      </w:r>
      <w:proofErr w:type="spellEnd"/>
      <w:r w:rsidRPr="005A266B">
        <w:t xml:space="preserve"> ecosystem, following on from the creation of ‘</w:t>
      </w:r>
      <w:hyperlink r:id="rId21" w:history="1">
        <w:r w:rsidRPr="005A266B">
          <w:rPr>
            <w:rStyle w:val="Hyperlink"/>
          </w:rPr>
          <w:t>The Hatchery</w:t>
        </w:r>
      </w:hyperlink>
      <w:r w:rsidRPr="005A266B">
        <w:t xml:space="preserve">’, a </w:t>
      </w:r>
      <w:proofErr w:type="spellStart"/>
      <w:r w:rsidRPr="005A266B">
        <w:t>startup</w:t>
      </w:r>
      <w:proofErr w:type="spellEnd"/>
      <w:r w:rsidRPr="005A266B">
        <w:t xml:space="preserve"> pre-incubator designed to equip UTS undergraduates and research students with the skills to start their own innovative businesses.</w:t>
      </w:r>
    </w:p>
    <w:p w:rsidR="005A266B" w:rsidRPr="005A266B" w:rsidRDefault="005A266B" w:rsidP="005A266B">
      <w:pPr>
        <w:jc w:val="both"/>
      </w:pPr>
      <w:r w:rsidRPr="005A266B">
        <w:t>This focus on innovation and creativity has also been seen in the un</w:t>
      </w:r>
      <w:r>
        <w:t xml:space="preserve">iversity’s 2014 appointment of </w:t>
      </w:r>
      <w:r w:rsidRPr="005A266B">
        <w:t>Apple co-founder</w:t>
      </w:r>
      <w:r>
        <w:t xml:space="preserve"> </w:t>
      </w:r>
      <w:hyperlink r:id="rId22" w:history="1">
        <w:r w:rsidRPr="005A266B">
          <w:rPr>
            <w:rStyle w:val="Hyperlink"/>
          </w:rPr>
          <w:t>Steve Wozniak as an Adjunct Professor</w:t>
        </w:r>
      </w:hyperlink>
      <w:r w:rsidRPr="005A266B">
        <w:t>, and former IBM Australia’s research director Professor Glenn Wightwick as Deputy Vice-Chancellor (Research).</w:t>
      </w:r>
    </w:p>
    <w:p w:rsidR="00C95CEA" w:rsidRDefault="00C95CEA" w:rsidP="00FC5464">
      <w:pPr>
        <w:jc w:val="both"/>
      </w:pPr>
      <w:r>
        <w:t xml:space="preserve">UTS is based in </w:t>
      </w:r>
      <w:r w:rsidRPr="00DD2AD1">
        <w:t>Ultimo</w:t>
      </w:r>
      <w:r>
        <w:t xml:space="preserve"> which has the </w:t>
      </w:r>
      <w:r w:rsidRPr="00DD2AD1">
        <w:t xml:space="preserve">highest density of tech </w:t>
      </w:r>
      <w:proofErr w:type="spellStart"/>
      <w:r w:rsidRPr="00DD2AD1">
        <w:t>startups</w:t>
      </w:r>
      <w:proofErr w:type="spellEnd"/>
      <w:r w:rsidRPr="00DD2AD1">
        <w:t xml:space="preserve"> in Australia. Ultimo boasts 51.9 </w:t>
      </w:r>
      <w:proofErr w:type="spellStart"/>
      <w:r w:rsidRPr="00DD2AD1">
        <w:t>startups</w:t>
      </w:r>
      <w:proofErr w:type="spellEnd"/>
      <w:r w:rsidRPr="00DD2AD1">
        <w:t xml:space="preserve"> per square kilometre according to </w:t>
      </w:r>
      <w:proofErr w:type="spellStart"/>
      <w:r w:rsidRPr="00DD2AD1">
        <w:t>StartUp</w:t>
      </w:r>
      <w:proofErr w:type="spellEnd"/>
      <w:r w:rsidRPr="00DD2AD1">
        <w:t xml:space="preserve"> Muster, the largest survey of the Australian </w:t>
      </w:r>
      <w:proofErr w:type="spellStart"/>
      <w:r w:rsidRPr="00DD2AD1">
        <w:t>startup</w:t>
      </w:r>
      <w:proofErr w:type="spellEnd"/>
      <w:r>
        <w:t xml:space="preserve"> community run by Murray </w:t>
      </w:r>
      <w:proofErr w:type="spellStart"/>
      <w:r>
        <w:t>Hurps</w:t>
      </w:r>
      <w:proofErr w:type="spellEnd"/>
      <w:r>
        <w:t>.</w:t>
      </w:r>
    </w:p>
    <w:p w:rsidR="005A266B" w:rsidRPr="00DD2AD1" w:rsidRDefault="00C95CEA" w:rsidP="00FC5464">
      <w:pPr>
        <w:jc w:val="both"/>
      </w:pPr>
      <w:r>
        <w:t xml:space="preserve">The Australian tech </w:t>
      </w:r>
      <w:proofErr w:type="spellStart"/>
      <w:r>
        <w:t>startup</w:t>
      </w:r>
      <w:proofErr w:type="spellEnd"/>
      <w:r>
        <w:t xml:space="preserve"> sector has the potential to contribute $109 billion or 4% of GDP to the Australian economy and 540,000 jobs by 2033 with concerted effort by entrepreneurs, educators, the government and corporate Australia. (PWC / Google The </w:t>
      </w:r>
      <w:proofErr w:type="spellStart"/>
      <w:r>
        <w:t>Startup</w:t>
      </w:r>
      <w:proofErr w:type="spellEnd"/>
      <w:r>
        <w:t xml:space="preserve"> Economy 2013)</w:t>
      </w:r>
    </w:p>
    <w:p w:rsidR="00C95CEA" w:rsidRDefault="00C95CEA" w:rsidP="00FC5464">
      <w:pPr>
        <w:jc w:val="both"/>
        <w:rPr>
          <w:b/>
        </w:rPr>
      </w:pPr>
      <w:proofErr w:type="spellStart"/>
      <w:r w:rsidRPr="00F709F2">
        <w:rPr>
          <w:b/>
        </w:rPr>
        <w:t>UniSA</w:t>
      </w:r>
      <w:proofErr w:type="spellEnd"/>
      <w:r w:rsidRPr="00F709F2">
        <w:rPr>
          <w:b/>
        </w:rPr>
        <w:t xml:space="preserve"> Ventures – </w:t>
      </w:r>
      <w:proofErr w:type="spellStart"/>
      <w:r w:rsidRPr="00F709F2">
        <w:rPr>
          <w:b/>
        </w:rPr>
        <w:t>Codha</w:t>
      </w:r>
      <w:proofErr w:type="spellEnd"/>
      <w:r w:rsidRPr="00F709F2">
        <w:rPr>
          <w:b/>
        </w:rPr>
        <w:t xml:space="preserve"> Wireless</w:t>
      </w:r>
    </w:p>
    <w:p w:rsidR="00C95CEA" w:rsidRDefault="00C95CEA" w:rsidP="00FC5464">
      <w:pPr>
        <w:jc w:val="both"/>
      </w:pPr>
      <w:proofErr w:type="spellStart"/>
      <w:r w:rsidRPr="00F709F2">
        <w:t>Cohda</w:t>
      </w:r>
      <w:proofErr w:type="spellEnd"/>
      <w:r w:rsidRPr="00F709F2">
        <w:t xml:space="preserve"> Wireless was founded in 2004 by a group of highly regarded research scientists working at the University of South Australia's Institute for Telecommunications Research. </w:t>
      </w:r>
      <w:proofErr w:type="spellStart"/>
      <w:r>
        <w:t>Cohda</w:t>
      </w:r>
      <w:proofErr w:type="spellEnd"/>
      <w:r>
        <w:t xml:space="preserve"> Wireless’ key patented technology, called Dedicated Short Range Communications, is embedded in the receive side of an </w:t>
      </w:r>
      <w:proofErr w:type="spellStart"/>
      <w:r>
        <w:t>802.11p</w:t>
      </w:r>
      <w:proofErr w:type="spellEnd"/>
      <w:r>
        <w:t xml:space="preserve"> radio and </w:t>
      </w:r>
      <w:proofErr w:type="spellStart"/>
      <w:r>
        <w:t>Cohda</w:t>
      </w:r>
      <w:proofErr w:type="spellEnd"/>
      <w:r>
        <w:t xml:space="preserve"> has also developed complete software solutions (from network layer to applications) to run on this hardware.</w:t>
      </w:r>
    </w:p>
    <w:p w:rsidR="00C95CEA" w:rsidRDefault="00C95CEA" w:rsidP="00FC5464">
      <w:pPr>
        <w:jc w:val="both"/>
      </w:pPr>
      <w:r>
        <w:t>The technology has been tested in major trials around the world in Germany, France, United States, Korea and Australia, effectively allowing cars to ‘talk’ to each other and reduce or eliminate crashes through car-to-car data transmission that provides drivers with an audio or visual alert in the threat of an accident.</w:t>
      </w:r>
    </w:p>
    <w:p w:rsidR="00C95CEA" w:rsidRDefault="00C95CEA" w:rsidP="00FC5464">
      <w:pPr>
        <w:jc w:val="both"/>
      </w:pPr>
      <w:r>
        <w:t xml:space="preserve">It is estimated by the US Department of Transport that these car-to-car technologies may address up to 82 per cent of crash scenarios. </w:t>
      </w:r>
      <w:r w:rsidRPr="0003155D">
        <w:t>Car-to-infrastructure network communications will also capture real-time data from on-board technology to better manage transportation system congestion and maximise vehicles operating maintenance and fuel efficiency.</w:t>
      </w:r>
    </w:p>
    <w:p w:rsidR="00C95CEA" w:rsidRDefault="00C95CEA" w:rsidP="00FC5464">
      <w:pPr>
        <w:jc w:val="both"/>
      </w:pPr>
      <w:proofErr w:type="spellStart"/>
      <w:r>
        <w:t>Cohda</w:t>
      </w:r>
      <w:proofErr w:type="spellEnd"/>
      <w:r>
        <w:t xml:space="preserve"> has more than 20 granted patents across a broad range of the V2X system. There are a further 50 patents pending in several countries.  All of </w:t>
      </w:r>
      <w:proofErr w:type="spellStart"/>
      <w:r>
        <w:t>Cohda's</w:t>
      </w:r>
      <w:proofErr w:type="spellEnd"/>
      <w:r>
        <w:t xml:space="preserve"> applications have been granted, an impressive track record given that the USPTO reports that about 50% of all patent applications result in successful grants. </w:t>
      </w:r>
    </w:p>
    <w:p w:rsidR="00C95CEA" w:rsidRDefault="00C95CEA" w:rsidP="00FC5464">
      <w:pPr>
        <w:jc w:val="both"/>
      </w:pPr>
      <w:r>
        <w:t xml:space="preserve">More recently, </w:t>
      </w:r>
      <w:proofErr w:type="spellStart"/>
      <w:r>
        <w:t>Cohda</w:t>
      </w:r>
      <w:proofErr w:type="spellEnd"/>
      <w:r>
        <w:t xml:space="preserve"> wireless has been part of the South Australian trials testing driverless cars on Australian roads. </w:t>
      </w:r>
    </w:p>
    <w:p w:rsidR="00C95CEA" w:rsidRDefault="00C95CEA" w:rsidP="00FC5464">
      <w:pPr>
        <w:jc w:val="both"/>
      </w:pPr>
    </w:p>
    <w:p w:rsidR="00C95CEA" w:rsidRPr="00F709F2" w:rsidRDefault="00C95CEA" w:rsidP="00FC5464">
      <w:pPr>
        <w:jc w:val="both"/>
      </w:pPr>
    </w:p>
    <w:p w:rsidR="00C95CEA" w:rsidRDefault="00C95CEA" w:rsidP="00FC5464">
      <w:pPr>
        <w:jc w:val="both"/>
      </w:pPr>
    </w:p>
    <w:p w:rsidR="00133A97" w:rsidRPr="00520A1B" w:rsidRDefault="00133A97" w:rsidP="00520A1B"/>
    <w:sectPr w:rsidR="00133A97" w:rsidRPr="00520A1B" w:rsidSect="008E1403">
      <w:headerReference w:type="first" r:id="rId23"/>
      <w:pgSz w:w="11907" w:h="16840" w:code="9"/>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EA" w:rsidRDefault="00C95CEA">
      <w:r>
        <w:separator/>
      </w:r>
    </w:p>
  </w:endnote>
  <w:endnote w:type="continuationSeparator" w:id="0">
    <w:p w:rsidR="00C95CEA" w:rsidRDefault="00C95CEA">
      <w:r>
        <w:continuationSeparator/>
      </w:r>
    </w:p>
  </w:endnote>
  <w:endnote w:id="1">
    <w:p w:rsidR="00C95CEA" w:rsidRDefault="00C95CEA" w:rsidP="00C95CEA">
      <w:pPr>
        <w:pStyle w:val="EndnoteText"/>
      </w:pPr>
      <w:r>
        <w:rPr>
          <w:rStyle w:val="EndnoteReference"/>
        </w:rPr>
        <w:endnoteRef/>
      </w:r>
      <w:r>
        <w:t xml:space="preserve"> WIPO (2011) Harnessing Public Research for Innovation – The Role of Intellectual Property, in World Intellectual Property Report 2011, </w:t>
      </w:r>
      <w:hyperlink r:id="rId1" w:history="1">
        <w:r w:rsidRPr="00E825C5">
          <w:rPr>
            <w:rStyle w:val="Hyperlink"/>
          </w:rPr>
          <w:t>http://www.wipo.int/export/sites/www/econ_stat/en/economics/wipr/pdf/wipr_2011_chapter4.pdf</w:t>
        </w:r>
      </w:hyperlink>
    </w:p>
    <w:p w:rsidR="00C95CEA" w:rsidRDefault="00C95CEA" w:rsidP="00C95CEA">
      <w:pPr>
        <w:pStyle w:val="EndnoteText"/>
      </w:pPr>
    </w:p>
  </w:endnote>
  <w:endnote w:id="2">
    <w:p w:rsidR="00B43C58" w:rsidRDefault="00B43C58">
      <w:pPr>
        <w:pStyle w:val="EndnoteText"/>
      </w:pPr>
      <w:r>
        <w:rPr>
          <w:rStyle w:val="EndnoteReference"/>
        </w:rPr>
        <w:endnoteRef/>
      </w:r>
      <w:r>
        <w:t xml:space="preserve"> </w:t>
      </w:r>
      <w:hyperlink r:id="rId2" w:history="1">
        <w:r w:rsidRPr="00DE1EB5">
          <w:rPr>
            <w:rStyle w:val="Hyperlink"/>
          </w:rPr>
          <w:t>http://www.industry.gov.au/AboutUs/Media/Pages/Innovation-Report-shows-change-needed.aspx</w:t>
        </w:r>
      </w:hyperlink>
    </w:p>
    <w:p w:rsidR="00B43C58" w:rsidRDefault="00B43C58">
      <w:pPr>
        <w:pStyle w:val="EndnoteText"/>
      </w:pPr>
    </w:p>
  </w:endnote>
  <w:endnote w:id="3">
    <w:p w:rsidR="00D42CE6" w:rsidRDefault="00D42CE6" w:rsidP="00D42CE6">
      <w:pPr>
        <w:pStyle w:val="EndnoteText"/>
      </w:pPr>
      <w:r>
        <w:rPr>
          <w:rStyle w:val="EndnoteReference"/>
        </w:rPr>
        <w:endnoteRef/>
      </w:r>
      <w:r>
        <w:t xml:space="preserve"> For example, Department of Industry, Innovation and Science, Australian Innovation Systems Report, (2015), </w:t>
      </w:r>
      <w:hyperlink r:id="rId3" w:history="1">
        <w:r w:rsidRPr="00DE1EB5">
          <w:rPr>
            <w:rStyle w:val="Hyperlink"/>
          </w:rPr>
          <w:t>http://www.industry.gov.au/Office-of-the-Chief-Economist/Publications/Pages/Australian-Innovation-System-Report-2015.aspx</w:t>
        </w:r>
      </w:hyperlink>
      <w:r>
        <w:t xml:space="preserve">; </w:t>
      </w:r>
      <w:r w:rsidR="000338CC">
        <w:t xml:space="preserve">Australian Government (2014) Boosting the Commercial Returns from Research; Kemp (1999) </w:t>
      </w:r>
      <w:r w:rsidR="000338CC" w:rsidRPr="00197397">
        <w:t>Knowledge and innovation: a policy statement on research and research training</w:t>
      </w:r>
      <w:r w:rsidR="000338CC">
        <w:t xml:space="preserve">; WIPO (2011) Harnessing Public Research for Innovation – The Role of Intellectual Property, </w:t>
      </w:r>
      <w:hyperlink r:id="rId4" w:history="1">
        <w:r w:rsidR="000338CC" w:rsidRPr="00845ACD">
          <w:rPr>
            <w:rStyle w:val="Hyperlink"/>
          </w:rPr>
          <w:t>http://www.wipo.int/export/sites/www/econ_stat/en/economics/wipr/pdf/wipr_2011_chapter4.pdf</w:t>
        </w:r>
      </w:hyperlink>
    </w:p>
    <w:p w:rsidR="00D42CE6" w:rsidRDefault="00D42CE6">
      <w:pPr>
        <w:pStyle w:val="EndnoteText"/>
      </w:pPr>
    </w:p>
  </w:endnote>
  <w:endnote w:id="4">
    <w:p w:rsidR="00C95CEA" w:rsidRDefault="00C95CEA" w:rsidP="00C95CEA">
      <w:pPr>
        <w:pStyle w:val="EndnoteText"/>
      </w:pPr>
      <w:r>
        <w:rPr>
          <w:rStyle w:val="EndnoteReference"/>
        </w:rPr>
        <w:endnoteRef/>
      </w:r>
      <w:r w:rsidRPr="00587438">
        <w:rPr>
          <w:lang w:val="de-DE"/>
        </w:rPr>
        <w:t xml:space="preserve"> Palangkaraya, A., Spurling, T., &amp; Webster, E.( 2014). </w:t>
      </w:r>
      <w:r w:rsidRPr="00587438">
        <w:t>Securing Australia’s Future – The role of science, research and technology in lifting Australia’s productivity: Is science-based innovation more productive? A firm-level study. Australian Council of Learned Academies (ACOLA).</w:t>
      </w:r>
    </w:p>
  </w:endnote>
  <w:endnote w:id="5">
    <w:p w:rsidR="00C95CEA" w:rsidRDefault="00C95CEA" w:rsidP="00C95CEA">
      <w:pPr>
        <w:pStyle w:val="EndnoteText"/>
      </w:pPr>
      <w:r>
        <w:rPr>
          <w:rStyle w:val="EndnoteReference"/>
        </w:rPr>
        <w:endnoteRef/>
      </w:r>
      <w:r>
        <w:t xml:space="preserve"> Department of Industry,</w:t>
      </w:r>
      <w:r w:rsidR="00D42CE6">
        <w:t xml:space="preserve"> ,</w:t>
      </w:r>
      <w:r>
        <w:t xml:space="preserve"> Australian Innovation Systems Report, (2014), </w:t>
      </w:r>
      <w:hyperlink r:id="rId5" w:history="1">
        <w:r w:rsidRPr="008E4707">
          <w:rPr>
            <w:rStyle w:val="Hyperlink"/>
          </w:rPr>
          <w:t>http://www.industry.gov.au/Office-of-the-Chief-Economist/Publications/Documents/Australian-Innovation-System/Australian-Innovation-System-Report-2014.pdf</w:t>
        </w:r>
      </w:hyperlink>
    </w:p>
    <w:p w:rsidR="00C95CEA" w:rsidRDefault="00C95CEA" w:rsidP="00C95CEA">
      <w:pPr>
        <w:pStyle w:val="EndnoteText"/>
      </w:pPr>
    </w:p>
  </w:endnote>
  <w:endnote w:id="6">
    <w:p w:rsidR="00D42CE6" w:rsidRDefault="00D42CE6">
      <w:pPr>
        <w:pStyle w:val="EndnoteText"/>
      </w:pPr>
      <w:r>
        <w:rPr>
          <w:rStyle w:val="EndnoteReference"/>
        </w:rPr>
        <w:endnoteRef/>
      </w:r>
      <w:r>
        <w:t xml:space="preserve"> Australian Government, IP Australia,  </w:t>
      </w:r>
      <w:hyperlink r:id="rId6" w:history="1">
        <w:r w:rsidRPr="00DE1EB5">
          <w:rPr>
            <w:rStyle w:val="Hyperlink"/>
          </w:rPr>
          <w:t>http://sourceip.ipaustralia.gov.au/</w:t>
        </w:r>
      </w:hyperlink>
    </w:p>
    <w:p w:rsidR="00D42CE6" w:rsidRDefault="00D42CE6">
      <w:pPr>
        <w:pStyle w:val="EndnoteText"/>
      </w:pPr>
    </w:p>
  </w:endnote>
  <w:endnote w:id="7">
    <w:p w:rsidR="000C4D8B" w:rsidRDefault="000C4D8B" w:rsidP="000C4D8B">
      <w:pPr>
        <w:pStyle w:val="EndnoteText"/>
      </w:pPr>
      <w:r>
        <w:rPr>
          <w:rStyle w:val="EndnoteReference"/>
        </w:rPr>
        <w:endnoteRef/>
      </w:r>
      <w:r>
        <w:t xml:space="preserve"> Department of Industry, Innovation and Science (2015) National Survey of Research Commercialisation January 2015, </w:t>
      </w:r>
      <w:hyperlink r:id="rId7" w:history="1">
        <w:r w:rsidRPr="008E4707">
          <w:rPr>
            <w:rStyle w:val="Hyperlink"/>
          </w:rPr>
          <w:t>http://www.industry.gov.au/innovation/reportsandstudies/Pages/Summary-of-selected-commercialisation-metrics-for-Australia-US-Canada-and-UK-2004-2013.aspx</w:t>
        </w:r>
      </w:hyperlink>
    </w:p>
    <w:p w:rsidR="000C4D8B" w:rsidRDefault="000C4D8B" w:rsidP="000C4D8B">
      <w:pPr>
        <w:pStyle w:val="EndnoteText"/>
      </w:pPr>
    </w:p>
  </w:endnote>
  <w:endnote w:id="8">
    <w:p w:rsidR="000C4D8B" w:rsidRDefault="000C4D8B" w:rsidP="000C4D8B">
      <w:pPr>
        <w:pStyle w:val="FootnoteText"/>
      </w:pPr>
      <w:r>
        <w:rPr>
          <w:rStyle w:val="EndnoteReference"/>
        </w:rPr>
        <w:endnoteRef/>
      </w:r>
      <w:r>
        <w:t xml:space="preserve"> UNESCO Institute for Statistics (2015) UNESCO Science Report: Towards 2030, based on OECD online database (</w:t>
      </w:r>
      <w:proofErr w:type="spellStart"/>
      <w:r>
        <w:t>OECD.Stat</w:t>
      </w:r>
      <w:proofErr w:type="spellEnd"/>
      <w:r>
        <w:t xml:space="preserve">), August 2015 </w:t>
      </w:r>
      <w:hyperlink r:id="rId8" w:history="1">
        <w:r w:rsidRPr="008E4707">
          <w:rPr>
            <w:rStyle w:val="Hyperlink"/>
          </w:rPr>
          <w:t>http://</w:t>
        </w:r>
        <w:proofErr w:type="spellStart"/>
        <w:r w:rsidRPr="008E4707">
          <w:rPr>
            <w:rStyle w:val="Hyperlink"/>
          </w:rPr>
          <w:t>unesdoc.unesco.org</w:t>
        </w:r>
        <w:proofErr w:type="spellEnd"/>
        <w:r w:rsidRPr="008E4707">
          <w:rPr>
            <w:rStyle w:val="Hyperlink"/>
          </w:rPr>
          <w:t>/images/0023/002354/</w:t>
        </w:r>
        <w:proofErr w:type="spellStart"/>
        <w:r w:rsidRPr="008E4707">
          <w:rPr>
            <w:rStyle w:val="Hyperlink"/>
          </w:rPr>
          <w:t>235406e.pdf</w:t>
        </w:r>
        <w:proofErr w:type="spellEnd"/>
      </w:hyperlink>
    </w:p>
    <w:p w:rsidR="000C4D8B" w:rsidRDefault="000C4D8B" w:rsidP="000C4D8B">
      <w:pPr>
        <w:pStyle w:val="EndnoteText"/>
      </w:pPr>
    </w:p>
  </w:endnote>
  <w:endnote w:id="9">
    <w:p w:rsidR="000C4D8B" w:rsidRDefault="000C4D8B" w:rsidP="000C4D8B">
      <w:pPr>
        <w:pStyle w:val="EndnoteText"/>
      </w:pPr>
    </w:p>
    <w:p w:rsidR="000C4D8B" w:rsidRDefault="000C4D8B" w:rsidP="000C4D8B">
      <w:pPr>
        <w:pStyle w:val="EndnoteText"/>
        <w:rPr>
          <w:rStyle w:val="Hyperlink"/>
        </w:rPr>
      </w:pPr>
      <w:r>
        <w:rPr>
          <w:rStyle w:val="EndnoteReference"/>
        </w:rPr>
        <w:endnoteRef/>
      </w:r>
      <w:r>
        <w:t xml:space="preserve"> Maxwell, I.A (2014) How Australia can invent a Thriving Technology Export Sector. </w:t>
      </w:r>
      <w:hyperlink r:id="rId9" w:history="1">
        <w:r w:rsidRPr="00CB6A82">
          <w:rPr>
            <w:rStyle w:val="Hyperlink"/>
          </w:rPr>
          <w:t>http://issuu.com/ianmax/docs/how_australia_can_invent_a_thriving</w:t>
        </w:r>
      </w:hyperlink>
    </w:p>
    <w:p w:rsidR="000C4D8B" w:rsidRDefault="000C4D8B" w:rsidP="000C4D8B">
      <w:pPr>
        <w:pStyle w:val="EndnoteText"/>
      </w:pPr>
    </w:p>
  </w:endnote>
  <w:endnote w:id="10">
    <w:p w:rsidR="000C4D8B" w:rsidRDefault="000C4D8B" w:rsidP="000C4D8B">
      <w:pPr>
        <w:pStyle w:val="EndnoteText"/>
      </w:pPr>
      <w:r>
        <w:rPr>
          <w:rStyle w:val="EndnoteReference"/>
        </w:rPr>
        <w:endnoteRef/>
      </w:r>
      <w:r>
        <w:t xml:space="preserve"> Commonwealth of Australia (2015)</w:t>
      </w:r>
      <w:r w:rsidRPr="00F35219">
        <w:t>, IP Australia, Australian I</w:t>
      </w:r>
      <w:r>
        <w:t>ntellectual Property Report 2015</w:t>
      </w:r>
      <w:r w:rsidRPr="00F35219">
        <w:t>, ISBN 978-1-925245-07-3</w:t>
      </w:r>
      <w:r>
        <w:t>.</w:t>
      </w:r>
    </w:p>
  </w:endnote>
  <w:endnote w:id="11">
    <w:p w:rsidR="000C4D8B" w:rsidRDefault="000C4D8B" w:rsidP="000C4D8B">
      <w:pPr>
        <w:pStyle w:val="FootnoteText"/>
      </w:pPr>
      <w:r>
        <w:rPr>
          <w:rStyle w:val="EndnoteReference"/>
        </w:rPr>
        <w:endnoteRef/>
      </w:r>
      <w:r>
        <w:t xml:space="preserve"> </w:t>
      </w:r>
      <w:proofErr w:type="spellStart"/>
      <w:r>
        <w:t>Kaggwa</w:t>
      </w:r>
      <w:proofErr w:type="spellEnd"/>
      <w:r>
        <w:t xml:space="preserve">, G. &amp; </w:t>
      </w:r>
      <w:proofErr w:type="spellStart"/>
      <w:r>
        <w:t>Caporn</w:t>
      </w:r>
      <w:proofErr w:type="spellEnd"/>
      <w:r>
        <w:t xml:space="preserve">, P (2015) </w:t>
      </w:r>
      <w:r w:rsidRPr="00F916F0">
        <w:t>Missing the Mark: Do Australian Businesses Recognise the Value in Patent Protection?</w:t>
      </w:r>
      <w:r>
        <w:t xml:space="preserve"> </w:t>
      </w:r>
      <w:hyperlink r:id="rId10" w:history="1">
        <w:r w:rsidRPr="008E4707">
          <w:rPr>
            <w:rStyle w:val="Hyperlink"/>
          </w:rPr>
          <w:t>http://www.wrays.com.au/insights/blogs/missing-the-mark-do-australian-businesses-recognise-the-value-in-patent-protection/</w:t>
        </w:r>
      </w:hyperlink>
    </w:p>
    <w:p w:rsidR="000C4D8B" w:rsidRDefault="000C4D8B" w:rsidP="000C4D8B">
      <w:pPr>
        <w:pStyle w:val="EndnoteText"/>
      </w:pPr>
    </w:p>
  </w:endnote>
  <w:endnote w:id="12">
    <w:p w:rsidR="000C4D8B" w:rsidRDefault="000C4D8B" w:rsidP="000C4D8B">
      <w:pPr>
        <w:pStyle w:val="EndnoteText"/>
      </w:pPr>
      <w:r>
        <w:rPr>
          <w:rStyle w:val="EndnoteReference"/>
        </w:rPr>
        <w:endnoteRef/>
      </w:r>
      <w:r>
        <w:t xml:space="preserve"> Ibid, page 1</w:t>
      </w:r>
    </w:p>
    <w:p w:rsidR="000C4D8B" w:rsidRDefault="000C4D8B" w:rsidP="000C4D8B">
      <w:pPr>
        <w:pStyle w:val="EndnoteText"/>
      </w:pPr>
    </w:p>
  </w:endnote>
  <w:endnote w:id="13">
    <w:p w:rsidR="00C95CEA" w:rsidRDefault="00C95CEA" w:rsidP="00C95CEA">
      <w:pPr>
        <w:pStyle w:val="FootnoteText"/>
      </w:pPr>
      <w:r>
        <w:rPr>
          <w:rStyle w:val="EndnoteReference"/>
        </w:rPr>
        <w:endnoteRef/>
      </w:r>
      <w:r>
        <w:t xml:space="preserve"> Valdivia, W.D. (2013) University Start-Ups: Critical for Improving Technology Transfer, </w:t>
      </w:r>
      <w:hyperlink r:id="rId11" w:history="1">
        <w:r w:rsidRPr="002A564D">
          <w:rPr>
            <w:rStyle w:val="Hyperlink"/>
          </w:rPr>
          <w:t>http://www.brookings.edu/~/media/research/files/papers/2013/11/start-ups-tech-transfer-valdivia/valdivia_tech-transfer_v29_no-embargo.pdf</w:t>
        </w:r>
      </w:hyperlink>
    </w:p>
    <w:p w:rsidR="00C95CEA" w:rsidRDefault="00C95CEA" w:rsidP="00C95CEA">
      <w:pPr>
        <w:pStyle w:val="EndnoteText"/>
      </w:pPr>
    </w:p>
  </w:endnote>
  <w:endnote w:id="14">
    <w:p w:rsidR="004B534C" w:rsidRDefault="004B534C" w:rsidP="004B534C">
      <w:pPr>
        <w:pStyle w:val="EndnoteText"/>
      </w:pPr>
      <w:r>
        <w:rPr>
          <w:rStyle w:val="EndnoteReference"/>
        </w:rPr>
        <w:endnoteRef/>
      </w:r>
      <w:r>
        <w:t xml:space="preserve"> Cornell University, INSEAD, and WIPO (2015): The Global Innovation Index 2015: Effective Innovation</w:t>
      </w:r>
    </w:p>
    <w:p w:rsidR="004B534C" w:rsidRDefault="004B534C" w:rsidP="004B534C">
      <w:pPr>
        <w:pStyle w:val="EndnoteText"/>
      </w:pPr>
      <w:r>
        <w:t>Policies for Development, Fontainebleau, Ithaca, and Geneva.</w:t>
      </w:r>
    </w:p>
    <w:p w:rsidR="004B534C" w:rsidRDefault="004B534C" w:rsidP="004B534C">
      <w:pPr>
        <w:pStyle w:val="EndnoteText"/>
      </w:pPr>
    </w:p>
  </w:endnote>
  <w:endnote w:id="15">
    <w:p w:rsidR="004B534C" w:rsidRDefault="004B534C" w:rsidP="004B534C">
      <w:pPr>
        <w:pStyle w:val="EndnoteText"/>
      </w:pPr>
      <w:r>
        <w:rPr>
          <w:rStyle w:val="EndnoteReference"/>
        </w:rPr>
        <w:endnoteRef/>
      </w:r>
      <w:r>
        <w:t xml:space="preserve"> </w:t>
      </w:r>
      <w:r w:rsidRPr="005C5797">
        <w:t>Association of University Technology Managers</w:t>
      </w:r>
      <w:r>
        <w:t xml:space="preserve"> (</w:t>
      </w:r>
      <w:proofErr w:type="spellStart"/>
      <w:r>
        <w:t>AUTM</w:t>
      </w:r>
      <w:proofErr w:type="spellEnd"/>
      <w:r>
        <w:t xml:space="preserve">) </w:t>
      </w:r>
      <w:proofErr w:type="spellStart"/>
      <w:r>
        <w:t>Bayh</w:t>
      </w:r>
      <w:proofErr w:type="spellEnd"/>
      <w:r>
        <w:t xml:space="preserve">-Dole Act: </w:t>
      </w:r>
      <w:r w:rsidRPr="005C5797">
        <w:t>Landmark Law Helped Universities Lead the Way</w:t>
      </w:r>
      <w:r>
        <w:t xml:space="preserve">, </w:t>
      </w:r>
      <w:hyperlink r:id="rId12" w:history="1">
        <w:r w:rsidRPr="00DE1EB5">
          <w:rPr>
            <w:rStyle w:val="Hyperlink"/>
          </w:rPr>
          <w:t>http://www.autm.net/advocacy-topics/government-issues/bayh-dole-act/</w:t>
        </w:r>
      </w:hyperlink>
    </w:p>
    <w:p w:rsidR="004B534C" w:rsidRDefault="004B534C" w:rsidP="004B534C">
      <w:pPr>
        <w:pStyle w:val="EndnoteText"/>
      </w:pPr>
    </w:p>
  </w:endnote>
  <w:endnote w:id="16">
    <w:p w:rsidR="004B534C" w:rsidRDefault="004B534C" w:rsidP="004B534C">
      <w:pPr>
        <w:pStyle w:val="EndnoteText"/>
        <w:rPr>
          <w:rStyle w:val="Hyperlink"/>
        </w:rPr>
      </w:pPr>
      <w:r>
        <w:rPr>
          <w:rStyle w:val="EndnoteReference"/>
        </w:rPr>
        <w:endnoteRef/>
      </w:r>
      <w:r>
        <w:t xml:space="preserve"> WIPO (2011) Harnessing Public Research for Innovation – The Role of Intellectual Property, </w:t>
      </w:r>
      <w:hyperlink r:id="rId13" w:history="1">
        <w:r w:rsidRPr="00845ACD">
          <w:rPr>
            <w:rStyle w:val="Hyperlink"/>
          </w:rPr>
          <w:t>http://www.wipo.int/export/sites/www/econ_stat/en/economics/wipr/pdf/wipr_2011_chapter4.pdf</w:t>
        </w:r>
      </w:hyperlink>
    </w:p>
    <w:p w:rsidR="004B534C" w:rsidRDefault="004B534C" w:rsidP="004B534C">
      <w:pPr>
        <w:pStyle w:val="EndnoteText"/>
      </w:pPr>
    </w:p>
  </w:endnote>
  <w:endnote w:id="17">
    <w:p w:rsidR="004B534C" w:rsidRDefault="004B534C" w:rsidP="004B534C">
      <w:pPr>
        <w:pStyle w:val="EndnoteText"/>
      </w:pPr>
      <w:r>
        <w:rPr>
          <w:rStyle w:val="EndnoteReference"/>
        </w:rPr>
        <w:endnoteRef/>
      </w:r>
      <w:r>
        <w:t xml:space="preserve"> </w:t>
      </w:r>
      <w:proofErr w:type="spellStart"/>
      <w:r>
        <w:t>Hegit</w:t>
      </w:r>
      <w:proofErr w:type="spellEnd"/>
      <w:r>
        <w:t xml:space="preserve"> Messer-</w:t>
      </w:r>
      <w:proofErr w:type="spellStart"/>
      <w:r>
        <w:t>Yaron</w:t>
      </w:r>
      <w:proofErr w:type="spellEnd"/>
      <w:r>
        <w:t xml:space="preserve"> (2014), Technology Transfer Policy in Israel – From bottom-up to top-down, 6</w:t>
      </w:r>
      <w:r w:rsidRPr="00E57C3D">
        <w:rPr>
          <w:vertAlign w:val="superscript"/>
        </w:rPr>
        <w:t>th</w:t>
      </w:r>
      <w:r>
        <w:t xml:space="preserve"> Meeting of the European TTO Circle, </w:t>
      </w:r>
      <w:hyperlink r:id="rId14" w:history="1">
        <w:r w:rsidRPr="00DE1EB5">
          <w:rPr>
            <w:rStyle w:val="Hyperlink"/>
          </w:rPr>
          <w:t>https://ec.europa.eu/jrc/sites/default/files/events/20140120-tto-circle/jrc-20140120-tto-circle-messer.pdf</w:t>
        </w:r>
      </w:hyperlink>
    </w:p>
    <w:p w:rsidR="004B534C" w:rsidRDefault="004B534C" w:rsidP="004B534C">
      <w:pPr>
        <w:pStyle w:val="EndnoteText"/>
      </w:pPr>
    </w:p>
  </w:endnote>
  <w:endnote w:id="18">
    <w:p w:rsidR="00211B09" w:rsidRDefault="00211B09">
      <w:pPr>
        <w:pStyle w:val="EndnoteText"/>
      </w:pPr>
      <w:r>
        <w:rPr>
          <w:rStyle w:val="EndnoteReference"/>
        </w:rPr>
        <w:endnoteRef/>
      </w:r>
      <w:r>
        <w:t xml:space="preserve"> </w:t>
      </w:r>
      <w:proofErr w:type="spellStart"/>
      <w:r>
        <w:t>Meitar</w:t>
      </w:r>
      <w:proofErr w:type="spellEnd"/>
      <w:r>
        <w:t xml:space="preserve"> </w:t>
      </w:r>
      <w:proofErr w:type="spellStart"/>
      <w:r>
        <w:t>Liquornik</w:t>
      </w:r>
      <w:proofErr w:type="spellEnd"/>
      <w:r>
        <w:t xml:space="preserve"> </w:t>
      </w:r>
      <w:proofErr w:type="spellStart"/>
      <w:r>
        <w:t>Geva</w:t>
      </w:r>
      <w:proofErr w:type="spellEnd"/>
      <w:r>
        <w:t xml:space="preserve"> and </w:t>
      </w:r>
      <w:proofErr w:type="spellStart"/>
      <w:r>
        <w:t>Leshem</w:t>
      </w:r>
      <w:proofErr w:type="spellEnd"/>
      <w:r>
        <w:t xml:space="preserve"> </w:t>
      </w:r>
      <w:proofErr w:type="spellStart"/>
      <w:r>
        <w:t>Brandwein</w:t>
      </w:r>
      <w:proofErr w:type="spellEnd"/>
      <w:r>
        <w:t xml:space="preserve"> (2015) New R&amp;D Regulations Affect Redemption Fees Payable to the Office of the Chief Scientist, </w:t>
      </w:r>
      <w:hyperlink r:id="rId15" w:history="1">
        <w:r w:rsidRPr="00EA5F58">
          <w:rPr>
            <w:rStyle w:val="Hyperlink"/>
          </w:rPr>
          <w:t>http://meitar.com/181064</w:t>
        </w:r>
      </w:hyperlink>
    </w:p>
    <w:p w:rsidR="00211B09" w:rsidRDefault="00211B0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oudyOlSt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68" w:rsidRDefault="005F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09" w:rsidRPr="00D76DDC" w:rsidRDefault="00D76DDC" w:rsidP="00D76DDC">
    <w:pPr>
      <w:spacing w:after="0" w:line="240" w:lineRule="auto"/>
      <w:jc w:val="center"/>
      <w:rPr>
        <w:rFonts w:cstheme="minorHAnsi"/>
        <w:b/>
      </w:rPr>
    </w:pPr>
    <w:r w:rsidRPr="00D76DDC">
      <w:rPr>
        <w:rFonts w:cstheme="minorHAnsi"/>
        <w:b/>
      </w:rPr>
      <w:t>Figure 1. International Comparison of Intellectual Property Activity, time-series 2004-2013</w:t>
    </w:r>
  </w:p>
  <w:p w:rsidR="00255609" w:rsidRDefault="00255609" w:rsidP="00D76DDC">
    <w:pPr>
      <w:jc w:val="center"/>
    </w:pPr>
    <w:r>
      <w:t xml:space="preserve">Source: </w:t>
    </w:r>
    <w:r w:rsidRPr="005F7E68">
      <w:t>Department of Industry, Innovation and Science's National Survey for Research Commercialisation 2013</w:t>
    </w:r>
    <w:r>
      <w:t xml:space="preserve">; </w:t>
    </w:r>
    <w:hyperlink r:id="rId1" w:history="1">
      <w:r w:rsidRPr="00CF3CE9">
        <w:rPr>
          <w:rStyle w:val="Hyperlink"/>
        </w:rPr>
        <w:t>http://www.industry.gov.au/innovation/reportsandstudies/Pages/NSRC-Data-Card-2012-13.aspx</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A4" w:rsidRDefault="006D64A4" w:rsidP="00D76DD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EA" w:rsidRDefault="00C95CEA">
      <w:r>
        <w:separator/>
      </w:r>
    </w:p>
  </w:footnote>
  <w:footnote w:type="continuationSeparator" w:id="0">
    <w:p w:rsidR="00C95CEA" w:rsidRDefault="00C95CEA">
      <w:r>
        <w:continuationSeparator/>
      </w:r>
    </w:p>
  </w:footnote>
  <w:footnote w:id="1">
    <w:p w:rsidR="005E09C1" w:rsidRDefault="005E09C1">
      <w:pPr>
        <w:pStyle w:val="FootnoteText"/>
      </w:pPr>
      <w:r>
        <w:rPr>
          <w:rStyle w:val="FootnoteReference"/>
        </w:rPr>
        <w:footnoteRef/>
      </w:r>
      <w:r>
        <w:t xml:space="preserve"> </w:t>
      </w:r>
      <w:r>
        <w:rPr>
          <w:rFonts w:cstheme="minorHAnsi"/>
        </w:rPr>
        <w:t xml:space="preserve">Many universities have dedicated technology transfer offices responsible for the commercialisation of research. For example, </w:t>
      </w:r>
      <w:r w:rsidRPr="00DC0083">
        <w:rPr>
          <w:rFonts w:cstheme="minorHAnsi"/>
        </w:rPr>
        <w:t xml:space="preserve">ATN member universities have various successful ventures including, Curtin Accelerate, UTS Hatchery, </w:t>
      </w:r>
      <w:proofErr w:type="spellStart"/>
      <w:r w:rsidRPr="00DC0083">
        <w:rPr>
          <w:rFonts w:cstheme="minorHAnsi"/>
        </w:rPr>
        <w:t>QUT</w:t>
      </w:r>
      <w:proofErr w:type="spellEnd"/>
      <w:r w:rsidRPr="00DC0083">
        <w:rPr>
          <w:rFonts w:cstheme="minorHAnsi"/>
        </w:rPr>
        <w:t xml:space="preserve"> </w:t>
      </w:r>
      <w:proofErr w:type="spellStart"/>
      <w:r w:rsidRPr="00DC0083">
        <w:rPr>
          <w:rFonts w:cstheme="minorHAnsi"/>
        </w:rPr>
        <w:t>Bluebox</w:t>
      </w:r>
      <w:proofErr w:type="spellEnd"/>
      <w:r w:rsidRPr="00DC0083">
        <w:rPr>
          <w:rFonts w:cstheme="minorHAnsi"/>
        </w:rPr>
        <w:t xml:space="preserve">, the </w:t>
      </w:r>
      <w:proofErr w:type="spellStart"/>
      <w:r w:rsidRPr="00DC0083">
        <w:rPr>
          <w:rFonts w:cstheme="minorHAnsi"/>
        </w:rPr>
        <w:t>RMIT</w:t>
      </w:r>
      <w:proofErr w:type="spellEnd"/>
      <w:r w:rsidRPr="00DC0083">
        <w:rPr>
          <w:rFonts w:cstheme="minorHAnsi"/>
        </w:rPr>
        <w:t xml:space="preserve"> New Enterprise Fund, and UniSA Ventures (formerly ITEK). </w:t>
      </w:r>
      <w:r>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07" w:rsidRDefault="00CD5407">
    <w:pPr>
      <w:pStyle w:val="Header"/>
      <w:tabs>
        <w:tab w:val="clear" w:pos="4320"/>
        <w:tab w:val="clear" w:pos="8640"/>
      </w:tabs>
    </w:pPr>
    <w:r>
      <w:rPr>
        <w:noProof/>
        <w:lang w:eastAsia="en-AU"/>
      </w:rPr>
      <w:drawing>
        <wp:anchor distT="0" distB="0" distL="114300" distR="114300" simplePos="0" relativeHeight="251667456" behindDoc="0" locked="0" layoutInCell="1" allowOverlap="1" wp14:anchorId="1E47C02B" wp14:editId="41A3ED44">
          <wp:simplePos x="0" y="0"/>
          <wp:positionH relativeFrom="page">
            <wp:posOffset>4892040</wp:posOffset>
          </wp:positionH>
          <wp:positionV relativeFrom="page">
            <wp:posOffset>278130</wp:posOffset>
          </wp:positionV>
          <wp:extent cx="2610000" cy="1155600"/>
          <wp:effectExtent l="0" t="0" r="0" b="6985"/>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N_LOGO_RGB_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000" cy="11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360045" distR="0" simplePos="0" relativeHeight="251669504" behindDoc="1" locked="0" layoutInCell="1" allowOverlap="1" wp14:anchorId="529B51E9" wp14:editId="2BA23934">
              <wp:simplePos x="0" y="0"/>
              <wp:positionH relativeFrom="page">
                <wp:posOffset>6349365</wp:posOffset>
              </wp:positionH>
              <wp:positionV relativeFrom="page">
                <wp:posOffset>1229995</wp:posOffset>
              </wp:positionV>
              <wp:extent cx="1054800" cy="7896225"/>
              <wp:effectExtent l="0" t="0" r="0" b="9525"/>
              <wp:wrapTight wrapText="bothSides">
                <wp:wrapPolygon edited="0">
                  <wp:start x="0" y="0"/>
                  <wp:lineTo x="0" y="21574"/>
                  <wp:lineTo x="21067" y="21574"/>
                  <wp:lineTo x="2106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800" cy="7896225"/>
                      </a:xfrm>
                      <a:prstGeom prst="rect">
                        <a:avLst/>
                      </a:prstGeom>
                      <a:solidFill>
                        <a:srgbClr val="FFFFFF"/>
                      </a:solidFill>
                      <a:ln w="9525">
                        <a:noFill/>
                        <a:miter lim="800000"/>
                        <a:headEnd/>
                        <a:tailEnd/>
                      </a:ln>
                    </wps:spPr>
                    <wps:txbx>
                      <w:txbxContent>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520A1B" w:rsidRDefault="00CD5407" w:rsidP="00CD5407">
                          <w:pPr>
                            <w:spacing w:line="216" w:lineRule="auto"/>
                            <w:rPr>
                              <w:rFonts w:cstheme="minorHAnsi"/>
                              <w:b/>
                              <w:sz w:val="20"/>
                              <w:szCs w:val="20"/>
                            </w:rPr>
                          </w:pPr>
                          <w:r w:rsidRPr="00520A1B">
                            <w:rPr>
                              <w:rFonts w:cstheme="minorHAnsi"/>
                              <w:b/>
                              <w:sz w:val="20"/>
                              <w:szCs w:val="20"/>
                            </w:rPr>
                            <w:t>Curtin University</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r w:rsidRPr="00520A1B">
                            <w:rPr>
                              <w:rFonts w:cstheme="minorHAnsi"/>
                              <w:b/>
                              <w:sz w:val="20"/>
                              <w:szCs w:val="20"/>
                            </w:rPr>
                            <w:t>QUT</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r w:rsidRPr="00520A1B">
                            <w:rPr>
                              <w:rFonts w:cstheme="minorHAnsi"/>
                              <w:b/>
                              <w:sz w:val="20"/>
                              <w:szCs w:val="20"/>
                            </w:rPr>
                            <w:t>RMIT University</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r w:rsidRPr="00520A1B">
                            <w:rPr>
                              <w:rFonts w:cstheme="minorHAnsi"/>
                              <w:b/>
                              <w:sz w:val="20"/>
                              <w:szCs w:val="20"/>
                            </w:rPr>
                            <w:t>University of South Australia</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after="0" w:line="240" w:lineRule="auto"/>
                            <w:rPr>
                              <w:rFonts w:cstheme="minorHAnsi"/>
                              <w:b/>
                              <w:sz w:val="20"/>
                              <w:szCs w:val="20"/>
                            </w:rPr>
                          </w:pPr>
                          <w:r w:rsidRPr="00520A1B">
                            <w:rPr>
                              <w:rFonts w:cstheme="minorHAnsi"/>
                              <w:b/>
                              <w:sz w:val="20"/>
                              <w:szCs w:val="20"/>
                            </w:rPr>
                            <w:t>University of Technology</w:t>
                          </w:r>
                        </w:p>
                        <w:p w:rsidR="00CD5407" w:rsidRPr="00520A1B" w:rsidRDefault="00CD5407" w:rsidP="00CD5407">
                          <w:pPr>
                            <w:spacing w:after="0" w:line="240" w:lineRule="auto"/>
                            <w:rPr>
                              <w:rFonts w:cstheme="minorHAnsi"/>
                              <w:b/>
                              <w:sz w:val="20"/>
                              <w:szCs w:val="20"/>
                            </w:rPr>
                          </w:pPr>
                          <w:r w:rsidRPr="00520A1B">
                            <w:rPr>
                              <w:rFonts w:cstheme="minorHAnsi"/>
                              <w:b/>
                              <w:sz w:val="20"/>
                              <w:szCs w:val="20"/>
                            </w:rPr>
                            <w:t>Sydney</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r w:rsidRPr="000C0815">
                            <w:rPr>
                              <w:rFonts w:cstheme="minorHAnsi"/>
                              <w:sz w:val="18"/>
                              <w:szCs w:val="18"/>
                            </w:rPr>
                            <w:t>Chancellery</w:t>
                          </w:r>
                        </w:p>
                        <w:p w:rsidR="00CD5407" w:rsidRPr="000C0815" w:rsidRDefault="00CD5407" w:rsidP="00CD5407">
                          <w:pPr>
                            <w:spacing w:line="216" w:lineRule="auto"/>
                            <w:rPr>
                              <w:rFonts w:cstheme="minorHAnsi"/>
                              <w:sz w:val="18"/>
                              <w:szCs w:val="18"/>
                            </w:rPr>
                          </w:pPr>
                          <w:r w:rsidRPr="000C0815">
                            <w:rPr>
                              <w:rFonts w:cstheme="minorHAnsi"/>
                              <w:sz w:val="18"/>
                              <w:szCs w:val="18"/>
                            </w:rPr>
                            <w:t>GPO Box 2471</w:t>
                          </w:r>
                        </w:p>
                        <w:p w:rsidR="00CD5407" w:rsidRPr="000C0815" w:rsidRDefault="00CD5407" w:rsidP="00CD5407">
                          <w:pPr>
                            <w:spacing w:line="216" w:lineRule="auto"/>
                            <w:rPr>
                              <w:rFonts w:cstheme="minorHAnsi"/>
                              <w:sz w:val="18"/>
                              <w:szCs w:val="18"/>
                            </w:rPr>
                          </w:pPr>
                          <w:r w:rsidRPr="000C0815">
                            <w:rPr>
                              <w:rFonts w:cstheme="minorHAnsi"/>
                              <w:sz w:val="18"/>
                              <w:szCs w:val="18"/>
                            </w:rPr>
                            <w:t>Adelaide</w:t>
                          </w:r>
                        </w:p>
                        <w:p w:rsidR="00CD5407" w:rsidRPr="000C0815" w:rsidRDefault="00CD5407" w:rsidP="00CD5407">
                          <w:pPr>
                            <w:spacing w:line="216" w:lineRule="auto"/>
                            <w:rPr>
                              <w:rFonts w:cstheme="minorHAnsi"/>
                              <w:sz w:val="18"/>
                              <w:szCs w:val="18"/>
                            </w:rPr>
                          </w:pPr>
                          <w:r w:rsidRPr="000C0815">
                            <w:rPr>
                              <w:rFonts w:cstheme="minorHAnsi"/>
                              <w:sz w:val="18"/>
                              <w:szCs w:val="18"/>
                            </w:rPr>
                            <w:t>SA 5001</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r w:rsidRPr="000C0815">
                            <w:rPr>
                              <w:rFonts w:cstheme="minorHAnsi"/>
                              <w:sz w:val="18"/>
                              <w:szCs w:val="18"/>
                            </w:rPr>
                            <w:t>Tel +61 8</w:t>
                          </w:r>
                          <w:r>
                            <w:rPr>
                              <w:rFonts w:cstheme="minorHAnsi"/>
                              <w:sz w:val="18"/>
                              <w:szCs w:val="18"/>
                            </w:rPr>
                            <w:t xml:space="preserve"> </w:t>
                          </w:r>
                          <w:r w:rsidRPr="000C0815">
                            <w:rPr>
                              <w:rFonts w:cstheme="minorHAnsi"/>
                              <w:sz w:val="18"/>
                              <w:szCs w:val="18"/>
                            </w:rPr>
                            <w:t>8302 9135</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r w:rsidRPr="000C0815">
                            <w:rPr>
                              <w:rFonts w:cstheme="minorHAnsi"/>
                              <w:sz w:val="18"/>
                              <w:szCs w:val="18"/>
                            </w:rPr>
                            <w:t>www.atn.edu.au</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9B51E9" id="_x0000_t202" coordsize="21600,21600" o:spt="202" path="m,l,21600r21600,l21600,xe">
              <v:stroke joinstyle="miter"/>
              <v:path gradientshapeok="t" o:connecttype="rect"/>
            </v:shapetype>
            <v:shape id="Text Box 2" o:spid="_x0000_s1026" type="#_x0000_t202" style="position:absolute;margin-left:499.95pt;margin-top:96.85pt;width:83.05pt;height:621.75pt;z-index:-251646976;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" stroked="f">
              <v:textbox inset="0,0,0,0">
                <w:txbxContent>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520A1B" w:rsidRDefault="00CD5407" w:rsidP="00CD5407">
                    <w:pPr>
                      <w:spacing w:line="216" w:lineRule="auto"/>
                      <w:rPr>
                        <w:rFonts w:cstheme="minorHAnsi"/>
                        <w:b/>
                        <w:sz w:val="20"/>
                        <w:szCs w:val="20"/>
                      </w:rPr>
                    </w:pPr>
                    <w:r w:rsidRPr="00520A1B">
                      <w:rPr>
                        <w:rFonts w:cstheme="minorHAnsi"/>
                        <w:b/>
                        <w:sz w:val="20"/>
                        <w:szCs w:val="20"/>
                      </w:rPr>
                      <w:t>Curtin University</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r w:rsidRPr="00520A1B">
                      <w:rPr>
                        <w:rFonts w:cstheme="minorHAnsi"/>
                        <w:b/>
                        <w:sz w:val="20"/>
                        <w:szCs w:val="20"/>
                      </w:rPr>
                      <w:t>QUT</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r w:rsidRPr="00520A1B">
                      <w:rPr>
                        <w:rFonts w:cstheme="minorHAnsi"/>
                        <w:b/>
                        <w:sz w:val="20"/>
                        <w:szCs w:val="20"/>
                      </w:rPr>
                      <w:t>RMIT University</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r w:rsidRPr="00520A1B">
                      <w:rPr>
                        <w:rFonts w:cstheme="minorHAnsi"/>
                        <w:b/>
                        <w:sz w:val="20"/>
                        <w:szCs w:val="20"/>
                      </w:rPr>
                      <w:t>University of South Australia</w:t>
                    </w:r>
                  </w:p>
                  <w:p w:rsidR="00CD5407" w:rsidRPr="00520A1B" w:rsidRDefault="00CD5407" w:rsidP="00CD5407">
                    <w:pPr>
                      <w:spacing w:line="216" w:lineRule="auto"/>
                      <w:rPr>
                        <w:rFonts w:cstheme="minorHAnsi"/>
                        <w:b/>
                        <w:sz w:val="20"/>
                        <w:szCs w:val="20"/>
                      </w:rPr>
                    </w:pPr>
                  </w:p>
                  <w:p w:rsidR="00CD5407" w:rsidRPr="00520A1B" w:rsidRDefault="00CD5407" w:rsidP="00CD5407">
                    <w:pPr>
                      <w:spacing w:line="216" w:lineRule="auto"/>
                      <w:rPr>
                        <w:rFonts w:cstheme="minorHAnsi"/>
                        <w:b/>
                        <w:sz w:val="20"/>
                        <w:szCs w:val="20"/>
                      </w:rPr>
                    </w:pPr>
                  </w:p>
                  <w:p w:rsidR="00CD5407" w:rsidRPr="00520A1B" w:rsidRDefault="00CD5407" w:rsidP="00CD5407">
                    <w:pPr>
                      <w:spacing w:after="0" w:line="240" w:lineRule="auto"/>
                      <w:rPr>
                        <w:rFonts w:cstheme="minorHAnsi"/>
                        <w:b/>
                        <w:sz w:val="20"/>
                        <w:szCs w:val="20"/>
                      </w:rPr>
                    </w:pPr>
                    <w:r w:rsidRPr="00520A1B">
                      <w:rPr>
                        <w:rFonts w:cstheme="minorHAnsi"/>
                        <w:b/>
                        <w:sz w:val="20"/>
                        <w:szCs w:val="20"/>
                      </w:rPr>
                      <w:t>University of Technology</w:t>
                    </w:r>
                  </w:p>
                  <w:p w:rsidR="00CD5407" w:rsidRPr="00520A1B" w:rsidRDefault="00CD5407" w:rsidP="00CD5407">
                    <w:pPr>
                      <w:spacing w:after="0" w:line="240" w:lineRule="auto"/>
                      <w:rPr>
                        <w:rFonts w:cstheme="minorHAnsi"/>
                        <w:b/>
                        <w:sz w:val="20"/>
                        <w:szCs w:val="20"/>
                      </w:rPr>
                    </w:pPr>
                    <w:r w:rsidRPr="00520A1B">
                      <w:rPr>
                        <w:rFonts w:cstheme="minorHAnsi"/>
                        <w:b/>
                        <w:sz w:val="20"/>
                        <w:szCs w:val="20"/>
                      </w:rPr>
                      <w:t>Sydney</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r w:rsidRPr="000C0815">
                      <w:rPr>
                        <w:rFonts w:cstheme="minorHAnsi"/>
                        <w:sz w:val="18"/>
                        <w:szCs w:val="18"/>
                      </w:rPr>
                      <w:t>Chancellery</w:t>
                    </w:r>
                  </w:p>
                  <w:p w:rsidR="00CD5407" w:rsidRPr="000C0815" w:rsidRDefault="00CD5407" w:rsidP="00CD5407">
                    <w:pPr>
                      <w:spacing w:line="216" w:lineRule="auto"/>
                      <w:rPr>
                        <w:rFonts w:cstheme="minorHAnsi"/>
                        <w:sz w:val="18"/>
                        <w:szCs w:val="18"/>
                      </w:rPr>
                    </w:pPr>
                    <w:r w:rsidRPr="000C0815">
                      <w:rPr>
                        <w:rFonts w:cstheme="minorHAnsi"/>
                        <w:sz w:val="18"/>
                        <w:szCs w:val="18"/>
                      </w:rPr>
                      <w:t>GPO Box 2471</w:t>
                    </w:r>
                  </w:p>
                  <w:p w:rsidR="00CD5407" w:rsidRPr="000C0815" w:rsidRDefault="00CD5407" w:rsidP="00CD5407">
                    <w:pPr>
                      <w:spacing w:line="216" w:lineRule="auto"/>
                      <w:rPr>
                        <w:rFonts w:cstheme="minorHAnsi"/>
                        <w:sz w:val="18"/>
                        <w:szCs w:val="18"/>
                      </w:rPr>
                    </w:pPr>
                    <w:r w:rsidRPr="000C0815">
                      <w:rPr>
                        <w:rFonts w:cstheme="minorHAnsi"/>
                        <w:sz w:val="18"/>
                        <w:szCs w:val="18"/>
                      </w:rPr>
                      <w:t>Adelaide</w:t>
                    </w:r>
                  </w:p>
                  <w:p w:rsidR="00CD5407" w:rsidRPr="000C0815" w:rsidRDefault="00CD5407" w:rsidP="00CD5407">
                    <w:pPr>
                      <w:spacing w:line="216" w:lineRule="auto"/>
                      <w:rPr>
                        <w:rFonts w:cstheme="minorHAnsi"/>
                        <w:sz w:val="18"/>
                        <w:szCs w:val="18"/>
                      </w:rPr>
                    </w:pPr>
                    <w:r w:rsidRPr="000C0815">
                      <w:rPr>
                        <w:rFonts w:cstheme="minorHAnsi"/>
                        <w:sz w:val="18"/>
                        <w:szCs w:val="18"/>
                      </w:rPr>
                      <w:t>SA 5001</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r w:rsidRPr="000C0815">
                      <w:rPr>
                        <w:rFonts w:cstheme="minorHAnsi"/>
                        <w:sz w:val="18"/>
                        <w:szCs w:val="18"/>
                      </w:rPr>
                      <w:t>Tel +61 8</w:t>
                    </w:r>
                    <w:r>
                      <w:rPr>
                        <w:rFonts w:cstheme="minorHAnsi"/>
                        <w:sz w:val="18"/>
                        <w:szCs w:val="18"/>
                      </w:rPr>
                      <w:t xml:space="preserve"> </w:t>
                    </w:r>
                    <w:r w:rsidRPr="000C0815">
                      <w:rPr>
                        <w:rFonts w:cstheme="minorHAnsi"/>
                        <w:sz w:val="18"/>
                        <w:szCs w:val="18"/>
                      </w:rPr>
                      <w:t>8302 9135</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r w:rsidRPr="000C0815">
                      <w:rPr>
                        <w:rFonts w:cstheme="minorHAnsi"/>
                        <w:sz w:val="18"/>
                        <w:szCs w:val="18"/>
                      </w:rPr>
                      <w:t>www.atn.edu.au</w:t>
                    </w: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p w:rsidR="00CD5407" w:rsidRPr="000C0815" w:rsidRDefault="00CD5407" w:rsidP="00CD5407">
                    <w:pPr>
                      <w:spacing w:line="216" w:lineRule="auto"/>
                      <w:rPr>
                        <w:rFonts w:cstheme="minorHAnsi"/>
                        <w:sz w:val="18"/>
                        <w:szCs w:val="18"/>
                      </w:rPr>
                    </w:pPr>
                  </w:p>
                </w:txbxContent>
              </v:textbox>
              <w10:wrap type="tight" anchorx="page" anchory="page"/>
            </v:shape>
          </w:pict>
        </mc:Fallback>
      </mc:AlternateContent>
    </w:r>
    <w:r>
      <w:rPr>
        <w:noProof/>
        <w:lang w:eastAsia="en-AU"/>
      </w:rPr>
      <w:drawing>
        <wp:anchor distT="0" distB="0" distL="114300" distR="114300" simplePos="0" relativeHeight="251664384" behindDoc="0" locked="0" layoutInCell="1" allowOverlap="1" wp14:anchorId="368F7715" wp14:editId="38D83693">
          <wp:simplePos x="0" y="0"/>
          <wp:positionH relativeFrom="page">
            <wp:posOffset>8324850</wp:posOffset>
          </wp:positionH>
          <wp:positionV relativeFrom="page">
            <wp:posOffset>152400</wp:posOffset>
          </wp:positionV>
          <wp:extent cx="1980142" cy="87672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N_LOGO_RGB_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515" cy="882646"/>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Pr="00CD5407">
      <w:rPr>
        <w:noProof/>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8B" w:rsidRDefault="000C4D8B">
    <w:pPr>
      <w:pStyle w:val="Header"/>
      <w:tabs>
        <w:tab w:val="clear" w:pos="4320"/>
        <w:tab w:val="clear" w:pos="8640"/>
      </w:tabs>
    </w:pPr>
    <w:r>
      <w:rPr>
        <w:noProof/>
        <w:lang w:eastAsia="en-AU"/>
      </w:rPr>
      <w:drawing>
        <wp:anchor distT="0" distB="0" distL="114300" distR="114300" simplePos="0" relativeHeight="251655168" behindDoc="0" locked="0" layoutInCell="1" allowOverlap="1" wp14:anchorId="5001BE5D" wp14:editId="6DF0DAC9">
          <wp:simplePos x="0" y="0"/>
          <wp:positionH relativeFrom="page">
            <wp:posOffset>8324850</wp:posOffset>
          </wp:positionH>
          <wp:positionV relativeFrom="page">
            <wp:posOffset>152400</wp:posOffset>
          </wp:positionV>
          <wp:extent cx="1980142" cy="876725"/>
          <wp:effectExtent l="0" t="0" r="127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N_LOGO_RGB_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515" cy="8826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8B" w:rsidRPr="00D76DDC" w:rsidRDefault="000C4D8B">
    <w:pPr>
      <w:pStyle w:val="Header"/>
      <w:tabs>
        <w:tab w:val="clear" w:pos="4320"/>
        <w:tab w:val="clear" w:pos="8640"/>
      </w:tabs>
      <w:rPr>
        <w:b/>
      </w:rPr>
    </w:pPr>
    <w:r>
      <w:rPr>
        <w:noProof/>
        <w:lang w:eastAsia="en-AU"/>
      </w:rPr>
      <w:drawing>
        <wp:anchor distT="0" distB="0" distL="114300" distR="114300" simplePos="0" relativeHeight="251656192" behindDoc="0" locked="0" layoutInCell="1" allowOverlap="1" wp14:anchorId="17497DFC" wp14:editId="7972D814">
          <wp:simplePos x="0" y="0"/>
          <wp:positionH relativeFrom="page">
            <wp:posOffset>8324850</wp:posOffset>
          </wp:positionH>
          <wp:positionV relativeFrom="page">
            <wp:posOffset>152400</wp:posOffset>
          </wp:positionV>
          <wp:extent cx="1980142" cy="876725"/>
          <wp:effectExtent l="0" t="0" r="127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N_LOGO_RGB_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515" cy="88264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98" w:rsidRDefault="00656F98">
    <w:pPr>
      <w:pStyle w:val="Header"/>
      <w:tabs>
        <w:tab w:val="clear" w:pos="4320"/>
        <w:tab w:val="clear" w:pos="8640"/>
      </w:tabs>
    </w:pPr>
    <w:r>
      <w:rPr>
        <w:noProof/>
        <w:lang w:eastAsia="en-AU"/>
      </w:rPr>
      <w:drawing>
        <wp:anchor distT="0" distB="0" distL="114300" distR="114300" simplePos="0" relativeHeight="251654144" behindDoc="0" locked="0" layoutInCell="1" allowOverlap="1" wp14:anchorId="22986715" wp14:editId="4BB76213">
          <wp:simplePos x="0" y="0"/>
          <wp:positionH relativeFrom="page">
            <wp:posOffset>4680585</wp:posOffset>
          </wp:positionH>
          <wp:positionV relativeFrom="page">
            <wp:posOffset>269875</wp:posOffset>
          </wp:positionV>
          <wp:extent cx="2610000" cy="1155600"/>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N_LOGO_RGB_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000" cy="11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3AF"/>
    <w:multiLevelType w:val="hybridMultilevel"/>
    <w:tmpl w:val="CB983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3E33D3"/>
    <w:multiLevelType w:val="hybridMultilevel"/>
    <w:tmpl w:val="8B0CE2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24484C"/>
    <w:multiLevelType w:val="hybridMultilevel"/>
    <w:tmpl w:val="8118FB8E"/>
    <w:lvl w:ilvl="0" w:tplc="15CC9F70">
      <w:start w:val="2"/>
      <w:numFmt w:val="decimal"/>
      <w:lvlText w:val="%1"/>
      <w:lvlJc w:val="left"/>
      <w:pPr>
        <w:tabs>
          <w:tab w:val="num" w:pos="560"/>
        </w:tabs>
        <w:ind w:left="560" w:hanging="360"/>
      </w:pPr>
      <w:rPr>
        <w:rFonts w:hint="default"/>
      </w:rPr>
    </w:lvl>
    <w:lvl w:ilvl="1" w:tplc="2A4AD260" w:tentative="1">
      <w:start w:val="1"/>
      <w:numFmt w:val="lowerLetter"/>
      <w:lvlText w:val="%2."/>
      <w:lvlJc w:val="left"/>
      <w:pPr>
        <w:tabs>
          <w:tab w:val="num" w:pos="1280"/>
        </w:tabs>
        <w:ind w:left="1280" w:hanging="360"/>
      </w:pPr>
    </w:lvl>
    <w:lvl w:ilvl="2" w:tplc="5A889548" w:tentative="1">
      <w:start w:val="1"/>
      <w:numFmt w:val="lowerRoman"/>
      <w:lvlText w:val="%3."/>
      <w:lvlJc w:val="right"/>
      <w:pPr>
        <w:tabs>
          <w:tab w:val="num" w:pos="2000"/>
        </w:tabs>
        <w:ind w:left="2000" w:hanging="180"/>
      </w:pPr>
    </w:lvl>
    <w:lvl w:ilvl="3" w:tplc="77B6DCC2" w:tentative="1">
      <w:start w:val="1"/>
      <w:numFmt w:val="decimal"/>
      <w:lvlText w:val="%4."/>
      <w:lvlJc w:val="left"/>
      <w:pPr>
        <w:tabs>
          <w:tab w:val="num" w:pos="2720"/>
        </w:tabs>
        <w:ind w:left="2720" w:hanging="360"/>
      </w:pPr>
    </w:lvl>
    <w:lvl w:ilvl="4" w:tplc="BD109BFC" w:tentative="1">
      <w:start w:val="1"/>
      <w:numFmt w:val="lowerLetter"/>
      <w:lvlText w:val="%5."/>
      <w:lvlJc w:val="left"/>
      <w:pPr>
        <w:tabs>
          <w:tab w:val="num" w:pos="3440"/>
        </w:tabs>
        <w:ind w:left="3440" w:hanging="360"/>
      </w:pPr>
    </w:lvl>
    <w:lvl w:ilvl="5" w:tplc="A038016A" w:tentative="1">
      <w:start w:val="1"/>
      <w:numFmt w:val="lowerRoman"/>
      <w:lvlText w:val="%6."/>
      <w:lvlJc w:val="right"/>
      <w:pPr>
        <w:tabs>
          <w:tab w:val="num" w:pos="4160"/>
        </w:tabs>
        <w:ind w:left="4160" w:hanging="180"/>
      </w:pPr>
    </w:lvl>
    <w:lvl w:ilvl="6" w:tplc="98E2A2BA" w:tentative="1">
      <w:start w:val="1"/>
      <w:numFmt w:val="decimal"/>
      <w:lvlText w:val="%7."/>
      <w:lvlJc w:val="left"/>
      <w:pPr>
        <w:tabs>
          <w:tab w:val="num" w:pos="4880"/>
        </w:tabs>
        <w:ind w:left="4880" w:hanging="360"/>
      </w:pPr>
    </w:lvl>
    <w:lvl w:ilvl="7" w:tplc="2344721A" w:tentative="1">
      <w:start w:val="1"/>
      <w:numFmt w:val="lowerLetter"/>
      <w:lvlText w:val="%8."/>
      <w:lvlJc w:val="left"/>
      <w:pPr>
        <w:tabs>
          <w:tab w:val="num" w:pos="5600"/>
        </w:tabs>
        <w:ind w:left="5600" w:hanging="360"/>
      </w:pPr>
    </w:lvl>
    <w:lvl w:ilvl="8" w:tplc="BE94B3EC" w:tentative="1">
      <w:start w:val="1"/>
      <w:numFmt w:val="lowerRoman"/>
      <w:lvlText w:val="%9."/>
      <w:lvlJc w:val="right"/>
      <w:pPr>
        <w:tabs>
          <w:tab w:val="num" w:pos="6320"/>
        </w:tabs>
        <w:ind w:left="6320" w:hanging="180"/>
      </w:pPr>
    </w:lvl>
  </w:abstractNum>
  <w:abstractNum w:abstractNumId="3">
    <w:nsid w:val="4B831388"/>
    <w:multiLevelType w:val="hybridMultilevel"/>
    <w:tmpl w:val="0CB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4D5029"/>
    <w:multiLevelType w:val="hybridMultilevel"/>
    <w:tmpl w:val="DF4AAA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634350FB"/>
    <w:multiLevelType w:val="hybridMultilevel"/>
    <w:tmpl w:val="55087BC6"/>
    <w:lvl w:ilvl="0" w:tplc="F8382B60">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70605BA"/>
    <w:multiLevelType w:val="hybridMultilevel"/>
    <w:tmpl w:val="295AB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9A63614"/>
    <w:multiLevelType w:val="multilevel"/>
    <w:tmpl w:val="CB389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1"/>
  </w:num>
  <w:num w:numId="5">
    <w:abstractNumId w:val="4"/>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EA"/>
    <w:rsid w:val="00005818"/>
    <w:rsid w:val="00014146"/>
    <w:rsid w:val="000176C1"/>
    <w:rsid w:val="000338CC"/>
    <w:rsid w:val="00046364"/>
    <w:rsid w:val="00054CF8"/>
    <w:rsid w:val="000575B5"/>
    <w:rsid w:val="000667E3"/>
    <w:rsid w:val="000769BF"/>
    <w:rsid w:val="00081FBB"/>
    <w:rsid w:val="000A0C90"/>
    <w:rsid w:val="000A1385"/>
    <w:rsid w:val="000C0815"/>
    <w:rsid w:val="000C4D8B"/>
    <w:rsid w:val="000C64BF"/>
    <w:rsid w:val="000E72B6"/>
    <w:rsid w:val="0011082F"/>
    <w:rsid w:val="001157A8"/>
    <w:rsid w:val="0012668C"/>
    <w:rsid w:val="00133A97"/>
    <w:rsid w:val="001703C3"/>
    <w:rsid w:val="001A26B9"/>
    <w:rsid w:val="001A75AC"/>
    <w:rsid w:val="001D546D"/>
    <w:rsid w:val="001E1423"/>
    <w:rsid w:val="002016F9"/>
    <w:rsid w:val="00211B09"/>
    <w:rsid w:val="002516F0"/>
    <w:rsid w:val="00252BCE"/>
    <w:rsid w:val="00255609"/>
    <w:rsid w:val="002634FB"/>
    <w:rsid w:val="002656C4"/>
    <w:rsid w:val="002736B8"/>
    <w:rsid w:val="002741FD"/>
    <w:rsid w:val="0029406F"/>
    <w:rsid w:val="002C5C18"/>
    <w:rsid w:val="002D527F"/>
    <w:rsid w:val="00314739"/>
    <w:rsid w:val="003666FA"/>
    <w:rsid w:val="00381ABA"/>
    <w:rsid w:val="00384CF5"/>
    <w:rsid w:val="00384DAA"/>
    <w:rsid w:val="00386400"/>
    <w:rsid w:val="003E3DA7"/>
    <w:rsid w:val="003E7DAB"/>
    <w:rsid w:val="004042D8"/>
    <w:rsid w:val="00432878"/>
    <w:rsid w:val="004669BE"/>
    <w:rsid w:val="00496F01"/>
    <w:rsid w:val="004A1474"/>
    <w:rsid w:val="004B534C"/>
    <w:rsid w:val="004C5E30"/>
    <w:rsid w:val="004F093A"/>
    <w:rsid w:val="004F2C43"/>
    <w:rsid w:val="00520A1B"/>
    <w:rsid w:val="0054017A"/>
    <w:rsid w:val="005529D3"/>
    <w:rsid w:val="005701BC"/>
    <w:rsid w:val="00574FE8"/>
    <w:rsid w:val="005A0999"/>
    <w:rsid w:val="005A266B"/>
    <w:rsid w:val="005A341E"/>
    <w:rsid w:val="005B3487"/>
    <w:rsid w:val="005C5797"/>
    <w:rsid w:val="005D347B"/>
    <w:rsid w:val="005D514A"/>
    <w:rsid w:val="005E09C1"/>
    <w:rsid w:val="005E6A8B"/>
    <w:rsid w:val="005F7E68"/>
    <w:rsid w:val="00616B2F"/>
    <w:rsid w:val="00656F98"/>
    <w:rsid w:val="0066416A"/>
    <w:rsid w:val="00695083"/>
    <w:rsid w:val="006A4B02"/>
    <w:rsid w:val="006A6D18"/>
    <w:rsid w:val="006A7A59"/>
    <w:rsid w:val="006B0841"/>
    <w:rsid w:val="006B6354"/>
    <w:rsid w:val="006B76DF"/>
    <w:rsid w:val="006C21E2"/>
    <w:rsid w:val="006D64A4"/>
    <w:rsid w:val="006E07B4"/>
    <w:rsid w:val="006F417E"/>
    <w:rsid w:val="006F4DD7"/>
    <w:rsid w:val="007002FA"/>
    <w:rsid w:val="007565C4"/>
    <w:rsid w:val="007A5538"/>
    <w:rsid w:val="007E4C86"/>
    <w:rsid w:val="007E5B37"/>
    <w:rsid w:val="007E79D5"/>
    <w:rsid w:val="007F567D"/>
    <w:rsid w:val="007F69DB"/>
    <w:rsid w:val="007F6BB5"/>
    <w:rsid w:val="008008CF"/>
    <w:rsid w:val="00822B02"/>
    <w:rsid w:val="008232A2"/>
    <w:rsid w:val="00826588"/>
    <w:rsid w:val="00833912"/>
    <w:rsid w:val="00867F7B"/>
    <w:rsid w:val="00887107"/>
    <w:rsid w:val="0089019A"/>
    <w:rsid w:val="00896806"/>
    <w:rsid w:val="008B502B"/>
    <w:rsid w:val="008C00F5"/>
    <w:rsid w:val="008D2F22"/>
    <w:rsid w:val="008E1403"/>
    <w:rsid w:val="008E7E22"/>
    <w:rsid w:val="009030F8"/>
    <w:rsid w:val="009224D5"/>
    <w:rsid w:val="009440BF"/>
    <w:rsid w:val="009568AF"/>
    <w:rsid w:val="0096089A"/>
    <w:rsid w:val="00980594"/>
    <w:rsid w:val="0098135F"/>
    <w:rsid w:val="00985348"/>
    <w:rsid w:val="0098626D"/>
    <w:rsid w:val="00994C5D"/>
    <w:rsid w:val="009A7105"/>
    <w:rsid w:val="009E08C5"/>
    <w:rsid w:val="00A12C6F"/>
    <w:rsid w:val="00A35450"/>
    <w:rsid w:val="00A53BB3"/>
    <w:rsid w:val="00A57B33"/>
    <w:rsid w:val="00A83A49"/>
    <w:rsid w:val="00B14CA3"/>
    <w:rsid w:val="00B43C58"/>
    <w:rsid w:val="00B45FAB"/>
    <w:rsid w:val="00B61763"/>
    <w:rsid w:val="00B9219A"/>
    <w:rsid w:val="00BA6314"/>
    <w:rsid w:val="00BF55ED"/>
    <w:rsid w:val="00C2725C"/>
    <w:rsid w:val="00C37458"/>
    <w:rsid w:val="00C459E3"/>
    <w:rsid w:val="00C471DC"/>
    <w:rsid w:val="00C556A9"/>
    <w:rsid w:val="00C64319"/>
    <w:rsid w:val="00C65070"/>
    <w:rsid w:val="00C67CBE"/>
    <w:rsid w:val="00C95CEA"/>
    <w:rsid w:val="00CA3419"/>
    <w:rsid w:val="00CB1FF0"/>
    <w:rsid w:val="00CB45C4"/>
    <w:rsid w:val="00CD21E4"/>
    <w:rsid w:val="00CD5407"/>
    <w:rsid w:val="00CD6CCF"/>
    <w:rsid w:val="00CE7BB7"/>
    <w:rsid w:val="00D04FD2"/>
    <w:rsid w:val="00D05D30"/>
    <w:rsid w:val="00D3559B"/>
    <w:rsid w:val="00D35673"/>
    <w:rsid w:val="00D42CE6"/>
    <w:rsid w:val="00D51614"/>
    <w:rsid w:val="00D601DF"/>
    <w:rsid w:val="00D63BF0"/>
    <w:rsid w:val="00D66C0F"/>
    <w:rsid w:val="00D76DDC"/>
    <w:rsid w:val="00DB424C"/>
    <w:rsid w:val="00DD451B"/>
    <w:rsid w:val="00DE223A"/>
    <w:rsid w:val="00E35DB6"/>
    <w:rsid w:val="00E43299"/>
    <w:rsid w:val="00E43EF0"/>
    <w:rsid w:val="00E54D4A"/>
    <w:rsid w:val="00E57C3D"/>
    <w:rsid w:val="00E74B58"/>
    <w:rsid w:val="00EC6F16"/>
    <w:rsid w:val="00ED092A"/>
    <w:rsid w:val="00ED232F"/>
    <w:rsid w:val="00EE63AD"/>
    <w:rsid w:val="00F12E56"/>
    <w:rsid w:val="00F30A26"/>
    <w:rsid w:val="00F37ACC"/>
    <w:rsid w:val="00F61941"/>
    <w:rsid w:val="00F7124B"/>
    <w:rsid w:val="00F80512"/>
    <w:rsid w:val="00F878CE"/>
    <w:rsid w:val="00FA09CF"/>
    <w:rsid w:val="00FC5464"/>
    <w:rsid w:val="00FD6DD6"/>
    <w:rsid w:val="00FF3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CE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52BCE"/>
    <w:pPr>
      <w:keepNext/>
      <w:keepLines/>
      <w:outlineLvl w:val="0"/>
    </w:pPr>
    <w:rPr>
      <w:rFonts w:eastAsiaTheme="majorEastAsia" w:cstheme="majorBidi"/>
      <w:b/>
      <w:szCs w:val="32"/>
    </w:rPr>
  </w:style>
  <w:style w:type="paragraph" w:styleId="Heading2">
    <w:name w:val="heading 2"/>
    <w:basedOn w:val="Normal"/>
    <w:next w:val="Normal"/>
    <w:link w:val="Heading2Char"/>
    <w:qFormat/>
    <w:rsid w:val="00252BCE"/>
    <w:pPr>
      <w:keepNext/>
      <w:outlineLvl w:val="1"/>
    </w:pPr>
    <w:rPr>
      <w:rFonts w:cs="Arial"/>
      <w:bCs/>
      <w:iCs/>
      <w:szCs w:val="28"/>
      <w:u w:val="single"/>
      <w:lang w:val="en-US"/>
    </w:rPr>
  </w:style>
  <w:style w:type="paragraph" w:styleId="Heading4">
    <w:name w:val="heading 4"/>
    <w:basedOn w:val="Normal"/>
    <w:next w:val="Normal"/>
    <w:link w:val="Heading4Char"/>
    <w:semiHidden/>
    <w:unhideWhenUsed/>
    <w:qFormat/>
    <w:rsid w:val="005F7E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141"/>
    </w:pPr>
    <w:rPr>
      <w:rFonts w:ascii="Lucida Grande" w:hAnsi="Lucida Grande"/>
      <w:color w:val="000000"/>
    </w:rPr>
  </w:style>
  <w:style w:type="paragraph" w:styleId="BodyText2">
    <w:name w:val="Body Text 2"/>
    <w:basedOn w:val="Normal"/>
    <w:rPr>
      <w:rFonts w:ascii="Lucida Grande" w:hAnsi="Lucida Grande"/>
      <w:color w:val="000000"/>
    </w:rPr>
  </w:style>
  <w:style w:type="character" w:styleId="Hyperlink">
    <w:name w:val="Hyperlink"/>
    <w:unhideWhenUsed/>
    <w:rsid w:val="00DB424C"/>
    <w:rPr>
      <w:color w:val="0000FF"/>
      <w:u w:val="single"/>
    </w:rPr>
  </w:style>
  <w:style w:type="paragraph" w:styleId="NoSpacing">
    <w:name w:val="No Spacing"/>
    <w:uiPriority w:val="1"/>
    <w:qFormat/>
    <w:rsid w:val="00A35450"/>
    <w:rPr>
      <w:rFonts w:ascii="Calibri" w:eastAsia="Calibri" w:hAnsi="Calibri"/>
      <w:sz w:val="22"/>
      <w:szCs w:val="22"/>
      <w:lang w:eastAsia="en-US"/>
    </w:rPr>
  </w:style>
  <w:style w:type="paragraph" w:customStyle="1" w:styleId="Default">
    <w:name w:val="Default"/>
    <w:rsid w:val="008C00F5"/>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rsid w:val="00E432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52BCE"/>
    <w:rPr>
      <w:rFonts w:ascii="Calibri" w:eastAsia="Times New Roman" w:hAnsi="Calibri" w:cs="Arial"/>
      <w:bCs/>
      <w:iCs/>
      <w:sz w:val="22"/>
      <w:szCs w:val="28"/>
      <w:u w:val="single"/>
      <w:lang w:val="en-US" w:eastAsia="en-US"/>
    </w:rPr>
  </w:style>
  <w:style w:type="paragraph" w:customStyle="1" w:styleId="Body">
    <w:name w:val="Body"/>
    <w:basedOn w:val="Normal"/>
    <w:rsid w:val="0098626D"/>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AddressHeading">
    <w:name w:val="Address Heading"/>
    <w:basedOn w:val="Normal"/>
    <w:rsid w:val="0098626D"/>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98626D"/>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98626D"/>
    <w:pPr>
      <w:framePr w:hSpace="180" w:wrap="around" w:vAnchor="text" w:hAnchor="margin" w:xAlign="right" w:y="4467"/>
      <w:ind w:right="-57"/>
    </w:pPr>
    <w:rPr>
      <w:rFonts w:ascii="Arial" w:hAnsi="Arial"/>
      <w:color w:val="000000"/>
      <w:sz w:val="14"/>
    </w:rPr>
  </w:style>
  <w:style w:type="character" w:styleId="PageNumber">
    <w:name w:val="page number"/>
    <w:basedOn w:val="DefaultParagraphFont"/>
    <w:rsid w:val="0098626D"/>
  </w:style>
  <w:style w:type="paragraph" w:styleId="Title">
    <w:name w:val="Title"/>
    <w:basedOn w:val="Normal"/>
    <w:link w:val="TitleChar"/>
    <w:qFormat/>
    <w:rsid w:val="0098626D"/>
    <w:pPr>
      <w:jc w:val="center"/>
    </w:pPr>
    <w:rPr>
      <w:rFonts w:ascii="Times New Roman" w:hAnsi="Times New Roman"/>
      <w:b/>
      <w:szCs w:val="20"/>
    </w:rPr>
  </w:style>
  <w:style w:type="character" w:customStyle="1" w:styleId="TitleChar">
    <w:name w:val="Title Char"/>
    <w:link w:val="Title"/>
    <w:rsid w:val="0098626D"/>
    <w:rPr>
      <w:rFonts w:ascii="Times New Roman" w:eastAsia="Times New Roman" w:hAnsi="Times New Roman"/>
      <w:b/>
      <w:sz w:val="22"/>
      <w:lang w:eastAsia="en-US"/>
    </w:rPr>
  </w:style>
  <w:style w:type="character" w:customStyle="1" w:styleId="FooterChar">
    <w:name w:val="Footer Char"/>
    <w:link w:val="Footer"/>
    <w:uiPriority w:val="99"/>
    <w:rsid w:val="006A7A59"/>
    <w:rPr>
      <w:rFonts w:ascii="Calibri" w:eastAsia="Times New Roman" w:hAnsi="Calibri"/>
      <w:sz w:val="22"/>
      <w:szCs w:val="24"/>
      <w:lang w:eastAsia="en-US"/>
    </w:rPr>
  </w:style>
  <w:style w:type="paragraph" w:styleId="ListParagraph">
    <w:name w:val="List Paragraph"/>
    <w:basedOn w:val="Normal"/>
    <w:uiPriority w:val="34"/>
    <w:qFormat/>
    <w:rsid w:val="002516F0"/>
    <w:pPr>
      <w:ind w:left="720"/>
    </w:pPr>
    <w:rPr>
      <w:rFonts w:eastAsia="Calibri"/>
      <w:lang w:eastAsia="en-AU"/>
    </w:rPr>
  </w:style>
  <w:style w:type="paragraph" w:styleId="BalloonText">
    <w:name w:val="Balloon Text"/>
    <w:basedOn w:val="Normal"/>
    <w:link w:val="BalloonTextChar"/>
    <w:rsid w:val="000C0815"/>
    <w:rPr>
      <w:rFonts w:ascii="Segoe UI" w:hAnsi="Segoe UI" w:cs="Segoe UI"/>
      <w:sz w:val="18"/>
      <w:szCs w:val="18"/>
    </w:rPr>
  </w:style>
  <w:style w:type="character" w:customStyle="1" w:styleId="BalloonTextChar">
    <w:name w:val="Balloon Text Char"/>
    <w:basedOn w:val="DefaultParagraphFont"/>
    <w:link w:val="BalloonText"/>
    <w:rsid w:val="000C0815"/>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252BCE"/>
    <w:rPr>
      <w:rFonts w:ascii="Calibri" w:eastAsiaTheme="majorEastAsia" w:hAnsi="Calibri" w:cstheme="majorBidi"/>
      <w:b/>
      <w:sz w:val="22"/>
      <w:szCs w:val="32"/>
      <w:lang w:eastAsia="en-US"/>
    </w:rPr>
  </w:style>
  <w:style w:type="paragraph" w:styleId="FootnoteText">
    <w:name w:val="footnote text"/>
    <w:basedOn w:val="Normal"/>
    <w:link w:val="FootnoteTextChar"/>
    <w:uiPriority w:val="99"/>
    <w:unhideWhenUsed/>
    <w:rsid w:val="00C95CEA"/>
    <w:pPr>
      <w:spacing w:after="0" w:line="240" w:lineRule="auto"/>
    </w:pPr>
    <w:rPr>
      <w:sz w:val="20"/>
      <w:szCs w:val="20"/>
    </w:rPr>
  </w:style>
  <w:style w:type="character" w:customStyle="1" w:styleId="FootnoteTextChar">
    <w:name w:val="Footnote Text Char"/>
    <w:basedOn w:val="DefaultParagraphFont"/>
    <w:link w:val="FootnoteText"/>
    <w:uiPriority w:val="99"/>
    <w:rsid w:val="00C95CE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95CEA"/>
    <w:rPr>
      <w:vertAlign w:val="superscript"/>
    </w:rPr>
  </w:style>
  <w:style w:type="paragraph" w:styleId="EndnoteText">
    <w:name w:val="endnote text"/>
    <w:basedOn w:val="Normal"/>
    <w:link w:val="EndnoteTextChar"/>
    <w:uiPriority w:val="99"/>
    <w:unhideWhenUsed/>
    <w:rsid w:val="00C95CEA"/>
    <w:pPr>
      <w:spacing w:after="0" w:line="240" w:lineRule="auto"/>
    </w:pPr>
    <w:rPr>
      <w:sz w:val="20"/>
      <w:szCs w:val="20"/>
    </w:rPr>
  </w:style>
  <w:style w:type="character" w:customStyle="1" w:styleId="EndnoteTextChar">
    <w:name w:val="Endnote Text Char"/>
    <w:basedOn w:val="DefaultParagraphFont"/>
    <w:link w:val="EndnoteText"/>
    <w:uiPriority w:val="99"/>
    <w:rsid w:val="00C95CEA"/>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95CEA"/>
    <w:rPr>
      <w:vertAlign w:val="superscript"/>
    </w:rPr>
  </w:style>
  <w:style w:type="paragraph" w:styleId="NormalWeb">
    <w:name w:val="Normal (Web)"/>
    <w:basedOn w:val="Normal"/>
    <w:uiPriority w:val="99"/>
    <w:rsid w:val="00C95C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994C5D"/>
    <w:rPr>
      <w:color w:val="954F72" w:themeColor="followedHyperlink"/>
      <w:u w:val="single"/>
    </w:rPr>
  </w:style>
  <w:style w:type="character" w:customStyle="1" w:styleId="Heading4Char">
    <w:name w:val="Heading 4 Char"/>
    <w:basedOn w:val="DefaultParagraphFont"/>
    <w:link w:val="Heading4"/>
    <w:semiHidden/>
    <w:rsid w:val="005F7E68"/>
    <w:rPr>
      <w:rFonts w:asciiTheme="majorHAnsi" w:eastAsiaTheme="majorEastAsia" w:hAnsiTheme="majorHAnsi" w:cstheme="majorBidi"/>
      <w:i/>
      <w:iCs/>
      <w:color w:val="2E74B5" w:themeColor="accent1" w:themeShade="BF"/>
      <w:sz w:val="22"/>
      <w:szCs w:val="22"/>
      <w:lang w:eastAsia="en-US"/>
    </w:rPr>
  </w:style>
  <w:style w:type="paragraph" w:customStyle="1" w:styleId="Bulletform">
    <w:name w:val="Bullet form"/>
    <w:basedOn w:val="Normal"/>
    <w:rsid w:val="00FF376C"/>
    <w:pPr>
      <w:numPr>
        <w:numId w:val="9"/>
      </w:numPr>
      <w:spacing w:before="120" w:after="0" w:line="240" w:lineRule="auto"/>
      <w:ind w:left="714" w:hanging="357"/>
      <w:jc w:val="both"/>
    </w:pPr>
    <w:rPr>
      <w:rFonts w:ascii="GoudyOlSt BT" w:eastAsia="Times New Roman" w:hAnsi="GoudyOlSt BT" w:cs="Times New Roman"/>
      <w:sz w:val="24"/>
      <w:szCs w:val="20"/>
      <w:lang w:eastAsia="en-AU"/>
    </w:rPr>
  </w:style>
  <w:style w:type="character" w:customStyle="1" w:styleId="HeaderChar">
    <w:name w:val="Header Char"/>
    <w:basedOn w:val="DefaultParagraphFont"/>
    <w:link w:val="Header"/>
    <w:rsid w:val="00CD540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CE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52BCE"/>
    <w:pPr>
      <w:keepNext/>
      <w:keepLines/>
      <w:outlineLvl w:val="0"/>
    </w:pPr>
    <w:rPr>
      <w:rFonts w:eastAsiaTheme="majorEastAsia" w:cstheme="majorBidi"/>
      <w:b/>
      <w:szCs w:val="32"/>
    </w:rPr>
  </w:style>
  <w:style w:type="paragraph" w:styleId="Heading2">
    <w:name w:val="heading 2"/>
    <w:basedOn w:val="Normal"/>
    <w:next w:val="Normal"/>
    <w:link w:val="Heading2Char"/>
    <w:qFormat/>
    <w:rsid w:val="00252BCE"/>
    <w:pPr>
      <w:keepNext/>
      <w:outlineLvl w:val="1"/>
    </w:pPr>
    <w:rPr>
      <w:rFonts w:cs="Arial"/>
      <w:bCs/>
      <w:iCs/>
      <w:szCs w:val="28"/>
      <w:u w:val="single"/>
      <w:lang w:val="en-US"/>
    </w:rPr>
  </w:style>
  <w:style w:type="paragraph" w:styleId="Heading4">
    <w:name w:val="heading 4"/>
    <w:basedOn w:val="Normal"/>
    <w:next w:val="Normal"/>
    <w:link w:val="Heading4Char"/>
    <w:semiHidden/>
    <w:unhideWhenUsed/>
    <w:qFormat/>
    <w:rsid w:val="005F7E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141"/>
    </w:pPr>
    <w:rPr>
      <w:rFonts w:ascii="Lucida Grande" w:hAnsi="Lucida Grande"/>
      <w:color w:val="000000"/>
    </w:rPr>
  </w:style>
  <w:style w:type="paragraph" w:styleId="BodyText2">
    <w:name w:val="Body Text 2"/>
    <w:basedOn w:val="Normal"/>
    <w:rPr>
      <w:rFonts w:ascii="Lucida Grande" w:hAnsi="Lucida Grande"/>
      <w:color w:val="000000"/>
    </w:rPr>
  </w:style>
  <w:style w:type="character" w:styleId="Hyperlink">
    <w:name w:val="Hyperlink"/>
    <w:unhideWhenUsed/>
    <w:rsid w:val="00DB424C"/>
    <w:rPr>
      <w:color w:val="0000FF"/>
      <w:u w:val="single"/>
    </w:rPr>
  </w:style>
  <w:style w:type="paragraph" w:styleId="NoSpacing">
    <w:name w:val="No Spacing"/>
    <w:uiPriority w:val="1"/>
    <w:qFormat/>
    <w:rsid w:val="00A35450"/>
    <w:rPr>
      <w:rFonts w:ascii="Calibri" w:eastAsia="Calibri" w:hAnsi="Calibri"/>
      <w:sz w:val="22"/>
      <w:szCs w:val="22"/>
      <w:lang w:eastAsia="en-US"/>
    </w:rPr>
  </w:style>
  <w:style w:type="paragraph" w:customStyle="1" w:styleId="Default">
    <w:name w:val="Default"/>
    <w:rsid w:val="008C00F5"/>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rsid w:val="00E432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52BCE"/>
    <w:rPr>
      <w:rFonts w:ascii="Calibri" w:eastAsia="Times New Roman" w:hAnsi="Calibri" w:cs="Arial"/>
      <w:bCs/>
      <w:iCs/>
      <w:sz w:val="22"/>
      <w:szCs w:val="28"/>
      <w:u w:val="single"/>
      <w:lang w:val="en-US" w:eastAsia="en-US"/>
    </w:rPr>
  </w:style>
  <w:style w:type="paragraph" w:customStyle="1" w:styleId="Body">
    <w:name w:val="Body"/>
    <w:basedOn w:val="Normal"/>
    <w:rsid w:val="0098626D"/>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AddressHeading">
    <w:name w:val="Address Heading"/>
    <w:basedOn w:val="Normal"/>
    <w:rsid w:val="0098626D"/>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98626D"/>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98626D"/>
    <w:pPr>
      <w:framePr w:hSpace="180" w:wrap="around" w:vAnchor="text" w:hAnchor="margin" w:xAlign="right" w:y="4467"/>
      <w:ind w:right="-57"/>
    </w:pPr>
    <w:rPr>
      <w:rFonts w:ascii="Arial" w:hAnsi="Arial"/>
      <w:color w:val="000000"/>
      <w:sz w:val="14"/>
    </w:rPr>
  </w:style>
  <w:style w:type="character" w:styleId="PageNumber">
    <w:name w:val="page number"/>
    <w:basedOn w:val="DefaultParagraphFont"/>
    <w:rsid w:val="0098626D"/>
  </w:style>
  <w:style w:type="paragraph" w:styleId="Title">
    <w:name w:val="Title"/>
    <w:basedOn w:val="Normal"/>
    <w:link w:val="TitleChar"/>
    <w:qFormat/>
    <w:rsid w:val="0098626D"/>
    <w:pPr>
      <w:jc w:val="center"/>
    </w:pPr>
    <w:rPr>
      <w:rFonts w:ascii="Times New Roman" w:hAnsi="Times New Roman"/>
      <w:b/>
      <w:szCs w:val="20"/>
    </w:rPr>
  </w:style>
  <w:style w:type="character" w:customStyle="1" w:styleId="TitleChar">
    <w:name w:val="Title Char"/>
    <w:link w:val="Title"/>
    <w:rsid w:val="0098626D"/>
    <w:rPr>
      <w:rFonts w:ascii="Times New Roman" w:eastAsia="Times New Roman" w:hAnsi="Times New Roman"/>
      <w:b/>
      <w:sz w:val="22"/>
      <w:lang w:eastAsia="en-US"/>
    </w:rPr>
  </w:style>
  <w:style w:type="character" w:customStyle="1" w:styleId="FooterChar">
    <w:name w:val="Footer Char"/>
    <w:link w:val="Footer"/>
    <w:uiPriority w:val="99"/>
    <w:rsid w:val="006A7A59"/>
    <w:rPr>
      <w:rFonts w:ascii="Calibri" w:eastAsia="Times New Roman" w:hAnsi="Calibri"/>
      <w:sz w:val="22"/>
      <w:szCs w:val="24"/>
      <w:lang w:eastAsia="en-US"/>
    </w:rPr>
  </w:style>
  <w:style w:type="paragraph" w:styleId="ListParagraph">
    <w:name w:val="List Paragraph"/>
    <w:basedOn w:val="Normal"/>
    <w:uiPriority w:val="34"/>
    <w:qFormat/>
    <w:rsid w:val="002516F0"/>
    <w:pPr>
      <w:ind w:left="720"/>
    </w:pPr>
    <w:rPr>
      <w:rFonts w:eastAsia="Calibri"/>
      <w:lang w:eastAsia="en-AU"/>
    </w:rPr>
  </w:style>
  <w:style w:type="paragraph" w:styleId="BalloonText">
    <w:name w:val="Balloon Text"/>
    <w:basedOn w:val="Normal"/>
    <w:link w:val="BalloonTextChar"/>
    <w:rsid w:val="000C0815"/>
    <w:rPr>
      <w:rFonts w:ascii="Segoe UI" w:hAnsi="Segoe UI" w:cs="Segoe UI"/>
      <w:sz w:val="18"/>
      <w:szCs w:val="18"/>
    </w:rPr>
  </w:style>
  <w:style w:type="character" w:customStyle="1" w:styleId="BalloonTextChar">
    <w:name w:val="Balloon Text Char"/>
    <w:basedOn w:val="DefaultParagraphFont"/>
    <w:link w:val="BalloonText"/>
    <w:rsid w:val="000C0815"/>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252BCE"/>
    <w:rPr>
      <w:rFonts w:ascii="Calibri" w:eastAsiaTheme="majorEastAsia" w:hAnsi="Calibri" w:cstheme="majorBidi"/>
      <w:b/>
      <w:sz w:val="22"/>
      <w:szCs w:val="32"/>
      <w:lang w:eastAsia="en-US"/>
    </w:rPr>
  </w:style>
  <w:style w:type="paragraph" w:styleId="FootnoteText">
    <w:name w:val="footnote text"/>
    <w:basedOn w:val="Normal"/>
    <w:link w:val="FootnoteTextChar"/>
    <w:uiPriority w:val="99"/>
    <w:unhideWhenUsed/>
    <w:rsid w:val="00C95CEA"/>
    <w:pPr>
      <w:spacing w:after="0" w:line="240" w:lineRule="auto"/>
    </w:pPr>
    <w:rPr>
      <w:sz w:val="20"/>
      <w:szCs w:val="20"/>
    </w:rPr>
  </w:style>
  <w:style w:type="character" w:customStyle="1" w:styleId="FootnoteTextChar">
    <w:name w:val="Footnote Text Char"/>
    <w:basedOn w:val="DefaultParagraphFont"/>
    <w:link w:val="FootnoteText"/>
    <w:uiPriority w:val="99"/>
    <w:rsid w:val="00C95CE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95CEA"/>
    <w:rPr>
      <w:vertAlign w:val="superscript"/>
    </w:rPr>
  </w:style>
  <w:style w:type="paragraph" w:styleId="EndnoteText">
    <w:name w:val="endnote text"/>
    <w:basedOn w:val="Normal"/>
    <w:link w:val="EndnoteTextChar"/>
    <w:uiPriority w:val="99"/>
    <w:unhideWhenUsed/>
    <w:rsid w:val="00C95CEA"/>
    <w:pPr>
      <w:spacing w:after="0" w:line="240" w:lineRule="auto"/>
    </w:pPr>
    <w:rPr>
      <w:sz w:val="20"/>
      <w:szCs w:val="20"/>
    </w:rPr>
  </w:style>
  <w:style w:type="character" w:customStyle="1" w:styleId="EndnoteTextChar">
    <w:name w:val="Endnote Text Char"/>
    <w:basedOn w:val="DefaultParagraphFont"/>
    <w:link w:val="EndnoteText"/>
    <w:uiPriority w:val="99"/>
    <w:rsid w:val="00C95CEA"/>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95CEA"/>
    <w:rPr>
      <w:vertAlign w:val="superscript"/>
    </w:rPr>
  </w:style>
  <w:style w:type="paragraph" w:styleId="NormalWeb">
    <w:name w:val="Normal (Web)"/>
    <w:basedOn w:val="Normal"/>
    <w:uiPriority w:val="99"/>
    <w:rsid w:val="00C95C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994C5D"/>
    <w:rPr>
      <w:color w:val="954F72" w:themeColor="followedHyperlink"/>
      <w:u w:val="single"/>
    </w:rPr>
  </w:style>
  <w:style w:type="character" w:customStyle="1" w:styleId="Heading4Char">
    <w:name w:val="Heading 4 Char"/>
    <w:basedOn w:val="DefaultParagraphFont"/>
    <w:link w:val="Heading4"/>
    <w:semiHidden/>
    <w:rsid w:val="005F7E68"/>
    <w:rPr>
      <w:rFonts w:asciiTheme="majorHAnsi" w:eastAsiaTheme="majorEastAsia" w:hAnsiTheme="majorHAnsi" w:cstheme="majorBidi"/>
      <w:i/>
      <w:iCs/>
      <w:color w:val="2E74B5" w:themeColor="accent1" w:themeShade="BF"/>
      <w:sz w:val="22"/>
      <w:szCs w:val="22"/>
      <w:lang w:eastAsia="en-US"/>
    </w:rPr>
  </w:style>
  <w:style w:type="paragraph" w:customStyle="1" w:styleId="Bulletform">
    <w:name w:val="Bullet form"/>
    <w:basedOn w:val="Normal"/>
    <w:rsid w:val="00FF376C"/>
    <w:pPr>
      <w:numPr>
        <w:numId w:val="9"/>
      </w:numPr>
      <w:spacing w:before="120" w:after="0" w:line="240" w:lineRule="auto"/>
      <w:ind w:left="714" w:hanging="357"/>
      <w:jc w:val="both"/>
    </w:pPr>
    <w:rPr>
      <w:rFonts w:ascii="GoudyOlSt BT" w:eastAsia="Times New Roman" w:hAnsi="GoudyOlSt BT" w:cs="Times New Roman"/>
      <w:sz w:val="24"/>
      <w:szCs w:val="20"/>
      <w:lang w:eastAsia="en-AU"/>
    </w:rPr>
  </w:style>
  <w:style w:type="character" w:customStyle="1" w:styleId="HeaderChar">
    <w:name w:val="Header Char"/>
    <w:basedOn w:val="DefaultParagraphFont"/>
    <w:link w:val="Header"/>
    <w:rsid w:val="00CD540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1675">
      <w:bodyDiv w:val="1"/>
      <w:marLeft w:val="0"/>
      <w:marRight w:val="0"/>
      <w:marTop w:val="0"/>
      <w:marBottom w:val="0"/>
      <w:divBdr>
        <w:top w:val="none" w:sz="0" w:space="0" w:color="auto"/>
        <w:left w:val="none" w:sz="0" w:space="0" w:color="auto"/>
        <w:bottom w:val="none" w:sz="0" w:space="0" w:color="auto"/>
        <w:right w:val="none" w:sz="0" w:space="0" w:color="auto"/>
      </w:divBdr>
    </w:div>
    <w:div w:id="745542198">
      <w:bodyDiv w:val="1"/>
      <w:marLeft w:val="0"/>
      <w:marRight w:val="0"/>
      <w:marTop w:val="0"/>
      <w:marBottom w:val="0"/>
      <w:divBdr>
        <w:top w:val="none" w:sz="0" w:space="0" w:color="auto"/>
        <w:left w:val="none" w:sz="0" w:space="0" w:color="auto"/>
        <w:bottom w:val="none" w:sz="0" w:space="0" w:color="auto"/>
        <w:right w:val="none" w:sz="0" w:space="0" w:color="auto"/>
      </w:divBdr>
    </w:div>
    <w:div w:id="822307640">
      <w:bodyDiv w:val="1"/>
      <w:marLeft w:val="0"/>
      <w:marRight w:val="0"/>
      <w:marTop w:val="0"/>
      <w:marBottom w:val="0"/>
      <w:divBdr>
        <w:top w:val="none" w:sz="0" w:space="0" w:color="auto"/>
        <w:left w:val="none" w:sz="0" w:space="0" w:color="auto"/>
        <w:bottom w:val="none" w:sz="0" w:space="0" w:color="auto"/>
        <w:right w:val="none" w:sz="0" w:space="0" w:color="auto"/>
      </w:divBdr>
    </w:div>
    <w:div w:id="831527788">
      <w:bodyDiv w:val="1"/>
      <w:marLeft w:val="0"/>
      <w:marRight w:val="0"/>
      <w:marTop w:val="0"/>
      <w:marBottom w:val="0"/>
      <w:divBdr>
        <w:top w:val="none" w:sz="0" w:space="0" w:color="auto"/>
        <w:left w:val="none" w:sz="0" w:space="0" w:color="auto"/>
        <w:bottom w:val="none" w:sz="0" w:space="0" w:color="auto"/>
        <w:right w:val="none" w:sz="0" w:space="0" w:color="auto"/>
      </w:divBdr>
    </w:div>
    <w:div w:id="908998256">
      <w:bodyDiv w:val="1"/>
      <w:marLeft w:val="0"/>
      <w:marRight w:val="0"/>
      <w:marTop w:val="0"/>
      <w:marBottom w:val="0"/>
      <w:divBdr>
        <w:top w:val="none" w:sz="0" w:space="0" w:color="auto"/>
        <w:left w:val="none" w:sz="0" w:space="0" w:color="auto"/>
        <w:bottom w:val="none" w:sz="0" w:space="0" w:color="auto"/>
        <w:right w:val="none" w:sz="0" w:space="0" w:color="auto"/>
      </w:divBdr>
    </w:div>
    <w:div w:id="1023703214">
      <w:bodyDiv w:val="1"/>
      <w:marLeft w:val="0"/>
      <w:marRight w:val="0"/>
      <w:marTop w:val="0"/>
      <w:marBottom w:val="0"/>
      <w:divBdr>
        <w:top w:val="none" w:sz="0" w:space="0" w:color="auto"/>
        <w:left w:val="none" w:sz="0" w:space="0" w:color="auto"/>
        <w:bottom w:val="none" w:sz="0" w:space="0" w:color="auto"/>
        <w:right w:val="none" w:sz="0" w:space="0" w:color="auto"/>
      </w:divBdr>
    </w:div>
    <w:div w:id="1259871213">
      <w:bodyDiv w:val="1"/>
      <w:marLeft w:val="0"/>
      <w:marRight w:val="0"/>
      <w:marTop w:val="0"/>
      <w:marBottom w:val="0"/>
      <w:divBdr>
        <w:top w:val="none" w:sz="0" w:space="0" w:color="auto"/>
        <w:left w:val="none" w:sz="0" w:space="0" w:color="auto"/>
        <w:bottom w:val="none" w:sz="0" w:space="0" w:color="auto"/>
        <w:right w:val="none" w:sz="0" w:space="0" w:color="auto"/>
      </w:divBdr>
    </w:div>
    <w:div w:id="1397510708">
      <w:bodyDiv w:val="1"/>
      <w:marLeft w:val="0"/>
      <w:marRight w:val="0"/>
      <w:marTop w:val="0"/>
      <w:marBottom w:val="0"/>
      <w:divBdr>
        <w:top w:val="none" w:sz="0" w:space="0" w:color="auto"/>
        <w:left w:val="none" w:sz="0" w:space="0" w:color="auto"/>
        <w:bottom w:val="none" w:sz="0" w:space="0" w:color="auto"/>
        <w:right w:val="none" w:sz="0" w:space="0" w:color="auto"/>
      </w:divBdr>
    </w:div>
    <w:div w:id="21090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atchery.uts.edu.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tellectual.property@pc.gov.au" TargetMode="External"/><Relationship Id="rId14" Type="http://schemas.openxmlformats.org/officeDocument/2006/relationships/image" Target="media/image3.jpeg"/><Relationship Id="rId22" Type="http://schemas.openxmlformats.org/officeDocument/2006/relationships/hyperlink" Target="http://newsroom.uts.edu.au/news/2014/10/steve-wozniak-accepts-adjunct-professorship-u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unesdoc.unesco.org/images/0023/002354/235406e.pdf" TargetMode="External"/><Relationship Id="rId13" Type="http://schemas.openxmlformats.org/officeDocument/2006/relationships/hyperlink" Target="http://www.wipo.int/export/sites/www/econ_stat/en/economics/wipr/pdf/wipr_2011_chapter4.pdf" TargetMode="External"/><Relationship Id="rId3" Type="http://schemas.openxmlformats.org/officeDocument/2006/relationships/hyperlink" Target="http://www.industry.gov.au/Office-of-the-Chief-Economist/Publications/Pages/Australian-Innovation-System-Report-2015.aspx" TargetMode="External"/><Relationship Id="rId7" Type="http://schemas.openxmlformats.org/officeDocument/2006/relationships/hyperlink" Target="http://www.industry.gov.au/innovation/reportsandstudies/Pages/Summary-of-selected-commercialisation-metrics-for-Australia-US-Canada-and-UK-2004-2013.aspx" TargetMode="External"/><Relationship Id="rId12" Type="http://schemas.openxmlformats.org/officeDocument/2006/relationships/hyperlink" Target="http://www.autm.net/advocacy-topics/government-issues/bayh-dole-act/" TargetMode="External"/><Relationship Id="rId2" Type="http://schemas.openxmlformats.org/officeDocument/2006/relationships/hyperlink" Target="http://www.industry.gov.au/AboutUs/Media/Pages/Innovation-Report-shows-change-needed.aspx" TargetMode="External"/><Relationship Id="rId1" Type="http://schemas.openxmlformats.org/officeDocument/2006/relationships/hyperlink" Target="http://www.wipo.int/export/sites/www/econ_stat/en/economics/wipr/pdf/wipr_2011_chapter4.pdf" TargetMode="External"/><Relationship Id="rId6" Type="http://schemas.openxmlformats.org/officeDocument/2006/relationships/hyperlink" Target="http://sourceip.ipaustralia.gov.au/" TargetMode="External"/><Relationship Id="rId11" Type="http://schemas.openxmlformats.org/officeDocument/2006/relationships/hyperlink" Target="http://www.brookings.edu/~/media/research/files/papers/2013/11/start-ups-tech-transfer-valdivia/valdivia_tech-transfer_v29_no-embargo.pdf" TargetMode="External"/><Relationship Id="rId5" Type="http://schemas.openxmlformats.org/officeDocument/2006/relationships/hyperlink" Target="http://www.industry.gov.au/Office-of-the-Chief-Economist/Publications/Documents/Australian-Innovation-System/Australian-Innovation-System-Report-2014.pdf" TargetMode="External"/><Relationship Id="rId15" Type="http://schemas.openxmlformats.org/officeDocument/2006/relationships/hyperlink" Target="http://meitar.com/181064" TargetMode="External"/><Relationship Id="rId10" Type="http://schemas.openxmlformats.org/officeDocument/2006/relationships/hyperlink" Target="http://www.wrays.com.au/insights/blogs/missing-the-mark-do-australian-businesses-recognise-the-value-in-patent-protection/" TargetMode="External"/><Relationship Id="rId4" Type="http://schemas.openxmlformats.org/officeDocument/2006/relationships/hyperlink" Target="http://www.wipo.int/export/sites/www/econ_stat/en/economics/wipr/pdf/wipr_2011_chapter4.pdf" TargetMode="External"/><Relationship Id="rId9" Type="http://schemas.openxmlformats.org/officeDocument/2006/relationships/hyperlink" Target="http://issuu.com/ianmax/docs/how_australia_can_invent_a_thriving" TargetMode="External"/><Relationship Id="rId14" Type="http://schemas.openxmlformats.org/officeDocument/2006/relationships/hyperlink" Target="https://ec.europa.eu/jrc/sites/default/files/events/20140120-tto-circle/jrc-20140120-tto-circle-mess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dustry.gov.au/innovation/reportsandstudies/Pages/NSRC-Data-Card-2012-1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EEE6-D678-45C2-851A-58B107E8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3318</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Submission 91 - Australian Technology Network of Universities (ATN) - Intellectual Property Arrangments - Public inquiry</vt:lpstr>
    </vt:vector>
  </TitlesOfParts>
  <Company>Australian Technology Network of Universities (ATN)</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Australian Technology Network of Universities (ATN) - Intellectual Property Arrangments - Public inquiry</dc:title>
  <dc:subject/>
  <dc:creator>Australian Technology Network of Universities (ATN)</dc:creator>
  <cp:keywords/>
  <dc:description/>
  <cp:lastModifiedBy>Productivity Commission</cp:lastModifiedBy>
  <cp:revision>5</cp:revision>
  <cp:lastPrinted>2015-10-23T03:12:00Z</cp:lastPrinted>
  <dcterms:created xsi:type="dcterms:W3CDTF">2015-11-30T03:44:00Z</dcterms:created>
  <dcterms:modified xsi:type="dcterms:W3CDTF">2016-01-11T01:52:00Z</dcterms:modified>
</cp:coreProperties>
</file>