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right w:w="0" w:type="dxa"/>
        </w:tblCellMar>
        <w:tblLook w:val="04A0" w:firstRow="1" w:lastRow="0" w:firstColumn="1" w:lastColumn="0" w:noHBand="0" w:noVBand="1"/>
      </w:tblPr>
      <w:tblGrid>
        <w:gridCol w:w="4785"/>
        <w:gridCol w:w="4571"/>
      </w:tblGrid>
      <w:tr w:rsidR="00CE6F73" w14:paraId="0A0D3F2A" w14:textId="77777777" w:rsidTr="00AC0D35">
        <w:trPr>
          <w:cnfStyle w:val="100000000000" w:firstRow="1" w:lastRow="0" w:firstColumn="0" w:lastColumn="0" w:oddVBand="0" w:evenVBand="0" w:oddHBand="0" w:evenHBand="0" w:firstRowFirstColumn="0" w:firstRowLastColumn="0" w:lastRowFirstColumn="0" w:lastRowLastColumn="0"/>
          <w:trHeight w:hRule="exact" w:val="3994"/>
        </w:trPr>
        <w:tc>
          <w:tcPr>
            <w:tcW w:w="4785" w:type="dxa"/>
            <w:tcMar>
              <w:top w:w="0" w:type="nil"/>
              <w:left w:w="0" w:type="nil"/>
              <w:bottom w:w="0" w:type="nil"/>
              <w:right w:w="0" w:type="nil"/>
            </w:tcMar>
          </w:tcPr>
          <w:p w14:paraId="7367AD41" w14:textId="77777777" w:rsidR="00CE6F73" w:rsidRDefault="00CE6F73" w:rsidP="00AD57CF">
            <w:bookmarkStart w:id="0" w:name="Cover"/>
            <w:bookmarkStart w:id="1" w:name="_GoBack"/>
            <w:bookmarkEnd w:id="0"/>
            <w:bookmarkEnd w:id="1"/>
          </w:p>
        </w:tc>
        <w:tc>
          <w:tcPr>
            <w:tcW w:w="4571" w:type="dxa"/>
            <w:tcMar>
              <w:top w:w="0" w:type="nil"/>
              <w:left w:w="0" w:type="nil"/>
              <w:bottom w:w="0" w:type="nil"/>
              <w:right w:w="0" w:type="nil"/>
            </w:tcMar>
          </w:tcPr>
          <w:p w14:paraId="6B6E85BB" w14:textId="77777777" w:rsidR="00CE6F73" w:rsidRDefault="00CE6F73" w:rsidP="00AD57CF"/>
        </w:tc>
      </w:tr>
      <w:tr w:rsidR="00CE6F73" w14:paraId="2B66A179" w14:textId="77777777" w:rsidTr="00601741">
        <w:trPr>
          <w:trHeight w:hRule="exact" w:val="4259"/>
        </w:trPr>
        <w:tc>
          <w:tcPr>
            <w:tcW w:w="9356" w:type="dxa"/>
            <w:gridSpan w:val="2"/>
            <w:tcMar>
              <w:top w:w="0" w:type="nil"/>
              <w:left w:w="0" w:type="nil"/>
              <w:bottom w:w="0" w:type="nil"/>
              <w:right w:w="0" w:type="nil"/>
            </w:tcMar>
          </w:tcPr>
          <w:p w14:paraId="393CD4D9" w14:textId="3AE241F5" w:rsidR="00CE6F73" w:rsidRPr="00CA341F" w:rsidRDefault="00CE6F73" w:rsidP="009122E5">
            <w:pPr>
              <w:pStyle w:val="CoverTitle"/>
              <w:ind w:left="142"/>
              <w:rPr>
                <w:sz w:val="50"/>
                <w:szCs w:val="50"/>
              </w:rPr>
            </w:pPr>
            <w:r w:rsidRPr="00CA341F">
              <w:fldChar w:fldCharType="begin"/>
            </w:r>
            <w:r>
              <w:instrText xml:space="preserve"> DOCPROPERTY  CoverTitle </w:instrText>
            </w:r>
            <w:r w:rsidRPr="00CA341F">
              <w:fldChar w:fldCharType="separate"/>
            </w:r>
            <w:r w:rsidRPr="00CA341F">
              <w:rPr>
                <w:sz w:val="50"/>
                <w:szCs w:val="50"/>
              </w:rPr>
              <w:t>Submission to the Productivity Commission Inquiry into the</w:t>
            </w:r>
            <w:r w:rsidR="00AC0D35">
              <w:rPr>
                <w:sz w:val="50"/>
                <w:szCs w:val="50"/>
              </w:rPr>
              <w:t xml:space="preserve"> </w:t>
            </w:r>
            <w:r w:rsidR="00B15D6C">
              <w:rPr>
                <w:sz w:val="50"/>
                <w:szCs w:val="50"/>
              </w:rPr>
              <w:br/>
            </w:r>
            <w:r w:rsidR="00AC0D35">
              <w:rPr>
                <w:sz w:val="50"/>
                <w:szCs w:val="50"/>
              </w:rPr>
              <w:t>National Education Evidence Base</w:t>
            </w:r>
            <w:r w:rsidRPr="00CA341F">
              <w:rPr>
                <w:sz w:val="50"/>
                <w:szCs w:val="50"/>
              </w:rPr>
              <w:t xml:space="preserve"> </w:t>
            </w:r>
            <w:r w:rsidRPr="00CA341F">
              <w:rPr>
                <w:sz w:val="50"/>
                <w:szCs w:val="50"/>
              </w:rPr>
              <w:fldChar w:fldCharType="end"/>
            </w:r>
            <w:r w:rsidRPr="00CA341F">
              <w:rPr>
                <w:noProof/>
                <w:sz w:val="50"/>
                <w:szCs w:val="50"/>
                <w:lang w:eastAsia="en-AU"/>
              </w:rPr>
              <w:drawing>
                <wp:anchor distT="0" distB="0" distL="114300" distR="114300" simplePos="0" relativeHeight="251657728" behindDoc="1" locked="1" layoutInCell="1" allowOverlap="1" wp14:anchorId="281671BD" wp14:editId="71D54D7F">
                  <wp:simplePos x="0" y="0"/>
                  <wp:positionH relativeFrom="column">
                    <wp:posOffset>-5080</wp:posOffset>
                  </wp:positionH>
                  <wp:positionV relativeFrom="page">
                    <wp:posOffset>18415</wp:posOffset>
                  </wp:positionV>
                  <wp:extent cx="5939790" cy="1439545"/>
                  <wp:effectExtent l="0" t="0" r="381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3.png"/>
                          <pic:cNvPicPr/>
                        </pic:nvPicPr>
                        <pic:blipFill>
                          <a:blip r:embed="rId15">
                            <a:extLst>
                              <a:ext uri="{28A0092B-C50C-407E-A947-70E740481C1C}">
                                <a14:useLocalDpi xmlns:a14="http://schemas.microsoft.com/office/drawing/2010/main" val="0"/>
                              </a:ext>
                            </a:extLst>
                          </a:blip>
                          <a:stretch>
                            <a:fillRect/>
                          </a:stretch>
                        </pic:blipFill>
                        <pic:spPr>
                          <a:xfrm>
                            <a:off x="0" y="0"/>
                            <a:ext cx="5939790" cy="1439545"/>
                          </a:xfrm>
                          <a:prstGeom prst="rect">
                            <a:avLst/>
                          </a:prstGeom>
                        </pic:spPr>
                      </pic:pic>
                    </a:graphicData>
                  </a:graphic>
                  <wp14:sizeRelH relativeFrom="margin">
                    <wp14:pctWidth>0</wp14:pctWidth>
                  </wp14:sizeRelH>
                  <wp14:sizeRelV relativeFrom="margin">
                    <wp14:pctHeight>0</wp14:pctHeight>
                  </wp14:sizeRelV>
                </wp:anchor>
              </w:drawing>
            </w:r>
          </w:p>
          <w:p w14:paraId="6DBE5136" w14:textId="497854F3" w:rsidR="00CE6F73" w:rsidRPr="008B0D58" w:rsidRDefault="00CE6F73" w:rsidP="00AD57CF">
            <w:pPr>
              <w:pStyle w:val="CoverSubtitle"/>
            </w:pPr>
            <w:r>
              <w:fldChar w:fldCharType="begin"/>
            </w:r>
            <w:r>
              <w:instrText xml:space="preserve"> DOCPROPERTY  CoverSubtitle </w:instrText>
            </w:r>
            <w:r>
              <w:fldChar w:fldCharType="end"/>
            </w:r>
          </w:p>
          <w:p w14:paraId="393E704A" w14:textId="5A41D734" w:rsidR="00CE6F73" w:rsidRPr="008B0D58" w:rsidRDefault="00BA3E89" w:rsidP="00601741">
            <w:pPr>
              <w:pStyle w:val="Heading3"/>
              <w:outlineLvl w:val="2"/>
              <w:rPr>
                <w:lang w:eastAsia="en-US"/>
              </w:rPr>
            </w:pPr>
            <w:bookmarkStart w:id="2" w:name="_Toc451895269"/>
            <w:r w:rsidRPr="00601741">
              <w:rPr>
                <w:sz w:val="40"/>
                <w:szCs w:val="40"/>
                <w:lang w:eastAsia="en-US"/>
              </w:rPr>
              <w:t>Social Ventures Australia</w:t>
            </w:r>
            <w:r>
              <w:rPr>
                <w:lang w:eastAsia="en-US"/>
              </w:rPr>
              <w:br/>
            </w:r>
            <w:r w:rsidRPr="00601741">
              <w:rPr>
                <w:sz w:val="24"/>
                <w:szCs w:val="24"/>
                <w:lang w:eastAsia="en-US"/>
              </w:rPr>
              <w:t>May 2016</w:t>
            </w:r>
            <w:bookmarkEnd w:id="2"/>
          </w:p>
        </w:tc>
      </w:tr>
      <w:tr w:rsidR="00BA3E89" w14:paraId="10032F91" w14:textId="77777777" w:rsidTr="00BA3E89">
        <w:trPr>
          <w:trHeight w:hRule="exact" w:val="4259"/>
        </w:trPr>
        <w:tc>
          <w:tcPr>
            <w:tcW w:w="9356" w:type="dxa"/>
            <w:gridSpan w:val="2"/>
            <w:tcMar>
              <w:top w:w="0" w:type="nil"/>
              <w:left w:w="0" w:type="nil"/>
              <w:bottom w:w="0" w:type="nil"/>
              <w:right w:w="0" w:type="nil"/>
            </w:tcMar>
          </w:tcPr>
          <w:p w14:paraId="07D1A066" w14:textId="77777777" w:rsidR="00BA3E89" w:rsidRDefault="00BA3E89" w:rsidP="009122E5">
            <w:pPr>
              <w:pStyle w:val="CoverTitle"/>
              <w:ind w:left="142"/>
            </w:pPr>
          </w:p>
        </w:tc>
      </w:tr>
      <w:tr w:rsidR="00CE6F73" w14:paraId="2235093E" w14:textId="77777777" w:rsidTr="00AD57CF">
        <w:trPr>
          <w:trHeight w:hRule="exact" w:val="284"/>
        </w:trPr>
        <w:tc>
          <w:tcPr>
            <w:tcW w:w="4785" w:type="dxa"/>
            <w:tcMar>
              <w:top w:w="0" w:type="nil"/>
              <w:left w:w="0" w:type="nil"/>
              <w:bottom w:w="0" w:type="nil"/>
              <w:right w:w="0" w:type="nil"/>
            </w:tcMar>
          </w:tcPr>
          <w:p w14:paraId="1B4D6997" w14:textId="4711420F" w:rsidR="00CE6F73" w:rsidRDefault="000A3C27" w:rsidP="00E073DC">
            <w:r>
              <w:t>For further information please contact:</w:t>
            </w:r>
          </w:p>
        </w:tc>
        <w:tc>
          <w:tcPr>
            <w:tcW w:w="4571" w:type="dxa"/>
            <w:tcMar>
              <w:top w:w="0" w:type="nil"/>
              <w:left w:w="0" w:type="nil"/>
              <w:bottom w:w="0" w:type="nil"/>
              <w:right w:w="0" w:type="nil"/>
            </w:tcMar>
          </w:tcPr>
          <w:p w14:paraId="03D8760A" w14:textId="77777777" w:rsidR="00CE6F73" w:rsidRDefault="00CE6F73" w:rsidP="00AD57CF"/>
        </w:tc>
      </w:tr>
      <w:tr w:rsidR="000A3C27" w14:paraId="3F2F53F1" w14:textId="77777777" w:rsidTr="00AD57CF">
        <w:trPr>
          <w:trHeight w:hRule="exact" w:val="284"/>
        </w:trPr>
        <w:tc>
          <w:tcPr>
            <w:tcW w:w="4785" w:type="dxa"/>
            <w:tcMar>
              <w:top w:w="0" w:type="nil"/>
              <w:left w:w="0" w:type="nil"/>
              <w:bottom w:w="0" w:type="nil"/>
              <w:right w:w="0" w:type="nil"/>
            </w:tcMar>
          </w:tcPr>
          <w:p w14:paraId="7FFB04CD" w14:textId="37068AED" w:rsidR="000A3C27" w:rsidRDefault="000A3C27" w:rsidP="00AD57CF">
            <w:r>
              <w:t>Patrick Flynn</w:t>
            </w:r>
          </w:p>
        </w:tc>
        <w:tc>
          <w:tcPr>
            <w:tcW w:w="4571" w:type="dxa"/>
            <w:tcMar>
              <w:top w:w="0" w:type="nil"/>
              <w:left w:w="0" w:type="nil"/>
              <w:bottom w:w="0" w:type="nil"/>
              <w:right w:w="0" w:type="nil"/>
            </w:tcMar>
          </w:tcPr>
          <w:p w14:paraId="5BF41DFD" w14:textId="77777777" w:rsidR="000A3C27" w:rsidRDefault="000A3C27" w:rsidP="00AD57CF"/>
        </w:tc>
      </w:tr>
      <w:tr w:rsidR="00CE6F73" w14:paraId="065B8BDC" w14:textId="77777777" w:rsidTr="00601741">
        <w:trPr>
          <w:trHeight w:hRule="exact" w:val="275"/>
        </w:trPr>
        <w:tc>
          <w:tcPr>
            <w:tcW w:w="4785" w:type="dxa"/>
            <w:tcMar>
              <w:top w:w="0" w:type="nil"/>
              <w:left w:w="0" w:type="nil"/>
              <w:bottom w:w="0" w:type="nil"/>
              <w:right w:w="0" w:type="nil"/>
            </w:tcMar>
          </w:tcPr>
          <w:p w14:paraId="67B05E6C" w14:textId="2C0EF469" w:rsidR="00CE6F73" w:rsidRPr="00601741" w:rsidRDefault="000A3C27" w:rsidP="00F93732">
            <w:pPr>
              <w:pStyle w:val="CoverHeading"/>
              <w:rPr>
                <w:b w:val="0"/>
                <w:sz w:val="20"/>
                <w:szCs w:val="20"/>
              </w:rPr>
            </w:pPr>
            <w:r>
              <w:rPr>
                <w:b w:val="0"/>
                <w:sz w:val="20"/>
                <w:szCs w:val="20"/>
              </w:rPr>
              <w:t>Director Policy and Advocacy</w:t>
            </w:r>
          </w:p>
        </w:tc>
        <w:tc>
          <w:tcPr>
            <w:tcW w:w="4571" w:type="dxa"/>
            <w:tcMar>
              <w:top w:w="0" w:type="nil"/>
              <w:left w:w="0" w:type="nil"/>
              <w:bottom w:w="0" w:type="nil"/>
              <w:right w:w="0" w:type="nil"/>
            </w:tcMar>
          </w:tcPr>
          <w:p w14:paraId="74233956" w14:textId="77777777" w:rsidR="00CE6F73" w:rsidRDefault="00CE6F73" w:rsidP="00AD57CF"/>
        </w:tc>
      </w:tr>
      <w:tr w:rsidR="00CE6F73" w14:paraId="5FFE7544" w14:textId="77777777" w:rsidTr="00601741">
        <w:trPr>
          <w:trHeight w:hRule="exact" w:val="279"/>
        </w:trPr>
        <w:tc>
          <w:tcPr>
            <w:tcW w:w="4785" w:type="dxa"/>
            <w:tcMar>
              <w:top w:w="0" w:type="nil"/>
              <w:left w:w="0" w:type="nil"/>
              <w:bottom w:w="0" w:type="nil"/>
              <w:right w:w="0" w:type="nil"/>
            </w:tcMar>
          </w:tcPr>
          <w:p w14:paraId="6D5DF99C" w14:textId="00DC2932" w:rsidR="00CE6F73" w:rsidRDefault="00CE6F73" w:rsidP="00680D64">
            <w:pPr>
              <w:pStyle w:val="CoverDetails"/>
            </w:pPr>
          </w:p>
        </w:tc>
        <w:tc>
          <w:tcPr>
            <w:tcW w:w="4571" w:type="dxa"/>
            <w:tcMar>
              <w:top w:w="0" w:type="nil"/>
              <w:left w:w="0" w:type="nil"/>
              <w:bottom w:w="0" w:type="nil"/>
              <w:right w:w="0" w:type="nil"/>
            </w:tcMar>
          </w:tcPr>
          <w:p w14:paraId="493DB967" w14:textId="77777777" w:rsidR="00CE6F73" w:rsidRDefault="00CE6F73" w:rsidP="00AD57CF"/>
        </w:tc>
      </w:tr>
    </w:tbl>
    <w:p w14:paraId="3CB77759" w14:textId="48FD95AE" w:rsidR="00EF2A35" w:rsidRDefault="00EF2A35">
      <w:pPr>
        <w:spacing w:after="0" w:line="240" w:lineRule="auto"/>
      </w:pPr>
    </w:p>
    <w:p w14:paraId="7D90EBD8" w14:textId="4363FDB7" w:rsidR="00E510AF" w:rsidRDefault="00B6156B" w:rsidP="00BA3E89">
      <w:pPr>
        <w:pStyle w:val="Heading2"/>
        <w:framePr w:wrap="around"/>
      </w:pPr>
      <w:bookmarkStart w:id="3" w:name="_Toc451895270"/>
      <w:r>
        <w:t>Table of Content</w:t>
      </w:r>
      <w:r w:rsidR="00BA3E89">
        <w:t>s</w:t>
      </w:r>
      <w:bookmarkEnd w:id="3"/>
    </w:p>
    <w:p w14:paraId="1C207C08" w14:textId="0A6A4CE0" w:rsidR="00E510AF" w:rsidRDefault="00E510AF" w:rsidP="00601741">
      <w:pPr>
        <w:pStyle w:val="Heading3"/>
      </w:pPr>
      <w:r>
        <w:t>Executive Summary</w:t>
      </w:r>
      <w:r>
        <w:tab/>
      </w:r>
      <w:r>
        <w:tab/>
      </w:r>
      <w:r>
        <w:tab/>
      </w:r>
      <w:r>
        <w:tab/>
      </w:r>
      <w:r>
        <w:tab/>
      </w:r>
      <w:r>
        <w:tab/>
      </w:r>
      <w:r>
        <w:tab/>
        <w:t>3</w:t>
      </w:r>
      <w:r>
        <w:br/>
      </w:r>
      <w:r>
        <w:br/>
        <w:t>Summary of Recommendations</w:t>
      </w:r>
      <w:r>
        <w:tab/>
      </w:r>
      <w:r>
        <w:tab/>
      </w:r>
      <w:r>
        <w:tab/>
      </w:r>
      <w:r>
        <w:tab/>
      </w:r>
      <w:r>
        <w:tab/>
        <w:t>5</w:t>
      </w:r>
      <w:r>
        <w:br/>
      </w:r>
      <w:r>
        <w:br/>
        <w:t>Introduction</w:t>
      </w:r>
      <w:r>
        <w:tab/>
      </w:r>
      <w:r>
        <w:tab/>
      </w:r>
      <w:r>
        <w:tab/>
      </w:r>
      <w:r>
        <w:tab/>
      </w:r>
      <w:r>
        <w:tab/>
      </w:r>
      <w:r>
        <w:tab/>
      </w:r>
      <w:r>
        <w:tab/>
      </w:r>
      <w:r>
        <w:tab/>
        <w:t>7</w:t>
      </w:r>
      <w:r>
        <w:br/>
      </w:r>
      <w:r>
        <w:br/>
      </w:r>
      <w:r>
        <w:tab/>
      </w:r>
      <w:r w:rsidRPr="00601741">
        <w:rPr>
          <w:sz w:val="20"/>
          <w:szCs w:val="28"/>
        </w:rPr>
        <w:t>Social Ventures Australia</w:t>
      </w:r>
      <w:r>
        <w:rPr>
          <w:sz w:val="20"/>
          <w:szCs w:val="28"/>
        </w:rPr>
        <w:tab/>
      </w:r>
      <w:r>
        <w:rPr>
          <w:sz w:val="20"/>
          <w:szCs w:val="28"/>
        </w:rPr>
        <w:tab/>
      </w:r>
      <w:r>
        <w:rPr>
          <w:sz w:val="20"/>
          <w:szCs w:val="28"/>
        </w:rPr>
        <w:tab/>
      </w:r>
      <w:r>
        <w:rPr>
          <w:sz w:val="20"/>
          <w:szCs w:val="28"/>
        </w:rPr>
        <w:tab/>
      </w:r>
      <w:r>
        <w:rPr>
          <w:sz w:val="20"/>
          <w:szCs w:val="28"/>
        </w:rPr>
        <w:tab/>
      </w:r>
      <w:r>
        <w:rPr>
          <w:sz w:val="20"/>
          <w:szCs w:val="28"/>
        </w:rPr>
        <w:tab/>
        <w:t>8</w:t>
      </w:r>
    </w:p>
    <w:p w14:paraId="30E72176" w14:textId="2D9A1EF9" w:rsidR="00E510AF" w:rsidRPr="00E510AF" w:rsidRDefault="00E510AF" w:rsidP="00601741">
      <w:pPr>
        <w:pStyle w:val="Heading4"/>
      </w:pPr>
      <w:r>
        <w:tab/>
        <w:t>Evidence for Learning</w:t>
      </w:r>
      <w:r>
        <w:tab/>
      </w:r>
      <w:r>
        <w:tab/>
      </w:r>
      <w:r>
        <w:tab/>
      </w:r>
      <w:r>
        <w:tab/>
      </w:r>
      <w:r>
        <w:tab/>
      </w:r>
      <w:r>
        <w:tab/>
      </w:r>
      <w:r>
        <w:tab/>
        <w:t>11</w:t>
      </w:r>
    </w:p>
    <w:p w14:paraId="163F1C61" w14:textId="20119692" w:rsidR="00977723" w:rsidRPr="00977723" w:rsidRDefault="00E510AF" w:rsidP="00601741">
      <w:pPr>
        <w:pStyle w:val="Heading3"/>
      </w:pPr>
      <w:r>
        <w:br/>
        <w:t>Response to the Issues Paper</w:t>
      </w:r>
      <w:r>
        <w:tab/>
      </w:r>
      <w:r>
        <w:tab/>
      </w:r>
      <w:r>
        <w:tab/>
      </w:r>
      <w:r>
        <w:tab/>
      </w:r>
      <w:r>
        <w:tab/>
        <w:t>13</w:t>
      </w:r>
      <w:r w:rsidR="00977723">
        <w:br/>
      </w:r>
      <w:r w:rsidR="00977723">
        <w:br/>
      </w:r>
      <w:r>
        <w:t>Section 1: What has the</w:t>
      </w:r>
      <w:r w:rsidR="005165FA">
        <w:t xml:space="preserve"> Commission been asked to do?</w:t>
      </w:r>
      <w:r w:rsidR="005165FA">
        <w:tab/>
        <w:t>18</w:t>
      </w:r>
      <w:r w:rsidR="00977723">
        <w:br/>
      </w:r>
      <w:r w:rsidR="00977723">
        <w:br/>
        <w:t>Section 2: Objective</w:t>
      </w:r>
      <w:r w:rsidR="00952AF2">
        <w:t>s</w:t>
      </w:r>
      <w:r w:rsidR="00977723">
        <w:t xml:space="preserve"> and framework</w:t>
      </w:r>
      <w:r w:rsidR="00977723">
        <w:tab/>
      </w:r>
      <w:r w:rsidR="00977723">
        <w:tab/>
      </w:r>
      <w:r w:rsidR="00977723">
        <w:tab/>
      </w:r>
      <w:r w:rsidR="00977723">
        <w:tab/>
      </w:r>
      <w:r w:rsidR="005165FA">
        <w:t>23</w:t>
      </w:r>
      <w:r w:rsidR="00977723">
        <w:br/>
      </w:r>
      <w:r w:rsidR="00977723">
        <w:br/>
      </w:r>
      <w:r w:rsidR="00952AF2">
        <w:t>Section 4: Issues and Opportunities</w:t>
      </w:r>
      <w:r w:rsidR="00952AF2">
        <w:tab/>
      </w:r>
      <w:r w:rsidR="00952AF2">
        <w:tab/>
      </w:r>
      <w:r w:rsidR="00952AF2">
        <w:tab/>
      </w:r>
      <w:r w:rsidR="00952AF2">
        <w:tab/>
      </w:r>
      <w:r w:rsidR="001E0AAB">
        <w:t>44</w:t>
      </w:r>
      <w:r w:rsidR="00952AF2">
        <w:br/>
      </w:r>
      <w:r w:rsidR="00952AF2">
        <w:br/>
      </w:r>
      <w:r w:rsidR="00977723">
        <w:t xml:space="preserve">Section </w:t>
      </w:r>
      <w:r w:rsidR="00952AF2">
        <w:t>5</w:t>
      </w:r>
      <w:r w:rsidR="00977723">
        <w:t xml:space="preserve">: Institutions, data governance and </w:t>
      </w:r>
      <w:r w:rsidR="00977723">
        <w:br/>
        <w:t>prioritising reform</w:t>
      </w:r>
      <w:r w:rsidR="00977723">
        <w:tab/>
      </w:r>
      <w:r w:rsidR="00977723">
        <w:tab/>
      </w:r>
      <w:r w:rsidR="00977723">
        <w:tab/>
      </w:r>
      <w:r w:rsidR="00977723">
        <w:tab/>
      </w:r>
      <w:r w:rsidR="00977723">
        <w:tab/>
      </w:r>
      <w:r w:rsidR="00977723">
        <w:tab/>
      </w:r>
      <w:r w:rsidR="00977723">
        <w:tab/>
      </w:r>
      <w:r w:rsidR="001E0AAB">
        <w:t>50</w:t>
      </w:r>
    </w:p>
    <w:p w14:paraId="7ABBB296" w14:textId="13F3884F" w:rsidR="00E510AF" w:rsidRDefault="00E510AF" w:rsidP="00601741">
      <w:pPr>
        <w:pStyle w:val="Heading3"/>
      </w:pPr>
    </w:p>
    <w:p w14:paraId="5A1EF593" w14:textId="77777777" w:rsidR="00E510AF" w:rsidRPr="00E510AF" w:rsidRDefault="00E510AF" w:rsidP="00601741"/>
    <w:p w14:paraId="7CE39A91" w14:textId="0DBF25E6" w:rsidR="007D02EC" w:rsidRDefault="00BA3E89" w:rsidP="00BA3E89">
      <w:pPr>
        <w:pStyle w:val="Heading2"/>
        <w:framePr w:wrap="around"/>
      </w:pPr>
      <w:r>
        <w:br/>
      </w:r>
    </w:p>
    <w:p w14:paraId="5A925CAA" w14:textId="03BC0875" w:rsidR="00EF2A35" w:rsidRDefault="00726F64" w:rsidP="00601741">
      <w:pPr>
        <w:spacing w:after="0" w:line="240" w:lineRule="auto"/>
      </w:pPr>
      <w:r>
        <w:br w:type="page"/>
      </w:r>
    </w:p>
    <w:p w14:paraId="0A9BD317" w14:textId="77777777" w:rsidR="00CE6F73" w:rsidRDefault="00CE6F73" w:rsidP="00EF2A35">
      <w:pPr>
        <w:pStyle w:val="Heading2"/>
        <w:framePr w:h="655" w:hRule="exact" w:wrap="around"/>
      </w:pPr>
      <w:bookmarkStart w:id="4" w:name="_Toc451895271"/>
      <w:r>
        <w:lastRenderedPageBreak/>
        <w:t>Executive Summary</w:t>
      </w:r>
      <w:bookmarkEnd w:id="4"/>
    </w:p>
    <w:p w14:paraId="16FDDF57" w14:textId="77777777" w:rsidR="00CE6F73" w:rsidRDefault="00CE6F73" w:rsidP="009122E5">
      <w:pPr>
        <w:spacing w:after="0"/>
      </w:pPr>
    </w:p>
    <w:p w14:paraId="252ECC1C" w14:textId="29C0E529" w:rsidR="00CE6F73" w:rsidRDefault="00CE6F73" w:rsidP="00136F01">
      <w:r>
        <w:t>The goals of Australia’s education system have been articulated and refined over many years to include the development of the intellectual, social and moral wellbeing of young Australians as well as contributing to the economic prosperity and social cohesion of the nation</w:t>
      </w:r>
      <w:r w:rsidR="00E52BCA">
        <w:rPr>
          <w:rStyle w:val="FootnoteReference"/>
        </w:rPr>
        <w:footnoteReference w:id="1"/>
      </w:r>
      <w:r>
        <w:t>.  Funding for education has also increased substantially over the previous two decades. Yet against most international measures, Australia’s education performance has gone backwards.</w:t>
      </w:r>
    </w:p>
    <w:p w14:paraId="654207BB" w14:textId="620E4671" w:rsidR="00CE6F73" w:rsidRDefault="00CE6F73" w:rsidP="00136F01">
      <w:r>
        <w:t xml:space="preserve">Against that backdrop, the purpose of an education evidence base and any changes to the current data, research and evidence systems must be to improve educational outcomes of Australia’s children. </w:t>
      </w:r>
    </w:p>
    <w:p w14:paraId="08B77F33" w14:textId="76239BFE" w:rsidR="00CE6F73" w:rsidRDefault="00CE6F73" w:rsidP="00136F01">
      <w:r>
        <w:t xml:space="preserve">To achieve this it is essential to grow a thriving and dynamic evidence ecosystem. The ecosystem must allow for active monitoring of improvements and deteriorations in learning outcomes. However, monitoring is insufficient. The ecosystem must also create a virtuous cycle of innovation in schools and the broader education systems where successful </w:t>
      </w:r>
      <w:r w:rsidR="00ED6446">
        <w:t xml:space="preserve">approaches </w:t>
      </w:r>
      <w:r>
        <w:t>are adopted with fidelity and poor performing initiatives are wound down.  </w:t>
      </w:r>
    </w:p>
    <w:p w14:paraId="0CA31A1D" w14:textId="378EC05B" w:rsidR="00CE6F73" w:rsidRDefault="00CE6F73" w:rsidP="00136F01">
      <w:r>
        <w:t>A healthy ecosystem requires the production of different kinds of data and evidence, synthesis and translation of this evidence for use by teachers and principals in schools and support for continuous evaluation and improvements in practice.</w:t>
      </w:r>
    </w:p>
    <w:p w14:paraId="26FC8A28" w14:textId="35D7A42C" w:rsidR="009122E5" w:rsidRDefault="00CE6F73" w:rsidP="00136F01">
      <w:r>
        <w:t>At present, several key elements are missing.</w:t>
      </w:r>
    </w:p>
    <w:p w14:paraId="009C027A" w14:textId="259E6511" w:rsidR="00CE6F73" w:rsidRDefault="00CE6F73" w:rsidP="00136F01">
      <w:r>
        <w:t>Whilst there are many factors that contribute to a child’s educational achievement - including the profound impact of a child’s home environment - the most significant in-school factor is the quality of teaching in the classroom</w:t>
      </w:r>
      <w:r w:rsidR="00E52BCA">
        <w:rPr>
          <w:rStyle w:val="FootnoteReference"/>
        </w:rPr>
        <w:footnoteReference w:id="2"/>
      </w:r>
      <w:r>
        <w:t xml:space="preserve">. </w:t>
      </w:r>
    </w:p>
    <w:p w14:paraId="36E22B0C" w14:textId="4F2449D2" w:rsidR="00CE6F73" w:rsidRDefault="00CE6F73">
      <w:r>
        <w:t xml:space="preserve">An exceptional teacher, equipped with the most effective programs, has a far greater impact on student learning than an ineffective teacher. Over several years of schooling, this can make a </w:t>
      </w:r>
      <w:r w:rsidR="00ED6446">
        <w:t xml:space="preserve">substantial </w:t>
      </w:r>
      <w:r>
        <w:t xml:space="preserve">difference to a student’s chance of success in life and contribution to society. </w:t>
      </w:r>
    </w:p>
    <w:p w14:paraId="41DF0CE4" w14:textId="3E30E285" w:rsidR="00CE6F73" w:rsidRDefault="00CE6F73" w:rsidP="00136F01">
      <w:r>
        <w:t xml:space="preserve">To build a ‘world class education system’, Australia needs an evidence base with robust data on the efficacy of different educational approaches that is accessible to all school leaders and teachers and </w:t>
      </w:r>
      <w:r w:rsidR="00ED6446">
        <w:t>which they use</w:t>
      </w:r>
      <w:r>
        <w:t xml:space="preserve"> to change daily practices in classrooms. </w:t>
      </w:r>
    </w:p>
    <w:p w14:paraId="22AE4908" w14:textId="07C97D28" w:rsidR="00EF2A35" w:rsidRDefault="00CE6F73" w:rsidP="00136F01">
      <w:r>
        <w:t xml:space="preserve">This </w:t>
      </w:r>
      <w:r w:rsidR="00F22B7D">
        <w:t>led</w:t>
      </w:r>
      <w:r>
        <w:t xml:space="preserve"> us to make three primary recommendations to the Inquiry which are supported by a list of specific actions in the Summary of Recommendations.</w:t>
      </w:r>
    </w:p>
    <w:p w14:paraId="1A15F957" w14:textId="5FD8E953" w:rsidR="00CE6F73" w:rsidRPr="00136F01" w:rsidRDefault="00CE6F73" w:rsidP="00136F01">
      <w:r w:rsidRPr="00136F01">
        <w:rPr>
          <w:b/>
          <w:bCs/>
          <w:iCs/>
        </w:rPr>
        <w:t>Design the future evidence ecosystem</w:t>
      </w:r>
      <w:r w:rsidR="00ED6446">
        <w:rPr>
          <w:b/>
          <w:bCs/>
          <w:iCs/>
        </w:rPr>
        <w:t xml:space="preserve"> - </w:t>
      </w:r>
      <w:r w:rsidR="00136F01">
        <w:br/>
      </w:r>
      <w:r w:rsidRPr="00F67811">
        <w:t>That the Productivity Commission (PC) should make findings and recommendations on the structure of an effective education evidence ecosystem, including identifying the roles and responsibilit</w:t>
      </w:r>
      <w:r w:rsidR="00CC5C14">
        <w:t>ies</w:t>
      </w:r>
      <w:r w:rsidRPr="00F67811">
        <w:t xml:space="preserve"> of different institutions and agencies in the production, storage, synthesis, dissemination and adoption of education evidence</w:t>
      </w:r>
      <w:r w:rsidR="00CC5C14">
        <w:t>,</w:t>
      </w:r>
      <w:r w:rsidRPr="00F67811">
        <w:t xml:space="preserve"> as well as an explicit role for frontline professionals implementing and evaluating the learning impact of </w:t>
      </w:r>
      <w:r w:rsidR="00ED6446" w:rsidRPr="00F67811">
        <w:t>approaches</w:t>
      </w:r>
      <w:r w:rsidRPr="00AC0D35">
        <w:rPr>
          <w:i/>
        </w:rPr>
        <w:t>.</w:t>
      </w:r>
      <w:r w:rsidRPr="00EF2A35">
        <w:t xml:space="preserve"> </w:t>
      </w:r>
    </w:p>
    <w:p w14:paraId="502D54FE" w14:textId="06B5D625" w:rsidR="00EF2A35" w:rsidRPr="00136F01" w:rsidRDefault="00CE6F73" w:rsidP="00136F01">
      <w:r w:rsidRPr="00136F01">
        <w:rPr>
          <w:b/>
        </w:rPr>
        <w:t>Testing ‘what works and why’ in schools and early learning centres is essential to improvement</w:t>
      </w:r>
      <w:r w:rsidR="00ED6446">
        <w:rPr>
          <w:b/>
        </w:rPr>
        <w:t xml:space="preserve"> -</w:t>
      </w:r>
      <w:r w:rsidR="00136F01">
        <w:rPr>
          <w:b/>
        </w:rPr>
        <w:br/>
      </w:r>
      <w:r w:rsidRPr="00136F01">
        <w:t xml:space="preserve">That data gathered (whether administrative, qualitative or quantitative, universal or a sample), should be designed to support research and evaluation of the efficacy and efficiency of approaches used in schools </w:t>
      </w:r>
      <w:r w:rsidRPr="00136F01">
        <w:lastRenderedPageBreak/>
        <w:t>and early learning environments. This includes through rigorous evaluations using experimental methods such as randomised control</w:t>
      </w:r>
      <w:r w:rsidR="00ED6446">
        <w:t>led</w:t>
      </w:r>
      <w:r w:rsidRPr="00136F01">
        <w:t xml:space="preserve"> trials (to understand the ‘</w:t>
      </w:r>
      <w:r w:rsidR="00ED6446" w:rsidRPr="00136F01">
        <w:t>what’</w:t>
      </w:r>
      <w:r w:rsidR="00ED6446">
        <w:t xml:space="preserve">) </w:t>
      </w:r>
      <w:r w:rsidRPr="00136F01">
        <w:t xml:space="preserve">paired with </w:t>
      </w:r>
      <w:r w:rsidR="00ED6446">
        <w:t xml:space="preserve">robust secondary analysis and </w:t>
      </w:r>
      <w:r w:rsidRPr="00136F01">
        <w:t>crucial qualitative information (to understand the ‘why’).</w:t>
      </w:r>
    </w:p>
    <w:p w14:paraId="40C0DEF9" w14:textId="25A4A357" w:rsidR="00CE6F73" w:rsidRPr="00136F01" w:rsidRDefault="00CE6F73" w:rsidP="00136F01">
      <w:pPr>
        <w:rPr>
          <w:b/>
        </w:rPr>
      </w:pPr>
      <w:r w:rsidRPr="00136F01">
        <w:rPr>
          <w:b/>
        </w:rPr>
        <w:t>Only evidence in action has impact</w:t>
      </w:r>
      <w:r w:rsidR="00ED6446">
        <w:rPr>
          <w:b/>
        </w:rPr>
        <w:t xml:space="preserve"> -</w:t>
      </w:r>
      <w:r w:rsidR="00136F01">
        <w:rPr>
          <w:b/>
        </w:rPr>
        <w:br/>
      </w:r>
      <w:r w:rsidRPr="00136F01">
        <w:t>That adequate support is given to the effective engagement with the evidence base by frontline professionals who are ultimately responsible for reali</w:t>
      </w:r>
      <w:r w:rsidR="00CC5C14">
        <w:t>s</w:t>
      </w:r>
      <w:r w:rsidRPr="00136F01">
        <w:t xml:space="preserve">ing the learning dividends from the </w:t>
      </w:r>
      <w:r w:rsidR="009E1DA3" w:rsidRPr="00136F01">
        <w:t xml:space="preserve">investment. </w:t>
      </w:r>
      <w:r w:rsidRPr="00136F01">
        <w:t xml:space="preserve">This means evidence is translated into useful forms including guidelines for effective </w:t>
      </w:r>
      <w:r w:rsidR="009E1DA3" w:rsidRPr="00136F01">
        <w:t>implementation, is</w:t>
      </w:r>
      <w:r w:rsidRPr="00136F01">
        <w:t xml:space="preserve"> promoted through networks trusted by educators and is continuously evaluated for impact in their context.</w:t>
      </w:r>
    </w:p>
    <w:p w14:paraId="3F0DC97C" w14:textId="15264227" w:rsidR="00CE6F73" w:rsidRPr="009E1DA3" w:rsidRDefault="00CE6F73" w:rsidP="00136F01">
      <w:r>
        <w:t>Social Ventures Australia seeks to play a constructive role in th</w:t>
      </w:r>
      <w:r w:rsidR="00ED6446">
        <w:t>e</w:t>
      </w:r>
      <w:r>
        <w:t xml:space="preserve"> collective endeavour of building a national education evidence base to improve education outcomes. </w:t>
      </w:r>
    </w:p>
    <w:p w14:paraId="45FA7F14" w14:textId="5C636092" w:rsidR="00CE6F73" w:rsidRPr="009E1DA3" w:rsidRDefault="00CE6F73" w:rsidP="00136F01">
      <w:r>
        <w:t>We are actively building and sharing evidence about effective policies and programs with school leaders and teachers, through a new social enterprise; Evidence for Learning (</w:t>
      </w:r>
      <w:proofErr w:type="spellStart"/>
      <w:r>
        <w:t>E4L</w:t>
      </w:r>
      <w:proofErr w:type="spellEnd"/>
      <w:r>
        <w:t xml:space="preserve">). </w:t>
      </w:r>
      <w:proofErr w:type="spellStart"/>
      <w:r w:rsidR="009E1DA3">
        <w:t>E4L</w:t>
      </w:r>
      <w:proofErr w:type="spellEnd"/>
      <w:r w:rsidR="009E1DA3">
        <w:t xml:space="preserve"> provides</w:t>
      </w:r>
      <w:r>
        <w:t xml:space="preserve"> free, online summaries of global education evidence through the </w:t>
      </w:r>
      <w:r w:rsidRPr="009E1DA3">
        <w:t>Teaching &amp; Learning Toolkit</w:t>
      </w:r>
      <w:r>
        <w:t xml:space="preserve"> and supports the </w:t>
      </w:r>
      <w:r w:rsidR="00A90BF9">
        <w:t xml:space="preserve">creation </w:t>
      </w:r>
      <w:r>
        <w:t xml:space="preserve">of rigorous </w:t>
      </w:r>
      <w:r w:rsidR="00ED6446">
        <w:t xml:space="preserve">evidence </w:t>
      </w:r>
      <w:r>
        <w:t xml:space="preserve">via randomised </w:t>
      </w:r>
      <w:r w:rsidR="00ED6446">
        <w:t xml:space="preserve">controlled </w:t>
      </w:r>
      <w:r>
        <w:t xml:space="preserve">trials on programs in schools through its </w:t>
      </w:r>
      <w:r w:rsidRPr="009E1DA3">
        <w:t>Learning Impact Fund</w:t>
      </w:r>
      <w:r>
        <w:t xml:space="preserve">. </w:t>
      </w:r>
      <w:proofErr w:type="spellStart"/>
      <w:r w:rsidR="00A90BF9">
        <w:t>E4L</w:t>
      </w:r>
      <w:proofErr w:type="spellEnd"/>
      <w:r>
        <w:t xml:space="preserve"> is well supported in this endeavour by the successful UK Educational Endowment Foundation, which was funded by the UK government, and </w:t>
      </w:r>
      <w:proofErr w:type="spellStart"/>
      <w:r>
        <w:t>E4L</w:t>
      </w:r>
      <w:proofErr w:type="spellEnd"/>
      <w:r>
        <w:t xml:space="preserve"> i</w:t>
      </w:r>
      <w:r w:rsidR="009E1DA3">
        <w:t>s</w:t>
      </w:r>
      <w:r>
        <w:t xml:space="preserve"> also supported by the Commonwealth Bank.</w:t>
      </w:r>
    </w:p>
    <w:p w14:paraId="35E9ECBF" w14:textId="77777777" w:rsidR="00CE6F73" w:rsidRPr="009E1DA3" w:rsidRDefault="00CE6F73" w:rsidP="00136F01">
      <w:r>
        <w:t xml:space="preserve">We hope to be a valuable contributor to the efforts of the Commission to improve the data and evidence landscape in Australian education. We are keen to share our expertise and experiences with the Commission to support this Inquiry and would welcome opportunities to engage the Commission over the course of the Inquiry. </w:t>
      </w:r>
    </w:p>
    <w:p w14:paraId="11D30BE2" w14:textId="77777777" w:rsidR="00ED6446" w:rsidRDefault="00ED6446">
      <w:pPr>
        <w:rPr>
          <w:bCs/>
          <w:iCs/>
        </w:rPr>
      </w:pPr>
    </w:p>
    <w:p w14:paraId="676C0F2D" w14:textId="77777777" w:rsidR="00ED6446" w:rsidRDefault="00ED6446">
      <w:pPr>
        <w:spacing w:after="0" w:line="240" w:lineRule="auto"/>
        <w:rPr>
          <w:bCs/>
          <w:iCs/>
        </w:rPr>
      </w:pPr>
      <w:r>
        <w:rPr>
          <w:bCs/>
          <w:iCs/>
        </w:rPr>
        <w:br w:type="page"/>
      </w:r>
    </w:p>
    <w:p w14:paraId="4869E702" w14:textId="77777777" w:rsidR="00ED6446" w:rsidRDefault="00ED6446" w:rsidP="00601741">
      <w:pPr>
        <w:pStyle w:val="Heading2"/>
        <w:framePr w:wrap="around"/>
      </w:pPr>
      <w:bookmarkStart w:id="5" w:name="_Toc451895272"/>
      <w:r>
        <w:lastRenderedPageBreak/>
        <w:t>Summary of Recommendations</w:t>
      </w:r>
      <w:bookmarkEnd w:id="5"/>
    </w:p>
    <w:p w14:paraId="531E4ABD" w14:textId="77777777" w:rsidR="00ED6446" w:rsidRDefault="00ED6446" w:rsidP="00601741">
      <w:pPr>
        <w:pStyle w:val="Heading3"/>
        <w:rPr>
          <w:rFonts w:ascii="Times New Roman" w:hAnsi="Times New Roman" w:cs="Times New Roman"/>
          <w:szCs w:val="36"/>
          <w:lang w:eastAsia="en-AU"/>
        </w:rPr>
      </w:pPr>
      <w:bookmarkStart w:id="6" w:name="_Toc451895273"/>
      <w:r>
        <w:t>Scope of the Inquiry</w:t>
      </w:r>
      <w:bookmarkEnd w:id="6"/>
    </w:p>
    <w:p w14:paraId="4C26116C" w14:textId="77777777" w:rsidR="00ED6446" w:rsidRDefault="00ED6446" w:rsidP="00601741">
      <w:r>
        <w:t>The Commission should:</w:t>
      </w:r>
    </w:p>
    <w:p w14:paraId="6B773120" w14:textId="4810634A" w:rsidR="00ED6446" w:rsidRDefault="00ED6446" w:rsidP="00601741">
      <w:pPr>
        <w:pStyle w:val="ListParagraph"/>
        <w:numPr>
          <w:ilvl w:val="0"/>
          <w:numId w:val="52"/>
        </w:numPr>
      </w:pPr>
      <w:r>
        <w:t>Adopt a broad interpretation of the scope of the evidence base including data on children younger than 4 years old whether in early childhood education and care programs or not, and young people outside the formal school sector; and</w:t>
      </w:r>
    </w:p>
    <w:p w14:paraId="56A4911C" w14:textId="2B602ECA" w:rsidR="00ED6446" w:rsidRDefault="00ED6446" w:rsidP="00601741">
      <w:pPr>
        <w:pStyle w:val="ListParagraph"/>
        <w:numPr>
          <w:ilvl w:val="0"/>
          <w:numId w:val="52"/>
        </w:numPr>
      </w:pPr>
      <w:r>
        <w:t>Consider including school based assessment data and administrative processes coming from new sources outside of traditional school providers.</w:t>
      </w:r>
      <w:r>
        <w:br/>
      </w:r>
    </w:p>
    <w:p w14:paraId="025FBC03" w14:textId="77777777" w:rsidR="00ED6446" w:rsidRDefault="00ED6446" w:rsidP="00601741">
      <w:pPr>
        <w:pStyle w:val="Heading3"/>
        <w:rPr>
          <w:rFonts w:ascii="Times New Roman" w:hAnsi="Times New Roman" w:cs="Times New Roman"/>
          <w:sz w:val="36"/>
          <w:szCs w:val="36"/>
        </w:rPr>
      </w:pPr>
      <w:bookmarkStart w:id="7" w:name="_Toc451895274"/>
      <w:r>
        <w:t>Objectives and Framework</w:t>
      </w:r>
      <w:bookmarkEnd w:id="7"/>
    </w:p>
    <w:p w14:paraId="2DBC7497" w14:textId="77777777" w:rsidR="00ED6446" w:rsidRDefault="00ED6446" w:rsidP="00601741">
      <w:pPr>
        <w:pStyle w:val="ListNumber"/>
        <w:numPr>
          <w:ilvl w:val="0"/>
          <w:numId w:val="0"/>
        </w:numPr>
      </w:pPr>
      <w:r>
        <w:t>The Commission should:</w:t>
      </w:r>
    </w:p>
    <w:p w14:paraId="31D192DC" w14:textId="17C82BC6" w:rsidR="00ED6446" w:rsidRDefault="00ED6446" w:rsidP="00601741">
      <w:pPr>
        <w:pStyle w:val="ListNumber"/>
      </w:pPr>
      <w:r>
        <w:t>Expand the focus of the Inquiry and include a consideration of the “educational research literature (particularly with respect to analyses of ‘what works’ in teaching and learning in schools)”. Such expansion is essential to adequately define the types of data required to understand ‘what works and why’ and how best to promote this knowledge to practitioners so that we realise the benefits of an investment in a national education evidence base;</w:t>
      </w:r>
    </w:p>
    <w:p w14:paraId="645B4891" w14:textId="77777777" w:rsidR="00ED6446" w:rsidRDefault="00ED6446" w:rsidP="00601741">
      <w:pPr>
        <w:pStyle w:val="ListNumber"/>
        <w:numPr>
          <w:ilvl w:val="0"/>
          <w:numId w:val="0"/>
        </w:numPr>
        <w:ind w:left="357"/>
      </w:pPr>
    </w:p>
    <w:p w14:paraId="4FFBCFC6" w14:textId="7E1A20FA" w:rsidR="00ED6446" w:rsidRDefault="00ED6446" w:rsidP="00601741">
      <w:pPr>
        <w:pStyle w:val="ListNumber"/>
      </w:pPr>
      <w:r>
        <w:t xml:space="preserve">Adopt a broad definition of the national education objectives consistent with </w:t>
      </w:r>
      <w:r w:rsidR="00A90BF9">
        <w:t>those</w:t>
      </w:r>
      <w:r>
        <w:t xml:space="preserve"> in the Melbourne Declaration to enable young Australians to “become successful learners, confident and creative individuals, and active and informed citizens”;</w:t>
      </w:r>
    </w:p>
    <w:p w14:paraId="1CFBD88A" w14:textId="77777777" w:rsidR="00ED6446" w:rsidRDefault="00ED6446" w:rsidP="00601741">
      <w:pPr>
        <w:pStyle w:val="ListNumber"/>
        <w:numPr>
          <w:ilvl w:val="0"/>
          <w:numId w:val="0"/>
        </w:numPr>
      </w:pPr>
    </w:p>
    <w:p w14:paraId="0A5EAE35" w14:textId="77777777" w:rsidR="00ED6446" w:rsidRDefault="00ED6446" w:rsidP="00601741">
      <w:pPr>
        <w:pStyle w:val="ListNumber"/>
      </w:pPr>
      <w:r>
        <w:t>Define the ‘education evidence base’ and ‘education data’ broadly in order to:</w:t>
      </w:r>
    </w:p>
    <w:p w14:paraId="6D4DE179" w14:textId="77777777" w:rsidR="00ED6446" w:rsidRDefault="00ED6446" w:rsidP="00601741">
      <w:pPr>
        <w:pStyle w:val="ListNumber"/>
        <w:numPr>
          <w:ilvl w:val="0"/>
          <w:numId w:val="53"/>
        </w:numPr>
      </w:pPr>
      <w:r>
        <w:t xml:space="preserve">Include data collected through rigorous program evaluations (such as randomised control trials - </w:t>
      </w:r>
      <w:proofErr w:type="spellStart"/>
      <w:r>
        <w:t>RCT</w:t>
      </w:r>
      <w:proofErr w:type="spellEnd"/>
      <w:r>
        <w:t>) on both quantitative learning outcomes and qualitative conditions and capabilities to answer questions on ‘what works and why’</w:t>
      </w:r>
    </w:p>
    <w:p w14:paraId="5FCFBDF7" w14:textId="01080451" w:rsidR="00ED6446" w:rsidRDefault="00ED6446" w:rsidP="00601741">
      <w:pPr>
        <w:pStyle w:val="ListNumber"/>
        <w:numPr>
          <w:ilvl w:val="0"/>
          <w:numId w:val="53"/>
        </w:numPr>
      </w:pPr>
      <w:r>
        <w:t>Include data on emerging characteristics such as ‘21st Century Skills’ and non</w:t>
      </w:r>
      <w:r w:rsidR="009F7F4F">
        <w:t>-</w:t>
      </w:r>
      <w:r>
        <w:t xml:space="preserve">cognitive skills as measures and instruments improve </w:t>
      </w:r>
    </w:p>
    <w:p w14:paraId="3FB792DC" w14:textId="77777777" w:rsidR="00ED6446" w:rsidRDefault="00ED6446" w:rsidP="00601741">
      <w:pPr>
        <w:pStyle w:val="ListNumber"/>
        <w:numPr>
          <w:ilvl w:val="0"/>
          <w:numId w:val="53"/>
        </w:numPr>
      </w:pPr>
      <w:r>
        <w:t>Include data on contextual factors that influence student outcomes (e.g. student background factors) and other ‘external determinants’</w:t>
      </w:r>
    </w:p>
    <w:p w14:paraId="0089CB81" w14:textId="77777777" w:rsidR="00ED6446" w:rsidRDefault="00ED6446" w:rsidP="00601741">
      <w:pPr>
        <w:pStyle w:val="ListNumber"/>
        <w:numPr>
          <w:ilvl w:val="0"/>
          <w:numId w:val="53"/>
        </w:numPr>
      </w:pPr>
      <w:r>
        <w:t>Include data on ‘within-system determinants’ such as teacher and school leader capabilities with a particular focus on data relating to research and evidence use</w:t>
      </w:r>
    </w:p>
    <w:p w14:paraId="4703B79F" w14:textId="77777777" w:rsidR="00ED6446" w:rsidRDefault="00ED6446" w:rsidP="00601741">
      <w:pPr>
        <w:pStyle w:val="ListNumber"/>
        <w:numPr>
          <w:ilvl w:val="0"/>
          <w:numId w:val="53"/>
        </w:numPr>
      </w:pPr>
      <w:r>
        <w:t>Include data on direct and indirect costs of program implementation</w:t>
      </w:r>
    </w:p>
    <w:p w14:paraId="4150D593" w14:textId="74A83603" w:rsidR="00ED6446" w:rsidRDefault="00ED6446" w:rsidP="00601741">
      <w:pPr>
        <w:pStyle w:val="ListNumber"/>
        <w:numPr>
          <w:ilvl w:val="0"/>
          <w:numId w:val="0"/>
        </w:numPr>
        <w:ind w:left="717"/>
      </w:pPr>
      <w:r>
        <w:t xml:space="preserve">  </w:t>
      </w:r>
    </w:p>
    <w:p w14:paraId="742CF677" w14:textId="77777777" w:rsidR="00ED6446" w:rsidRDefault="00ED6446" w:rsidP="00601741">
      <w:pPr>
        <w:pStyle w:val="ListNumber"/>
      </w:pPr>
      <w:r>
        <w:t xml:space="preserve">Note the special opportunity that access to administrative datasets provides to reducing the costs of conducting </w:t>
      </w:r>
      <w:proofErr w:type="spellStart"/>
      <w:r>
        <w:t>RCT</w:t>
      </w:r>
      <w:proofErr w:type="spellEnd"/>
      <w:r>
        <w:t xml:space="preserve"> (both for primary measures and background characteristics). </w:t>
      </w:r>
    </w:p>
    <w:p w14:paraId="551E4DB5" w14:textId="7BF82A4A" w:rsidR="00ED6446" w:rsidRDefault="00ED6446" w:rsidP="00601741">
      <w:pPr>
        <w:pStyle w:val="ListNumber"/>
        <w:numPr>
          <w:ilvl w:val="0"/>
          <w:numId w:val="0"/>
        </w:numPr>
        <w:ind w:left="357"/>
      </w:pPr>
      <w:r>
        <w:t> </w:t>
      </w:r>
    </w:p>
    <w:p w14:paraId="0D8D6B0B" w14:textId="7986F4CF" w:rsidR="00ED6446" w:rsidRDefault="00ED6446" w:rsidP="00601741">
      <w:pPr>
        <w:pStyle w:val="ListNumber"/>
      </w:pPr>
      <w:r>
        <w:t>Include consideration of the costs and benefits of supporting ‘knowledge mobili</w:t>
      </w:r>
      <w:r w:rsidR="00CC5C14">
        <w:t>s</w:t>
      </w:r>
      <w:r>
        <w:t>ation’ to frontline professionals recogni</w:t>
      </w:r>
      <w:r w:rsidR="00CC5C14">
        <w:t>s</w:t>
      </w:r>
      <w:r>
        <w:t xml:space="preserve">ing this as a crucial investment in order to actually improve educational outcomes. </w:t>
      </w:r>
    </w:p>
    <w:p w14:paraId="5CA03AC0" w14:textId="64172444" w:rsidR="00ED6446" w:rsidRDefault="00ED6446">
      <w:pPr>
        <w:spacing w:after="0" w:line="240" w:lineRule="auto"/>
      </w:pPr>
      <w:r>
        <w:rPr>
          <w:b/>
          <w:bCs/>
        </w:rPr>
        <w:br w:type="page"/>
      </w:r>
    </w:p>
    <w:p w14:paraId="32C038F5" w14:textId="77777777" w:rsidR="00ED6446" w:rsidRDefault="00ED6446" w:rsidP="00601741">
      <w:pPr>
        <w:pStyle w:val="Heading3"/>
        <w:rPr>
          <w:rFonts w:ascii="Times New Roman" w:hAnsi="Times New Roman" w:cs="Times New Roman"/>
          <w:szCs w:val="36"/>
          <w:lang w:eastAsia="en-AU"/>
        </w:rPr>
      </w:pPr>
      <w:bookmarkStart w:id="8" w:name="_Toc451895275"/>
      <w:r>
        <w:lastRenderedPageBreak/>
        <w:t>Issues and Opportunities</w:t>
      </w:r>
      <w:bookmarkEnd w:id="8"/>
      <w:r>
        <w:t xml:space="preserve"> </w:t>
      </w:r>
    </w:p>
    <w:p w14:paraId="1355CB53" w14:textId="77777777" w:rsidR="00ED6446" w:rsidRDefault="00ED6446" w:rsidP="00601741">
      <w:r>
        <w:t>The Commission should:</w:t>
      </w:r>
    </w:p>
    <w:p w14:paraId="5D65EB18" w14:textId="1E9D05DF" w:rsidR="00ED6446" w:rsidRDefault="00ED6446" w:rsidP="00601741">
      <w:pPr>
        <w:pStyle w:val="ListNumber"/>
        <w:numPr>
          <w:ilvl w:val="0"/>
          <w:numId w:val="54"/>
        </w:numPr>
      </w:pPr>
      <w:r>
        <w:t>Consider an independent body to commission, conduct, report on and promote rigorous evaluations of school programs in the form of a ‘what works’ centre similar to those emerging in other countries.</w:t>
      </w:r>
    </w:p>
    <w:p w14:paraId="66F34B4F" w14:textId="77777777" w:rsidR="00ED6446" w:rsidRDefault="00ED6446" w:rsidP="00601741">
      <w:pPr>
        <w:pStyle w:val="ListNumber"/>
        <w:numPr>
          <w:ilvl w:val="0"/>
          <w:numId w:val="0"/>
        </w:numPr>
        <w:ind w:left="360"/>
      </w:pPr>
    </w:p>
    <w:p w14:paraId="29F8DD8C" w14:textId="77777777" w:rsidR="00ED6446" w:rsidRDefault="00ED6446" w:rsidP="00601741">
      <w:pPr>
        <w:pStyle w:val="ListNumber"/>
      </w:pPr>
      <w:r>
        <w:t>Consider requiring programs seeking government funding to submit themselves to an independent evaluation which is then published and freely available, thereby supporting a culture and standard of transparent, non-partisan evidence generation.</w:t>
      </w:r>
    </w:p>
    <w:p w14:paraId="08F6EC45" w14:textId="77777777" w:rsidR="00ED6446" w:rsidRDefault="00ED6446" w:rsidP="00601741">
      <w:pPr>
        <w:pStyle w:val="ListNumber"/>
        <w:numPr>
          <w:ilvl w:val="0"/>
          <w:numId w:val="0"/>
        </w:numPr>
        <w:ind w:left="357"/>
      </w:pPr>
    </w:p>
    <w:p w14:paraId="4B5817EE" w14:textId="3C581594" w:rsidR="00ED6446" w:rsidRDefault="00ED6446" w:rsidP="00601741">
      <w:pPr>
        <w:pStyle w:val="ListNumber"/>
      </w:pPr>
      <w:r>
        <w:t>Recognise the need for investment in knowledge translation and mobili</w:t>
      </w:r>
      <w:r w:rsidR="00CC5C14">
        <w:t>s</w:t>
      </w:r>
      <w:r>
        <w:t>ation through support for ‘implementation science’ and ‘improvement science’ models and subject proposed approaches to equally rigorous evaluations of impact and outcomes.</w:t>
      </w:r>
    </w:p>
    <w:p w14:paraId="0D9AD7A9" w14:textId="77777777" w:rsidR="00ED6446" w:rsidRDefault="00ED6446" w:rsidP="00601741">
      <w:pPr>
        <w:pStyle w:val="Heading3"/>
        <w:rPr>
          <w:rFonts w:ascii="Times New Roman" w:hAnsi="Times New Roman" w:cs="Times New Roman"/>
          <w:sz w:val="36"/>
          <w:szCs w:val="36"/>
        </w:rPr>
      </w:pPr>
      <w:bookmarkStart w:id="9" w:name="_Toc451895276"/>
      <w:r>
        <w:t>Institutions, data governance and prioritising reform</w:t>
      </w:r>
      <w:bookmarkEnd w:id="9"/>
    </w:p>
    <w:p w14:paraId="08502BD7" w14:textId="77777777" w:rsidR="00ED6446" w:rsidRDefault="00ED6446" w:rsidP="00601741">
      <w:r>
        <w:t>The Commission should:</w:t>
      </w:r>
    </w:p>
    <w:p w14:paraId="06AE887D" w14:textId="602F874A" w:rsidR="00ED6446" w:rsidRDefault="00ED6446" w:rsidP="00601741">
      <w:pPr>
        <w:pStyle w:val="ListNumber"/>
        <w:numPr>
          <w:ilvl w:val="0"/>
          <w:numId w:val="55"/>
        </w:numPr>
      </w:pPr>
      <w:r>
        <w:t>Give priority to those reforms that are expected to have the highest impact on the quality of teaching in the classroom</w:t>
      </w:r>
    </w:p>
    <w:p w14:paraId="03D2C5A6" w14:textId="77777777" w:rsidR="00ED6446" w:rsidRDefault="00ED6446" w:rsidP="00601741">
      <w:pPr>
        <w:pStyle w:val="ListNumber"/>
        <w:numPr>
          <w:ilvl w:val="0"/>
          <w:numId w:val="0"/>
        </w:numPr>
        <w:ind w:left="360"/>
      </w:pPr>
    </w:p>
    <w:p w14:paraId="70B6CB6B" w14:textId="504B6C3D" w:rsidR="00ED6446" w:rsidRDefault="00B03C61" w:rsidP="00601741">
      <w:pPr>
        <w:pStyle w:val="ListNumber"/>
      </w:pPr>
      <w:r>
        <w:t>Make recommendations to f</w:t>
      </w:r>
      <w:r w:rsidR="00ED6446">
        <w:t>ill the research gap of experimental evidence on the learning impact of programs and approaches being used in schools</w:t>
      </w:r>
    </w:p>
    <w:p w14:paraId="47F515B8" w14:textId="77777777" w:rsidR="00ED6446" w:rsidRDefault="00ED6446" w:rsidP="00601741">
      <w:pPr>
        <w:pStyle w:val="ListNumber"/>
        <w:numPr>
          <w:ilvl w:val="0"/>
          <w:numId w:val="0"/>
        </w:numPr>
        <w:ind w:left="357"/>
      </w:pPr>
    </w:p>
    <w:p w14:paraId="2FA6C7ED" w14:textId="78844888" w:rsidR="00ED6446" w:rsidRDefault="00B03C61" w:rsidP="00601741">
      <w:pPr>
        <w:pStyle w:val="ListNumber"/>
      </w:pPr>
      <w:r>
        <w:t>Make recommendations to f</w:t>
      </w:r>
      <w:r w:rsidR="00ED6446">
        <w:t>ill the ‘research use’ gap of evidence engagement and adoption by frontline professionals  </w:t>
      </w:r>
    </w:p>
    <w:p w14:paraId="05502F1C" w14:textId="77777777" w:rsidR="00ED6446" w:rsidRDefault="00ED6446" w:rsidP="00601741">
      <w:pPr>
        <w:pStyle w:val="NormalWeb"/>
        <w:spacing w:after="0" w:line="240" w:lineRule="auto"/>
        <w:textAlignment w:val="baseline"/>
        <w:rPr>
          <w:rFonts w:ascii="Arial" w:hAnsi="Arial" w:cs="Arial"/>
          <w:color w:val="000000"/>
          <w:sz w:val="22"/>
          <w:szCs w:val="22"/>
        </w:rPr>
      </w:pPr>
    </w:p>
    <w:p w14:paraId="51D8FDAA" w14:textId="21D00F65" w:rsidR="00EF2A35" w:rsidRDefault="00EF2A35">
      <w:r>
        <w:rPr>
          <w:bCs/>
          <w:iCs/>
        </w:rPr>
        <w:br w:type="page"/>
      </w:r>
    </w:p>
    <w:p w14:paraId="6A2C23FD" w14:textId="601CF467" w:rsidR="00CE6F73" w:rsidRPr="009E1DA3" w:rsidRDefault="00CE6F73" w:rsidP="00EF2A35">
      <w:pPr>
        <w:pStyle w:val="Heading2"/>
        <w:framePr w:h="709" w:hRule="exact" w:wrap="around"/>
      </w:pPr>
      <w:bookmarkStart w:id="10" w:name="_Toc451895277"/>
      <w:r w:rsidRPr="009E1DA3">
        <w:lastRenderedPageBreak/>
        <w:t>Introduction</w:t>
      </w:r>
      <w:bookmarkEnd w:id="10"/>
      <w:r w:rsidRPr="009E1DA3">
        <w:t xml:space="preserve"> </w:t>
      </w:r>
    </w:p>
    <w:p w14:paraId="3A6DA17D" w14:textId="77CC54E1" w:rsidR="00CE6F73" w:rsidRPr="009E1DA3" w:rsidRDefault="00ED6446" w:rsidP="00EF2A35">
      <w:pPr>
        <w:pStyle w:val="Heading3"/>
      </w:pPr>
      <w:r>
        <w:br/>
      </w:r>
      <w:bookmarkStart w:id="11" w:name="_Toc451895278"/>
      <w:r w:rsidR="00CE6F73" w:rsidRPr="009E1DA3">
        <w:t>The importance of this Inquiry</w:t>
      </w:r>
      <w:bookmarkEnd w:id="11"/>
    </w:p>
    <w:p w14:paraId="12DD871A" w14:textId="21A785B0" w:rsidR="00CE6F73" w:rsidRPr="009E1DA3" w:rsidRDefault="00CE6F73" w:rsidP="00136F01">
      <w:r>
        <w:t>Social Ventures Australia welcomes this Inquiry and the opportunity it creates for a comprehensive review of how Australia can “create a more robust national education evidence base for effective policy and program development to meet our national education objectives and lift our national productivity.”</w:t>
      </w:r>
      <w:r w:rsidR="00E52BCA">
        <w:rPr>
          <w:rStyle w:val="FootnoteReference"/>
        </w:rPr>
        <w:footnoteReference w:id="3"/>
      </w:r>
      <w:r>
        <w:t xml:space="preserve"> We are also encouraged that the terms of reference recognises the importance of identifying “opportunities to collectively invest further, and how we can improve the effectiveness of our investment through a more streamlined, comprehensive and collaborative national approach”.</w:t>
      </w:r>
      <w:r w:rsidR="00E52BCA">
        <w:rPr>
          <w:rStyle w:val="FootnoteReference"/>
        </w:rPr>
        <w:footnoteReference w:id="4"/>
      </w:r>
      <w:r>
        <w:t xml:space="preserve">        </w:t>
      </w:r>
    </w:p>
    <w:p w14:paraId="7AEBB737" w14:textId="158A6381" w:rsidR="00CE6F73" w:rsidRPr="009E1DA3" w:rsidRDefault="00CE6F73" w:rsidP="00136F01">
      <w:r>
        <w:t>Australia has had clear objectives for educational outcomes for a considerable length of time, including the Melbourne Declaration Goals that have been in place since 2008.</w:t>
      </w:r>
      <w:r w:rsidR="00E52BCA">
        <w:rPr>
          <w:rStyle w:val="FootnoteReference"/>
        </w:rPr>
        <w:footnoteReference w:id="5"/>
      </w:r>
      <w:r>
        <w:t xml:space="preserve"> These goals have been supported by annual national testing of school students under the NAP program, with national, state and territory </w:t>
      </w:r>
      <w:proofErr w:type="spellStart"/>
      <w:r>
        <w:t>NAPLAN</w:t>
      </w:r>
      <w:proofErr w:type="spellEnd"/>
      <w:r>
        <w:t xml:space="preserve"> results reported publicly through My School website since 2008.</w:t>
      </w:r>
      <w:r w:rsidR="00E52BCA">
        <w:rPr>
          <w:rStyle w:val="FootnoteReference"/>
        </w:rPr>
        <w:footnoteReference w:id="6"/>
      </w:r>
      <w:r>
        <w:t xml:space="preserve"> And this has been supplemented by international testing through PISA, </w:t>
      </w:r>
      <w:proofErr w:type="spellStart"/>
      <w:r>
        <w:t>TIMSS</w:t>
      </w:r>
      <w:proofErr w:type="spellEnd"/>
      <w:r>
        <w:t xml:space="preserve"> and </w:t>
      </w:r>
      <w:proofErr w:type="spellStart"/>
      <w:r>
        <w:t>PIRLS</w:t>
      </w:r>
      <w:proofErr w:type="spellEnd"/>
      <w:r>
        <w:t xml:space="preserve"> since 2000. Over this same period of time Australia has considerably increased the total funding made available to school education to achieve our educational goals.</w:t>
      </w:r>
    </w:p>
    <w:p w14:paraId="2AE814ED" w14:textId="4BDFEB92" w:rsidR="00CE6F73" w:rsidRPr="009E1DA3" w:rsidRDefault="00CE6F73" w:rsidP="00136F01">
      <w:r>
        <w:t xml:space="preserve">Despite this focus and increased funding support, the data on student outcomes suggests that Australian students’ academic performance has not improved significantly. On the whole, </w:t>
      </w:r>
      <w:proofErr w:type="spellStart"/>
      <w:r>
        <w:t>NAPLAN</w:t>
      </w:r>
      <w:proofErr w:type="spellEnd"/>
      <w:r>
        <w:t xml:space="preserve"> data has been largely flat since 2008, PISA data shows declines in Australian students’ performance in relative terms (compared to high performers) as well as static or declining performance for Australian students in absolute terms.</w:t>
      </w:r>
      <w:r w:rsidR="00E52BCA">
        <w:rPr>
          <w:rStyle w:val="FootnoteReference"/>
        </w:rPr>
        <w:footnoteReference w:id="7"/>
      </w:r>
      <w:r w:rsidRPr="009E1DA3">
        <w:t xml:space="preserve"> </w:t>
      </w:r>
      <w:r>
        <w:t>It is clear that there is more work to do to meet the aspiration set out in the Inquiry’s terms of reference to “build a world class education systems that equips children to succeed in an increasingly competitive world.”</w:t>
      </w:r>
      <w:r w:rsidR="001D31BE">
        <w:rPr>
          <w:rStyle w:val="FootnoteReference"/>
        </w:rPr>
        <w:footnoteReference w:id="8"/>
      </w:r>
    </w:p>
    <w:p w14:paraId="1B19768C" w14:textId="79181344" w:rsidR="00CE6F73" w:rsidRPr="009E1DA3" w:rsidRDefault="00CE6F73" w:rsidP="00136F01">
      <w:r>
        <w:t>There is also an increase in the financial and operational autonomy for Australian government schools.</w:t>
      </w:r>
      <w:r w:rsidR="001D31BE">
        <w:rPr>
          <w:rStyle w:val="FootnoteReference"/>
        </w:rPr>
        <w:footnoteReference w:id="9"/>
      </w:r>
      <w:r>
        <w:t xml:space="preserve"> School leaders have more control over the investments they make to improve the learning environment and opportunities for the students in their care. But this means they also require better information and support to ensure that their choices deliver the best educational return possible. </w:t>
      </w:r>
    </w:p>
    <w:p w14:paraId="3AE5866B" w14:textId="77777777" w:rsidR="00CE6F73" w:rsidRPr="009E1DA3" w:rsidRDefault="00CE6F73" w:rsidP="00136F01">
      <w:r>
        <w:t>In this environment a national educational evidence base that supports the sector to improve educational outcomes is both timely and important.</w:t>
      </w:r>
    </w:p>
    <w:p w14:paraId="12627B22" w14:textId="07EB5F8D" w:rsidR="009122E5" w:rsidRDefault="009122E5" w:rsidP="00136F01">
      <w:r>
        <w:br w:type="page"/>
      </w:r>
    </w:p>
    <w:p w14:paraId="616201E7" w14:textId="77777777" w:rsidR="00AC0D35" w:rsidRDefault="00AC0D35" w:rsidP="00303F21">
      <w:pPr>
        <w:pStyle w:val="Heading3"/>
      </w:pPr>
    </w:p>
    <w:p w14:paraId="671A8D08" w14:textId="77777777" w:rsidR="00CE6F73" w:rsidRPr="009E1DA3" w:rsidRDefault="00CE6F73">
      <w:pPr>
        <w:pStyle w:val="Heading3"/>
      </w:pPr>
      <w:bookmarkStart w:id="12" w:name="_Toc451895279"/>
      <w:r w:rsidRPr="009E1DA3">
        <w:t>Social Ventures Australia and our view on education</w:t>
      </w:r>
      <w:bookmarkEnd w:id="12"/>
    </w:p>
    <w:p w14:paraId="667A874C" w14:textId="6921863C" w:rsidR="00EF2A35" w:rsidRDefault="00CE6F73" w:rsidP="00601741">
      <w:r>
        <w:t>Social Ventures Australia (</w:t>
      </w:r>
      <w:proofErr w:type="spellStart"/>
      <w:r>
        <w:t>SVA</w:t>
      </w:r>
      <w:proofErr w:type="spellEnd"/>
      <w:r>
        <w:t xml:space="preserve">) works to improve the lives of people in need. We focus on keys to overcoming disadvantage in Australia, including great education, sustainable jobs, stable housing and appropriate health, disability and community services. By offering funding, investment, and advice we support partners across sectors to increase their social impact. We are a </w:t>
      </w:r>
      <w:proofErr w:type="spellStart"/>
      <w:r>
        <w:t>non-profit</w:t>
      </w:r>
      <w:proofErr w:type="spellEnd"/>
      <w:r>
        <w:t xml:space="preserve"> organisation established in 2002 by The Benevolent Society, The Smith Family, </w:t>
      </w:r>
      <w:proofErr w:type="spellStart"/>
      <w:r>
        <w:t>WorkVentures</w:t>
      </w:r>
      <w:proofErr w:type="spellEnd"/>
      <w:r>
        <w:t xml:space="preserve"> and AMP Foundation.</w:t>
      </w:r>
      <w:r w:rsidR="0080327E">
        <w:br/>
      </w:r>
    </w:p>
    <w:p w14:paraId="4B5004C2" w14:textId="77777777" w:rsidR="00CE6F73" w:rsidRPr="009E1DA3" w:rsidRDefault="00CE6F73" w:rsidP="00EF2A35">
      <w:pPr>
        <w:pStyle w:val="Heading3"/>
      </w:pPr>
      <w:bookmarkStart w:id="13" w:name="_Toc451895280"/>
      <w:r w:rsidRPr="009E1DA3">
        <w:t>Key drivers for improving educational opportunity for all</w:t>
      </w:r>
      <w:bookmarkEnd w:id="13"/>
    </w:p>
    <w:p w14:paraId="31B276CF" w14:textId="0D25BDB5" w:rsidR="00E0340A" w:rsidRDefault="00CE6F73" w:rsidP="00136F01">
      <w:proofErr w:type="spellStart"/>
      <w:r>
        <w:t>SVA</w:t>
      </w:r>
      <w:proofErr w:type="spellEnd"/>
      <w:r>
        <w:t xml:space="preserve"> has </w:t>
      </w:r>
      <w:r w:rsidR="00ED6446">
        <w:t xml:space="preserve">identified </w:t>
      </w:r>
      <w:r>
        <w:t>a ‘driver tree’ for our practice areas in Education, Employment, Housing and First Australians.</w:t>
      </w:r>
      <w:r w:rsidR="00ED6446">
        <w:t xml:space="preserve"> </w:t>
      </w:r>
      <w:r>
        <w:t>These drivers have been selected based on their evidence of high impact and improved outcomes.</w:t>
      </w:r>
      <w:r w:rsidR="00ED6446">
        <w:t xml:space="preserve"> </w:t>
      </w:r>
      <w:proofErr w:type="spellStart"/>
      <w:r w:rsidR="00ED6446">
        <w:t>SVA</w:t>
      </w:r>
      <w:proofErr w:type="spellEnd"/>
      <w:r w:rsidR="00ED6446">
        <w:t xml:space="preserve"> uses the driver tree to prioritise our investments and activities.</w:t>
      </w:r>
      <w:r>
        <w:t xml:space="preserve"> If a venture or program does not address one or more of the drivers we cannot have confidence that we will be making the best possible impact for our investment. </w:t>
      </w:r>
    </w:p>
    <w:p w14:paraId="3D5EEE79" w14:textId="77777777" w:rsidR="00E0340A" w:rsidRDefault="00CE6F73" w:rsidP="00136F01">
      <w:r>
        <w:t>In education we have a vision for Australia where there is an equal opportunity to access high quality education and to develop the skills to participate fully in society, regardless of background.</w:t>
      </w:r>
    </w:p>
    <w:p w14:paraId="57814D73" w14:textId="6257CCC3" w:rsidR="008978F5" w:rsidRDefault="008978F5" w:rsidP="008978F5">
      <w:r>
        <w:t>Ensuring a high quality education that improves life chances for young Australians cannot be addressed simply in primary and secondary school years; it begins in early childhood experiences and continues past secondary education with meaningful transitions to further study or employment. It also cannot be confined to formal school settings, home and community influences play a significant role in setting the potential for children to benefit from formal education and in the impact schools can have even in their own work.</w:t>
      </w:r>
      <w:r>
        <w:rPr>
          <w:rStyle w:val="FootnoteReference"/>
        </w:rPr>
        <w:footnoteReference w:id="10"/>
      </w:r>
    </w:p>
    <w:p w14:paraId="24B1E627" w14:textId="77777777" w:rsidR="008978F5" w:rsidRPr="009C44A3" w:rsidRDefault="008978F5" w:rsidP="008978F5">
      <w:r>
        <w:t>For these reasons our driver tree covers three education phases - Early Years, K-12 and School-to-work transitions. And it considers Formal Education and the Home/Community environment in each phase.</w:t>
      </w:r>
    </w:p>
    <w:p w14:paraId="57D72CAD" w14:textId="77777777" w:rsidR="008978F5" w:rsidRDefault="008978F5" w:rsidP="008978F5">
      <w:r>
        <w:t xml:space="preserve">It’s also for this reason that we will argue later for a broader definition of the data that is relevant to improving learning outcomes of Australia’s children and the need to consider opportunities to link data on learning outcomes with other childhood wellbeing indicators. </w:t>
      </w:r>
      <w:r w:rsidRPr="001D31BE">
        <w:t>We note that the Australian Research Alliance for Children and Youth (</w:t>
      </w:r>
      <w:proofErr w:type="spellStart"/>
      <w:r w:rsidRPr="001D31BE">
        <w:t>ARACY</w:t>
      </w:r>
      <w:proofErr w:type="spellEnd"/>
      <w:r w:rsidRPr="001D31BE">
        <w:t>) has created The Nest Action Agenda, which provides a national framework of goals and action areas for children’s wellbeing, which should serve as a useful starting point for considering which kinds of data should be collected and linked.</w:t>
      </w:r>
      <w:r>
        <w:rPr>
          <w:rStyle w:val="FootnoteReference"/>
        </w:rPr>
        <w:footnoteReference w:id="11"/>
      </w:r>
    </w:p>
    <w:p w14:paraId="50B957BF" w14:textId="7AD874A6" w:rsidR="00E0340A" w:rsidRPr="009C44A3" w:rsidRDefault="00E0340A" w:rsidP="008978F5">
      <w:proofErr w:type="spellStart"/>
      <w:r>
        <w:t>SVA</w:t>
      </w:r>
      <w:proofErr w:type="spellEnd"/>
      <w:r>
        <w:t xml:space="preserve"> has worked with a number of ventures and partners to improve education outcomes for Australian children. These include: </w:t>
      </w:r>
      <w:proofErr w:type="spellStart"/>
      <w:r>
        <w:t>Goodstart</w:t>
      </w:r>
      <w:proofErr w:type="spellEnd"/>
      <w:r>
        <w:t xml:space="preserve"> Early Learning; Beacon; </w:t>
      </w:r>
      <w:proofErr w:type="spellStart"/>
      <w:r>
        <w:t>AIME</w:t>
      </w:r>
      <w:proofErr w:type="spellEnd"/>
      <w:r>
        <w:t xml:space="preserve">; National Exceptional Teachers for Disadvantaged Schools; as well as internal </w:t>
      </w:r>
      <w:proofErr w:type="spellStart"/>
      <w:r>
        <w:t>SVA</w:t>
      </w:r>
      <w:proofErr w:type="spellEnd"/>
      <w:r>
        <w:t xml:space="preserve"> ventures Bright Spots Schools Connection and Evidence for Learning.</w:t>
      </w:r>
    </w:p>
    <w:p w14:paraId="3F542051" w14:textId="77777777" w:rsidR="008978F5" w:rsidRPr="009C44A3" w:rsidRDefault="008978F5" w:rsidP="008978F5"/>
    <w:p w14:paraId="4933E044" w14:textId="77777777" w:rsidR="008978F5" w:rsidRDefault="008978F5" w:rsidP="00136F01"/>
    <w:p w14:paraId="1180C023" w14:textId="0EDBACE5" w:rsidR="00CE6F73" w:rsidRDefault="008978F5" w:rsidP="00CE6F73">
      <w:r>
        <w:rPr>
          <w:noProof/>
          <w:lang w:eastAsia="en-AU"/>
        </w:rPr>
        <w:lastRenderedPageBreak/>
        <w:drawing>
          <wp:inline distT="0" distB="0" distL="0" distR="0" wp14:anchorId="1C849580" wp14:editId="6227E2D0">
            <wp:extent cx="5939790" cy="6189345"/>
            <wp:effectExtent l="0" t="0" r="381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_sva_education_driver_tree_5_cropped.jpg"/>
                    <pic:cNvPicPr/>
                  </pic:nvPicPr>
                  <pic:blipFill>
                    <a:blip r:embed="rId16">
                      <a:extLst>
                        <a:ext uri="{28A0092B-C50C-407E-A947-70E740481C1C}">
                          <a14:useLocalDpi xmlns:a14="http://schemas.microsoft.com/office/drawing/2010/main" val="0"/>
                        </a:ext>
                      </a:extLst>
                    </a:blip>
                    <a:stretch>
                      <a:fillRect/>
                    </a:stretch>
                  </pic:blipFill>
                  <pic:spPr>
                    <a:xfrm>
                      <a:off x="0" y="0"/>
                      <a:ext cx="5939790" cy="6189345"/>
                    </a:xfrm>
                    <a:prstGeom prst="rect">
                      <a:avLst/>
                    </a:prstGeom>
                  </pic:spPr>
                </pic:pic>
              </a:graphicData>
            </a:graphic>
          </wp:inline>
        </w:drawing>
      </w:r>
    </w:p>
    <w:p w14:paraId="1357BC16" w14:textId="44E23823" w:rsidR="00CE6F73" w:rsidRDefault="00CE6F73" w:rsidP="00CE6F73">
      <w:pPr>
        <w:pStyle w:val="NormalWeb"/>
        <w:spacing w:after="0"/>
        <w:ind w:left="360" w:hanging="360"/>
      </w:pPr>
    </w:p>
    <w:p w14:paraId="324AD11C" w14:textId="77777777" w:rsidR="008978F5" w:rsidRDefault="008978F5" w:rsidP="00CE6F73">
      <w:pPr>
        <w:pStyle w:val="NormalWeb"/>
        <w:spacing w:after="0"/>
        <w:rPr>
          <w:rFonts w:ascii="Arial" w:hAnsi="Arial" w:cs="Arial"/>
          <w:color w:val="000000"/>
          <w:sz w:val="22"/>
          <w:szCs w:val="22"/>
        </w:rPr>
      </w:pPr>
    </w:p>
    <w:p w14:paraId="64EDDD5B" w14:textId="30D31C64" w:rsidR="00CE6F73" w:rsidRPr="009C44A3" w:rsidRDefault="00CE6F73" w:rsidP="00136F01">
      <w:r>
        <w:t xml:space="preserve">We have taken a special interest in the formal K-12 </w:t>
      </w:r>
      <w:r w:rsidR="00CD215B">
        <w:t>s</w:t>
      </w:r>
      <w:r>
        <w:t xml:space="preserve">chooling sector of our driver tree, though we recognise the significant impact of early learning to learning outcomes, and the role of high quality early childhood education programs both in preparation for school but also for improving life chances. </w:t>
      </w:r>
    </w:p>
    <w:p w14:paraId="4FB28A81" w14:textId="5CF1D4A4" w:rsidR="009C44A3" w:rsidRPr="009C44A3" w:rsidRDefault="00CE6F73" w:rsidP="00136F01">
      <w:r>
        <w:t xml:space="preserve">Within the K-12 </w:t>
      </w:r>
      <w:r w:rsidR="00CD215B">
        <w:t>s</w:t>
      </w:r>
      <w:r>
        <w:t>chooling sector we have chosen to focus on two drivers as areas that we, as an organisation, could have most impact on:</w:t>
      </w:r>
    </w:p>
    <w:p w14:paraId="2C31744E" w14:textId="68D4CEA8" w:rsidR="00CE6F73" w:rsidRDefault="00CE6F73" w:rsidP="00FF2733">
      <w:pPr>
        <w:pStyle w:val="ListParagraph"/>
        <w:numPr>
          <w:ilvl w:val="0"/>
          <w:numId w:val="33"/>
        </w:numPr>
      </w:pPr>
      <w:r>
        <w:t>Dynamic school leadership engaging with networks to sustain a strong culture of continuous improvement informed by evidence; and</w:t>
      </w:r>
    </w:p>
    <w:p w14:paraId="39CD1766" w14:textId="60BB5F45" w:rsidR="009C44A3" w:rsidRDefault="00CE6F73" w:rsidP="00FF2733">
      <w:pPr>
        <w:pStyle w:val="ListParagraph"/>
        <w:numPr>
          <w:ilvl w:val="0"/>
          <w:numId w:val="33"/>
        </w:numPr>
      </w:pPr>
      <w:r>
        <w:t>Consistently great teaching delivered by respected professionals who are effective in their specific context.</w:t>
      </w:r>
    </w:p>
    <w:p w14:paraId="7CF69B9C" w14:textId="2F51746C" w:rsidR="009C44A3" w:rsidRDefault="00CE6F73" w:rsidP="00136F01">
      <w:r>
        <w:lastRenderedPageBreak/>
        <w:t>Evidence strongly supports the high impact</w:t>
      </w:r>
      <w:r w:rsidR="008978F5">
        <w:t xml:space="preserve"> that</w:t>
      </w:r>
      <w:r>
        <w:t xml:space="preserve"> improvements in these two areas can make</w:t>
      </w:r>
      <w:r w:rsidR="008978F5">
        <w:t>:</w:t>
      </w:r>
      <w:r>
        <w:t xml:space="preserve"> </w:t>
      </w:r>
    </w:p>
    <w:p w14:paraId="3032F586" w14:textId="11CDE0D7" w:rsidR="00CE6F73" w:rsidRDefault="00CE6F73" w:rsidP="00FF2733">
      <w:pPr>
        <w:pStyle w:val="ListBullet"/>
        <w:numPr>
          <w:ilvl w:val="0"/>
          <w:numId w:val="34"/>
        </w:numPr>
      </w:pPr>
      <w:r>
        <w:t>The biggest ‘in school’ factor to improve impact is high quality teaching.</w:t>
      </w:r>
      <w:r w:rsidR="001D31BE">
        <w:rPr>
          <w:rStyle w:val="FootnoteReference"/>
        </w:rPr>
        <w:footnoteReference w:id="12"/>
      </w:r>
      <w:r>
        <w:t xml:space="preserve"> An exceptional teacher, equipped with the most effective approaches, has a far greater impact on student learni</w:t>
      </w:r>
      <w:r w:rsidR="001D31BE">
        <w:t>ng than an ineffective teacher.</w:t>
      </w:r>
      <w:r w:rsidR="001D31BE">
        <w:rPr>
          <w:rStyle w:val="FootnoteReference"/>
        </w:rPr>
        <w:footnoteReference w:id="13"/>
      </w:r>
    </w:p>
    <w:p w14:paraId="2E01D18C" w14:textId="6604E108" w:rsidR="00CE6F73" w:rsidRDefault="00CE6F73" w:rsidP="00FF2733">
      <w:pPr>
        <w:pStyle w:val="ListBullet"/>
        <w:numPr>
          <w:ilvl w:val="0"/>
          <w:numId w:val="34"/>
        </w:numPr>
      </w:pPr>
      <w:r>
        <w:t>Consistency is a problem - bigger ‘in school’ variance in teaching quality and student outcomes and between schools</w:t>
      </w:r>
      <w:r w:rsidR="001D31BE">
        <w:rPr>
          <w:rStyle w:val="FootnoteReference"/>
        </w:rPr>
        <w:footnoteReference w:id="14"/>
      </w:r>
    </w:p>
    <w:p w14:paraId="16D0C6B9" w14:textId="5EEFD4A6" w:rsidR="00CE6F73" w:rsidRDefault="00CE6F73" w:rsidP="00FF2733">
      <w:pPr>
        <w:pStyle w:val="ListBullet"/>
        <w:numPr>
          <w:ilvl w:val="0"/>
          <w:numId w:val="34"/>
        </w:numPr>
      </w:pPr>
      <w:r>
        <w:t>School leadership creates the culture and conditions for consistently good practice</w:t>
      </w:r>
      <w:r w:rsidR="001D31BE">
        <w:rPr>
          <w:rStyle w:val="FootnoteReference"/>
        </w:rPr>
        <w:footnoteReference w:id="15"/>
      </w:r>
    </w:p>
    <w:p w14:paraId="4716D9AE" w14:textId="5E9877C0" w:rsidR="00CE6F73" w:rsidRPr="009C44A3" w:rsidRDefault="00CE6F73" w:rsidP="00136F01">
      <w:r>
        <w:t>Over several years of schooling, this can make a huge difference to a student’s chance of success in life.</w:t>
      </w:r>
      <w:r w:rsidR="001D31BE">
        <w:rPr>
          <w:rStyle w:val="FootnoteReference"/>
        </w:rPr>
        <w:footnoteReference w:id="16"/>
      </w:r>
      <w:r>
        <w:t xml:space="preserve"> And potential broader economic benefits are considerable.</w:t>
      </w:r>
      <w:r w:rsidR="001D31BE">
        <w:rPr>
          <w:rStyle w:val="FootnoteReference"/>
        </w:rPr>
        <w:footnoteReference w:id="17"/>
      </w:r>
    </w:p>
    <w:p w14:paraId="52A9D48E" w14:textId="14F25879" w:rsidR="00CE6F73" w:rsidRPr="009C44A3" w:rsidRDefault="00CE6F73" w:rsidP="00136F01">
      <w:proofErr w:type="spellStart"/>
      <w:r>
        <w:t>SVA</w:t>
      </w:r>
      <w:proofErr w:type="spellEnd"/>
      <w:r>
        <w:t xml:space="preserve"> believes that supporting school leaders and teacher</w:t>
      </w:r>
      <w:r w:rsidR="008978F5">
        <w:t>s</w:t>
      </w:r>
      <w:r>
        <w:t xml:space="preserve"> to embrace and engage with evidence to better inform their decision making is crucial if we are to cost effectively improve educational outcomes. To that end, we are incubating a new social enterprise that addresses some of the barriers to evidence</w:t>
      </w:r>
      <w:r w:rsidR="008978F5">
        <w:t>-</w:t>
      </w:r>
      <w:r>
        <w:t>informed policy and practice.</w:t>
      </w:r>
    </w:p>
    <w:p w14:paraId="10D65440" w14:textId="77777777" w:rsidR="009C44A3" w:rsidRDefault="009C44A3">
      <w:r>
        <w:rPr>
          <w:bCs/>
          <w:iCs/>
        </w:rPr>
        <w:br w:type="page"/>
      </w:r>
    </w:p>
    <w:p w14:paraId="08922EEA" w14:textId="55035EB0" w:rsidR="00BF27CD" w:rsidRPr="00136F01" w:rsidRDefault="00136F01" w:rsidP="00136F01">
      <w:pPr>
        <w:pStyle w:val="NormalWeb"/>
        <w:spacing w:after="0"/>
        <w:rPr>
          <w:rFonts w:ascii="Arial" w:hAnsi="Arial" w:cs="Arial"/>
          <w:color w:val="000000"/>
          <w:sz w:val="22"/>
          <w:szCs w:val="22"/>
        </w:rPr>
      </w:pPr>
      <w:r>
        <w:rPr>
          <w:noProof/>
          <w:lang w:eastAsia="en-AU"/>
        </w:rPr>
        <w:lastRenderedPageBreak/>
        <mc:AlternateContent>
          <mc:Choice Requires="wps">
            <w:drawing>
              <wp:anchor distT="45720" distB="45720" distL="114300" distR="114300" simplePos="0" relativeHeight="251655680" behindDoc="0" locked="0" layoutInCell="1" allowOverlap="1" wp14:anchorId="0045BD3A" wp14:editId="00E95992">
                <wp:simplePos x="0" y="0"/>
                <wp:positionH relativeFrom="margin">
                  <wp:align>left</wp:align>
                </wp:positionH>
                <wp:positionV relativeFrom="paragraph">
                  <wp:posOffset>4606290</wp:posOffset>
                </wp:positionV>
                <wp:extent cx="6050280" cy="2979420"/>
                <wp:effectExtent l="0" t="0" r="762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2979420"/>
                        </a:xfrm>
                        <a:prstGeom prst="rect">
                          <a:avLst/>
                        </a:prstGeom>
                        <a:solidFill>
                          <a:schemeClr val="accent2">
                            <a:lumMod val="20000"/>
                            <a:lumOff val="80000"/>
                          </a:schemeClr>
                        </a:solidFill>
                        <a:ln w="9525">
                          <a:noFill/>
                          <a:miter lim="800000"/>
                          <a:headEnd/>
                          <a:tailEnd/>
                        </a:ln>
                      </wps:spPr>
                      <wps:txbx>
                        <w:txbxContent>
                          <w:p w14:paraId="40DA364A" w14:textId="77777777" w:rsidR="00051F36" w:rsidRPr="009C44A3" w:rsidRDefault="00051F36" w:rsidP="00136F01">
                            <w:pPr>
                              <w:pStyle w:val="Heading3"/>
                            </w:pPr>
                            <w:bookmarkStart w:id="14" w:name="_Toc451895281"/>
                            <w:r w:rsidRPr="009C44A3">
                              <w:t>Key Activities</w:t>
                            </w:r>
                            <w:bookmarkEnd w:id="14"/>
                          </w:p>
                          <w:p w14:paraId="4C29BFD5" w14:textId="72C37FD5" w:rsidR="00051F36" w:rsidRPr="009C44A3" w:rsidRDefault="00051F36" w:rsidP="00136F01">
                            <w:proofErr w:type="spellStart"/>
                            <w:r>
                              <w:t>E4L</w:t>
                            </w:r>
                            <w:proofErr w:type="spellEnd"/>
                            <w:r>
                              <w:t xml:space="preserve"> is an evidence broker; we are an intermediary between researchers, policy makers, funders (public and private) and school practitioners with an explicit goal of lifting the learning impact of approaches and programs in schools.</w:t>
                            </w:r>
                          </w:p>
                          <w:p w14:paraId="78B138B3" w14:textId="77777777" w:rsidR="00051F36" w:rsidRDefault="00051F36" w:rsidP="00136F01">
                            <w:r>
                              <w:t>We do this through building, sharing and encouraging the use of evidence to strengthen school decision making leading to improved educational outcomes for learners.</w:t>
                            </w:r>
                          </w:p>
                          <w:p w14:paraId="152AAD20" w14:textId="77777777" w:rsidR="00051F36" w:rsidRDefault="00051F36" w:rsidP="00136F01">
                            <w:pPr>
                              <w:pStyle w:val="NormalWeb"/>
                              <w:spacing w:after="0"/>
                              <w:rPr>
                                <w:rFonts w:ascii="Arial" w:hAnsi="Arial" w:cs="Arial"/>
                                <w:color w:val="000000"/>
                                <w:sz w:val="22"/>
                                <w:szCs w:val="22"/>
                              </w:rPr>
                            </w:pPr>
                          </w:p>
                          <w:p w14:paraId="613AB944" w14:textId="77777777" w:rsidR="00051F36" w:rsidRPr="009C44A3" w:rsidRDefault="00051F36" w:rsidP="00136F01">
                            <w:pPr>
                              <w:pStyle w:val="Heading3"/>
                            </w:pPr>
                            <w:bookmarkStart w:id="15" w:name="_Toc451895282"/>
                            <w:r w:rsidRPr="009C44A3">
                              <w:t>Build evidence through the Learning Impact Fund</w:t>
                            </w:r>
                            <w:bookmarkEnd w:id="15"/>
                          </w:p>
                          <w:p w14:paraId="24E24B15" w14:textId="1CBF00EF" w:rsidR="00051F36" w:rsidRDefault="00051F36" w:rsidP="00136F01">
                            <w:proofErr w:type="spellStart"/>
                            <w:r>
                              <w:t>E4L</w:t>
                            </w:r>
                            <w:proofErr w:type="spellEnd"/>
                            <w:r>
                              <w:t xml:space="preserve"> creates new high quality evidence through a Learning Impact Fund that pairs programs in schools with experienced independent evaluators to conduct rigorous research on their impact on learning. The Fund makes grants for empirical evidence generation with a search for causation, quantitative measures of learning gain and the counterfactual (e.g. randomised controlled trial where possible) as well as secondary measures and qualitative factors. It produces freely available, plain English reports for use by school leaders showing the months’ of learning gain, the cost to implement and the strength of evidence.</w:t>
                            </w:r>
                          </w:p>
                          <w:p w14:paraId="18673541" w14:textId="77777777" w:rsidR="00051F36" w:rsidRDefault="00051F36" w:rsidP="00136F01"/>
                          <w:p w14:paraId="21406870" w14:textId="77777777" w:rsidR="00051F36" w:rsidRDefault="00051F36" w:rsidP="00136F01">
                            <w:pPr>
                              <w:pStyle w:val="NormalWeb"/>
                              <w:spacing w:after="0"/>
                              <w:rPr>
                                <w:rFonts w:ascii="Arial" w:hAnsi="Arial" w:cs="Arial"/>
                                <w:color w:val="000000"/>
                                <w:sz w:val="22"/>
                                <w:szCs w:val="22"/>
                              </w:rPr>
                            </w:pPr>
                          </w:p>
                          <w:p w14:paraId="3EF352ED" w14:textId="77777777" w:rsidR="00051F36" w:rsidRDefault="00051F36" w:rsidP="00136F01">
                            <w:pPr>
                              <w:pStyle w:val="NormalWeb"/>
                              <w:spacing w:after="0"/>
                              <w:rPr>
                                <w:rFonts w:ascii="Arial" w:hAnsi="Arial" w:cs="Arial"/>
                                <w:color w:val="000000"/>
                                <w:sz w:val="22"/>
                                <w:szCs w:val="22"/>
                              </w:rPr>
                            </w:pPr>
                          </w:p>
                          <w:p w14:paraId="17C11775" w14:textId="77777777" w:rsidR="00051F36" w:rsidRDefault="00051F36" w:rsidP="00136F01">
                            <w:pPr>
                              <w:pStyle w:val="NormalWeb"/>
                              <w:spacing w:after="0"/>
                              <w:rPr>
                                <w:rFonts w:ascii="Arial" w:hAnsi="Arial" w:cs="Arial"/>
                                <w:color w:val="000000"/>
                                <w:sz w:val="22"/>
                                <w:szCs w:val="22"/>
                              </w:rPr>
                            </w:pPr>
                          </w:p>
                          <w:p w14:paraId="65AD904F" w14:textId="77777777" w:rsidR="00051F36" w:rsidRDefault="00051F36" w:rsidP="00136F01">
                            <w:pPr>
                              <w:pStyle w:val="NormalWeb"/>
                              <w:spacing w:after="0"/>
                              <w:rPr>
                                <w:rFonts w:ascii="Arial" w:hAnsi="Arial" w:cs="Arial"/>
                                <w:color w:val="000000"/>
                                <w:sz w:val="22"/>
                                <w:szCs w:val="22"/>
                              </w:rPr>
                            </w:pPr>
                          </w:p>
                          <w:p w14:paraId="4E86185D" w14:textId="77777777" w:rsidR="00051F36" w:rsidRDefault="00051F36" w:rsidP="00136F01">
                            <w:pPr>
                              <w:pStyle w:val="NormalWeb"/>
                              <w:spacing w:after="0"/>
                              <w:rPr>
                                <w:rFonts w:ascii="Arial" w:hAnsi="Arial" w:cs="Arial"/>
                                <w:color w:val="000000"/>
                                <w:sz w:val="22"/>
                                <w:szCs w:val="22"/>
                              </w:rPr>
                            </w:pPr>
                          </w:p>
                          <w:p w14:paraId="096196AF" w14:textId="77777777" w:rsidR="00051F36" w:rsidRDefault="00051F36" w:rsidP="00136F01">
                            <w:pPr>
                              <w:pStyle w:val="NormalWeb"/>
                              <w:spacing w:after="0"/>
                              <w:rPr>
                                <w:rFonts w:ascii="Arial" w:hAnsi="Arial" w:cs="Arial"/>
                                <w:color w:val="000000"/>
                                <w:sz w:val="22"/>
                                <w:szCs w:val="22"/>
                              </w:rPr>
                            </w:pPr>
                          </w:p>
                          <w:p w14:paraId="7FDE6474" w14:textId="77777777" w:rsidR="00051F36" w:rsidRDefault="00051F36" w:rsidP="00136F01">
                            <w:pPr>
                              <w:pStyle w:val="NormalWeb"/>
                              <w:spacing w:after="0"/>
                              <w:rPr>
                                <w:rFonts w:ascii="Arial" w:hAnsi="Arial" w:cs="Arial"/>
                                <w:color w:val="000000"/>
                                <w:sz w:val="22"/>
                                <w:szCs w:val="22"/>
                              </w:rPr>
                            </w:pPr>
                          </w:p>
                          <w:p w14:paraId="11C0AEC7" w14:textId="77777777" w:rsidR="00051F36" w:rsidRDefault="00051F36" w:rsidP="00136F01">
                            <w:pPr>
                              <w:pStyle w:val="NormalWeb"/>
                              <w:spacing w:after="0"/>
                              <w:rPr>
                                <w:rFonts w:ascii="Arial" w:hAnsi="Arial" w:cs="Arial"/>
                                <w:color w:val="000000"/>
                                <w:sz w:val="22"/>
                                <w:szCs w:val="22"/>
                              </w:rPr>
                            </w:pPr>
                          </w:p>
                          <w:p w14:paraId="27FDCCDB" w14:textId="77777777" w:rsidR="00051F36" w:rsidRDefault="00051F36" w:rsidP="00136F01">
                            <w:pPr>
                              <w:pStyle w:val="NormalWeb"/>
                              <w:spacing w:after="0"/>
                              <w:rPr>
                                <w:rFonts w:ascii="Arial" w:hAnsi="Arial" w:cs="Arial"/>
                                <w:color w:val="000000"/>
                                <w:sz w:val="22"/>
                                <w:szCs w:val="22"/>
                              </w:rPr>
                            </w:pPr>
                          </w:p>
                          <w:p w14:paraId="4EA8A8C0" w14:textId="77777777" w:rsidR="00051F36" w:rsidRDefault="00051F36" w:rsidP="00136F01">
                            <w:pPr>
                              <w:pStyle w:val="NormalWeb"/>
                              <w:spacing w:after="0"/>
                              <w:rPr>
                                <w:rFonts w:ascii="Arial" w:hAnsi="Arial" w:cs="Arial"/>
                                <w:color w:val="000000"/>
                                <w:sz w:val="22"/>
                                <w:szCs w:val="22"/>
                              </w:rPr>
                            </w:pPr>
                          </w:p>
                          <w:p w14:paraId="375EBA9F" w14:textId="77777777" w:rsidR="00051F36" w:rsidRPr="009C44A3" w:rsidRDefault="00051F36" w:rsidP="00136F01">
                            <w:pPr>
                              <w:pStyle w:val="NormalWeb"/>
                              <w:spacing w:after="0"/>
                              <w:rPr>
                                <w:rFonts w:ascii="Arial" w:hAnsi="Arial" w:cs="Arial"/>
                                <w:color w:val="000000"/>
                                <w:sz w:val="22"/>
                                <w:szCs w:val="22"/>
                              </w:rPr>
                            </w:pPr>
                          </w:p>
                          <w:p w14:paraId="482A3CAE" w14:textId="77777777" w:rsidR="00051F36" w:rsidRPr="00136F01" w:rsidRDefault="00051F36" w:rsidP="00136F01"/>
                          <w:p w14:paraId="1766ADAA" w14:textId="77777777" w:rsidR="00051F36" w:rsidRDefault="00051F36" w:rsidP="00136F01">
                            <w:pPr>
                              <w:spacing w:before="120" w:after="120" w:line="288" w:lineRule="auto"/>
                            </w:pPr>
                            <w:r>
                              <w:t xml:space="preserve"> </w:t>
                            </w:r>
                          </w:p>
                          <w:p w14:paraId="59210D0D" w14:textId="77777777" w:rsidR="00051F36" w:rsidRDefault="00051F36" w:rsidP="00136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45BD3A" id="_x0000_t202" coordsize="21600,21600" o:spt="202" path="m,l,21600r21600,l21600,xe">
                <v:stroke joinstyle="miter"/>
                <v:path gradientshapeok="t" o:connecttype="rect"/>
              </v:shapetype>
              <v:shape id="Text Box 2" o:spid="_x0000_s1026" type="#_x0000_t202" style="position:absolute;margin-left:0;margin-top:362.7pt;width:476.4pt;height:234.6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" fillcolor="#efede4 [661]" stroked="f">
                <v:textbox>
                  <w:txbxContent>
                    <w:p w14:paraId="40DA364A" w14:textId="77777777" w:rsidR="00051F36" w:rsidRPr="009C44A3" w:rsidRDefault="00051F36" w:rsidP="00136F01">
                      <w:pPr>
                        <w:pStyle w:val="Heading3"/>
                      </w:pPr>
                      <w:bookmarkStart w:id="15" w:name="_Toc451895281"/>
                      <w:r w:rsidRPr="009C44A3">
                        <w:t>Key Activities</w:t>
                      </w:r>
                      <w:bookmarkEnd w:id="15"/>
                    </w:p>
                    <w:p w14:paraId="4C29BFD5" w14:textId="72C37FD5" w:rsidR="00051F36" w:rsidRPr="009C44A3" w:rsidRDefault="00051F36" w:rsidP="00136F01">
                      <w:r>
                        <w:t>E4L is an evidence broker; we are an intermediary between researchers, policy makers, funders (public and private) and school practitioners with an explicit goal of lifting the learning impact of approaches and programs in schools.</w:t>
                      </w:r>
                    </w:p>
                    <w:p w14:paraId="78B138B3" w14:textId="77777777" w:rsidR="00051F36" w:rsidRDefault="00051F36" w:rsidP="00136F01">
                      <w:r>
                        <w:t>We do this through building, sharing and encouraging the use of evidence to strengthen school decision making leading to improved educational outcomes for learners.</w:t>
                      </w:r>
                    </w:p>
                    <w:p w14:paraId="152AAD20" w14:textId="77777777" w:rsidR="00051F36" w:rsidRDefault="00051F36" w:rsidP="00136F01">
                      <w:pPr>
                        <w:pStyle w:val="NormalWeb"/>
                        <w:spacing w:after="0"/>
                        <w:rPr>
                          <w:rFonts w:ascii="Arial" w:hAnsi="Arial" w:cs="Arial"/>
                          <w:color w:val="000000"/>
                          <w:sz w:val="22"/>
                          <w:szCs w:val="22"/>
                        </w:rPr>
                      </w:pPr>
                    </w:p>
                    <w:p w14:paraId="613AB944" w14:textId="77777777" w:rsidR="00051F36" w:rsidRPr="009C44A3" w:rsidRDefault="00051F36" w:rsidP="00136F01">
                      <w:pPr>
                        <w:pStyle w:val="Heading3"/>
                      </w:pPr>
                      <w:bookmarkStart w:id="16" w:name="_Toc451895282"/>
                      <w:r w:rsidRPr="009C44A3">
                        <w:t>Build evidence through the Learning Impact Fund</w:t>
                      </w:r>
                      <w:bookmarkEnd w:id="16"/>
                    </w:p>
                    <w:p w14:paraId="24E24B15" w14:textId="1CBF00EF" w:rsidR="00051F36" w:rsidRDefault="00051F36" w:rsidP="00136F01">
                      <w:r>
                        <w:t>E4L creates new high quality evidence through a Learning Impact Fund that pairs programs in schools with experienced independent evaluators to conduct rigorous research on their impact on learning. The Fund makes grants for empirical evidence generation with a search for causation, quantitative measures of learning gain and the counterfactual (e.g. randomised controlled trial where possible) as well as secondary measures and qualitative factors. It produces freely available, plain English reports for use by school leaders showing the months’ of learning gain, the cost to implement and the strength of evidence.</w:t>
                      </w:r>
                    </w:p>
                    <w:p w14:paraId="18673541" w14:textId="77777777" w:rsidR="00051F36" w:rsidRDefault="00051F36" w:rsidP="00136F01"/>
                    <w:p w14:paraId="21406870" w14:textId="77777777" w:rsidR="00051F36" w:rsidRDefault="00051F36" w:rsidP="00136F01">
                      <w:pPr>
                        <w:pStyle w:val="NormalWeb"/>
                        <w:spacing w:after="0"/>
                        <w:rPr>
                          <w:rFonts w:ascii="Arial" w:hAnsi="Arial" w:cs="Arial"/>
                          <w:color w:val="000000"/>
                          <w:sz w:val="22"/>
                          <w:szCs w:val="22"/>
                        </w:rPr>
                      </w:pPr>
                    </w:p>
                    <w:p w14:paraId="3EF352ED" w14:textId="77777777" w:rsidR="00051F36" w:rsidRDefault="00051F36" w:rsidP="00136F01">
                      <w:pPr>
                        <w:pStyle w:val="NormalWeb"/>
                        <w:spacing w:after="0"/>
                        <w:rPr>
                          <w:rFonts w:ascii="Arial" w:hAnsi="Arial" w:cs="Arial"/>
                          <w:color w:val="000000"/>
                          <w:sz w:val="22"/>
                          <w:szCs w:val="22"/>
                        </w:rPr>
                      </w:pPr>
                    </w:p>
                    <w:p w14:paraId="17C11775" w14:textId="77777777" w:rsidR="00051F36" w:rsidRDefault="00051F36" w:rsidP="00136F01">
                      <w:pPr>
                        <w:pStyle w:val="NormalWeb"/>
                        <w:spacing w:after="0"/>
                        <w:rPr>
                          <w:rFonts w:ascii="Arial" w:hAnsi="Arial" w:cs="Arial"/>
                          <w:color w:val="000000"/>
                          <w:sz w:val="22"/>
                          <w:szCs w:val="22"/>
                        </w:rPr>
                      </w:pPr>
                    </w:p>
                    <w:p w14:paraId="65AD904F" w14:textId="77777777" w:rsidR="00051F36" w:rsidRDefault="00051F36" w:rsidP="00136F01">
                      <w:pPr>
                        <w:pStyle w:val="NormalWeb"/>
                        <w:spacing w:after="0"/>
                        <w:rPr>
                          <w:rFonts w:ascii="Arial" w:hAnsi="Arial" w:cs="Arial"/>
                          <w:color w:val="000000"/>
                          <w:sz w:val="22"/>
                          <w:szCs w:val="22"/>
                        </w:rPr>
                      </w:pPr>
                    </w:p>
                    <w:p w14:paraId="4E86185D" w14:textId="77777777" w:rsidR="00051F36" w:rsidRDefault="00051F36" w:rsidP="00136F01">
                      <w:pPr>
                        <w:pStyle w:val="NormalWeb"/>
                        <w:spacing w:after="0"/>
                        <w:rPr>
                          <w:rFonts w:ascii="Arial" w:hAnsi="Arial" w:cs="Arial"/>
                          <w:color w:val="000000"/>
                          <w:sz w:val="22"/>
                          <w:szCs w:val="22"/>
                        </w:rPr>
                      </w:pPr>
                    </w:p>
                    <w:p w14:paraId="096196AF" w14:textId="77777777" w:rsidR="00051F36" w:rsidRDefault="00051F36" w:rsidP="00136F01">
                      <w:pPr>
                        <w:pStyle w:val="NormalWeb"/>
                        <w:spacing w:after="0"/>
                        <w:rPr>
                          <w:rFonts w:ascii="Arial" w:hAnsi="Arial" w:cs="Arial"/>
                          <w:color w:val="000000"/>
                          <w:sz w:val="22"/>
                          <w:szCs w:val="22"/>
                        </w:rPr>
                      </w:pPr>
                    </w:p>
                    <w:p w14:paraId="7FDE6474" w14:textId="77777777" w:rsidR="00051F36" w:rsidRDefault="00051F36" w:rsidP="00136F01">
                      <w:pPr>
                        <w:pStyle w:val="NormalWeb"/>
                        <w:spacing w:after="0"/>
                        <w:rPr>
                          <w:rFonts w:ascii="Arial" w:hAnsi="Arial" w:cs="Arial"/>
                          <w:color w:val="000000"/>
                          <w:sz w:val="22"/>
                          <w:szCs w:val="22"/>
                        </w:rPr>
                      </w:pPr>
                    </w:p>
                    <w:p w14:paraId="11C0AEC7" w14:textId="77777777" w:rsidR="00051F36" w:rsidRDefault="00051F36" w:rsidP="00136F01">
                      <w:pPr>
                        <w:pStyle w:val="NormalWeb"/>
                        <w:spacing w:after="0"/>
                        <w:rPr>
                          <w:rFonts w:ascii="Arial" w:hAnsi="Arial" w:cs="Arial"/>
                          <w:color w:val="000000"/>
                          <w:sz w:val="22"/>
                          <w:szCs w:val="22"/>
                        </w:rPr>
                      </w:pPr>
                    </w:p>
                    <w:p w14:paraId="27FDCCDB" w14:textId="77777777" w:rsidR="00051F36" w:rsidRDefault="00051F36" w:rsidP="00136F01">
                      <w:pPr>
                        <w:pStyle w:val="NormalWeb"/>
                        <w:spacing w:after="0"/>
                        <w:rPr>
                          <w:rFonts w:ascii="Arial" w:hAnsi="Arial" w:cs="Arial"/>
                          <w:color w:val="000000"/>
                          <w:sz w:val="22"/>
                          <w:szCs w:val="22"/>
                        </w:rPr>
                      </w:pPr>
                    </w:p>
                    <w:p w14:paraId="4EA8A8C0" w14:textId="77777777" w:rsidR="00051F36" w:rsidRDefault="00051F36" w:rsidP="00136F01">
                      <w:pPr>
                        <w:pStyle w:val="NormalWeb"/>
                        <w:spacing w:after="0"/>
                        <w:rPr>
                          <w:rFonts w:ascii="Arial" w:hAnsi="Arial" w:cs="Arial"/>
                          <w:color w:val="000000"/>
                          <w:sz w:val="22"/>
                          <w:szCs w:val="22"/>
                        </w:rPr>
                      </w:pPr>
                    </w:p>
                    <w:p w14:paraId="375EBA9F" w14:textId="77777777" w:rsidR="00051F36" w:rsidRPr="009C44A3" w:rsidRDefault="00051F36" w:rsidP="00136F01">
                      <w:pPr>
                        <w:pStyle w:val="NormalWeb"/>
                        <w:spacing w:after="0"/>
                        <w:rPr>
                          <w:rFonts w:ascii="Arial" w:hAnsi="Arial" w:cs="Arial"/>
                          <w:color w:val="000000"/>
                          <w:sz w:val="22"/>
                          <w:szCs w:val="22"/>
                        </w:rPr>
                      </w:pPr>
                    </w:p>
                    <w:p w14:paraId="482A3CAE" w14:textId="77777777" w:rsidR="00051F36" w:rsidRPr="00136F01" w:rsidRDefault="00051F36" w:rsidP="00136F01"/>
                    <w:p w14:paraId="1766ADAA" w14:textId="77777777" w:rsidR="00051F36" w:rsidRDefault="00051F36" w:rsidP="00136F01">
                      <w:pPr>
                        <w:spacing w:before="120" w:after="120" w:line="288" w:lineRule="auto"/>
                      </w:pPr>
                      <w:r>
                        <w:t xml:space="preserve"> </w:t>
                      </w:r>
                    </w:p>
                    <w:p w14:paraId="59210D0D" w14:textId="77777777" w:rsidR="00051F36" w:rsidRDefault="00051F36" w:rsidP="00136F01"/>
                  </w:txbxContent>
                </v:textbox>
                <w10:wrap type="square" anchorx="margin"/>
              </v:shape>
            </w:pict>
          </mc:Fallback>
        </mc:AlternateContent>
      </w:r>
      <w:r>
        <w:rPr>
          <w:noProof/>
          <w:lang w:eastAsia="en-AU"/>
        </w:rPr>
        <mc:AlternateContent>
          <mc:Choice Requires="wps">
            <w:drawing>
              <wp:anchor distT="45720" distB="45720" distL="114300" distR="114300" simplePos="0" relativeHeight="251653632" behindDoc="0" locked="0" layoutInCell="1" allowOverlap="1" wp14:anchorId="2C7DA89F" wp14:editId="54588FD3">
                <wp:simplePos x="0" y="0"/>
                <wp:positionH relativeFrom="margin">
                  <wp:posOffset>9525</wp:posOffset>
                </wp:positionH>
                <wp:positionV relativeFrom="paragraph">
                  <wp:posOffset>0</wp:posOffset>
                </wp:positionV>
                <wp:extent cx="6050280" cy="44196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4419600"/>
                        </a:xfrm>
                        <a:prstGeom prst="rect">
                          <a:avLst/>
                        </a:prstGeom>
                        <a:solidFill>
                          <a:schemeClr val="accent2">
                            <a:lumMod val="20000"/>
                            <a:lumOff val="80000"/>
                          </a:schemeClr>
                        </a:solidFill>
                        <a:ln w="9525">
                          <a:noFill/>
                          <a:miter lim="800000"/>
                          <a:headEnd/>
                          <a:tailEnd/>
                        </a:ln>
                      </wps:spPr>
                      <wps:txbx>
                        <w:txbxContent>
                          <w:p w14:paraId="14A85906" w14:textId="77777777" w:rsidR="00051F36" w:rsidRDefault="00051F36" w:rsidP="00136F01">
                            <w:pPr>
                              <w:pStyle w:val="Heading2"/>
                            </w:pPr>
                            <w:bookmarkStart w:id="16" w:name="_Toc451895283"/>
                            <w:r w:rsidRPr="009C44A3">
                              <w:t>Evidence for Learning - A new social enterprise to help great practice become common practice</w:t>
                            </w:r>
                            <w:bookmarkEnd w:id="16"/>
                          </w:p>
                          <w:p w14:paraId="629E0F7E" w14:textId="0F9A9130" w:rsidR="00051F36" w:rsidRPr="009C44A3" w:rsidRDefault="00051F36" w:rsidP="00136F01">
                            <w:r>
                              <w:t>Evidence for Learning (</w:t>
                            </w:r>
                            <w:proofErr w:type="spellStart"/>
                            <w:r>
                              <w:t>E4L</w:t>
                            </w:r>
                            <w:proofErr w:type="spellEnd"/>
                            <w:r>
                              <w:t xml:space="preserve">) is a new </w:t>
                            </w:r>
                            <w:proofErr w:type="spellStart"/>
                            <w:r>
                              <w:t>non-profit</w:t>
                            </w:r>
                            <w:proofErr w:type="spellEnd"/>
                            <w:r>
                              <w:t xml:space="preserve"> incubated by Social Ventures Australia with its foundation partners, the UK’s Education Endowment Foundation and the Commonwealth Bank. It was created to begin to address shortcomings identified in the education evidence ecosystem in Australia.</w:t>
                            </w:r>
                          </w:p>
                          <w:p w14:paraId="7E20D19B" w14:textId="0E8B26B2" w:rsidR="00051F36" w:rsidRPr="009C44A3" w:rsidRDefault="00051F36" w:rsidP="00136F01">
                            <w:r>
                              <w:t>Our vision is an Australia where evidence informed approaches raise the learning impact for 5-18 year olds, so that all children, regardless of background, make the best possible progress. We currently support the K-12 school sector but there is potential to support early childhood in the future.</w:t>
                            </w:r>
                          </w:p>
                          <w:p w14:paraId="07EB4A71" w14:textId="18648505" w:rsidR="00051F36" w:rsidRPr="009C44A3" w:rsidRDefault="00051F36" w:rsidP="00136F01">
                            <w:r>
                              <w:t>Our purpose is to support educators to improve their learning impact by increasing the evidence of what works and why, making this more widely available and actively used in classrooms, schools and systems.</w:t>
                            </w:r>
                          </w:p>
                          <w:p w14:paraId="09D97CBE" w14:textId="60A84B28" w:rsidR="00051F36" w:rsidRDefault="00051F36" w:rsidP="00136F01">
                            <w:proofErr w:type="spellStart"/>
                            <w:r>
                              <w:t>E4L’s</w:t>
                            </w:r>
                            <w:proofErr w:type="spellEnd"/>
                            <w:r>
                              <w:t xml:space="preserve"> scope is national and cross-sectoral (across government, Catholic and independent education providers). </w:t>
                            </w:r>
                          </w:p>
                          <w:p w14:paraId="72D9A9B9" w14:textId="56460085" w:rsidR="00051F36" w:rsidRPr="009C44A3" w:rsidRDefault="00051F36" w:rsidP="00136F01">
                            <w:r>
                              <w:t>Critically, we are independent of all providers and funders of schooling, program and service providers, researchers and agencies. This enables us to commission, develop, present and promote evidence to school leaders and teachers to assist them make better investment decisions. In order to be effective we collaborate closely with all education sector stakeholders.</w:t>
                            </w:r>
                          </w:p>
                          <w:p w14:paraId="42C3FCDA" w14:textId="791E1E1D" w:rsidR="00051F36" w:rsidRPr="00136F01" w:rsidRDefault="00051F36" w:rsidP="00136F01">
                            <w:r>
                              <w:t xml:space="preserve">The full presentation of </w:t>
                            </w:r>
                            <w:proofErr w:type="spellStart"/>
                            <w:r>
                              <w:t>E4L’s</w:t>
                            </w:r>
                            <w:proofErr w:type="spellEnd"/>
                            <w:r>
                              <w:t xml:space="preserve"> work can be found at </w:t>
                            </w:r>
                            <w:hyperlink r:id="rId17" w:history="1">
                              <w:proofErr w:type="spellStart"/>
                              <w:r>
                                <w:rPr>
                                  <w:rStyle w:val="Hyperlink"/>
                                  <w:rFonts w:ascii="Arial" w:hAnsi="Arial" w:cs="Arial"/>
                                  <w:color w:val="1155CC"/>
                                  <w:sz w:val="22"/>
                                  <w:szCs w:val="22"/>
                                </w:rPr>
                                <w:t>www.evidenceforlearning.org.au</w:t>
                              </w:r>
                              <w:proofErr w:type="spellEnd"/>
                            </w:hyperlink>
                            <w:r>
                              <w:t>.</w:t>
                            </w:r>
                          </w:p>
                          <w:p w14:paraId="73C8202B" w14:textId="77777777" w:rsidR="00051F36" w:rsidRDefault="00051F36" w:rsidP="00136F01">
                            <w:pPr>
                              <w:pStyle w:val="NormalWeb"/>
                              <w:spacing w:after="0"/>
                              <w:rPr>
                                <w:rFonts w:ascii="Arial" w:hAnsi="Arial" w:cs="Arial"/>
                                <w:color w:val="000000"/>
                                <w:sz w:val="22"/>
                                <w:szCs w:val="22"/>
                              </w:rPr>
                            </w:pPr>
                          </w:p>
                          <w:p w14:paraId="5F86FDD1" w14:textId="77777777" w:rsidR="00051F36" w:rsidRDefault="00051F36" w:rsidP="00136F01">
                            <w:pPr>
                              <w:pStyle w:val="NormalWeb"/>
                              <w:spacing w:after="0"/>
                              <w:rPr>
                                <w:rFonts w:ascii="Arial" w:hAnsi="Arial" w:cs="Arial"/>
                                <w:color w:val="000000"/>
                                <w:sz w:val="22"/>
                                <w:szCs w:val="22"/>
                              </w:rPr>
                            </w:pPr>
                          </w:p>
                          <w:p w14:paraId="58C41FDA" w14:textId="77777777" w:rsidR="00051F36" w:rsidRDefault="00051F36" w:rsidP="00136F01">
                            <w:pPr>
                              <w:pStyle w:val="NormalWeb"/>
                              <w:spacing w:after="0"/>
                              <w:rPr>
                                <w:rFonts w:ascii="Arial" w:hAnsi="Arial" w:cs="Arial"/>
                                <w:color w:val="000000"/>
                                <w:sz w:val="22"/>
                                <w:szCs w:val="22"/>
                              </w:rPr>
                            </w:pPr>
                          </w:p>
                          <w:p w14:paraId="7706E1BB" w14:textId="77777777" w:rsidR="00051F36" w:rsidRDefault="00051F36" w:rsidP="00136F01">
                            <w:pPr>
                              <w:pStyle w:val="NormalWeb"/>
                              <w:spacing w:after="0"/>
                              <w:rPr>
                                <w:rFonts w:ascii="Arial" w:hAnsi="Arial" w:cs="Arial"/>
                                <w:color w:val="000000"/>
                                <w:sz w:val="22"/>
                                <w:szCs w:val="22"/>
                              </w:rPr>
                            </w:pPr>
                          </w:p>
                          <w:p w14:paraId="5E0EC695" w14:textId="77777777" w:rsidR="00051F36" w:rsidRDefault="00051F36" w:rsidP="00136F01">
                            <w:pPr>
                              <w:pStyle w:val="NormalWeb"/>
                              <w:spacing w:after="0"/>
                              <w:rPr>
                                <w:rFonts w:ascii="Arial" w:hAnsi="Arial" w:cs="Arial"/>
                                <w:color w:val="000000"/>
                                <w:sz w:val="22"/>
                                <w:szCs w:val="22"/>
                              </w:rPr>
                            </w:pPr>
                          </w:p>
                          <w:p w14:paraId="77E52182" w14:textId="77777777" w:rsidR="00051F36" w:rsidRDefault="00051F36" w:rsidP="00136F01">
                            <w:pPr>
                              <w:pStyle w:val="NormalWeb"/>
                              <w:spacing w:after="0"/>
                              <w:rPr>
                                <w:rFonts w:ascii="Arial" w:hAnsi="Arial" w:cs="Arial"/>
                                <w:color w:val="000000"/>
                                <w:sz w:val="22"/>
                                <w:szCs w:val="22"/>
                              </w:rPr>
                            </w:pPr>
                          </w:p>
                          <w:p w14:paraId="2C438132" w14:textId="77777777" w:rsidR="00051F36" w:rsidRDefault="00051F36" w:rsidP="00136F01">
                            <w:pPr>
                              <w:pStyle w:val="NormalWeb"/>
                              <w:spacing w:after="0"/>
                              <w:rPr>
                                <w:rFonts w:ascii="Arial" w:hAnsi="Arial" w:cs="Arial"/>
                                <w:color w:val="000000"/>
                                <w:sz w:val="22"/>
                                <w:szCs w:val="22"/>
                              </w:rPr>
                            </w:pPr>
                          </w:p>
                          <w:p w14:paraId="34C03681" w14:textId="77777777" w:rsidR="00051F36" w:rsidRDefault="00051F36" w:rsidP="00136F01">
                            <w:pPr>
                              <w:pStyle w:val="NormalWeb"/>
                              <w:spacing w:after="0"/>
                              <w:rPr>
                                <w:rFonts w:ascii="Arial" w:hAnsi="Arial" w:cs="Arial"/>
                                <w:color w:val="000000"/>
                                <w:sz w:val="22"/>
                                <w:szCs w:val="22"/>
                              </w:rPr>
                            </w:pPr>
                          </w:p>
                          <w:p w14:paraId="4CF7B673" w14:textId="77777777" w:rsidR="00051F36" w:rsidRPr="009C44A3" w:rsidRDefault="00051F36" w:rsidP="00136F01">
                            <w:pPr>
                              <w:pStyle w:val="NormalWeb"/>
                              <w:spacing w:after="0"/>
                              <w:rPr>
                                <w:rFonts w:ascii="Arial" w:hAnsi="Arial" w:cs="Arial"/>
                                <w:color w:val="000000"/>
                                <w:sz w:val="22"/>
                                <w:szCs w:val="22"/>
                              </w:rPr>
                            </w:pPr>
                          </w:p>
                          <w:p w14:paraId="197A6030" w14:textId="77777777" w:rsidR="00051F36" w:rsidRPr="00136F01" w:rsidRDefault="00051F36" w:rsidP="00136F01"/>
                          <w:p w14:paraId="5A09ACB5" w14:textId="1A419C4D" w:rsidR="00051F36" w:rsidRDefault="00051F36" w:rsidP="00136F01">
                            <w:pPr>
                              <w:spacing w:before="120" w:after="120" w:line="288" w:lineRule="auto"/>
                            </w:pPr>
                            <w:r>
                              <w:t xml:space="preserve"> </w:t>
                            </w:r>
                          </w:p>
                          <w:p w14:paraId="38BD5225" w14:textId="77777777" w:rsidR="00051F36" w:rsidRDefault="00051F36" w:rsidP="00136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7DA89F" id="_x0000_s1027" type="#_x0000_t202" style="position:absolute;margin-left:.75pt;margin-top:0;width:476.4pt;height:348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" fillcolor="#efede4 [661]" stroked="f">
                <v:textbox>
                  <w:txbxContent>
                    <w:p w14:paraId="14A85906" w14:textId="77777777" w:rsidR="00051F36" w:rsidRDefault="00051F36" w:rsidP="00136F01">
                      <w:pPr>
                        <w:pStyle w:val="Heading2"/>
                      </w:pPr>
                      <w:bookmarkStart w:id="18" w:name="_Toc451895283"/>
                      <w:r w:rsidRPr="009C44A3">
                        <w:t>Evidence for Learning - A new social enterprise to help great practice become common practice</w:t>
                      </w:r>
                      <w:bookmarkEnd w:id="18"/>
                    </w:p>
                    <w:p w14:paraId="629E0F7E" w14:textId="0F9A9130" w:rsidR="00051F36" w:rsidRPr="009C44A3" w:rsidRDefault="00051F36" w:rsidP="00136F01">
                      <w:r>
                        <w:t>Evidence for Learning (E4L) is a new non-profit incubated by Social Ventures Australia with its foundation partners, the UK’s Education Endowment Foundation and the Commonwealth Bank. It was created to begin to address shortcomings identified in the education evidence ecosystem in Australia.</w:t>
                      </w:r>
                    </w:p>
                    <w:p w14:paraId="7E20D19B" w14:textId="0E8B26B2" w:rsidR="00051F36" w:rsidRPr="009C44A3" w:rsidRDefault="00051F36" w:rsidP="00136F01">
                      <w:r>
                        <w:t>Our vision is an Australia where evidence informed approaches raise the learning impact for 5-18 year olds, so that all children, regardless of background, make the best possible progress. We currently support the K-12 school sector but there is potential to support early childhood in the future.</w:t>
                      </w:r>
                    </w:p>
                    <w:p w14:paraId="07EB4A71" w14:textId="18648505" w:rsidR="00051F36" w:rsidRPr="009C44A3" w:rsidRDefault="00051F36" w:rsidP="00136F01">
                      <w:r>
                        <w:t>Our purpose is to support educators to improve their learning impact by increasing the evidence of what works and why, making this more widely available and actively used in classrooms, schools and systems.</w:t>
                      </w:r>
                    </w:p>
                    <w:p w14:paraId="09D97CBE" w14:textId="60A84B28" w:rsidR="00051F36" w:rsidRDefault="00051F36" w:rsidP="00136F01">
                      <w:r>
                        <w:t xml:space="preserve">E4L’s scope is national and cross-sectoral (across government, Catholic and independent education providers). </w:t>
                      </w:r>
                    </w:p>
                    <w:p w14:paraId="72D9A9B9" w14:textId="56460085" w:rsidR="00051F36" w:rsidRPr="009C44A3" w:rsidRDefault="00051F36" w:rsidP="00136F01">
                      <w:r>
                        <w:t>Critically, we are independent of all providers and funders of schooling, program and service providers, researchers and agencies. This enables us to commission, develop, present and promote evidence to school leaders and teachers to assist them make better investment decisions. In order to be effective we collaborate closely with all education sector stakeholders.</w:t>
                      </w:r>
                    </w:p>
                    <w:p w14:paraId="42C3FCDA" w14:textId="791E1E1D" w:rsidR="00051F36" w:rsidRPr="00136F01" w:rsidRDefault="00051F36" w:rsidP="00136F01">
                      <w:r>
                        <w:t xml:space="preserve">The full presentation of E4L’s work can be found at </w:t>
                      </w:r>
                      <w:hyperlink r:id="rId18" w:history="1">
                        <w:r>
                          <w:rPr>
                            <w:rStyle w:val="Hyperlink"/>
                            <w:rFonts w:ascii="Arial" w:hAnsi="Arial" w:cs="Arial"/>
                            <w:color w:val="1155CC"/>
                            <w:sz w:val="22"/>
                            <w:szCs w:val="22"/>
                          </w:rPr>
                          <w:t>www.evidenceforlearning.org.au</w:t>
                        </w:r>
                      </w:hyperlink>
                      <w:r>
                        <w:t>.</w:t>
                      </w:r>
                    </w:p>
                    <w:p w14:paraId="73C8202B" w14:textId="77777777" w:rsidR="00051F36" w:rsidRDefault="00051F36" w:rsidP="00136F01">
                      <w:pPr>
                        <w:pStyle w:val="NormalWeb"/>
                        <w:spacing w:after="0"/>
                        <w:rPr>
                          <w:rFonts w:ascii="Arial" w:hAnsi="Arial" w:cs="Arial"/>
                          <w:color w:val="000000"/>
                          <w:sz w:val="22"/>
                          <w:szCs w:val="22"/>
                        </w:rPr>
                      </w:pPr>
                    </w:p>
                    <w:p w14:paraId="5F86FDD1" w14:textId="77777777" w:rsidR="00051F36" w:rsidRDefault="00051F36" w:rsidP="00136F01">
                      <w:pPr>
                        <w:pStyle w:val="NormalWeb"/>
                        <w:spacing w:after="0"/>
                        <w:rPr>
                          <w:rFonts w:ascii="Arial" w:hAnsi="Arial" w:cs="Arial"/>
                          <w:color w:val="000000"/>
                          <w:sz w:val="22"/>
                          <w:szCs w:val="22"/>
                        </w:rPr>
                      </w:pPr>
                    </w:p>
                    <w:p w14:paraId="58C41FDA" w14:textId="77777777" w:rsidR="00051F36" w:rsidRDefault="00051F36" w:rsidP="00136F01">
                      <w:pPr>
                        <w:pStyle w:val="NormalWeb"/>
                        <w:spacing w:after="0"/>
                        <w:rPr>
                          <w:rFonts w:ascii="Arial" w:hAnsi="Arial" w:cs="Arial"/>
                          <w:color w:val="000000"/>
                          <w:sz w:val="22"/>
                          <w:szCs w:val="22"/>
                        </w:rPr>
                      </w:pPr>
                    </w:p>
                    <w:p w14:paraId="7706E1BB" w14:textId="77777777" w:rsidR="00051F36" w:rsidRDefault="00051F36" w:rsidP="00136F01">
                      <w:pPr>
                        <w:pStyle w:val="NormalWeb"/>
                        <w:spacing w:after="0"/>
                        <w:rPr>
                          <w:rFonts w:ascii="Arial" w:hAnsi="Arial" w:cs="Arial"/>
                          <w:color w:val="000000"/>
                          <w:sz w:val="22"/>
                          <w:szCs w:val="22"/>
                        </w:rPr>
                      </w:pPr>
                    </w:p>
                    <w:p w14:paraId="5E0EC695" w14:textId="77777777" w:rsidR="00051F36" w:rsidRDefault="00051F36" w:rsidP="00136F01">
                      <w:pPr>
                        <w:pStyle w:val="NormalWeb"/>
                        <w:spacing w:after="0"/>
                        <w:rPr>
                          <w:rFonts w:ascii="Arial" w:hAnsi="Arial" w:cs="Arial"/>
                          <w:color w:val="000000"/>
                          <w:sz w:val="22"/>
                          <w:szCs w:val="22"/>
                        </w:rPr>
                      </w:pPr>
                    </w:p>
                    <w:p w14:paraId="77E52182" w14:textId="77777777" w:rsidR="00051F36" w:rsidRDefault="00051F36" w:rsidP="00136F01">
                      <w:pPr>
                        <w:pStyle w:val="NormalWeb"/>
                        <w:spacing w:after="0"/>
                        <w:rPr>
                          <w:rFonts w:ascii="Arial" w:hAnsi="Arial" w:cs="Arial"/>
                          <w:color w:val="000000"/>
                          <w:sz w:val="22"/>
                          <w:szCs w:val="22"/>
                        </w:rPr>
                      </w:pPr>
                    </w:p>
                    <w:p w14:paraId="2C438132" w14:textId="77777777" w:rsidR="00051F36" w:rsidRDefault="00051F36" w:rsidP="00136F01">
                      <w:pPr>
                        <w:pStyle w:val="NormalWeb"/>
                        <w:spacing w:after="0"/>
                        <w:rPr>
                          <w:rFonts w:ascii="Arial" w:hAnsi="Arial" w:cs="Arial"/>
                          <w:color w:val="000000"/>
                          <w:sz w:val="22"/>
                          <w:szCs w:val="22"/>
                        </w:rPr>
                      </w:pPr>
                    </w:p>
                    <w:p w14:paraId="34C03681" w14:textId="77777777" w:rsidR="00051F36" w:rsidRDefault="00051F36" w:rsidP="00136F01">
                      <w:pPr>
                        <w:pStyle w:val="NormalWeb"/>
                        <w:spacing w:after="0"/>
                        <w:rPr>
                          <w:rFonts w:ascii="Arial" w:hAnsi="Arial" w:cs="Arial"/>
                          <w:color w:val="000000"/>
                          <w:sz w:val="22"/>
                          <w:szCs w:val="22"/>
                        </w:rPr>
                      </w:pPr>
                    </w:p>
                    <w:p w14:paraId="4CF7B673" w14:textId="77777777" w:rsidR="00051F36" w:rsidRPr="009C44A3" w:rsidRDefault="00051F36" w:rsidP="00136F01">
                      <w:pPr>
                        <w:pStyle w:val="NormalWeb"/>
                        <w:spacing w:after="0"/>
                        <w:rPr>
                          <w:rFonts w:ascii="Arial" w:hAnsi="Arial" w:cs="Arial"/>
                          <w:color w:val="000000"/>
                          <w:sz w:val="22"/>
                          <w:szCs w:val="22"/>
                        </w:rPr>
                      </w:pPr>
                    </w:p>
                    <w:p w14:paraId="197A6030" w14:textId="77777777" w:rsidR="00051F36" w:rsidRPr="00136F01" w:rsidRDefault="00051F36" w:rsidP="00136F01"/>
                    <w:p w14:paraId="5A09ACB5" w14:textId="1A419C4D" w:rsidR="00051F36" w:rsidRDefault="00051F36" w:rsidP="00136F01">
                      <w:pPr>
                        <w:spacing w:before="120" w:after="120" w:line="288" w:lineRule="auto"/>
                      </w:pPr>
                      <w:r>
                        <w:t xml:space="preserve"> </w:t>
                      </w:r>
                    </w:p>
                    <w:p w14:paraId="38BD5225" w14:textId="77777777" w:rsidR="00051F36" w:rsidRDefault="00051F36" w:rsidP="00136F01"/>
                  </w:txbxContent>
                </v:textbox>
                <w10:wrap type="square" anchorx="margin"/>
              </v:shape>
            </w:pict>
          </mc:Fallback>
        </mc:AlternateContent>
      </w:r>
    </w:p>
    <w:p w14:paraId="0FD35EC1" w14:textId="305F59C3" w:rsidR="00EF2A35" w:rsidRPr="009C44A3" w:rsidRDefault="00EF2A35" w:rsidP="00CE6F73">
      <w:pPr>
        <w:pStyle w:val="NormalWeb"/>
        <w:spacing w:after="0"/>
        <w:rPr>
          <w:rFonts w:ascii="Arial" w:hAnsi="Arial" w:cs="Arial"/>
          <w:color w:val="000000"/>
          <w:sz w:val="22"/>
          <w:szCs w:val="22"/>
        </w:rPr>
      </w:pPr>
    </w:p>
    <w:bookmarkStart w:id="17" w:name="_Toc451895284"/>
    <w:p w14:paraId="270337C0" w14:textId="72A16649" w:rsidR="00CE6F73" w:rsidRPr="00BF27CD" w:rsidRDefault="00136F01" w:rsidP="00EF2A35">
      <w:pPr>
        <w:pStyle w:val="Heading3"/>
      </w:pPr>
      <w:r>
        <w:rPr>
          <w:noProof/>
          <w:lang w:eastAsia="en-AU"/>
        </w:rPr>
        <mc:AlternateContent>
          <mc:Choice Requires="wps">
            <w:drawing>
              <wp:anchor distT="45720" distB="45720" distL="114300" distR="114300" simplePos="0" relativeHeight="251676672" behindDoc="0" locked="0" layoutInCell="1" allowOverlap="1" wp14:anchorId="032B3471" wp14:editId="4774665E">
                <wp:simplePos x="0" y="0"/>
                <wp:positionH relativeFrom="margin">
                  <wp:align>left</wp:align>
                </wp:positionH>
                <wp:positionV relativeFrom="paragraph">
                  <wp:posOffset>309245</wp:posOffset>
                </wp:positionV>
                <wp:extent cx="6050280" cy="6530340"/>
                <wp:effectExtent l="0" t="0" r="762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6530340"/>
                        </a:xfrm>
                        <a:prstGeom prst="rect">
                          <a:avLst/>
                        </a:prstGeom>
                        <a:solidFill>
                          <a:schemeClr val="accent2">
                            <a:lumMod val="20000"/>
                            <a:lumOff val="80000"/>
                          </a:schemeClr>
                        </a:solidFill>
                        <a:ln w="9525">
                          <a:noFill/>
                          <a:miter lim="800000"/>
                          <a:headEnd/>
                          <a:tailEnd/>
                        </a:ln>
                      </wps:spPr>
                      <wps:txbx>
                        <w:txbxContent>
                          <w:p w14:paraId="623F2F10" w14:textId="77777777" w:rsidR="00051F36" w:rsidRDefault="00051F36" w:rsidP="00136F01">
                            <w:pPr>
                              <w:pStyle w:val="Heading3"/>
                              <w:rPr>
                                <w:rFonts w:ascii="Arial" w:hAnsi="Arial" w:cs="Arial"/>
                                <w:color w:val="000000"/>
                                <w:sz w:val="22"/>
                                <w:szCs w:val="22"/>
                              </w:rPr>
                            </w:pPr>
                            <w:bookmarkStart w:id="18" w:name="_Toc451895285"/>
                            <w:r w:rsidRPr="00BF27CD">
                              <w:t>Share evidence through the Teaching &amp; Learning Toolkit</w:t>
                            </w:r>
                            <w:bookmarkEnd w:id="18"/>
                            <w:r>
                              <w:rPr>
                                <w:rFonts w:ascii="Arial" w:hAnsi="Arial" w:cs="Arial"/>
                                <w:color w:val="000000"/>
                                <w:sz w:val="22"/>
                                <w:szCs w:val="22"/>
                              </w:rPr>
                              <w:t xml:space="preserve"> </w:t>
                            </w:r>
                          </w:p>
                          <w:p w14:paraId="50921BC3" w14:textId="1FDDA9EB" w:rsidR="00051F36" w:rsidRDefault="00051F36" w:rsidP="00136F01">
                            <w:r>
                              <w:t xml:space="preserve">The Teaching and Learning Toolkit is a free online summary of global educational research. The Toolkit aims to: </w:t>
                            </w:r>
                          </w:p>
                          <w:p w14:paraId="103FFB02" w14:textId="77777777" w:rsidR="00051F36" w:rsidRDefault="00051F36" w:rsidP="00FF2733">
                            <w:pPr>
                              <w:pStyle w:val="ListBullet"/>
                              <w:numPr>
                                <w:ilvl w:val="0"/>
                                <w:numId w:val="35"/>
                              </w:numPr>
                            </w:pPr>
                            <w:r>
                              <w:t>Support evidence-informed decision-making in Australian schools;</w:t>
                            </w:r>
                          </w:p>
                          <w:p w14:paraId="018D362D" w14:textId="77777777" w:rsidR="00051F36" w:rsidRDefault="00051F36" w:rsidP="00FF2733">
                            <w:pPr>
                              <w:pStyle w:val="ListBullet"/>
                              <w:numPr>
                                <w:ilvl w:val="0"/>
                                <w:numId w:val="35"/>
                              </w:numPr>
                            </w:pPr>
                            <w:r>
                              <w:t>Provide guidance for principals, teachers and schools on how to use their resources to improve educational outcomes for their students, particularly those from low-income families;</w:t>
                            </w:r>
                          </w:p>
                          <w:p w14:paraId="2164038A" w14:textId="77777777" w:rsidR="00051F36" w:rsidRDefault="00051F36" w:rsidP="00FF2733">
                            <w:pPr>
                              <w:pStyle w:val="ListBullet"/>
                              <w:numPr>
                                <w:ilvl w:val="0"/>
                                <w:numId w:val="35"/>
                              </w:numPr>
                            </w:pPr>
                            <w:r>
                              <w:t>Act as an introduction to educational research.</w:t>
                            </w:r>
                          </w:p>
                          <w:p w14:paraId="7D3D3D9D" w14:textId="5B875956" w:rsidR="00051F36" w:rsidRDefault="00051F36" w:rsidP="00136F01">
                            <w:r>
                              <w:t>The Toolkit was developed by two charities based in the UK, the Education Endowment Foundation and the Sutton Trust, in collaboration with academics at Durham University. In 2015, the Teaching and Learning Toolkit was launched, with support from the Department for Education and Training in Victoria, Social Ventures Australia and a number of other organisations around the country.</w:t>
                            </w:r>
                            <w:r>
                              <w:br/>
                            </w:r>
                            <w:r>
                              <w:br/>
                              <w:t>The Toolkit synthesises international and Australian research, to estimate the average impact, cost and evidence strength of a wide range of educational interventions. The Toolkit is a live resource that will be updated regularly as new studies are published in Australia or overseas.</w:t>
                            </w:r>
                          </w:p>
                          <w:p w14:paraId="3171A4A0" w14:textId="77777777" w:rsidR="00051F36" w:rsidRPr="00BF27CD" w:rsidRDefault="00051F36" w:rsidP="00136F01">
                            <w:pPr>
                              <w:pStyle w:val="Heading3"/>
                            </w:pPr>
                            <w:bookmarkStart w:id="19" w:name="_Toc451895286"/>
                            <w:r w:rsidRPr="00BF27CD">
                              <w:t>Encourage use of evidence with practical implementation support and networks</w:t>
                            </w:r>
                            <w:bookmarkEnd w:id="19"/>
                            <w:r w:rsidRPr="00BF27CD">
                              <w:t xml:space="preserve"> </w:t>
                            </w:r>
                          </w:p>
                          <w:p w14:paraId="6FC559E0" w14:textId="79AA7C2E" w:rsidR="00051F36" w:rsidRPr="00102B61" w:rsidRDefault="00051F36" w:rsidP="00136F01">
                            <w:r>
                              <w:t>Evidence for Learning is developing implementation resources and practice guides for high impact or frequently used approaches to help schools get the best benefit from their approaches. This aims to:</w:t>
                            </w:r>
                          </w:p>
                          <w:p w14:paraId="0115D8B8" w14:textId="77777777" w:rsidR="00051F36" w:rsidRDefault="00051F36" w:rsidP="00FF2733">
                            <w:pPr>
                              <w:pStyle w:val="ListBullet"/>
                              <w:numPr>
                                <w:ilvl w:val="0"/>
                                <w:numId w:val="36"/>
                              </w:numPr>
                            </w:pPr>
                            <w:r>
                              <w:t>Move beyond statements of effect, into actionable resources for schools</w:t>
                            </w:r>
                          </w:p>
                          <w:p w14:paraId="3E27C583" w14:textId="1C6AF70F" w:rsidR="00051F36" w:rsidRDefault="00051F36" w:rsidP="00FF2733">
                            <w:pPr>
                              <w:pStyle w:val="ListBullet"/>
                              <w:numPr>
                                <w:ilvl w:val="0"/>
                                <w:numId w:val="36"/>
                              </w:numPr>
                            </w:pPr>
                            <w:r>
                              <w:t>Speak in the language and form that busy educators will find useful in order to increase the likelihood that they will embrace and implement evidence based approaches</w:t>
                            </w:r>
                          </w:p>
                          <w:p w14:paraId="16D1150D" w14:textId="77777777" w:rsidR="00051F36" w:rsidRDefault="00051F36" w:rsidP="00FF2733">
                            <w:pPr>
                              <w:pStyle w:val="ListBullet"/>
                              <w:numPr>
                                <w:ilvl w:val="0"/>
                                <w:numId w:val="36"/>
                              </w:numPr>
                            </w:pPr>
                            <w:r>
                              <w:t>Be made available through existing or emerging professional networks that educators are most comfortable working in and currently use to assist their decision making</w:t>
                            </w:r>
                          </w:p>
                          <w:p w14:paraId="1D188424" w14:textId="77777777" w:rsidR="00051F36" w:rsidRDefault="00051F36" w:rsidP="00136F01">
                            <w:pPr>
                              <w:pStyle w:val="NormalWeb"/>
                              <w:spacing w:after="0"/>
                              <w:rPr>
                                <w:rFonts w:ascii="Arial" w:hAnsi="Arial" w:cs="Arial"/>
                                <w:color w:val="000000"/>
                                <w:sz w:val="22"/>
                                <w:szCs w:val="22"/>
                              </w:rPr>
                            </w:pPr>
                          </w:p>
                          <w:p w14:paraId="1B77396B" w14:textId="77777777" w:rsidR="00051F36" w:rsidRDefault="00051F36" w:rsidP="00136F01">
                            <w:pPr>
                              <w:pStyle w:val="NormalWeb"/>
                              <w:spacing w:after="0"/>
                            </w:pPr>
                          </w:p>
                          <w:p w14:paraId="47E28341" w14:textId="77777777" w:rsidR="00051F36" w:rsidRDefault="00051F36" w:rsidP="00136F01">
                            <w:pPr>
                              <w:pStyle w:val="NormalWeb"/>
                              <w:spacing w:after="0"/>
                              <w:rPr>
                                <w:rFonts w:ascii="Arial" w:hAnsi="Arial" w:cs="Arial"/>
                                <w:color w:val="000000"/>
                                <w:sz w:val="22"/>
                                <w:szCs w:val="22"/>
                              </w:rPr>
                            </w:pPr>
                          </w:p>
                          <w:p w14:paraId="57D23618" w14:textId="77777777" w:rsidR="00051F36" w:rsidRDefault="00051F36" w:rsidP="00136F01">
                            <w:pPr>
                              <w:pStyle w:val="NormalWeb"/>
                              <w:spacing w:after="0"/>
                              <w:rPr>
                                <w:rFonts w:ascii="Arial" w:hAnsi="Arial" w:cs="Arial"/>
                                <w:color w:val="000000"/>
                                <w:sz w:val="22"/>
                                <w:szCs w:val="22"/>
                              </w:rPr>
                            </w:pPr>
                          </w:p>
                          <w:p w14:paraId="36721C9F" w14:textId="77777777" w:rsidR="00051F36" w:rsidRDefault="00051F36" w:rsidP="00136F01">
                            <w:pPr>
                              <w:pStyle w:val="NormalWeb"/>
                              <w:spacing w:after="0"/>
                              <w:rPr>
                                <w:rFonts w:ascii="Arial" w:hAnsi="Arial" w:cs="Arial"/>
                                <w:color w:val="000000"/>
                                <w:sz w:val="22"/>
                                <w:szCs w:val="22"/>
                              </w:rPr>
                            </w:pPr>
                          </w:p>
                          <w:p w14:paraId="52C0DACC" w14:textId="77777777" w:rsidR="00051F36" w:rsidRDefault="00051F36" w:rsidP="00136F01">
                            <w:pPr>
                              <w:pStyle w:val="NormalWeb"/>
                              <w:spacing w:after="0"/>
                              <w:rPr>
                                <w:rFonts w:ascii="Arial" w:hAnsi="Arial" w:cs="Arial"/>
                                <w:color w:val="000000"/>
                                <w:sz w:val="22"/>
                                <w:szCs w:val="22"/>
                              </w:rPr>
                            </w:pPr>
                          </w:p>
                          <w:p w14:paraId="4B96B88C" w14:textId="77777777" w:rsidR="00051F36" w:rsidRDefault="00051F36" w:rsidP="00136F01">
                            <w:pPr>
                              <w:pStyle w:val="NormalWeb"/>
                              <w:spacing w:after="0"/>
                              <w:rPr>
                                <w:rFonts w:ascii="Arial" w:hAnsi="Arial" w:cs="Arial"/>
                                <w:color w:val="000000"/>
                                <w:sz w:val="22"/>
                                <w:szCs w:val="22"/>
                              </w:rPr>
                            </w:pPr>
                          </w:p>
                          <w:p w14:paraId="7032B709" w14:textId="77777777" w:rsidR="00051F36" w:rsidRDefault="00051F36" w:rsidP="00136F01">
                            <w:pPr>
                              <w:pStyle w:val="NormalWeb"/>
                              <w:spacing w:after="0"/>
                              <w:rPr>
                                <w:rFonts w:ascii="Arial" w:hAnsi="Arial" w:cs="Arial"/>
                                <w:color w:val="000000"/>
                                <w:sz w:val="22"/>
                                <w:szCs w:val="22"/>
                              </w:rPr>
                            </w:pPr>
                          </w:p>
                          <w:p w14:paraId="64A4CEDA" w14:textId="77777777" w:rsidR="00051F36" w:rsidRDefault="00051F36" w:rsidP="00136F01">
                            <w:pPr>
                              <w:pStyle w:val="NormalWeb"/>
                              <w:spacing w:after="0"/>
                              <w:rPr>
                                <w:rFonts w:ascii="Arial" w:hAnsi="Arial" w:cs="Arial"/>
                                <w:color w:val="000000"/>
                                <w:sz w:val="22"/>
                                <w:szCs w:val="22"/>
                              </w:rPr>
                            </w:pPr>
                          </w:p>
                          <w:p w14:paraId="21A06155" w14:textId="77777777" w:rsidR="00051F36" w:rsidRDefault="00051F36" w:rsidP="00136F01">
                            <w:pPr>
                              <w:pStyle w:val="NormalWeb"/>
                              <w:spacing w:after="0"/>
                              <w:rPr>
                                <w:rFonts w:ascii="Arial" w:hAnsi="Arial" w:cs="Arial"/>
                                <w:color w:val="000000"/>
                                <w:sz w:val="22"/>
                                <w:szCs w:val="22"/>
                              </w:rPr>
                            </w:pPr>
                          </w:p>
                          <w:p w14:paraId="20C2AF15" w14:textId="77777777" w:rsidR="00051F36" w:rsidRDefault="00051F36" w:rsidP="00136F01">
                            <w:pPr>
                              <w:pStyle w:val="NormalWeb"/>
                              <w:spacing w:after="0"/>
                              <w:rPr>
                                <w:rFonts w:ascii="Arial" w:hAnsi="Arial" w:cs="Arial"/>
                                <w:color w:val="000000"/>
                                <w:sz w:val="22"/>
                                <w:szCs w:val="22"/>
                              </w:rPr>
                            </w:pPr>
                          </w:p>
                          <w:p w14:paraId="67C36AC1" w14:textId="77777777" w:rsidR="00051F36" w:rsidRDefault="00051F36" w:rsidP="00136F01">
                            <w:pPr>
                              <w:pStyle w:val="NormalWeb"/>
                              <w:spacing w:after="0"/>
                              <w:rPr>
                                <w:rFonts w:ascii="Arial" w:hAnsi="Arial" w:cs="Arial"/>
                                <w:color w:val="000000"/>
                                <w:sz w:val="22"/>
                                <w:szCs w:val="22"/>
                              </w:rPr>
                            </w:pPr>
                          </w:p>
                          <w:p w14:paraId="4EE35BCF" w14:textId="77777777" w:rsidR="00051F36" w:rsidRPr="009C44A3" w:rsidRDefault="00051F36" w:rsidP="00136F01">
                            <w:pPr>
                              <w:pStyle w:val="NormalWeb"/>
                              <w:spacing w:after="0"/>
                              <w:rPr>
                                <w:rFonts w:ascii="Arial" w:hAnsi="Arial" w:cs="Arial"/>
                                <w:color w:val="000000"/>
                                <w:sz w:val="22"/>
                                <w:szCs w:val="22"/>
                              </w:rPr>
                            </w:pPr>
                          </w:p>
                          <w:p w14:paraId="0345EB0C" w14:textId="77777777" w:rsidR="00051F36" w:rsidRPr="00136F01" w:rsidRDefault="00051F36" w:rsidP="00136F01"/>
                          <w:p w14:paraId="2C56CC7B" w14:textId="77777777" w:rsidR="00051F36" w:rsidRDefault="00051F36" w:rsidP="00136F01">
                            <w:pPr>
                              <w:spacing w:before="120" w:after="120" w:line="288" w:lineRule="auto"/>
                            </w:pPr>
                            <w:r>
                              <w:t xml:space="preserve"> </w:t>
                            </w:r>
                          </w:p>
                          <w:p w14:paraId="18EF491B" w14:textId="77777777" w:rsidR="00051F36" w:rsidRDefault="00051F36" w:rsidP="00136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2B3471" id="_x0000_s1028" type="#_x0000_t202" style="position:absolute;margin-left:0;margin-top:24.35pt;width:476.4pt;height:514.2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" fillcolor="#efede4 [661]" stroked="f">
                <v:textbox>
                  <w:txbxContent>
                    <w:p w14:paraId="623F2F10" w14:textId="77777777" w:rsidR="00051F36" w:rsidRDefault="00051F36" w:rsidP="00136F01">
                      <w:pPr>
                        <w:pStyle w:val="Heading3"/>
                        <w:rPr>
                          <w:rFonts w:ascii="Arial" w:hAnsi="Arial" w:cs="Arial"/>
                          <w:color w:val="000000"/>
                          <w:sz w:val="22"/>
                          <w:szCs w:val="22"/>
                        </w:rPr>
                      </w:pPr>
                      <w:bookmarkStart w:id="22" w:name="_Toc451895285"/>
                      <w:r w:rsidRPr="00BF27CD">
                        <w:t>Share evidence through the Teaching &amp; Learning Toolkit</w:t>
                      </w:r>
                      <w:bookmarkEnd w:id="22"/>
                      <w:r>
                        <w:rPr>
                          <w:rFonts w:ascii="Arial" w:hAnsi="Arial" w:cs="Arial"/>
                          <w:color w:val="000000"/>
                          <w:sz w:val="22"/>
                          <w:szCs w:val="22"/>
                        </w:rPr>
                        <w:t xml:space="preserve"> </w:t>
                      </w:r>
                    </w:p>
                    <w:p w14:paraId="50921BC3" w14:textId="1FDDA9EB" w:rsidR="00051F36" w:rsidRDefault="00051F36" w:rsidP="00136F01">
                      <w:r>
                        <w:t xml:space="preserve">The Teaching and Learning Toolkit is a free online summary of global educational research. The Toolkit aims to: </w:t>
                      </w:r>
                    </w:p>
                    <w:p w14:paraId="103FFB02" w14:textId="77777777" w:rsidR="00051F36" w:rsidRDefault="00051F36" w:rsidP="00FF2733">
                      <w:pPr>
                        <w:pStyle w:val="ListBullet"/>
                        <w:numPr>
                          <w:ilvl w:val="0"/>
                          <w:numId w:val="35"/>
                        </w:numPr>
                      </w:pPr>
                      <w:r>
                        <w:t>Support evidence-informed decision-making in Australian schools;</w:t>
                      </w:r>
                    </w:p>
                    <w:p w14:paraId="018D362D" w14:textId="77777777" w:rsidR="00051F36" w:rsidRDefault="00051F36" w:rsidP="00FF2733">
                      <w:pPr>
                        <w:pStyle w:val="ListBullet"/>
                        <w:numPr>
                          <w:ilvl w:val="0"/>
                          <w:numId w:val="35"/>
                        </w:numPr>
                      </w:pPr>
                      <w:r>
                        <w:t>Provide guidance for principals, teachers and schools on how to use their resources to improve educational outcomes for their students, particularly those from low-income families;</w:t>
                      </w:r>
                    </w:p>
                    <w:p w14:paraId="2164038A" w14:textId="77777777" w:rsidR="00051F36" w:rsidRDefault="00051F36" w:rsidP="00FF2733">
                      <w:pPr>
                        <w:pStyle w:val="ListBullet"/>
                        <w:numPr>
                          <w:ilvl w:val="0"/>
                          <w:numId w:val="35"/>
                        </w:numPr>
                      </w:pPr>
                      <w:r>
                        <w:t>Act as an introduction to educational research.</w:t>
                      </w:r>
                    </w:p>
                    <w:p w14:paraId="7D3D3D9D" w14:textId="5B875956" w:rsidR="00051F36" w:rsidRDefault="00051F36" w:rsidP="00136F01">
                      <w:r>
                        <w:t>The Toolkit was developed by two charities based in the UK, the Education Endowment Foundation and the Sutton Trust, in collaboration with academics at Durham University. In 2015, the Teaching and Learning Toolkit was launched, with support from the Department for Education and Training in Victoria, Social Ventures Australia and a number of other organisations around the country.</w:t>
                      </w:r>
                      <w:r>
                        <w:br/>
                      </w:r>
                      <w:r>
                        <w:br/>
                        <w:t>The Toolkit synthesises international and Australian research, to estimate the average impact, cost and evidence strength of a wide range of educational interventions. The Toolkit is a live resource that will be updated regularly as new studies are published in Australia or overseas.</w:t>
                      </w:r>
                    </w:p>
                    <w:p w14:paraId="3171A4A0" w14:textId="77777777" w:rsidR="00051F36" w:rsidRPr="00BF27CD" w:rsidRDefault="00051F36" w:rsidP="00136F01">
                      <w:pPr>
                        <w:pStyle w:val="Heading3"/>
                      </w:pPr>
                      <w:bookmarkStart w:id="23" w:name="_Toc451895286"/>
                      <w:r w:rsidRPr="00BF27CD">
                        <w:t>Encourage use of evidence with practical implementation support and networks</w:t>
                      </w:r>
                      <w:bookmarkEnd w:id="23"/>
                      <w:r w:rsidRPr="00BF27CD">
                        <w:t xml:space="preserve"> </w:t>
                      </w:r>
                    </w:p>
                    <w:p w14:paraId="6FC559E0" w14:textId="79AA7C2E" w:rsidR="00051F36" w:rsidRPr="00102B61" w:rsidRDefault="00051F36" w:rsidP="00136F01">
                      <w:r>
                        <w:t>Evidence for Learning is developing implementation resources and practice guides for high impact or frequently used approaches to help schools get the best benefit from their approaches. This aims to:</w:t>
                      </w:r>
                    </w:p>
                    <w:p w14:paraId="0115D8B8" w14:textId="77777777" w:rsidR="00051F36" w:rsidRDefault="00051F36" w:rsidP="00FF2733">
                      <w:pPr>
                        <w:pStyle w:val="ListBullet"/>
                        <w:numPr>
                          <w:ilvl w:val="0"/>
                          <w:numId w:val="36"/>
                        </w:numPr>
                      </w:pPr>
                      <w:r>
                        <w:t>Move beyond statements of effect, into actionable resources for schools</w:t>
                      </w:r>
                    </w:p>
                    <w:p w14:paraId="3E27C583" w14:textId="1C6AF70F" w:rsidR="00051F36" w:rsidRDefault="00051F36" w:rsidP="00FF2733">
                      <w:pPr>
                        <w:pStyle w:val="ListBullet"/>
                        <w:numPr>
                          <w:ilvl w:val="0"/>
                          <w:numId w:val="36"/>
                        </w:numPr>
                      </w:pPr>
                      <w:r>
                        <w:t>Speak in the language and form that busy educators will find useful in order to increase the likelihood that they will embrace and implement evidence based approaches</w:t>
                      </w:r>
                    </w:p>
                    <w:p w14:paraId="16D1150D" w14:textId="77777777" w:rsidR="00051F36" w:rsidRDefault="00051F36" w:rsidP="00FF2733">
                      <w:pPr>
                        <w:pStyle w:val="ListBullet"/>
                        <w:numPr>
                          <w:ilvl w:val="0"/>
                          <w:numId w:val="36"/>
                        </w:numPr>
                      </w:pPr>
                      <w:r>
                        <w:t>Be made available through existing or emerging professional networks that educators are most comfortable working in and currently use to assist their decision making</w:t>
                      </w:r>
                    </w:p>
                    <w:p w14:paraId="1D188424" w14:textId="77777777" w:rsidR="00051F36" w:rsidRDefault="00051F36" w:rsidP="00136F01">
                      <w:pPr>
                        <w:pStyle w:val="NormalWeb"/>
                        <w:spacing w:after="0"/>
                        <w:rPr>
                          <w:rFonts w:ascii="Arial" w:hAnsi="Arial" w:cs="Arial"/>
                          <w:color w:val="000000"/>
                          <w:sz w:val="22"/>
                          <w:szCs w:val="22"/>
                        </w:rPr>
                      </w:pPr>
                    </w:p>
                    <w:p w14:paraId="1B77396B" w14:textId="77777777" w:rsidR="00051F36" w:rsidRDefault="00051F36" w:rsidP="00136F01">
                      <w:pPr>
                        <w:pStyle w:val="NormalWeb"/>
                        <w:spacing w:after="0"/>
                      </w:pPr>
                    </w:p>
                    <w:p w14:paraId="47E28341" w14:textId="77777777" w:rsidR="00051F36" w:rsidRDefault="00051F36" w:rsidP="00136F01">
                      <w:pPr>
                        <w:pStyle w:val="NormalWeb"/>
                        <w:spacing w:after="0"/>
                        <w:rPr>
                          <w:rFonts w:ascii="Arial" w:hAnsi="Arial" w:cs="Arial"/>
                          <w:color w:val="000000"/>
                          <w:sz w:val="22"/>
                          <w:szCs w:val="22"/>
                        </w:rPr>
                      </w:pPr>
                    </w:p>
                    <w:p w14:paraId="57D23618" w14:textId="77777777" w:rsidR="00051F36" w:rsidRDefault="00051F36" w:rsidP="00136F01">
                      <w:pPr>
                        <w:pStyle w:val="NormalWeb"/>
                        <w:spacing w:after="0"/>
                        <w:rPr>
                          <w:rFonts w:ascii="Arial" w:hAnsi="Arial" w:cs="Arial"/>
                          <w:color w:val="000000"/>
                          <w:sz w:val="22"/>
                          <w:szCs w:val="22"/>
                        </w:rPr>
                      </w:pPr>
                    </w:p>
                    <w:p w14:paraId="36721C9F" w14:textId="77777777" w:rsidR="00051F36" w:rsidRDefault="00051F36" w:rsidP="00136F01">
                      <w:pPr>
                        <w:pStyle w:val="NormalWeb"/>
                        <w:spacing w:after="0"/>
                        <w:rPr>
                          <w:rFonts w:ascii="Arial" w:hAnsi="Arial" w:cs="Arial"/>
                          <w:color w:val="000000"/>
                          <w:sz w:val="22"/>
                          <w:szCs w:val="22"/>
                        </w:rPr>
                      </w:pPr>
                    </w:p>
                    <w:p w14:paraId="52C0DACC" w14:textId="77777777" w:rsidR="00051F36" w:rsidRDefault="00051F36" w:rsidP="00136F01">
                      <w:pPr>
                        <w:pStyle w:val="NormalWeb"/>
                        <w:spacing w:after="0"/>
                        <w:rPr>
                          <w:rFonts w:ascii="Arial" w:hAnsi="Arial" w:cs="Arial"/>
                          <w:color w:val="000000"/>
                          <w:sz w:val="22"/>
                          <w:szCs w:val="22"/>
                        </w:rPr>
                      </w:pPr>
                    </w:p>
                    <w:p w14:paraId="4B96B88C" w14:textId="77777777" w:rsidR="00051F36" w:rsidRDefault="00051F36" w:rsidP="00136F01">
                      <w:pPr>
                        <w:pStyle w:val="NormalWeb"/>
                        <w:spacing w:after="0"/>
                        <w:rPr>
                          <w:rFonts w:ascii="Arial" w:hAnsi="Arial" w:cs="Arial"/>
                          <w:color w:val="000000"/>
                          <w:sz w:val="22"/>
                          <w:szCs w:val="22"/>
                        </w:rPr>
                      </w:pPr>
                    </w:p>
                    <w:p w14:paraId="7032B709" w14:textId="77777777" w:rsidR="00051F36" w:rsidRDefault="00051F36" w:rsidP="00136F01">
                      <w:pPr>
                        <w:pStyle w:val="NormalWeb"/>
                        <w:spacing w:after="0"/>
                        <w:rPr>
                          <w:rFonts w:ascii="Arial" w:hAnsi="Arial" w:cs="Arial"/>
                          <w:color w:val="000000"/>
                          <w:sz w:val="22"/>
                          <w:szCs w:val="22"/>
                        </w:rPr>
                      </w:pPr>
                    </w:p>
                    <w:p w14:paraId="64A4CEDA" w14:textId="77777777" w:rsidR="00051F36" w:rsidRDefault="00051F36" w:rsidP="00136F01">
                      <w:pPr>
                        <w:pStyle w:val="NormalWeb"/>
                        <w:spacing w:after="0"/>
                        <w:rPr>
                          <w:rFonts w:ascii="Arial" w:hAnsi="Arial" w:cs="Arial"/>
                          <w:color w:val="000000"/>
                          <w:sz w:val="22"/>
                          <w:szCs w:val="22"/>
                        </w:rPr>
                      </w:pPr>
                    </w:p>
                    <w:p w14:paraId="21A06155" w14:textId="77777777" w:rsidR="00051F36" w:rsidRDefault="00051F36" w:rsidP="00136F01">
                      <w:pPr>
                        <w:pStyle w:val="NormalWeb"/>
                        <w:spacing w:after="0"/>
                        <w:rPr>
                          <w:rFonts w:ascii="Arial" w:hAnsi="Arial" w:cs="Arial"/>
                          <w:color w:val="000000"/>
                          <w:sz w:val="22"/>
                          <w:szCs w:val="22"/>
                        </w:rPr>
                      </w:pPr>
                    </w:p>
                    <w:p w14:paraId="20C2AF15" w14:textId="77777777" w:rsidR="00051F36" w:rsidRDefault="00051F36" w:rsidP="00136F01">
                      <w:pPr>
                        <w:pStyle w:val="NormalWeb"/>
                        <w:spacing w:after="0"/>
                        <w:rPr>
                          <w:rFonts w:ascii="Arial" w:hAnsi="Arial" w:cs="Arial"/>
                          <w:color w:val="000000"/>
                          <w:sz w:val="22"/>
                          <w:szCs w:val="22"/>
                        </w:rPr>
                      </w:pPr>
                    </w:p>
                    <w:p w14:paraId="67C36AC1" w14:textId="77777777" w:rsidR="00051F36" w:rsidRDefault="00051F36" w:rsidP="00136F01">
                      <w:pPr>
                        <w:pStyle w:val="NormalWeb"/>
                        <w:spacing w:after="0"/>
                        <w:rPr>
                          <w:rFonts w:ascii="Arial" w:hAnsi="Arial" w:cs="Arial"/>
                          <w:color w:val="000000"/>
                          <w:sz w:val="22"/>
                          <w:szCs w:val="22"/>
                        </w:rPr>
                      </w:pPr>
                    </w:p>
                    <w:p w14:paraId="4EE35BCF" w14:textId="77777777" w:rsidR="00051F36" w:rsidRPr="009C44A3" w:rsidRDefault="00051F36" w:rsidP="00136F01">
                      <w:pPr>
                        <w:pStyle w:val="NormalWeb"/>
                        <w:spacing w:after="0"/>
                        <w:rPr>
                          <w:rFonts w:ascii="Arial" w:hAnsi="Arial" w:cs="Arial"/>
                          <w:color w:val="000000"/>
                          <w:sz w:val="22"/>
                          <w:szCs w:val="22"/>
                        </w:rPr>
                      </w:pPr>
                    </w:p>
                    <w:p w14:paraId="0345EB0C" w14:textId="77777777" w:rsidR="00051F36" w:rsidRPr="00136F01" w:rsidRDefault="00051F36" w:rsidP="00136F01"/>
                    <w:p w14:paraId="2C56CC7B" w14:textId="77777777" w:rsidR="00051F36" w:rsidRDefault="00051F36" w:rsidP="00136F01">
                      <w:pPr>
                        <w:spacing w:before="120" w:after="120" w:line="288" w:lineRule="auto"/>
                      </w:pPr>
                      <w:r>
                        <w:t xml:space="preserve"> </w:t>
                      </w:r>
                    </w:p>
                    <w:p w14:paraId="18EF491B" w14:textId="77777777" w:rsidR="00051F36" w:rsidRDefault="00051F36" w:rsidP="00136F01"/>
                  </w:txbxContent>
                </v:textbox>
                <w10:wrap type="square" anchorx="margin"/>
              </v:shape>
            </w:pict>
          </mc:Fallback>
        </mc:AlternateContent>
      </w:r>
      <w:bookmarkEnd w:id="17"/>
      <w:r w:rsidR="00CE6F73" w:rsidRPr="00BF27CD">
        <w:t xml:space="preserve"> </w:t>
      </w:r>
    </w:p>
    <w:p w14:paraId="7F9A5ACB" w14:textId="77777777" w:rsidR="00CE6F73" w:rsidRDefault="00CE6F73" w:rsidP="00CE6F73">
      <w:pPr>
        <w:rPr>
          <w:rFonts w:ascii="Times New Roman" w:hAnsi="Times New Roman" w:cs="Times New Roman"/>
          <w:sz w:val="24"/>
        </w:rPr>
      </w:pPr>
    </w:p>
    <w:p w14:paraId="202B7F2E" w14:textId="77777777" w:rsidR="00EF2A35" w:rsidRDefault="00EF2A35">
      <w:r>
        <w:rPr>
          <w:bCs/>
          <w:iCs/>
        </w:rPr>
        <w:br w:type="page"/>
      </w:r>
    </w:p>
    <w:p w14:paraId="5F9A2284" w14:textId="677F7800" w:rsidR="00CE6F73" w:rsidRDefault="00CE6F73" w:rsidP="00102B61">
      <w:pPr>
        <w:pStyle w:val="Heading2"/>
        <w:framePr w:h="677" w:hRule="exact" w:wrap="around" w:y="-422"/>
      </w:pPr>
      <w:bookmarkStart w:id="20" w:name="_Toc451895287"/>
      <w:r>
        <w:lastRenderedPageBreak/>
        <w:t>Response to the Issues Paper</w:t>
      </w:r>
      <w:bookmarkEnd w:id="20"/>
    </w:p>
    <w:p w14:paraId="57A98878" w14:textId="6BA4930A" w:rsidR="00EF2A35" w:rsidRDefault="00CE6F73" w:rsidP="00136F01">
      <w:r>
        <w:t>For ease of reference, our submission follows the structure and questions in the Issues Paper, save for a general statement below.</w:t>
      </w:r>
      <w:r w:rsidR="008E5149">
        <w:t xml:space="preserve"> We have only responded to sections 1,2,4 and 5 of the Issues Paper.</w:t>
      </w:r>
    </w:p>
    <w:p w14:paraId="0C06B300" w14:textId="77777777" w:rsidR="00CE6F73" w:rsidRPr="00BF27CD" w:rsidRDefault="00CE6F73" w:rsidP="00EF2A35">
      <w:pPr>
        <w:pStyle w:val="Heading3"/>
      </w:pPr>
      <w:bookmarkStart w:id="21" w:name="_Toc451895288"/>
      <w:r w:rsidRPr="00BF27CD">
        <w:t>General Statement</w:t>
      </w:r>
      <w:bookmarkEnd w:id="21"/>
    </w:p>
    <w:p w14:paraId="5E8F6370" w14:textId="6DE0CFB1" w:rsidR="00BF27CD" w:rsidRDefault="00CE6F73" w:rsidP="00136F01">
      <w:r>
        <w:t xml:space="preserve">We have developed a conceptual model of an ‘evidence ecosystem’ that improves educational outcomes both for individuals and as a system. We refer to these concepts and models in our responses and recommendations where relevant. </w:t>
      </w:r>
    </w:p>
    <w:p w14:paraId="12C9DBD5" w14:textId="3038CA83" w:rsidR="00BF27CD" w:rsidRPr="00BF27CD" w:rsidRDefault="00CE6F73" w:rsidP="00136F01">
      <w:r>
        <w:t xml:space="preserve">We have also identified two important gaps in Australian education’s existing evidence </w:t>
      </w:r>
      <w:r w:rsidR="008F45E0">
        <w:t xml:space="preserve">ecosystem </w:t>
      </w:r>
      <w:r>
        <w:t xml:space="preserve">and in the Commission’s conception for a future national education evidence base which are set out at the end of this section. </w:t>
      </w:r>
    </w:p>
    <w:p w14:paraId="080ED3A7" w14:textId="243ADFEE" w:rsidR="00CE6F73" w:rsidRDefault="00CE6F73" w:rsidP="00136F01">
      <w:r>
        <w:t xml:space="preserve">Our response is </w:t>
      </w:r>
      <w:proofErr w:type="spellStart"/>
      <w:r>
        <w:t>focussed</w:t>
      </w:r>
      <w:proofErr w:type="spellEnd"/>
      <w:r>
        <w:t xml:space="preserve"> on K-12 schooling as this is where we have greatest expertise</w:t>
      </w:r>
      <w:r w:rsidR="008F45E0">
        <w:t>.</w:t>
      </w:r>
      <w:r>
        <w:t xml:space="preserve"> </w:t>
      </w:r>
      <w:r w:rsidR="008F45E0">
        <w:t>H</w:t>
      </w:r>
      <w:r>
        <w:t xml:space="preserve">owever as our ‘driver tree’ above shows, we recognise the high importance of early childhood education and care. Whilst we believe that most of the statements we make throughout </w:t>
      </w:r>
      <w:r w:rsidR="008F45E0">
        <w:t xml:space="preserve">our </w:t>
      </w:r>
      <w:r>
        <w:t xml:space="preserve">response are applicable to the early childhood and care sector we do not contend this is automatically the case. </w:t>
      </w:r>
    </w:p>
    <w:p w14:paraId="42EC4424" w14:textId="77777777" w:rsidR="00EF2A35" w:rsidRPr="00BF27CD" w:rsidRDefault="00EF2A35" w:rsidP="00CE6F73">
      <w:pPr>
        <w:pStyle w:val="NormalWeb"/>
        <w:spacing w:after="0"/>
        <w:rPr>
          <w:rFonts w:ascii="Arial" w:hAnsi="Arial" w:cs="Arial"/>
          <w:color w:val="000000"/>
          <w:sz w:val="22"/>
          <w:szCs w:val="22"/>
        </w:rPr>
      </w:pPr>
    </w:p>
    <w:p w14:paraId="3BDA63EB" w14:textId="77777777" w:rsidR="00CE6F73" w:rsidRDefault="00CE6F73" w:rsidP="00EF2A35">
      <w:pPr>
        <w:pStyle w:val="Heading3"/>
      </w:pPr>
      <w:bookmarkStart w:id="22" w:name="_Toc451895289"/>
      <w:r w:rsidRPr="00BF27CD">
        <w:t>An evidence ecosystem that improves educational outcomes</w:t>
      </w:r>
      <w:bookmarkEnd w:id="22"/>
      <w:r w:rsidRPr="00BF27CD">
        <w:t xml:space="preserve"> </w:t>
      </w:r>
    </w:p>
    <w:p w14:paraId="31CB71E1" w14:textId="22C81303" w:rsidR="00CE6F73" w:rsidRPr="00BF27CD" w:rsidRDefault="00CE6F73" w:rsidP="00136F01">
      <w:r>
        <w:t>If our purpose is to improve educational outcomes, then we need an environment that helps all in the system to continuously learn;</w:t>
      </w:r>
      <w:r>
        <w:rPr>
          <w:color w:val="FF0000"/>
        </w:rPr>
        <w:t xml:space="preserve"> </w:t>
      </w:r>
      <w:r>
        <w:t xml:space="preserve">researchers, policy makers, practitioners and the wider community. </w:t>
      </w:r>
      <w:r>
        <w:rPr>
          <w:color w:val="FF0000"/>
        </w:rPr>
        <w:t> </w:t>
      </w:r>
      <w:r>
        <w:t>And not just to know what can make things better or worse but to develop the know-how necessary to actually make things better. Where this occurs we see an evidence ecosystem that is flourishing.</w:t>
      </w:r>
    </w:p>
    <w:p w14:paraId="64DCA0D3" w14:textId="4F541C4E" w:rsidR="00CE6F73" w:rsidRDefault="00CE6F73" w:rsidP="00136F01">
      <w:r>
        <w:t xml:space="preserve">In school education, the most important place where we make things better </w:t>
      </w:r>
      <w:r w:rsidR="008F45E0">
        <w:t xml:space="preserve">is </w:t>
      </w:r>
      <w:r>
        <w:t>the classroom.</w:t>
      </w:r>
      <w:r w:rsidRPr="00BF27CD">
        <w:t xml:space="preserve"> </w:t>
      </w:r>
      <w:r w:rsidR="008F45E0">
        <w:t xml:space="preserve">They </w:t>
      </w:r>
      <w:r>
        <w:t xml:space="preserve">are the place where the highest impact on learning occurs, and school leaders create the culture for consistently great teaching practice, </w:t>
      </w:r>
      <w:r w:rsidR="008F45E0">
        <w:t xml:space="preserve">so </w:t>
      </w:r>
      <w:r>
        <w:t>we must desig</w:t>
      </w:r>
      <w:r w:rsidR="008F45E0">
        <w:t>n</w:t>
      </w:r>
      <w:r>
        <w:t xml:space="preserve">, </w:t>
      </w:r>
      <w:r w:rsidR="008F45E0">
        <w:t xml:space="preserve">build </w:t>
      </w:r>
      <w:r>
        <w:t>and configu</w:t>
      </w:r>
      <w:r w:rsidR="008F45E0">
        <w:t>re</w:t>
      </w:r>
      <w:r>
        <w:t xml:space="preserve"> systems to support school leaders and teachers to make more impactful choices. </w:t>
      </w:r>
    </w:p>
    <w:p w14:paraId="1669CABC" w14:textId="059511BC" w:rsidR="001E5F31" w:rsidRDefault="001E5F31" w:rsidP="00136F01">
      <w:r>
        <w:rPr>
          <w:rFonts w:ascii="Arial" w:hAnsi="Arial" w:cs="Arial"/>
          <w:noProof/>
          <w:color w:val="000000"/>
          <w:sz w:val="22"/>
          <w:szCs w:val="22"/>
          <w:lang w:eastAsia="en-AU"/>
        </w:rPr>
        <w:drawing>
          <wp:anchor distT="0" distB="0" distL="114300" distR="114300" simplePos="0" relativeHeight="251683840" behindDoc="0" locked="0" layoutInCell="1" allowOverlap="1" wp14:anchorId="6DD48AAE" wp14:editId="6ABBA958">
            <wp:simplePos x="0" y="0"/>
            <wp:positionH relativeFrom="column">
              <wp:posOffset>-100330</wp:posOffset>
            </wp:positionH>
            <wp:positionV relativeFrom="paragraph">
              <wp:posOffset>777240</wp:posOffset>
            </wp:positionV>
            <wp:extent cx="6243955" cy="2858770"/>
            <wp:effectExtent l="0" t="0" r="444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25_sva_ed_dialogue_diagrams&amp;infographics_b_art10.jpg"/>
                    <pic:cNvPicPr/>
                  </pic:nvPicPr>
                  <pic:blipFill rotWithShape="1">
                    <a:blip r:embed="rId19">
                      <a:extLst>
                        <a:ext uri="{28A0092B-C50C-407E-A947-70E740481C1C}">
                          <a14:useLocalDpi xmlns:a14="http://schemas.microsoft.com/office/drawing/2010/main" val="0"/>
                        </a:ext>
                      </a:extLst>
                    </a:blip>
                    <a:srcRect t="17201" b="17996"/>
                    <a:stretch/>
                  </pic:blipFill>
                  <pic:spPr bwMode="auto">
                    <a:xfrm>
                      <a:off x="0" y="0"/>
                      <a:ext cx="6243955" cy="285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6F73">
        <w:t>The focus of an education evidence ecosystem, then, must be to enable and support better decision making by school leaders, leading to better teaching practices in classrooms, ultimately improving the learning impact for students. We conceive this ecosystem as having two important cycles intimately connected and re</w:t>
      </w:r>
      <w:r w:rsidR="00956E90">
        <w:t>i</w:t>
      </w:r>
      <w:r w:rsidR="00CE6F73">
        <w:t xml:space="preserve">nforcing as shown in the following diagram. </w:t>
      </w:r>
      <w:r>
        <w:br/>
      </w:r>
    </w:p>
    <w:p w14:paraId="109E0575" w14:textId="77777777" w:rsidR="001E5F31" w:rsidRDefault="001E5F31" w:rsidP="00136F01"/>
    <w:p w14:paraId="08CCBBCD" w14:textId="0BE53726" w:rsidR="00CE6F73" w:rsidRDefault="00CE6F73" w:rsidP="00BF27CD">
      <w:pPr>
        <w:pStyle w:val="NormalWeb"/>
        <w:spacing w:after="0"/>
        <w:ind w:left="1276"/>
      </w:pPr>
    </w:p>
    <w:p w14:paraId="314D5AA6" w14:textId="77777777" w:rsidR="00CE6F73" w:rsidRDefault="00CE6F73" w:rsidP="00CE6F73"/>
    <w:p w14:paraId="653E6615" w14:textId="61176514" w:rsidR="00956E90" w:rsidRDefault="00CE6F73" w:rsidP="00136F01">
      <w:r>
        <w:t xml:space="preserve">School leaders and teachers are the centre of this work. The activity of schools and the data and evidence they generate (through a cycle of disciplined innovation) is the starting point that informs and feeds into research questions. The work of the wider evidence chain is </w:t>
      </w:r>
      <w:r w:rsidR="008F45E0">
        <w:t xml:space="preserve">then </w:t>
      </w:r>
      <w:r>
        <w:t>shared back to schools in meaningful and practical ways.</w:t>
      </w:r>
    </w:p>
    <w:p w14:paraId="2A0A0562" w14:textId="39185E8A" w:rsidR="00956E90" w:rsidRDefault="00CE6F73" w:rsidP="00136F01">
      <w:r>
        <w:t>Our conception of this ‘evid</w:t>
      </w:r>
      <w:r w:rsidR="00136F01">
        <w:t>ence ecosystem’ is informed by three</w:t>
      </w:r>
      <w:r>
        <w:t xml:space="preserve"> principles:</w:t>
      </w:r>
    </w:p>
    <w:p w14:paraId="219AFA3D" w14:textId="37C0A6E5" w:rsidR="00CE6F73" w:rsidRDefault="008F45E0" w:rsidP="00FF2733">
      <w:pPr>
        <w:pStyle w:val="ListParagraph"/>
        <w:numPr>
          <w:ilvl w:val="0"/>
          <w:numId w:val="37"/>
        </w:numPr>
      </w:pPr>
      <w:r>
        <w:t>To effect change in practice, we need to understand how research will be used by practitioners.</w:t>
      </w:r>
      <w:r w:rsidR="00CE6F73">
        <w:t xml:space="preserve"> “Creating evidence ecosystems … requires coordinated efforts from a wide range of stakeholders [but] it is imperative that professionals drive these developments. Yes, policymakers have a responsibility to ensure there is a coherent overall system, and indeed, researchers have a duty to produce high quality research, yet it is frontline professionals who … should be at the heart of evidence–informed practice”.</w:t>
      </w:r>
      <w:r w:rsidR="001D31BE">
        <w:rPr>
          <w:rStyle w:val="FootnoteReference"/>
        </w:rPr>
        <w:footnoteReference w:id="18"/>
      </w:r>
    </w:p>
    <w:p w14:paraId="517EA98F" w14:textId="6B3D7491" w:rsidR="00CE6F73" w:rsidRDefault="00CE6F73" w:rsidP="00FF2733">
      <w:pPr>
        <w:pStyle w:val="ListParagraph"/>
        <w:numPr>
          <w:ilvl w:val="0"/>
          <w:numId w:val="37"/>
        </w:numPr>
      </w:pPr>
      <w:r>
        <w:t>Placing frontline professionals at the heart of the work requires updates to thinking about their role in research and evidence. They cannot be seen as passive recipients of knowledge ‘built elsewhere’ but as active generators of new knowledge through the evaluation of impact in their own context. “School leaders need to be continually working with their staff to evaluate the impact of all on student progression. Leaders need to create a trusting environment where staff can debate the effect they have and use the information to devise future innovations… Schools need to become incubators of programs, evaluators of impact and experts at interpreting the effects of teachers and teaching on all students”.</w:t>
      </w:r>
      <w:r w:rsidR="001D31BE">
        <w:rPr>
          <w:rStyle w:val="FootnoteReference"/>
        </w:rPr>
        <w:footnoteReference w:id="19"/>
      </w:r>
    </w:p>
    <w:p w14:paraId="5F84DB48" w14:textId="5F59A395" w:rsidR="00956E90" w:rsidRDefault="00CE6F73" w:rsidP="00FF2733">
      <w:pPr>
        <w:pStyle w:val="ListParagraph"/>
        <w:numPr>
          <w:ilvl w:val="0"/>
          <w:numId w:val="37"/>
        </w:numPr>
      </w:pPr>
      <w:r>
        <w:t>The relationship between frontline professionals engaging in disciplined innovation in their schools and the actors in the wider evidence chain must be seen as one of mutual dependence in the shared endeavour to improve educational outcomes. “Envision national networks of teachers and schools engaged with researchers and program developers around select[</w:t>
      </w:r>
      <w:proofErr w:type="spellStart"/>
      <w:r>
        <w:t>ed</w:t>
      </w:r>
      <w:proofErr w:type="spellEnd"/>
      <w:r>
        <w:t>] high-leverage educational problems. These networks would aim to inform educators as to what is more likely to work where, for whom, and under what conditions. Moreover, as educators used this knowledge, the knowledge itself would evolve and be further refined through its applications”.</w:t>
      </w:r>
      <w:r w:rsidR="001D31BE">
        <w:rPr>
          <w:rStyle w:val="FootnoteReference"/>
        </w:rPr>
        <w:footnoteReference w:id="20"/>
      </w:r>
      <w:r>
        <w:t xml:space="preserve">     </w:t>
      </w:r>
    </w:p>
    <w:p w14:paraId="543A9395" w14:textId="181430D6" w:rsidR="00CE6F73" w:rsidRDefault="00CE6F73" w:rsidP="00136F01">
      <w:r>
        <w:t>We have considered the activities that must occur in the two areas of (1) disciplined innovation in schools which is supported by (2) the wider evidence chain that support our conception of a healthy evidence ecosystem.</w:t>
      </w:r>
    </w:p>
    <w:p w14:paraId="663CA167" w14:textId="77777777" w:rsidR="00CE6F73" w:rsidRDefault="00CE6F73" w:rsidP="00136F01"/>
    <w:p w14:paraId="3F08EA4C" w14:textId="77777777" w:rsidR="00CE6F73" w:rsidRPr="00956E90" w:rsidRDefault="00CE6F73" w:rsidP="00EF2A35">
      <w:pPr>
        <w:pStyle w:val="Heading3"/>
      </w:pPr>
      <w:bookmarkStart w:id="23" w:name="_Toc451895290"/>
      <w:r w:rsidRPr="00956E90">
        <w:lastRenderedPageBreak/>
        <w:t>Disciplined Innovation in Schools</w:t>
      </w:r>
      <w:bookmarkEnd w:id="23"/>
    </w:p>
    <w:p w14:paraId="54114571" w14:textId="59A236CA" w:rsidR="00CE6F73" w:rsidRDefault="00726F64" w:rsidP="00CE6F73">
      <w:pPr>
        <w:pStyle w:val="NormalWeb"/>
        <w:spacing w:after="0"/>
      </w:pPr>
      <w:r>
        <w:rPr>
          <w:noProof/>
          <w:lang w:eastAsia="en-AU"/>
        </w:rPr>
        <w:drawing>
          <wp:inline distT="0" distB="0" distL="0" distR="0" wp14:anchorId="6ACCD61B" wp14:editId="676D3A02">
            <wp:extent cx="5716270" cy="40412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25_sva_ed_dialogue_diagrams&amp;infographics_b_art3.jpg"/>
                    <pic:cNvPicPr/>
                  </pic:nvPicPr>
                  <pic:blipFill>
                    <a:blip r:embed="rId20">
                      <a:extLst>
                        <a:ext uri="{28A0092B-C50C-407E-A947-70E740481C1C}">
                          <a14:useLocalDpi xmlns:a14="http://schemas.microsoft.com/office/drawing/2010/main" val="0"/>
                        </a:ext>
                      </a:extLst>
                    </a:blip>
                    <a:stretch>
                      <a:fillRect/>
                    </a:stretch>
                  </pic:blipFill>
                  <pic:spPr>
                    <a:xfrm>
                      <a:off x="0" y="0"/>
                      <a:ext cx="5717638" cy="4042200"/>
                    </a:xfrm>
                    <a:prstGeom prst="rect">
                      <a:avLst/>
                    </a:prstGeom>
                  </pic:spPr>
                </pic:pic>
              </a:graphicData>
            </a:graphic>
          </wp:inline>
        </w:drawing>
      </w:r>
    </w:p>
    <w:p w14:paraId="35A1E61B" w14:textId="77777777" w:rsidR="00CE6F73" w:rsidRDefault="00CE6F73" w:rsidP="00136F01"/>
    <w:p w14:paraId="5BEF2C8D" w14:textId="36EA94AA" w:rsidR="00956E90" w:rsidRDefault="00CE6F73" w:rsidP="00136F01">
      <w:r>
        <w:t xml:space="preserve">This process shows a way school leaders can ensure the </w:t>
      </w:r>
      <w:r w:rsidR="008F45E0">
        <w:t xml:space="preserve">approaches </w:t>
      </w:r>
      <w:r>
        <w:t xml:space="preserve">they </w:t>
      </w:r>
      <w:r w:rsidR="008F45E0">
        <w:t xml:space="preserve">choose </w:t>
      </w:r>
      <w:r>
        <w:t xml:space="preserve">in their school are informed by, and responsive to evidence. All stages need to be data and evidence informed. This doesn’t replace the importance of professional </w:t>
      </w:r>
      <w:proofErr w:type="spellStart"/>
      <w:r>
        <w:t>judgement</w:t>
      </w:r>
      <w:proofErr w:type="spellEnd"/>
      <w:r>
        <w:t xml:space="preserve"> - it should enhance and improve it. </w:t>
      </w:r>
    </w:p>
    <w:p w14:paraId="3513AE1B" w14:textId="77777777" w:rsidR="00CE6F73" w:rsidRDefault="00CE6F73" w:rsidP="00136F01">
      <w:r>
        <w:t>In summary:</w:t>
      </w:r>
    </w:p>
    <w:p w14:paraId="4F0B0EFC" w14:textId="77777777" w:rsidR="00CE6F73" w:rsidRDefault="00CE6F73" w:rsidP="00FF2733">
      <w:pPr>
        <w:pStyle w:val="ListBullet"/>
        <w:numPr>
          <w:ilvl w:val="0"/>
          <w:numId w:val="38"/>
        </w:numPr>
      </w:pPr>
      <w:r>
        <w:t xml:space="preserve">The </w:t>
      </w:r>
      <w:r w:rsidRPr="00601741">
        <w:rPr>
          <w:b/>
        </w:rPr>
        <w:t>Impetus</w:t>
      </w:r>
      <w:r>
        <w:t xml:space="preserve"> must come from school level data and appreciation of local needs;</w:t>
      </w:r>
    </w:p>
    <w:p w14:paraId="764AB6D4" w14:textId="36ABE5FB" w:rsidR="00CE6F73" w:rsidRDefault="00CE6F73" w:rsidP="00FF2733">
      <w:pPr>
        <w:pStyle w:val="ListBullet"/>
        <w:numPr>
          <w:ilvl w:val="0"/>
          <w:numId w:val="38"/>
        </w:numPr>
      </w:pPr>
      <w:r>
        <w:t xml:space="preserve">School leaders need to have an </w:t>
      </w:r>
      <w:r w:rsidRPr="00601741">
        <w:rPr>
          <w:b/>
        </w:rPr>
        <w:t>Awareness</w:t>
      </w:r>
      <w:r>
        <w:t xml:space="preserve"> of which approaches have good evidence of success and be able to easily distinguish </w:t>
      </w:r>
      <w:r w:rsidR="008F45E0">
        <w:t xml:space="preserve">them </w:t>
      </w:r>
      <w:r>
        <w:t>from the plethora of available information</w:t>
      </w:r>
    </w:p>
    <w:p w14:paraId="2B54E8B0" w14:textId="290F1A17" w:rsidR="00CE6F73" w:rsidRDefault="00CE6F73" w:rsidP="00FF2733">
      <w:pPr>
        <w:pStyle w:val="ListBullet"/>
        <w:numPr>
          <w:ilvl w:val="0"/>
          <w:numId w:val="38"/>
        </w:numPr>
      </w:pPr>
      <w:r w:rsidRPr="00601741">
        <w:rPr>
          <w:b/>
        </w:rPr>
        <w:t>Analysis</w:t>
      </w:r>
      <w:r>
        <w:rPr>
          <w:u w:val="single"/>
        </w:rPr>
        <w:t xml:space="preserve"> </w:t>
      </w:r>
      <w:r>
        <w:t>of the evidence</w:t>
      </w:r>
      <w:r w:rsidR="008F45E0">
        <w:t>-</w:t>
      </w:r>
      <w:r>
        <w:t xml:space="preserve">based </w:t>
      </w:r>
      <w:r w:rsidR="008F45E0">
        <w:t xml:space="preserve">approaches </w:t>
      </w:r>
      <w:r>
        <w:t xml:space="preserve">entails understanding of the conditions that have led to prior success and consideration </w:t>
      </w:r>
      <w:r w:rsidR="001A1564">
        <w:t xml:space="preserve">of </w:t>
      </w:r>
      <w:r>
        <w:t>whether it is likely to provide similar benefit in the specific local context</w:t>
      </w:r>
    </w:p>
    <w:p w14:paraId="736F8392" w14:textId="77777777" w:rsidR="00CE6F73" w:rsidRDefault="00CE6F73" w:rsidP="00FF2733">
      <w:pPr>
        <w:pStyle w:val="ListBullet"/>
        <w:numPr>
          <w:ilvl w:val="0"/>
          <w:numId w:val="38"/>
        </w:numPr>
      </w:pPr>
      <w:r>
        <w:t xml:space="preserve">Intentional </w:t>
      </w:r>
      <w:r w:rsidRPr="00601741">
        <w:rPr>
          <w:b/>
        </w:rPr>
        <w:t>Adoption</w:t>
      </w:r>
      <w:r>
        <w:t xml:space="preserve"> and </w:t>
      </w:r>
      <w:r w:rsidRPr="00601741">
        <w:rPr>
          <w:b/>
        </w:rPr>
        <w:t>Adaptation</w:t>
      </w:r>
      <w:r>
        <w:t xml:space="preserve"> of the program includes the use of ‘implementation science’ to articulate the ‘theory of change’ and manage the barriers to success (including staff training and use of measures to determine efficacy in that context)</w:t>
      </w:r>
    </w:p>
    <w:p w14:paraId="18177DDD" w14:textId="4368AA44" w:rsidR="00CE6F73" w:rsidRDefault="00CE6F73" w:rsidP="00FF2733">
      <w:pPr>
        <w:pStyle w:val="ListBullet"/>
        <w:numPr>
          <w:ilvl w:val="0"/>
          <w:numId w:val="38"/>
        </w:numPr>
      </w:pPr>
      <w:r>
        <w:t xml:space="preserve">Implementation is conducted in a mini cycle of </w:t>
      </w:r>
      <w:r w:rsidRPr="00601741">
        <w:rPr>
          <w:b/>
        </w:rPr>
        <w:t>Act</w:t>
      </w:r>
      <w:r>
        <w:t xml:space="preserve">, </w:t>
      </w:r>
      <w:r w:rsidRPr="00601741">
        <w:rPr>
          <w:b/>
        </w:rPr>
        <w:t>Evaluate</w:t>
      </w:r>
      <w:r>
        <w:t xml:space="preserve"> and </w:t>
      </w:r>
      <w:r w:rsidRPr="00601741">
        <w:rPr>
          <w:b/>
        </w:rPr>
        <w:t>Adjust</w:t>
      </w:r>
      <w:r>
        <w:t xml:space="preserve"> that ensures active learning to make immediate difference and generates new data and knowledge for sharing with the wider evidence chain</w:t>
      </w:r>
      <w:r w:rsidR="001A1564">
        <w:t>,</w:t>
      </w:r>
      <w:r>
        <w:t xml:space="preserve"> and</w:t>
      </w:r>
    </w:p>
    <w:p w14:paraId="6105517E" w14:textId="54DE977D" w:rsidR="008F45E0" w:rsidRDefault="00CE6F73">
      <w:pPr>
        <w:pStyle w:val="ListBullet"/>
        <w:numPr>
          <w:ilvl w:val="0"/>
          <w:numId w:val="38"/>
        </w:numPr>
      </w:pPr>
      <w:r>
        <w:t xml:space="preserve">A deliberate decision to </w:t>
      </w:r>
      <w:r w:rsidR="001E5F31" w:rsidRPr="00601741">
        <w:rPr>
          <w:b/>
        </w:rPr>
        <w:t>Embed</w:t>
      </w:r>
      <w:r w:rsidR="001E5F31">
        <w:rPr>
          <w:u w:val="single"/>
        </w:rPr>
        <w:softHyphen/>
      </w:r>
      <w:r w:rsidR="001E5F31" w:rsidRPr="00601741">
        <w:t xml:space="preserve"> </w:t>
      </w:r>
      <w:r>
        <w:t xml:space="preserve">or </w:t>
      </w:r>
      <w:r w:rsidRPr="00601741">
        <w:rPr>
          <w:b/>
        </w:rPr>
        <w:t>Omit</w:t>
      </w:r>
      <w:r>
        <w:t xml:space="preserve"> (discard) the program based on the </w:t>
      </w:r>
      <w:r w:rsidR="008F45E0">
        <w:t xml:space="preserve">local </w:t>
      </w:r>
      <w:r>
        <w:t xml:space="preserve">evidence of impact; choosing what to stop doing is as important as choosing what to </w:t>
      </w:r>
      <w:r w:rsidR="008F45E0">
        <w:t>keep doing</w:t>
      </w:r>
      <w:r>
        <w:t>.</w:t>
      </w:r>
    </w:p>
    <w:p w14:paraId="216FA0E1" w14:textId="0BED919D" w:rsidR="008F45E0" w:rsidRDefault="008F45E0" w:rsidP="00601741">
      <w:r>
        <w:t>All of this work in schools should be supported by activities in the wider evidence chain that are geared to producing and communicating evidence that teachers and school leaders can understand and use to improve their practice.</w:t>
      </w:r>
    </w:p>
    <w:p w14:paraId="4EF08118" w14:textId="77777777" w:rsidR="00CE6F73" w:rsidRDefault="00CE6F73" w:rsidP="00EF2A35">
      <w:pPr>
        <w:pStyle w:val="Heading3"/>
        <w:rPr>
          <w:rFonts w:ascii="Times New Roman" w:hAnsi="Times New Roman" w:cs="Times New Roman"/>
          <w:sz w:val="24"/>
          <w:szCs w:val="24"/>
        </w:rPr>
      </w:pPr>
      <w:bookmarkStart w:id="24" w:name="_Toc451895291"/>
      <w:r w:rsidRPr="00956E90">
        <w:lastRenderedPageBreak/>
        <w:t>Wider Evidence Chain</w:t>
      </w:r>
      <w:bookmarkEnd w:id="24"/>
    </w:p>
    <w:p w14:paraId="7B9557CC" w14:textId="09AFF783" w:rsidR="00CE6F73" w:rsidRDefault="00726F64" w:rsidP="00CE6F73">
      <w:pPr>
        <w:pStyle w:val="NormalWeb"/>
        <w:spacing w:after="0"/>
      </w:pPr>
      <w:r>
        <w:rPr>
          <w:noProof/>
          <w:lang w:eastAsia="en-AU"/>
        </w:rPr>
        <w:drawing>
          <wp:inline distT="0" distB="0" distL="0" distR="0" wp14:anchorId="7ADB4B95" wp14:editId="0D6306E4">
            <wp:extent cx="5669280" cy="400801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25_sva_ed_dialogue_diagrams&amp;infographics_b_art11.jpg"/>
                    <pic:cNvPicPr/>
                  </pic:nvPicPr>
                  <pic:blipFill>
                    <a:blip r:embed="rId21">
                      <a:extLst>
                        <a:ext uri="{28A0092B-C50C-407E-A947-70E740481C1C}">
                          <a14:useLocalDpi xmlns:a14="http://schemas.microsoft.com/office/drawing/2010/main" val="0"/>
                        </a:ext>
                      </a:extLst>
                    </a:blip>
                    <a:stretch>
                      <a:fillRect/>
                    </a:stretch>
                  </pic:blipFill>
                  <pic:spPr>
                    <a:xfrm>
                      <a:off x="0" y="0"/>
                      <a:ext cx="5671122" cy="4009314"/>
                    </a:xfrm>
                    <a:prstGeom prst="rect">
                      <a:avLst/>
                    </a:prstGeom>
                  </pic:spPr>
                </pic:pic>
              </a:graphicData>
            </a:graphic>
          </wp:inline>
        </w:drawing>
      </w:r>
    </w:p>
    <w:p w14:paraId="2B562466" w14:textId="77777777" w:rsidR="00CE6F73" w:rsidRDefault="00CE6F73" w:rsidP="00CE6F73"/>
    <w:p w14:paraId="2E6821CA" w14:textId="04FBA551" w:rsidR="00956E90" w:rsidRDefault="00CE6F73" w:rsidP="00136F01">
      <w:r>
        <w:t xml:space="preserve">This cycle begins with new knowledge generation in the </w:t>
      </w:r>
      <w:r w:rsidRPr="00601741">
        <w:rPr>
          <w:b/>
        </w:rPr>
        <w:t>production</w:t>
      </w:r>
      <w:r>
        <w:t xml:space="preserve"> stage, based on the questions generated from data and evidence in the school cycle</w:t>
      </w:r>
      <w:r w:rsidR="008F45E0">
        <w:t xml:space="preserve"> running in networks of schools</w:t>
      </w:r>
      <w:r>
        <w:t xml:space="preserve">. But to be useful and used this evidence needs to be </w:t>
      </w:r>
      <w:r w:rsidRPr="00601741">
        <w:rPr>
          <w:b/>
        </w:rPr>
        <w:t>synthesised</w:t>
      </w:r>
      <w:r>
        <w:t xml:space="preserve"> in comparison to similar research on the same topic and </w:t>
      </w:r>
      <w:r w:rsidRPr="00601741">
        <w:rPr>
          <w:b/>
        </w:rPr>
        <w:t>transformed</w:t>
      </w:r>
      <w:r>
        <w:t xml:space="preserve"> </w:t>
      </w:r>
      <w:r w:rsidR="008F45E0">
        <w:t xml:space="preserve">into plain English </w:t>
      </w:r>
      <w:r>
        <w:t xml:space="preserve">with additional contextual information, such as costs and key success factors. Finally it needs to be effectively shared </w:t>
      </w:r>
      <w:r w:rsidR="008F45E0">
        <w:t xml:space="preserve">through </w:t>
      </w:r>
      <w:r>
        <w:t xml:space="preserve">authentic and </w:t>
      </w:r>
      <w:r w:rsidRPr="00601741">
        <w:rPr>
          <w:b/>
        </w:rPr>
        <w:t>engaged networks</w:t>
      </w:r>
      <w:r>
        <w:t xml:space="preserve"> of frontline professionals who are supported in </w:t>
      </w:r>
      <w:r w:rsidRPr="00601741">
        <w:rPr>
          <w:b/>
        </w:rPr>
        <w:t>implementation</w:t>
      </w:r>
      <w:r>
        <w:t xml:space="preserve"> (as they engage in disciplined innovation in their school) in order to realise the benefits of the evidence</w:t>
      </w:r>
      <w:r w:rsidR="00433699">
        <w:t xml:space="preserve">-informed </w:t>
      </w:r>
      <w:r>
        <w:t xml:space="preserve">change. </w:t>
      </w:r>
    </w:p>
    <w:p w14:paraId="4F728220" w14:textId="3758A42A" w:rsidR="00136F01" w:rsidRDefault="00CE6F73" w:rsidP="00136F01">
      <w:r>
        <w:t xml:space="preserve">While there is substantial focus on the production of data in Australia, including throughout the Commission’s Issues Paper, there is a particular lack of experimental evidence in education. There is also a lack of focus on engagement with evidence by practitioners and ensuring that </w:t>
      </w:r>
      <w:r w:rsidR="00433699">
        <w:t xml:space="preserve">approaches </w:t>
      </w:r>
      <w:r>
        <w:t>are implemented with impact.</w:t>
      </w:r>
    </w:p>
    <w:p w14:paraId="5CD8D180" w14:textId="77777777" w:rsidR="00136F01" w:rsidRDefault="00136F01" w:rsidP="00EF2A35">
      <w:pPr>
        <w:pStyle w:val="Heading3"/>
      </w:pPr>
      <w:r>
        <w:br/>
      </w:r>
    </w:p>
    <w:p w14:paraId="74C81551" w14:textId="77777777" w:rsidR="00136F01" w:rsidRDefault="00136F01" w:rsidP="00EF2A35">
      <w:pPr>
        <w:pStyle w:val="Heading3"/>
      </w:pPr>
    </w:p>
    <w:p w14:paraId="3AE6C0CF" w14:textId="77777777" w:rsidR="00136F01" w:rsidRDefault="00136F01" w:rsidP="00EF2A35">
      <w:pPr>
        <w:pStyle w:val="Heading3"/>
      </w:pPr>
    </w:p>
    <w:p w14:paraId="5547B3DC" w14:textId="77777777" w:rsidR="00136F01" w:rsidRDefault="00136F01">
      <w:pPr>
        <w:spacing w:after="0" w:line="240" w:lineRule="auto"/>
        <w:rPr>
          <w:rFonts w:asciiTheme="majorHAnsi" w:hAnsiTheme="majorHAnsi" w:cstheme="majorHAnsi"/>
          <w:b/>
          <w:bCs/>
          <w:sz w:val="26"/>
          <w:szCs w:val="26"/>
        </w:rPr>
      </w:pPr>
      <w:r>
        <w:br w:type="page"/>
      </w:r>
    </w:p>
    <w:p w14:paraId="3A418E34" w14:textId="417F8CC2" w:rsidR="00CE6F73" w:rsidRPr="00956E90" w:rsidRDefault="00CE6F73" w:rsidP="00EF2A35">
      <w:pPr>
        <w:pStyle w:val="Heading3"/>
      </w:pPr>
      <w:bookmarkStart w:id="25" w:name="_Toc451895292"/>
      <w:r w:rsidRPr="00956E90">
        <w:lastRenderedPageBreak/>
        <w:t>What is missing in the Australian evidence ecosystem</w:t>
      </w:r>
      <w:bookmarkEnd w:id="25"/>
    </w:p>
    <w:p w14:paraId="71A295CB" w14:textId="7D3098CD" w:rsidR="00956E90" w:rsidRDefault="0027062E" w:rsidP="00136F01">
      <w:r>
        <w:t>T</w:t>
      </w:r>
      <w:r w:rsidR="00CE6F73">
        <w:t xml:space="preserve">here are two important gaps in our current ecosystem, which are critical to address if a national education evidence base is to meet its purpose of improving educational outcomes. </w:t>
      </w:r>
    </w:p>
    <w:p w14:paraId="71605BD5" w14:textId="3BF12B76" w:rsidR="00CE6F73" w:rsidRPr="00136F01" w:rsidRDefault="00CE6F73" w:rsidP="00FF2733">
      <w:pPr>
        <w:pStyle w:val="Heading4"/>
        <w:numPr>
          <w:ilvl w:val="0"/>
          <w:numId w:val="39"/>
        </w:numPr>
      </w:pPr>
      <w:r w:rsidRPr="00136F01">
        <w:t xml:space="preserve">There is a lack of high quality evidence of the actual learning impact of approaches and programs in schools. </w:t>
      </w:r>
    </w:p>
    <w:p w14:paraId="2E5930F0" w14:textId="266742C1" w:rsidR="00956E90" w:rsidRPr="00136F01" w:rsidRDefault="00136F01" w:rsidP="00136F01">
      <w:r>
        <w:br/>
      </w:r>
      <w:r w:rsidR="00CE6F73">
        <w:t>Addressing this gap, through more experimental research effectively translated for action, is a very cost effective way to better inform and target substantial system investments at the macro level and at the micro level to assist school leaders make more impactful decisions. There is good cost/benefit for doing this now, but the returns are even greater with specific improvements in national data collections, which can drive down the cost of experimental research.</w:t>
      </w:r>
    </w:p>
    <w:p w14:paraId="5586E69C" w14:textId="67067E3B" w:rsidR="00956E90" w:rsidRPr="00136F01" w:rsidRDefault="00CE6F73" w:rsidP="00FF2733">
      <w:pPr>
        <w:pStyle w:val="Heading4"/>
        <w:numPr>
          <w:ilvl w:val="0"/>
          <w:numId w:val="39"/>
        </w:numPr>
      </w:pPr>
      <w:r w:rsidRPr="00136F01">
        <w:t xml:space="preserve">There is a gap in </w:t>
      </w:r>
      <w:r w:rsidR="00433699">
        <w:t xml:space="preserve">stimulating and </w:t>
      </w:r>
      <w:r w:rsidRPr="00136F01">
        <w:t>meeting the ‘demand side’ of evidence use; the needs of frontline professionals who ultimately deliver the learning impact</w:t>
      </w:r>
      <w:r w:rsidR="00136F01">
        <w:t>.</w:t>
      </w:r>
      <w:r w:rsidR="00136F01">
        <w:br/>
      </w:r>
    </w:p>
    <w:p w14:paraId="30D65501" w14:textId="1489F66B" w:rsidR="00956E90" w:rsidRDefault="00CE6F73" w:rsidP="00136F01">
      <w:r>
        <w:t xml:space="preserve">A national evidence base is not valuable if it is not actually used to make changes that improve educational outcomes. The Issues Paper does not adequately consider the important conditions that are required for evidence to be used by policy makers and practitioners. Substantial effort needs to be directed to understanding and responding to the ways in which frontline </w:t>
      </w:r>
      <w:r w:rsidR="00956E90">
        <w:t>professional’s</w:t>
      </w:r>
      <w:r>
        <w:t xml:space="preserve"> best engage with data and evidence to lift their impact and thereby improve educational outcomes.</w:t>
      </w:r>
    </w:p>
    <w:p w14:paraId="1F57EC7A" w14:textId="77777777" w:rsidR="00CE6F73" w:rsidRDefault="00CE6F73" w:rsidP="00136F01">
      <w:r>
        <w:t>These two points are themes throughout our response to the Issues Paper.</w:t>
      </w:r>
    </w:p>
    <w:p w14:paraId="0B17CEA7" w14:textId="77777777" w:rsidR="00CE6F73" w:rsidRDefault="00CE6F73" w:rsidP="00CE6F73"/>
    <w:p w14:paraId="38F0B087" w14:textId="54CEC69C" w:rsidR="00956E90" w:rsidRDefault="00956E90">
      <w:pPr>
        <w:rPr>
          <w:bCs/>
          <w:iCs/>
        </w:rPr>
      </w:pPr>
    </w:p>
    <w:p w14:paraId="1BA629F0" w14:textId="77777777" w:rsidR="00956E90" w:rsidRDefault="00956E90">
      <w:pPr>
        <w:spacing w:after="0" w:line="240" w:lineRule="auto"/>
        <w:rPr>
          <w:bCs/>
          <w:iCs/>
        </w:rPr>
      </w:pPr>
      <w:r>
        <w:rPr>
          <w:bCs/>
          <w:iCs/>
        </w:rPr>
        <w:br w:type="page"/>
      </w:r>
    </w:p>
    <w:p w14:paraId="3D1B2106" w14:textId="77777777" w:rsidR="00956E90" w:rsidRDefault="00956E90"/>
    <w:p w14:paraId="73E61486" w14:textId="75B215F3" w:rsidR="00EF2A35" w:rsidRDefault="00CE6F73" w:rsidP="00601741">
      <w:pPr>
        <w:pStyle w:val="Heading2"/>
        <w:framePr w:w="0" w:wrap="around"/>
        <w:spacing w:before="0"/>
      </w:pPr>
      <w:bookmarkStart w:id="26" w:name="_Toc451895293"/>
      <w:r>
        <w:t xml:space="preserve">Section 1: </w:t>
      </w:r>
      <w:r w:rsidR="00E0340A">
        <w:br/>
      </w:r>
      <w:r>
        <w:t>What has the Commission been asked to do?</w:t>
      </w:r>
      <w:bookmarkEnd w:id="26"/>
    </w:p>
    <w:p w14:paraId="0D3DA0B4" w14:textId="5CAE3CDB" w:rsidR="00CE6F73" w:rsidRDefault="00CE6F73" w:rsidP="00EF2A35">
      <w:pPr>
        <w:pStyle w:val="Heading3"/>
      </w:pPr>
      <w:bookmarkStart w:id="27" w:name="_Toc451895294"/>
      <w:r>
        <w:t>Scope of the Inquiry - questions page 3</w:t>
      </w:r>
      <w:bookmarkEnd w:id="27"/>
    </w:p>
    <w:p w14:paraId="104AC06E" w14:textId="77777777" w:rsidR="00CE6F73" w:rsidRPr="00FF2733" w:rsidRDefault="00CE6F73" w:rsidP="00136F01">
      <w:pPr>
        <w:rPr>
          <w:b/>
          <w:i/>
        </w:rPr>
      </w:pPr>
      <w:r w:rsidRPr="00FF2733">
        <w:rPr>
          <w:b/>
          <w:i/>
        </w:rPr>
        <w:t>Does the interpretation of the scope of the terms of reference accord with yours?</w:t>
      </w:r>
    </w:p>
    <w:p w14:paraId="5C6F839B" w14:textId="2FD1D67B" w:rsidR="00956E90" w:rsidRPr="00136F01" w:rsidRDefault="00CE6F73" w:rsidP="00136F01">
      <w:r>
        <w:rPr>
          <w:color w:val="000000"/>
        </w:rPr>
        <w:t>We note that the terms of reference request the Inquiry to advise on the “the national approach to collecting and using data for early childhood education and care and schools, and other information as relevant, to improve Australia’s educational outcomes” as well as “the information required to provide a comprehensive evidence base to inform policy development in early learning and school education now and in the future.”</w:t>
      </w:r>
      <w:r w:rsidR="001D31BE">
        <w:rPr>
          <w:rStyle w:val="FootnoteReference"/>
          <w:color w:val="000000"/>
        </w:rPr>
        <w:footnoteReference w:id="21"/>
      </w:r>
    </w:p>
    <w:p w14:paraId="7DD9BD47" w14:textId="19B0B373" w:rsidR="00956E90" w:rsidRPr="00FF2733" w:rsidRDefault="00CE6F73" w:rsidP="00136F01">
      <w:pPr>
        <w:rPr>
          <w:color w:val="000000"/>
        </w:rPr>
      </w:pPr>
      <w:r>
        <w:rPr>
          <w:color w:val="000000"/>
        </w:rPr>
        <w:t>We therefore submit that the scope of the Inquiry s</w:t>
      </w:r>
      <w:r w:rsidR="00FF2733">
        <w:rPr>
          <w:color w:val="000000"/>
        </w:rPr>
        <w:t>hould include consideration of:</w:t>
      </w:r>
    </w:p>
    <w:p w14:paraId="0BA34410" w14:textId="345BCBD9" w:rsidR="00CE6F73" w:rsidRPr="00956E90" w:rsidRDefault="00FF2733" w:rsidP="00FF2733">
      <w:pPr>
        <w:pStyle w:val="ListBullet"/>
        <w:numPr>
          <w:ilvl w:val="0"/>
          <w:numId w:val="40"/>
        </w:numPr>
      </w:pPr>
      <w:r>
        <w:t>T</w:t>
      </w:r>
      <w:r w:rsidR="00CE6F73" w:rsidRPr="00956E90">
        <w:t xml:space="preserve">he types of information required to develop policies and practices that directly relate to improving educational outcomes. This should include data on the costs and effectiveness of specific interventions or programs - often referred to as the ‘what works’ evidence base but also the specific factors that make them impactful in practice: ‘what works, for whom, under what conditions’; </w:t>
      </w:r>
    </w:p>
    <w:p w14:paraId="1176D04A" w14:textId="40A80FBC" w:rsidR="00CE6F73" w:rsidRDefault="00FF2733" w:rsidP="00FF2733">
      <w:pPr>
        <w:pStyle w:val="ListBullet"/>
        <w:numPr>
          <w:ilvl w:val="0"/>
          <w:numId w:val="40"/>
        </w:numPr>
      </w:pPr>
      <w:r>
        <w:t>H</w:t>
      </w:r>
      <w:r w:rsidR="00CE6F73">
        <w:t>ow this information should be collected nationally, including the appropriate use of evaluation techniques</w:t>
      </w:r>
      <w:r w:rsidR="00433699">
        <w:t>,</w:t>
      </w:r>
      <w:r w:rsidR="00CE6F73">
        <w:t xml:space="preserve"> </w:t>
      </w:r>
      <w:r w:rsidR="00433699">
        <w:t xml:space="preserve">especially </w:t>
      </w:r>
      <w:r w:rsidR="00CE6F73">
        <w:t>experimental research using methods such as randomised control</w:t>
      </w:r>
      <w:r w:rsidR="00433699">
        <w:t>led</w:t>
      </w:r>
      <w:r w:rsidR="00CE6F73">
        <w:t xml:space="preserve"> trials (</w:t>
      </w:r>
      <w:proofErr w:type="spellStart"/>
      <w:r w:rsidR="00CE6F73">
        <w:t>RCT</w:t>
      </w:r>
      <w:proofErr w:type="spellEnd"/>
      <w:r w:rsidR="00CE6F73">
        <w:t xml:space="preserve">); </w:t>
      </w:r>
    </w:p>
    <w:p w14:paraId="16215C62" w14:textId="0D098635" w:rsidR="00CE6F73" w:rsidRDefault="00FF2733" w:rsidP="00FF2733">
      <w:pPr>
        <w:pStyle w:val="ListBullet"/>
        <w:numPr>
          <w:ilvl w:val="0"/>
          <w:numId w:val="40"/>
        </w:numPr>
      </w:pPr>
      <w:r>
        <w:t>H</w:t>
      </w:r>
      <w:r w:rsidR="00CE6F73">
        <w:t>ow information contained within the national education evidence base should be used, including how it is made available to key users</w:t>
      </w:r>
      <w:r w:rsidR="00433699">
        <w:t xml:space="preserve"> such as</w:t>
      </w:r>
      <w:r w:rsidR="00CE6F73">
        <w:t xml:space="preserve"> school leaders, teachers and parents/students as well as policy-makers, service providers and researchers in education, health and other social service sectors; and</w:t>
      </w:r>
    </w:p>
    <w:p w14:paraId="4319D392" w14:textId="663B230C" w:rsidR="00956E90" w:rsidRDefault="00FF2733" w:rsidP="00FF2733">
      <w:pPr>
        <w:pStyle w:val="ListBullet"/>
        <w:numPr>
          <w:ilvl w:val="0"/>
          <w:numId w:val="40"/>
        </w:numPr>
      </w:pPr>
      <w:r>
        <w:t>H</w:t>
      </w:r>
      <w:r w:rsidR="00CE6F73">
        <w:t>ow key users are supported and encouraged to engage effectively with the education evidence base through professional learning and enhanced professional networks.</w:t>
      </w:r>
    </w:p>
    <w:p w14:paraId="764C54DE" w14:textId="17E6E543" w:rsidR="00CE6F73" w:rsidRDefault="00CE6F73" w:rsidP="00136F01">
      <w:r>
        <w:rPr>
          <w:color w:val="000000"/>
        </w:rPr>
        <w:t xml:space="preserve">Further, in considering the benefits of alternate approaches, the Inquiry should focus on the nexus between the particular types of evidence that are or could be generated </w:t>
      </w:r>
      <w:r w:rsidRPr="00FF2733">
        <w:rPr>
          <w:color w:val="000000"/>
        </w:rPr>
        <w:t>and</w:t>
      </w:r>
      <w:r w:rsidR="00FF2733" w:rsidRPr="00FF2733">
        <w:rPr>
          <w:color w:val="000000"/>
        </w:rPr>
        <w:t xml:space="preserve"> </w:t>
      </w:r>
      <w:r w:rsidR="00433699">
        <w:rPr>
          <w:color w:val="000000"/>
        </w:rPr>
        <w:t xml:space="preserve">each type’s </w:t>
      </w:r>
      <w:r>
        <w:rPr>
          <w:color w:val="000000"/>
        </w:rPr>
        <w:t>likely support for improving educational outcomes.</w:t>
      </w:r>
    </w:p>
    <w:p w14:paraId="6960CEC5" w14:textId="77777777" w:rsidR="00CE6F73" w:rsidRPr="00FF2733" w:rsidRDefault="00CE6F73" w:rsidP="00136F01">
      <w:pPr>
        <w:rPr>
          <w:b/>
          <w:i/>
        </w:rPr>
      </w:pPr>
      <w:r w:rsidRPr="00FF2733">
        <w:rPr>
          <w:b/>
          <w:i/>
        </w:rPr>
        <w:t>In particular, should the scope of the evidence base include data on children younger than 4 years old (or prior to the year before compulsory schooling begins)? If so, why, and should it cover all children, or only those attending early childhood education and care programs outside the home?</w:t>
      </w:r>
    </w:p>
    <w:p w14:paraId="669705D9" w14:textId="31BFA3B2" w:rsidR="00956E90" w:rsidRPr="00FF2733" w:rsidRDefault="00CE6F73" w:rsidP="00136F01">
      <w:pPr>
        <w:rPr>
          <w:b/>
          <w:i/>
        </w:rPr>
      </w:pPr>
      <w:r w:rsidRPr="00FF2733">
        <w:rPr>
          <w:b/>
          <w:i/>
        </w:rPr>
        <w:t xml:space="preserve">Should the evidence base include data on young people who have left school before completing Year 12, or who do not attend school for other reasons (for example, </w:t>
      </w:r>
      <w:r w:rsidR="00102B61" w:rsidRPr="00FF2733">
        <w:rPr>
          <w:b/>
          <w:i/>
        </w:rPr>
        <w:t>home-schooled</w:t>
      </w:r>
      <w:r w:rsidRPr="00FF2733">
        <w:rPr>
          <w:b/>
          <w:i/>
        </w:rPr>
        <w:t xml:space="preserve"> children)? </w:t>
      </w:r>
    </w:p>
    <w:p w14:paraId="26C30BA9" w14:textId="4C0F96FB" w:rsidR="00CE6F73" w:rsidRPr="00956E90" w:rsidRDefault="00CE6F73" w:rsidP="00136F01">
      <w:pPr>
        <w:rPr>
          <w:color w:val="000000"/>
        </w:rPr>
      </w:pPr>
      <w:r>
        <w:rPr>
          <w:color w:val="000000"/>
        </w:rPr>
        <w:t>We have responded to these questions as a group.</w:t>
      </w:r>
    </w:p>
    <w:p w14:paraId="4272532C" w14:textId="13876D98" w:rsidR="00CE6F73" w:rsidRPr="00956E90" w:rsidRDefault="00CE6F73" w:rsidP="00136F01">
      <w:pPr>
        <w:rPr>
          <w:color w:val="000000"/>
        </w:rPr>
      </w:pPr>
      <w:r>
        <w:rPr>
          <w:color w:val="000000"/>
        </w:rPr>
        <w:t xml:space="preserve">In light of the evidence outlined earlier on the drivers of education outcomes, we recommend that the Inquiry should adopt a broad interpretation of the scope of the education evidence base such that it does include or can be linked to data on children younger than 4 years old, whether in early childhood education and care programs or not, and young people outside the formal school sector. </w:t>
      </w:r>
    </w:p>
    <w:p w14:paraId="7664C4C0" w14:textId="6B6520A4" w:rsidR="00433699" w:rsidRPr="00956E90" w:rsidRDefault="00CE6F73" w:rsidP="00136F01">
      <w:pPr>
        <w:rPr>
          <w:color w:val="000000"/>
        </w:rPr>
      </w:pPr>
      <w:r>
        <w:rPr>
          <w:color w:val="000000"/>
        </w:rPr>
        <w:lastRenderedPageBreak/>
        <w:t>The evidence of the relative impact of investment in the early years on outcomes later in life is very strong, including on education outcomes.</w:t>
      </w:r>
    </w:p>
    <w:p w14:paraId="77604DA0" w14:textId="77777777" w:rsidR="00861861" w:rsidRDefault="00CE6F73" w:rsidP="0044016F">
      <w:r>
        <w:t>High-quality early learning has a significant positive effect</w:t>
      </w:r>
      <w:r w:rsidR="00FF2733">
        <w:t xml:space="preserve"> on a child’s development, </w:t>
      </w:r>
      <w:proofErr w:type="spellStart"/>
      <w:r w:rsidR="00FF2733">
        <w:t>well-</w:t>
      </w:r>
      <w:r>
        <w:t>being</w:t>
      </w:r>
      <w:proofErr w:type="spellEnd"/>
      <w:r>
        <w:t xml:space="preserve"> and readiness for school. For children from disadvantaged backgrounds, it has the double benefit of reducing risk factors at home.</w:t>
      </w:r>
      <w:r w:rsidR="00861861">
        <w:t xml:space="preserve"> </w:t>
      </w:r>
    </w:p>
    <w:p w14:paraId="2A0DBC47" w14:textId="448EF952" w:rsidR="00CE6F73" w:rsidRDefault="00CE6F73" w:rsidP="0044016F">
      <w:r>
        <w:t>Children who do not receive a high-quality early education are:</w:t>
      </w:r>
    </w:p>
    <w:p w14:paraId="6BFCAAAF" w14:textId="054DCCFA" w:rsidR="00CE6F73" w:rsidRDefault="00CE6F73" w:rsidP="00FF2733">
      <w:pPr>
        <w:pStyle w:val="ListBullet2"/>
        <w:numPr>
          <w:ilvl w:val="0"/>
          <w:numId w:val="42"/>
        </w:numPr>
      </w:pPr>
      <w:r>
        <w:t>25% more likely to drop out of school</w:t>
      </w:r>
    </w:p>
    <w:p w14:paraId="572CF2EF" w14:textId="157BD802" w:rsidR="00CE6F73" w:rsidRPr="009D7FAE" w:rsidRDefault="00CE6F73" w:rsidP="00FF2733">
      <w:pPr>
        <w:pStyle w:val="ListBullet2"/>
        <w:numPr>
          <w:ilvl w:val="0"/>
          <w:numId w:val="42"/>
        </w:numPr>
      </w:pPr>
      <w:r>
        <w:t>40% more likely to become a teenage parent</w:t>
      </w:r>
    </w:p>
    <w:p w14:paraId="7270A24C" w14:textId="4B1A7A26" w:rsidR="00CE6F73" w:rsidRPr="009D7FAE" w:rsidRDefault="00CE6F73" w:rsidP="00FF2733">
      <w:pPr>
        <w:pStyle w:val="ListBullet2"/>
        <w:numPr>
          <w:ilvl w:val="0"/>
          <w:numId w:val="42"/>
        </w:numPr>
      </w:pPr>
      <w:r>
        <w:t>60% more likely never to attend higher education</w:t>
      </w:r>
    </w:p>
    <w:p w14:paraId="660F37E4" w14:textId="133255AD" w:rsidR="00CE6F73" w:rsidRDefault="00CE6F73" w:rsidP="00FF2733">
      <w:pPr>
        <w:pStyle w:val="ListBullet2"/>
        <w:numPr>
          <w:ilvl w:val="0"/>
          <w:numId w:val="42"/>
        </w:numPr>
      </w:pPr>
      <w:r>
        <w:t>70% more likely to be arrested for a violent crime.</w:t>
      </w:r>
      <w:r w:rsidR="001D31BE">
        <w:rPr>
          <w:rStyle w:val="FootnoteReference"/>
        </w:rPr>
        <w:footnoteReference w:id="22"/>
      </w:r>
    </w:p>
    <w:p w14:paraId="5EE3F7D3" w14:textId="30AB5713" w:rsidR="00CE6F73" w:rsidRPr="009D7FAE" w:rsidRDefault="00CE6F73" w:rsidP="00FF2733">
      <w:r>
        <w:t xml:space="preserve">International cost-benefit analysis shows that for every dollar spent on effective early childhood intervention, there is a </w:t>
      </w:r>
      <w:proofErr w:type="spellStart"/>
      <w:r>
        <w:t>US$7</w:t>
      </w:r>
      <w:proofErr w:type="spellEnd"/>
      <w:r>
        <w:t xml:space="preserve"> return to society.</w:t>
      </w:r>
      <w:r w:rsidR="001D31BE">
        <w:rPr>
          <w:rStyle w:val="FootnoteReference"/>
        </w:rPr>
        <w:footnoteReference w:id="23"/>
      </w:r>
    </w:p>
    <w:p w14:paraId="633B1CBD" w14:textId="26DF8AA9" w:rsidR="00CE6F73" w:rsidRDefault="00CE6F73" w:rsidP="00FF2733">
      <w:r>
        <w:t>Nobel Laureate in Economics James Heckman created the Heckman Curve, which visually communicates the rate of return on investment in human capital over children’s development periods:</w:t>
      </w:r>
    </w:p>
    <w:p w14:paraId="6DCA65C2" w14:textId="679480C2" w:rsidR="00CE6F73" w:rsidRDefault="00FF2733" w:rsidP="00CE6F73">
      <w:pPr>
        <w:pStyle w:val="NormalWeb"/>
        <w:spacing w:after="0"/>
      </w:pPr>
      <w:r>
        <w:rPr>
          <w:noProof/>
          <w:lang w:eastAsia="en-AU"/>
        </w:rPr>
        <w:drawing>
          <wp:inline distT="0" distB="0" distL="0" distR="0" wp14:anchorId="65A28C79" wp14:editId="0A92C287">
            <wp:extent cx="4309110" cy="4309110"/>
            <wp:effectExtent l="0" t="0" r="0" b="0"/>
            <wp:docPr id="15" name="Picture 15" descr="C:\Users\cfeeney\AppData\Local\Microsoft\Windows\INetCache\Content.Word\The Heckman Curv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eney\AppData\Local\Microsoft\Windows\INetCache\Content.Word\The Heckman Curve_v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9110" cy="4309110"/>
                    </a:xfrm>
                    <a:prstGeom prst="rect">
                      <a:avLst/>
                    </a:prstGeom>
                    <a:noFill/>
                    <a:ln>
                      <a:noFill/>
                    </a:ln>
                  </pic:spPr>
                </pic:pic>
              </a:graphicData>
            </a:graphic>
          </wp:inline>
        </w:drawing>
      </w:r>
      <w:r w:rsidR="001D31BE">
        <w:rPr>
          <w:rStyle w:val="FootnoteReference"/>
        </w:rPr>
        <w:footnoteReference w:id="24"/>
      </w:r>
    </w:p>
    <w:p w14:paraId="498B49DC" w14:textId="0FDF5F72" w:rsidR="00CE6F73" w:rsidRPr="009D7FAE" w:rsidRDefault="00CE6F73" w:rsidP="00FF2733">
      <w:r>
        <w:lastRenderedPageBreak/>
        <w:t xml:space="preserve">As described in </w:t>
      </w:r>
      <w:proofErr w:type="spellStart"/>
      <w:r>
        <w:t>SVA’s</w:t>
      </w:r>
      <w:proofErr w:type="spellEnd"/>
      <w:r>
        <w:t xml:space="preserve"> driver tree, we believe it is critical that improving educational outcomes is understood across formal education stages and between institutions and the home/communities in which those institutions operate.</w:t>
      </w:r>
    </w:p>
    <w:p w14:paraId="7F9D6166" w14:textId="0470D5B0" w:rsidR="00CE6F73" w:rsidRPr="009D7FAE" w:rsidRDefault="00CE6F73" w:rsidP="00FF2733">
      <w:r>
        <w:t>International studies show that a child who is developmentally vulnerable at the start of school is likely to have poor outcomes throughout their life. A rich learning environment at home helps children reach cognitive development milestones, and have better reading, vocabulary, general information and letter recognition skills – all factors that contribute to educational attainment.</w:t>
      </w:r>
      <w:r w:rsidR="001D31BE">
        <w:rPr>
          <w:rStyle w:val="FootnoteReference"/>
        </w:rPr>
        <w:footnoteReference w:id="25"/>
      </w:r>
      <w:r>
        <w:t xml:space="preserve"> </w:t>
      </w:r>
    </w:p>
    <w:p w14:paraId="66F75F74" w14:textId="602693AF" w:rsidR="00CE6F73" w:rsidRPr="009D7FAE" w:rsidRDefault="00CE6F73" w:rsidP="00FF2733">
      <w:r>
        <w:t>Comorbidities such as domestic violence, abuse, parental addiction or unstable housing can all contribute to a home environment that is not conducive to learning and development.</w:t>
      </w:r>
    </w:p>
    <w:p w14:paraId="4CC80F4B" w14:textId="6DF7DFF7" w:rsidR="00CE6F73" w:rsidRPr="00FF2733" w:rsidRDefault="00CE6F73" w:rsidP="00FF2733">
      <w:r>
        <w:t>As such, it’s essential to include data and evidence relating to these factors in strategies to improve learning outcomes in schools.</w:t>
      </w:r>
    </w:p>
    <w:p w14:paraId="31FF983F" w14:textId="77777777" w:rsidR="00CE6F73" w:rsidRPr="009D7FAE" w:rsidRDefault="00CE6F73" w:rsidP="00FF2733">
      <w:r>
        <w:t>While Australia has good overall levels of student attainment and achievement, we also have a stronger link between performance and socioeconomic status than the average OECD country.  Nearly 60% of the most disadvantaged students in Australia are in schools classed as disadvantaged – well above the OECD average and substantially higher than in any comparable OECD country.</w:t>
      </w:r>
    </w:p>
    <w:p w14:paraId="1ED0637C" w14:textId="708A1560" w:rsidR="00CE6F73" w:rsidRDefault="00CE6F73" w:rsidP="00FF2733">
      <w:pPr>
        <w:pStyle w:val="ListBullet"/>
        <w:numPr>
          <w:ilvl w:val="0"/>
          <w:numId w:val="43"/>
        </w:numPr>
      </w:pPr>
      <w:r>
        <w:t>On average, disadvantaged children perform below their peers and are more likely to drop out before completing high school</w:t>
      </w:r>
      <w:r w:rsidR="001D31BE">
        <w:rPr>
          <w:rStyle w:val="FootnoteReference"/>
        </w:rPr>
        <w:footnoteReference w:id="26"/>
      </w:r>
    </w:p>
    <w:p w14:paraId="3B85545A" w14:textId="6F916D57" w:rsidR="00CE6F73" w:rsidRPr="009D7FAE" w:rsidRDefault="00CE6F73" w:rsidP="00FF2733">
      <w:pPr>
        <w:pStyle w:val="ListBullet"/>
        <w:numPr>
          <w:ilvl w:val="0"/>
          <w:numId w:val="43"/>
        </w:numPr>
      </w:pPr>
      <w:r>
        <w:t>By the age of 15, students in the bottom socioeconomic quartile can be almost three years behind those in the top quartile</w:t>
      </w:r>
      <w:r w:rsidR="001D31BE">
        <w:rPr>
          <w:rStyle w:val="FootnoteReference"/>
        </w:rPr>
        <w:footnoteReference w:id="27"/>
      </w:r>
    </w:p>
    <w:p w14:paraId="0501E567" w14:textId="7FB69322" w:rsidR="00CE6F73" w:rsidRPr="009D7FAE" w:rsidRDefault="00CE6F73" w:rsidP="00FF2733">
      <w:pPr>
        <w:pStyle w:val="ListBullet"/>
        <w:numPr>
          <w:ilvl w:val="0"/>
          <w:numId w:val="43"/>
        </w:numPr>
      </w:pPr>
      <w:r>
        <w:t>In the OECD’s PISA 2012 survey, Indigenous Australians scored so much lower in mathematical, scientific and reading literacy that the score indicated they were about two and a half years behind their non-Indigenous colleagues in all three categories</w:t>
      </w:r>
      <w:r w:rsidR="001D31BE">
        <w:rPr>
          <w:rStyle w:val="FootnoteReference"/>
        </w:rPr>
        <w:footnoteReference w:id="28"/>
      </w:r>
    </w:p>
    <w:p w14:paraId="798C9746" w14:textId="3BE79E8A" w:rsidR="009D7FAE" w:rsidRDefault="00CE6F73" w:rsidP="00FF2733">
      <w:pPr>
        <w:pStyle w:val="ListBullet"/>
        <w:numPr>
          <w:ilvl w:val="0"/>
          <w:numId w:val="43"/>
        </w:numPr>
      </w:pPr>
      <w:r>
        <w:t>The survey also showed that metropolitan schools have more high performers and fewer low performers than schools in more remote areas.</w:t>
      </w:r>
      <w:r w:rsidR="001D31BE">
        <w:rPr>
          <w:rStyle w:val="FootnoteReference"/>
        </w:rPr>
        <w:footnoteReference w:id="29"/>
      </w:r>
    </w:p>
    <w:p w14:paraId="0120AC7F" w14:textId="075D6392" w:rsidR="009D7FAE" w:rsidRDefault="00CE6F73" w:rsidP="00FF2733">
      <w:r>
        <w:t>Including these home, community and environmental factors as data in the education evidence base enables better evaluation of the impact of programs and practices in formal early childhood and school settings. Very importantly, it also supports educators to understand the growth or gain that has resulted from their specific activities, controlling for the environmental background of the learners. This avoids blanket attainment measures, which fail to assess progression in learning outcomes rather than absolute markers, as well as false causa</w:t>
      </w:r>
      <w:r w:rsidR="00FF2733">
        <w:t>lity.</w:t>
      </w:r>
    </w:p>
    <w:p w14:paraId="7349AF57" w14:textId="24C192A3" w:rsidR="009D7FAE" w:rsidRDefault="00433699" w:rsidP="00FF2733">
      <w:r>
        <w:t xml:space="preserve">Linking these data </w:t>
      </w:r>
      <w:r w:rsidR="00CE6F73">
        <w:t xml:space="preserve">need not be an insurmountable data matching exercise, and can include statistical techniques like regression analysis of particular data sets to identify cohorts or factors which warrant greater investigation across multiple sets which in turn form part of the impetus for program development. </w:t>
      </w:r>
    </w:p>
    <w:p w14:paraId="0437F593" w14:textId="58AF86ED" w:rsidR="009D7FAE" w:rsidRDefault="00CE6F73" w:rsidP="00FF2733">
      <w:r>
        <w:lastRenderedPageBreak/>
        <w:t>Commonwealth and State Governments have already begun this approach in other areas of policy with data matching projects relating specifically to vulnerable families (between Commonwealth Department of</w:t>
      </w:r>
      <w:r w:rsidR="00E0340A">
        <w:t xml:space="preserve"> Human</w:t>
      </w:r>
      <w:r>
        <w:t xml:space="preserve"> Services and the NSW Department of Family and Community Services) and on education outcomes for Indigenous students (between the Commonwealth, South Australia and Northern Territory Governments).</w:t>
      </w:r>
      <w:r w:rsidR="001D31BE">
        <w:rPr>
          <w:rStyle w:val="FootnoteReference"/>
        </w:rPr>
        <w:footnoteReference w:id="30"/>
      </w:r>
    </w:p>
    <w:p w14:paraId="1ECE1772" w14:textId="37743481" w:rsidR="009D7FAE" w:rsidRDefault="00CE6F73" w:rsidP="00FF2733">
      <w:r>
        <w:t>We also encourage the Inquiry to consider an even broader scope that includes data from new sources, such as new providers of services to schools. In recent years there has been significant growth in online learning support products which are gathering valuable data on learner needs and progress. This trend is expected to continue and it would be prudent for the Inquiry to consider the potential for including these kinds of data in support of that national education evidence base. We note the work of the National Schools Interoperability Program</w:t>
      </w:r>
      <w:r w:rsidR="001D31BE">
        <w:rPr>
          <w:rStyle w:val="FootnoteReference"/>
        </w:rPr>
        <w:footnoteReference w:id="31"/>
      </w:r>
      <w:r>
        <w:t xml:space="preserve"> and the national Data Strategy Group convened by the Australian Department of Education in developing models for the inclusion of such data in the resources available for schools and systems.</w:t>
      </w:r>
    </w:p>
    <w:p w14:paraId="61106A28" w14:textId="2600F7E2" w:rsidR="00CE6F73" w:rsidRDefault="00CE6F73" w:rsidP="00FF2733">
      <w:r>
        <w:t>We note the reference in the Issues Paper to the Commission’s other inquiry into “the benefits and costs of increasing the availability and use of public and private data by Australian individuals and organisations”</w:t>
      </w:r>
      <w:r w:rsidR="001D31BE">
        <w:rPr>
          <w:rStyle w:val="FootnoteReference"/>
        </w:rPr>
        <w:footnoteReference w:id="32"/>
      </w:r>
      <w:r>
        <w:t xml:space="preserve"> and believe that these kinds of data should be also be considered within the scope of the education evidence base.</w:t>
      </w:r>
    </w:p>
    <w:p w14:paraId="1B2D8A43" w14:textId="77777777" w:rsidR="009D7FAE" w:rsidRDefault="009D7FAE">
      <w:r>
        <w:rPr>
          <w:bCs/>
          <w:iCs/>
        </w:rPr>
        <w:br w:type="page"/>
      </w:r>
    </w:p>
    <w:p w14:paraId="4DC56F0D" w14:textId="4C00F108" w:rsidR="00CE6F73" w:rsidRDefault="00CE6F73" w:rsidP="00601741">
      <w:pPr>
        <w:pStyle w:val="Heading2"/>
        <w:framePr w:wrap="around"/>
      </w:pPr>
      <w:bookmarkStart w:id="28" w:name="_Toc451895295"/>
      <w:r>
        <w:lastRenderedPageBreak/>
        <w:t xml:space="preserve">Section 2: </w:t>
      </w:r>
      <w:r w:rsidR="00E0340A">
        <w:br/>
      </w:r>
      <w:r>
        <w:t>Objectives and framework</w:t>
      </w:r>
      <w:bookmarkEnd w:id="28"/>
    </w:p>
    <w:p w14:paraId="7FC9D3C7" w14:textId="25DBFD32" w:rsidR="009D7FAE" w:rsidRDefault="00CE6F73" w:rsidP="00FF2733">
      <w:r>
        <w:t xml:space="preserve">We do not support </w:t>
      </w:r>
      <w:r w:rsidR="00404884">
        <w:t xml:space="preserve">the </w:t>
      </w:r>
      <w:r>
        <w:t>Commission’s proposal “that the main focus of this inquiry is about the underlying data, rather than on educational research literature (particularly with respect to analyses of ‘what works’ in teaching and learning in schools)”.</w:t>
      </w:r>
      <w:r w:rsidR="00BD2836">
        <w:rPr>
          <w:rStyle w:val="FootnoteReference"/>
        </w:rPr>
        <w:footnoteReference w:id="33"/>
      </w:r>
    </w:p>
    <w:p w14:paraId="1F3D6999" w14:textId="6BA61BE2" w:rsidR="009D7FAE" w:rsidRDefault="00CE6F73" w:rsidP="00FF2733">
      <w:r>
        <w:t>We submit that this is a false dichotomy - it is neither feasible nor desirable to attempt to separate the ‘research purposes of data’ from recommendations about the types of data required to collect to build a comprehensive evidence base.</w:t>
      </w:r>
      <w:r w:rsidR="00BD2836">
        <w:rPr>
          <w:rStyle w:val="FootnoteReference"/>
        </w:rPr>
        <w:footnoteReference w:id="34"/>
      </w:r>
      <w:r>
        <w:t xml:space="preserve">  If the inquiry is to meet the terms of reference, which defines the purpose of the national education evidence base to improve educational outcomes, it is essential that the Inquiry’s scope includes data, evidence and analyses “relating to ‘what works’ in teaching and learning in schools”.</w:t>
      </w:r>
      <w:r w:rsidR="00BD2836">
        <w:rPr>
          <w:rStyle w:val="FootnoteReference"/>
        </w:rPr>
        <w:footnoteReference w:id="35"/>
      </w:r>
      <w:r>
        <w:t xml:space="preserve"> Furthermore as developments in the areas of ‘improvement science’ and ‘implementation science’ show, we also need to understand “what works, for whom, under what conditions”</w:t>
      </w:r>
      <w:r w:rsidR="00BD2836">
        <w:rPr>
          <w:rStyle w:val="FootnoteReference"/>
        </w:rPr>
        <w:footnoteReference w:id="36"/>
      </w:r>
      <w:r>
        <w:t xml:space="preserve"> and how best to </w:t>
      </w:r>
      <w:r w:rsidR="00433699">
        <w:t xml:space="preserve">turn </w:t>
      </w:r>
      <w:r>
        <w:t>th</w:t>
      </w:r>
      <w:r w:rsidR="00BD2836">
        <w:t xml:space="preserve">is knowledge </w:t>
      </w:r>
      <w:r w:rsidR="00433699">
        <w:t xml:space="preserve">into effective change by </w:t>
      </w:r>
      <w:r w:rsidR="00BD2836">
        <w:t>practitioners.</w:t>
      </w:r>
      <w:r w:rsidR="00BD2836">
        <w:rPr>
          <w:rStyle w:val="FootnoteReference"/>
        </w:rPr>
        <w:footnoteReference w:id="37"/>
      </w:r>
    </w:p>
    <w:p w14:paraId="748524A6" w14:textId="6535EAB1" w:rsidR="009D7FAE" w:rsidRDefault="00CE6F73" w:rsidP="00FF2733">
      <w:r>
        <w:t xml:space="preserve">We agree with the description of Australia’s national educational objectives, specifically a broader view such as that in the </w:t>
      </w:r>
      <w:r>
        <w:rPr>
          <w:i/>
          <w:iCs/>
        </w:rPr>
        <w:t>Melbourne Declaration</w:t>
      </w:r>
      <w:r>
        <w:t xml:space="preserve"> to enable young Australians to “become successful learners, confident and creative individuals, and active and informed citizens”. We acknowledge that this entails an evidence base that includes non-cognitive domains as well as traditional academic domains.</w:t>
      </w:r>
    </w:p>
    <w:p w14:paraId="756A56F9" w14:textId="3F81E5CC" w:rsidR="00CE6F73" w:rsidRDefault="00CE6F73" w:rsidP="00FF2733">
      <w:r>
        <w:t xml:space="preserve">We also agree with the terms of reference that Australia’s educational system needs to equip </w:t>
      </w:r>
      <w:r w:rsidR="00404884">
        <w:t>“</w:t>
      </w:r>
      <w:r>
        <w:t>children to succeed in an increasingly competitive world</w:t>
      </w:r>
      <w:r w:rsidR="00404884">
        <w:t>”</w:t>
      </w:r>
      <w:r>
        <w:t xml:space="preserve"> and enables Australia to </w:t>
      </w:r>
      <w:r w:rsidR="00404884">
        <w:t>“</w:t>
      </w:r>
      <w:r>
        <w:t>lift [its] national productivity</w:t>
      </w:r>
      <w:r w:rsidR="00404884">
        <w:t>”</w:t>
      </w:r>
      <w:r>
        <w:t>. And that this entails appreciation, definition and evaluation of potentially new skills and knowledge required for a modern developed economy and wider society.</w:t>
      </w:r>
    </w:p>
    <w:p w14:paraId="2C7CFCBC" w14:textId="77777777" w:rsidR="00EF2A35" w:rsidRDefault="00EF2A35" w:rsidP="00CE6F73">
      <w:pPr>
        <w:pStyle w:val="NormalWeb"/>
        <w:spacing w:after="0"/>
      </w:pPr>
    </w:p>
    <w:p w14:paraId="0B978260" w14:textId="1AE1A70D" w:rsidR="00CE6F73" w:rsidRPr="009D7FAE" w:rsidRDefault="0024042F" w:rsidP="00EF2A35">
      <w:pPr>
        <w:pStyle w:val="Heading3"/>
      </w:pPr>
      <w:bookmarkStart w:id="29" w:name="_Toc451895296"/>
      <w:r>
        <w:t>Questions</w:t>
      </w:r>
      <w:r w:rsidR="00CE6F73" w:rsidRPr="009D7FAE">
        <w:t xml:space="preserve"> page 7</w:t>
      </w:r>
      <w:bookmarkEnd w:id="29"/>
    </w:p>
    <w:p w14:paraId="4E71505A" w14:textId="77777777" w:rsidR="00CE6F73" w:rsidRPr="00FF2733" w:rsidRDefault="00CE6F73" w:rsidP="00CE6F73">
      <w:pPr>
        <w:pStyle w:val="Heading4"/>
        <w:spacing w:before="280" w:after="80"/>
      </w:pPr>
      <w:r w:rsidRPr="00FF2733">
        <w:rPr>
          <w:rFonts w:ascii="Arial" w:hAnsi="Arial" w:cs="Arial"/>
          <w:bCs w:val="0"/>
          <w:i/>
          <w:iCs/>
        </w:rPr>
        <w:t>Does your understanding of the terms ‘education data’ and ‘education evidence base’ accord with the definitions presented here? If not, how would you describe these concepts and their relationship?</w:t>
      </w:r>
    </w:p>
    <w:p w14:paraId="3BA60D27" w14:textId="77777777" w:rsidR="009D7FAE" w:rsidRDefault="009D7FAE" w:rsidP="00CE6F73">
      <w:pPr>
        <w:pStyle w:val="NormalWeb"/>
        <w:spacing w:after="0"/>
        <w:rPr>
          <w:rFonts w:ascii="Arial" w:hAnsi="Arial" w:cs="Arial"/>
          <w:color w:val="000000"/>
          <w:sz w:val="22"/>
          <w:szCs w:val="22"/>
        </w:rPr>
      </w:pPr>
    </w:p>
    <w:p w14:paraId="05EAB954" w14:textId="7C7D2BA3" w:rsidR="009D7FAE" w:rsidRDefault="00CE6F73" w:rsidP="00FF2733">
      <w:r>
        <w:t>We refer to the evidence ecosystem model in the introduction to our response. We submit that data and evidence use by frontline professionals is an essential component of a national education evidence base.</w:t>
      </w:r>
    </w:p>
    <w:p w14:paraId="6D118F09" w14:textId="3CD6FA67" w:rsidR="009D7FAE" w:rsidRDefault="00CE6F73" w:rsidP="00FF2733">
      <w:r>
        <w:t>As noted in the preceding section, we do not support the Commission’s proposal “that the main focus of this inquiry is about the underlying data, rather than on educational research literature (particularly with respect to analyses of ‘what works’ in teaching and learning in schools).”</w:t>
      </w:r>
      <w:r w:rsidR="00BD2836">
        <w:rPr>
          <w:rStyle w:val="FootnoteReference"/>
        </w:rPr>
        <w:footnoteReference w:id="38"/>
      </w:r>
    </w:p>
    <w:p w14:paraId="0135166E" w14:textId="65E1D78F" w:rsidR="009D7FAE" w:rsidRDefault="00CE6F73" w:rsidP="00FF2733">
      <w:r>
        <w:lastRenderedPageBreak/>
        <w:t>In order for the national education evidence base to support the improvement outcomes articulated in the terms of reference, other forms must be incl</w:t>
      </w:r>
      <w:r w:rsidR="00FF2733">
        <w:t xml:space="preserve">uded. </w:t>
      </w:r>
      <w:r w:rsidR="00433699">
        <w:t>W</w:t>
      </w:r>
      <w:r w:rsidR="00FF2733">
        <w:t>e consider that:</w:t>
      </w:r>
    </w:p>
    <w:p w14:paraId="5EA86228" w14:textId="44D31505" w:rsidR="00CE6F73" w:rsidRDefault="00404884" w:rsidP="00FF2733">
      <w:pPr>
        <w:pStyle w:val="ListBullet"/>
        <w:numPr>
          <w:ilvl w:val="0"/>
          <w:numId w:val="44"/>
        </w:numPr>
      </w:pPr>
      <w:r>
        <w:t>T</w:t>
      </w:r>
      <w:r w:rsidR="00CE6F73">
        <w:t>he ‘national education evidence base’ should be broadly defined as per the ‘broader definition’ provided in Box 2 of Issues Paper. This broader definition should include:</w:t>
      </w:r>
    </w:p>
    <w:p w14:paraId="7CCA7FEE" w14:textId="51674A81" w:rsidR="00CE6F73" w:rsidRDefault="00462DC5" w:rsidP="00FF2733">
      <w:pPr>
        <w:pStyle w:val="ListBullet2"/>
        <w:numPr>
          <w:ilvl w:val="1"/>
          <w:numId w:val="45"/>
        </w:numPr>
      </w:pPr>
      <w:r>
        <w:t>T</w:t>
      </w:r>
      <w:r w:rsidR="00CE6F73">
        <w:t>he ‘what works’ research outputs that build on education data (</w:t>
      </w:r>
      <w:proofErr w:type="spellStart"/>
      <w:r w:rsidR="00CE6F73">
        <w:t>ie</w:t>
      </w:r>
      <w:proofErr w:type="spellEnd"/>
      <w:r w:rsidR="00CE6F73">
        <w:t xml:space="preserve">, a quantitative analysis of </w:t>
      </w:r>
      <w:r>
        <w:t>T</w:t>
      </w:r>
      <w:r w:rsidR="00CE6F73">
        <w:t>he data</w:t>
      </w:r>
      <w:r w:rsidR="00433699">
        <w:t>, with robust causal analysis</w:t>
      </w:r>
      <w:r w:rsidR="00CE6F73">
        <w:t xml:space="preserve">), </w:t>
      </w:r>
    </w:p>
    <w:p w14:paraId="7F9AC0C6" w14:textId="05AE8D0A" w:rsidR="00CE6F73" w:rsidRDefault="00462DC5" w:rsidP="00FF2733">
      <w:pPr>
        <w:pStyle w:val="ListBullet2"/>
        <w:numPr>
          <w:ilvl w:val="1"/>
          <w:numId w:val="45"/>
        </w:numPr>
      </w:pPr>
      <w:r>
        <w:t>T</w:t>
      </w:r>
      <w:r w:rsidR="00CE6F73">
        <w:t>he ‘for whom and under what conditions’ evidence that provide essential context to understand the potential for impact in practice (</w:t>
      </w:r>
      <w:proofErr w:type="spellStart"/>
      <w:r w:rsidR="00CE6F73">
        <w:t>ie</w:t>
      </w:r>
      <w:proofErr w:type="spellEnd"/>
      <w:r w:rsidR="00CE6F73">
        <w:t xml:space="preserve"> </w:t>
      </w:r>
      <w:r w:rsidR="00433699">
        <w:t xml:space="preserve">secondary analyses and </w:t>
      </w:r>
      <w:r w:rsidR="00CE6F73">
        <w:t xml:space="preserve">qualitative measures captured during trials) and </w:t>
      </w:r>
    </w:p>
    <w:p w14:paraId="6EE25ABF" w14:textId="52082C5D" w:rsidR="00CE6F73" w:rsidRDefault="00462DC5" w:rsidP="00FF2733">
      <w:pPr>
        <w:pStyle w:val="ListBullet2"/>
        <w:numPr>
          <w:ilvl w:val="1"/>
          <w:numId w:val="45"/>
        </w:numPr>
      </w:pPr>
      <w:r>
        <w:t>T</w:t>
      </w:r>
      <w:r w:rsidR="00CE6F73">
        <w:t xml:space="preserve">he translation and dissemination of </w:t>
      </w:r>
      <w:r w:rsidR="00433699">
        <w:t>knowledge</w:t>
      </w:r>
      <w:r w:rsidR="00CE6F73">
        <w:t xml:space="preserve"> in forms that are useful for key users, particularly school leaders and teachers</w:t>
      </w:r>
    </w:p>
    <w:p w14:paraId="7CC04419" w14:textId="03CB6A0C" w:rsidR="00CE6F73" w:rsidRDefault="00CE6F73" w:rsidP="00FF2733">
      <w:pPr>
        <w:pStyle w:val="ListBullet"/>
        <w:numPr>
          <w:ilvl w:val="0"/>
          <w:numId w:val="44"/>
        </w:numPr>
      </w:pPr>
      <w:r>
        <w:t>‘</w:t>
      </w:r>
      <w:r w:rsidR="003E4364">
        <w:t>E</w:t>
      </w:r>
      <w:r>
        <w:t>ducation data’ should encompass both quantitative and qualitative data holdings relating to programs and outcomes as well as the conditions required to achieve these outcomes. This should include:</w:t>
      </w:r>
    </w:p>
    <w:p w14:paraId="770176E1" w14:textId="58C26380" w:rsidR="00CE6F73" w:rsidRDefault="00462DC5" w:rsidP="00FF2733">
      <w:pPr>
        <w:pStyle w:val="ListBullet2"/>
        <w:numPr>
          <w:ilvl w:val="1"/>
          <w:numId w:val="46"/>
        </w:numPr>
      </w:pPr>
      <w:r>
        <w:t>D</w:t>
      </w:r>
      <w:r w:rsidR="00CE6F73">
        <w:t xml:space="preserve">ata collected through program evaluations (such as </w:t>
      </w:r>
      <w:proofErr w:type="spellStart"/>
      <w:r w:rsidR="00CE6F73">
        <w:t>RCTs</w:t>
      </w:r>
      <w:proofErr w:type="spellEnd"/>
      <w:r w:rsidR="00CE6F73">
        <w:t>) on both quantitative learning outcomes and qualitative conditions and capabilities (such as audits and surveys)</w:t>
      </w:r>
    </w:p>
    <w:p w14:paraId="0E3A8310" w14:textId="77CABC2F" w:rsidR="00CE6F73" w:rsidRDefault="00462DC5" w:rsidP="00FF2733">
      <w:pPr>
        <w:pStyle w:val="ListBullet2"/>
        <w:numPr>
          <w:ilvl w:val="1"/>
          <w:numId w:val="46"/>
        </w:numPr>
      </w:pPr>
      <w:r>
        <w:t>D</w:t>
      </w:r>
      <w:r w:rsidR="00CE6F73">
        <w:t>ata on contextual factors that influence student outcomes (e.g. student background factors) including both ‘within-system determinants’ and ‘external determinants’.</w:t>
      </w:r>
      <w:r w:rsidR="00BD2836">
        <w:rPr>
          <w:rStyle w:val="FootnoteReference"/>
        </w:rPr>
        <w:footnoteReference w:id="39"/>
      </w:r>
    </w:p>
    <w:p w14:paraId="3ECE2D24" w14:textId="4FEB92E6" w:rsidR="009D7FAE" w:rsidRPr="00FF2733" w:rsidRDefault="00CE6F73" w:rsidP="00FF2733">
      <w:r>
        <w:t>We provide greater detail on these types of data in our ‘response to the questions on page 13’ below.</w:t>
      </w:r>
    </w:p>
    <w:p w14:paraId="08F76967" w14:textId="1CC7A207" w:rsidR="009D7FAE" w:rsidRPr="00FF2733" w:rsidRDefault="00CE6F73" w:rsidP="00FF2733">
      <w:pPr>
        <w:rPr>
          <w:b/>
        </w:rPr>
      </w:pPr>
      <w:r w:rsidRPr="00FF2733">
        <w:rPr>
          <w:b/>
          <w:i/>
          <w:iCs/>
        </w:rPr>
        <w:t>Do you agree that the objective of a national education evidence base should be to improve education outcomes? Are there other objectives that should be included?</w:t>
      </w:r>
    </w:p>
    <w:p w14:paraId="06DC65B4" w14:textId="55E99137" w:rsidR="009D7FAE" w:rsidRDefault="00CE6F73" w:rsidP="00FF2733">
      <w:r>
        <w:t>We agree the objective of the national education evidence base should be to improve the education outcomes both for individuals and the broader community. However, we note the interconnectedness between education outcomes and outcomes in other domains, including health, wellbeing and the broader economy. Therefore, the objective of the national education evidence base should recognise improved outcomes in these interrelated domains.</w:t>
      </w:r>
    </w:p>
    <w:p w14:paraId="02B1886F" w14:textId="4F73729C" w:rsidR="009D7FAE" w:rsidRDefault="00CE6F73" w:rsidP="00FF2733">
      <w:pPr>
        <w:rPr>
          <w:b/>
          <w:bCs/>
          <w:i/>
          <w:iCs/>
          <w:noProof/>
          <w:color w:val="666666"/>
          <w:lang w:eastAsia="en-AU"/>
        </w:rPr>
      </w:pPr>
      <w:r>
        <w:t xml:space="preserve">The development of </w:t>
      </w:r>
      <w:r>
        <w:rPr>
          <w:i/>
          <w:iCs/>
        </w:rPr>
        <w:t>Life Chances</w:t>
      </w:r>
      <w:r>
        <w:t xml:space="preserve"> research in the United Kingdom provides a useful reference point for the ‘spill-over’ impacts of improved education outcomes. As </w:t>
      </w:r>
      <w:r w:rsidR="00433699">
        <w:t xml:space="preserve">we </w:t>
      </w:r>
      <w:r>
        <w:t>highlighted earlier, there is also evidence that in Australia there are stronger links between socioeconomic status and learning outcomes than in other OECD countries. Both directions need to be considered.</w:t>
      </w:r>
      <w:r w:rsidR="00A532F8">
        <w:rPr>
          <w:rStyle w:val="FootnoteReference"/>
        </w:rPr>
        <w:footnoteReference w:id="40"/>
      </w:r>
      <w:r w:rsidR="009D7FAE" w:rsidRPr="009D7FAE">
        <w:rPr>
          <w:b/>
          <w:bCs/>
          <w:i/>
          <w:iCs/>
          <w:noProof/>
          <w:color w:val="666666"/>
          <w:lang w:eastAsia="en-AU"/>
        </w:rPr>
        <w:t xml:space="preserve"> </w:t>
      </w:r>
    </w:p>
    <w:p w14:paraId="6BE0023F" w14:textId="300FA1D9" w:rsidR="00A532F8" w:rsidRDefault="00A532F8">
      <w:pPr>
        <w:spacing w:after="0" w:line="240" w:lineRule="auto"/>
        <w:rPr>
          <w:rFonts w:ascii="Arial" w:hAnsi="Arial" w:cs="Arial"/>
          <w:b/>
          <w:bCs/>
          <w:i/>
          <w:iCs/>
          <w:noProof/>
          <w:color w:val="666666"/>
          <w:sz w:val="24"/>
          <w:lang w:eastAsia="en-AU"/>
        </w:rPr>
      </w:pPr>
      <w:r>
        <w:rPr>
          <w:rFonts w:ascii="Arial" w:hAnsi="Arial" w:cs="Arial"/>
          <w:b/>
          <w:bCs/>
          <w:i/>
          <w:iCs/>
          <w:noProof/>
          <w:color w:val="666666"/>
          <w:lang w:eastAsia="en-AU"/>
        </w:rPr>
        <w:br w:type="page"/>
      </w:r>
    </w:p>
    <w:p w14:paraId="62C0CE7B" w14:textId="57754090" w:rsidR="00102B61" w:rsidRPr="00601741" w:rsidRDefault="00A532F8" w:rsidP="00601741">
      <w:pPr>
        <w:pStyle w:val="NormalWeb"/>
        <w:spacing w:after="0"/>
        <w:jc w:val="center"/>
        <w:rPr>
          <w:rFonts w:ascii="Arial" w:hAnsi="Arial" w:cs="Arial"/>
          <w:b/>
          <w:bCs/>
          <w:iCs/>
          <w:noProof/>
          <w:color w:val="666666"/>
          <w:lang w:eastAsia="en-AU"/>
        </w:rPr>
      </w:pPr>
      <w:r w:rsidRPr="00601741">
        <w:rPr>
          <w:rFonts w:ascii="Arial" w:hAnsi="Arial" w:cs="Arial"/>
          <w:b/>
          <w:bCs/>
          <w:iCs/>
          <w:noProof/>
          <w:color w:val="666666"/>
          <w:lang w:eastAsia="en-AU"/>
        </w:rPr>
        <w:lastRenderedPageBreak/>
        <w:t xml:space="preserve">Key drivers of life </w:t>
      </w:r>
      <w:r>
        <w:rPr>
          <w:rFonts w:ascii="Arial" w:hAnsi="Arial" w:cs="Arial"/>
          <w:b/>
          <w:bCs/>
          <w:iCs/>
          <w:noProof/>
          <w:color w:val="666666"/>
          <w:lang w:eastAsia="en-AU"/>
        </w:rPr>
        <w:t>c</w:t>
      </w:r>
      <w:r w:rsidRPr="00601741">
        <w:rPr>
          <w:rFonts w:ascii="Arial" w:hAnsi="Arial" w:cs="Arial"/>
          <w:b/>
          <w:bCs/>
          <w:iCs/>
          <w:noProof/>
          <w:color w:val="666666"/>
          <w:lang w:eastAsia="en-AU"/>
        </w:rPr>
        <w:t xml:space="preserve">hances </w:t>
      </w:r>
      <w:r>
        <w:rPr>
          <w:rFonts w:ascii="Arial" w:hAnsi="Arial" w:cs="Arial"/>
          <w:b/>
          <w:bCs/>
          <w:iCs/>
          <w:noProof/>
          <w:color w:val="666666"/>
          <w:lang w:eastAsia="en-AU"/>
        </w:rPr>
        <w:t>t</w:t>
      </w:r>
      <w:r w:rsidRPr="00601741">
        <w:rPr>
          <w:rFonts w:ascii="Arial" w:hAnsi="Arial" w:cs="Arial"/>
          <w:b/>
          <w:bCs/>
          <w:iCs/>
          <w:noProof/>
          <w:color w:val="666666"/>
          <w:lang w:eastAsia="en-AU"/>
        </w:rPr>
        <w:t xml:space="preserve">hroughout </w:t>
      </w:r>
      <w:r>
        <w:rPr>
          <w:rFonts w:ascii="Arial" w:hAnsi="Arial" w:cs="Arial"/>
          <w:b/>
          <w:bCs/>
          <w:iCs/>
          <w:noProof/>
          <w:color w:val="666666"/>
          <w:lang w:eastAsia="en-AU"/>
        </w:rPr>
        <w:t>c</w:t>
      </w:r>
      <w:r w:rsidRPr="00601741">
        <w:rPr>
          <w:rFonts w:ascii="Arial" w:hAnsi="Arial" w:cs="Arial"/>
          <w:b/>
          <w:bCs/>
          <w:iCs/>
          <w:noProof/>
          <w:color w:val="666666"/>
          <w:lang w:eastAsia="en-AU"/>
        </w:rPr>
        <w:t>hildhood</w:t>
      </w:r>
    </w:p>
    <w:p w14:paraId="06320715" w14:textId="3FDBA86F" w:rsidR="00CE6F73" w:rsidRDefault="00433699" w:rsidP="009D7FAE">
      <w:pPr>
        <w:pStyle w:val="NormalWeb"/>
        <w:spacing w:after="0"/>
        <w:ind w:left="709"/>
      </w:pPr>
      <w:r>
        <w:rPr>
          <w:noProof/>
          <w:lang w:eastAsia="en-AU"/>
        </w:rPr>
        <w:drawing>
          <wp:inline distT="0" distB="0" distL="0" distR="0" wp14:anchorId="7DF8F426" wp14:editId="52BB57BB">
            <wp:extent cx="4861981" cy="508298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E818AB.tmp"/>
                    <pic:cNvPicPr/>
                  </pic:nvPicPr>
                  <pic:blipFill>
                    <a:blip r:embed="rId23">
                      <a:extLst>
                        <a:ext uri="{28A0092B-C50C-407E-A947-70E740481C1C}">
                          <a14:useLocalDpi xmlns:a14="http://schemas.microsoft.com/office/drawing/2010/main" val="0"/>
                        </a:ext>
                      </a:extLst>
                    </a:blip>
                    <a:stretch>
                      <a:fillRect/>
                    </a:stretch>
                  </pic:blipFill>
                  <pic:spPr>
                    <a:xfrm>
                      <a:off x="0" y="0"/>
                      <a:ext cx="4861981" cy="5082980"/>
                    </a:xfrm>
                    <a:prstGeom prst="rect">
                      <a:avLst/>
                    </a:prstGeom>
                  </pic:spPr>
                </pic:pic>
              </a:graphicData>
            </a:graphic>
          </wp:inline>
        </w:drawing>
      </w:r>
    </w:p>
    <w:p w14:paraId="51529C45" w14:textId="77777777" w:rsidR="00CE6F73" w:rsidRPr="00433699" w:rsidRDefault="00CE6F73" w:rsidP="00CE6F73">
      <w:pPr>
        <w:pStyle w:val="Heading4"/>
        <w:spacing w:before="280" w:after="80"/>
      </w:pPr>
      <w:r w:rsidRPr="00601741">
        <w:rPr>
          <w:rFonts w:ascii="Arial" w:hAnsi="Arial" w:cs="Arial"/>
          <w:bCs w:val="0"/>
          <w:i/>
          <w:iCs/>
        </w:rPr>
        <w:t>What education outcomes do you see as relevant? For example, outcomes in traditional academic domains (such as literacy and numeracy), outcomes in non-cognitive domains (such as communication and interpersonal skills).</w:t>
      </w:r>
    </w:p>
    <w:p w14:paraId="6941EB24" w14:textId="77777777" w:rsidR="00CE6F73" w:rsidRPr="00433699" w:rsidRDefault="00CE6F73" w:rsidP="00CE6F73">
      <w:pPr>
        <w:pStyle w:val="Heading4"/>
        <w:spacing w:before="280" w:after="80"/>
      </w:pPr>
      <w:r w:rsidRPr="00601741">
        <w:rPr>
          <w:rFonts w:ascii="Arial" w:hAnsi="Arial" w:cs="Arial"/>
          <w:bCs w:val="0"/>
          <w:i/>
          <w:iCs/>
        </w:rPr>
        <w:t>What education outcomes do you see as beyond the scope of this inquiry?</w:t>
      </w:r>
    </w:p>
    <w:p w14:paraId="20E6A962" w14:textId="77777777" w:rsidR="00CE6F73" w:rsidRPr="00590462" w:rsidRDefault="00CE6F73" w:rsidP="00CE6F73">
      <w:pPr>
        <w:pStyle w:val="Heading4"/>
        <w:spacing w:before="280" w:after="80"/>
      </w:pPr>
      <w:r w:rsidRPr="00601741">
        <w:rPr>
          <w:rFonts w:ascii="Arial" w:hAnsi="Arial" w:cs="Arial"/>
          <w:bCs w:val="0"/>
          <w:i/>
          <w:iCs/>
        </w:rPr>
        <w:t>Can all relevant education outcomes be measured? What approaches can be used in accounting for outcomes that may be difficult to measure?</w:t>
      </w:r>
      <w:r w:rsidRPr="00590462">
        <w:rPr>
          <w:rFonts w:ascii="Arial" w:hAnsi="Arial" w:cs="Arial"/>
          <w:b w:val="0"/>
          <w:bCs w:val="0"/>
          <w:i/>
          <w:iCs/>
        </w:rPr>
        <w:t xml:space="preserve"> </w:t>
      </w:r>
    </w:p>
    <w:p w14:paraId="5CA54711" w14:textId="77777777" w:rsidR="00590462" w:rsidRDefault="00590462" w:rsidP="00CE6F73">
      <w:pPr>
        <w:pStyle w:val="NormalWeb"/>
        <w:spacing w:after="0"/>
        <w:rPr>
          <w:rFonts w:ascii="Arial" w:hAnsi="Arial" w:cs="Arial"/>
          <w:color w:val="000000"/>
          <w:sz w:val="22"/>
          <w:szCs w:val="22"/>
        </w:rPr>
      </w:pPr>
    </w:p>
    <w:p w14:paraId="631BAEEB" w14:textId="6D15C23E" w:rsidR="00590462" w:rsidRDefault="00CE6F73" w:rsidP="00601741">
      <w:r>
        <w:t xml:space="preserve">We are responding to these questions together. </w:t>
      </w:r>
    </w:p>
    <w:p w14:paraId="77258002" w14:textId="77777777" w:rsidR="00CE6F73" w:rsidRDefault="00CE6F73" w:rsidP="00601741">
      <w:r>
        <w:t>Identifying the education outcomes we, as a community, value is clearly important. It is just as important to prioritise among the outcomes we seek to achieve, given the finite resources (both money and time) available for education. Ideally, the outcomes we seek should be clearly defined and measurable so that our progress can be monitored.</w:t>
      </w:r>
    </w:p>
    <w:p w14:paraId="2C77DFDD" w14:textId="405DC75D" w:rsidR="00CE6F73" w:rsidRPr="00590462" w:rsidRDefault="00CE6F73" w:rsidP="00601741">
      <w:r>
        <w:t xml:space="preserve">Broadly, these should be in line with and contribute directly to the outcomes identified in the </w:t>
      </w:r>
      <w:r>
        <w:rPr>
          <w:i/>
          <w:iCs/>
        </w:rPr>
        <w:t>Melbourne Declaration</w:t>
      </w:r>
      <w:r>
        <w:t xml:space="preserve"> highlighted earlier.</w:t>
      </w:r>
      <w:r w:rsidR="00433699">
        <w:br/>
      </w:r>
      <w:r>
        <w:br/>
        <w:t xml:space="preserve">We know that student outcomes in traditional academic domains, such as literacy and numeracy, matter greatly. A strong body of research demonstrates the relationship between achieving a minimum level of </w:t>
      </w:r>
      <w:r>
        <w:lastRenderedPageBreak/>
        <w:t>proficiency in academic domains, which some have called ‘basic skills’, and better life outcomes.</w:t>
      </w:r>
      <w:r w:rsidR="00172312" w:rsidRPr="00172312">
        <w:rPr>
          <w:rStyle w:val="FootnoteReference"/>
        </w:rPr>
        <w:t xml:space="preserve"> </w:t>
      </w:r>
      <w:r w:rsidR="00172312" w:rsidRPr="00172312">
        <w:rPr>
          <w:rStyle w:val="FootnoteReference"/>
        </w:rPr>
        <w:footnoteReference w:id="41"/>
      </w:r>
      <w:r>
        <w:t xml:space="preserve"> There are also large returns to incremental improvements in educational achievement.</w:t>
      </w:r>
      <w:r w:rsidR="00172312">
        <w:rPr>
          <w:rStyle w:val="FootnoteReference"/>
          <w:color w:val="000000"/>
          <w:sz w:val="22"/>
          <w:szCs w:val="22"/>
        </w:rPr>
        <w:footnoteReference w:id="42"/>
      </w:r>
      <w:r>
        <w:t xml:space="preserve"> </w:t>
      </w:r>
    </w:p>
    <w:p w14:paraId="18C5E741" w14:textId="02497344" w:rsidR="00CE6F73" w:rsidRPr="00590462" w:rsidRDefault="00CE6F73" w:rsidP="00601741">
      <w:r>
        <w:t>Australia has made significant progress in defining and measuring academic outcomes, particularly in the areas of literacy and numeracy.</w:t>
      </w:r>
      <w:r w:rsidR="00172312">
        <w:rPr>
          <w:rStyle w:val="FootnoteReference"/>
          <w:color w:val="000000"/>
          <w:sz w:val="22"/>
          <w:szCs w:val="22"/>
        </w:rPr>
        <w:footnoteReference w:id="43"/>
      </w:r>
      <w:r>
        <w:t xml:space="preserve"> For example, through the National Assessment Program, Australia has developed a clear framework for assessing students’ educational outcomes in literacy</w:t>
      </w:r>
      <w:r w:rsidR="00C77998">
        <w:t xml:space="preserve">, </w:t>
      </w:r>
      <w:r>
        <w:t>numerac</w:t>
      </w:r>
      <w:r w:rsidR="00C77998">
        <w:t xml:space="preserve">y and </w:t>
      </w:r>
      <w:r>
        <w:t xml:space="preserve">science. Australia also participates in the </w:t>
      </w:r>
      <w:proofErr w:type="spellStart"/>
      <w:r w:rsidR="00C77998">
        <w:t>Programme</w:t>
      </w:r>
      <w:proofErr w:type="spellEnd"/>
      <w:r w:rsidR="00C77998">
        <w:t xml:space="preserve"> for International Student Assessment (</w:t>
      </w:r>
      <w:r>
        <w:t>PISA</w:t>
      </w:r>
      <w:r w:rsidR="00C77998">
        <w:t>)</w:t>
      </w:r>
      <w:r>
        <w:t xml:space="preserve">, </w:t>
      </w:r>
      <w:r w:rsidR="00C77998">
        <w:t>Trends in International Mathematics and Science Study (</w:t>
      </w:r>
      <w:proofErr w:type="spellStart"/>
      <w:r>
        <w:t>TIMSS</w:t>
      </w:r>
      <w:proofErr w:type="spellEnd"/>
      <w:r w:rsidR="00C77998">
        <w:t>)</w:t>
      </w:r>
      <w:r>
        <w:t xml:space="preserve"> and </w:t>
      </w:r>
      <w:r w:rsidR="00C77998">
        <w:t>Progress in International Reading Literacy Study (</w:t>
      </w:r>
      <w:proofErr w:type="spellStart"/>
      <w:r>
        <w:t>PIRLS</w:t>
      </w:r>
      <w:proofErr w:type="spellEnd"/>
      <w:r w:rsidR="00C77998">
        <w:t>)</w:t>
      </w:r>
      <w:r>
        <w:t xml:space="preserve"> international assessment programs, which provide valuable data on student achievement against underlying standards as well as Australian students’ relative performance compared to other countries. </w:t>
      </w:r>
      <w:r w:rsidR="00C77998">
        <w:t>The National Assessment Program also assesses students on their knowledge and skills in Civics and Citizenship and ICT.</w:t>
      </w:r>
    </w:p>
    <w:p w14:paraId="33825B22" w14:textId="3E6BD286" w:rsidR="00CE6F73" w:rsidRPr="00590462" w:rsidRDefault="00CE6F73" w:rsidP="00601741">
      <w:r>
        <w:t xml:space="preserve">However, we consider that more work needs to be done to ensure that students are assessed not just on what they know, but the extent to which they can apply this knowledge in useful ways today and in the future. This work is essential if to monitor progress towards the so-called ‘21st century skills’ that we know are important contributors to future success. </w:t>
      </w:r>
    </w:p>
    <w:p w14:paraId="2E5E02DA" w14:textId="403BC385" w:rsidR="00CE6F73" w:rsidRPr="00590462" w:rsidRDefault="00CE6F73" w:rsidP="00601741">
      <w:r>
        <w:t xml:space="preserve">We note that Australian governments have already recognised the importance of this work. According to the </w:t>
      </w:r>
      <w:r w:rsidRPr="00051F36">
        <w:rPr>
          <w:i/>
        </w:rPr>
        <w:t>Melbourne Declaration</w:t>
      </w:r>
      <w:r>
        <w:t>, a ‘successful learner’ must be ‘creative, innovative and resourceful’, ‘solve problems in ways that draw upon a range of learning areas and disciplines’, ‘collaborate, work in teams and communicate ideas’ and be ‘able to make sense of their world and think about how things have become the way they are’.</w:t>
      </w:r>
      <w:r w:rsidR="00172312">
        <w:rPr>
          <w:rStyle w:val="FootnoteReference"/>
          <w:color w:val="000000"/>
          <w:sz w:val="22"/>
          <w:szCs w:val="22"/>
        </w:rPr>
        <w:footnoteReference w:id="44"/>
      </w:r>
      <w:r>
        <w:t xml:space="preserve"> </w:t>
      </w:r>
    </w:p>
    <w:p w14:paraId="09824F3D" w14:textId="63542855" w:rsidR="00CE6F73" w:rsidRPr="00590462" w:rsidRDefault="00CE6F73" w:rsidP="00601741">
      <w:r>
        <w:t>There has been a push in recent years to further define ‘21st century skills’ and develop an ability to measure them more effectively</w:t>
      </w:r>
      <w:r w:rsidR="00172312">
        <w:rPr>
          <w:rStyle w:val="FootnoteReference"/>
          <w:color w:val="000000"/>
          <w:sz w:val="22"/>
          <w:szCs w:val="22"/>
        </w:rPr>
        <w:footnoteReference w:id="45"/>
      </w:r>
      <w:r>
        <w:t xml:space="preserve"> including through assessment of collaborative problem solving in the PISA 2015 cycle.</w:t>
      </w:r>
      <w:r w:rsidR="00172312">
        <w:rPr>
          <w:rStyle w:val="FootnoteReference"/>
          <w:color w:val="000000"/>
          <w:sz w:val="22"/>
          <w:szCs w:val="22"/>
        </w:rPr>
        <w:footnoteReference w:id="46"/>
      </w:r>
      <w:r>
        <w:t xml:space="preserve"> </w:t>
      </w:r>
      <w:r w:rsidR="00C77998">
        <w:t xml:space="preserve">Australian researchers and institutions have been at the forefront of this work. </w:t>
      </w:r>
      <w:r>
        <w:t xml:space="preserve">Further support should be provided to continue this work and ensure that robust approaches to measuring outcomes in these areas are integrated into Australia’s existing national, state and school level assessment and monitoring frameworks. Failure to do so will result in an overemphasis on the more discrete academic outcomes currently favoured, with implications for what is taught in schools and what students learn - after all, what gets measured gets managed. </w:t>
      </w:r>
    </w:p>
    <w:p w14:paraId="4CFD5CBF" w14:textId="6641F68F" w:rsidR="00CE6F73" w:rsidRPr="00590462" w:rsidRDefault="00CE6F73" w:rsidP="00601741">
      <w:r>
        <w:t>In addition to traditional academic and  so-called 21st century skills, there is evidence that a range of non-cognitive skills are also associated with improved educational outcomes. Such skills include interpersonal skills, motivation, self-control, resilience or ‘grit’, for example. Resilience, for example, has been identified by the OECD as a measures the ability of children who have experienced significant disadvantage to succeed in formal education.</w:t>
      </w:r>
      <w:r w:rsidR="00172312">
        <w:rPr>
          <w:rStyle w:val="FootnoteReference"/>
          <w:color w:val="000000"/>
          <w:sz w:val="22"/>
          <w:szCs w:val="22"/>
        </w:rPr>
        <w:footnoteReference w:id="47"/>
      </w:r>
      <w:r>
        <w:t xml:space="preserve"> The extent to which a causal relationship exists between many of these skills and improved education and life outcomes is less clear. It is also less clear how possible it is for </w:t>
      </w:r>
      <w:r>
        <w:lastRenderedPageBreak/>
        <w:t>school teachers to intervene to foster a child’s non-cognitive skills and how this might best be done.</w:t>
      </w:r>
      <w:r w:rsidR="00172312">
        <w:rPr>
          <w:rStyle w:val="FootnoteReference"/>
          <w:color w:val="000000"/>
          <w:sz w:val="22"/>
          <w:szCs w:val="22"/>
        </w:rPr>
        <w:footnoteReference w:id="48"/>
      </w:r>
      <w:r>
        <w:t xml:space="preserve"> This is an area where additional research is required.   </w:t>
      </w:r>
    </w:p>
    <w:p w14:paraId="48204F46" w14:textId="4EA7BF3E" w:rsidR="00CE6F73" w:rsidRPr="00590462" w:rsidRDefault="00CE6F73" w:rsidP="00601741">
      <w:r>
        <w:t>In Australia, the Foundation for Young Australians’ recent reports on the New Work Order</w:t>
      </w:r>
      <w:r w:rsidR="00172312">
        <w:rPr>
          <w:rStyle w:val="FootnoteReference"/>
          <w:color w:val="000000"/>
          <w:sz w:val="22"/>
          <w:szCs w:val="22"/>
        </w:rPr>
        <w:footnoteReference w:id="49"/>
      </w:r>
      <w:r w:rsidR="00172312">
        <w:t xml:space="preserve"> </w:t>
      </w:r>
      <w:r>
        <w:t>and the concomitant New Basics</w:t>
      </w:r>
      <w:r w:rsidR="00172312">
        <w:rPr>
          <w:rStyle w:val="FootnoteReference"/>
          <w:color w:val="000000"/>
          <w:sz w:val="22"/>
          <w:szCs w:val="22"/>
        </w:rPr>
        <w:footnoteReference w:id="50"/>
      </w:r>
      <w:r>
        <w:t xml:space="preserve"> skills that young people will need, along with </w:t>
      </w:r>
      <w:proofErr w:type="spellStart"/>
      <w:r>
        <w:t>VicHealth</w:t>
      </w:r>
      <w:proofErr w:type="spellEnd"/>
      <w:r>
        <w:t xml:space="preserve"> and the CSIRO’s “Bright Futures” report</w:t>
      </w:r>
      <w:r w:rsidR="00172312">
        <w:rPr>
          <w:rStyle w:val="FootnoteReference"/>
          <w:color w:val="000000"/>
          <w:sz w:val="22"/>
          <w:szCs w:val="22"/>
        </w:rPr>
        <w:footnoteReference w:id="51"/>
      </w:r>
      <w:r>
        <w:t xml:space="preserve"> on megatrends affecting youth mental health, provide useful initial evidence and framing locally.</w:t>
      </w:r>
    </w:p>
    <w:p w14:paraId="546C5EEA" w14:textId="354E484F" w:rsidR="00CE6F73" w:rsidRPr="00590462" w:rsidRDefault="00CE6F73" w:rsidP="00601741">
      <w:r>
        <w:t xml:space="preserve">It is clear that there is a significant challenge in identifying and measuring the range of cognitive and non-cognitive outcomes that are important, as well as distinguishing between the education and broader social outcomes that we, as a community, value and seek to foster. While we continue to grapple with these challenges, we consider it is important to collect sample data on a range of factors to improve our understanding of Australian children’s life course through various stages. Linked data on a child’s personal and background characteristics, data across stages, such as infancy, early childhood, school education through to further education or work, and across a range of intermediate education, health and social outcomes, would provide a rich source of information that could improve our understanding of the factors that influence the ultimate life outcomes we care about. </w:t>
      </w:r>
    </w:p>
    <w:p w14:paraId="03577752" w14:textId="69D0BA35" w:rsidR="00CE6F73" w:rsidRPr="00590462" w:rsidRDefault="00CE6F73" w:rsidP="00601741">
      <w:r>
        <w:t>There are a number of surveys that collect data on these stages and outcomes, including the Longitudinal Study of Australian Children, the Longitudinal Survey</w:t>
      </w:r>
      <w:r w:rsidR="00C77998">
        <w:t>s</w:t>
      </w:r>
      <w:r>
        <w:t xml:space="preserve"> of Australian Youth, the Census of Population and Housing, the Australian Early Development Census and educational outcome assessments including PISA, </w:t>
      </w:r>
      <w:proofErr w:type="spellStart"/>
      <w:r>
        <w:t>NAPLAN</w:t>
      </w:r>
      <w:proofErr w:type="spellEnd"/>
      <w:r>
        <w:t xml:space="preserve"> and others. Linking these data sets can provide deep insights into the types of factors that bear on the prospects of success for a child and what policy makers and others might do to enhance this further. </w:t>
      </w:r>
    </w:p>
    <w:p w14:paraId="4D893677" w14:textId="5CE6A9EC" w:rsidR="00CE6F73" w:rsidRPr="00590462" w:rsidRDefault="00CE6F73" w:rsidP="00601741">
      <w:r>
        <w:t>Recent work by the Australian Bureau of Statistics linking up separate data sets to examine socioeconomic factors and student achievement in Queensland and early childhood outcomes in Tasmania demonstrates the potential value of these efforts and should be extended further.</w:t>
      </w:r>
      <w:r w:rsidR="00172312">
        <w:rPr>
          <w:rStyle w:val="FootnoteReference"/>
          <w:color w:val="000000"/>
          <w:sz w:val="22"/>
          <w:szCs w:val="22"/>
        </w:rPr>
        <w:footnoteReference w:id="52"/>
      </w:r>
      <w:r w:rsidR="00172312">
        <w:br/>
      </w:r>
      <w:r>
        <w:t xml:space="preserve">            </w:t>
      </w:r>
    </w:p>
    <w:p w14:paraId="7D3E00E3" w14:textId="44478C68" w:rsidR="00CE6F73" w:rsidRPr="00590462" w:rsidRDefault="00CE6F73" w:rsidP="00601741">
      <w:pPr>
        <w:rPr>
          <w:rFonts w:ascii="Arial" w:hAnsi="Arial" w:cs="Arial"/>
          <w:color w:val="000000"/>
          <w:sz w:val="22"/>
          <w:szCs w:val="22"/>
        </w:rPr>
      </w:pPr>
      <w:r>
        <w:t xml:space="preserve">Identifying the education outcomes we intend to strive for, and developing robust approaches to measuring our progress, is a critical first step on the path to improvement. If we stop here, however, it is very likely that our efforts will result in little change. As </w:t>
      </w:r>
      <w:proofErr w:type="spellStart"/>
      <w:r>
        <w:t>Hanushe</w:t>
      </w:r>
      <w:r w:rsidR="00C77998">
        <w:t>k</w:t>
      </w:r>
      <w:proofErr w:type="spellEnd"/>
      <w:r>
        <w:t xml:space="preserve"> cautioned, when bringing together the views of a widely regarded panel of economists on school improvement in the United States, ‘we do not </w:t>
      </w:r>
      <w:r>
        <w:lastRenderedPageBreak/>
        <w:t>see that simply announcing high goals and developing commensurate standards are likely by themselves to lead to accomplishing those goals’.</w:t>
      </w:r>
      <w:r w:rsidR="00172312">
        <w:rPr>
          <w:rStyle w:val="FootnoteReference"/>
          <w:color w:val="000000"/>
          <w:sz w:val="22"/>
          <w:szCs w:val="22"/>
        </w:rPr>
        <w:footnoteReference w:id="53"/>
      </w:r>
      <w:r>
        <w:t xml:space="preserve"> </w:t>
      </w:r>
    </w:p>
    <w:p w14:paraId="4EB4F010" w14:textId="107BB8ED" w:rsidR="00CE6F73" w:rsidRPr="00590462" w:rsidRDefault="00CE6F73" w:rsidP="00601741">
      <w:pPr>
        <w:rPr>
          <w:rFonts w:ascii="Arial" w:hAnsi="Arial" w:cs="Arial"/>
          <w:color w:val="000000"/>
          <w:sz w:val="22"/>
          <w:szCs w:val="22"/>
        </w:rPr>
      </w:pPr>
      <w:r w:rsidRPr="00601741">
        <w:rPr>
          <w:rFonts w:ascii="Arial" w:hAnsi="Arial" w:cs="Arial"/>
          <w:color w:val="000000"/>
          <w:szCs w:val="20"/>
        </w:rPr>
        <w:t>He further emphasised that ‘there is little evidence that the development of standards and the associated measurement of achievement by themselves will lead to noticeably improved student performance.’</w:t>
      </w:r>
      <w:r w:rsidR="00172312" w:rsidRPr="00601741">
        <w:rPr>
          <w:rStyle w:val="FootnoteReference"/>
          <w:color w:val="000000"/>
          <w:szCs w:val="20"/>
        </w:rPr>
        <w:footnoteReference w:id="54"/>
      </w:r>
      <w:r w:rsidRPr="00601741">
        <w:rPr>
          <w:rFonts w:ascii="Arial" w:hAnsi="Arial" w:cs="Arial"/>
          <w:color w:val="000000"/>
          <w:szCs w:val="20"/>
        </w:rPr>
        <w:t xml:space="preserve"> The evidence since 1995 confirms the maxim: you don’t fatten the pig by weighing it</w:t>
      </w:r>
      <w:r>
        <w:rPr>
          <w:rFonts w:ascii="Arial" w:hAnsi="Arial" w:cs="Arial"/>
          <w:color w:val="000000"/>
          <w:sz w:val="22"/>
          <w:szCs w:val="22"/>
        </w:rPr>
        <w:t xml:space="preserve">. </w:t>
      </w:r>
    </w:p>
    <w:p w14:paraId="1529A5A3" w14:textId="77777777" w:rsidR="00C22729" w:rsidRDefault="00C22729" w:rsidP="00601741">
      <w:pPr>
        <w:rPr>
          <w:rFonts w:ascii="Arial" w:hAnsi="Arial" w:cs="Arial"/>
          <w:color w:val="434343"/>
          <w:sz w:val="28"/>
          <w:szCs w:val="28"/>
        </w:rPr>
      </w:pPr>
      <w:r>
        <w:rPr>
          <w:rFonts w:ascii="Arial" w:hAnsi="Arial" w:cs="Arial"/>
          <w:b/>
          <w:bCs/>
          <w:color w:val="434343"/>
          <w:sz w:val="28"/>
          <w:szCs w:val="28"/>
        </w:rPr>
        <w:br w:type="page"/>
      </w:r>
    </w:p>
    <w:p w14:paraId="0E6A695C" w14:textId="2EE0E162" w:rsidR="00CE6F73" w:rsidRDefault="0024042F" w:rsidP="00AD0FC8">
      <w:pPr>
        <w:pStyle w:val="Heading2"/>
        <w:framePr w:h="567" w:hRule="exact" w:wrap="around"/>
      </w:pPr>
      <w:bookmarkStart w:id="30" w:name="_Toc451895297"/>
      <w:r>
        <w:lastRenderedPageBreak/>
        <w:t>Questions</w:t>
      </w:r>
      <w:r w:rsidR="00726F64">
        <w:t xml:space="preserve"> </w:t>
      </w:r>
      <w:r w:rsidR="00CE6F73">
        <w:t>page 13</w:t>
      </w:r>
      <w:bookmarkEnd w:id="30"/>
    </w:p>
    <w:p w14:paraId="2358B635" w14:textId="77777777" w:rsidR="00CE6F73" w:rsidRPr="00433699" w:rsidRDefault="00CE6F73" w:rsidP="00CE6F73">
      <w:pPr>
        <w:pStyle w:val="Heading4"/>
        <w:spacing w:before="280" w:after="80"/>
      </w:pPr>
      <w:r w:rsidRPr="00601741">
        <w:rPr>
          <w:rFonts w:ascii="Arial" w:hAnsi="Arial" w:cs="Arial"/>
          <w:bCs w:val="0"/>
          <w:i/>
          <w:iCs/>
        </w:rPr>
        <w:t>What data should be collected nationally?</w:t>
      </w:r>
    </w:p>
    <w:p w14:paraId="1D52C32F" w14:textId="77777777" w:rsidR="00CE6F73" w:rsidRPr="003E79FF" w:rsidRDefault="00CE6F73" w:rsidP="00CE6F73">
      <w:pPr>
        <w:pStyle w:val="Heading4"/>
        <w:spacing w:before="280" w:after="80"/>
      </w:pPr>
      <w:r w:rsidRPr="00601741">
        <w:rPr>
          <w:rFonts w:ascii="Arial" w:hAnsi="Arial" w:cs="Arial"/>
          <w:bCs w:val="0"/>
          <w:i/>
          <w:iCs/>
        </w:rPr>
        <w:t>How would these data support the objective of improving educational outcomes?</w:t>
      </w:r>
    </w:p>
    <w:p w14:paraId="763E5784" w14:textId="77777777" w:rsidR="003E79FF" w:rsidRDefault="003E79FF" w:rsidP="00CE6F73">
      <w:pPr>
        <w:pStyle w:val="NormalWeb"/>
        <w:spacing w:after="0"/>
        <w:rPr>
          <w:rFonts w:ascii="Arial" w:hAnsi="Arial" w:cs="Arial"/>
          <w:color w:val="000000"/>
          <w:sz w:val="22"/>
          <w:szCs w:val="22"/>
        </w:rPr>
      </w:pPr>
    </w:p>
    <w:p w14:paraId="7BBEFC0A" w14:textId="77777777" w:rsidR="00CE6F73" w:rsidRDefault="00CE6F73" w:rsidP="00601741">
      <w:r>
        <w:t>We are responding to these questions together.</w:t>
      </w:r>
    </w:p>
    <w:p w14:paraId="7DD98894" w14:textId="4DF57CD4" w:rsidR="00590462" w:rsidRDefault="00CE6F73" w:rsidP="00601741">
      <w:r>
        <w:t>National data collections should be tailored to the primary objective of improving educational outcomes.  To achieve that objective, the data must allow actors at all points in the education system to learn and act based on that learning.</w:t>
      </w:r>
      <w:r w:rsidR="00172312">
        <w:rPr>
          <w:rStyle w:val="FootnoteReference"/>
          <w:color w:val="000000"/>
          <w:sz w:val="22"/>
          <w:szCs w:val="22"/>
        </w:rPr>
        <w:footnoteReference w:id="55"/>
      </w:r>
      <w:r>
        <w:t xml:space="preserve">  Pursuant to this, different types of data will be required for different purposes, including:</w:t>
      </w:r>
    </w:p>
    <w:p w14:paraId="06F633C9" w14:textId="4770DAEA" w:rsidR="00C77998" w:rsidRPr="00C77998" w:rsidRDefault="00462DC5" w:rsidP="00601741">
      <w:pPr>
        <w:pStyle w:val="ListBullet"/>
        <w:numPr>
          <w:ilvl w:val="0"/>
          <w:numId w:val="66"/>
        </w:numPr>
        <w:rPr>
          <w:lang w:eastAsia="en-AU"/>
        </w:rPr>
      </w:pPr>
      <w:r>
        <w:rPr>
          <w:lang w:eastAsia="en-AU"/>
        </w:rPr>
        <w:t>I</w:t>
      </w:r>
      <w:r w:rsidR="00C77998" w:rsidRPr="00C77998">
        <w:rPr>
          <w:lang w:eastAsia="en-AU"/>
        </w:rPr>
        <w:t>nforming school and classroom practices, to maximise the effectiveness of educational expenditure and the use of teachers’ and students’ time in the pursuit of better education outcomes</w:t>
      </w:r>
    </w:p>
    <w:p w14:paraId="2E2D65B6" w14:textId="379FD6D4" w:rsidR="00C77998" w:rsidRPr="00C77998" w:rsidRDefault="00462DC5" w:rsidP="00601741">
      <w:pPr>
        <w:pStyle w:val="ListBullet"/>
        <w:numPr>
          <w:ilvl w:val="0"/>
          <w:numId w:val="66"/>
        </w:numPr>
        <w:rPr>
          <w:lang w:eastAsia="en-AU"/>
        </w:rPr>
      </w:pPr>
      <w:r>
        <w:rPr>
          <w:lang w:eastAsia="en-AU"/>
        </w:rPr>
        <w:t>I</w:t>
      </w:r>
      <w:r w:rsidR="00C77998" w:rsidRPr="00C77998">
        <w:rPr>
          <w:lang w:eastAsia="en-AU"/>
        </w:rPr>
        <w:t>nforming programs and activities related to the promotion of evidence-based practices and the capability of frontline professionals to effectively implement these practices</w:t>
      </w:r>
    </w:p>
    <w:p w14:paraId="1EA3B9BB" w14:textId="58E2F7A8" w:rsidR="00C77998" w:rsidRPr="00C77998" w:rsidRDefault="00462DC5" w:rsidP="00601741">
      <w:pPr>
        <w:pStyle w:val="ListBullet"/>
        <w:numPr>
          <w:ilvl w:val="0"/>
          <w:numId w:val="66"/>
        </w:numPr>
        <w:rPr>
          <w:lang w:eastAsia="en-AU"/>
        </w:rPr>
      </w:pPr>
      <w:r>
        <w:rPr>
          <w:lang w:eastAsia="en-AU"/>
        </w:rPr>
        <w:t>I</w:t>
      </w:r>
      <w:r w:rsidR="00C77998" w:rsidRPr="00C77998">
        <w:rPr>
          <w:lang w:eastAsia="en-AU"/>
        </w:rPr>
        <w:t>nforming education policy design and resource allocation at the national, state/territory, sector and individual school levels</w:t>
      </w:r>
    </w:p>
    <w:p w14:paraId="0A1900C5" w14:textId="1FDB300A" w:rsidR="00C77998" w:rsidRPr="00C77998" w:rsidRDefault="00462DC5" w:rsidP="00601741">
      <w:pPr>
        <w:pStyle w:val="ListBullet"/>
        <w:numPr>
          <w:ilvl w:val="0"/>
          <w:numId w:val="66"/>
        </w:numPr>
        <w:rPr>
          <w:lang w:eastAsia="en-AU"/>
        </w:rPr>
      </w:pPr>
      <w:r>
        <w:rPr>
          <w:lang w:eastAsia="en-AU"/>
        </w:rPr>
        <w:t>I</w:t>
      </w:r>
      <w:r w:rsidR="00C77998" w:rsidRPr="00C77998">
        <w:rPr>
          <w:lang w:eastAsia="en-AU"/>
        </w:rPr>
        <w:t>nforming national educational goals over time</w:t>
      </w:r>
    </w:p>
    <w:p w14:paraId="7C3F4421" w14:textId="35AC8523" w:rsidR="00C77998" w:rsidRPr="00C77998" w:rsidRDefault="00462DC5" w:rsidP="00601741">
      <w:pPr>
        <w:pStyle w:val="ListBullet"/>
        <w:numPr>
          <w:ilvl w:val="0"/>
          <w:numId w:val="66"/>
        </w:numPr>
        <w:rPr>
          <w:lang w:eastAsia="en-AU"/>
        </w:rPr>
      </w:pPr>
      <w:r>
        <w:rPr>
          <w:lang w:eastAsia="en-AU"/>
        </w:rPr>
        <w:t>M</w:t>
      </w:r>
      <w:r w:rsidR="00C77998" w:rsidRPr="00C77998">
        <w:rPr>
          <w:lang w:eastAsia="en-AU"/>
        </w:rPr>
        <w:t>onitoring students’ progress towards these goals and early identification of particular groups of students that may require additional support</w:t>
      </w:r>
    </w:p>
    <w:p w14:paraId="22259988" w14:textId="4BB8F6A3" w:rsidR="00C77998" w:rsidRPr="00C77998" w:rsidRDefault="00462DC5" w:rsidP="00601741">
      <w:pPr>
        <w:pStyle w:val="ListBullet"/>
        <w:numPr>
          <w:ilvl w:val="0"/>
          <w:numId w:val="66"/>
        </w:numPr>
        <w:rPr>
          <w:lang w:eastAsia="en-AU"/>
        </w:rPr>
      </w:pPr>
      <w:r>
        <w:rPr>
          <w:lang w:eastAsia="en-AU"/>
        </w:rPr>
        <w:t>B</w:t>
      </w:r>
      <w:r w:rsidR="00C77998" w:rsidRPr="00C77998">
        <w:rPr>
          <w:lang w:eastAsia="en-AU"/>
        </w:rPr>
        <w:t>enchmarking educational performance between different jurisdictions and sectors within Australia and between Australia and other countries, to identify where further improvement is necessary and where lessons can be learnt</w:t>
      </w:r>
    </w:p>
    <w:p w14:paraId="253C2B8E" w14:textId="27816441" w:rsidR="00172312" w:rsidRDefault="00CE6F73" w:rsidP="00601741">
      <w:r>
        <w:t>It is not necessary for all types of data to be collected all of the time. For example, to target teaching to the learning needs of individual students, a teacher must collect detailed diagnostic data to build a clear picture of where each one of their students is in their learning. This picture must be updated frequently through regular classroom assessment and feedback.</w:t>
      </w:r>
      <w:r w:rsidR="00172312">
        <w:rPr>
          <w:rStyle w:val="FootnoteReference"/>
          <w:color w:val="000000"/>
          <w:sz w:val="22"/>
          <w:szCs w:val="22"/>
        </w:rPr>
        <w:footnoteReference w:id="56"/>
      </w:r>
      <w:r>
        <w:t xml:space="preserve"> </w:t>
      </w:r>
    </w:p>
    <w:p w14:paraId="19E72317" w14:textId="109B9BC1" w:rsidR="00590462" w:rsidRDefault="00CE6F73" w:rsidP="00601741">
      <w:r>
        <w:t xml:space="preserve">However, to monitor the progress of a school or education system towards specific educational outcomes, it will generally be sufficient to collect data on a representative sample of students, on a less frequent basis, such as through annual </w:t>
      </w:r>
      <w:proofErr w:type="spellStart"/>
      <w:r>
        <w:t>NAPLAN</w:t>
      </w:r>
      <w:proofErr w:type="spellEnd"/>
      <w:r>
        <w:t xml:space="preserve"> collections or through international collections such as the </w:t>
      </w:r>
      <w:proofErr w:type="spellStart"/>
      <w:r>
        <w:t>Programme</w:t>
      </w:r>
      <w:proofErr w:type="spellEnd"/>
      <w:r>
        <w:t xml:space="preserve"> for International Student Assessment (PISA), Trends in International Mathematics and Science Study (</w:t>
      </w:r>
      <w:proofErr w:type="spellStart"/>
      <w:r>
        <w:t>TIMSS</w:t>
      </w:r>
      <w:proofErr w:type="spellEnd"/>
      <w:r>
        <w:t>) and Progress in International Reading Literacy Study (</w:t>
      </w:r>
      <w:proofErr w:type="spellStart"/>
      <w:r>
        <w:t>PIRLS</w:t>
      </w:r>
      <w:proofErr w:type="spellEnd"/>
      <w:r>
        <w:t>) which are conducted every three to five years.</w:t>
      </w:r>
      <w:r w:rsidR="00C77998">
        <w:t xml:space="preserve"> In many instances, particular sets of data may be able to serve multiple purposes.</w:t>
      </w:r>
    </w:p>
    <w:p w14:paraId="06224940" w14:textId="77777777" w:rsidR="00433699" w:rsidRDefault="00433699">
      <w:pPr>
        <w:spacing w:after="0" w:line="240" w:lineRule="auto"/>
      </w:pPr>
      <w:r>
        <w:br w:type="page"/>
      </w:r>
    </w:p>
    <w:p w14:paraId="1950E1CF" w14:textId="7A9EFF5D" w:rsidR="00590462" w:rsidRDefault="00CE6F73" w:rsidP="00601741">
      <w:r>
        <w:lastRenderedPageBreak/>
        <w:t>In our General Statement we identify two critical gaps in the current education evidence base being:</w:t>
      </w:r>
    </w:p>
    <w:p w14:paraId="2C2EB45F" w14:textId="40B78846" w:rsidR="00CE6F73" w:rsidRDefault="00CE6F73" w:rsidP="00601741">
      <w:pPr>
        <w:pStyle w:val="ListNumber"/>
        <w:numPr>
          <w:ilvl w:val="0"/>
          <w:numId w:val="57"/>
        </w:numPr>
      </w:pPr>
      <w:r>
        <w:t xml:space="preserve">Empirical knowledge about which </w:t>
      </w:r>
      <w:r w:rsidR="00C77998">
        <w:t xml:space="preserve">approaches </w:t>
      </w:r>
      <w:r>
        <w:t>work in schools and why they work; and</w:t>
      </w:r>
    </w:p>
    <w:p w14:paraId="4471350D" w14:textId="4B17759B" w:rsidR="00590462" w:rsidRPr="00601741" w:rsidRDefault="00CE6F73" w:rsidP="00601741">
      <w:pPr>
        <w:pStyle w:val="ListNumber"/>
        <w:numPr>
          <w:ilvl w:val="0"/>
          <w:numId w:val="57"/>
        </w:numPr>
        <w:rPr>
          <w:rFonts w:ascii="Arial" w:hAnsi="Arial" w:cs="Arial"/>
          <w:color w:val="000000"/>
          <w:sz w:val="22"/>
          <w:szCs w:val="22"/>
        </w:rPr>
      </w:pPr>
      <w:r>
        <w:t>How best to engage with, and support frontline professionals to implement evidence based programs.</w:t>
      </w:r>
    </w:p>
    <w:p w14:paraId="626AE80E" w14:textId="77777777" w:rsidR="00CE6F73" w:rsidRDefault="00CE6F73" w:rsidP="00601741">
      <w:r>
        <w:t>To meet these two purposes we need national data that better supports the generation of new knowledge and evidence in both of these areas.</w:t>
      </w:r>
    </w:p>
    <w:p w14:paraId="2D6C6521" w14:textId="77777777" w:rsidR="00590462" w:rsidRDefault="00590462" w:rsidP="00CE6F73">
      <w:pPr>
        <w:pStyle w:val="NormalWeb"/>
        <w:spacing w:after="0"/>
        <w:rPr>
          <w:rFonts w:ascii="Arial" w:hAnsi="Arial" w:cs="Arial"/>
          <w:b/>
          <w:bCs/>
          <w:color w:val="000000"/>
          <w:sz w:val="22"/>
          <w:szCs w:val="22"/>
        </w:rPr>
      </w:pPr>
    </w:p>
    <w:p w14:paraId="75464ACC" w14:textId="658E4402" w:rsidR="00CE6F73" w:rsidRPr="00726F64" w:rsidRDefault="00CE6F73" w:rsidP="00601741">
      <w:bookmarkStart w:id="31" w:name="_Toc451895298"/>
      <w:r w:rsidRPr="00601741">
        <w:rPr>
          <w:b/>
        </w:rPr>
        <w:t>Data to support empirical knowledge about which programs work in schools and why they work</w:t>
      </w:r>
      <w:bookmarkEnd w:id="31"/>
    </w:p>
    <w:p w14:paraId="3EBF7410" w14:textId="3D5DBD2F" w:rsidR="00590462" w:rsidRDefault="00CE6F73" w:rsidP="00601741">
      <w:r>
        <w:t xml:space="preserve">There is a critical gap in Australia in the production of robust evidence on the effectiveness of teaching </w:t>
      </w:r>
      <w:r w:rsidR="00C77998">
        <w:t xml:space="preserve">approaches </w:t>
      </w:r>
      <w:r>
        <w:t xml:space="preserve">and interventions in the classroom. </w:t>
      </w:r>
    </w:p>
    <w:p w14:paraId="5AA9E8E4" w14:textId="160FECBF" w:rsidR="003E79FF" w:rsidRDefault="00CE6F73" w:rsidP="00601741">
      <w:r>
        <w:t>This gap can be addressed by collecting data to identify what works and what doesn’t, specifically through rigorous evaluations using experimental methods including randomised controlled trials</w:t>
      </w:r>
      <w:r w:rsidR="00C77998">
        <w:t>, with robust secondary analyses. In doing so,</w:t>
      </w:r>
      <w:r>
        <w:t xml:space="preserve"> we must further understand ‘what works, for whom, under what conditions’. </w:t>
      </w:r>
      <w:r w:rsidR="00315C02">
        <w:t>‘</w:t>
      </w:r>
      <w:r>
        <w:t>Understanding variation in educational outcomes and responding effectively to it are the core goals of improvement research. Improvement science offers a very systematic but also highly practical set of principles and methods for advancing this learning.</w:t>
      </w:r>
      <w:r w:rsidR="00315C02">
        <w:t>’</w:t>
      </w:r>
      <w:r w:rsidR="00172312">
        <w:rPr>
          <w:rStyle w:val="FootnoteReference"/>
          <w:color w:val="000000"/>
          <w:sz w:val="22"/>
          <w:szCs w:val="22"/>
        </w:rPr>
        <w:footnoteReference w:id="57"/>
      </w:r>
      <w:r>
        <w:t xml:space="preserve">  </w:t>
      </w:r>
    </w:p>
    <w:p w14:paraId="0FF54C25" w14:textId="77777777" w:rsidR="00CE6F73" w:rsidRDefault="00CE6F73" w:rsidP="00601741">
      <w:r>
        <w:t>The types of data required here are:</w:t>
      </w:r>
    </w:p>
    <w:p w14:paraId="7B9C50D3" w14:textId="64D13951" w:rsidR="00CE6F73" w:rsidRPr="00601741" w:rsidRDefault="00CE6F73">
      <w:pPr>
        <w:pStyle w:val="Heading4"/>
        <w:rPr>
          <w:b w:val="0"/>
          <w:u w:val="single"/>
        </w:rPr>
      </w:pPr>
      <w:r w:rsidRPr="00601741">
        <w:rPr>
          <w:b w:val="0"/>
          <w:u w:val="single"/>
        </w:rPr>
        <w:t>Achievement data - the ‘</w:t>
      </w:r>
      <w:r w:rsidRPr="00601741">
        <w:rPr>
          <w:b w:val="0"/>
          <w:i/>
          <w:u w:val="single"/>
        </w:rPr>
        <w:t>what</w:t>
      </w:r>
      <w:r w:rsidR="0024042F">
        <w:rPr>
          <w:b w:val="0"/>
          <w:i/>
          <w:u w:val="single"/>
        </w:rPr>
        <w:t>?</w:t>
      </w:r>
      <w:r w:rsidRPr="00601741">
        <w:rPr>
          <w:b w:val="0"/>
          <w:i/>
          <w:u w:val="single"/>
        </w:rPr>
        <w:t>’</w:t>
      </w:r>
    </w:p>
    <w:p w14:paraId="36D59BC0" w14:textId="77777777" w:rsidR="00CE6F73" w:rsidRPr="006A1CCB" w:rsidRDefault="00CE6F73" w:rsidP="006A1CCB">
      <w:pPr>
        <w:pStyle w:val="NormalWeb"/>
        <w:spacing w:after="0"/>
        <w:rPr>
          <w:rFonts w:ascii="Arial" w:hAnsi="Arial" w:cs="Arial"/>
          <w:color w:val="000000"/>
          <w:sz w:val="22"/>
          <w:szCs w:val="22"/>
        </w:rPr>
      </w:pPr>
    </w:p>
    <w:p w14:paraId="09F40BB5" w14:textId="5E474D6B" w:rsidR="00CE6F73" w:rsidRPr="006A1CCB" w:rsidRDefault="00CE6F73" w:rsidP="00601741">
      <w:r>
        <w:t xml:space="preserve">Robust measures of academic achievement relevant to intended benefit of the program being evaluated (e.g. literacy and numeracy) through standardised instruments. </w:t>
      </w:r>
    </w:p>
    <w:p w14:paraId="14CBA566" w14:textId="4A685DAE" w:rsidR="00CE6F73" w:rsidRPr="006A1CCB" w:rsidRDefault="00CE6F73" w:rsidP="00601741">
      <w:r>
        <w:t xml:space="preserve">Where possible, the data collected on student outcomes should be broadened to include data on the types of ‘21st century skills’ and, potentially, non-cognitive skills such as resilience, that will likely be required to lead a productive and fulfilling life in the future. </w:t>
      </w:r>
    </w:p>
    <w:p w14:paraId="6395049B" w14:textId="20DEC5DD" w:rsidR="00CE6F73" w:rsidRPr="006A1CCB" w:rsidRDefault="00CE6F73" w:rsidP="00601741">
      <w:r>
        <w:t xml:space="preserve">Note that this data is not required for all students nationally but only for the participants in the trial, representing a statistically valid sample. Whilst not essential, the ability to use existing administrative data on achievement can significantly reduce the costs for the conduct of </w:t>
      </w:r>
      <w:proofErr w:type="spellStart"/>
      <w:r>
        <w:t>R</w:t>
      </w:r>
      <w:r w:rsidRPr="00324EEB">
        <w:t>CTs</w:t>
      </w:r>
      <w:proofErr w:type="spellEnd"/>
      <w:r w:rsidRPr="00324EEB">
        <w:t xml:space="preserve">. </w:t>
      </w:r>
      <w:r w:rsidR="00C0419D" w:rsidRPr="00601741">
        <w:t>We comment further on this in the Issues and Opportunities section below.</w:t>
      </w:r>
      <w:r w:rsidR="00C0419D" w:rsidRPr="00324EEB" w:rsidDel="00C0419D">
        <w:t xml:space="preserve"> </w:t>
      </w:r>
    </w:p>
    <w:p w14:paraId="064FDAFC" w14:textId="7A3B4456" w:rsidR="00CE6F73" w:rsidRPr="00601741" w:rsidRDefault="00CE6F73" w:rsidP="00CE6F73">
      <w:pPr>
        <w:pStyle w:val="NormalWeb"/>
        <w:spacing w:after="0"/>
        <w:rPr>
          <w:u w:val="single"/>
        </w:rPr>
      </w:pPr>
      <w:r w:rsidRPr="00601741">
        <w:rPr>
          <w:rFonts w:asciiTheme="majorHAnsi" w:hAnsiTheme="majorHAnsi" w:cstheme="majorHAnsi"/>
          <w:bCs/>
          <w:sz w:val="20"/>
          <w:szCs w:val="28"/>
          <w:u w:val="single"/>
        </w:rPr>
        <w:t xml:space="preserve">Data on students’ background characteristics - the ‘for </w:t>
      </w:r>
      <w:r w:rsidR="0024042F">
        <w:rPr>
          <w:rFonts w:ascii="Arial" w:hAnsi="Arial" w:cs="Arial"/>
          <w:bCs/>
          <w:i/>
          <w:iCs/>
          <w:color w:val="000000"/>
          <w:sz w:val="22"/>
          <w:szCs w:val="22"/>
          <w:u w:val="single"/>
        </w:rPr>
        <w:t>whom?’</w:t>
      </w:r>
    </w:p>
    <w:p w14:paraId="2DEBF323" w14:textId="77777777" w:rsidR="006A1CCB" w:rsidRDefault="006A1CCB" w:rsidP="00CE6F73">
      <w:pPr>
        <w:pStyle w:val="NormalWeb"/>
        <w:spacing w:after="0"/>
        <w:rPr>
          <w:rFonts w:ascii="Arial" w:hAnsi="Arial" w:cs="Arial"/>
          <w:color w:val="000000"/>
          <w:sz w:val="22"/>
          <w:szCs w:val="22"/>
        </w:rPr>
      </w:pPr>
    </w:p>
    <w:p w14:paraId="53B05575" w14:textId="0F5B304D" w:rsidR="00726F64" w:rsidRDefault="00CE6F73" w:rsidP="00601741">
      <w:r>
        <w:t>Data collections on school and student background characteristics, and longitudinal survey data tracking children across key transitions from early childhood to school and from school to further study or work, are important to understand the effects of the intervention on students with different backgrounds. Does the intervention benefit all students similarly? Is it more or less effective for students with disadvantaged backgrounds? As noted above, linking up disparate data sets will enable a more thorough understanding of how different factors affect learning outcomes and where the most promising avenues for intervention might be.</w:t>
      </w:r>
      <w:r w:rsidR="00C0419D">
        <w:br/>
      </w:r>
      <w:r w:rsidR="00C0419D">
        <w:br/>
      </w:r>
      <w:r w:rsidR="00C0419D" w:rsidRPr="00601741">
        <w:t>Examples of relevant data are location, gender, socioeconomic status, parental educational attainment,</w:t>
      </w:r>
      <w:r w:rsidR="00C0419D" w:rsidRPr="00324EEB">
        <w:t xml:space="preserve"> school attendance, and health </w:t>
      </w:r>
      <w:r w:rsidR="00C0419D">
        <w:t>and</w:t>
      </w:r>
      <w:r w:rsidR="00C0419D" w:rsidRPr="00601741">
        <w:t xml:space="preserve"> medical diagnoses.</w:t>
      </w:r>
      <w:r w:rsidR="00C0419D">
        <w:rPr>
          <w:rFonts w:ascii="Arial" w:hAnsi="Arial" w:cs="Arial"/>
          <w:color w:val="000000"/>
          <w:sz w:val="22"/>
          <w:szCs w:val="22"/>
        </w:rPr>
        <w:t xml:space="preserve">  </w:t>
      </w:r>
    </w:p>
    <w:p w14:paraId="51962A97" w14:textId="77777777" w:rsidR="006A1CCB" w:rsidRDefault="006A1CCB" w:rsidP="00601741"/>
    <w:p w14:paraId="132B77B1" w14:textId="4EB99CD7" w:rsidR="00CE6F73" w:rsidRPr="00601741" w:rsidRDefault="00CE6F73" w:rsidP="00AD0FC8">
      <w:pPr>
        <w:pStyle w:val="Heading4"/>
        <w:rPr>
          <w:b w:val="0"/>
          <w:u w:val="single"/>
        </w:rPr>
      </w:pPr>
      <w:r w:rsidRPr="00601741">
        <w:rPr>
          <w:b w:val="0"/>
          <w:u w:val="single"/>
        </w:rPr>
        <w:lastRenderedPageBreak/>
        <w:t xml:space="preserve">Data on the specific conditions in schools - the </w:t>
      </w:r>
      <w:r w:rsidRPr="00601741">
        <w:rPr>
          <w:b w:val="0"/>
          <w:i/>
          <w:u w:val="single"/>
        </w:rPr>
        <w:t>‘under what conditions</w:t>
      </w:r>
      <w:r w:rsidR="0024042F">
        <w:rPr>
          <w:b w:val="0"/>
          <w:i/>
          <w:u w:val="single"/>
        </w:rPr>
        <w:t>?</w:t>
      </w:r>
      <w:r w:rsidRPr="00601741">
        <w:rPr>
          <w:b w:val="0"/>
          <w:i/>
          <w:u w:val="single"/>
        </w:rPr>
        <w:t>’</w:t>
      </w:r>
    </w:p>
    <w:p w14:paraId="7BFE4336" w14:textId="77777777" w:rsidR="006A1CCB" w:rsidRDefault="006A1CCB" w:rsidP="00CE6F73">
      <w:pPr>
        <w:pStyle w:val="NormalWeb"/>
        <w:spacing w:after="0"/>
        <w:rPr>
          <w:rFonts w:ascii="Arial" w:hAnsi="Arial" w:cs="Arial"/>
          <w:color w:val="000000"/>
          <w:sz w:val="22"/>
          <w:szCs w:val="22"/>
        </w:rPr>
      </w:pPr>
    </w:p>
    <w:p w14:paraId="0721C2EA" w14:textId="00C866E6" w:rsidR="006A1CCB" w:rsidRDefault="00CE6F73" w:rsidP="00601741">
      <w:r>
        <w:t>Building on recent advances in ‘implementation science’ and ‘improvement science’ we also need to gather (or a</w:t>
      </w:r>
      <w:r w:rsidRPr="00324EEB">
        <w:t>ccess prior) wider</w:t>
      </w:r>
      <w:r w:rsidRPr="00726F64">
        <w:t xml:space="preserve"> data on schools that </w:t>
      </w:r>
      <w:r w:rsidR="00C0419D" w:rsidRPr="00601741">
        <w:t>indicate the conditions in which the change occurred</w:t>
      </w:r>
      <w:r>
        <w:t xml:space="preserve">. These data are critical for understanding the context for the observed changes in the quantitative measures. </w:t>
      </w:r>
    </w:p>
    <w:p w14:paraId="431B171A" w14:textId="23203CC7" w:rsidR="00CE6F73" w:rsidRDefault="00CE6F73" w:rsidP="00601741">
      <w:r>
        <w:t>Having data available (or linked to) on the specific conditions in a school compared to national data would be very helpful in understanding the required ‘in school’ conditions.</w:t>
      </w:r>
    </w:p>
    <w:p w14:paraId="7D2800DB" w14:textId="35BF39CB" w:rsidR="003E0CE9" w:rsidRPr="003E0CE9" w:rsidRDefault="00CE6F73" w:rsidP="00601741">
      <w:r>
        <w:t xml:space="preserve">To build our understanding of what these factors are, and how they can be influenced, we should collect a broader range of data across potential determinants such as: </w:t>
      </w:r>
    </w:p>
    <w:p w14:paraId="3F3ACD96" w14:textId="77777777" w:rsidR="00CE6F73" w:rsidRPr="003E0CE9" w:rsidRDefault="00CE6F73" w:rsidP="00601741">
      <w:pPr>
        <w:pStyle w:val="ListBullet"/>
        <w:numPr>
          <w:ilvl w:val="0"/>
          <w:numId w:val="59"/>
        </w:numPr>
      </w:pPr>
      <w:r w:rsidRPr="003E0CE9">
        <w:t>Cost of programs</w:t>
      </w:r>
    </w:p>
    <w:p w14:paraId="4DEDD25A" w14:textId="77777777" w:rsidR="00CE6F73" w:rsidRDefault="00CE6F73" w:rsidP="00601741">
      <w:pPr>
        <w:pStyle w:val="ListBullet2"/>
        <w:numPr>
          <w:ilvl w:val="1"/>
          <w:numId w:val="60"/>
        </w:numPr>
      </w:pPr>
      <w:r>
        <w:t xml:space="preserve">Direct costs - such as licence, equipment and materials </w:t>
      </w:r>
    </w:p>
    <w:p w14:paraId="37AB9EE3" w14:textId="77777777" w:rsidR="00CE6F73" w:rsidRDefault="00CE6F73" w:rsidP="00601741">
      <w:pPr>
        <w:pStyle w:val="ListBullet2"/>
        <w:numPr>
          <w:ilvl w:val="1"/>
          <w:numId w:val="60"/>
        </w:numPr>
      </w:pPr>
      <w:r>
        <w:t>Staff costs for professional learning and then cost to deliver</w:t>
      </w:r>
    </w:p>
    <w:p w14:paraId="52ACC884" w14:textId="139BE7BE" w:rsidR="003E0CE9" w:rsidRPr="00601741" w:rsidRDefault="00CE6F73" w:rsidP="00601741">
      <w:pPr>
        <w:pStyle w:val="ListBullet2"/>
        <w:numPr>
          <w:ilvl w:val="1"/>
          <w:numId w:val="60"/>
        </w:numPr>
        <w:rPr>
          <w:rFonts w:ascii="Arial" w:hAnsi="Arial" w:cs="Arial"/>
          <w:color w:val="000000"/>
          <w:sz w:val="22"/>
          <w:szCs w:val="22"/>
        </w:rPr>
      </w:pPr>
      <w:r>
        <w:t xml:space="preserve">Indirect costs </w:t>
      </w:r>
    </w:p>
    <w:p w14:paraId="764E81D0" w14:textId="77777777" w:rsidR="00CE6F73" w:rsidRPr="00601741" w:rsidRDefault="00CE6F73" w:rsidP="00601741">
      <w:pPr>
        <w:pStyle w:val="NormalWeb"/>
        <w:numPr>
          <w:ilvl w:val="0"/>
          <w:numId w:val="61"/>
        </w:numPr>
        <w:spacing w:after="0" w:line="240" w:lineRule="auto"/>
        <w:textAlignment w:val="baseline"/>
        <w:rPr>
          <w:rFonts w:ascii="Arial" w:hAnsi="Arial" w:cs="Arial"/>
          <w:color w:val="000000"/>
          <w:sz w:val="20"/>
          <w:szCs w:val="20"/>
        </w:rPr>
      </w:pPr>
      <w:r w:rsidRPr="00601741">
        <w:rPr>
          <w:rFonts w:ascii="Arial" w:hAnsi="Arial" w:cs="Arial"/>
          <w:color w:val="000000"/>
          <w:sz w:val="20"/>
          <w:szCs w:val="20"/>
        </w:rPr>
        <w:t xml:space="preserve">Conditions at school level </w:t>
      </w:r>
    </w:p>
    <w:p w14:paraId="3CD6FB6E" w14:textId="1A7901FD" w:rsidR="00CE6F73" w:rsidRPr="00601741" w:rsidRDefault="004C5B87" w:rsidP="00601741">
      <w:pPr>
        <w:pStyle w:val="NormalWeb"/>
        <w:numPr>
          <w:ilvl w:val="1"/>
          <w:numId w:val="62"/>
        </w:numPr>
        <w:spacing w:after="0" w:line="240" w:lineRule="auto"/>
        <w:textAlignment w:val="baseline"/>
        <w:rPr>
          <w:rFonts w:ascii="Arial" w:hAnsi="Arial" w:cs="Arial"/>
          <w:color w:val="000000"/>
          <w:sz w:val="20"/>
          <w:szCs w:val="20"/>
        </w:rPr>
      </w:pPr>
      <w:r>
        <w:rPr>
          <w:rFonts w:ascii="Arial" w:hAnsi="Arial" w:cs="Arial"/>
          <w:color w:val="000000"/>
          <w:sz w:val="20"/>
          <w:szCs w:val="20"/>
        </w:rPr>
        <w:t>G</w:t>
      </w:r>
      <w:r w:rsidR="00CE6F73" w:rsidRPr="00601741">
        <w:rPr>
          <w:rFonts w:ascii="Arial" w:hAnsi="Arial" w:cs="Arial"/>
          <w:color w:val="000000"/>
          <w:sz w:val="20"/>
          <w:szCs w:val="20"/>
        </w:rPr>
        <w:t>eneral working conditions within schools, including working hours, class sizes, access to support staff and school leadership</w:t>
      </w:r>
    </w:p>
    <w:p w14:paraId="1E786FF9" w14:textId="1D350989" w:rsidR="00CE6F73" w:rsidRPr="00601741" w:rsidRDefault="004C5B87" w:rsidP="00601741">
      <w:pPr>
        <w:pStyle w:val="NormalWeb"/>
        <w:numPr>
          <w:ilvl w:val="1"/>
          <w:numId w:val="62"/>
        </w:numPr>
        <w:spacing w:after="0" w:line="240" w:lineRule="auto"/>
        <w:textAlignment w:val="baseline"/>
        <w:rPr>
          <w:rFonts w:ascii="Arial" w:hAnsi="Arial" w:cs="Arial"/>
          <w:color w:val="000000"/>
          <w:sz w:val="20"/>
          <w:szCs w:val="20"/>
        </w:rPr>
      </w:pPr>
      <w:r>
        <w:rPr>
          <w:rFonts w:ascii="Arial" w:hAnsi="Arial" w:cs="Arial"/>
          <w:color w:val="000000"/>
          <w:sz w:val="20"/>
          <w:szCs w:val="20"/>
        </w:rPr>
        <w:t>T</w:t>
      </w:r>
      <w:r w:rsidR="00CE6F73" w:rsidRPr="00601741">
        <w:rPr>
          <w:rFonts w:ascii="Arial" w:hAnsi="Arial" w:cs="Arial"/>
          <w:color w:val="000000"/>
          <w:sz w:val="20"/>
          <w:szCs w:val="20"/>
        </w:rPr>
        <w:t xml:space="preserve">he amount and type of resources available for teaching </w:t>
      </w:r>
    </w:p>
    <w:p w14:paraId="0D6C621A" w14:textId="516FE1E7" w:rsidR="00CE6F73" w:rsidRPr="00601741" w:rsidRDefault="004C5B87" w:rsidP="00601741">
      <w:pPr>
        <w:pStyle w:val="NormalWeb"/>
        <w:numPr>
          <w:ilvl w:val="1"/>
          <w:numId w:val="62"/>
        </w:numPr>
        <w:spacing w:after="0" w:line="240" w:lineRule="auto"/>
        <w:textAlignment w:val="baseline"/>
        <w:rPr>
          <w:rFonts w:ascii="Arial" w:hAnsi="Arial" w:cs="Arial"/>
          <w:color w:val="000000"/>
          <w:sz w:val="20"/>
          <w:szCs w:val="20"/>
        </w:rPr>
      </w:pPr>
      <w:r>
        <w:rPr>
          <w:rFonts w:ascii="Arial" w:hAnsi="Arial" w:cs="Arial"/>
          <w:color w:val="000000"/>
          <w:sz w:val="20"/>
          <w:szCs w:val="20"/>
        </w:rPr>
        <w:t>S</w:t>
      </w:r>
      <w:r w:rsidR="00CE6F73" w:rsidRPr="00601741">
        <w:rPr>
          <w:rFonts w:ascii="Arial" w:hAnsi="Arial" w:cs="Arial"/>
          <w:color w:val="000000"/>
          <w:sz w:val="20"/>
          <w:szCs w:val="20"/>
        </w:rPr>
        <w:t>chool culture, including the approach to evidence, evaluation and feedback</w:t>
      </w:r>
    </w:p>
    <w:p w14:paraId="183A4200" w14:textId="41D136DE" w:rsidR="003E0CE9" w:rsidRDefault="003E0CE9" w:rsidP="003E0CE9">
      <w:pPr>
        <w:pStyle w:val="NormalWeb"/>
        <w:spacing w:after="0" w:line="240" w:lineRule="auto"/>
        <w:ind w:left="1440"/>
        <w:textAlignment w:val="baseline"/>
        <w:rPr>
          <w:rFonts w:ascii="Arial" w:hAnsi="Arial" w:cs="Arial"/>
          <w:color w:val="000000"/>
          <w:sz w:val="22"/>
          <w:szCs w:val="22"/>
        </w:rPr>
      </w:pPr>
    </w:p>
    <w:p w14:paraId="125FE33D" w14:textId="77777777" w:rsidR="00CE6F73" w:rsidRPr="00601741" w:rsidRDefault="00CE6F73" w:rsidP="00601741">
      <w:pPr>
        <w:pStyle w:val="NormalWeb"/>
        <w:numPr>
          <w:ilvl w:val="0"/>
          <w:numId w:val="61"/>
        </w:numPr>
        <w:spacing w:after="0" w:line="240" w:lineRule="auto"/>
        <w:textAlignment w:val="baseline"/>
        <w:rPr>
          <w:rFonts w:ascii="Arial" w:hAnsi="Arial" w:cs="Arial"/>
          <w:color w:val="000000"/>
          <w:sz w:val="20"/>
          <w:szCs w:val="20"/>
        </w:rPr>
      </w:pPr>
      <w:r w:rsidRPr="00601741">
        <w:rPr>
          <w:rFonts w:ascii="Arial" w:hAnsi="Arial" w:cs="Arial"/>
          <w:color w:val="000000"/>
          <w:sz w:val="20"/>
          <w:szCs w:val="20"/>
        </w:rPr>
        <w:t>Professional capability of school leaders and teachers</w:t>
      </w:r>
    </w:p>
    <w:p w14:paraId="039D547C" w14:textId="001BB8F9" w:rsidR="00CE6F73" w:rsidRPr="00601741" w:rsidRDefault="004C5B87" w:rsidP="00601741">
      <w:pPr>
        <w:pStyle w:val="NormalWeb"/>
        <w:numPr>
          <w:ilvl w:val="1"/>
          <w:numId w:val="63"/>
        </w:numPr>
        <w:spacing w:after="0" w:line="240" w:lineRule="auto"/>
        <w:textAlignment w:val="baseline"/>
        <w:rPr>
          <w:rFonts w:ascii="Arial" w:hAnsi="Arial" w:cs="Arial"/>
          <w:color w:val="000000"/>
          <w:sz w:val="20"/>
          <w:szCs w:val="20"/>
        </w:rPr>
      </w:pPr>
      <w:r>
        <w:rPr>
          <w:rFonts w:ascii="Arial" w:hAnsi="Arial" w:cs="Arial"/>
          <w:color w:val="000000"/>
          <w:sz w:val="20"/>
          <w:szCs w:val="20"/>
        </w:rPr>
        <w:t>T</w:t>
      </w:r>
      <w:r w:rsidR="00CE6F73" w:rsidRPr="00601741">
        <w:rPr>
          <w:rFonts w:ascii="Arial" w:hAnsi="Arial" w:cs="Arial"/>
          <w:color w:val="000000"/>
          <w:sz w:val="20"/>
          <w:szCs w:val="20"/>
        </w:rPr>
        <w:t>he quality of initial teacher education and the quality and amount of ongoing professional development teachers and school leaders undertake</w:t>
      </w:r>
    </w:p>
    <w:p w14:paraId="45BECACD" w14:textId="7A4C8076" w:rsidR="00CE6F73" w:rsidRPr="00601741" w:rsidRDefault="004C5B87" w:rsidP="00601741">
      <w:pPr>
        <w:pStyle w:val="NormalWeb"/>
        <w:numPr>
          <w:ilvl w:val="1"/>
          <w:numId w:val="63"/>
        </w:numPr>
        <w:spacing w:after="0" w:line="240" w:lineRule="auto"/>
        <w:textAlignment w:val="baseline"/>
        <w:rPr>
          <w:rFonts w:ascii="Arial" w:hAnsi="Arial" w:cs="Arial"/>
          <w:color w:val="000000"/>
          <w:sz w:val="20"/>
          <w:szCs w:val="20"/>
        </w:rPr>
      </w:pPr>
      <w:r>
        <w:rPr>
          <w:rFonts w:ascii="Arial" w:hAnsi="Arial" w:cs="Arial"/>
          <w:color w:val="000000"/>
          <w:sz w:val="20"/>
          <w:szCs w:val="20"/>
        </w:rPr>
        <w:t>T</w:t>
      </w:r>
      <w:r w:rsidR="00CE6F73" w:rsidRPr="00601741">
        <w:rPr>
          <w:rFonts w:ascii="Arial" w:hAnsi="Arial" w:cs="Arial"/>
          <w:color w:val="000000"/>
          <w:sz w:val="20"/>
          <w:szCs w:val="20"/>
        </w:rPr>
        <w:t>he extent and quality of collaboration with teaching peers, researchers and other key stakeholders built into regular practice</w:t>
      </w:r>
    </w:p>
    <w:p w14:paraId="4376E553" w14:textId="75C65FC5" w:rsidR="00CE6F73" w:rsidRPr="00601741" w:rsidRDefault="004C5B87" w:rsidP="00601741">
      <w:pPr>
        <w:pStyle w:val="NormalWeb"/>
        <w:numPr>
          <w:ilvl w:val="1"/>
          <w:numId w:val="63"/>
        </w:numPr>
        <w:spacing w:after="0" w:line="240" w:lineRule="auto"/>
        <w:textAlignment w:val="baseline"/>
        <w:rPr>
          <w:rFonts w:ascii="Arial" w:hAnsi="Arial" w:cs="Arial"/>
          <w:color w:val="000000"/>
          <w:sz w:val="20"/>
          <w:szCs w:val="20"/>
        </w:rPr>
      </w:pPr>
      <w:r>
        <w:rPr>
          <w:rFonts w:ascii="Arial" w:hAnsi="Arial" w:cs="Arial"/>
          <w:color w:val="000000"/>
          <w:sz w:val="20"/>
          <w:szCs w:val="20"/>
        </w:rPr>
        <w:t>T</w:t>
      </w:r>
      <w:r w:rsidR="00CE6F73" w:rsidRPr="00601741">
        <w:rPr>
          <w:rFonts w:ascii="Arial" w:hAnsi="Arial" w:cs="Arial"/>
          <w:color w:val="000000"/>
          <w:sz w:val="20"/>
          <w:szCs w:val="20"/>
        </w:rPr>
        <w:t xml:space="preserve">eacher and school leader accreditation at each of the four levels of </w:t>
      </w:r>
      <w:proofErr w:type="spellStart"/>
      <w:r w:rsidR="00CE6F73" w:rsidRPr="00601741">
        <w:rPr>
          <w:rFonts w:ascii="Arial" w:hAnsi="Arial" w:cs="Arial"/>
          <w:color w:val="000000"/>
          <w:sz w:val="20"/>
          <w:szCs w:val="20"/>
        </w:rPr>
        <w:t>AITSL’s</w:t>
      </w:r>
      <w:proofErr w:type="spellEnd"/>
      <w:r w:rsidR="00CE6F73" w:rsidRPr="00601741">
        <w:rPr>
          <w:rFonts w:ascii="Arial" w:hAnsi="Arial" w:cs="Arial"/>
          <w:color w:val="000000"/>
          <w:sz w:val="20"/>
          <w:szCs w:val="20"/>
        </w:rPr>
        <w:t xml:space="preserve"> Professional Standards for Teachers and Professional Standard for Principals</w:t>
      </w:r>
    </w:p>
    <w:p w14:paraId="43488C9A" w14:textId="49D18635" w:rsidR="00CE6F73" w:rsidRPr="00601741" w:rsidRDefault="004C5B87" w:rsidP="00601741">
      <w:pPr>
        <w:pStyle w:val="NormalWeb"/>
        <w:numPr>
          <w:ilvl w:val="1"/>
          <w:numId w:val="63"/>
        </w:numPr>
        <w:spacing w:after="0" w:line="240" w:lineRule="auto"/>
        <w:textAlignment w:val="baseline"/>
        <w:rPr>
          <w:rFonts w:ascii="Arial" w:hAnsi="Arial" w:cs="Arial"/>
          <w:color w:val="000000"/>
          <w:sz w:val="20"/>
          <w:szCs w:val="20"/>
        </w:rPr>
      </w:pPr>
      <w:r>
        <w:rPr>
          <w:rFonts w:ascii="Arial" w:hAnsi="Arial" w:cs="Arial"/>
          <w:color w:val="000000"/>
          <w:sz w:val="20"/>
          <w:szCs w:val="20"/>
        </w:rPr>
        <w:t>T</w:t>
      </w:r>
      <w:r w:rsidR="00CE6F73" w:rsidRPr="00601741">
        <w:rPr>
          <w:rFonts w:ascii="Arial" w:hAnsi="Arial" w:cs="Arial"/>
          <w:color w:val="000000"/>
          <w:sz w:val="20"/>
          <w:szCs w:val="20"/>
        </w:rPr>
        <w:t xml:space="preserve">he amount and type of resources available for teaching </w:t>
      </w:r>
    </w:p>
    <w:p w14:paraId="5146B58E" w14:textId="01FA9098" w:rsidR="00CE6F73" w:rsidRPr="00601741" w:rsidRDefault="004C5B87" w:rsidP="00601741">
      <w:pPr>
        <w:pStyle w:val="NormalWeb"/>
        <w:numPr>
          <w:ilvl w:val="1"/>
          <w:numId w:val="63"/>
        </w:numPr>
        <w:spacing w:after="0" w:line="240" w:lineRule="auto"/>
        <w:textAlignment w:val="baseline"/>
        <w:rPr>
          <w:rFonts w:ascii="Arial" w:hAnsi="Arial" w:cs="Arial"/>
          <w:color w:val="000000"/>
          <w:sz w:val="20"/>
          <w:szCs w:val="20"/>
        </w:rPr>
      </w:pPr>
      <w:r>
        <w:rPr>
          <w:rFonts w:ascii="Arial" w:hAnsi="Arial" w:cs="Arial"/>
          <w:color w:val="000000"/>
          <w:sz w:val="20"/>
          <w:szCs w:val="20"/>
        </w:rPr>
        <w:t>T</w:t>
      </w:r>
      <w:r w:rsidR="00CE6F73" w:rsidRPr="00601741">
        <w:rPr>
          <w:rFonts w:ascii="Arial" w:hAnsi="Arial" w:cs="Arial"/>
          <w:color w:val="000000"/>
          <w:sz w:val="20"/>
          <w:szCs w:val="20"/>
        </w:rPr>
        <w:t>eacher remuneration, accountability and performance management arrangements</w:t>
      </w:r>
    </w:p>
    <w:p w14:paraId="20AFD89D" w14:textId="0AA4F5F5" w:rsidR="00CE6F73" w:rsidRPr="00601741" w:rsidRDefault="004C5B87" w:rsidP="00601741">
      <w:pPr>
        <w:pStyle w:val="NormalWeb"/>
        <w:numPr>
          <w:ilvl w:val="1"/>
          <w:numId w:val="63"/>
        </w:numPr>
        <w:spacing w:after="0" w:line="240" w:lineRule="auto"/>
        <w:textAlignment w:val="baseline"/>
        <w:rPr>
          <w:rFonts w:ascii="Arial" w:hAnsi="Arial" w:cs="Arial"/>
          <w:color w:val="000000"/>
          <w:sz w:val="20"/>
          <w:szCs w:val="20"/>
        </w:rPr>
      </w:pPr>
      <w:r>
        <w:rPr>
          <w:rFonts w:ascii="Arial" w:hAnsi="Arial" w:cs="Arial"/>
          <w:color w:val="000000"/>
          <w:sz w:val="20"/>
          <w:szCs w:val="20"/>
        </w:rPr>
        <w:t>T</w:t>
      </w:r>
      <w:r w:rsidR="00CE6F73" w:rsidRPr="00601741">
        <w:rPr>
          <w:rFonts w:ascii="Arial" w:hAnsi="Arial" w:cs="Arial"/>
          <w:color w:val="000000"/>
          <w:sz w:val="20"/>
          <w:szCs w:val="20"/>
        </w:rPr>
        <w:t>eacher career paths, development of leadership capacity and reasons for exiting the profession.</w:t>
      </w:r>
    </w:p>
    <w:p w14:paraId="34D7FA94" w14:textId="77777777" w:rsidR="003E0CE9" w:rsidRDefault="003E0CE9" w:rsidP="00CE6F73">
      <w:pPr>
        <w:pStyle w:val="NormalWeb"/>
        <w:spacing w:after="0"/>
        <w:rPr>
          <w:rFonts w:ascii="Arial" w:hAnsi="Arial" w:cs="Arial"/>
          <w:color w:val="000000"/>
          <w:sz w:val="22"/>
          <w:szCs w:val="22"/>
        </w:rPr>
      </w:pPr>
    </w:p>
    <w:p w14:paraId="7C629DC7" w14:textId="77777777" w:rsidR="00CE6F73" w:rsidRPr="00601741" w:rsidRDefault="00CE6F73" w:rsidP="00CE6F73">
      <w:pPr>
        <w:pStyle w:val="NormalWeb"/>
        <w:spacing w:after="0"/>
        <w:rPr>
          <w:sz w:val="20"/>
          <w:szCs w:val="20"/>
        </w:rPr>
      </w:pPr>
      <w:r w:rsidRPr="00601741">
        <w:rPr>
          <w:rFonts w:ascii="Arial" w:hAnsi="Arial" w:cs="Arial"/>
          <w:color w:val="000000"/>
          <w:sz w:val="20"/>
          <w:szCs w:val="20"/>
        </w:rPr>
        <w:t xml:space="preserve">Data on these factors could be collected through: </w:t>
      </w:r>
    </w:p>
    <w:p w14:paraId="6E4BC52A" w14:textId="1173FC93" w:rsidR="00CE6F73" w:rsidRPr="00601741" w:rsidRDefault="004C5B87" w:rsidP="00601741">
      <w:pPr>
        <w:pStyle w:val="NormalWeb"/>
        <w:numPr>
          <w:ilvl w:val="0"/>
          <w:numId w:val="64"/>
        </w:numPr>
        <w:spacing w:after="0" w:line="240" w:lineRule="auto"/>
        <w:textAlignment w:val="baseline"/>
        <w:rPr>
          <w:rFonts w:ascii="Arial" w:hAnsi="Arial" w:cs="Arial"/>
          <w:color w:val="000000"/>
          <w:sz w:val="20"/>
          <w:szCs w:val="20"/>
        </w:rPr>
      </w:pPr>
      <w:r>
        <w:rPr>
          <w:rFonts w:ascii="Arial" w:hAnsi="Arial" w:cs="Arial"/>
          <w:color w:val="000000"/>
          <w:sz w:val="20"/>
          <w:szCs w:val="20"/>
        </w:rPr>
        <w:t>R</w:t>
      </w:r>
      <w:r w:rsidR="00CE6F73" w:rsidRPr="00601741">
        <w:rPr>
          <w:rFonts w:ascii="Arial" w:hAnsi="Arial" w:cs="Arial"/>
          <w:color w:val="000000"/>
          <w:sz w:val="20"/>
          <w:szCs w:val="20"/>
        </w:rPr>
        <w:t>egular surveys of a representative sample of teachers and school leaders, ideally on a longitudinal basis and linked back to student outcomes data</w:t>
      </w:r>
    </w:p>
    <w:p w14:paraId="6BD7CF6C" w14:textId="7DB784D6" w:rsidR="00CE6F73" w:rsidRPr="00601741" w:rsidRDefault="004C5B87" w:rsidP="00601741">
      <w:pPr>
        <w:pStyle w:val="NormalWeb"/>
        <w:numPr>
          <w:ilvl w:val="0"/>
          <w:numId w:val="64"/>
        </w:numPr>
        <w:spacing w:after="0" w:line="240" w:lineRule="auto"/>
        <w:textAlignment w:val="baseline"/>
        <w:rPr>
          <w:rFonts w:ascii="Arial" w:hAnsi="Arial" w:cs="Arial"/>
          <w:color w:val="000000"/>
          <w:sz w:val="20"/>
          <w:szCs w:val="20"/>
        </w:rPr>
      </w:pPr>
      <w:r>
        <w:rPr>
          <w:rFonts w:ascii="Arial" w:hAnsi="Arial" w:cs="Arial"/>
          <w:color w:val="000000"/>
          <w:sz w:val="20"/>
          <w:szCs w:val="20"/>
        </w:rPr>
        <w:t>R</w:t>
      </w:r>
      <w:r w:rsidR="00CE6F73" w:rsidRPr="00601741">
        <w:rPr>
          <w:rFonts w:ascii="Arial" w:hAnsi="Arial" w:cs="Arial"/>
          <w:color w:val="000000"/>
          <w:sz w:val="20"/>
          <w:szCs w:val="20"/>
        </w:rPr>
        <w:t>igorous program-level evaluations of teacher and school leader professional learning programs</w:t>
      </w:r>
    </w:p>
    <w:p w14:paraId="513D431E" w14:textId="76A41A30" w:rsidR="00CE6F73" w:rsidRPr="00601741" w:rsidRDefault="004C5B87" w:rsidP="00601741">
      <w:pPr>
        <w:pStyle w:val="NormalWeb"/>
        <w:numPr>
          <w:ilvl w:val="0"/>
          <w:numId w:val="64"/>
        </w:numPr>
        <w:spacing w:after="0" w:line="240" w:lineRule="auto"/>
        <w:textAlignment w:val="baseline"/>
        <w:rPr>
          <w:rFonts w:ascii="Arial" w:hAnsi="Arial" w:cs="Arial"/>
          <w:color w:val="000000"/>
          <w:sz w:val="20"/>
          <w:szCs w:val="20"/>
        </w:rPr>
      </w:pPr>
      <w:r>
        <w:rPr>
          <w:rFonts w:ascii="Arial" w:hAnsi="Arial" w:cs="Arial"/>
          <w:color w:val="000000"/>
          <w:sz w:val="20"/>
          <w:szCs w:val="20"/>
        </w:rPr>
        <w:t>W</w:t>
      </w:r>
      <w:r w:rsidR="00CE6F73" w:rsidRPr="00601741">
        <w:rPr>
          <w:rFonts w:ascii="Arial" w:hAnsi="Arial" w:cs="Arial"/>
          <w:color w:val="000000"/>
          <w:sz w:val="20"/>
          <w:szCs w:val="20"/>
        </w:rPr>
        <w:t>ell-designed case studies to provide a more in-depth perspective</w:t>
      </w:r>
    </w:p>
    <w:p w14:paraId="39478B3D" w14:textId="77777777" w:rsidR="003E0CE9" w:rsidRDefault="003E0CE9" w:rsidP="00CE6F73">
      <w:pPr>
        <w:pStyle w:val="NormalWeb"/>
        <w:spacing w:after="0"/>
        <w:rPr>
          <w:rFonts w:ascii="Arial" w:hAnsi="Arial" w:cs="Arial"/>
          <w:color w:val="000000"/>
          <w:sz w:val="22"/>
          <w:szCs w:val="22"/>
        </w:rPr>
      </w:pPr>
    </w:p>
    <w:p w14:paraId="034D8064" w14:textId="77777777" w:rsidR="00CE6F73" w:rsidRDefault="00CE6F73" w:rsidP="00601741">
      <w:r>
        <w:t xml:space="preserve">Some data on factors that may impact teaching quality are already collected through existing surveys, including the </w:t>
      </w:r>
      <w:r>
        <w:rPr>
          <w:i/>
          <w:iCs/>
        </w:rPr>
        <w:t>Staff in Australian Schools</w:t>
      </w:r>
      <w:r>
        <w:t xml:space="preserve"> and PISA surveys and one-off surveys designed for specific academic research. However, there would be benefit in adopting a more systematic approach to collecting data on a broader range of factors that may influence teaching quality, linked to student outcome data, and making it widely available to researchers and policy makers. This would enable researchers and policy-makers to better target their future efforts to areas that show the most promise.</w:t>
      </w:r>
    </w:p>
    <w:p w14:paraId="5F9EA3F4" w14:textId="77777777" w:rsidR="00726F64" w:rsidRDefault="00726F64" w:rsidP="00601741"/>
    <w:p w14:paraId="5CB96419" w14:textId="5F162E80" w:rsidR="00CE6F73" w:rsidRPr="003E0CE9" w:rsidRDefault="00CE6F73" w:rsidP="00AD0FC8">
      <w:pPr>
        <w:pStyle w:val="Heading4"/>
      </w:pPr>
      <w:r>
        <w:lastRenderedPageBreak/>
        <w:t xml:space="preserve">Data to </w:t>
      </w:r>
      <w:r w:rsidR="00C0419D">
        <w:t xml:space="preserve">build </w:t>
      </w:r>
      <w:r>
        <w:t>knowledge of how best to engage with, and support frontline professionals to implement evidence based programs.</w:t>
      </w:r>
    </w:p>
    <w:p w14:paraId="0268519A" w14:textId="77777777" w:rsidR="003E0CE9" w:rsidRDefault="003E0CE9" w:rsidP="00CE6F73">
      <w:pPr>
        <w:pStyle w:val="NormalWeb"/>
        <w:spacing w:after="0"/>
        <w:rPr>
          <w:rFonts w:ascii="Arial" w:hAnsi="Arial" w:cs="Arial"/>
          <w:color w:val="000000"/>
          <w:sz w:val="22"/>
          <w:szCs w:val="22"/>
        </w:rPr>
      </w:pPr>
    </w:p>
    <w:p w14:paraId="12981E1F" w14:textId="47B4447B" w:rsidR="003E0CE9" w:rsidRDefault="00CE6F73" w:rsidP="00601741">
      <w:r>
        <w:t xml:space="preserve">We need to gather data about the most effective forms of evidence dissemination and engagement with frontline professionals.  We need to understand the capability of frontline professionals, individually and collectively, to engage with evidence and effectively implement evidence based </w:t>
      </w:r>
      <w:r w:rsidR="00C0419D">
        <w:t>approaches</w:t>
      </w:r>
      <w:r>
        <w:t>. Data and evidence on effectiveness is as important here as it is on educational interventions. There is growing recognition of this need internationally and emerging bodies of evidence about factors affecting the use of data and research evidence in schools.</w:t>
      </w:r>
    </w:p>
    <w:p w14:paraId="504AAAE0" w14:textId="41AB1FDC" w:rsidR="003E0CE9" w:rsidRDefault="00CE6F73" w:rsidP="00601741">
      <w:r>
        <w:t xml:space="preserve">Two international and </w:t>
      </w:r>
      <w:r w:rsidR="00C0419D">
        <w:t xml:space="preserve">two </w:t>
      </w:r>
      <w:r>
        <w:t>Australian example</w:t>
      </w:r>
      <w:r w:rsidR="00C0419D">
        <w:t>s</w:t>
      </w:r>
      <w:r>
        <w:t xml:space="preserve"> are useful to cite here. </w:t>
      </w:r>
    </w:p>
    <w:p w14:paraId="5FE2C6C9" w14:textId="58ABE90E" w:rsidR="003E0CE9" w:rsidRDefault="00CE6F73" w:rsidP="00601741">
      <w:r>
        <w:t xml:space="preserve">In 2014, the </w:t>
      </w:r>
      <w:proofErr w:type="spellStart"/>
      <w:r>
        <w:t>EEF</w:t>
      </w:r>
      <w:proofErr w:type="spellEnd"/>
      <w:r>
        <w:t xml:space="preserve"> opened a themed funding round on Research Use in Schools</w:t>
      </w:r>
      <w:r w:rsidR="00172312">
        <w:rPr>
          <w:rStyle w:val="FootnoteReference"/>
          <w:color w:val="000000"/>
          <w:sz w:val="22"/>
          <w:szCs w:val="22"/>
        </w:rPr>
        <w:footnoteReference w:id="58"/>
      </w:r>
      <w:r>
        <w:t xml:space="preserve"> to investigate, through </w:t>
      </w:r>
      <w:proofErr w:type="spellStart"/>
      <w:r>
        <w:t>RCTs</w:t>
      </w:r>
      <w:proofErr w:type="spellEnd"/>
      <w:r>
        <w:t>, which methods of research dissemination and use are most effective in changing teachers’ practice and students’ academic achievement.  In one trial, “The Literacy Octopus: Communicating and Engaging with Research,” the same research findings about literacy instruction are being communicated to Key Stage 2 teachers in eight different ways.</w:t>
      </w:r>
      <w:r w:rsidR="002C2280" w:rsidRPr="002C2280">
        <w:rPr>
          <w:rStyle w:val="FootnoteReference"/>
          <w:color w:val="000000"/>
          <w:sz w:val="22"/>
          <w:szCs w:val="22"/>
        </w:rPr>
        <w:t xml:space="preserve"> </w:t>
      </w:r>
      <w:r w:rsidR="002C2280">
        <w:rPr>
          <w:rStyle w:val="FootnoteReference"/>
          <w:color w:val="000000"/>
          <w:sz w:val="22"/>
          <w:szCs w:val="22"/>
        </w:rPr>
        <w:footnoteReference w:id="59"/>
      </w:r>
      <w:r>
        <w:t xml:space="preserve">  Another trial, “Research Learning Communities,” will test </w:t>
      </w:r>
      <w:r w:rsidR="004C5B87">
        <w:t>‘</w:t>
      </w:r>
      <w:r>
        <w:t>whether evidence champions are effective at promoting research use in their school, when supported by a research community of peers from local schools and an academic facilitator.</w:t>
      </w:r>
      <w:r w:rsidR="004C5B87">
        <w:t>’</w:t>
      </w:r>
      <w:r w:rsidR="002C2280">
        <w:rPr>
          <w:rStyle w:val="FootnoteReference"/>
          <w:color w:val="000000"/>
          <w:sz w:val="22"/>
          <w:szCs w:val="22"/>
        </w:rPr>
        <w:footnoteReference w:id="60"/>
      </w:r>
      <w:r>
        <w:t xml:space="preserve"> </w:t>
      </w:r>
      <w:r w:rsidR="00C0419D" w:rsidRPr="00601741">
        <w:t>Results of these pilots have just been released, and they indicated that, ‘It would seem that structured and bespoke support for teachers, focusing on specific actions for implementation and in-class support is a necessary (if not sufficient) condition for making sure research has an impact. Importantly, the independent evaluations noted that the engagement of senior leaders in Research into Practice was critical to its success; they noted that time constraints affected teachers’ ability to commit to the Research Champion model.’</w:t>
      </w:r>
      <w:r w:rsidR="00C0419D">
        <w:rPr>
          <w:rStyle w:val="FootnoteReference"/>
        </w:rPr>
        <w:footnoteReference w:id="61"/>
      </w:r>
      <w:r w:rsidR="00C0419D" w:rsidRPr="00601741">
        <w:t xml:space="preserve"> These results indicate that we should collect data about (1) the kinds of support that results in changed practice; (2) the role of senior leadership in supporting evidence-informed practice; and (3) the time necessary to prepare for and make changes. </w:t>
      </w:r>
      <w:r w:rsidR="00C0419D">
        <w:t>Further, t</w:t>
      </w:r>
      <w:r>
        <w:t>he trials in this round will begin reporting in early 2017 and will provide a rich body of knowledge on which to decide what kinds of data to collect about research dissemination and use, with a focus on the most promising avenues.</w:t>
      </w:r>
    </w:p>
    <w:p w14:paraId="441813DA" w14:textId="5575AB4C" w:rsidR="00CE6F73" w:rsidRDefault="00CE6F73" w:rsidP="00601741">
      <w:r>
        <w:t>In the United States, the Carnegie Foundation for the Advancement of Teaching promotes a method of educational improvement which they call Networked Improvement Communities (</w:t>
      </w:r>
      <w:proofErr w:type="spellStart"/>
      <w:r>
        <w:t>NICs</w:t>
      </w:r>
      <w:proofErr w:type="spellEnd"/>
      <w:r>
        <w:t>), which are</w:t>
      </w:r>
      <w:r w:rsidR="003E0CE9">
        <w:t>:</w:t>
      </w:r>
    </w:p>
    <w:p w14:paraId="6ABE66B6" w14:textId="4692E2A4" w:rsidR="00CE6F73" w:rsidRDefault="004C5B87" w:rsidP="00601741">
      <w:pPr>
        <w:pStyle w:val="ListBullet"/>
        <w:numPr>
          <w:ilvl w:val="0"/>
          <w:numId w:val="67"/>
        </w:numPr>
      </w:pPr>
      <w:r>
        <w:t>F</w:t>
      </w:r>
      <w:r w:rsidR="00CE6F73">
        <w:t>ocused on a well-specified common aim;</w:t>
      </w:r>
    </w:p>
    <w:p w14:paraId="25775020" w14:textId="045FCC36" w:rsidR="00CE6F73" w:rsidRDefault="004C5B87" w:rsidP="00601741">
      <w:pPr>
        <w:pStyle w:val="ListBullet"/>
        <w:numPr>
          <w:ilvl w:val="0"/>
          <w:numId w:val="67"/>
        </w:numPr>
      </w:pPr>
      <w:r>
        <w:t>G</w:t>
      </w:r>
      <w:r w:rsidR="00CE6F73">
        <w:t>uided by a deep understanding of the problem, the system that produces it, and a shared working theory to improve it;</w:t>
      </w:r>
    </w:p>
    <w:p w14:paraId="6D49A6B3" w14:textId="2E3FBA6B" w:rsidR="00CE6F73" w:rsidRDefault="004C5B87" w:rsidP="00601741">
      <w:pPr>
        <w:pStyle w:val="ListBullet"/>
        <w:numPr>
          <w:ilvl w:val="0"/>
          <w:numId w:val="67"/>
        </w:numPr>
      </w:pPr>
      <w:r>
        <w:t>D</w:t>
      </w:r>
      <w:r w:rsidR="00CE6F73">
        <w:t>isciplined by the methods of improvement research to develop, test, and refine interventions; and</w:t>
      </w:r>
    </w:p>
    <w:p w14:paraId="3D8D2161" w14:textId="009C2C23" w:rsidR="00CE6F73" w:rsidRDefault="004C5B87" w:rsidP="00601741">
      <w:pPr>
        <w:pStyle w:val="ListBullet"/>
        <w:numPr>
          <w:ilvl w:val="0"/>
          <w:numId w:val="67"/>
        </w:numPr>
      </w:pPr>
      <w:r>
        <w:t>O</w:t>
      </w:r>
      <w:r w:rsidR="00CE6F73">
        <w:t>rgani</w:t>
      </w:r>
      <w:r w:rsidR="00F67811">
        <w:t>s</w:t>
      </w:r>
      <w:r w:rsidR="00CE6F73">
        <w:t>ed to accelerate interventions into the field and to effectively integrate them into varied educational contexts.</w:t>
      </w:r>
    </w:p>
    <w:p w14:paraId="6D6477CB" w14:textId="376231AD" w:rsidR="003E0CE9" w:rsidRPr="00601741" w:rsidRDefault="00CE6F73" w:rsidP="00601741">
      <w:pPr>
        <w:rPr>
          <w:color w:val="000000"/>
          <w:szCs w:val="20"/>
        </w:rPr>
      </w:pPr>
      <w:r w:rsidRPr="00601741">
        <w:rPr>
          <w:color w:val="000000"/>
          <w:szCs w:val="20"/>
        </w:rPr>
        <w:t xml:space="preserve">These communities keep </w:t>
      </w:r>
      <w:r w:rsidR="004C5B87">
        <w:rPr>
          <w:color w:val="000000"/>
          <w:szCs w:val="20"/>
        </w:rPr>
        <w:t>’</w:t>
      </w:r>
      <w:r w:rsidRPr="00601741">
        <w:rPr>
          <w:color w:val="000000"/>
          <w:szCs w:val="20"/>
        </w:rPr>
        <w:t>measureable improvements in valued student outcomes</w:t>
      </w:r>
      <w:r w:rsidR="004C5B87">
        <w:rPr>
          <w:color w:val="000000"/>
          <w:szCs w:val="20"/>
        </w:rPr>
        <w:t>’</w:t>
      </w:r>
      <w:r w:rsidRPr="00601741">
        <w:rPr>
          <w:color w:val="000000"/>
          <w:szCs w:val="20"/>
        </w:rPr>
        <w:t xml:space="preserve"> central to their work and integrate existing research evidence.</w:t>
      </w:r>
      <w:r w:rsidR="002C2280" w:rsidRPr="00601741">
        <w:rPr>
          <w:rStyle w:val="FootnoteReference"/>
          <w:color w:val="000000"/>
          <w:szCs w:val="20"/>
        </w:rPr>
        <w:footnoteReference w:id="62"/>
      </w:r>
      <w:r w:rsidRPr="00601741">
        <w:rPr>
          <w:color w:val="000000"/>
          <w:szCs w:val="20"/>
        </w:rPr>
        <w:t xml:space="preserve">  These characteristics of </w:t>
      </w:r>
      <w:proofErr w:type="spellStart"/>
      <w:r w:rsidRPr="00601741">
        <w:rPr>
          <w:color w:val="000000"/>
          <w:szCs w:val="20"/>
        </w:rPr>
        <w:t>NICs</w:t>
      </w:r>
      <w:proofErr w:type="spellEnd"/>
      <w:r w:rsidRPr="00601741">
        <w:rPr>
          <w:color w:val="000000"/>
          <w:szCs w:val="20"/>
        </w:rPr>
        <w:t xml:space="preserve"> imply both individual and collective characteristics that are necessary for research evidence to translate into continually improving </w:t>
      </w:r>
      <w:r w:rsidRPr="00601741">
        <w:rPr>
          <w:color w:val="000000"/>
          <w:szCs w:val="20"/>
        </w:rPr>
        <w:lastRenderedPageBreak/>
        <w:t>practice and improved student outcomes.  A deeper review of the Carnegie Foundation’s work could guide the development of appropriate instruments for data collection on research use for improving student outcomes.</w:t>
      </w:r>
    </w:p>
    <w:p w14:paraId="3CD65DA0" w14:textId="2A2C80D7" w:rsidR="00C0419D" w:rsidRPr="00C0419D" w:rsidRDefault="00CE6F73" w:rsidP="00601741">
      <w:pPr>
        <w:rPr>
          <w:rFonts w:ascii="Times New Roman" w:hAnsi="Times New Roman" w:cs="Times New Roman"/>
          <w:lang w:eastAsia="en-AU"/>
        </w:rPr>
      </w:pPr>
      <w:r w:rsidRPr="00601741">
        <w:rPr>
          <w:szCs w:val="20"/>
        </w:rPr>
        <w:t>Complementing the Carnegie Foundation’s focus on improvement science, the newly-established Centre for Evidence and Implementation (</w:t>
      </w:r>
      <w:proofErr w:type="spellStart"/>
      <w:r w:rsidRPr="00601741">
        <w:rPr>
          <w:szCs w:val="20"/>
        </w:rPr>
        <w:t>CEI</w:t>
      </w:r>
      <w:proofErr w:type="spellEnd"/>
      <w:r w:rsidRPr="00601741">
        <w:rPr>
          <w:szCs w:val="20"/>
        </w:rPr>
        <w:t xml:space="preserve">) focuses on using implementation science to </w:t>
      </w:r>
      <w:r w:rsidR="00C0419D">
        <w:rPr>
          <w:szCs w:val="20"/>
        </w:rPr>
        <w:t xml:space="preserve">improve </w:t>
      </w:r>
      <w:r w:rsidRPr="00601741">
        <w:rPr>
          <w:szCs w:val="20"/>
        </w:rPr>
        <w:t>the lives of children, their families and communities facing adversity.</w:t>
      </w:r>
      <w:r w:rsidR="002C2280" w:rsidRPr="00601741">
        <w:rPr>
          <w:rStyle w:val="FootnoteReference"/>
          <w:color w:val="000000"/>
          <w:szCs w:val="20"/>
        </w:rPr>
        <w:footnoteReference w:id="63"/>
      </w:r>
      <w:r w:rsidRPr="00601741">
        <w:rPr>
          <w:szCs w:val="20"/>
        </w:rPr>
        <w:t xml:space="preserve"> A key focus in implementation science is on the attitudes practitioners have toward adopting evidence-based practices and the kinds of interventions that are effective in shifting those attitudes to enable </w:t>
      </w:r>
      <w:r w:rsidR="00C0419D">
        <w:rPr>
          <w:szCs w:val="20"/>
        </w:rPr>
        <w:t>the</w:t>
      </w:r>
      <w:r w:rsidRPr="00601741">
        <w:rPr>
          <w:szCs w:val="20"/>
        </w:rPr>
        <w:t xml:space="preserve"> uptake of evidence-based practices.</w:t>
      </w:r>
      <w:r w:rsidR="002C2280" w:rsidRPr="00601741">
        <w:rPr>
          <w:rStyle w:val="FootnoteReference"/>
          <w:color w:val="000000"/>
          <w:szCs w:val="20"/>
        </w:rPr>
        <w:footnoteReference w:id="64"/>
      </w:r>
      <w:r w:rsidRPr="00601741">
        <w:rPr>
          <w:szCs w:val="20"/>
        </w:rPr>
        <w:t xml:space="preserve">  Within the field, researchers have developed valid and reliable instruments to measure such qualities as </w:t>
      </w:r>
      <w:r w:rsidR="004C5B87">
        <w:rPr>
          <w:szCs w:val="20"/>
        </w:rPr>
        <w:t>‘</w:t>
      </w:r>
      <w:r w:rsidRPr="00601741">
        <w:rPr>
          <w:szCs w:val="20"/>
        </w:rPr>
        <w:t>proactive leadership, knowledgeable leadership, supportive leadership, and perseverant leadership</w:t>
      </w:r>
      <w:r w:rsidR="004C5B87">
        <w:rPr>
          <w:szCs w:val="20"/>
        </w:rPr>
        <w:t>’</w:t>
      </w:r>
      <w:r w:rsidR="002C2280" w:rsidRPr="00601741">
        <w:rPr>
          <w:rStyle w:val="FootnoteReference"/>
          <w:color w:val="000000"/>
          <w:szCs w:val="20"/>
        </w:rPr>
        <w:footnoteReference w:id="65"/>
      </w:r>
      <w:r w:rsidRPr="00601741">
        <w:rPr>
          <w:szCs w:val="20"/>
        </w:rPr>
        <w:t xml:space="preserve"> for</w:t>
      </w:r>
      <w:r>
        <w:t xml:space="preserve"> </w:t>
      </w:r>
      <w:r w:rsidRPr="00601741">
        <w:rPr>
          <w:szCs w:val="20"/>
        </w:rPr>
        <w:t>implementing evidence-based practices.  These instruments could generate very useful data about the capability that exists among teachers and school leaders to implement evidence-based practices.</w:t>
      </w:r>
      <w:r w:rsidR="00C0419D">
        <w:rPr>
          <w:szCs w:val="20"/>
        </w:rPr>
        <w:br/>
      </w:r>
      <w:r w:rsidR="00C0419D">
        <w:rPr>
          <w:szCs w:val="20"/>
        </w:rPr>
        <w:br/>
      </w:r>
      <w:r w:rsidR="00C0419D" w:rsidRPr="00C0419D">
        <w:rPr>
          <w:lang w:eastAsia="en-AU"/>
        </w:rPr>
        <w:t xml:space="preserve">Another Australian example is the not-yet-published research of Mark </w:t>
      </w:r>
      <w:proofErr w:type="spellStart"/>
      <w:r w:rsidR="00C0419D" w:rsidRPr="00C0419D">
        <w:rPr>
          <w:lang w:eastAsia="en-AU"/>
        </w:rPr>
        <w:t>Rickinson</w:t>
      </w:r>
      <w:proofErr w:type="spellEnd"/>
      <w:r w:rsidR="00C0419D" w:rsidRPr="00C0419D">
        <w:rPr>
          <w:lang w:eastAsia="en-AU"/>
        </w:rPr>
        <w:t xml:space="preserve"> and Kate de Bruin on research use by education policy makers in one Australian state.  The research questions in this study are indicative of the kind of data that should be collected:</w:t>
      </w:r>
    </w:p>
    <w:p w14:paraId="06D2A3B6" w14:textId="77777777" w:rsidR="00C0419D" w:rsidRPr="00C0419D" w:rsidRDefault="00C0419D" w:rsidP="00601741">
      <w:pPr>
        <w:pStyle w:val="ListBullet"/>
        <w:numPr>
          <w:ilvl w:val="0"/>
          <w:numId w:val="77"/>
        </w:numPr>
        <w:rPr>
          <w:lang w:eastAsia="en-AU"/>
        </w:rPr>
      </w:pPr>
      <w:r w:rsidRPr="00C0419D">
        <w:rPr>
          <w:lang w:eastAsia="en-AU"/>
        </w:rPr>
        <w:t>What types of evidence are used?</w:t>
      </w:r>
    </w:p>
    <w:p w14:paraId="59DF35C3" w14:textId="77777777" w:rsidR="00C0419D" w:rsidRPr="00C0419D" w:rsidRDefault="00C0419D" w:rsidP="00601741">
      <w:pPr>
        <w:pStyle w:val="ListBullet"/>
        <w:numPr>
          <w:ilvl w:val="0"/>
          <w:numId w:val="77"/>
        </w:numPr>
        <w:rPr>
          <w:lang w:eastAsia="en-AU"/>
        </w:rPr>
      </w:pPr>
      <w:r w:rsidRPr="00C0419D">
        <w:rPr>
          <w:lang w:eastAsia="en-AU"/>
        </w:rPr>
        <w:t>Who are the key players in the process?</w:t>
      </w:r>
    </w:p>
    <w:p w14:paraId="631E5FF7" w14:textId="77777777" w:rsidR="00C0419D" w:rsidRPr="00C0419D" w:rsidRDefault="00C0419D" w:rsidP="00601741">
      <w:pPr>
        <w:pStyle w:val="ListBullet"/>
        <w:numPr>
          <w:ilvl w:val="0"/>
          <w:numId w:val="77"/>
        </w:numPr>
        <w:rPr>
          <w:lang w:eastAsia="en-AU"/>
        </w:rPr>
      </w:pPr>
      <w:r w:rsidRPr="00C0419D">
        <w:rPr>
          <w:lang w:eastAsia="en-AU"/>
        </w:rPr>
        <w:t>How, when and where does evidence use happen, not happen?</w:t>
      </w:r>
    </w:p>
    <w:p w14:paraId="1F5476AD" w14:textId="77777777" w:rsidR="00C0419D" w:rsidRPr="00C0419D" w:rsidRDefault="00C0419D" w:rsidP="00601741">
      <w:pPr>
        <w:pStyle w:val="ListBullet"/>
        <w:numPr>
          <w:ilvl w:val="0"/>
          <w:numId w:val="77"/>
        </w:numPr>
        <w:rPr>
          <w:lang w:eastAsia="en-AU"/>
        </w:rPr>
      </w:pPr>
      <w:r w:rsidRPr="00C0419D">
        <w:rPr>
          <w:lang w:eastAsia="en-AU"/>
        </w:rPr>
        <w:t>Why does it happen or not happen (drivers, barriers, influences)?</w:t>
      </w:r>
    </w:p>
    <w:p w14:paraId="06598C90" w14:textId="77777777" w:rsidR="00C0419D" w:rsidRPr="00C0419D" w:rsidRDefault="00C0419D" w:rsidP="00601741">
      <w:pPr>
        <w:pStyle w:val="ListBullet"/>
        <w:numPr>
          <w:ilvl w:val="0"/>
          <w:numId w:val="77"/>
        </w:numPr>
        <w:rPr>
          <w:lang w:eastAsia="en-AU"/>
        </w:rPr>
      </w:pPr>
      <w:r w:rsidRPr="00C0419D">
        <w:rPr>
          <w:lang w:eastAsia="en-AU"/>
        </w:rPr>
        <w:t>So what could be done to improve evidence use in the future?</w:t>
      </w:r>
    </w:p>
    <w:p w14:paraId="4D5CBAB4" w14:textId="61F6D6F7" w:rsidR="003E0CE9" w:rsidRPr="00601741" w:rsidRDefault="00C0419D" w:rsidP="00601741">
      <w:r w:rsidRPr="00C0419D">
        <w:rPr>
          <w:lang w:eastAsia="en-AU"/>
        </w:rPr>
        <w:t>The frameworks and data collected in this study could be used for data collection on research use</w:t>
      </w:r>
    </w:p>
    <w:p w14:paraId="439A4979" w14:textId="55A1BA10" w:rsidR="003E0CE9" w:rsidRPr="00601741" w:rsidRDefault="00CE6F73" w:rsidP="00CE6F73">
      <w:pPr>
        <w:pStyle w:val="NormalWeb"/>
        <w:spacing w:after="0"/>
        <w:rPr>
          <w:color w:val="000000"/>
          <w:sz w:val="20"/>
          <w:szCs w:val="20"/>
        </w:rPr>
      </w:pPr>
      <w:r w:rsidRPr="00601741">
        <w:rPr>
          <w:color w:val="000000"/>
          <w:sz w:val="20"/>
          <w:szCs w:val="20"/>
        </w:rPr>
        <w:t xml:space="preserve">The </w:t>
      </w:r>
      <w:r w:rsidR="00C0419D">
        <w:rPr>
          <w:color w:val="000000"/>
          <w:sz w:val="20"/>
          <w:szCs w:val="20"/>
        </w:rPr>
        <w:t>four</w:t>
      </w:r>
      <w:r w:rsidR="00C0419D" w:rsidRPr="00601741">
        <w:rPr>
          <w:color w:val="000000"/>
          <w:sz w:val="20"/>
          <w:szCs w:val="20"/>
        </w:rPr>
        <w:t xml:space="preserve"> </w:t>
      </w:r>
      <w:r w:rsidRPr="00601741">
        <w:rPr>
          <w:color w:val="000000"/>
          <w:sz w:val="20"/>
          <w:szCs w:val="20"/>
        </w:rPr>
        <w:t>examples cited above demonstrate the advances being made in how research evidence is being used to improve student outcomes and how to measure research use.  Based on this emergent work, we suggest that the following kinds of data would be useful to include in the education evidence base:</w:t>
      </w:r>
    </w:p>
    <w:p w14:paraId="6622EB0C" w14:textId="77777777" w:rsidR="00CE6F73" w:rsidRPr="00601741" w:rsidRDefault="00CE6F73" w:rsidP="00601741">
      <w:pPr>
        <w:pStyle w:val="NormalWeb"/>
        <w:numPr>
          <w:ilvl w:val="0"/>
          <w:numId w:val="68"/>
        </w:numPr>
        <w:spacing w:after="0" w:line="240" w:lineRule="auto"/>
        <w:textAlignment w:val="baseline"/>
        <w:rPr>
          <w:rFonts w:ascii="Arial" w:hAnsi="Arial" w:cs="Arial"/>
          <w:color w:val="000000"/>
          <w:sz w:val="20"/>
          <w:szCs w:val="20"/>
        </w:rPr>
      </w:pPr>
      <w:r w:rsidRPr="00601741">
        <w:rPr>
          <w:rFonts w:ascii="Arial" w:hAnsi="Arial" w:cs="Arial"/>
          <w:color w:val="000000"/>
          <w:sz w:val="20"/>
          <w:szCs w:val="20"/>
        </w:rPr>
        <w:t>Penetration and usage of the approach</w:t>
      </w:r>
    </w:p>
    <w:p w14:paraId="64A0153B" w14:textId="77777777" w:rsidR="00CE6F73" w:rsidRPr="00601741" w:rsidRDefault="00CE6F73" w:rsidP="00601741">
      <w:pPr>
        <w:pStyle w:val="NormalWeb"/>
        <w:numPr>
          <w:ilvl w:val="0"/>
          <w:numId w:val="68"/>
        </w:numPr>
        <w:spacing w:after="0" w:line="240" w:lineRule="auto"/>
        <w:textAlignment w:val="baseline"/>
        <w:rPr>
          <w:rFonts w:ascii="Arial" w:hAnsi="Arial" w:cs="Arial"/>
          <w:color w:val="000000"/>
          <w:sz w:val="20"/>
          <w:szCs w:val="20"/>
        </w:rPr>
      </w:pPr>
      <w:r w:rsidRPr="00601741">
        <w:rPr>
          <w:rFonts w:ascii="Arial" w:hAnsi="Arial" w:cs="Arial"/>
          <w:color w:val="000000"/>
          <w:sz w:val="20"/>
          <w:szCs w:val="20"/>
        </w:rPr>
        <w:t xml:space="preserve">Costs of the approach </w:t>
      </w:r>
    </w:p>
    <w:p w14:paraId="6C5B6B85" w14:textId="77777777" w:rsidR="00CE6F73" w:rsidRPr="00601741" w:rsidRDefault="00CE6F73" w:rsidP="00601741">
      <w:pPr>
        <w:pStyle w:val="NormalWeb"/>
        <w:numPr>
          <w:ilvl w:val="0"/>
          <w:numId w:val="68"/>
        </w:numPr>
        <w:spacing w:after="0" w:line="240" w:lineRule="auto"/>
        <w:textAlignment w:val="baseline"/>
        <w:rPr>
          <w:rFonts w:ascii="Arial" w:hAnsi="Arial" w:cs="Arial"/>
          <w:color w:val="000000"/>
          <w:sz w:val="20"/>
          <w:szCs w:val="20"/>
        </w:rPr>
      </w:pPr>
      <w:r w:rsidRPr="00601741">
        <w:rPr>
          <w:rFonts w:ascii="Arial" w:hAnsi="Arial" w:cs="Arial"/>
          <w:color w:val="000000"/>
          <w:sz w:val="20"/>
          <w:szCs w:val="20"/>
        </w:rPr>
        <w:t>Degree of change in attitudes as a result of activity</w:t>
      </w:r>
    </w:p>
    <w:p w14:paraId="0A38CD86" w14:textId="77777777" w:rsidR="00CE6F73" w:rsidRPr="00601741" w:rsidRDefault="00CE6F73" w:rsidP="00601741">
      <w:pPr>
        <w:pStyle w:val="NormalWeb"/>
        <w:numPr>
          <w:ilvl w:val="0"/>
          <w:numId w:val="68"/>
        </w:numPr>
        <w:spacing w:after="0" w:line="240" w:lineRule="auto"/>
        <w:textAlignment w:val="baseline"/>
        <w:rPr>
          <w:rFonts w:ascii="Arial" w:hAnsi="Arial" w:cs="Arial"/>
          <w:color w:val="000000"/>
          <w:sz w:val="20"/>
          <w:szCs w:val="20"/>
        </w:rPr>
      </w:pPr>
      <w:r w:rsidRPr="00601741">
        <w:rPr>
          <w:rFonts w:ascii="Arial" w:hAnsi="Arial" w:cs="Arial"/>
          <w:color w:val="000000"/>
          <w:sz w:val="20"/>
          <w:szCs w:val="20"/>
        </w:rPr>
        <w:t>Degree of change in practice as a result of activity</w:t>
      </w:r>
    </w:p>
    <w:p w14:paraId="48F3E1CD" w14:textId="77777777" w:rsidR="003E0CE9" w:rsidRDefault="003E0CE9" w:rsidP="00CE6F73">
      <w:pPr>
        <w:pStyle w:val="NormalWeb"/>
        <w:spacing w:after="0"/>
        <w:rPr>
          <w:rFonts w:ascii="Arial" w:hAnsi="Arial" w:cs="Arial"/>
          <w:color w:val="000000"/>
          <w:sz w:val="22"/>
          <w:szCs w:val="22"/>
        </w:rPr>
      </w:pPr>
    </w:p>
    <w:p w14:paraId="34133720" w14:textId="01DF5869" w:rsidR="003E79FF" w:rsidRPr="003E79FF" w:rsidRDefault="00CE6F73" w:rsidP="00601741">
      <w:r>
        <w:t>Data related to teachers’ and school leaders’ capability to engage with and use research, including:</w:t>
      </w:r>
    </w:p>
    <w:p w14:paraId="78BE9116" w14:textId="77777777" w:rsidR="00CE6F73" w:rsidRDefault="00CE6F73" w:rsidP="00601741">
      <w:pPr>
        <w:pStyle w:val="ListBullet"/>
        <w:numPr>
          <w:ilvl w:val="0"/>
          <w:numId w:val="69"/>
        </w:numPr>
      </w:pPr>
      <w:r>
        <w:t>Measures of the attitudes and opinions about using evidence;</w:t>
      </w:r>
    </w:p>
    <w:p w14:paraId="41D0EB7C" w14:textId="77777777" w:rsidR="00CE6F73" w:rsidRDefault="00CE6F73" w:rsidP="00601741">
      <w:pPr>
        <w:pStyle w:val="ListBullet"/>
        <w:numPr>
          <w:ilvl w:val="0"/>
          <w:numId w:val="69"/>
        </w:numPr>
      </w:pPr>
      <w:r>
        <w:t>Measures of the skills and capabilities to implement evidence based practices for improvement in their students’ outcomes; and</w:t>
      </w:r>
    </w:p>
    <w:p w14:paraId="06E6BC82" w14:textId="77777777" w:rsidR="00CE6F73" w:rsidRDefault="00CE6F73" w:rsidP="00601741">
      <w:pPr>
        <w:pStyle w:val="ListBullet"/>
        <w:numPr>
          <w:ilvl w:val="0"/>
          <w:numId w:val="69"/>
        </w:numPr>
      </w:pPr>
      <w:r>
        <w:t>Measures of the ability to capture data and evaluate impact at the local level.</w:t>
      </w:r>
    </w:p>
    <w:p w14:paraId="4299D478" w14:textId="08578C41" w:rsidR="00CE6F73" w:rsidRDefault="00CE6F73" w:rsidP="00601741">
      <w:r>
        <w:t>There are emerging survey tools and instruments that could be adopted for an Australian evidence base. For example:</w:t>
      </w:r>
    </w:p>
    <w:p w14:paraId="13B58C6B" w14:textId="3ABC09C7" w:rsidR="00CE6F73" w:rsidRDefault="00CE6F73" w:rsidP="00601741">
      <w:pPr>
        <w:pStyle w:val="ListBullet"/>
        <w:numPr>
          <w:ilvl w:val="0"/>
          <w:numId w:val="70"/>
        </w:numPr>
      </w:pPr>
      <w:r>
        <w:lastRenderedPageBreak/>
        <w:t>The USA’s National Centre for Research in Policy and Practice has the Survey of Practitioners’ Use of Research (SPUR)</w:t>
      </w:r>
      <w:r w:rsidR="002C2280">
        <w:rPr>
          <w:rStyle w:val="FootnoteReference"/>
          <w:color w:val="000000"/>
          <w:sz w:val="22"/>
          <w:szCs w:val="22"/>
        </w:rPr>
        <w:footnoteReference w:id="66"/>
      </w:r>
      <w:r>
        <w:t xml:space="preserve"> which has already produced one report</w:t>
      </w:r>
      <w:r w:rsidR="002C2280">
        <w:rPr>
          <w:rStyle w:val="FootnoteReference"/>
          <w:color w:val="000000"/>
          <w:sz w:val="22"/>
          <w:szCs w:val="22"/>
        </w:rPr>
        <w:footnoteReference w:id="67"/>
      </w:r>
    </w:p>
    <w:p w14:paraId="36D8A1DD" w14:textId="0BBB56B6" w:rsidR="00CE6F73" w:rsidRPr="003E0CE9" w:rsidRDefault="00CE6F73" w:rsidP="00601741">
      <w:pPr>
        <w:pStyle w:val="ListBullet"/>
        <w:numPr>
          <w:ilvl w:val="0"/>
          <w:numId w:val="70"/>
        </w:numPr>
      </w:pPr>
      <w:r>
        <w:t xml:space="preserve">The UK’s National Foundation for Education Research has also developed a survey that </w:t>
      </w:r>
      <w:r w:rsidRPr="003E0CE9">
        <w:t>to measure teachers’ research use</w:t>
      </w:r>
      <w:r w:rsidR="002C2280">
        <w:rPr>
          <w:rStyle w:val="FootnoteReference"/>
          <w:sz w:val="22"/>
          <w:szCs w:val="22"/>
        </w:rPr>
        <w:footnoteReference w:id="68"/>
      </w:r>
    </w:p>
    <w:p w14:paraId="2FC66F95" w14:textId="77777777" w:rsidR="00CE6F73" w:rsidRPr="00F67811" w:rsidRDefault="00CE6F73" w:rsidP="00CE6F73">
      <w:pPr>
        <w:pStyle w:val="Heading4"/>
        <w:spacing w:before="280" w:after="80"/>
        <w:rPr>
          <w:rFonts w:ascii="Times New Roman" w:hAnsi="Times New Roman" w:cs="Times New Roman"/>
          <w:sz w:val="24"/>
          <w:szCs w:val="24"/>
        </w:rPr>
      </w:pPr>
      <w:r w:rsidRPr="00601741">
        <w:rPr>
          <w:rFonts w:ascii="Arial" w:hAnsi="Arial" w:cs="Arial"/>
          <w:bCs w:val="0"/>
          <w:i/>
          <w:iCs/>
        </w:rPr>
        <w:t>What characteristics should the data possess in order to support the processes of monitoring progress, evaluating policies and programs and/or informing policy development?</w:t>
      </w:r>
    </w:p>
    <w:p w14:paraId="2EA97B0C" w14:textId="3C089217" w:rsidR="003E0CE9" w:rsidRDefault="00CE6F73" w:rsidP="00601741">
      <w:r>
        <w:t xml:space="preserve">As noted above, national data collections to strengthen the education evidence base should be tailored to the primary objective of improving educational outcomes. Different types of data, with different types of characteristics, will be required for different purposes. </w:t>
      </w:r>
    </w:p>
    <w:p w14:paraId="43FB8CAB" w14:textId="77777777" w:rsidR="00CE6F73" w:rsidRDefault="00CE6F73" w:rsidP="00601741">
      <w:r>
        <w:t>For some purposes, it will be appropriate to collect data on all students at a particular point in time to develop a baseline assessment of the population using a standardised instrument (such as the Australian Early Development Census). More often, it will be sufficient for national monitoring, benchmarking and policy design purposes to collect information on a representative sample of students or teachers on an annual basis or every few years. ‘Deep dives’ into particular areas, through detailed surveys or case studies, would also further enrich the evidence base and help target future research and policy design. In all instances, it is important to invest enough in the data collection process to ensure data is of sufficient quality that it can be used with confidence.</w:t>
      </w:r>
    </w:p>
    <w:p w14:paraId="4C090469" w14:textId="77777777" w:rsidR="00AD0FC8" w:rsidRDefault="00AD0FC8" w:rsidP="00CE6F73">
      <w:pPr>
        <w:pStyle w:val="NormalWeb"/>
        <w:spacing w:after="0"/>
      </w:pPr>
    </w:p>
    <w:p w14:paraId="24504C4C" w14:textId="77777777" w:rsidR="00CE6F73" w:rsidRPr="00AD0FC8" w:rsidRDefault="00CE6F73" w:rsidP="00AD0FC8">
      <w:pPr>
        <w:pStyle w:val="Heading3"/>
        <w:rPr>
          <w:i/>
        </w:rPr>
      </w:pPr>
      <w:bookmarkStart w:id="32" w:name="_Toc451895299"/>
      <w:r w:rsidRPr="00AD0FC8">
        <w:rPr>
          <w:i/>
        </w:rPr>
        <w:t>Which aspects of administrative datasets are likely to be most useful to inform policy development?</w:t>
      </w:r>
      <w:bookmarkEnd w:id="32"/>
    </w:p>
    <w:p w14:paraId="2EB4AB37" w14:textId="77777777" w:rsidR="003E79FF" w:rsidRDefault="003E79FF" w:rsidP="00CE6F73">
      <w:pPr>
        <w:pStyle w:val="NormalWeb"/>
        <w:spacing w:after="0"/>
        <w:rPr>
          <w:rFonts w:ascii="Arial" w:hAnsi="Arial" w:cs="Arial"/>
          <w:color w:val="000000"/>
          <w:sz w:val="22"/>
          <w:szCs w:val="22"/>
        </w:rPr>
      </w:pPr>
    </w:p>
    <w:p w14:paraId="076D4D21" w14:textId="4385DD24" w:rsidR="00CE6F73" w:rsidRPr="00601741" w:rsidRDefault="00CE6F73" w:rsidP="00CE6F73">
      <w:pPr>
        <w:pStyle w:val="NormalWeb"/>
        <w:spacing w:after="0"/>
        <w:rPr>
          <w:sz w:val="20"/>
          <w:szCs w:val="20"/>
        </w:rPr>
      </w:pPr>
      <w:r w:rsidRPr="00601741">
        <w:rPr>
          <w:color w:val="000000"/>
          <w:sz w:val="20"/>
          <w:szCs w:val="20"/>
        </w:rPr>
        <w:t>Administrative datasets are one important input when considering the layers of data required to answer questions of whether the system it is reaching its ultimate outcomes, but sits side by side other datasets which include national testing, school based reporting, primary research and longitudinal studies.</w:t>
      </w:r>
    </w:p>
    <w:p w14:paraId="110A60C9" w14:textId="77777777" w:rsidR="003E79FF" w:rsidRPr="00601741" w:rsidRDefault="003E79FF" w:rsidP="00CE6F73">
      <w:pPr>
        <w:pStyle w:val="NormalWeb"/>
        <w:spacing w:after="0"/>
        <w:rPr>
          <w:color w:val="000000"/>
          <w:sz w:val="20"/>
          <w:szCs w:val="20"/>
        </w:rPr>
      </w:pPr>
    </w:p>
    <w:p w14:paraId="0B33EFF0" w14:textId="77777777" w:rsidR="00CE6F73" w:rsidRPr="00601741" w:rsidRDefault="00CE6F73" w:rsidP="00CE6F73">
      <w:pPr>
        <w:pStyle w:val="NormalWeb"/>
        <w:spacing w:after="0"/>
        <w:rPr>
          <w:sz w:val="20"/>
          <w:szCs w:val="20"/>
        </w:rPr>
      </w:pPr>
      <w:r w:rsidRPr="00601741">
        <w:rPr>
          <w:color w:val="000000"/>
          <w:sz w:val="20"/>
          <w:szCs w:val="20"/>
        </w:rPr>
        <w:t>While not their primary purpose, existing administrative datasets are also an important source of data for designing randomised controlled trials in a more cost effective way.</w:t>
      </w:r>
    </w:p>
    <w:p w14:paraId="1566D856" w14:textId="77777777" w:rsidR="003E79FF" w:rsidRPr="00601741" w:rsidRDefault="003E79FF" w:rsidP="00CE6F73">
      <w:pPr>
        <w:pStyle w:val="NormalWeb"/>
        <w:spacing w:after="0"/>
        <w:rPr>
          <w:color w:val="000000"/>
          <w:sz w:val="20"/>
          <w:szCs w:val="20"/>
        </w:rPr>
      </w:pPr>
    </w:p>
    <w:p w14:paraId="28DC7959" w14:textId="48CA92EB" w:rsidR="00CE6F73" w:rsidRPr="00601741" w:rsidRDefault="00CE6F73" w:rsidP="00CE6F73">
      <w:pPr>
        <w:pStyle w:val="NormalWeb"/>
        <w:spacing w:after="0"/>
        <w:rPr>
          <w:sz w:val="20"/>
          <w:szCs w:val="20"/>
        </w:rPr>
      </w:pPr>
      <w:r w:rsidRPr="00601741">
        <w:rPr>
          <w:color w:val="000000"/>
          <w:sz w:val="20"/>
          <w:szCs w:val="20"/>
        </w:rPr>
        <w:t>Effective randomisation requires that the intervention group and the control group are broadly equivalent in terms of the key characteristics that may have an impact on the effectiveness of the program or intervention being evaluated.</w:t>
      </w:r>
      <w:r w:rsidR="002C2280" w:rsidRPr="00601741">
        <w:rPr>
          <w:rStyle w:val="FootnoteReference"/>
          <w:color w:val="000000"/>
          <w:sz w:val="20"/>
          <w:szCs w:val="20"/>
        </w:rPr>
        <w:footnoteReference w:id="69"/>
      </w:r>
      <w:r w:rsidRPr="00601741">
        <w:rPr>
          <w:color w:val="000000"/>
          <w:sz w:val="20"/>
          <w:szCs w:val="20"/>
        </w:rPr>
        <w:t xml:space="preserve"> Depending on the nature of the trial, these characteristics may include school size, location, sector, </w:t>
      </w:r>
      <w:proofErr w:type="spellStart"/>
      <w:r w:rsidRPr="00601741">
        <w:rPr>
          <w:color w:val="000000"/>
          <w:sz w:val="20"/>
          <w:szCs w:val="20"/>
        </w:rPr>
        <w:t>ICSEA</w:t>
      </w:r>
      <w:proofErr w:type="spellEnd"/>
      <w:r w:rsidRPr="00601741">
        <w:rPr>
          <w:color w:val="000000"/>
          <w:sz w:val="20"/>
          <w:szCs w:val="20"/>
        </w:rPr>
        <w:t xml:space="preserve"> or teacher/student ratio and student gender, socioeconomic status and prior educational achievement, for example. Data on these characteristics is often contained in administrative data sets. Providing evaluators with easier access to this data would reduce the cost of the randomisation process. </w:t>
      </w:r>
    </w:p>
    <w:p w14:paraId="16849D36" w14:textId="77777777" w:rsidR="003E79FF" w:rsidRPr="00601741" w:rsidRDefault="003E79FF" w:rsidP="00CE6F73">
      <w:pPr>
        <w:pStyle w:val="NormalWeb"/>
        <w:spacing w:after="0"/>
        <w:rPr>
          <w:color w:val="000000"/>
          <w:sz w:val="20"/>
          <w:szCs w:val="20"/>
        </w:rPr>
      </w:pPr>
    </w:p>
    <w:p w14:paraId="72CE9836" w14:textId="77777777" w:rsidR="00CE6F73" w:rsidRPr="00601741" w:rsidRDefault="00CE6F73" w:rsidP="00CE6F73">
      <w:pPr>
        <w:pStyle w:val="NormalWeb"/>
        <w:spacing w:after="0"/>
        <w:rPr>
          <w:sz w:val="20"/>
          <w:szCs w:val="20"/>
        </w:rPr>
      </w:pPr>
      <w:r w:rsidRPr="00601741">
        <w:rPr>
          <w:color w:val="000000"/>
          <w:sz w:val="20"/>
          <w:szCs w:val="20"/>
        </w:rPr>
        <w:t>Further, in some instances, student learning outcomes data (for example ACER Progressive Achievement Test data) that is already collected for other purposes and is held by schools, system administrators or other bodies can be used in randomised controlled trials to evaluate the effectiveness of an intervention. Again, enabling easier access to this data can reduce the cost of the evaluation process.</w:t>
      </w:r>
    </w:p>
    <w:p w14:paraId="55659165" w14:textId="77777777" w:rsidR="003E79FF" w:rsidRPr="00601741" w:rsidRDefault="003E79FF" w:rsidP="00CE6F73">
      <w:pPr>
        <w:pStyle w:val="NormalWeb"/>
        <w:spacing w:after="0"/>
        <w:rPr>
          <w:color w:val="000000"/>
          <w:sz w:val="20"/>
          <w:szCs w:val="20"/>
        </w:rPr>
      </w:pPr>
    </w:p>
    <w:p w14:paraId="265F3505" w14:textId="77777777" w:rsidR="00CE6F73" w:rsidRPr="00601741" w:rsidRDefault="00CE6F73" w:rsidP="00CE6F73">
      <w:pPr>
        <w:pStyle w:val="NormalWeb"/>
        <w:spacing w:after="0"/>
        <w:rPr>
          <w:sz w:val="20"/>
          <w:szCs w:val="20"/>
        </w:rPr>
      </w:pPr>
      <w:r w:rsidRPr="00601741">
        <w:rPr>
          <w:color w:val="000000"/>
          <w:sz w:val="20"/>
          <w:szCs w:val="20"/>
        </w:rPr>
        <w:t xml:space="preserve">In the United Kingdom and the United States randomised controlled trials using data from existing administrative data sets have become much more common in recent years. The experience in these </w:t>
      </w:r>
      <w:r w:rsidRPr="00601741">
        <w:rPr>
          <w:color w:val="000000"/>
          <w:sz w:val="20"/>
          <w:szCs w:val="20"/>
        </w:rPr>
        <w:lastRenderedPageBreak/>
        <w:t>countries demonstrates that barriers to accessing administrative data sets, including confidentiality, privacy and data security, can be overcome.</w:t>
      </w:r>
    </w:p>
    <w:p w14:paraId="11331102" w14:textId="77777777" w:rsidR="003E79FF" w:rsidRPr="00601741" w:rsidRDefault="003E79FF" w:rsidP="00CE6F73">
      <w:pPr>
        <w:pStyle w:val="NormalWeb"/>
        <w:spacing w:after="0"/>
        <w:rPr>
          <w:color w:val="000000"/>
          <w:sz w:val="20"/>
          <w:szCs w:val="20"/>
        </w:rPr>
      </w:pPr>
    </w:p>
    <w:p w14:paraId="29CBDA1E" w14:textId="77777777" w:rsidR="00CE6F73" w:rsidRPr="00F67811" w:rsidRDefault="00CE6F73" w:rsidP="00CE6F73">
      <w:pPr>
        <w:pStyle w:val="Heading4"/>
        <w:spacing w:before="280" w:after="80"/>
      </w:pPr>
      <w:r w:rsidRPr="00601741">
        <w:rPr>
          <w:rFonts w:ascii="Arial" w:hAnsi="Arial" w:cs="Arial"/>
          <w:bCs w:val="0"/>
          <w:i/>
          <w:iCs/>
        </w:rPr>
        <w:t>What additional research or policy activity would be enabled by this data collection?</w:t>
      </w:r>
    </w:p>
    <w:p w14:paraId="11E32C2A" w14:textId="77777777" w:rsidR="003E79FF" w:rsidRDefault="003E79FF" w:rsidP="00CE6F73">
      <w:pPr>
        <w:pStyle w:val="NormalWeb"/>
        <w:spacing w:after="0"/>
        <w:rPr>
          <w:rFonts w:ascii="Arial" w:hAnsi="Arial" w:cs="Arial"/>
          <w:color w:val="000000"/>
          <w:sz w:val="22"/>
          <w:szCs w:val="22"/>
        </w:rPr>
      </w:pPr>
    </w:p>
    <w:p w14:paraId="5A6311EA" w14:textId="094ABB8C" w:rsidR="005158B3" w:rsidRDefault="00CE6F73" w:rsidP="00601741">
      <w:r>
        <w:t xml:space="preserve">As highlighted above, we recommend investing in the production of robust evidence on the effectiveness of teaching </w:t>
      </w:r>
      <w:r w:rsidR="00C0419D">
        <w:t xml:space="preserve">approaches </w:t>
      </w:r>
      <w:r>
        <w:t xml:space="preserve">and interventions in the classroom - that is, finding out ‘what works, for whom, under what conditions’. Specifically, we recommend greater use of rigorous evaluations using experimental methods, including randomised controlled trials </w:t>
      </w:r>
      <w:r w:rsidR="00C0419D">
        <w:t xml:space="preserve">with rigorous secondary analysis and </w:t>
      </w:r>
      <w:r>
        <w:t>detailed qualitative information.</w:t>
      </w:r>
      <w:r w:rsidR="00C0419D">
        <w:t xml:space="preserve"> </w:t>
      </w:r>
      <w:r w:rsidR="00C0419D" w:rsidRPr="00601741">
        <w:t>The data collections we outline above would allow the production of this robust evidence and would allow policy makers to make better-informed decisions.</w:t>
      </w:r>
    </w:p>
    <w:p w14:paraId="78339639" w14:textId="27C1389F" w:rsidR="003E79FF" w:rsidRDefault="00CE6F73" w:rsidP="00601741">
      <w:r>
        <w:t>A growing evidence base of what works and why is essential to make progress in lifting student outcomes. It can empower teachers to lift the quality of teaching and enable policy makers to design more effective policies to support teachers and schools.</w:t>
      </w:r>
    </w:p>
    <w:p w14:paraId="2EE57E7F" w14:textId="6F9A1F6C" w:rsidR="00CE6F73" w:rsidRDefault="00CE6F73" w:rsidP="00601741">
      <w:r>
        <w:t xml:space="preserve">Knowing with confidence what </w:t>
      </w:r>
      <w:r>
        <w:rPr>
          <w:i/>
          <w:iCs/>
        </w:rPr>
        <w:t>doesn’t work</w:t>
      </w:r>
      <w:r>
        <w:t xml:space="preserve"> and why is just as important. Often a promising </w:t>
      </w:r>
      <w:r w:rsidR="00C0419D">
        <w:t xml:space="preserve">approach </w:t>
      </w:r>
      <w:r>
        <w:t xml:space="preserve">may fail to produce the </w:t>
      </w:r>
      <w:r w:rsidRPr="00324EEB">
        <w:t xml:space="preserve">expected impact because of a lack of clarity about how it should be implemented in schools. Further research, including evaluations of the </w:t>
      </w:r>
      <w:r w:rsidR="00C0419D">
        <w:t>approach</w:t>
      </w:r>
      <w:r w:rsidR="00C0419D" w:rsidRPr="00324EEB">
        <w:t xml:space="preserve"> </w:t>
      </w:r>
      <w:r w:rsidRPr="00324EEB">
        <w:t xml:space="preserve">under different conditions, can help develop practical guidance for schools and policymakers about how to maximise the benefits of the </w:t>
      </w:r>
      <w:r w:rsidR="00C0419D">
        <w:t>approach</w:t>
      </w:r>
      <w:r w:rsidR="00C0419D" w:rsidRPr="00324EEB">
        <w:t xml:space="preserve"> </w:t>
      </w:r>
      <w:r w:rsidRPr="00324EEB">
        <w:t xml:space="preserve">on the ground. The process of evaluation and refinement is discussed below in the case study on the </w:t>
      </w:r>
      <w:proofErr w:type="spellStart"/>
      <w:r w:rsidRPr="00324EEB">
        <w:t>EE</w:t>
      </w:r>
      <w:r w:rsidRPr="00726F64">
        <w:t>F’s</w:t>
      </w:r>
      <w:proofErr w:type="spellEnd"/>
      <w:r w:rsidRPr="00726F64">
        <w:t xml:space="preserve"> reviews of teaching assistants in the UK.  Where </w:t>
      </w:r>
      <w:r w:rsidR="00C0419D">
        <w:t>approaches</w:t>
      </w:r>
      <w:r w:rsidR="00C0419D" w:rsidRPr="00324EEB">
        <w:t xml:space="preserve"> </w:t>
      </w:r>
      <w:r w:rsidRPr="00324EEB">
        <w:t>or interventions are repeatedly</w:t>
      </w:r>
      <w:r>
        <w:t xml:space="preserve"> </w:t>
      </w:r>
      <w:r w:rsidRPr="00324EEB">
        <w:t>found to have minimal impact (or a negative impact) on student learning in a variety of implementation contexts, they should be discontinued to free up critical resources for more effective programs.</w:t>
      </w:r>
      <w:r w:rsidR="002C2280" w:rsidRPr="0024042F">
        <w:rPr>
          <w:sz w:val="12"/>
          <w:szCs w:val="12"/>
          <w:vertAlign w:val="superscript"/>
        </w:rPr>
        <w:footnoteReference w:id="70"/>
      </w:r>
    </w:p>
    <w:p w14:paraId="1375C069" w14:textId="77777777" w:rsidR="0024042F" w:rsidRPr="00324EEB" w:rsidRDefault="0024042F" w:rsidP="00601741"/>
    <w:p w14:paraId="590A62D2" w14:textId="211B3B0B" w:rsidR="003E79FF" w:rsidRPr="00601741" w:rsidRDefault="00CE6F73" w:rsidP="003E79FF">
      <w:pPr>
        <w:pStyle w:val="Heading4"/>
        <w:spacing w:before="280" w:after="80"/>
        <w:rPr>
          <w:rFonts w:ascii="Arial" w:hAnsi="Arial" w:cs="Arial"/>
          <w:bCs w:val="0"/>
          <w:i/>
          <w:iCs/>
        </w:rPr>
      </w:pPr>
      <w:r w:rsidRPr="00601741">
        <w:rPr>
          <w:rFonts w:ascii="Arial" w:hAnsi="Arial" w:cs="Arial"/>
          <w:bCs w:val="0"/>
          <w:i/>
          <w:iCs/>
        </w:rPr>
        <w:t>Who would use this data and who is the beneficiary of any additional activity?</w:t>
      </w:r>
    </w:p>
    <w:p w14:paraId="108C737D" w14:textId="77777777" w:rsidR="003E79FF" w:rsidRDefault="003E79FF" w:rsidP="00CE6F73">
      <w:pPr>
        <w:pStyle w:val="NormalWeb"/>
        <w:spacing w:after="0"/>
        <w:rPr>
          <w:rFonts w:ascii="Arial" w:hAnsi="Arial" w:cs="Arial"/>
          <w:color w:val="000000"/>
          <w:sz w:val="22"/>
          <w:szCs w:val="22"/>
        </w:rPr>
      </w:pPr>
    </w:p>
    <w:p w14:paraId="36EEF672" w14:textId="68C31A4D" w:rsidR="003E79FF" w:rsidRDefault="00CE6F73" w:rsidP="00601741">
      <w:r>
        <w:t xml:space="preserve">Data on student learning outcomes and background characteristics is an important input for evaluators in designing and conducting </w:t>
      </w:r>
      <w:proofErr w:type="spellStart"/>
      <w:r>
        <w:t>RCTs</w:t>
      </w:r>
      <w:proofErr w:type="spellEnd"/>
      <w:r>
        <w:t xml:space="preserve">. Improving the quality and accessibility of these data sources would assist in evaluating education </w:t>
      </w:r>
      <w:r w:rsidR="00C0419D">
        <w:t xml:space="preserve">approaches </w:t>
      </w:r>
      <w:r>
        <w:t>and interventions to produce a stronger evidence base around what works (and why), what doesn’t (and why) and the relative cost of different approaches.  </w:t>
      </w:r>
    </w:p>
    <w:p w14:paraId="43EA265A" w14:textId="307B41B9" w:rsidR="003E79FF" w:rsidRDefault="00CE6F73" w:rsidP="00601741">
      <w:r>
        <w:t xml:space="preserve">For the strengthened evidence base to improve learning outcomes, it must have a direct impact on classroom practices or the external determinants that affect student learning. Therefore, the critical next step involves translating education evidence into a practical, highly accessible format that provides clear guidance to those who have the biggest impact on student learning outcomes. </w:t>
      </w:r>
    </w:p>
    <w:p w14:paraId="0A3440E2" w14:textId="2507F517" w:rsidR="003E79FF" w:rsidRDefault="00CE6F73" w:rsidP="00601741">
      <w:r>
        <w:t xml:space="preserve">Translating and distributing this evidence, through the </w:t>
      </w:r>
      <w:r>
        <w:rPr>
          <w:i/>
          <w:iCs/>
        </w:rPr>
        <w:t>Teaching &amp; Learning Toolkit</w:t>
      </w:r>
      <w:r>
        <w:t xml:space="preserve"> for example, ensures it is available to teachers and school leaders as well as government policy-makers in education and other fields, philanthropists and non-government service providers. The objective should be to reduce as much as possible the costs these users face in finding robust evidence so as to increase the </w:t>
      </w:r>
      <w:r w:rsidR="00C0419D">
        <w:t xml:space="preserve">probability </w:t>
      </w:r>
      <w:r>
        <w:t xml:space="preserve">that this evidence will be used to inform school and classroom practices and design better education policies. </w:t>
      </w:r>
    </w:p>
    <w:p w14:paraId="293AD0B3" w14:textId="110D696E" w:rsidR="003E79FF" w:rsidRDefault="00CE6F73" w:rsidP="00601741">
      <w:r>
        <w:t xml:space="preserve">Closing the research/practice gap by encouraging greater use of a strengthened education evidence base would deliver a significant, positive impact on student learning. Better use of evidence will clearly benefit all students by increasing the effectiveness of education expenditure across the board. Depending on the types of programs and interventions evaluated through </w:t>
      </w:r>
      <w:proofErr w:type="spellStart"/>
      <w:r>
        <w:t>RCTs</w:t>
      </w:r>
      <w:proofErr w:type="spellEnd"/>
      <w:r>
        <w:t xml:space="preserve">, specific groups of students would also be expected to benefit through improved understanding of how to overcome particular challenges. This could </w:t>
      </w:r>
      <w:r>
        <w:lastRenderedPageBreak/>
        <w:t xml:space="preserve">include, for example, developing more effective programs to assist struggling readers or to close the gap in education outcomes between </w:t>
      </w:r>
      <w:r w:rsidR="00FB24AD">
        <w:t>I</w:t>
      </w:r>
      <w:r>
        <w:t>ndigenous and non-</w:t>
      </w:r>
      <w:r w:rsidR="00F67811">
        <w:t>I</w:t>
      </w:r>
      <w:r>
        <w:t xml:space="preserve">ndigenous students. </w:t>
      </w:r>
    </w:p>
    <w:p w14:paraId="4217E18A" w14:textId="77777777" w:rsidR="00CE6F73" w:rsidRDefault="00CE6F73" w:rsidP="00601741">
      <w:r>
        <w:t xml:space="preserve">The </w:t>
      </w:r>
      <w:r>
        <w:rPr>
          <w:i/>
          <w:iCs/>
        </w:rPr>
        <w:t>Teaching &amp; Learning Toolkit</w:t>
      </w:r>
      <w:r>
        <w:t xml:space="preserve"> already includes an initial set of evidence summaries that provides practical information for school leaders and teachers as well as policy makers. The potential payoff from using this evidence - either by adopting new practices that have a stronger evidence base or by discontinuing practices that have minimal or negative impact - is significant. For example, schools can boost a student’s average yearly learning:</w:t>
      </w:r>
    </w:p>
    <w:p w14:paraId="29344BA4" w14:textId="181D1337" w:rsidR="00CE6F73" w:rsidRDefault="00FB24AD" w:rsidP="00601741">
      <w:pPr>
        <w:pStyle w:val="ListBullet"/>
        <w:numPr>
          <w:ilvl w:val="0"/>
          <w:numId w:val="71"/>
        </w:numPr>
      </w:pPr>
      <w:r>
        <w:t>B</w:t>
      </w:r>
      <w:r w:rsidR="00CE6F73">
        <w:t>y around 4 months, through the adoption of a phonics programs to teach reading and writing, at a cost of around $60 per student.</w:t>
      </w:r>
      <w:r w:rsidR="002C2280">
        <w:rPr>
          <w:rStyle w:val="FootnoteReference"/>
          <w:color w:val="000000"/>
          <w:sz w:val="22"/>
          <w:szCs w:val="22"/>
        </w:rPr>
        <w:footnoteReference w:id="71"/>
      </w:r>
      <w:r w:rsidR="00CE6F73">
        <w:t xml:space="preserve"> </w:t>
      </w:r>
    </w:p>
    <w:p w14:paraId="5646AA9E" w14:textId="48F4BC6F" w:rsidR="00CE6F73" w:rsidRDefault="00FB24AD" w:rsidP="00601741">
      <w:pPr>
        <w:pStyle w:val="ListBullet"/>
        <w:numPr>
          <w:ilvl w:val="0"/>
          <w:numId w:val="71"/>
        </w:numPr>
      </w:pPr>
      <w:r>
        <w:t>B</w:t>
      </w:r>
      <w:r w:rsidR="00CE6F73">
        <w:t>y around 5 months, through the adoption of a structured peer tutoring program, at a cost of around $280 per student.</w:t>
      </w:r>
      <w:r w:rsidR="002C2280">
        <w:rPr>
          <w:rStyle w:val="FootnoteReference"/>
          <w:color w:val="000000"/>
          <w:sz w:val="22"/>
          <w:szCs w:val="22"/>
        </w:rPr>
        <w:footnoteReference w:id="72"/>
      </w:r>
    </w:p>
    <w:p w14:paraId="700C59A5" w14:textId="47EC5052" w:rsidR="00CE6F73" w:rsidRDefault="00FB24AD" w:rsidP="00601741">
      <w:pPr>
        <w:pStyle w:val="ListBullet"/>
        <w:numPr>
          <w:ilvl w:val="0"/>
          <w:numId w:val="71"/>
        </w:numPr>
      </w:pPr>
      <w:r>
        <w:t>B</w:t>
      </w:r>
      <w:r w:rsidR="00CE6F73">
        <w:t>y around 4 months, through the cessation of grade repetition policies targeting students with low academic achievement, saving around $8000 per student who repeats a year (or around $200 million for each new cohort of Prep/Kindergarten students in Australia).</w:t>
      </w:r>
      <w:r w:rsidR="002C2280">
        <w:rPr>
          <w:rStyle w:val="FootnoteReference"/>
          <w:color w:val="000000"/>
          <w:sz w:val="22"/>
          <w:szCs w:val="22"/>
        </w:rPr>
        <w:footnoteReference w:id="73"/>
      </w:r>
    </w:p>
    <w:p w14:paraId="2A027754" w14:textId="59C3F1E0" w:rsidR="003E79FF" w:rsidRDefault="00CE6F73" w:rsidP="00601741">
      <w:r>
        <w:t xml:space="preserve">Indeed, some of the largest learning benefits from adopting a more rigorous approach to evaluating education </w:t>
      </w:r>
      <w:r w:rsidR="00C0419D">
        <w:t xml:space="preserve">approaches </w:t>
      </w:r>
      <w:r>
        <w:t xml:space="preserve">are likely to come not from adopting </w:t>
      </w:r>
      <w:r w:rsidR="00C0419D">
        <w:t xml:space="preserve">approaches </w:t>
      </w:r>
      <w:r>
        <w:t>with marginally larger impacts but from discontinuing programs that have been shown to have only a very weak positive impact, no impact at all or a negative impact on student learning.  </w:t>
      </w:r>
    </w:p>
    <w:p w14:paraId="261325FF" w14:textId="2888AB99" w:rsidR="003E79FF" w:rsidRDefault="00CE6F73" w:rsidP="00601741">
      <w:r>
        <w:t xml:space="preserve">Analysis of the outcomes of </w:t>
      </w:r>
      <w:proofErr w:type="spellStart"/>
      <w:r>
        <w:t>RCT</w:t>
      </w:r>
      <w:proofErr w:type="spellEnd"/>
      <w:r>
        <w:t xml:space="preserve"> evaluations overseas suggest there is likely to be significant opportunities to identify time and cost savings in the Australian education system. These savings could then be diverted to more effective programs. In fact, despite showing initial promise, many if not most programs evaluated using </w:t>
      </w:r>
      <w:proofErr w:type="spellStart"/>
      <w:r>
        <w:t>RCTs</w:t>
      </w:r>
      <w:proofErr w:type="spellEnd"/>
      <w:r>
        <w:t xml:space="preserve"> demonstrate few or no positive effects. For example, the US Department of Education’s Institute for Education Science commissioned </w:t>
      </w:r>
      <w:proofErr w:type="spellStart"/>
      <w:r>
        <w:t>RCT</w:t>
      </w:r>
      <w:proofErr w:type="spellEnd"/>
      <w:r>
        <w:t xml:space="preserve"> evaluations of 90 education interventions between 2002 and 2013. Of these, only 11 interventions (12%) were found to produce positive effects. The remaining 79 interventions produced either weak or no positive effects.</w:t>
      </w:r>
      <w:r w:rsidR="002C2280">
        <w:rPr>
          <w:rStyle w:val="FootnoteReference"/>
          <w:color w:val="000000"/>
          <w:sz w:val="22"/>
          <w:szCs w:val="22"/>
        </w:rPr>
        <w:footnoteReference w:id="74"/>
      </w:r>
    </w:p>
    <w:p w14:paraId="5541F040" w14:textId="7880A944" w:rsidR="003E79FF" w:rsidRDefault="00CE6F73" w:rsidP="00601741">
      <w:r>
        <w:t xml:space="preserve">Improving education outcomes has significant benefits both for the individual child and for the broader community. The benefits for children of improved outcomes are well documented. They range from increased lifetime income, lower unemployment, improved health and longevity and greater life </w:t>
      </w:r>
      <w:r>
        <w:lastRenderedPageBreak/>
        <w:t>satisfaction. The benefits are also inter-generational: the children of parents with higher levels of education tend to enjoy better life outcomes themselves.</w:t>
      </w:r>
      <w:r w:rsidR="00ED6446">
        <w:rPr>
          <w:rStyle w:val="FootnoteReference"/>
          <w:color w:val="000000"/>
          <w:sz w:val="22"/>
          <w:szCs w:val="22"/>
        </w:rPr>
        <w:footnoteReference w:id="75"/>
      </w:r>
      <w:r>
        <w:t xml:space="preserve"> </w:t>
      </w:r>
    </w:p>
    <w:p w14:paraId="6F52A1AA" w14:textId="783D5F5D" w:rsidR="00CE6F73" w:rsidRDefault="00CE6F73" w:rsidP="00601741">
      <w:r>
        <w:t>The benefits of improved school educational outcomes for the broader community are discussed below.</w:t>
      </w:r>
      <w:r w:rsidR="0024042F">
        <w:br/>
      </w:r>
    </w:p>
    <w:p w14:paraId="5010E880" w14:textId="77777777" w:rsidR="00CE6F73" w:rsidRPr="00F67811" w:rsidRDefault="00CE6F73" w:rsidP="00CE6F73">
      <w:pPr>
        <w:pStyle w:val="Heading4"/>
        <w:spacing w:before="280" w:after="80"/>
      </w:pPr>
      <w:r w:rsidRPr="00601741">
        <w:rPr>
          <w:rFonts w:ascii="Arial" w:hAnsi="Arial" w:cs="Arial"/>
          <w:bCs w:val="0"/>
          <w:i/>
          <w:iCs/>
        </w:rPr>
        <w:t>What costs are associated with collecting and administering the data?</w:t>
      </w:r>
    </w:p>
    <w:p w14:paraId="0AA068CE" w14:textId="77777777" w:rsidR="003E79FF" w:rsidRDefault="003E79FF" w:rsidP="00CE6F73">
      <w:pPr>
        <w:pStyle w:val="NormalWeb"/>
        <w:spacing w:after="0"/>
        <w:rPr>
          <w:rFonts w:ascii="Arial" w:hAnsi="Arial" w:cs="Arial"/>
          <w:color w:val="000000"/>
          <w:sz w:val="22"/>
          <w:szCs w:val="22"/>
        </w:rPr>
      </w:pPr>
    </w:p>
    <w:p w14:paraId="25F3FCDE" w14:textId="77777777" w:rsidR="00CE6F73" w:rsidRDefault="00CE6F73" w:rsidP="00601741">
      <w:r>
        <w:t xml:space="preserve">The costs associated with collecting and administering data varies widely according to the type and purpose of the data, as well as its level of sensitivity. Our response focuses primarily on the costs associated with collecting evidence of program effectiveness through the use of </w:t>
      </w:r>
      <w:proofErr w:type="spellStart"/>
      <w:r>
        <w:t>RCTs</w:t>
      </w:r>
      <w:proofErr w:type="spellEnd"/>
      <w:r>
        <w:t xml:space="preserve"> and of translating and distributing this evidence to key users, including school leaders and teachers. </w:t>
      </w:r>
    </w:p>
    <w:p w14:paraId="7B8E7A29" w14:textId="0FDCB190" w:rsidR="00AD0FC8" w:rsidRPr="00601741" w:rsidRDefault="00CE6F73" w:rsidP="00601741">
      <w:pPr>
        <w:rPr>
          <w:u w:val="single"/>
        </w:rPr>
      </w:pPr>
      <w:r w:rsidRPr="00601741">
        <w:rPr>
          <w:u w:val="single"/>
        </w:rPr>
        <w:t xml:space="preserve">Costs associated with collecting evidence of education program effectiveness through </w:t>
      </w:r>
      <w:proofErr w:type="spellStart"/>
      <w:r w:rsidRPr="00601741">
        <w:rPr>
          <w:u w:val="single"/>
        </w:rPr>
        <w:t>RCTs</w:t>
      </w:r>
      <w:proofErr w:type="spellEnd"/>
    </w:p>
    <w:p w14:paraId="6DB021D4" w14:textId="29A3C6AB" w:rsidR="003E79FF" w:rsidRDefault="00CE6F73" w:rsidP="00601741">
      <w:r>
        <w:t xml:space="preserve">It is generally assumed that </w:t>
      </w:r>
      <w:proofErr w:type="spellStart"/>
      <w:r>
        <w:t>RCTs</w:t>
      </w:r>
      <w:proofErr w:type="spellEnd"/>
      <w:r>
        <w:t xml:space="preserve"> are very expensive to run. This is often true in the medical research setting. Key contributors to the expense of running </w:t>
      </w:r>
      <w:proofErr w:type="spellStart"/>
      <w:r>
        <w:t>RCTs</w:t>
      </w:r>
      <w:proofErr w:type="spellEnd"/>
      <w:r>
        <w:t xml:space="preserve"> include the cost of delivering the intervention tested, the cost of recruiting a sufficiently large sample for the intervention and the control group to identify potentially modest intervention effects</w:t>
      </w:r>
      <w:r w:rsidR="00FB24AD">
        <w:t>,</w:t>
      </w:r>
      <w:r>
        <w:t xml:space="preserve"> and the cost involved in designing and administering an instrument to measure pre- and post-test outcomes.</w:t>
      </w:r>
      <w:r w:rsidR="00ED6446">
        <w:rPr>
          <w:rStyle w:val="FootnoteReference"/>
          <w:color w:val="000000"/>
          <w:sz w:val="22"/>
          <w:szCs w:val="22"/>
        </w:rPr>
        <w:footnoteReference w:id="76"/>
      </w:r>
      <w:r>
        <w:t xml:space="preserve"> </w:t>
      </w:r>
    </w:p>
    <w:p w14:paraId="10583D6E" w14:textId="3F0518D7" w:rsidR="005158B3" w:rsidRDefault="00CE6F73" w:rsidP="00601741">
      <w:r>
        <w:t xml:space="preserve">While </w:t>
      </w:r>
      <w:proofErr w:type="spellStart"/>
      <w:r>
        <w:t>RCTs</w:t>
      </w:r>
      <w:proofErr w:type="spellEnd"/>
      <w:r>
        <w:t xml:space="preserve"> evaluating education programs or interventions can be expensive, depending on their design, it is possible to conduct </w:t>
      </w:r>
      <w:proofErr w:type="spellStart"/>
      <w:r>
        <w:t>RCTs</w:t>
      </w:r>
      <w:proofErr w:type="spellEnd"/>
      <w:r>
        <w:t xml:space="preserve"> at a relatively low cost. Two strategies in particular can bring the cost down. </w:t>
      </w:r>
    </w:p>
    <w:p w14:paraId="04159694" w14:textId="3BB9EC31" w:rsidR="00CE6F73" w:rsidRDefault="00CE6F73" w:rsidP="00601741">
      <w:r>
        <w:t xml:space="preserve">The first is to pilot a prospective program or intervention that appears promising through a phased implementation approach so that schools (or teachers) are randomly assigned in advance to the intervention or the control group. This approach significantly decreases the cost of an </w:t>
      </w:r>
      <w:proofErr w:type="spellStart"/>
      <w:r>
        <w:t>RCT</w:t>
      </w:r>
      <w:proofErr w:type="spellEnd"/>
      <w:r>
        <w:t xml:space="preserve"> because the cost of the intervention itself would have been incurred anyway.</w:t>
      </w:r>
      <w:r w:rsidR="00ED6446">
        <w:rPr>
          <w:rStyle w:val="FootnoteReference"/>
          <w:color w:val="000000"/>
          <w:sz w:val="22"/>
          <w:szCs w:val="22"/>
        </w:rPr>
        <w:footnoteReference w:id="77"/>
      </w:r>
      <w:r>
        <w:t xml:space="preserve"> </w:t>
      </w:r>
    </w:p>
    <w:p w14:paraId="2EFF004F" w14:textId="1A21EA04" w:rsidR="003E79FF" w:rsidRDefault="00CE6F73" w:rsidP="00601741">
      <w:r>
        <w:t>The second strategy is to evaluate the effectiveness of the program or intervention using data on student outcomes that are already collected for other purposes, where possible.</w:t>
      </w:r>
      <w:r w:rsidR="00ED6446">
        <w:rPr>
          <w:rStyle w:val="FootnoteReference"/>
          <w:color w:val="000000"/>
          <w:sz w:val="22"/>
          <w:szCs w:val="22"/>
        </w:rPr>
        <w:footnoteReference w:id="78"/>
      </w:r>
      <w:r>
        <w:t xml:space="preserve"> </w:t>
      </w:r>
    </w:p>
    <w:p w14:paraId="2DBDA5F3" w14:textId="77777777" w:rsidR="00C0419D" w:rsidRDefault="00CE6F73" w:rsidP="00601741">
      <w:pPr>
        <w:rPr>
          <w:rFonts w:ascii="Arial" w:hAnsi="Arial" w:cs="Arial"/>
          <w:color w:val="000000"/>
          <w:sz w:val="22"/>
          <w:szCs w:val="22"/>
        </w:rPr>
      </w:pPr>
      <w:r>
        <w:t xml:space="preserve">Low cost </w:t>
      </w:r>
      <w:proofErr w:type="spellStart"/>
      <w:r>
        <w:t>RCTs</w:t>
      </w:r>
      <w:proofErr w:type="spellEnd"/>
      <w:r>
        <w:t xml:space="preserve"> are a growing feature of the policy evaluation landscape in the United Kingdom and the United States. The Behavioural Insights Team within the UK Cabinet Office advises it has conducted </w:t>
      </w:r>
      <w:proofErr w:type="spellStart"/>
      <w:r>
        <w:t>RCTs</w:t>
      </w:r>
      <w:proofErr w:type="spellEnd"/>
      <w:r>
        <w:t xml:space="preserve"> of different public sector programs at little additional cost to those already incurred through running </w:t>
      </w:r>
      <w:r>
        <w:lastRenderedPageBreak/>
        <w:t>the program as usual and the routine monitoring of outcomes.</w:t>
      </w:r>
      <w:r w:rsidR="00ED6446">
        <w:rPr>
          <w:rStyle w:val="FootnoteReference"/>
          <w:color w:val="000000"/>
          <w:sz w:val="22"/>
          <w:szCs w:val="22"/>
        </w:rPr>
        <w:footnoteReference w:id="79"/>
      </w:r>
      <w:r>
        <w:t xml:space="preserve"> </w:t>
      </w:r>
      <w:r w:rsidR="00C0419D" w:rsidRPr="00601741">
        <w:t xml:space="preserve">Within education, the UK </w:t>
      </w:r>
      <w:proofErr w:type="spellStart"/>
      <w:r w:rsidR="00C0419D" w:rsidRPr="00601741">
        <w:t>EEF’s</w:t>
      </w:r>
      <w:proofErr w:type="spellEnd"/>
      <w:r w:rsidR="00C0419D" w:rsidRPr="00601741">
        <w:t xml:space="preserve"> experience is highly instructive. It has made more than 100 grants to education projects since its inception in 2011, most of which have been evaluated by </w:t>
      </w:r>
      <w:proofErr w:type="spellStart"/>
      <w:r w:rsidR="00C0419D" w:rsidRPr="00601741">
        <w:t>RCTs</w:t>
      </w:r>
      <w:proofErr w:type="spellEnd"/>
      <w:r w:rsidR="00C0419D" w:rsidRPr="00601741">
        <w:t xml:space="preserve">. The grant values, including both program and evaluation costs, have ranged widely, from </w:t>
      </w:r>
      <w:proofErr w:type="spellStart"/>
      <w:r w:rsidR="00C0419D" w:rsidRPr="00601741">
        <w:t>GBP100,000</w:t>
      </w:r>
      <w:proofErr w:type="spellEnd"/>
      <w:r w:rsidR="00C0419D" w:rsidRPr="00601741">
        <w:t xml:space="preserve"> to more than </w:t>
      </w:r>
      <w:proofErr w:type="spellStart"/>
      <w:r w:rsidR="00C0419D" w:rsidRPr="00601741">
        <w:t>GBP1,000,000</w:t>
      </w:r>
      <w:proofErr w:type="spellEnd"/>
      <w:r w:rsidR="00C0419D" w:rsidRPr="00601741">
        <w:t xml:space="preserve">. Evaluation costs as a percentage of program costs range from 5% to more than 100%, with an overall average of about 15% across all of </w:t>
      </w:r>
      <w:proofErr w:type="spellStart"/>
      <w:r w:rsidR="00C0419D" w:rsidRPr="00601741">
        <w:t>EEF’s</w:t>
      </w:r>
      <w:proofErr w:type="spellEnd"/>
      <w:r w:rsidR="00C0419D" w:rsidRPr="00601741">
        <w:t xml:space="preserve"> trials.</w:t>
      </w:r>
      <w:r w:rsidR="00C0419D">
        <w:rPr>
          <w:rFonts w:ascii="Arial" w:hAnsi="Arial" w:cs="Arial"/>
          <w:color w:val="000000"/>
          <w:sz w:val="22"/>
          <w:szCs w:val="22"/>
        </w:rPr>
        <w:t xml:space="preserve"> </w:t>
      </w:r>
    </w:p>
    <w:p w14:paraId="46E8900B" w14:textId="0CBD0C21" w:rsidR="00CE6F73" w:rsidRPr="00324EEB" w:rsidRDefault="00CE6F73" w:rsidP="00601741">
      <w:r>
        <w:t xml:space="preserve">In the United States, the Coalition for Evidence-Based Policy has also argued strongly for the feasibility of robust, low cost </w:t>
      </w:r>
      <w:proofErr w:type="spellStart"/>
      <w:r>
        <w:t>RCTs</w:t>
      </w:r>
      <w:proofErr w:type="spellEnd"/>
      <w:r>
        <w:t xml:space="preserve">, pointing to a number of successful examples of </w:t>
      </w:r>
      <w:proofErr w:type="spellStart"/>
      <w:r>
        <w:t>RCTs</w:t>
      </w:r>
      <w:proofErr w:type="spellEnd"/>
      <w:r>
        <w:t xml:space="preserve"> evaluating programs in the early childhood, school education and criminal justice sectors that ranged in cost from $</w:t>
      </w:r>
      <w:proofErr w:type="spellStart"/>
      <w:r>
        <w:t>US50,000</w:t>
      </w:r>
      <w:proofErr w:type="spellEnd"/>
      <w:r>
        <w:t xml:space="preserve"> to $</w:t>
      </w:r>
      <w:proofErr w:type="spellStart"/>
      <w:r>
        <w:t>US300,000</w:t>
      </w:r>
      <w:proofErr w:type="spellEnd"/>
      <w:r>
        <w:t xml:space="preserve"> each.</w:t>
      </w:r>
      <w:r w:rsidR="00ED6446">
        <w:rPr>
          <w:rStyle w:val="FootnoteReference"/>
          <w:color w:val="000000"/>
          <w:sz w:val="22"/>
          <w:szCs w:val="22"/>
        </w:rPr>
        <w:footnoteReference w:id="80"/>
      </w:r>
      <w:r w:rsidR="00C0419D">
        <w:br/>
      </w:r>
      <w:r w:rsidR="00C0419D">
        <w:br/>
      </w:r>
      <w:r w:rsidR="00C0419D" w:rsidRPr="00601741">
        <w:t>In the recent Australian context, for the first two grants in Evidence for Learning’s Learning Impact Fund, evaluation costs are approximately 25% of program delivery costs.</w:t>
      </w:r>
    </w:p>
    <w:p w14:paraId="4050A66C" w14:textId="77777777" w:rsidR="003E79FF" w:rsidRDefault="003E79FF" w:rsidP="00CE6F73">
      <w:pPr>
        <w:pStyle w:val="NormalWeb"/>
        <w:spacing w:after="0"/>
        <w:rPr>
          <w:rFonts w:ascii="Arial" w:hAnsi="Arial" w:cs="Arial"/>
          <w:color w:val="000000"/>
          <w:sz w:val="22"/>
          <w:szCs w:val="22"/>
        </w:rPr>
      </w:pPr>
    </w:p>
    <w:p w14:paraId="04C4E1C2" w14:textId="537DC458" w:rsidR="00F67811" w:rsidRDefault="00BA3E89" w:rsidP="00601741">
      <w:r>
        <w:rPr>
          <w:rStyle w:val="FootnoteReference"/>
          <w:color w:val="000000"/>
          <w:sz w:val="22"/>
          <w:szCs w:val="22"/>
        </w:rPr>
        <w:footnoteReference w:id="81"/>
      </w:r>
      <w:r w:rsidR="00F67811">
        <w:rPr>
          <w:noProof/>
          <w:lang w:eastAsia="en-AU"/>
        </w:rPr>
        <mc:AlternateContent>
          <mc:Choice Requires="wps">
            <w:drawing>
              <wp:anchor distT="45720" distB="45720" distL="114300" distR="114300" simplePos="0" relativeHeight="251678720" behindDoc="0" locked="0" layoutInCell="1" allowOverlap="1" wp14:anchorId="5439CB52" wp14:editId="2DD27811">
                <wp:simplePos x="0" y="0"/>
                <wp:positionH relativeFrom="margin">
                  <wp:posOffset>30480</wp:posOffset>
                </wp:positionH>
                <wp:positionV relativeFrom="paragraph">
                  <wp:posOffset>0</wp:posOffset>
                </wp:positionV>
                <wp:extent cx="6050280" cy="3794760"/>
                <wp:effectExtent l="0" t="0" r="762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3794760"/>
                        </a:xfrm>
                        <a:prstGeom prst="rect">
                          <a:avLst/>
                        </a:prstGeom>
                        <a:solidFill>
                          <a:schemeClr val="accent2">
                            <a:lumMod val="20000"/>
                            <a:lumOff val="80000"/>
                          </a:schemeClr>
                        </a:solidFill>
                        <a:ln w="9525">
                          <a:noFill/>
                          <a:miter lim="800000"/>
                          <a:headEnd/>
                          <a:tailEnd/>
                        </a:ln>
                      </wps:spPr>
                      <wps:txbx>
                        <w:txbxContent>
                          <w:p w14:paraId="01FB9ACB" w14:textId="77777777" w:rsidR="00051F36" w:rsidRPr="00AD0FC8" w:rsidRDefault="00051F36" w:rsidP="00F67811">
                            <w:pPr>
                              <w:pStyle w:val="Heading4"/>
                              <w:rPr>
                                <w:i/>
                              </w:rPr>
                            </w:pPr>
                            <w:r w:rsidRPr="00AD0FC8">
                              <w:rPr>
                                <w:i/>
                              </w:rPr>
                              <w:t xml:space="preserve">An example of a low-cost </w:t>
                            </w:r>
                            <w:proofErr w:type="spellStart"/>
                            <w:r w:rsidRPr="00AD0FC8">
                              <w:rPr>
                                <w:i/>
                              </w:rPr>
                              <w:t>RCT</w:t>
                            </w:r>
                            <w:proofErr w:type="spellEnd"/>
                            <w:r w:rsidRPr="00AD0FC8">
                              <w:rPr>
                                <w:i/>
                              </w:rPr>
                              <w:t>: the New York City Teacher Incentive Program</w:t>
                            </w:r>
                          </w:p>
                          <w:p w14:paraId="5546C143" w14:textId="77777777" w:rsidR="00051F36" w:rsidRDefault="00051F36" w:rsidP="00F67811">
                            <w:pPr>
                              <w:pStyle w:val="NormalWeb"/>
                              <w:spacing w:after="0"/>
                              <w:rPr>
                                <w:rFonts w:ascii="Arial" w:hAnsi="Arial" w:cs="Arial"/>
                                <w:color w:val="000000"/>
                                <w:sz w:val="22"/>
                                <w:szCs w:val="22"/>
                              </w:rPr>
                            </w:pPr>
                          </w:p>
                          <w:p w14:paraId="2162ED79" w14:textId="77777777" w:rsidR="00051F36" w:rsidRDefault="00051F36" w:rsidP="00F67811">
                            <w:r>
                              <w:t>Between 2007 and 2010, the New York City Department of Education and the United Federation of Teachers implemented a $</w:t>
                            </w:r>
                            <w:proofErr w:type="spellStart"/>
                            <w:r>
                              <w:t>US75</w:t>
                            </w:r>
                            <w:proofErr w:type="spellEnd"/>
                            <w:r>
                              <w:t xml:space="preserve"> million teacher incentive program in low performing New York City schools. The effectiveness of the program in improving student outcomes was simultaneously evaluated using a low cost RCT. </w:t>
                            </w:r>
                          </w:p>
                          <w:p w14:paraId="6B3D1086" w14:textId="77777777" w:rsidR="00051F36" w:rsidRDefault="00051F36" w:rsidP="00F67811">
                            <w:r>
                              <w:t>The teacher incentive program provided annual bonuses to schools that improved student outcomes across a range of measures, such as academic performance, graduation rates and attendance. Schools that met the improvement thresholds across all target measures received a bonus of $</w:t>
                            </w:r>
                            <w:proofErr w:type="spellStart"/>
                            <w:r>
                              <w:t>US3000</w:t>
                            </w:r>
                            <w:proofErr w:type="spellEnd"/>
                            <w:r>
                              <w:t xml:space="preserve"> per teacher (equivalent to $</w:t>
                            </w:r>
                            <w:proofErr w:type="spellStart"/>
                            <w:r>
                              <w:t>US180,000</w:t>
                            </w:r>
                            <w:proofErr w:type="spellEnd"/>
                            <w:r>
                              <w:t xml:space="preserve"> for the average school) to be distributed as determined by the school. Schools that met 75% of the target measures received 50% of the total bonus available. </w:t>
                            </w:r>
                          </w:p>
                          <w:p w14:paraId="20AFCF28" w14:textId="77777777" w:rsidR="00051F36" w:rsidRDefault="00051F36" w:rsidP="00F67811">
                            <w:r>
                              <w:t xml:space="preserve">The </w:t>
                            </w:r>
                            <w:proofErr w:type="spellStart"/>
                            <w:r>
                              <w:t>RCT</w:t>
                            </w:r>
                            <w:proofErr w:type="spellEnd"/>
                            <w:r>
                              <w:t xml:space="preserve"> evaluation sampled 396 low performing New York City schools. Schools were assigned to the intervention group or to a control group via a lottery. The </w:t>
                            </w:r>
                            <w:proofErr w:type="spellStart"/>
                            <w:r>
                              <w:t>RCT</w:t>
                            </w:r>
                            <w:proofErr w:type="spellEnd"/>
                            <w:r>
                              <w:t xml:space="preserve"> relied on existing administrative datasets, such as student test scores already collected by the state, to evaluate the impact of the program on student outcomes. The trial found the incentive program had no or negligible impact on student achievement, attendance, graduation rates or behaviour and the program was subsequently discontinued. </w:t>
                            </w:r>
                          </w:p>
                          <w:p w14:paraId="0BF5E8F8" w14:textId="56B2B117" w:rsidR="00051F36" w:rsidRDefault="00051F36" w:rsidP="00601741">
                            <w:pPr>
                              <w:rPr>
                                <w:rFonts w:ascii="Arial" w:hAnsi="Arial" w:cs="Arial"/>
                                <w:color w:val="000000"/>
                                <w:sz w:val="22"/>
                                <w:szCs w:val="22"/>
                              </w:rPr>
                            </w:pPr>
                            <w:r>
                              <w:t xml:space="preserve">By using random assignment to intervention and control groups to test the pilot program as well as existing administrative data sets to evaluate outcomes, the cost of the </w:t>
                            </w:r>
                            <w:proofErr w:type="spellStart"/>
                            <w:r>
                              <w:t>RCT</w:t>
                            </w:r>
                            <w:proofErr w:type="spellEnd"/>
                            <w:r>
                              <w:t xml:space="preserve"> was kept to around $</w:t>
                            </w:r>
                            <w:proofErr w:type="spellStart"/>
                            <w:r>
                              <w:t>US50,000</w:t>
                            </w:r>
                            <w:proofErr w:type="spellEnd"/>
                            <w:r>
                              <w:t>.</w:t>
                            </w:r>
                          </w:p>
                          <w:p w14:paraId="73F71C20" w14:textId="77777777" w:rsidR="00051F36" w:rsidRDefault="00051F36" w:rsidP="00F67811">
                            <w:pPr>
                              <w:pStyle w:val="NormalWeb"/>
                              <w:spacing w:after="0"/>
                              <w:rPr>
                                <w:rFonts w:ascii="Arial" w:hAnsi="Arial" w:cs="Arial"/>
                                <w:color w:val="000000"/>
                                <w:sz w:val="22"/>
                                <w:szCs w:val="22"/>
                              </w:rPr>
                            </w:pPr>
                          </w:p>
                          <w:p w14:paraId="69FEF401" w14:textId="77777777" w:rsidR="00051F36" w:rsidRDefault="00051F36" w:rsidP="00F67811">
                            <w:pPr>
                              <w:pStyle w:val="NormalWeb"/>
                              <w:spacing w:after="0"/>
                              <w:rPr>
                                <w:rFonts w:ascii="Arial" w:hAnsi="Arial" w:cs="Arial"/>
                                <w:color w:val="000000"/>
                                <w:sz w:val="22"/>
                                <w:szCs w:val="22"/>
                              </w:rPr>
                            </w:pPr>
                          </w:p>
                          <w:p w14:paraId="74E3B848" w14:textId="77777777" w:rsidR="00051F36" w:rsidRDefault="00051F36" w:rsidP="00F67811">
                            <w:pPr>
                              <w:pStyle w:val="NormalWeb"/>
                              <w:spacing w:after="0"/>
                              <w:rPr>
                                <w:rFonts w:ascii="Arial" w:hAnsi="Arial" w:cs="Arial"/>
                                <w:color w:val="000000"/>
                                <w:sz w:val="22"/>
                                <w:szCs w:val="22"/>
                              </w:rPr>
                            </w:pPr>
                          </w:p>
                          <w:p w14:paraId="5F218DE7" w14:textId="77777777" w:rsidR="00051F36" w:rsidRDefault="00051F36" w:rsidP="00F67811">
                            <w:pPr>
                              <w:pStyle w:val="NormalWeb"/>
                              <w:spacing w:after="0"/>
                              <w:rPr>
                                <w:rFonts w:ascii="Arial" w:hAnsi="Arial" w:cs="Arial"/>
                                <w:color w:val="000000"/>
                                <w:sz w:val="22"/>
                                <w:szCs w:val="22"/>
                              </w:rPr>
                            </w:pPr>
                          </w:p>
                          <w:p w14:paraId="254DB88D" w14:textId="77777777" w:rsidR="00051F36" w:rsidRDefault="00051F36" w:rsidP="00F67811">
                            <w:pPr>
                              <w:pStyle w:val="NormalWeb"/>
                              <w:spacing w:after="0"/>
                              <w:rPr>
                                <w:rFonts w:ascii="Arial" w:hAnsi="Arial" w:cs="Arial"/>
                                <w:color w:val="000000"/>
                                <w:sz w:val="22"/>
                                <w:szCs w:val="22"/>
                              </w:rPr>
                            </w:pPr>
                          </w:p>
                          <w:p w14:paraId="31ADC6B3" w14:textId="77777777" w:rsidR="00051F36" w:rsidRPr="009C44A3" w:rsidRDefault="00051F36" w:rsidP="00F67811">
                            <w:pPr>
                              <w:pStyle w:val="NormalWeb"/>
                              <w:spacing w:after="0"/>
                              <w:rPr>
                                <w:rFonts w:ascii="Arial" w:hAnsi="Arial" w:cs="Arial"/>
                                <w:color w:val="000000"/>
                                <w:sz w:val="22"/>
                                <w:szCs w:val="22"/>
                              </w:rPr>
                            </w:pPr>
                          </w:p>
                          <w:p w14:paraId="72AC93D2" w14:textId="77777777" w:rsidR="00051F36" w:rsidRPr="00136F01" w:rsidRDefault="00051F36" w:rsidP="00F67811"/>
                          <w:p w14:paraId="61AFD47A" w14:textId="77777777" w:rsidR="00051F36" w:rsidRDefault="00051F36" w:rsidP="00F67811">
                            <w:pPr>
                              <w:spacing w:before="120" w:after="120" w:line="288" w:lineRule="auto"/>
                            </w:pPr>
                            <w:r>
                              <w:t xml:space="preserve"> </w:t>
                            </w:r>
                          </w:p>
                          <w:p w14:paraId="31772975" w14:textId="77777777" w:rsidR="00051F36" w:rsidRDefault="00051F36" w:rsidP="00F678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39CB52" id="_x0000_s1029" type="#_x0000_t202" style="position:absolute;margin-left:2.4pt;margin-top:0;width:476.4pt;height:298.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" fillcolor="#efede4 [661]" stroked="f">
                <v:textbox>
                  <w:txbxContent>
                    <w:p w14:paraId="01FB9ACB" w14:textId="77777777" w:rsidR="00051F36" w:rsidRPr="00AD0FC8" w:rsidRDefault="00051F36" w:rsidP="00F67811">
                      <w:pPr>
                        <w:pStyle w:val="Heading4"/>
                        <w:rPr>
                          <w:i/>
                        </w:rPr>
                      </w:pPr>
                      <w:r w:rsidRPr="00AD0FC8">
                        <w:rPr>
                          <w:i/>
                        </w:rPr>
                        <w:t>An example of a low-cost RCT: the New York City Teacher Incentive Program</w:t>
                      </w:r>
                    </w:p>
                    <w:p w14:paraId="5546C143" w14:textId="77777777" w:rsidR="00051F36" w:rsidRDefault="00051F36" w:rsidP="00F67811">
                      <w:pPr>
                        <w:pStyle w:val="NormalWeb"/>
                        <w:spacing w:after="0"/>
                        <w:rPr>
                          <w:rFonts w:ascii="Arial" w:hAnsi="Arial" w:cs="Arial"/>
                          <w:color w:val="000000"/>
                          <w:sz w:val="22"/>
                          <w:szCs w:val="22"/>
                        </w:rPr>
                      </w:pPr>
                    </w:p>
                    <w:p w14:paraId="2162ED79" w14:textId="77777777" w:rsidR="00051F36" w:rsidRDefault="00051F36" w:rsidP="00F67811">
                      <w:r>
                        <w:t xml:space="preserve">Between 2007 and 2010, the New York City Department of Education and the United Federation of Teachers implemented a $US75 million teacher incentive program in low performing New York City schools. The effectiveness of the program in improving student outcomes was simultaneously evaluated using a low cost RCT. </w:t>
                      </w:r>
                    </w:p>
                    <w:p w14:paraId="6B3D1086" w14:textId="77777777" w:rsidR="00051F36" w:rsidRDefault="00051F36" w:rsidP="00F67811">
                      <w:r>
                        <w:t xml:space="preserve">The teacher incentive program provided annual bonuses to schools that improved student outcomes across a range of measures, such as academic performance, graduation rates and attendance. Schools that met the improvement thresholds across all target measures received a bonus of $US3000 per teacher (equivalent to $US180,000 for the average school) to be distributed as determined by the school. Schools that met 75% of the target measures received 50% of the total bonus available. </w:t>
                      </w:r>
                    </w:p>
                    <w:p w14:paraId="20AFCF28" w14:textId="77777777" w:rsidR="00051F36" w:rsidRDefault="00051F36" w:rsidP="00F67811">
                      <w:r>
                        <w:t xml:space="preserve">The RCT evaluation sampled 396 low performing New York City schools. Schools were assigned to the intervention group or to a control group via a lottery. The RCT relied on existing administrative datasets, such as student test scores already collected by the state, to evaluate the impact of the program on student outcomes. The trial found the incentive program had no or negligible impact on student achievement, attendance, graduation rates or behaviour and the program was subsequently discontinued. </w:t>
                      </w:r>
                    </w:p>
                    <w:p w14:paraId="0BF5E8F8" w14:textId="56B2B117" w:rsidR="00051F36" w:rsidRDefault="00051F36" w:rsidP="00601741">
                      <w:pPr>
                        <w:rPr>
                          <w:rFonts w:ascii="Arial" w:hAnsi="Arial" w:cs="Arial"/>
                          <w:color w:val="000000"/>
                          <w:sz w:val="22"/>
                          <w:szCs w:val="22"/>
                        </w:rPr>
                      </w:pPr>
                      <w:r>
                        <w:t>By using random assignment to intervention and control groups to test the pilot program as well as existing administrative data sets to evaluate outcomes, the cost of the RCT was kept to around $US50,000.</w:t>
                      </w:r>
                    </w:p>
                    <w:p w14:paraId="73F71C20" w14:textId="77777777" w:rsidR="00051F36" w:rsidRDefault="00051F36" w:rsidP="00F67811">
                      <w:pPr>
                        <w:pStyle w:val="NormalWeb"/>
                        <w:spacing w:after="0"/>
                        <w:rPr>
                          <w:rFonts w:ascii="Arial" w:hAnsi="Arial" w:cs="Arial"/>
                          <w:color w:val="000000"/>
                          <w:sz w:val="22"/>
                          <w:szCs w:val="22"/>
                        </w:rPr>
                      </w:pPr>
                    </w:p>
                    <w:p w14:paraId="69FEF401" w14:textId="77777777" w:rsidR="00051F36" w:rsidRDefault="00051F36" w:rsidP="00F67811">
                      <w:pPr>
                        <w:pStyle w:val="NormalWeb"/>
                        <w:spacing w:after="0"/>
                        <w:rPr>
                          <w:rFonts w:ascii="Arial" w:hAnsi="Arial" w:cs="Arial"/>
                          <w:color w:val="000000"/>
                          <w:sz w:val="22"/>
                          <w:szCs w:val="22"/>
                        </w:rPr>
                      </w:pPr>
                    </w:p>
                    <w:p w14:paraId="74E3B848" w14:textId="77777777" w:rsidR="00051F36" w:rsidRDefault="00051F36" w:rsidP="00F67811">
                      <w:pPr>
                        <w:pStyle w:val="NormalWeb"/>
                        <w:spacing w:after="0"/>
                        <w:rPr>
                          <w:rFonts w:ascii="Arial" w:hAnsi="Arial" w:cs="Arial"/>
                          <w:color w:val="000000"/>
                          <w:sz w:val="22"/>
                          <w:szCs w:val="22"/>
                        </w:rPr>
                      </w:pPr>
                    </w:p>
                    <w:p w14:paraId="5F218DE7" w14:textId="77777777" w:rsidR="00051F36" w:rsidRDefault="00051F36" w:rsidP="00F67811">
                      <w:pPr>
                        <w:pStyle w:val="NormalWeb"/>
                        <w:spacing w:after="0"/>
                        <w:rPr>
                          <w:rFonts w:ascii="Arial" w:hAnsi="Arial" w:cs="Arial"/>
                          <w:color w:val="000000"/>
                          <w:sz w:val="22"/>
                          <w:szCs w:val="22"/>
                        </w:rPr>
                      </w:pPr>
                    </w:p>
                    <w:p w14:paraId="254DB88D" w14:textId="77777777" w:rsidR="00051F36" w:rsidRDefault="00051F36" w:rsidP="00F67811">
                      <w:pPr>
                        <w:pStyle w:val="NormalWeb"/>
                        <w:spacing w:after="0"/>
                        <w:rPr>
                          <w:rFonts w:ascii="Arial" w:hAnsi="Arial" w:cs="Arial"/>
                          <w:color w:val="000000"/>
                          <w:sz w:val="22"/>
                          <w:szCs w:val="22"/>
                        </w:rPr>
                      </w:pPr>
                    </w:p>
                    <w:p w14:paraId="31ADC6B3" w14:textId="77777777" w:rsidR="00051F36" w:rsidRPr="009C44A3" w:rsidRDefault="00051F36" w:rsidP="00F67811">
                      <w:pPr>
                        <w:pStyle w:val="NormalWeb"/>
                        <w:spacing w:after="0"/>
                        <w:rPr>
                          <w:rFonts w:ascii="Arial" w:hAnsi="Arial" w:cs="Arial"/>
                          <w:color w:val="000000"/>
                          <w:sz w:val="22"/>
                          <w:szCs w:val="22"/>
                        </w:rPr>
                      </w:pPr>
                    </w:p>
                    <w:p w14:paraId="72AC93D2" w14:textId="77777777" w:rsidR="00051F36" w:rsidRPr="00136F01" w:rsidRDefault="00051F36" w:rsidP="00F67811"/>
                    <w:p w14:paraId="61AFD47A" w14:textId="77777777" w:rsidR="00051F36" w:rsidRDefault="00051F36" w:rsidP="00F67811">
                      <w:pPr>
                        <w:spacing w:before="120" w:after="120" w:line="288" w:lineRule="auto"/>
                      </w:pPr>
                      <w:r>
                        <w:t xml:space="preserve"> </w:t>
                      </w:r>
                    </w:p>
                    <w:p w14:paraId="31772975" w14:textId="77777777" w:rsidR="00051F36" w:rsidRDefault="00051F36" w:rsidP="00F67811"/>
                  </w:txbxContent>
                </v:textbox>
                <w10:wrap type="square" anchorx="margin"/>
              </v:shape>
            </w:pict>
          </mc:Fallback>
        </mc:AlternateContent>
      </w:r>
    </w:p>
    <w:p w14:paraId="090622BB" w14:textId="4B86F7F3" w:rsidR="00CE6F73" w:rsidRPr="00324EEB" w:rsidRDefault="00CE6F73" w:rsidP="00601741">
      <w:pPr>
        <w:rPr>
          <w:szCs w:val="20"/>
        </w:rPr>
      </w:pPr>
      <w:r w:rsidRPr="00601741">
        <w:rPr>
          <w:rFonts w:ascii="Arial" w:hAnsi="Arial" w:cs="Arial"/>
          <w:color w:val="000000"/>
          <w:szCs w:val="20"/>
        </w:rPr>
        <w:lastRenderedPageBreak/>
        <w:t xml:space="preserve">In some instances, the costs of conducting a robust </w:t>
      </w:r>
      <w:proofErr w:type="spellStart"/>
      <w:r w:rsidRPr="00601741">
        <w:rPr>
          <w:rFonts w:ascii="Arial" w:hAnsi="Arial" w:cs="Arial"/>
          <w:color w:val="000000"/>
          <w:szCs w:val="20"/>
        </w:rPr>
        <w:t>RCT</w:t>
      </w:r>
      <w:proofErr w:type="spellEnd"/>
      <w:r w:rsidRPr="00601741">
        <w:rPr>
          <w:rFonts w:ascii="Arial" w:hAnsi="Arial" w:cs="Arial"/>
          <w:color w:val="000000"/>
          <w:szCs w:val="20"/>
        </w:rPr>
        <w:t xml:space="preserve"> will be significantly higher, particularly if the intervention would not otherwise be piloted or if the instruments required to assess outcomes need to </w:t>
      </w:r>
      <w:r w:rsidR="00C0419D">
        <w:rPr>
          <w:rFonts w:ascii="Arial" w:hAnsi="Arial" w:cs="Arial"/>
          <w:color w:val="000000"/>
          <w:szCs w:val="20"/>
        </w:rPr>
        <w:t xml:space="preserve">be </w:t>
      </w:r>
      <w:r w:rsidRPr="00601741">
        <w:rPr>
          <w:rFonts w:ascii="Arial" w:hAnsi="Arial" w:cs="Arial"/>
          <w:color w:val="000000"/>
          <w:szCs w:val="20"/>
        </w:rPr>
        <w:t xml:space="preserve">developed from scratch or are time intensive to administer. However, even in these circumstances, an </w:t>
      </w:r>
      <w:proofErr w:type="spellStart"/>
      <w:r w:rsidRPr="00601741">
        <w:rPr>
          <w:rFonts w:ascii="Arial" w:hAnsi="Arial" w:cs="Arial"/>
          <w:color w:val="000000"/>
          <w:szCs w:val="20"/>
        </w:rPr>
        <w:t>RCT</w:t>
      </w:r>
      <w:proofErr w:type="spellEnd"/>
      <w:r w:rsidRPr="00601741">
        <w:rPr>
          <w:rFonts w:ascii="Arial" w:hAnsi="Arial" w:cs="Arial"/>
          <w:color w:val="000000"/>
          <w:szCs w:val="20"/>
        </w:rPr>
        <w:t xml:space="preserve"> is often still likely to be a cost effective option especially if the impact on student learning is expected to be relatively large and knowing this would build a stronger case for diverting resources away from more popular but less effective programs. Further, where </w:t>
      </w:r>
      <w:proofErr w:type="spellStart"/>
      <w:r w:rsidRPr="00601741">
        <w:rPr>
          <w:rFonts w:ascii="Arial" w:hAnsi="Arial" w:cs="Arial"/>
          <w:color w:val="000000"/>
          <w:szCs w:val="20"/>
        </w:rPr>
        <w:t>RCTs</w:t>
      </w:r>
      <w:proofErr w:type="spellEnd"/>
      <w:r w:rsidRPr="00601741">
        <w:rPr>
          <w:rFonts w:ascii="Arial" w:hAnsi="Arial" w:cs="Arial"/>
          <w:color w:val="000000"/>
          <w:szCs w:val="20"/>
        </w:rPr>
        <w:t xml:space="preserve"> demonstrate a weak or negative impact on student learning leading to the cessation of a program that is widely used, the value of the savings that result (both in terms of direct cost as well as teacher and student time) can be significant.</w:t>
      </w:r>
      <w:r w:rsidR="00ED6446" w:rsidRPr="00601741">
        <w:rPr>
          <w:rStyle w:val="FootnoteReference"/>
          <w:color w:val="000000"/>
          <w:szCs w:val="20"/>
        </w:rPr>
        <w:footnoteReference w:id="82"/>
      </w:r>
      <w:r w:rsidRPr="00601741">
        <w:rPr>
          <w:rFonts w:ascii="Arial" w:hAnsi="Arial" w:cs="Arial"/>
          <w:color w:val="000000"/>
          <w:szCs w:val="20"/>
        </w:rPr>
        <w:t xml:space="preserve"> In this regard, as suggested by the UK Cabinet Office, it is better to ask </w:t>
      </w:r>
      <w:r w:rsidRPr="00601741">
        <w:rPr>
          <w:rFonts w:ascii="Arial" w:hAnsi="Arial" w:cs="Arial"/>
          <w:i/>
          <w:iCs/>
          <w:color w:val="000000"/>
          <w:szCs w:val="20"/>
        </w:rPr>
        <w:t xml:space="preserve">what the costs are of not conducting an </w:t>
      </w:r>
      <w:proofErr w:type="spellStart"/>
      <w:r w:rsidRPr="00601741">
        <w:rPr>
          <w:rFonts w:ascii="Arial" w:hAnsi="Arial" w:cs="Arial"/>
          <w:i/>
          <w:iCs/>
          <w:color w:val="000000"/>
          <w:szCs w:val="20"/>
        </w:rPr>
        <w:t>RCT</w:t>
      </w:r>
      <w:proofErr w:type="spellEnd"/>
      <w:r w:rsidRPr="00601741">
        <w:rPr>
          <w:rFonts w:ascii="Arial" w:hAnsi="Arial" w:cs="Arial"/>
          <w:color w:val="000000"/>
          <w:szCs w:val="20"/>
        </w:rPr>
        <w:t xml:space="preserve"> - that is, how much money will be wasted if an intervention is implemented that has no benefit on student learning.</w:t>
      </w:r>
      <w:r w:rsidR="00ED6446" w:rsidRPr="00601741">
        <w:rPr>
          <w:rStyle w:val="FootnoteReference"/>
          <w:color w:val="000000"/>
          <w:szCs w:val="20"/>
        </w:rPr>
        <w:footnoteReference w:id="83"/>
      </w:r>
    </w:p>
    <w:p w14:paraId="00B2A487" w14:textId="6D945C71" w:rsidR="00CE6F73" w:rsidRPr="00601741" w:rsidRDefault="00CE6F73" w:rsidP="00CE6F73">
      <w:pPr>
        <w:pStyle w:val="NormalWeb"/>
        <w:spacing w:after="0"/>
        <w:rPr>
          <w:sz w:val="20"/>
          <w:szCs w:val="20"/>
        </w:rPr>
      </w:pPr>
      <w:r w:rsidRPr="00601741">
        <w:rPr>
          <w:rFonts w:ascii="Arial" w:hAnsi="Arial" w:cs="Arial"/>
          <w:color w:val="000000"/>
          <w:sz w:val="20"/>
          <w:szCs w:val="20"/>
        </w:rPr>
        <w:t xml:space="preserve">Robust </w:t>
      </w:r>
      <w:proofErr w:type="spellStart"/>
      <w:r w:rsidRPr="00601741">
        <w:rPr>
          <w:rFonts w:ascii="Arial" w:hAnsi="Arial" w:cs="Arial"/>
          <w:color w:val="000000"/>
          <w:sz w:val="20"/>
          <w:szCs w:val="20"/>
        </w:rPr>
        <w:t>RCTs</w:t>
      </w:r>
      <w:proofErr w:type="spellEnd"/>
      <w:r w:rsidRPr="00601741">
        <w:rPr>
          <w:rFonts w:ascii="Arial" w:hAnsi="Arial" w:cs="Arial"/>
          <w:color w:val="000000"/>
          <w:sz w:val="20"/>
          <w:szCs w:val="20"/>
        </w:rPr>
        <w:t xml:space="preserve"> are also likely to be more cost effective in the long run compared to other forms of program evaluation. As Cook (2002) notes,</w:t>
      </w:r>
      <w:r w:rsidR="00F67811" w:rsidRPr="00601741">
        <w:rPr>
          <w:rFonts w:ascii="Arial" w:hAnsi="Arial" w:cs="Arial"/>
          <w:color w:val="000000"/>
          <w:sz w:val="20"/>
          <w:szCs w:val="20"/>
        </w:rPr>
        <w:t xml:space="preserve"> </w:t>
      </w:r>
      <w:r w:rsidR="00462DC5">
        <w:rPr>
          <w:rFonts w:ascii="Arial" w:hAnsi="Arial" w:cs="Arial"/>
          <w:color w:val="000000"/>
          <w:sz w:val="20"/>
          <w:szCs w:val="20"/>
        </w:rPr>
        <w:t>‘</w:t>
      </w:r>
      <w:r w:rsidRPr="00601741">
        <w:rPr>
          <w:rFonts w:ascii="Arial" w:hAnsi="Arial" w:cs="Arial"/>
          <w:color w:val="000000"/>
          <w:sz w:val="20"/>
          <w:szCs w:val="20"/>
        </w:rPr>
        <w:t>being more efficient about reducing causal uncertainty, fewer [experiments] are needed for the same degree of confidence in the causal conclusion drawn. This can still be true even if individual experiments turn out on average to be more expensive that their non-experimental counterparts</w:t>
      </w:r>
      <w:r w:rsidR="00462DC5">
        <w:rPr>
          <w:rFonts w:ascii="Arial" w:hAnsi="Arial" w:cs="Arial"/>
          <w:color w:val="000000"/>
          <w:sz w:val="20"/>
          <w:szCs w:val="20"/>
        </w:rPr>
        <w:t>’</w:t>
      </w:r>
      <w:r w:rsidRPr="00601741">
        <w:rPr>
          <w:rFonts w:ascii="Arial" w:hAnsi="Arial" w:cs="Arial"/>
          <w:color w:val="000000"/>
          <w:sz w:val="20"/>
          <w:szCs w:val="20"/>
        </w:rPr>
        <w:t>.</w:t>
      </w:r>
      <w:r w:rsidR="00ED6446" w:rsidRPr="00601741">
        <w:rPr>
          <w:rStyle w:val="FootnoteReference"/>
          <w:color w:val="000000"/>
          <w:sz w:val="20"/>
          <w:szCs w:val="20"/>
        </w:rPr>
        <w:footnoteReference w:id="84"/>
      </w:r>
    </w:p>
    <w:p w14:paraId="07E4F23D" w14:textId="77777777" w:rsidR="00102DF4" w:rsidRDefault="00102DF4" w:rsidP="00601741"/>
    <w:p w14:paraId="219D1E34" w14:textId="4CB2F16E" w:rsidR="00CE6F73" w:rsidRPr="00601741" w:rsidRDefault="00CE6F73" w:rsidP="00601741">
      <w:pPr>
        <w:rPr>
          <w:u w:val="single"/>
        </w:rPr>
      </w:pPr>
      <w:r w:rsidRPr="00601741">
        <w:rPr>
          <w:u w:val="single"/>
        </w:rPr>
        <w:t xml:space="preserve">Costs associated with increasing research use through effective translation and distribution of evidence of education program effectiveness </w:t>
      </w:r>
    </w:p>
    <w:p w14:paraId="1EDA8194" w14:textId="77777777" w:rsidR="00277D15" w:rsidRDefault="00277D15" w:rsidP="00CE6F73">
      <w:pPr>
        <w:pStyle w:val="NormalWeb"/>
        <w:spacing w:after="0"/>
        <w:rPr>
          <w:rFonts w:ascii="Arial" w:hAnsi="Arial" w:cs="Arial"/>
          <w:color w:val="000000"/>
          <w:sz w:val="22"/>
          <w:szCs w:val="22"/>
        </w:rPr>
      </w:pPr>
    </w:p>
    <w:p w14:paraId="43DCC3A3" w14:textId="77777777" w:rsidR="00CE6F73" w:rsidRPr="00601741" w:rsidRDefault="00CE6F73" w:rsidP="00CE6F73">
      <w:pPr>
        <w:pStyle w:val="NormalWeb"/>
        <w:spacing w:after="0"/>
        <w:rPr>
          <w:sz w:val="20"/>
          <w:szCs w:val="20"/>
        </w:rPr>
      </w:pPr>
      <w:r w:rsidRPr="00601741">
        <w:rPr>
          <w:color w:val="000000"/>
          <w:sz w:val="20"/>
          <w:szCs w:val="20"/>
        </w:rPr>
        <w:t xml:space="preserve">As we noted above, better evidence of education program effectiveness will not lead to better education outcomes for students unless the evidence is actually used by teachers, school leaders and others to do more of what works and less of what doesn’t. </w:t>
      </w:r>
    </w:p>
    <w:p w14:paraId="541CC680" w14:textId="77777777" w:rsidR="00BC3210" w:rsidRPr="00601741" w:rsidRDefault="00BC3210" w:rsidP="00CE6F73">
      <w:pPr>
        <w:pStyle w:val="NormalWeb"/>
        <w:spacing w:after="0"/>
        <w:rPr>
          <w:color w:val="000000"/>
          <w:sz w:val="20"/>
          <w:szCs w:val="20"/>
        </w:rPr>
      </w:pPr>
    </w:p>
    <w:p w14:paraId="40DD375B" w14:textId="0ABA482C" w:rsidR="00CE6F73" w:rsidRPr="00601741" w:rsidRDefault="00CE6F73" w:rsidP="00CE6F73">
      <w:pPr>
        <w:pStyle w:val="NormalWeb"/>
        <w:spacing w:after="0"/>
        <w:rPr>
          <w:sz w:val="20"/>
          <w:szCs w:val="20"/>
        </w:rPr>
      </w:pPr>
      <w:r w:rsidRPr="00601741">
        <w:rPr>
          <w:color w:val="000000"/>
          <w:sz w:val="20"/>
          <w:szCs w:val="20"/>
        </w:rPr>
        <w:t>There is substantial research that shows that changing practice is challenging for teachers as well as other professionals.</w:t>
      </w:r>
      <w:r w:rsidR="00ED6446" w:rsidRPr="00601741">
        <w:rPr>
          <w:rStyle w:val="FootnoteReference"/>
          <w:color w:val="000000"/>
          <w:sz w:val="20"/>
          <w:szCs w:val="20"/>
        </w:rPr>
        <w:footnoteReference w:id="85"/>
      </w:r>
      <w:r w:rsidRPr="00601741">
        <w:rPr>
          <w:color w:val="000000"/>
          <w:sz w:val="20"/>
          <w:szCs w:val="20"/>
        </w:rPr>
        <w:t xml:space="preserve"> There are many barriers to improving practice. Among these are:</w:t>
      </w:r>
    </w:p>
    <w:p w14:paraId="01A16372" w14:textId="6A99700D" w:rsidR="00CE6F73" w:rsidRPr="00601741" w:rsidRDefault="00462DC5" w:rsidP="00601741">
      <w:pPr>
        <w:pStyle w:val="NormalWeb"/>
        <w:numPr>
          <w:ilvl w:val="0"/>
          <w:numId w:val="72"/>
        </w:numPr>
        <w:spacing w:after="0" w:line="240" w:lineRule="auto"/>
        <w:textAlignment w:val="baseline"/>
        <w:rPr>
          <w:rFonts w:ascii="Arial" w:hAnsi="Arial" w:cs="Arial"/>
          <w:color w:val="000000"/>
          <w:sz w:val="20"/>
          <w:szCs w:val="20"/>
        </w:rPr>
      </w:pPr>
      <w:r>
        <w:rPr>
          <w:rFonts w:ascii="Arial" w:hAnsi="Arial" w:cs="Arial"/>
          <w:color w:val="000000"/>
          <w:sz w:val="20"/>
          <w:szCs w:val="20"/>
        </w:rPr>
        <w:t>L</w:t>
      </w:r>
      <w:r w:rsidR="00CE6F73" w:rsidRPr="00601741">
        <w:rPr>
          <w:rFonts w:ascii="Arial" w:hAnsi="Arial" w:cs="Arial"/>
          <w:color w:val="000000"/>
          <w:sz w:val="20"/>
          <w:szCs w:val="20"/>
        </w:rPr>
        <w:t xml:space="preserve">imited access to robust evidence about the effectiveness of different educational </w:t>
      </w:r>
      <w:r w:rsidR="00A24CCD">
        <w:rPr>
          <w:rFonts w:ascii="Arial" w:hAnsi="Arial" w:cs="Arial"/>
          <w:color w:val="000000"/>
          <w:sz w:val="20"/>
          <w:szCs w:val="20"/>
        </w:rPr>
        <w:t>approaches</w:t>
      </w:r>
      <w:r w:rsidR="00A24CCD" w:rsidRPr="00601741">
        <w:rPr>
          <w:rFonts w:ascii="Arial" w:hAnsi="Arial" w:cs="Arial"/>
          <w:color w:val="000000"/>
          <w:sz w:val="20"/>
          <w:szCs w:val="20"/>
        </w:rPr>
        <w:t xml:space="preserve"> </w:t>
      </w:r>
      <w:r w:rsidR="00CE6F73" w:rsidRPr="00601741">
        <w:rPr>
          <w:rFonts w:ascii="Arial" w:hAnsi="Arial" w:cs="Arial"/>
          <w:color w:val="000000"/>
          <w:sz w:val="20"/>
          <w:szCs w:val="20"/>
        </w:rPr>
        <w:t>and interventions or sound guidance on how to implement programs ‘on the ground’ (resulting in very high search costs for individual schools and teachers)</w:t>
      </w:r>
    </w:p>
    <w:p w14:paraId="2770C789" w14:textId="5AA39D1C" w:rsidR="00CE6F73" w:rsidRPr="00601741" w:rsidRDefault="00462DC5" w:rsidP="00601741">
      <w:pPr>
        <w:pStyle w:val="NormalWeb"/>
        <w:numPr>
          <w:ilvl w:val="0"/>
          <w:numId w:val="72"/>
        </w:numPr>
        <w:spacing w:after="0" w:line="240" w:lineRule="auto"/>
        <w:textAlignment w:val="baseline"/>
        <w:rPr>
          <w:rFonts w:ascii="Arial" w:hAnsi="Arial" w:cs="Arial"/>
          <w:color w:val="000000"/>
          <w:sz w:val="20"/>
          <w:szCs w:val="20"/>
        </w:rPr>
      </w:pPr>
      <w:r>
        <w:rPr>
          <w:rFonts w:ascii="Arial" w:hAnsi="Arial" w:cs="Arial"/>
          <w:color w:val="000000"/>
          <w:sz w:val="20"/>
          <w:szCs w:val="20"/>
        </w:rPr>
        <w:t>W</w:t>
      </w:r>
      <w:r w:rsidR="00CE6F73" w:rsidRPr="00601741">
        <w:rPr>
          <w:rFonts w:ascii="Arial" w:hAnsi="Arial" w:cs="Arial"/>
          <w:color w:val="000000"/>
          <w:sz w:val="20"/>
          <w:szCs w:val="20"/>
        </w:rPr>
        <w:t xml:space="preserve">eak system and school leadership practices that place a low priority on evaluating existing </w:t>
      </w:r>
      <w:r w:rsidR="00A24CCD">
        <w:rPr>
          <w:rFonts w:ascii="Arial" w:hAnsi="Arial" w:cs="Arial"/>
          <w:color w:val="000000"/>
          <w:sz w:val="20"/>
          <w:szCs w:val="20"/>
        </w:rPr>
        <w:t>approaches</w:t>
      </w:r>
      <w:r w:rsidR="00A24CCD" w:rsidRPr="00601741">
        <w:rPr>
          <w:rFonts w:ascii="Arial" w:hAnsi="Arial" w:cs="Arial"/>
          <w:color w:val="000000"/>
          <w:sz w:val="20"/>
          <w:szCs w:val="20"/>
        </w:rPr>
        <w:t xml:space="preserve"> </w:t>
      </w:r>
      <w:r w:rsidR="00CE6F73" w:rsidRPr="00601741">
        <w:rPr>
          <w:rFonts w:ascii="Arial" w:hAnsi="Arial" w:cs="Arial"/>
          <w:color w:val="000000"/>
          <w:sz w:val="20"/>
          <w:szCs w:val="20"/>
        </w:rPr>
        <w:t>and trialling alternates to improve student outcomes</w:t>
      </w:r>
    </w:p>
    <w:p w14:paraId="79033224" w14:textId="25B0E60F" w:rsidR="00ED6446" w:rsidRPr="00601741" w:rsidRDefault="00462DC5" w:rsidP="00601741">
      <w:pPr>
        <w:pStyle w:val="NormalWeb"/>
        <w:numPr>
          <w:ilvl w:val="0"/>
          <w:numId w:val="72"/>
        </w:numPr>
        <w:spacing w:after="0" w:line="240" w:lineRule="auto"/>
        <w:textAlignment w:val="baseline"/>
        <w:rPr>
          <w:rFonts w:ascii="Arial" w:hAnsi="Arial" w:cs="Arial"/>
          <w:color w:val="000000"/>
          <w:sz w:val="20"/>
          <w:szCs w:val="20"/>
        </w:rPr>
      </w:pPr>
      <w:r>
        <w:rPr>
          <w:rFonts w:ascii="Arial" w:hAnsi="Arial" w:cs="Arial"/>
          <w:color w:val="000000"/>
          <w:sz w:val="20"/>
          <w:szCs w:val="20"/>
        </w:rPr>
        <w:t>I</w:t>
      </w:r>
      <w:r w:rsidR="00CE6F73" w:rsidRPr="00601741">
        <w:rPr>
          <w:rFonts w:ascii="Arial" w:hAnsi="Arial" w:cs="Arial"/>
          <w:color w:val="000000"/>
          <w:sz w:val="20"/>
          <w:szCs w:val="20"/>
        </w:rPr>
        <w:t>nsufficient time, resources, training and peer collaboration to support teachers to improve their p</w:t>
      </w:r>
      <w:r w:rsidR="00ED6446" w:rsidRPr="00601741">
        <w:rPr>
          <w:rFonts w:ascii="Arial" w:hAnsi="Arial" w:cs="Arial"/>
          <w:color w:val="000000"/>
          <w:sz w:val="20"/>
          <w:szCs w:val="20"/>
        </w:rPr>
        <w:t>ractice by adopting new approaches</w:t>
      </w:r>
      <w:r w:rsidR="00ED6446" w:rsidRPr="00601741">
        <w:rPr>
          <w:rStyle w:val="FootnoteReference"/>
          <w:color w:val="000000"/>
          <w:sz w:val="20"/>
          <w:szCs w:val="20"/>
        </w:rPr>
        <w:footnoteReference w:id="86"/>
      </w:r>
    </w:p>
    <w:p w14:paraId="2CA39250" w14:textId="605B78F8" w:rsidR="00CE6F73" w:rsidRPr="00601741" w:rsidRDefault="00462DC5" w:rsidP="00601741">
      <w:pPr>
        <w:pStyle w:val="NormalWeb"/>
        <w:numPr>
          <w:ilvl w:val="0"/>
          <w:numId w:val="72"/>
        </w:numPr>
        <w:spacing w:after="0" w:line="240" w:lineRule="auto"/>
        <w:textAlignment w:val="baseline"/>
        <w:rPr>
          <w:rFonts w:ascii="Arial" w:hAnsi="Arial" w:cs="Arial"/>
          <w:color w:val="000000"/>
          <w:sz w:val="20"/>
          <w:szCs w:val="20"/>
        </w:rPr>
      </w:pPr>
      <w:r>
        <w:rPr>
          <w:rFonts w:ascii="Arial" w:hAnsi="Arial" w:cs="Arial"/>
          <w:color w:val="000000"/>
          <w:sz w:val="20"/>
          <w:szCs w:val="20"/>
        </w:rPr>
        <w:t>W</w:t>
      </w:r>
      <w:r w:rsidR="00ED6446" w:rsidRPr="00601741">
        <w:rPr>
          <w:rFonts w:ascii="Arial" w:hAnsi="Arial" w:cs="Arial"/>
          <w:color w:val="000000"/>
          <w:sz w:val="20"/>
          <w:szCs w:val="20"/>
        </w:rPr>
        <w:t>eak networks that do not encourage the flow of evidence to where it’s needed most</w:t>
      </w:r>
      <w:r w:rsidR="00CE6F73" w:rsidRPr="00601741">
        <w:rPr>
          <w:rFonts w:ascii="Arial" w:hAnsi="Arial" w:cs="Arial"/>
          <w:color w:val="000000"/>
          <w:sz w:val="20"/>
          <w:szCs w:val="20"/>
        </w:rPr>
        <w:t>.</w:t>
      </w:r>
      <w:r w:rsidR="00ED6446" w:rsidRPr="00601741">
        <w:rPr>
          <w:rFonts w:ascii="Arial" w:hAnsi="Arial" w:cs="Arial"/>
          <w:color w:val="000000"/>
          <w:sz w:val="20"/>
          <w:szCs w:val="20"/>
        </w:rPr>
        <w:t xml:space="preserve"> </w:t>
      </w:r>
      <w:r w:rsidR="00ED6446" w:rsidRPr="00601741">
        <w:rPr>
          <w:rStyle w:val="FootnoteReference"/>
          <w:color w:val="000000"/>
          <w:sz w:val="20"/>
          <w:szCs w:val="20"/>
        </w:rPr>
        <w:footnoteReference w:id="87"/>
      </w:r>
    </w:p>
    <w:p w14:paraId="3AAF54B9" w14:textId="77777777" w:rsidR="00BC3210" w:rsidRDefault="00BC3210" w:rsidP="00CE6F73">
      <w:pPr>
        <w:pStyle w:val="NormalWeb"/>
        <w:spacing w:after="0"/>
        <w:rPr>
          <w:rFonts w:ascii="Arial" w:hAnsi="Arial" w:cs="Arial"/>
          <w:color w:val="000000"/>
          <w:sz w:val="22"/>
          <w:szCs w:val="22"/>
        </w:rPr>
      </w:pPr>
    </w:p>
    <w:p w14:paraId="5DC1A0D0" w14:textId="1385C6B9" w:rsidR="00A24CCD" w:rsidRDefault="00CE6F73" w:rsidP="00CE6F73">
      <w:pPr>
        <w:pStyle w:val="NormalWeb"/>
        <w:spacing w:after="0"/>
        <w:rPr>
          <w:color w:val="000000"/>
          <w:sz w:val="20"/>
          <w:szCs w:val="20"/>
        </w:rPr>
      </w:pPr>
      <w:r w:rsidRPr="00601741">
        <w:rPr>
          <w:color w:val="000000"/>
          <w:sz w:val="20"/>
          <w:szCs w:val="20"/>
        </w:rPr>
        <w:t xml:space="preserve">Overcoming these barriers to actioning stronger evidence on what works will require a range of strategies and additional investment. </w:t>
      </w:r>
    </w:p>
    <w:p w14:paraId="739CCAF9" w14:textId="77777777" w:rsidR="00A24CCD" w:rsidRDefault="00A24CCD" w:rsidP="00CE6F73">
      <w:pPr>
        <w:pStyle w:val="NormalWeb"/>
        <w:spacing w:after="0"/>
        <w:rPr>
          <w:color w:val="000000"/>
          <w:sz w:val="20"/>
          <w:szCs w:val="20"/>
        </w:rPr>
      </w:pPr>
    </w:p>
    <w:p w14:paraId="5D989115" w14:textId="13C24C80" w:rsidR="00A24CCD" w:rsidRDefault="00A24CCD" w:rsidP="00A24CCD">
      <w:pPr>
        <w:pStyle w:val="NormalWeb"/>
        <w:spacing w:after="0"/>
        <w:rPr>
          <w:rFonts w:ascii="Times New Roman" w:hAnsi="Times New Roman" w:cs="Times New Roman"/>
          <w:lang w:eastAsia="en-AU"/>
        </w:rPr>
      </w:pPr>
      <w:r w:rsidRPr="00601741">
        <w:rPr>
          <w:rFonts w:ascii="Arial" w:hAnsi="Arial" w:cs="Arial"/>
          <w:color w:val="000000"/>
          <w:sz w:val="20"/>
          <w:szCs w:val="20"/>
        </w:rPr>
        <w:t xml:space="preserve">Inevitably, there are costs associated with creating these conditions.  As an indicative example, one of the professional learning programs of which we are aware that aligns with the evidence </w:t>
      </w:r>
      <w:proofErr w:type="spellStart"/>
      <w:r w:rsidRPr="00601741">
        <w:rPr>
          <w:rFonts w:ascii="Arial" w:hAnsi="Arial" w:cs="Arial"/>
          <w:color w:val="000000"/>
          <w:sz w:val="20"/>
          <w:szCs w:val="20"/>
        </w:rPr>
        <w:t>Timperly</w:t>
      </w:r>
      <w:proofErr w:type="spellEnd"/>
      <w:r w:rsidRPr="00601741">
        <w:rPr>
          <w:rFonts w:ascii="Arial" w:hAnsi="Arial" w:cs="Arial"/>
          <w:color w:val="000000"/>
          <w:sz w:val="20"/>
          <w:szCs w:val="20"/>
        </w:rPr>
        <w:t xml:space="preserve"> has summarised in her Best Evidence Synthesis for the New Zealand Department of</w:t>
      </w:r>
      <w:r>
        <w:rPr>
          <w:rFonts w:ascii="Arial" w:hAnsi="Arial" w:cs="Arial"/>
          <w:color w:val="000000"/>
          <w:sz w:val="22"/>
          <w:szCs w:val="22"/>
        </w:rPr>
        <w:t xml:space="preserve"> </w:t>
      </w:r>
      <w:r w:rsidRPr="00601741">
        <w:rPr>
          <w:sz w:val="20"/>
          <w:szCs w:val="20"/>
        </w:rPr>
        <w:t>Education</w:t>
      </w:r>
      <w:r>
        <w:rPr>
          <w:rStyle w:val="FootnoteReference"/>
          <w:sz w:val="20"/>
          <w:szCs w:val="20"/>
        </w:rPr>
        <w:footnoteReference w:id="88"/>
      </w:r>
      <w:r w:rsidRPr="00601741">
        <w:rPr>
          <w:sz w:val="20"/>
          <w:szCs w:val="20"/>
        </w:rPr>
        <w:t xml:space="preserve"> runs over two terms at an estimated cost of $3,500 per teacher, (including full costs for relief teaching and the delivery of the program).  To do something at similar cost for all 340,000 teachers and specialist support staff in Australia would cost more than $1.15 billion</w:t>
      </w:r>
      <w:r>
        <w:rPr>
          <w:sz w:val="20"/>
          <w:szCs w:val="20"/>
        </w:rPr>
        <w:t>.</w:t>
      </w:r>
      <w:r>
        <w:rPr>
          <w:rStyle w:val="FootnoteReference"/>
          <w:sz w:val="20"/>
          <w:szCs w:val="20"/>
        </w:rPr>
        <w:footnoteReference w:id="89"/>
      </w:r>
      <w:r w:rsidRPr="00601741">
        <w:rPr>
          <w:sz w:val="20"/>
          <w:szCs w:val="20"/>
        </w:rPr>
        <w:t xml:space="preserve"> This represents a cost of about $300 per student, based on ABS data of just over 3.75 million students in Australian schools in 2015.</w:t>
      </w:r>
      <w:r>
        <w:rPr>
          <w:rStyle w:val="FootnoteReference"/>
          <w:sz w:val="20"/>
          <w:szCs w:val="20"/>
        </w:rPr>
        <w:footnoteReference w:id="90"/>
      </w:r>
    </w:p>
    <w:p w14:paraId="69CAC19C" w14:textId="195DCE05" w:rsidR="0012610C" w:rsidRPr="00601741" w:rsidRDefault="00A24CCD" w:rsidP="00CE6F73">
      <w:pPr>
        <w:pStyle w:val="NormalWeb"/>
        <w:spacing w:after="0"/>
        <w:rPr>
          <w:color w:val="000000"/>
          <w:sz w:val="20"/>
          <w:szCs w:val="20"/>
        </w:rPr>
      </w:pPr>
      <w:r w:rsidRPr="00F67811" w:rsidDel="00A24CCD">
        <w:rPr>
          <w:color w:val="000000"/>
          <w:szCs w:val="20"/>
          <w:shd w:val="clear" w:color="auto" w:fill="FFFF00"/>
        </w:rPr>
        <w:t xml:space="preserve"> </w:t>
      </w:r>
    </w:p>
    <w:p w14:paraId="11A1CAB4" w14:textId="07247315" w:rsidR="00CE6F73" w:rsidRPr="00601741" w:rsidRDefault="00A24CCD" w:rsidP="00CE6F73">
      <w:pPr>
        <w:pStyle w:val="NormalWeb"/>
        <w:spacing w:after="0"/>
        <w:rPr>
          <w:sz w:val="20"/>
          <w:szCs w:val="20"/>
        </w:rPr>
      </w:pPr>
      <w:r>
        <w:rPr>
          <w:color w:val="000000"/>
          <w:sz w:val="20"/>
          <w:szCs w:val="20"/>
        </w:rPr>
        <w:t>A</w:t>
      </w:r>
      <w:r w:rsidR="00CE6F73" w:rsidRPr="00601741">
        <w:rPr>
          <w:color w:val="000000"/>
          <w:sz w:val="20"/>
          <w:szCs w:val="20"/>
        </w:rPr>
        <w:t>n important</w:t>
      </w:r>
      <w:r>
        <w:rPr>
          <w:color w:val="000000"/>
          <w:sz w:val="20"/>
          <w:szCs w:val="20"/>
        </w:rPr>
        <w:t xml:space="preserve">, less costly, </w:t>
      </w:r>
      <w:r w:rsidR="00CE6F73" w:rsidRPr="00601741">
        <w:rPr>
          <w:color w:val="000000"/>
          <w:sz w:val="20"/>
          <w:szCs w:val="20"/>
        </w:rPr>
        <w:t>first step in encouraging teaching practice to incorporate a stronger evidence-base is to significantly increase the accessibility of evidence about what works and why, alongside practical implementation guidelines for school leaders and teachers about how they can make it work in their schools and classrooms.</w:t>
      </w:r>
    </w:p>
    <w:p w14:paraId="454EC770" w14:textId="77777777" w:rsidR="003E79FF" w:rsidRPr="00601741" w:rsidRDefault="003E79FF" w:rsidP="00CE6F73">
      <w:pPr>
        <w:pStyle w:val="NormalWeb"/>
        <w:spacing w:after="0"/>
        <w:rPr>
          <w:color w:val="000000"/>
          <w:sz w:val="20"/>
          <w:szCs w:val="20"/>
        </w:rPr>
      </w:pPr>
    </w:p>
    <w:p w14:paraId="601A8059" w14:textId="1C5F9997" w:rsidR="00CE6F73" w:rsidRPr="00601741" w:rsidRDefault="00CE6F73" w:rsidP="00CE6F73">
      <w:pPr>
        <w:pStyle w:val="NormalWeb"/>
        <w:spacing w:after="0"/>
        <w:rPr>
          <w:sz w:val="20"/>
          <w:szCs w:val="20"/>
        </w:rPr>
      </w:pPr>
      <w:r w:rsidRPr="00601741">
        <w:rPr>
          <w:color w:val="000000"/>
          <w:sz w:val="20"/>
          <w:szCs w:val="20"/>
        </w:rPr>
        <w:t xml:space="preserve">The </w:t>
      </w:r>
      <w:r w:rsidRPr="00601741">
        <w:rPr>
          <w:i/>
          <w:iCs/>
          <w:color w:val="000000"/>
          <w:sz w:val="20"/>
          <w:szCs w:val="20"/>
        </w:rPr>
        <w:t>Teaching &amp; Learning Toolkit</w:t>
      </w:r>
      <w:r w:rsidRPr="00601741">
        <w:rPr>
          <w:color w:val="000000"/>
          <w:sz w:val="20"/>
          <w:szCs w:val="20"/>
        </w:rPr>
        <w:t xml:space="preserve"> provides one example of a low cost approach to translating and distributing evidence on effectiveness to a wide range of users in a widely accessible format. Alongside reviews of effectiveness, based on robust program evaluations, the Toolkit also provides concrete information on potential costs of adoption and practical guidelines on implementing different programs in different settings.</w:t>
      </w:r>
    </w:p>
    <w:p w14:paraId="1E53D026" w14:textId="77777777" w:rsidR="0012610C" w:rsidRPr="00601741" w:rsidRDefault="0012610C" w:rsidP="00CE6F73">
      <w:pPr>
        <w:pStyle w:val="NormalWeb"/>
        <w:spacing w:after="0"/>
        <w:rPr>
          <w:color w:val="000000"/>
          <w:sz w:val="22"/>
          <w:szCs w:val="22"/>
        </w:rPr>
      </w:pPr>
    </w:p>
    <w:p w14:paraId="5EB17AE0" w14:textId="7A3D95F0" w:rsidR="00CE6F73" w:rsidRDefault="00CE6F73" w:rsidP="00CE6F73">
      <w:pPr>
        <w:pStyle w:val="NormalWeb"/>
        <w:spacing w:after="0"/>
        <w:rPr>
          <w:color w:val="000000"/>
          <w:sz w:val="20"/>
          <w:szCs w:val="20"/>
        </w:rPr>
      </w:pPr>
      <w:r w:rsidRPr="00601741">
        <w:rPr>
          <w:color w:val="000000"/>
          <w:sz w:val="20"/>
          <w:szCs w:val="20"/>
        </w:rPr>
        <w:t>It is instructive to note that in the UK some 64% of school leaders now use their Teaching &amp; Learning toolkit to inform decisions about spending Pupil Premium funding, up from 36% who used research in 2012.</w:t>
      </w:r>
      <w:r w:rsidR="00824934">
        <w:rPr>
          <w:rStyle w:val="FootnoteReference"/>
          <w:color w:val="000000"/>
          <w:sz w:val="20"/>
          <w:szCs w:val="20"/>
        </w:rPr>
        <w:footnoteReference w:id="91"/>
      </w:r>
    </w:p>
    <w:p w14:paraId="13B6CDB4" w14:textId="2B508223" w:rsidR="00A24CCD" w:rsidRDefault="00A24CCD" w:rsidP="00CE6F73">
      <w:pPr>
        <w:pStyle w:val="NormalWeb"/>
        <w:spacing w:after="0"/>
        <w:rPr>
          <w:sz w:val="20"/>
          <w:szCs w:val="20"/>
        </w:rPr>
      </w:pPr>
    </w:p>
    <w:p w14:paraId="6C757154" w14:textId="3472327D" w:rsidR="0012610C" w:rsidRDefault="00A24CCD" w:rsidP="00601741">
      <w:r>
        <w:t>In Australia, the Teaching and Learning Toolkit is delivered presently at a cost of less than $1,000,000 per annum, with the potential to increase the number of practical resources and educator support for an additional $1,000,000 per annum.</w:t>
      </w:r>
    </w:p>
    <w:p w14:paraId="47AB9CB8" w14:textId="1C07B0A4" w:rsidR="00CE6F73" w:rsidRDefault="00A24CCD" w:rsidP="00601741">
      <w:r>
        <w:t>Therefore, i</w:t>
      </w:r>
      <w:r w:rsidR="00CE6F73">
        <w:t>n comparison to the costs of collecting the data and evidence that underpin the national education evidence base, the costs associated with translating evidence into useful practice summaries and disseminating evidence to key users are minimal.</w:t>
      </w:r>
    </w:p>
    <w:p w14:paraId="56AF45D6" w14:textId="77777777" w:rsidR="0012610C" w:rsidRDefault="0012610C" w:rsidP="00CE6F73">
      <w:pPr>
        <w:pStyle w:val="NormalWeb"/>
        <w:spacing w:after="0"/>
        <w:rPr>
          <w:rFonts w:ascii="Arial" w:hAnsi="Arial" w:cs="Arial"/>
          <w:b/>
          <w:bCs/>
          <w:i/>
          <w:iCs/>
          <w:color w:val="000000"/>
          <w:sz w:val="22"/>
          <w:szCs w:val="22"/>
        </w:rPr>
      </w:pPr>
    </w:p>
    <w:p w14:paraId="1316DE49" w14:textId="6E104523" w:rsidR="00F67811" w:rsidRDefault="00F67811" w:rsidP="00601741"/>
    <w:p w14:paraId="3A8C7442" w14:textId="37DEEF70" w:rsidR="00F67811" w:rsidRDefault="00F67811" w:rsidP="00601741"/>
    <w:p w14:paraId="378234B9" w14:textId="1970FDFB" w:rsidR="00CE6F73" w:rsidRDefault="00CE6F73" w:rsidP="00601741">
      <w:r>
        <w:t xml:space="preserve">This is a good example of the need for evidence generation to be closely tied to evaluation of programs in schools and for research knowledge to be supplemented with additional resources to support schools </w:t>
      </w:r>
      <w:r>
        <w:lastRenderedPageBreak/>
        <w:t>make the changes that will ultimately lead to more effective and efficient outcomes at both school and policy levels.</w:t>
      </w:r>
    </w:p>
    <w:p w14:paraId="6A0365A3" w14:textId="32D8B767" w:rsidR="0012610C" w:rsidRDefault="00CE6F73" w:rsidP="00601741">
      <w:pPr>
        <w:pStyle w:val="Heading4"/>
        <w:spacing w:before="280" w:after="80"/>
      </w:pPr>
      <w:r w:rsidRPr="00324EEB">
        <w:rPr>
          <w:rFonts w:ascii="Arial" w:hAnsi="Arial" w:cs="Arial"/>
          <w:i/>
          <w:iCs/>
        </w:rPr>
        <w:t xml:space="preserve">What costs and benefits fall on the broader community? </w:t>
      </w:r>
    </w:p>
    <w:p w14:paraId="6FA83442" w14:textId="7AB2AB95" w:rsidR="0012610C" w:rsidRDefault="00CE6F73" w:rsidP="00601741">
      <w:r>
        <w:t>As evaluation evidence is a public good, it is likely to be under provisioned without government support. However, our view is that the costs of this support will be significantly outweighed by the benefits that flow from helping to place teaching on a stronger evidence-based footing.</w:t>
      </w:r>
    </w:p>
    <w:p w14:paraId="6A50F7F3" w14:textId="5242A3FC" w:rsidR="0012610C" w:rsidRDefault="00CE6F73" w:rsidP="00601741">
      <w:r>
        <w:t xml:space="preserve">The costs of collecting evidence on education </w:t>
      </w:r>
      <w:r w:rsidR="00A24CCD">
        <w:t xml:space="preserve">approaches </w:t>
      </w:r>
      <w:r>
        <w:t xml:space="preserve">effectiveness through the use of </w:t>
      </w:r>
      <w:proofErr w:type="spellStart"/>
      <w:r>
        <w:t>RCTs</w:t>
      </w:r>
      <w:proofErr w:type="spellEnd"/>
      <w:r>
        <w:t xml:space="preserve"> and distributing evidence to key users are likely to be limited to the direct costs of providing government funding for these efforts. However, these efforts are also likely to bring very substantial benefits to the broader community.</w:t>
      </w:r>
    </w:p>
    <w:p w14:paraId="26750A05" w14:textId="77777777" w:rsidR="00543558" w:rsidRPr="001E0AAB" w:rsidRDefault="004036F3" w:rsidP="00601741">
      <w:pPr>
        <w:rPr>
          <w:color w:val="FFFFFF" w:themeColor="background1"/>
        </w:rPr>
      </w:pPr>
      <w:r>
        <w:rPr>
          <w:noProof/>
          <w:lang w:eastAsia="en-AU"/>
        </w:rPr>
        <mc:AlternateContent>
          <mc:Choice Requires="wps">
            <w:drawing>
              <wp:anchor distT="45720" distB="45720" distL="114300" distR="114300" simplePos="0" relativeHeight="251662848" behindDoc="0" locked="0" layoutInCell="1" allowOverlap="1" wp14:anchorId="329FAF45" wp14:editId="06C1A12F">
                <wp:simplePos x="0" y="0"/>
                <wp:positionH relativeFrom="margin">
                  <wp:align>right</wp:align>
                </wp:positionH>
                <wp:positionV relativeFrom="paragraph">
                  <wp:posOffset>780415</wp:posOffset>
                </wp:positionV>
                <wp:extent cx="5918200" cy="1404620"/>
                <wp:effectExtent l="0" t="0" r="25400" b="184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rgbClr val="FFFFFF"/>
                        </a:solidFill>
                        <a:ln w="9525">
                          <a:solidFill>
                            <a:srgbClr val="000000"/>
                          </a:solidFill>
                          <a:miter lim="800000"/>
                          <a:headEnd/>
                          <a:tailEnd/>
                        </a:ln>
                      </wps:spPr>
                      <wps:txbx>
                        <w:txbxContent>
                          <w:p w14:paraId="2DAA871E" w14:textId="77777777" w:rsidR="00051F36" w:rsidRDefault="00051F36" w:rsidP="004036F3">
                            <w:pPr>
                              <w:pStyle w:val="Heading4"/>
                              <w:rPr>
                                <w:i/>
                              </w:rPr>
                            </w:pPr>
                            <w:r w:rsidRPr="00AD0FC8">
                              <w:rPr>
                                <w:i/>
                              </w:rPr>
                              <w:t xml:space="preserve">An example of effective translation, dissemination and implementation support - </w:t>
                            </w:r>
                            <w:proofErr w:type="spellStart"/>
                            <w:r w:rsidRPr="00AD0FC8">
                              <w:rPr>
                                <w:i/>
                              </w:rPr>
                              <w:t>EEF’s</w:t>
                            </w:r>
                            <w:proofErr w:type="spellEnd"/>
                            <w:r w:rsidRPr="00AD0FC8">
                              <w:rPr>
                                <w:i/>
                              </w:rPr>
                              <w:t xml:space="preserve"> Campaign on Teaching Assistants</w:t>
                            </w:r>
                          </w:p>
                          <w:p w14:paraId="020E58CD" w14:textId="77777777" w:rsidR="00051F36" w:rsidRDefault="00051F36" w:rsidP="004036F3">
                            <w:pPr>
                              <w:pStyle w:val="NormalWeb"/>
                              <w:spacing w:after="0"/>
                              <w:rPr>
                                <w:rFonts w:ascii="Arial" w:hAnsi="Arial" w:cs="Arial"/>
                                <w:color w:val="000000"/>
                                <w:sz w:val="22"/>
                                <w:szCs w:val="22"/>
                              </w:rPr>
                            </w:pPr>
                          </w:p>
                          <w:p w14:paraId="7B716E36" w14:textId="3E4D923C" w:rsidR="00051F36" w:rsidRPr="00E510AF" w:rsidRDefault="00051F36" w:rsidP="004036F3">
                            <w:pPr>
                              <w:rPr>
                                <w:szCs w:val="20"/>
                              </w:rPr>
                            </w:pPr>
                            <w:r w:rsidRPr="00E510AF">
                              <w:rPr>
                                <w:szCs w:val="20"/>
                              </w:rPr>
                              <w:t xml:space="preserve">England now spends around </w:t>
                            </w:r>
                            <w:proofErr w:type="spellStart"/>
                            <w:r w:rsidRPr="00E510AF">
                              <w:rPr>
                                <w:szCs w:val="20"/>
                              </w:rPr>
                              <w:t>4bn</w:t>
                            </w:r>
                            <w:proofErr w:type="spellEnd"/>
                            <w:r w:rsidRPr="00E510AF">
                              <w:rPr>
                                <w:szCs w:val="20"/>
                              </w:rPr>
                              <w:t xml:space="preserve"> </w:t>
                            </w:r>
                            <w:proofErr w:type="spellStart"/>
                            <w:r w:rsidRPr="00E510AF">
                              <w:rPr>
                                <w:szCs w:val="20"/>
                              </w:rPr>
                              <w:t>GBP</w:t>
                            </w:r>
                            <w:proofErr w:type="spellEnd"/>
                            <w:r w:rsidRPr="00E510AF">
                              <w:rPr>
                                <w:szCs w:val="20"/>
                              </w:rPr>
                              <w:t xml:space="preserve"> per annum on teaching assistants. However the </w:t>
                            </w:r>
                            <w:proofErr w:type="spellStart"/>
                            <w:r w:rsidRPr="00E510AF">
                              <w:rPr>
                                <w:szCs w:val="20"/>
                              </w:rPr>
                              <w:t>EEF’s</w:t>
                            </w:r>
                            <w:proofErr w:type="spellEnd"/>
                            <w:r w:rsidRPr="00E510AF">
                              <w:rPr>
                                <w:szCs w:val="20"/>
                              </w:rPr>
                              <w:t xml:space="preserve"> review of the evidence of their impact shows on average a very small learning gain. Positive effects that were found only occurred when teaching assistants worked in structured settings with high-quality support and training. When teaching assistants are deployed in more informal, unsupported instructional roles, they can actually impact negatively on pupils’ learning outcomes. In order to improve the value from the massive investment in teaching assistants, the </w:t>
                            </w:r>
                            <w:proofErr w:type="spellStart"/>
                            <w:r w:rsidRPr="00E510AF">
                              <w:rPr>
                                <w:szCs w:val="20"/>
                              </w:rPr>
                              <w:t>EEF</w:t>
                            </w:r>
                            <w:proofErr w:type="spellEnd"/>
                            <w:r w:rsidRPr="00E510AF">
                              <w:rPr>
                                <w:szCs w:val="20"/>
                              </w:rPr>
                              <w:t xml:space="preserve"> commissioned rigorous trials to improve the evidence base of how to use teaching assistants more </w:t>
                            </w:r>
                            <w:proofErr w:type="spellStart"/>
                            <w:r w:rsidRPr="00E510AF">
                              <w:rPr>
                                <w:szCs w:val="20"/>
                              </w:rPr>
                              <w:t>impactfully</w:t>
                            </w:r>
                            <w:proofErr w:type="spellEnd"/>
                            <w:r w:rsidRPr="00E510AF">
                              <w:rPr>
                                <w:szCs w:val="20"/>
                              </w:rPr>
                              <w:t>. They identified six projects involving teacher assistant led literacy/numeracy interventions - all with positive impact on student learning of 3-4 months gain).</w:t>
                            </w:r>
                          </w:p>
                          <w:p w14:paraId="499E013C" w14:textId="4F455E35" w:rsidR="00051F36" w:rsidRPr="00E510AF" w:rsidRDefault="00051F36" w:rsidP="004036F3">
                            <w:pPr>
                              <w:rPr>
                                <w:szCs w:val="20"/>
                              </w:rPr>
                            </w:pPr>
                            <w:r w:rsidRPr="00E510AF">
                              <w:rPr>
                                <w:szCs w:val="20"/>
                              </w:rPr>
                              <w:t xml:space="preserve">This enabled the </w:t>
                            </w:r>
                            <w:proofErr w:type="spellStart"/>
                            <w:r w:rsidRPr="00E510AF">
                              <w:rPr>
                                <w:szCs w:val="20"/>
                              </w:rPr>
                              <w:t>EEF</w:t>
                            </w:r>
                            <w:proofErr w:type="spellEnd"/>
                            <w:r w:rsidRPr="00E510AF">
                              <w:rPr>
                                <w:szCs w:val="20"/>
                              </w:rPr>
                              <w:t xml:space="preserve"> to develop a guidance for schools which provides clear and practical recommendations for when and how to most effectively use teaching assistants both in and out </w:t>
                            </w:r>
                            <w:r w:rsidR="005165FA">
                              <w:rPr>
                                <w:szCs w:val="20"/>
                              </w:rPr>
                              <w:t xml:space="preserve">of </w:t>
                            </w:r>
                            <w:r w:rsidRPr="00E510AF">
                              <w:rPr>
                                <w:szCs w:val="20"/>
                              </w:rPr>
                              <w:t>classrooms.</w:t>
                            </w:r>
                            <w:r w:rsidRPr="00E510AF">
                              <w:rPr>
                                <w:rStyle w:val="FootnoteReference"/>
                                <w:szCs w:val="20"/>
                              </w:rPr>
                              <w:t xml:space="preserve"> </w:t>
                            </w:r>
                            <w:r w:rsidRPr="00E510AF">
                              <w:rPr>
                                <w:szCs w:val="20"/>
                              </w:rPr>
                              <w:t xml:space="preserve"> And finally it has also encouraged the </w:t>
                            </w:r>
                            <w:proofErr w:type="spellStart"/>
                            <w:r w:rsidRPr="00E510AF">
                              <w:rPr>
                                <w:szCs w:val="20"/>
                              </w:rPr>
                              <w:t>EEF</w:t>
                            </w:r>
                            <w:proofErr w:type="spellEnd"/>
                            <w:r w:rsidRPr="00E510AF">
                              <w:rPr>
                                <w:szCs w:val="20"/>
                              </w:rPr>
                              <w:t xml:space="preserve"> to develop further support tools for schools to check their readiness to effectively deploy teaching assistants and to engage in self-assessment.</w:t>
                            </w:r>
                          </w:p>
                          <w:p w14:paraId="31194747" w14:textId="7770A295" w:rsidR="00051F36" w:rsidRPr="00601741" w:rsidRDefault="00051F36" w:rsidP="00601741">
                            <w:pPr>
                              <w:pStyle w:val="NormalWeb"/>
                              <w:spacing w:after="0"/>
                              <w:rPr>
                                <w:sz w:val="16"/>
                                <w:szCs w:val="16"/>
                              </w:rPr>
                            </w:pPr>
                            <w:r w:rsidRPr="00601741">
                              <w:rPr>
                                <w:sz w:val="20"/>
                                <w:szCs w:val="20"/>
                              </w:rPr>
                              <w:t>Helping schools make their investment in teaching assistants more effective has been recognised by the UK’s National Audit Office in their 2015 review of Funding for Disadvantaged Pupils. It noted that the “</w:t>
                            </w:r>
                            <w:proofErr w:type="spellStart"/>
                            <w:r w:rsidRPr="00601741">
                              <w:rPr>
                                <w:sz w:val="20"/>
                                <w:szCs w:val="20"/>
                              </w:rPr>
                              <w:t>EEF</w:t>
                            </w:r>
                            <w:proofErr w:type="spellEnd"/>
                            <w:r w:rsidRPr="00601741">
                              <w:rPr>
                                <w:sz w:val="20"/>
                                <w:szCs w:val="20"/>
                              </w:rPr>
                              <w:t xml:space="preserve"> has made evidence</w:t>
                            </w:r>
                            <w:r w:rsidRPr="00601741">
                              <w:rPr>
                                <w:sz w:val="20"/>
                                <w:szCs w:val="20"/>
                              </w:rPr>
                              <w:noBreakHyphen/>
                              <w:t xml:space="preserve">based recommendations on teaching assistant deployment. The Department is currently considering introducing standards for teaching </w:t>
                            </w:r>
                            <w:proofErr w:type="spellStart"/>
                            <w:r w:rsidRPr="00601741">
                              <w:rPr>
                                <w:sz w:val="20"/>
                                <w:szCs w:val="20"/>
                              </w:rPr>
                              <w:t>assistants.”</w:t>
                            </w:r>
                            <w:r w:rsidR="001E0AAB" w:rsidRPr="001E0AAB">
                              <w:rPr>
                                <w:sz w:val="20"/>
                                <w:szCs w:val="20"/>
                                <w:vertAlign w:val="superscript"/>
                              </w:rPr>
                              <w:t>93</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29FAF45" id="_x0000_s1030" type="#_x0000_t202" style="position:absolute;margin-left:414.8pt;margin-top:61.45pt;width:466pt;height:110.6pt;z-index:251662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">
                <v:textbox style="mso-fit-shape-to-text:t">
                  <w:txbxContent>
                    <w:p w14:paraId="2DAA871E" w14:textId="77777777" w:rsidR="00051F36" w:rsidRDefault="00051F36" w:rsidP="004036F3">
                      <w:pPr>
                        <w:pStyle w:val="Heading4"/>
                        <w:rPr>
                          <w:i/>
                        </w:rPr>
                      </w:pPr>
                      <w:r w:rsidRPr="00AD0FC8">
                        <w:rPr>
                          <w:i/>
                        </w:rPr>
                        <w:t>An example of effective translation, dissemination and implementation support - EEF’s Campaign on Teaching Assistants</w:t>
                      </w:r>
                    </w:p>
                    <w:p w14:paraId="020E58CD" w14:textId="77777777" w:rsidR="00051F36" w:rsidRDefault="00051F36" w:rsidP="004036F3">
                      <w:pPr>
                        <w:pStyle w:val="NormalWeb"/>
                        <w:spacing w:after="0"/>
                        <w:rPr>
                          <w:rFonts w:ascii="Arial" w:hAnsi="Arial" w:cs="Arial"/>
                          <w:color w:val="000000"/>
                          <w:sz w:val="22"/>
                          <w:szCs w:val="22"/>
                        </w:rPr>
                      </w:pPr>
                    </w:p>
                    <w:p w14:paraId="7B716E36" w14:textId="3E4D923C" w:rsidR="00051F36" w:rsidRPr="00E510AF" w:rsidRDefault="00051F36" w:rsidP="004036F3">
                      <w:pPr>
                        <w:rPr>
                          <w:szCs w:val="20"/>
                        </w:rPr>
                      </w:pPr>
                      <w:r w:rsidRPr="00E510AF">
                        <w:rPr>
                          <w:szCs w:val="20"/>
                        </w:rPr>
                        <w:t>England now spends around 4bn GBP per annum on teaching assistants. However the EEF’s review of the evidence of their impact shows on average a very small learning gain. Positive effects that were found only occurred when teaching assistants worked in structured settings with high-quality support and training. When teaching assistants are deployed in more informal, unsupported instructional roles, they can actually impact negatively on pupils’ learning outcomes. In order to improve the value from the massive investment in teaching assistants, the EEF commissioned rigorous trials to improve the evidence base of how to use teaching assistants more impactfully. They identified six projects involving teacher assistant led literacy/numeracy interventions - all with positive impact on student learning of 3-4 months gain).</w:t>
                      </w:r>
                    </w:p>
                    <w:p w14:paraId="499E013C" w14:textId="4F455E35" w:rsidR="00051F36" w:rsidRPr="00E510AF" w:rsidRDefault="00051F36" w:rsidP="004036F3">
                      <w:pPr>
                        <w:rPr>
                          <w:szCs w:val="20"/>
                        </w:rPr>
                      </w:pPr>
                      <w:r w:rsidRPr="00E510AF">
                        <w:rPr>
                          <w:szCs w:val="20"/>
                        </w:rPr>
                        <w:t xml:space="preserve">This enabled the EEF to develop a guidance for schools which provides clear and practical recommendations for when and how to most effectively use teaching assistants both in and out </w:t>
                      </w:r>
                      <w:r w:rsidR="005165FA">
                        <w:rPr>
                          <w:szCs w:val="20"/>
                        </w:rPr>
                        <w:t xml:space="preserve">of </w:t>
                      </w:r>
                      <w:r w:rsidRPr="00E510AF">
                        <w:rPr>
                          <w:szCs w:val="20"/>
                        </w:rPr>
                        <w:t>classrooms.</w:t>
                      </w:r>
                      <w:r w:rsidRPr="00E510AF">
                        <w:rPr>
                          <w:rStyle w:val="FootnoteReference"/>
                          <w:szCs w:val="20"/>
                        </w:rPr>
                        <w:t xml:space="preserve"> </w:t>
                      </w:r>
                      <w:r w:rsidRPr="00E510AF">
                        <w:rPr>
                          <w:szCs w:val="20"/>
                        </w:rPr>
                        <w:t xml:space="preserve"> And finally it has also encouraged the EEF to develop further support tools for schools to check their readiness to effectively deploy teaching assistants and to engage in self-assessment.</w:t>
                      </w:r>
                    </w:p>
                    <w:p w14:paraId="31194747" w14:textId="7770A295" w:rsidR="00051F36" w:rsidRPr="00601741" w:rsidRDefault="00051F36" w:rsidP="00601741">
                      <w:pPr>
                        <w:pStyle w:val="NormalWeb"/>
                        <w:spacing w:after="0"/>
                        <w:rPr>
                          <w:sz w:val="16"/>
                          <w:szCs w:val="16"/>
                        </w:rPr>
                      </w:pPr>
                      <w:r w:rsidRPr="00601741">
                        <w:rPr>
                          <w:sz w:val="20"/>
                          <w:szCs w:val="20"/>
                        </w:rPr>
                        <w:t>Helping schools make their investment in teaching assistants more effective has been recognised by the UK’s National Audit Office in their 2015 review of Funding for Disadvantaged Pupils. It noted that the “EEF has made evidence</w:t>
                      </w:r>
                      <w:r w:rsidRPr="00601741">
                        <w:rPr>
                          <w:sz w:val="20"/>
                          <w:szCs w:val="20"/>
                        </w:rPr>
                        <w:noBreakHyphen/>
                        <w:t>based recommendations on teaching assistant deployment. The Department is currently considering introducing standards for teaching assistants.”</w:t>
                      </w:r>
                      <w:r w:rsidR="001E0AAB" w:rsidRPr="001E0AAB">
                        <w:rPr>
                          <w:sz w:val="20"/>
                          <w:szCs w:val="20"/>
                          <w:vertAlign w:val="superscript"/>
                        </w:rPr>
                        <w:t>93</w:t>
                      </w:r>
                    </w:p>
                  </w:txbxContent>
                </v:textbox>
                <w10:wrap type="square" anchorx="margin"/>
              </v:shape>
            </w:pict>
          </mc:Fallback>
        </mc:AlternateContent>
      </w:r>
      <w:r w:rsidR="00CE6F73">
        <w:t>In particular, the broader community is likely to benefit from increased economic returns. Many economists have found large positive economic returns from improvements in student learning.</w:t>
      </w:r>
      <w:r w:rsidR="00A24CCD">
        <w:rPr>
          <w:rStyle w:val="FootnoteReference"/>
        </w:rPr>
        <w:footnoteReference w:id="92"/>
      </w:r>
      <w:r w:rsidR="00CE6F73">
        <w:t xml:space="preserve"> </w:t>
      </w:r>
      <w:r w:rsidR="00A24CCD" w:rsidRPr="00601741">
        <w:t xml:space="preserve">The potential magnitude of returns has been subject to debate and is sensitive to the specific assumptions </w:t>
      </w:r>
      <w:r w:rsidR="00A24CCD" w:rsidRPr="001E0AAB">
        <w:rPr>
          <w:color w:val="FFFFFF" w:themeColor="background1"/>
        </w:rPr>
        <w:t xml:space="preserve">used in the modelling. </w:t>
      </w:r>
    </w:p>
    <w:p w14:paraId="61BFDF9C" w14:textId="730E3150" w:rsidR="00A556A7" w:rsidRPr="001E0AAB" w:rsidRDefault="00543558" w:rsidP="00C86C03">
      <w:pPr>
        <w:spacing w:line="240" w:lineRule="auto"/>
        <w:rPr>
          <w:color w:val="FFFFFF" w:themeColor="background1"/>
        </w:rPr>
      </w:pPr>
      <w:r w:rsidRPr="001E0AAB">
        <w:rPr>
          <w:rStyle w:val="FootnoteReference"/>
          <w:color w:val="FFFFFF" w:themeColor="background1"/>
        </w:rPr>
        <w:footnoteReference w:id="93"/>
      </w:r>
    </w:p>
    <w:p w14:paraId="77D72A4B" w14:textId="24163FD2" w:rsidR="0012610C" w:rsidRDefault="00A24CCD" w:rsidP="00601741">
      <w:r>
        <w:lastRenderedPageBreak/>
        <w:t>T</w:t>
      </w:r>
      <w:r w:rsidR="00CE6F73">
        <w:t xml:space="preserve">wo widely cited reports for the OECD, </w:t>
      </w:r>
      <w:r>
        <w:t xml:space="preserve">by </w:t>
      </w:r>
      <w:proofErr w:type="spellStart"/>
      <w:r w:rsidR="00CE6F73">
        <w:t>Hanushek</w:t>
      </w:r>
      <w:proofErr w:type="spellEnd"/>
      <w:r w:rsidR="00CE6F73">
        <w:t xml:space="preserve"> and </w:t>
      </w:r>
      <w:proofErr w:type="spellStart"/>
      <w:r w:rsidR="00CE6F73">
        <w:t>Woessmann</w:t>
      </w:r>
      <w:proofErr w:type="spellEnd"/>
      <w:r w:rsidR="00CE6F73">
        <w:t xml:space="preserve"> use PISA data to model the impact of boosting student learning on GDP growth. </w:t>
      </w:r>
      <w:r>
        <w:rPr>
          <w:rStyle w:val="FootnoteReference"/>
        </w:rPr>
        <w:footnoteReference w:id="94"/>
      </w:r>
    </w:p>
    <w:p w14:paraId="482C6E3B" w14:textId="27F758BD" w:rsidR="0012610C" w:rsidRDefault="00CE6F73" w:rsidP="00601741">
      <w:r>
        <w:t xml:space="preserve">Both reports find very significant economic benefits from improving the quality of schooling. Their 2015 report, </w:t>
      </w:r>
      <w:r>
        <w:rPr>
          <w:i/>
          <w:iCs/>
        </w:rPr>
        <w:t>Universal Basic Skills</w:t>
      </w:r>
      <w:r>
        <w:t xml:space="preserve">, finds that lifting Australia’s PISA scores by 25 points by 2030 would deliver a total benefit to Australia worth </w:t>
      </w:r>
      <w:proofErr w:type="spellStart"/>
      <w:r>
        <w:t>US$3,863bn</w:t>
      </w:r>
      <w:proofErr w:type="spellEnd"/>
      <w:r>
        <w:t xml:space="preserve"> over an 80 year period (in 2015 dollars). Once the impact of higher quality education has worked through the labour force, Australia’s long run GDP growth rate could be expected to be 0.49 percentage points higher than it otherwise would be. </w:t>
      </w:r>
      <w:r w:rsidR="00A24CCD">
        <w:rPr>
          <w:rStyle w:val="FootnoteReference"/>
        </w:rPr>
        <w:footnoteReference w:id="95"/>
      </w:r>
    </w:p>
    <w:p w14:paraId="7D301DDB" w14:textId="1ACC21F9" w:rsidR="0012610C" w:rsidRDefault="00CE6F73" w:rsidP="00601741">
      <w:r>
        <w:t xml:space="preserve">The report also modelled the economic benefit of achieving universal </w:t>
      </w:r>
      <w:r w:rsidR="00C86C03">
        <w:t>enrolment</w:t>
      </w:r>
      <w:r>
        <w:t xml:space="preserve"> in schooling and lifting each country's lowest performing students to the OECD’s minimum proficiency standard. For Australia, the total value of this reform is estimated at </w:t>
      </w:r>
      <w:proofErr w:type="spellStart"/>
      <w:r>
        <w:t>US$1,504bn</w:t>
      </w:r>
      <w:proofErr w:type="spellEnd"/>
      <w:r>
        <w:t xml:space="preserve"> over an 80 year period (in 2015 dollars), with the long-run GDP growth rate an estimated 0.20 percentage points higher. </w:t>
      </w:r>
      <w:r w:rsidR="00A24CCD">
        <w:rPr>
          <w:rStyle w:val="FootnoteReference"/>
        </w:rPr>
        <w:footnoteReference w:id="96"/>
      </w:r>
    </w:p>
    <w:p w14:paraId="579D98D0" w14:textId="7E132B73" w:rsidR="0012610C" w:rsidRDefault="00CE6F73" w:rsidP="00601741">
      <w:r>
        <w:t xml:space="preserve">In addition to the large economic benefits that would result from these reforms, </w:t>
      </w:r>
      <w:proofErr w:type="spellStart"/>
      <w:r>
        <w:t>Hanushek</w:t>
      </w:r>
      <w:proofErr w:type="spellEnd"/>
      <w:r>
        <w:t xml:space="preserve"> and </w:t>
      </w:r>
      <w:proofErr w:type="spellStart"/>
      <w:r>
        <w:t>Woessmann</w:t>
      </w:r>
      <w:proofErr w:type="spellEnd"/>
      <w:r>
        <w:t xml:space="preserve"> emphasise that ensuring universal basic skills for every child is likely to reduce inequality within countries by reducing differences in income.</w:t>
      </w:r>
      <w:r w:rsidR="00A24CCD">
        <w:rPr>
          <w:rStyle w:val="FootnoteReference"/>
        </w:rPr>
        <w:footnoteReference w:id="97"/>
      </w:r>
    </w:p>
    <w:p w14:paraId="49E7E80E" w14:textId="418E2FBB" w:rsidR="0012610C" w:rsidRDefault="00A24CCD" w:rsidP="00601741">
      <w:r w:rsidRPr="00601741">
        <w:t>The findings of these reports is at the higher end of other estimates of the economic returns to better education.</w:t>
      </w:r>
      <w:r>
        <w:rPr>
          <w:rStyle w:val="FootnoteReference"/>
        </w:rPr>
        <w:footnoteReference w:id="98"/>
      </w:r>
      <w:r>
        <w:t xml:space="preserve"> However, e</w:t>
      </w:r>
      <w:r w:rsidR="00CE6F73">
        <w:t xml:space="preserve">ven using significantly more conservative </w:t>
      </w:r>
      <w:r>
        <w:t>assumptions</w:t>
      </w:r>
      <w:r w:rsidR="00CE6F73">
        <w:t xml:space="preserve">, the authors argue the </w:t>
      </w:r>
      <w:r>
        <w:t xml:space="preserve">economic </w:t>
      </w:r>
      <w:r w:rsidR="00CE6F73">
        <w:t xml:space="preserve">benefits of </w:t>
      </w:r>
      <w:r>
        <w:t xml:space="preserve">lifting the quality of education </w:t>
      </w:r>
      <w:r w:rsidR="00CE6F73">
        <w:t>‘far exceeds any conceivable costs of improvement’.</w:t>
      </w:r>
      <w:r>
        <w:rPr>
          <w:rStyle w:val="FootnoteReference"/>
        </w:rPr>
        <w:footnoteReference w:id="99"/>
      </w:r>
    </w:p>
    <w:p w14:paraId="597E138A" w14:textId="75BFE567" w:rsidR="00CE6F73" w:rsidRDefault="00CE6F73" w:rsidP="00601741">
      <w:r>
        <w:t xml:space="preserve">In addition to the direct economic benefits, research strongly indicates that improving children’s educational outcomes will have large benefits to the community in terms of better social outcomes, </w:t>
      </w:r>
      <w:r>
        <w:lastRenderedPageBreak/>
        <w:t>including better health, higher levels of civic and social engagement and lower levels of crime.  </w:t>
      </w:r>
      <w:r w:rsidR="00A24CCD">
        <w:rPr>
          <w:rStyle w:val="FootnoteReference"/>
        </w:rPr>
        <w:footnoteReference w:id="100"/>
      </w:r>
      <w:r>
        <w:t xml:space="preserve">                      </w:t>
      </w:r>
    </w:p>
    <w:p w14:paraId="7051E414" w14:textId="77777777" w:rsidR="003E0CE9" w:rsidRDefault="003E0CE9">
      <w:r>
        <w:rPr>
          <w:bCs/>
          <w:iCs/>
        </w:rPr>
        <w:br w:type="page"/>
      </w:r>
    </w:p>
    <w:p w14:paraId="54C06D9F" w14:textId="06C9F0FA" w:rsidR="00CE6F73" w:rsidRDefault="00CE6F73" w:rsidP="00601741">
      <w:pPr>
        <w:pStyle w:val="Heading2"/>
        <w:framePr w:wrap="around"/>
      </w:pPr>
      <w:bookmarkStart w:id="33" w:name="_Toc451895300"/>
      <w:r>
        <w:lastRenderedPageBreak/>
        <w:t>Section 4</w:t>
      </w:r>
      <w:r w:rsidR="00E0340A">
        <w:t>:</w:t>
      </w:r>
      <w:r w:rsidR="00E0340A">
        <w:br/>
      </w:r>
      <w:r>
        <w:t>Issues and Opportunities</w:t>
      </w:r>
      <w:bookmarkEnd w:id="33"/>
    </w:p>
    <w:p w14:paraId="753A5A74" w14:textId="77777777" w:rsidR="00CE6F73" w:rsidRDefault="00CE6F73" w:rsidP="00601741">
      <w:r>
        <w:t>We note that this section is broken down into six sub-sections.  Our responses are limited to the last three: (1) Data capture, processing and management (technological adaptation); (2) Technology (scope to improve data collection and dissemination); (3) Research capacity (skills, resourcing, infrastructure).</w:t>
      </w:r>
    </w:p>
    <w:p w14:paraId="55DB0748" w14:textId="77777777" w:rsidR="00AD0FC8" w:rsidRDefault="00AD0FC8" w:rsidP="00CE6F73">
      <w:pPr>
        <w:pStyle w:val="NormalWeb"/>
        <w:spacing w:after="0"/>
      </w:pPr>
    </w:p>
    <w:p w14:paraId="5AAD1158" w14:textId="3A9A99EC" w:rsidR="00CE6F73" w:rsidRPr="003E0CE9" w:rsidRDefault="00CE6F73" w:rsidP="00AD0FC8">
      <w:pPr>
        <w:pStyle w:val="Heading3"/>
      </w:pPr>
      <w:bookmarkStart w:id="34" w:name="_Toc451895301"/>
      <w:r w:rsidRPr="003E0CE9">
        <w:t>Data capture, processing and managemen</w:t>
      </w:r>
      <w:r w:rsidR="0024042F">
        <w:t>t (technological adaptation) - q</w:t>
      </w:r>
      <w:r w:rsidRPr="003E0CE9">
        <w:t>uestions page 28</w:t>
      </w:r>
      <w:bookmarkEnd w:id="34"/>
    </w:p>
    <w:p w14:paraId="3C7F4AE4" w14:textId="77777777" w:rsidR="00CE6F73" w:rsidRPr="00F67811" w:rsidRDefault="00CE6F73" w:rsidP="00CE6F73">
      <w:pPr>
        <w:pStyle w:val="Heading4"/>
        <w:spacing w:before="280" w:after="80"/>
      </w:pPr>
      <w:r w:rsidRPr="00601741">
        <w:rPr>
          <w:rFonts w:ascii="Arial" w:hAnsi="Arial" w:cs="Arial"/>
          <w:bCs w:val="0"/>
          <w:i/>
          <w:iCs/>
        </w:rPr>
        <w:t>Is a fear of exposing program failure a serious impediment to data development and use?  What can be done to overcome this?</w:t>
      </w:r>
    </w:p>
    <w:p w14:paraId="55D891F7" w14:textId="77777777" w:rsidR="003E0CE9" w:rsidRDefault="003E0CE9" w:rsidP="00CE6F73">
      <w:pPr>
        <w:pStyle w:val="NormalWeb"/>
        <w:spacing w:after="0"/>
        <w:rPr>
          <w:rFonts w:ascii="Arial" w:hAnsi="Arial" w:cs="Arial"/>
          <w:color w:val="000000"/>
          <w:sz w:val="22"/>
          <w:szCs w:val="22"/>
        </w:rPr>
      </w:pPr>
    </w:p>
    <w:p w14:paraId="0DAB9CCF" w14:textId="188CFB7E" w:rsidR="003E0CE9" w:rsidRDefault="00CE6F73" w:rsidP="00601741">
      <w:r>
        <w:t xml:space="preserve">Fear of program failure is an impediment, both in governments and among external developers (for-profit and </w:t>
      </w:r>
      <w:proofErr w:type="spellStart"/>
      <w:r>
        <w:t>non-profit</w:t>
      </w:r>
      <w:proofErr w:type="spellEnd"/>
      <w:r>
        <w:t>).  Quite naturally, program developers are often invested in the solution they have developed rather than ensuring the problem gets solved and so restrict access to data they have about their program’s effectiveness or refuse to consent to independent evaluations of their programs.  </w:t>
      </w:r>
    </w:p>
    <w:p w14:paraId="4D01AD74" w14:textId="34C46557" w:rsidR="00CE6F73" w:rsidRDefault="00CE6F73" w:rsidP="00601741">
      <w:r>
        <w:t xml:space="preserve">We submit that if the people buying the programs--school leaders and policy makers--demanded rigorous independent evaluation (including costs and benefits), then program developers would be more inclined to submit their work to better scrutiny.  Governments could incentivise this demand in </w:t>
      </w:r>
      <w:r w:rsidR="00A24CCD">
        <w:t xml:space="preserve">five </w:t>
      </w:r>
      <w:r>
        <w:t xml:space="preserve">ways: (1) ensuring that training for school leaders includes research and data literacy; (2) at the pilot or development stage, only funding programs that consent to rigorous independent evaluation; </w:t>
      </w:r>
      <w:r w:rsidR="00A24CCD" w:rsidRPr="00601741">
        <w:t>(3) at a larger scale, only funding programs with rigorous evidence of impact on student learning; (4) supporting the independent collection and presentation of the cost-effectiveness of different programs and approaches; and (5) incentivising use of evidence by embedding evidence use requirements in operational frameworks (</w:t>
      </w:r>
      <w:r w:rsidR="0024042F" w:rsidRPr="00601741">
        <w:t>e.g.</w:t>
      </w:r>
      <w:r w:rsidR="00A24CCD" w:rsidRPr="00601741">
        <w:t xml:space="preserve">  </w:t>
      </w:r>
      <w:proofErr w:type="spellStart"/>
      <w:r w:rsidR="00A24CCD" w:rsidRPr="00601741">
        <w:t>AITSL</w:t>
      </w:r>
      <w:proofErr w:type="spellEnd"/>
      <w:r w:rsidR="00A24CCD" w:rsidRPr="00601741">
        <w:t xml:space="preserve"> teaching standards; school strategic planning processes) and funding arrangements</w:t>
      </w:r>
      <w:r w:rsidR="00A24CCD">
        <w:rPr>
          <w:rFonts w:ascii="Arial" w:hAnsi="Arial" w:cs="Arial"/>
          <w:color w:val="000000"/>
          <w:sz w:val="22"/>
          <w:szCs w:val="22"/>
        </w:rPr>
        <w:t>.</w:t>
      </w:r>
      <w:r w:rsidR="00A24CCD" w:rsidDel="00A24CCD">
        <w:t xml:space="preserve"> </w:t>
      </w:r>
    </w:p>
    <w:p w14:paraId="3B580C0F" w14:textId="77777777" w:rsidR="00CE6F73" w:rsidRPr="00F67811" w:rsidRDefault="00CE6F73" w:rsidP="00CE6F73">
      <w:pPr>
        <w:pStyle w:val="Heading4"/>
        <w:spacing w:before="280" w:after="80"/>
      </w:pPr>
      <w:r w:rsidRPr="00601741">
        <w:rPr>
          <w:rFonts w:ascii="Arial" w:hAnsi="Arial" w:cs="Arial"/>
          <w:bCs w:val="0"/>
          <w:i/>
          <w:iCs/>
        </w:rPr>
        <w:t>What characteristics of education data restrict or enhance the scope for using randomised controlled trials to create evidence about the effectiveness of education policies and programs in Australia?</w:t>
      </w:r>
    </w:p>
    <w:p w14:paraId="14E289A7" w14:textId="77777777" w:rsidR="003E0CE9" w:rsidRDefault="003E0CE9" w:rsidP="00CE6F73">
      <w:pPr>
        <w:pStyle w:val="NormalWeb"/>
        <w:spacing w:after="0"/>
        <w:rPr>
          <w:rFonts w:ascii="Arial" w:hAnsi="Arial" w:cs="Arial"/>
          <w:color w:val="000000"/>
          <w:sz w:val="22"/>
          <w:szCs w:val="22"/>
        </w:rPr>
      </w:pPr>
    </w:p>
    <w:p w14:paraId="1313E04A" w14:textId="118CADD7" w:rsidR="003E0CE9" w:rsidRDefault="00CE6F73" w:rsidP="00601741">
      <w:r>
        <w:t xml:space="preserve">We have noted above in the ‘educational data’ scope question the importance of including a wider range of data on ‘what works, for whom, under what conditions’ and the high value of </w:t>
      </w:r>
      <w:proofErr w:type="spellStart"/>
      <w:r>
        <w:t>RCTs</w:t>
      </w:r>
      <w:proofErr w:type="spellEnd"/>
      <w:r>
        <w:t xml:space="preserve"> (combined with qualitative analysis) in answering these questions. </w:t>
      </w:r>
    </w:p>
    <w:p w14:paraId="4E36C1BE" w14:textId="7B5882D7" w:rsidR="00F67811" w:rsidRDefault="00CE6F73" w:rsidP="00F67811">
      <w:r>
        <w:t xml:space="preserve">Over the last three months, Evidence for Learning has been developing three randomised controlled trials on Australian educational programs, all focused on numeracy. In this work, having nationally comparable and large-scale data sets such as those generated from </w:t>
      </w:r>
      <w:proofErr w:type="spellStart"/>
      <w:r>
        <w:t>NAPLAN</w:t>
      </w:r>
      <w:proofErr w:type="spellEnd"/>
      <w:r>
        <w:t xml:space="preserve"> and </w:t>
      </w:r>
      <w:proofErr w:type="spellStart"/>
      <w:r>
        <w:t>ACER’s</w:t>
      </w:r>
      <w:proofErr w:type="spellEnd"/>
      <w:r>
        <w:t xml:space="preserve"> Progressive Achievement Tests (PAT) has made designing trials easier, in terms of both (1) data for selection prior to randomising and (2) relevant post-intervention data.  This would also be true in literacy (</w:t>
      </w:r>
      <w:proofErr w:type="spellStart"/>
      <w:r>
        <w:t>NAPLAN</w:t>
      </w:r>
      <w:proofErr w:type="spellEnd"/>
      <w:r>
        <w:t xml:space="preserve"> &amp; PAT) and science (PAT).  There are not similar tests in most other outcome areas, for example in other subject areas or the General Capabilities in the Australian Curriculum. Not having existing nationally comparable and large-scale data sets in these areas means that, in setting up </w:t>
      </w:r>
      <w:proofErr w:type="spellStart"/>
      <w:r>
        <w:t>RCTs</w:t>
      </w:r>
      <w:proofErr w:type="spellEnd"/>
      <w:r>
        <w:t>, we would need to use outcome measures that were not widely known among education practitioners, which would mean evaluation results might be perceived as less relevant.  Also, not having those data sets means that individual trials are more expensive.</w:t>
      </w:r>
    </w:p>
    <w:p w14:paraId="0DA075D5" w14:textId="77777777" w:rsidR="00F67811" w:rsidRDefault="00F67811">
      <w:pPr>
        <w:spacing w:after="0" w:line="240" w:lineRule="auto"/>
      </w:pPr>
      <w:r>
        <w:br w:type="page"/>
      </w:r>
    </w:p>
    <w:p w14:paraId="21C13319" w14:textId="77777777" w:rsidR="00CE6F73" w:rsidRPr="003E0CE9" w:rsidRDefault="00CE6F73" w:rsidP="00AD0FC8">
      <w:pPr>
        <w:pStyle w:val="Heading3"/>
        <w:spacing w:before="240"/>
      </w:pPr>
      <w:bookmarkStart w:id="35" w:name="_Toc451895302"/>
      <w:r w:rsidRPr="003E0CE9">
        <w:lastRenderedPageBreak/>
        <w:t>Technology (scope to improve data collection and dissemination) - questions page 29</w:t>
      </w:r>
      <w:bookmarkEnd w:id="35"/>
    </w:p>
    <w:p w14:paraId="0F3EADEE" w14:textId="12C83D91" w:rsidR="005158B3" w:rsidRPr="00601741" w:rsidRDefault="00CE6F73" w:rsidP="005158B3">
      <w:pPr>
        <w:pStyle w:val="Heading4"/>
        <w:spacing w:before="280" w:after="80"/>
        <w:rPr>
          <w:rFonts w:ascii="Arial" w:hAnsi="Arial" w:cs="Arial"/>
          <w:bCs w:val="0"/>
          <w:i/>
          <w:iCs/>
        </w:rPr>
      </w:pPr>
      <w:r w:rsidRPr="00601741">
        <w:rPr>
          <w:rFonts w:ascii="Arial" w:hAnsi="Arial" w:cs="Arial"/>
          <w:bCs w:val="0"/>
          <w:i/>
          <w:iCs/>
        </w:rPr>
        <w:t>What are the main barriers to the greater adoption of technology (including mobile devices) to improve the quality and/or timeliness of data collection, processing and use?</w:t>
      </w:r>
    </w:p>
    <w:p w14:paraId="5B33A365" w14:textId="34483E8E" w:rsidR="003E0CE9" w:rsidRDefault="00CE6F73" w:rsidP="00601741">
      <w:r>
        <w:t xml:space="preserve">Currently the large majority of schools do not have all relevant data in a form most useful to them unless they compile it themselves. </w:t>
      </w:r>
    </w:p>
    <w:p w14:paraId="545737CE" w14:textId="28F891C4" w:rsidR="003E0CE9" w:rsidRDefault="00CE6F73" w:rsidP="00601741">
      <w:r>
        <w:t xml:space="preserve">For example, a secondary school we work with gathers local individual student data from entry to post-graduation and enters it in spreadsheets they have created. The school integrates that with data provided by the state education department and </w:t>
      </w:r>
      <w:proofErr w:type="spellStart"/>
      <w:r>
        <w:t>ACARA</w:t>
      </w:r>
      <w:proofErr w:type="spellEnd"/>
      <w:r>
        <w:t xml:space="preserve"> for use in instructional decision-making at faculty and teacher level. The school has contracted with a web developer to create a website where students can create individualised portfolios demonstrating their development of the general capabilities, which parents and prospective employers can see. Teachers also use these portfolios (as they are being created) to guide their instructional decisions.  The school has created this data infrastructure for itself, as there is no existing technology provided by the state department of education to meet these needs.</w:t>
      </w:r>
    </w:p>
    <w:p w14:paraId="7A2B3970" w14:textId="022FB3C0" w:rsidR="00CE6F73" w:rsidRDefault="00CE6F73" w:rsidP="00601741">
      <w:r>
        <w:t>Developing and promoting tools that link disparate data sources and create useful dashboards and data visualisations would assist schools who do not have the resources or wherewithal to develop their own environments. We note the work of the National Schools Interoperability Program</w:t>
      </w:r>
      <w:r w:rsidR="00A24CCD">
        <w:rPr>
          <w:rStyle w:val="FootnoteReference"/>
        </w:rPr>
        <w:footnoteReference w:id="101"/>
      </w:r>
      <w:r>
        <w:t xml:space="preserve"> and the national Data Strategy Group convened by the Australian Department of Education in developing models for the inclusion of such data in the resources available for schools and systems.</w:t>
      </w:r>
    </w:p>
    <w:p w14:paraId="67476456" w14:textId="77777777" w:rsidR="00CE6F73" w:rsidRPr="00F67811" w:rsidRDefault="00CE6F73" w:rsidP="00CE6F73">
      <w:pPr>
        <w:pStyle w:val="Heading4"/>
        <w:spacing w:before="280" w:after="80"/>
      </w:pPr>
      <w:r w:rsidRPr="00601741">
        <w:rPr>
          <w:rFonts w:ascii="Arial" w:hAnsi="Arial" w:cs="Arial"/>
          <w:bCs w:val="0"/>
          <w:i/>
          <w:iCs/>
        </w:rPr>
        <w:t>How can these barriers be best overcome?</w:t>
      </w:r>
    </w:p>
    <w:p w14:paraId="6F44B6F0" w14:textId="5D186A03" w:rsidR="003E0CE9" w:rsidRDefault="00CE6F73" w:rsidP="00601741">
      <w:r>
        <w:t>Creating valuable end products of the data and evidence is powerful to encourage users to adopt</w:t>
      </w:r>
      <w:r w:rsidR="00A24CCD">
        <w:t xml:space="preserve"> technology</w:t>
      </w:r>
      <w:r>
        <w:t>. If educators, who will in many case be the generators of key data, are motivated to gather and share because of the timely and useful return of actionable knowledge they will be more likely to work to overcome the barriers</w:t>
      </w:r>
    </w:p>
    <w:p w14:paraId="1FBECFB2" w14:textId="3C9D8623" w:rsidR="00CE6F73" w:rsidRDefault="00CE6F73" w:rsidP="00601741">
      <w:r>
        <w:t>Another effective way to overcome barriers to adoption of technology is to develop the desire in key users</w:t>
      </w:r>
      <w:r w:rsidR="00A24CCD">
        <w:t xml:space="preserve"> to use robust evidence efficiently to inform decision making</w:t>
      </w:r>
      <w:r>
        <w:t xml:space="preserve">. We refer to our response to Analytical and Research capability question </w:t>
      </w:r>
      <w:r w:rsidR="00A24CCD">
        <w:t xml:space="preserve">below </w:t>
      </w:r>
      <w:r>
        <w:t>on the most effective ways of enhancing the capabilities of schools and teachers to use the education evidence base to improve student outcomes.</w:t>
      </w:r>
    </w:p>
    <w:p w14:paraId="7632916A" w14:textId="77777777" w:rsidR="00CE6F73" w:rsidRPr="00F67811" w:rsidRDefault="00CE6F73" w:rsidP="00CE6F73">
      <w:pPr>
        <w:pStyle w:val="Heading4"/>
        <w:spacing w:before="280" w:after="80"/>
      </w:pPr>
      <w:r w:rsidRPr="00601741">
        <w:rPr>
          <w:rFonts w:ascii="Arial" w:hAnsi="Arial" w:cs="Arial"/>
          <w:bCs w:val="0"/>
          <w:i/>
          <w:iCs/>
        </w:rPr>
        <w:t>What new or alternative technologies could be utilised to improve the quality, timeliness and cost of data collection, processing and use?</w:t>
      </w:r>
    </w:p>
    <w:p w14:paraId="73CBE997" w14:textId="5FE35C47" w:rsidR="003E0CE9" w:rsidRDefault="00CE6F73" w:rsidP="00601741">
      <w:r>
        <w:t xml:space="preserve">Platforms, tools or services that allow schools to link the external data they receive with local data they generate for their own use would be highly beneficial. </w:t>
      </w:r>
    </w:p>
    <w:p w14:paraId="2524FB7F" w14:textId="77777777" w:rsidR="00CE6F73" w:rsidRDefault="00CE6F73" w:rsidP="00601741">
      <w:r>
        <w:t xml:space="preserve">Such tools might allow them to obtain diagnostic information based on current (linked) data and evidence, select programs likely to address their current needs and map their programs to their strategic plan. It should support their implementation of specific projects with defined measures and timely data presentation so they can make adjustments. The technology should also allow a school to create relevant reports for key stakeholders, including students, teachers, parents, school leadership and education departments. </w:t>
      </w:r>
    </w:p>
    <w:p w14:paraId="03BF64ED" w14:textId="77777777" w:rsidR="003E79FF" w:rsidRDefault="003E79FF">
      <w:pPr>
        <w:spacing w:after="0" w:line="240" w:lineRule="auto"/>
        <w:rPr>
          <w:rFonts w:ascii="Arial" w:hAnsi="Arial" w:cs="Arial"/>
          <w:color w:val="434343"/>
          <w:sz w:val="28"/>
          <w:szCs w:val="28"/>
        </w:rPr>
      </w:pPr>
      <w:r>
        <w:rPr>
          <w:rFonts w:ascii="Arial" w:hAnsi="Arial" w:cs="Arial"/>
          <w:b/>
          <w:bCs/>
          <w:color w:val="434343"/>
          <w:sz w:val="28"/>
          <w:szCs w:val="28"/>
        </w:rPr>
        <w:br w:type="page"/>
      </w:r>
    </w:p>
    <w:p w14:paraId="16D0EAB1" w14:textId="59148857" w:rsidR="00CE6F73" w:rsidRPr="003E79FF" w:rsidRDefault="00CE6F73" w:rsidP="00AD0FC8">
      <w:pPr>
        <w:pStyle w:val="Heading3"/>
      </w:pPr>
      <w:bookmarkStart w:id="36" w:name="_Toc451895303"/>
      <w:r w:rsidRPr="003E79FF">
        <w:lastRenderedPageBreak/>
        <w:t>Analytical and Research capability - questions page 31</w:t>
      </w:r>
      <w:bookmarkEnd w:id="36"/>
    </w:p>
    <w:p w14:paraId="1B63A6ED" w14:textId="77777777" w:rsidR="003E0CE9" w:rsidRDefault="003E0CE9" w:rsidP="003E0CE9">
      <w:pPr>
        <w:pStyle w:val="NormalWeb"/>
        <w:spacing w:after="0"/>
        <w:rPr>
          <w:rFonts w:ascii="Arial" w:hAnsi="Arial" w:cs="Arial"/>
          <w:color w:val="000000"/>
          <w:sz w:val="22"/>
          <w:szCs w:val="22"/>
        </w:rPr>
      </w:pPr>
    </w:p>
    <w:p w14:paraId="64A3C280" w14:textId="7D39544A" w:rsidR="00CE6F73" w:rsidRPr="00601741" w:rsidRDefault="00CE6F73" w:rsidP="003E0CE9">
      <w:pPr>
        <w:pStyle w:val="NormalWeb"/>
        <w:spacing w:after="0"/>
        <w:rPr>
          <w:b/>
          <w:i/>
          <w:sz w:val="20"/>
          <w:szCs w:val="20"/>
        </w:rPr>
      </w:pPr>
      <w:r w:rsidRPr="00601741">
        <w:rPr>
          <w:rFonts w:ascii="Arial" w:hAnsi="Arial" w:cs="Arial"/>
          <w:b/>
          <w:bCs/>
          <w:i/>
          <w:iCs/>
          <w:sz w:val="20"/>
          <w:szCs w:val="20"/>
        </w:rPr>
        <w:t>What are the most effective ways of enhancing the capabilities of parents, schools and teachers to use the education evidence base to improve student outcomes?</w:t>
      </w:r>
    </w:p>
    <w:p w14:paraId="70286B4A" w14:textId="77777777" w:rsidR="003E0CE9" w:rsidRDefault="003E0CE9" w:rsidP="00CE6F73">
      <w:pPr>
        <w:pStyle w:val="NormalWeb"/>
        <w:spacing w:after="0"/>
        <w:rPr>
          <w:rFonts w:ascii="Arial" w:hAnsi="Arial" w:cs="Arial"/>
          <w:color w:val="000000"/>
          <w:sz w:val="22"/>
          <w:szCs w:val="22"/>
        </w:rPr>
      </w:pPr>
    </w:p>
    <w:p w14:paraId="0DB4CBBB" w14:textId="06720567" w:rsidR="003E0CE9" w:rsidRDefault="00CE6F73" w:rsidP="00601741">
      <w:r>
        <w:t>There is considerable and helpful research on the most effective ways to encourage the practical use of research by educators.  This research leads to two key conclusions: (1) evidence needs to be actively worked into authentic professional networks, and (2) in order for evidence to be used to best effect, system leaders must invest in building the capacity of teachers and school leaders to do so.  </w:t>
      </w:r>
    </w:p>
    <w:p w14:paraId="5CD9F29E" w14:textId="46BE44C4" w:rsidR="00CE6F73" w:rsidRDefault="00CE6F73" w:rsidP="00601741">
      <w:r>
        <w:t>If the education evidence base is going to make a difference to student outcomes, then it must recognise the social reality in which educators make decisions.  Within schools, using research involves teachers and school leaders “making sense of conclusions from research, deliberating about their relevance to the current context, and creating policies that reflect agreements about what the research suggests they should do in that context.”</w:t>
      </w:r>
      <w:r w:rsidR="00A24CCD">
        <w:rPr>
          <w:rStyle w:val="FootnoteReference"/>
        </w:rPr>
        <w:footnoteReference w:id="102"/>
      </w:r>
      <w:r>
        <w:t xml:space="preserve"> Using research is thus “not simply the product of bureaucratic rationality or individual leaders’ action, but rather is embedded in a dynamically changing ecology of actors and organisational units and connections among them.” </w:t>
      </w:r>
      <w:r w:rsidR="00A24CCD">
        <w:rPr>
          <w:rStyle w:val="FootnoteReference"/>
        </w:rPr>
        <w:footnoteReference w:id="103"/>
      </w:r>
    </w:p>
    <w:p w14:paraId="15053D36" w14:textId="10652729" w:rsidR="003E0CE9" w:rsidRDefault="00CE6F73" w:rsidP="00601741">
      <w:r>
        <w:t>In making key decisions, teachers and school leaders “draw on trusted networks and want reliable ways to synthesize evidence from any study with evidence from their personal experience and peers.”</w:t>
      </w:r>
      <w:r w:rsidR="001B2775">
        <w:rPr>
          <w:rStyle w:val="FootnoteReference"/>
        </w:rPr>
        <w:footnoteReference w:id="104"/>
      </w:r>
      <w:r>
        <w:t xml:space="preserve">  Despite this desire, a wide cross-section of educators engaging with the William T. Grant Foundation report that research “findings rarely penetrated the networks they drew upon when trying to make decisions about ongoing work or possible changes.”</w:t>
      </w:r>
      <w:r w:rsidR="001B2775">
        <w:rPr>
          <w:rStyle w:val="FootnoteReference"/>
        </w:rPr>
        <w:footnoteReference w:id="105"/>
      </w:r>
      <w:r>
        <w:t xml:space="preserve"> Recognising this reality, the education evidence base must generate research and data products that can be easily worked into these networks, and findings from the evidence base must be communicated in ways that speak to these networks by actors who are trusted within them. </w:t>
      </w:r>
    </w:p>
    <w:p w14:paraId="1ED55D70" w14:textId="3AD7D145" w:rsidR="001B2775" w:rsidRDefault="00CE6F73" w:rsidP="00601741">
      <w:r>
        <w:t>Even when evidence penetrates educators’ social networks, it does not always lead to teachers and school leaders changing their actions to align to and draw on the evidence. When educators engage only superficially with evidence, they may “appropriate a label” from the evidence or “appropriate surface features” of the evidence, which would lead at best to temporary or conditional changes in their practice.</w:t>
      </w:r>
      <w:r w:rsidR="001B2775">
        <w:rPr>
          <w:rStyle w:val="FootnoteReference"/>
        </w:rPr>
        <w:footnoteReference w:id="106"/>
      </w:r>
      <w:r>
        <w:t xml:space="preserve">  Educators may have one of various beliefs or behaviours that act as barriers to understanding and acting on the evidence.</w:t>
      </w:r>
      <w:r w:rsidR="001B2775">
        <w:rPr>
          <w:rStyle w:val="FootnoteReference"/>
        </w:rPr>
        <w:footnoteReference w:id="107"/>
      </w:r>
    </w:p>
    <w:p w14:paraId="7F8C10C5" w14:textId="3240F423" w:rsidR="003E79FF" w:rsidRDefault="00CE6F73" w:rsidP="00601741">
      <w:r>
        <w:t xml:space="preserve">In work for the 2014 </w:t>
      </w:r>
      <w:proofErr w:type="spellStart"/>
      <w:r>
        <w:t>SVA</w:t>
      </w:r>
      <w:proofErr w:type="spellEnd"/>
      <w:r>
        <w:t xml:space="preserve"> Education Dialogue, we identified the following six potential barriers to adopting a new, evidence-informed practice.</w:t>
      </w:r>
    </w:p>
    <w:p w14:paraId="02B1A1E8" w14:textId="77777777" w:rsidR="00CE6F73" w:rsidRDefault="00CE6F73" w:rsidP="00CE6F73">
      <w:pPr>
        <w:pStyle w:val="NormalWeb"/>
        <w:spacing w:after="0"/>
      </w:pPr>
      <w:r>
        <w:rPr>
          <w:rFonts w:ascii="Arial" w:hAnsi="Arial" w:cs="Arial"/>
          <w:noProof/>
          <w:color w:val="000000"/>
          <w:sz w:val="22"/>
          <w:szCs w:val="22"/>
          <w:lang w:eastAsia="en-AU"/>
        </w:rPr>
        <w:lastRenderedPageBreak/>
        <w:drawing>
          <wp:inline distT="0" distB="0" distL="0" distR="0" wp14:anchorId="48D5C9F1" wp14:editId="4CB10A40">
            <wp:extent cx="5943600" cy="1455420"/>
            <wp:effectExtent l="0" t="0" r="0" b="0"/>
            <wp:docPr id="4" name="Picture 4" descr="https://lh4.googleusercontent.com/Lf8rEj9BOhuzZNYD3V5YAyQLkvU3oSuwF-4O5uiybGCc3RwTq0MDUAZRRBCKEL6OI57GvEsslppq3sv1NZpMsRTnICKeNcjnHw3RwsPgG2RWcMxgb1edslJ1PgzYck3gyhHY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Lf8rEj9BOhuzZNYD3V5YAyQLkvU3oSuwF-4O5uiybGCc3RwTq0MDUAZRRBCKEL6OI57GvEsslppq3sv1NZpMsRTnICKeNcjnHw3RwsPgG2RWcMxgb1edslJ1PgzYck3gyhHYE-B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455420"/>
                    </a:xfrm>
                    <a:prstGeom prst="rect">
                      <a:avLst/>
                    </a:prstGeom>
                    <a:noFill/>
                    <a:ln>
                      <a:noFill/>
                    </a:ln>
                  </pic:spPr>
                </pic:pic>
              </a:graphicData>
            </a:graphic>
          </wp:inline>
        </w:drawing>
      </w:r>
    </w:p>
    <w:p w14:paraId="739CF833" w14:textId="77777777" w:rsidR="00CE6F73" w:rsidRPr="00324EEB" w:rsidRDefault="00CE6F73">
      <w:pPr>
        <w:rPr>
          <w:szCs w:val="20"/>
        </w:rPr>
      </w:pPr>
    </w:p>
    <w:p w14:paraId="67EAC233" w14:textId="6736E69B" w:rsidR="00CE6F73" w:rsidRPr="00601741" w:rsidRDefault="00CE6F73" w:rsidP="00601741">
      <w:pPr>
        <w:rPr>
          <w:color w:val="000000"/>
          <w:szCs w:val="20"/>
        </w:rPr>
      </w:pPr>
      <w:r w:rsidRPr="00601741">
        <w:rPr>
          <w:color w:val="000000"/>
          <w:szCs w:val="20"/>
        </w:rPr>
        <w:t>To change student outcomes, educators’ practice must move beyond this superficial engagement and surmount these barriers.  </w:t>
      </w:r>
      <w:r w:rsidRPr="00601741">
        <w:rPr>
          <w:i/>
          <w:iCs/>
          <w:color w:val="000000"/>
          <w:szCs w:val="20"/>
        </w:rPr>
        <w:t>System leaders, intermediary organisations and providers of professional learning must create conditions that cause educators to deeply understand and act on the conceptual underpinnings of the evidence.</w:t>
      </w:r>
      <w:r w:rsidRPr="00601741">
        <w:rPr>
          <w:color w:val="000000"/>
          <w:szCs w:val="20"/>
        </w:rPr>
        <w:t xml:space="preserve">  These conditions include a learning architecture that makes it easier to learn new evidence and a set of social learning processes that will make the evidence easier to spread through existing networks. </w:t>
      </w:r>
      <w:r w:rsidR="001B2775">
        <w:rPr>
          <w:rStyle w:val="FootnoteReference"/>
          <w:color w:val="000000"/>
          <w:szCs w:val="20"/>
        </w:rPr>
        <w:footnoteReference w:id="108"/>
      </w:r>
    </w:p>
    <w:p w14:paraId="055E17E2" w14:textId="77777777" w:rsidR="003E79FF" w:rsidRDefault="003E79FF" w:rsidP="00CE6F73">
      <w:pPr>
        <w:pStyle w:val="NormalWeb"/>
        <w:spacing w:after="0"/>
      </w:pPr>
    </w:p>
    <w:p w14:paraId="3429113E" w14:textId="77777777" w:rsidR="00CE6F73" w:rsidRDefault="00CE6F73" w:rsidP="00CE6F73">
      <w:pPr>
        <w:pStyle w:val="NormalWeb"/>
        <w:spacing w:after="0"/>
      </w:pPr>
      <w:r>
        <w:rPr>
          <w:rFonts w:ascii="Arial" w:hAnsi="Arial" w:cs="Arial"/>
          <w:noProof/>
          <w:color w:val="000000"/>
          <w:sz w:val="22"/>
          <w:szCs w:val="22"/>
          <w:lang w:eastAsia="en-AU"/>
        </w:rPr>
        <w:drawing>
          <wp:inline distT="0" distB="0" distL="0" distR="0" wp14:anchorId="3EE32213" wp14:editId="2A9F112A">
            <wp:extent cx="5981700" cy="2674620"/>
            <wp:effectExtent l="0" t="0" r="0" b="0"/>
            <wp:docPr id="3" name="Picture 3" descr="Learning Architectur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rning Architecture Diagr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1700" cy="2674620"/>
                    </a:xfrm>
                    <a:prstGeom prst="rect">
                      <a:avLst/>
                    </a:prstGeom>
                    <a:noFill/>
                    <a:ln>
                      <a:noFill/>
                    </a:ln>
                  </pic:spPr>
                </pic:pic>
              </a:graphicData>
            </a:graphic>
          </wp:inline>
        </w:drawing>
      </w:r>
    </w:p>
    <w:p w14:paraId="268754E3" w14:textId="77777777" w:rsidR="00CE6F73" w:rsidRDefault="00CE6F73" w:rsidP="00CE6F73">
      <w:pPr>
        <w:pStyle w:val="NormalWeb"/>
        <w:spacing w:after="0"/>
      </w:pPr>
      <w:r>
        <w:rPr>
          <w:rFonts w:ascii="Arial" w:hAnsi="Arial" w:cs="Arial"/>
          <w:noProof/>
          <w:color w:val="000000"/>
          <w:sz w:val="22"/>
          <w:szCs w:val="22"/>
          <w:lang w:eastAsia="en-AU"/>
        </w:rPr>
        <w:lastRenderedPageBreak/>
        <w:drawing>
          <wp:inline distT="0" distB="0" distL="0" distR="0" wp14:anchorId="33623F11" wp14:editId="5B1A3B9A">
            <wp:extent cx="5928360" cy="2522220"/>
            <wp:effectExtent l="0" t="0" r="0" b="0"/>
            <wp:docPr id="2" name="Picture 2" descr="Social Learning Processe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cial Learning Processes Diagr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8360" cy="2522220"/>
                    </a:xfrm>
                    <a:prstGeom prst="rect">
                      <a:avLst/>
                    </a:prstGeom>
                    <a:noFill/>
                    <a:ln>
                      <a:noFill/>
                    </a:ln>
                  </pic:spPr>
                </pic:pic>
              </a:graphicData>
            </a:graphic>
          </wp:inline>
        </w:drawing>
      </w:r>
    </w:p>
    <w:p w14:paraId="30D04861" w14:textId="77777777" w:rsidR="00CE6F73" w:rsidRDefault="00CE6F73" w:rsidP="00CE6F73"/>
    <w:p w14:paraId="19FA997C" w14:textId="51CA4DDB" w:rsidR="003E0CE9" w:rsidRDefault="00CE6F73" w:rsidP="00601741">
      <w:r>
        <w:t xml:space="preserve">In creating these conditions, </w:t>
      </w:r>
      <w:proofErr w:type="spellStart"/>
      <w:r>
        <w:t>Honig</w:t>
      </w:r>
      <w:proofErr w:type="spellEnd"/>
      <w:r>
        <w:t xml:space="preserve"> and colleagues</w:t>
      </w:r>
      <w:r w:rsidR="001B2775">
        <w:rPr>
          <w:rStyle w:val="FootnoteReference"/>
        </w:rPr>
        <w:footnoteReference w:id="109"/>
      </w:r>
      <w:r>
        <w:t xml:space="preserve"> indicate that it is especially important that system leaders support these processes with financial and human resources and appropriate communication.  They should also participate in the process.  Otherwise, it is easy for practitioners to remain blocked by their barriers to change.</w:t>
      </w:r>
    </w:p>
    <w:p w14:paraId="4E610234" w14:textId="146C95B2" w:rsidR="003E0CE9" w:rsidRDefault="00CE6F73" w:rsidP="00601741">
      <w:r>
        <w:t xml:space="preserve">These conditions are consistent with those synthesised by </w:t>
      </w:r>
      <w:proofErr w:type="spellStart"/>
      <w:r>
        <w:t>Timperly</w:t>
      </w:r>
      <w:proofErr w:type="spellEnd"/>
      <w:r>
        <w:t xml:space="preserve"> and her colleagues</w:t>
      </w:r>
      <w:r w:rsidR="001B2775">
        <w:rPr>
          <w:rStyle w:val="FootnoteReference"/>
        </w:rPr>
        <w:footnoteReference w:id="110"/>
      </w:r>
      <w:r>
        <w:t>, which outline the features of professional learning and development for teachers that have an impact on student learning outcomes.  The findings overviews on pages xxvii, xxxii, xxxvi, and xl of the Synthesis are collectively a particularly useful summary.</w:t>
      </w:r>
    </w:p>
    <w:p w14:paraId="5B2E9869" w14:textId="77777777" w:rsidR="00CE6F73" w:rsidRPr="00BA3E89" w:rsidRDefault="00CE6F73" w:rsidP="00CE6F73">
      <w:pPr>
        <w:pStyle w:val="Heading4"/>
        <w:spacing w:before="280" w:after="80"/>
      </w:pPr>
      <w:r w:rsidRPr="00601741">
        <w:rPr>
          <w:rFonts w:ascii="Arial" w:hAnsi="Arial" w:cs="Arial"/>
          <w:bCs w:val="0"/>
          <w:i/>
          <w:iCs/>
        </w:rPr>
        <w:t>How effective have the different jurisdictional approaches to facilitating education research been in building research capacity?</w:t>
      </w:r>
    </w:p>
    <w:p w14:paraId="2599D16F" w14:textId="77777777" w:rsidR="00CE6F73" w:rsidRPr="00BA3E89" w:rsidRDefault="00CE6F73" w:rsidP="00CE6F73">
      <w:pPr>
        <w:pStyle w:val="Heading4"/>
        <w:spacing w:before="280" w:after="80"/>
      </w:pPr>
      <w:r w:rsidRPr="00601741">
        <w:rPr>
          <w:rFonts w:ascii="Arial" w:hAnsi="Arial" w:cs="Arial"/>
          <w:bCs w:val="0"/>
          <w:i/>
          <w:iCs/>
        </w:rPr>
        <w:t>What lessons have been learned from their introduction?</w:t>
      </w:r>
    </w:p>
    <w:p w14:paraId="19044846" w14:textId="77777777" w:rsidR="00CE6F73" w:rsidRPr="00BA3E89" w:rsidRDefault="00CE6F73" w:rsidP="00CE6F73">
      <w:pPr>
        <w:pStyle w:val="Heading4"/>
        <w:spacing w:before="280" w:after="80"/>
      </w:pPr>
      <w:r w:rsidRPr="00601741">
        <w:rPr>
          <w:rFonts w:ascii="Arial" w:hAnsi="Arial" w:cs="Arial"/>
          <w:bCs w:val="0"/>
          <w:i/>
          <w:iCs/>
        </w:rPr>
        <w:t>Does one model stand out as a model for other jurisdictions to adopt?</w:t>
      </w:r>
    </w:p>
    <w:p w14:paraId="54555AB4" w14:textId="77777777" w:rsidR="00CE6F73" w:rsidRDefault="00CE6F73" w:rsidP="00CE6F73"/>
    <w:p w14:paraId="432C9068" w14:textId="6578F56C" w:rsidR="00CE6F73" w:rsidRPr="003E0CE9" w:rsidRDefault="00CE6F73" w:rsidP="00601741">
      <w:r>
        <w:t>We are responding to these questions as a group.</w:t>
      </w:r>
      <w:r w:rsidR="001B2775">
        <w:br/>
      </w:r>
      <w:r w:rsidR="001B2775">
        <w:br/>
        <w:t xml:space="preserve">Through the Learning Impact Fund we are working with a number of state Departments of Education looking (in different ways) at co-funding independently administered </w:t>
      </w:r>
      <w:proofErr w:type="spellStart"/>
      <w:r w:rsidR="001B2775">
        <w:t>RCTs</w:t>
      </w:r>
      <w:proofErr w:type="spellEnd"/>
      <w:r w:rsidR="001B2775">
        <w:t xml:space="preserve"> on programs which</w:t>
      </w:r>
      <w:r w:rsidR="00E510AF">
        <w:t xml:space="preserve"> they are currently supporting</w:t>
      </w:r>
      <w:r w:rsidR="001B2775">
        <w:t xml:space="preserve"> or are considering for future funding. In exploring the potential for each project, the Department has played a critical role; without their involvement, program developers would be unlikely to submit their program for an independent evaluation.</w:t>
      </w:r>
    </w:p>
    <w:p w14:paraId="40DB6CF6" w14:textId="77777777" w:rsidR="00CE6F73" w:rsidRPr="003E0CE9" w:rsidRDefault="00CE6F73" w:rsidP="00601741"/>
    <w:p w14:paraId="5ADF3A9C" w14:textId="53B03ACC" w:rsidR="00CE6F73" w:rsidRPr="003E0CE9" w:rsidRDefault="001B2775" w:rsidP="00601741">
      <w:r>
        <w:lastRenderedPageBreak/>
        <w:t>The</w:t>
      </w:r>
      <w:r w:rsidR="00CE6F73">
        <w:t xml:space="preserve"> involvement </w:t>
      </w:r>
      <w:r>
        <w:t xml:space="preserve">of Departments also </w:t>
      </w:r>
      <w:r w:rsidR="00CE6F73">
        <w:t xml:space="preserve">send researchers </w:t>
      </w:r>
      <w:r>
        <w:t xml:space="preserve">a </w:t>
      </w:r>
      <w:r w:rsidR="00CE6F73">
        <w:t>signal that randomised controlled trials are an important part of the</w:t>
      </w:r>
      <w:r>
        <w:t>ir</w:t>
      </w:r>
      <w:r w:rsidR="00CE6F73">
        <w:t xml:space="preserve"> decision-making process regarding significant program expenditure, which will give researchers the incentive to build their capacity to run randomised controlled trials.</w:t>
      </w:r>
    </w:p>
    <w:p w14:paraId="4418F97A" w14:textId="350432A8" w:rsidR="00CE6F73" w:rsidRPr="003E0CE9" w:rsidRDefault="00CE6F73" w:rsidP="00601741">
      <w:r>
        <w:t xml:space="preserve">In setting up our Learning Impact Fund and being explicit that we are interested in funding randomised controlled trials, we have had a number of research groups and organisations commit to developing their capacity to deliver </w:t>
      </w:r>
      <w:proofErr w:type="spellStart"/>
      <w:r>
        <w:t>RCTs</w:t>
      </w:r>
      <w:proofErr w:type="spellEnd"/>
      <w:r>
        <w:t xml:space="preserve"> (or to transfer their </w:t>
      </w:r>
      <w:proofErr w:type="spellStart"/>
      <w:r>
        <w:t>RCT</w:t>
      </w:r>
      <w:proofErr w:type="spellEnd"/>
      <w:r>
        <w:t xml:space="preserve"> delivery capacity into schools) so that they can be on our panel of evaluators.  This has been in response to a small pool of funds ($4 million).  If more significant funding for this type of research were available, research groups would have greater incentive to increase their capacity to deliver this kind of rigorous research.</w:t>
      </w:r>
    </w:p>
    <w:p w14:paraId="35387A84" w14:textId="27B0E3A5" w:rsidR="003E0CE9" w:rsidRDefault="00CE6F73" w:rsidP="00601741">
      <w:r>
        <w:t>This experience speaks to the importance of institutional structure and disciplinary culture in creating an environment in which randomised controlled trials are an important part of the norm. As Cook indicates</w:t>
      </w:r>
      <w:r w:rsidR="005158B3">
        <w:t>,</w:t>
      </w:r>
      <w:r w:rsidR="00E510AF">
        <w:t xml:space="preserve"> “</w:t>
      </w:r>
      <w:r>
        <w:t>The discipline-based difference in the frequency of experiments may also be due to political will and disciplinary culture.  Random assignment is common in the health sciences because it is institutionally supported there by funding agencies, publishing outlets, graduate training programs, the clinical trials tradition, and practices in government health-action agencies”.</w:t>
      </w:r>
      <w:r w:rsidR="001B2775">
        <w:rPr>
          <w:rStyle w:val="FootnoteReference"/>
        </w:rPr>
        <w:footnoteReference w:id="111"/>
      </w:r>
    </w:p>
    <w:p w14:paraId="25F10480" w14:textId="018CD26A" w:rsidR="00CE6F73" w:rsidRDefault="00CE6F73" w:rsidP="00601741">
      <w:r>
        <w:t xml:space="preserve">Finally, experience from the </w:t>
      </w:r>
      <w:proofErr w:type="spellStart"/>
      <w:r>
        <w:t>EEF</w:t>
      </w:r>
      <w:proofErr w:type="spellEnd"/>
      <w:r w:rsidR="001B2775">
        <w:rPr>
          <w:rStyle w:val="FootnoteReference"/>
        </w:rPr>
        <w:footnoteReference w:id="112"/>
      </w:r>
      <w:r>
        <w:t xml:space="preserve"> in the UK and the </w:t>
      </w:r>
      <w:proofErr w:type="spellStart"/>
      <w:r>
        <w:t>NCRPP</w:t>
      </w:r>
      <w:proofErr w:type="spellEnd"/>
      <w:r w:rsidR="001B2775">
        <w:rPr>
          <w:rStyle w:val="FootnoteReference"/>
        </w:rPr>
        <w:footnoteReference w:id="113"/>
      </w:r>
      <w:r>
        <w:t xml:space="preserve"> in the USA seems to show that one critical success factor for evidence brokers is their actual and perceived independence from governments or funders and operators of school systems. In overcoming the identified barriers to adoption of evidence based programs, it is seen as particularly important that the motivation of the promoters of the evidence are unimpeachable and untied to any particular outcome of the research or evidence that they report on and promote. </w:t>
      </w:r>
      <w:r w:rsidR="001B2775" w:rsidRPr="00601741">
        <w:t>Trust in the expertise and independence of those commissioning and conducting research trials is an important consideration. “In the policy realm, random assignment should be in independent hands and carried out by staff with a recent history of successful randomization in complex field settings.”</w:t>
      </w:r>
      <w:r w:rsidR="001B2775">
        <w:rPr>
          <w:rStyle w:val="FootnoteReference"/>
        </w:rPr>
        <w:footnoteReference w:id="114"/>
      </w:r>
    </w:p>
    <w:p w14:paraId="6585D405" w14:textId="77777777" w:rsidR="003E79FF" w:rsidRDefault="003E79FF">
      <w:r>
        <w:rPr>
          <w:bCs/>
          <w:iCs/>
        </w:rPr>
        <w:br w:type="page"/>
      </w:r>
    </w:p>
    <w:p w14:paraId="67C4A4D6" w14:textId="4E9D21F3" w:rsidR="00CE6F73" w:rsidRDefault="00CE6F73" w:rsidP="00601741">
      <w:pPr>
        <w:pStyle w:val="Heading2"/>
        <w:framePr w:w="9518" w:wrap="around" w:hAnchor="page" w:x="1611" w:y="-105"/>
      </w:pPr>
      <w:bookmarkStart w:id="37" w:name="_Toc451895304"/>
      <w:r>
        <w:lastRenderedPageBreak/>
        <w:t xml:space="preserve">Section 5: </w:t>
      </w:r>
      <w:r w:rsidR="00E0340A">
        <w:br/>
      </w:r>
      <w:r>
        <w:t>Institutions, data governance and prioritising reform</w:t>
      </w:r>
      <w:bookmarkEnd w:id="37"/>
    </w:p>
    <w:p w14:paraId="7DF48439" w14:textId="77777777" w:rsidR="00CE6F73" w:rsidRPr="003E79FF" w:rsidRDefault="00CE6F73" w:rsidP="00AD0FC8">
      <w:pPr>
        <w:pStyle w:val="Heading3"/>
      </w:pPr>
      <w:bookmarkStart w:id="38" w:name="_Toc451895305"/>
      <w:r w:rsidRPr="003E79FF">
        <w:t>What data governance arrangements might work best</w:t>
      </w:r>
      <w:bookmarkEnd w:id="38"/>
    </w:p>
    <w:p w14:paraId="171A163A" w14:textId="784BE094" w:rsidR="003E79FF" w:rsidRPr="00601741" w:rsidRDefault="00CE6F73" w:rsidP="003E79FF">
      <w:pPr>
        <w:pStyle w:val="Heading4"/>
        <w:spacing w:before="280" w:after="80"/>
        <w:rPr>
          <w:rFonts w:ascii="Arial" w:hAnsi="Arial" w:cs="Arial"/>
          <w:bCs w:val="0"/>
          <w:i/>
          <w:iCs/>
        </w:rPr>
      </w:pPr>
      <w:r w:rsidRPr="00601741">
        <w:rPr>
          <w:rFonts w:ascii="Arial" w:hAnsi="Arial" w:cs="Arial"/>
          <w:bCs w:val="0"/>
          <w:i/>
          <w:iCs/>
        </w:rPr>
        <w:t>General response to questions on page 33</w:t>
      </w:r>
    </w:p>
    <w:p w14:paraId="74A6BD13" w14:textId="03A86A63" w:rsidR="003E79FF" w:rsidRDefault="00CE6F73" w:rsidP="00601741">
      <w:r>
        <w:t xml:space="preserve">As we are not current owners or managers of educational data we are not well placed to make a detailed submission on the questions in this section. However, through Evidence for Learning’s Learning Impact Fund we seek to fund research trials that will rely on data gathered and managed in any future national evidence base. </w:t>
      </w:r>
    </w:p>
    <w:p w14:paraId="1D46CE49" w14:textId="49981873" w:rsidR="003E79FF" w:rsidRDefault="00CE6F73" w:rsidP="00601741">
      <w:r>
        <w:t xml:space="preserve">Over the last three months, Evidence for Learning has been developing three randomised controlled trials on Australian educational programs, all focused on numeracy. In this work, having nationally comparable and large-scale data sets such as those generated from </w:t>
      </w:r>
      <w:proofErr w:type="spellStart"/>
      <w:r>
        <w:t>NAPLAN</w:t>
      </w:r>
      <w:proofErr w:type="spellEnd"/>
      <w:r>
        <w:t xml:space="preserve"> and </w:t>
      </w:r>
      <w:proofErr w:type="spellStart"/>
      <w:r>
        <w:t>ACER’s</w:t>
      </w:r>
      <w:proofErr w:type="spellEnd"/>
      <w:r>
        <w:t xml:space="preserve"> Progressive Achievement Tests (PAT) has made designing trials easier, in terms of both (1) data for selection prior to randomising and (2) relevant post-intervention data.  This would also be true in literacy (</w:t>
      </w:r>
      <w:proofErr w:type="spellStart"/>
      <w:r>
        <w:t>NAPLAN</w:t>
      </w:r>
      <w:proofErr w:type="spellEnd"/>
      <w:r>
        <w:t xml:space="preserve"> &amp; PAT) and science (PAT).  </w:t>
      </w:r>
    </w:p>
    <w:p w14:paraId="5623339C" w14:textId="1A09A52D" w:rsidR="003E79FF" w:rsidRDefault="00CE6F73" w:rsidP="00601741">
      <w:r>
        <w:t xml:space="preserve">There are not similar tests in most other outcome areas, for example in other subject areas or the General Capabilities in the Australian Curriculum. Not having existing nationally comparable and large-scale data sets in these areas means that, in setting up </w:t>
      </w:r>
      <w:proofErr w:type="spellStart"/>
      <w:r>
        <w:t>RCTs</w:t>
      </w:r>
      <w:proofErr w:type="spellEnd"/>
      <w:r>
        <w:t>, we would need to use outcome measures that were not widely known among education practitioners, which would mean evaluation results might be perceived as less relevant.  Also, not having those data sets means that individual trials are more expensive.</w:t>
      </w:r>
    </w:p>
    <w:p w14:paraId="61A95DB8" w14:textId="77777777" w:rsidR="00CE6F73" w:rsidRDefault="00CE6F73" w:rsidP="00601741">
      <w:r>
        <w:t>We recognise the complexity and challenges associated with streamlining or normalising data governance arrangements. The trials that we seek to fund and run through Evidence for Learning would be a strong beneficiary from arrangements that enable nationally comparable data sets on student achievement.  </w:t>
      </w:r>
    </w:p>
    <w:p w14:paraId="7E4964A1" w14:textId="77777777" w:rsidR="003E79FF" w:rsidRDefault="003E79FF" w:rsidP="00CE6F73">
      <w:pPr>
        <w:pStyle w:val="NormalWeb"/>
        <w:spacing w:after="0"/>
      </w:pPr>
    </w:p>
    <w:p w14:paraId="397D4FFC" w14:textId="646C2D64" w:rsidR="00CE6F73" w:rsidRDefault="00CE6F73" w:rsidP="00AD0FC8">
      <w:pPr>
        <w:pStyle w:val="Heading3"/>
      </w:pPr>
      <w:bookmarkStart w:id="39" w:name="_Toc451895306"/>
      <w:r>
        <w:t>Assessing costs and benefits</w:t>
      </w:r>
      <w:r w:rsidR="006E7D7F">
        <w:t xml:space="preserve"> to prioritise reform - questions </w:t>
      </w:r>
      <w:r>
        <w:t>page 33</w:t>
      </w:r>
      <w:bookmarkEnd w:id="39"/>
    </w:p>
    <w:p w14:paraId="17723EDB" w14:textId="77777777" w:rsidR="00CE6F73" w:rsidRPr="001B2775" w:rsidRDefault="00CE6F73" w:rsidP="00CE6F73">
      <w:pPr>
        <w:pStyle w:val="Heading4"/>
        <w:spacing w:before="280" w:after="80"/>
      </w:pPr>
      <w:r w:rsidRPr="00601741">
        <w:rPr>
          <w:rFonts w:ascii="Arial" w:hAnsi="Arial" w:cs="Arial"/>
          <w:bCs w:val="0"/>
          <w:i/>
          <w:iCs/>
        </w:rPr>
        <w:t>What reforms are likely to be the most beneficial?</w:t>
      </w:r>
    </w:p>
    <w:p w14:paraId="773943AD" w14:textId="08F2E550" w:rsidR="003E79FF" w:rsidRDefault="00CE6F73" w:rsidP="00601741">
      <w:r>
        <w:t xml:space="preserve">We agree with the Commission’s approach to prioritise reforms that will be most beneficial. As noted in other parts of this submission we recommend that the Commission be guided by determining which reforms will have the biggest impact on improving educational outcomes. </w:t>
      </w:r>
      <w:r w:rsidR="002C7364">
        <w:t>I</w:t>
      </w:r>
      <w:r>
        <w:t xml:space="preserve">mproving the quality of teaching in the classroom via effective </w:t>
      </w:r>
      <w:r w:rsidR="001B2775">
        <w:t xml:space="preserve">approaches </w:t>
      </w:r>
      <w:r>
        <w:t>has the highest impact</w:t>
      </w:r>
      <w:r w:rsidR="001B2775">
        <w:rPr>
          <w:rStyle w:val="FootnoteReference"/>
        </w:rPr>
        <w:footnoteReference w:id="115"/>
      </w:r>
      <w:r>
        <w:t xml:space="preserve">. So reforms that support this specific improvement agenda will yield the greatest benefit. </w:t>
      </w:r>
    </w:p>
    <w:p w14:paraId="7C0DD615" w14:textId="77777777" w:rsidR="00CE6F73" w:rsidRDefault="00CE6F73" w:rsidP="00601741">
      <w:r>
        <w:t>We submit that there are two reforms that offer large gains in improving the quality of teaching in the classroom:</w:t>
      </w:r>
    </w:p>
    <w:p w14:paraId="6AF4025C" w14:textId="2D39ABD8" w:rsidR="00BA3E89" w:rsidRPr="003E79FF" w:rsidRDefault="00CE6F73" w:rsidP="00601741">
      <w:pPr>
        <w:pStyle w:val="ListNumber"/>
        <w:numPr>
          <w:ilvl w:val="0"/>
          <w:numId w:val="73"/>
        </w:numPr>
      </w:pPr>
      <w:r w:rsidRPr="003E79FF">
        <w:t xml:space="preserve">Filling the research gap of experimental evidence on the learning impact of programs and approaches being funded and used in schools, through an increase in funding and support for methods such as </w:t>
      </w:r>
      <w:proofErr w:type="spellStart"/>
      <w:r w:rsidRPr="003E79FF">
        <w:t>RCTs</w:t>
      </w:r>
      <w:proofErr w:type="spellEnd"/>
      <w:r w:rsidRPr="003E79FF">
        <w:t xml:space="preserve"> in schools</w:t>
      </w:r>
      <w:r w:rsidR="00B773D8">
        <w:t xml:space="preserve">. This would be best done by a </w:t>
      </w:r>
      <w:r w:rsidR="00B773D8" w:rsidRPr="00B773D8">
        <w:t xml:space="preserve">body </w:t>
      </w:r>
      <w:r w:rsidR="00B773D8">
        <w:t>independent of governments</w:t>
      </w:r>
      <w:r w:rsidR="00B773D8" w:rsidRPr="00B773D8">
        <w:t>.</w:t>
      </w:r>
      <w:r w:rsidRPr="003E79FF">
        <w:t>; and</w:t>
      </w:r>
    </w:p>
    <w:p w14:paraId="7DC78DA3" w14:textId="77777777" w:rsidR="00CE6F73" w:rsidRDefault="00CE6F73" w:rsidP="00601741">
      <w:pPr>
        <w:pStyle w:val="ListNumber"/>
        <w:numPr>
          <w:ilvl w:val="0"/>
          <w:numId w:val="73"/>
        </w:numPr>
      </w:pPr>
      <w:r>
        <w:lastRenderedPageBreak/>
        <w:t>Ensuring evidence based practices are understood and adopted by educators through funding specific activities that improve frontline professionals’ engagement with evidence and ability to implement with impact.</w:t>
      </w:r>
    </w:p>
    <w:p w14:paraId="6B91AC69" w14:textId="77777777" w:rsidR="00CE6F73" w:rsidRPr="00BA3E89" w:rsidRDefault="00CE6F73" w:rsidP="00CE6F73">
      <w:pPr>
        <w:pStyle w:val="Heading4"/>
        <w:spacing w:before="280" w:after="80"/>
        <w:rPr>
          <w:rFonts w:ascii="Times New Roman" w:hAnsi="Times New Roman" w:cs="Times New Roman"/>
          <w:sz w:val="24"/>
          <w:szCs w:val="24"/>
        </w:rPr>
      </w:pPr>
      <w:r w:rsidRPr="00601741">
        <w:rPr>
          <w:rFonts w:ascii="Arial" w:hAnsi="Arial" w:cs="Arial"/>
          <w:bCs w:val="0"/>
          <w:i/>
          <w:iCs/>
        </w:rPr>
        <w:t>How should reform options be prioritised?</w:t>
      </w:r>
    </w:p>
    <w:p w14:paraId="09E62D16" w14:textId="7F33901B" w:rsidR="00CE6F73" w:rsidRPr="00324EEB" w:rsidRDefault="001B2775" w:rsidP="00601741">
      <w:r>
        <w:t xml:space="preserve">All reform options should be evaluated against their specific impact on improving educational outcomes, their cost-effectiveness, and their feasibility. If a reform is expressed as general capacity or capability, </w:t>
      </w:r>
      <w:r w:rsidR="00712F7A">
        <w:t xml:space="preserve">the evaluation should include consideration </w:t>
      </w:r>
      <w:r>
        <w:t>of what other reforms or activities would be required in order for that reform to actually lead to improvements in educational outcomes.</w:t>
      </w:r>
      <w:r w:rsidDel="001B2775">
        <w:t xml:space="preserve"> </w:t>
      </w:r>
      <w:r>
        <w:br/>
      </w:r>
      <w:r>
        <w:br/>
      </w:r>
      <w:r w:rsidR="00CE6F73" w:rsidRPr="00601741">
        <w:rPr>
          <w:b/>
          <w:bCs/>
          <w:i/>
          <w:iCs/>
        </w:rPr>
        <w:t>How long would these reforms take to implement?</w:t>
      </w:r>
    </w:p>
    <w:p w14:paraId="33ED784E" w14:textId="3CE00829" w:rsidR="003E79FF" w:rsidRDefault="00CE6F73" w:rsidP="00601741">
      <w:r>
        <w:t xml:space="preserve">Both recommended reforms </w:t>
      </w:r>
      <w:r w:rsidR="00E276BA">
        <w:t>can be</w:t>
      </w:r>
      <w:r>
        <w:t xml:space="preserve"> implemented in modest form relatively quickly, without requiring new national agreements or legislative changes and with the ability to scale or expand if they show effective improvements on educational outcomes.</w:t>
      </w:r>
    </w:p>
    <w:p w14:paraId="2EFF9673" w14:textId="75B51C7A" w:rsidR="00BA3E89" w:rsidRDefault="00CE6F73" w:rsidP="00601741">
      <w:pPr>
        <w:pStyle w:val="ListNumber"/>
        <w:numPr>
          <w:ilvl w:val="0"/>
          <w:numId w:val="74"/>
        </w:numPr>
      </w:pPr>
      <w:r>
        <w:t xml:space="preserve">Improving the evidence base of effectiveness of ‘in-school’ programs through experimental trials (such as </w:t>
      </w:r>
      <w:proofErr w:type="spellStart"/>
      <w:r>
        <w:t>RCTs</w:t>
      </w:r>
      <w:proofErr w:type="spellEnd"/>
      <w:r>
        <w:t xml:space="preserve">) can commence immediately through additional funding and support of </w:t>
      </w:r>
      <w:r w:rsidR="00712F7A">
        <w:t xml:space="preserve">initiatives like </w:t>
      </w:r>
      <w:r>
        <w:t xml:space="preserve">Evidence for Learning’s Learning Impact Fund. In modest form, the research trials can rely on the existing data sources, however as noted in this submission there are great opportunities for lower cost </w:t>
      </w:r>
      <w:proofErr w:type="spellStart"/>
      <w:r>
        <w:t>RCTs</w:t>
      </w:r>
      <w:proofErr w:type="spellEnd"/>
      <w:r>
        <w:t xml:space="preserve"> whenever administrative data is available for research purposes</w:t>
      </w:r>
      <w:r w:rsidR="00BA3E89">
        <w:t>.</w:t>
      </w:r>
      <w:r w:rsidR="00BA3E89">
        <w:br/>
      </w:r>
    </w:p>
    <w:p w14:paraId="301EE618" w14:textId="07BC3908" w:rsidR="00CE6F73" w:rsidRPr="003E79FF" w:rsidRDefault="00CE6F73" w:rsidP="00601741">
      <w:pPr>
        <w:pStyle w:val="ListNumber"/>
        <w:numPr>
          <w:ilvl w:val="0"/>
          <w:numId w:val="74"/>
        </w:numPr>
      </w:pPr>
      <w:r w:rsidRPr="003E79FF">
        <w:t>Improving the likelihood of educators to engage with evidence can commence immediately through funding and</w:t>
      </w:r>
      <w:r w:rsidR="00712F7A">
        <w:t xml:space="preserve"> promotion of evidence sources a</w:t>
      </w:r>
      <w:r w:rsidRPr="003E79FF">
        <w:t>nd they can use existing initiatives and programs</w:t>
      </w:r>
      <w:r w:rsidR="001B2775">
        <w:t xml:space="preserve">, for example the response to </w:t>
      </w:r>
      <w:proofErr w:type="spellStart"/>
      <w:r w:rsidRPr="003E79FF">
        <w:t>TEMAG</w:t>
      </w:r>
      <w:proofErr w:type="spellEnd"/>
      <w:r w:rsidRPr="003E79FF">
        <w:t xml:space="preserve"> to include building evidence and data skills, </w:t>
      </w:r>
      <w:proofErr w:type="spellStart"/>
      <w:r w:rsidRPr="003E79FF">
        <w:t>AITSL</w:t>
      </w:r>
      <w:proofErr w:type="spellEnd"/>
      <w:r w:rsidRPr="003E79FF">
        <w:t xml:space="preserve"> to support improvement aligned to professional standards, </w:t>
      </w:r>
      <w:r w:rsidR="00712F7A">
        <w:t xml:space="preserve">and </w:t>
      </w:r>
      <w:r w:rsidRPr="003E79FF">
        <w:t xml:space="preserve">funding bodies like </w:t>
      </w:r>
      <w:r w:rsidR="00B773D8">
        <w:t>Evidence for Learning</w:t>
      </w:r>
      <w:r w:rsidR="00B773D8" w:rsidRPr="003E79FF">
        <w:t xml:space="preserve"> </w:t>
      </w:r>
      <w:r w:rsidRPr="003E79FF">
        <w:t xml:space="preserve">to disseminate and promote </w:t>
      </w:r>
      <w:r w:rsidR="001B2775">
        <w:t xml:space="preserve">evidence. </w:t>
      </w:r>
    </w:p>
    <w:p w14:paraId="2C6DF29F" w14:textId="77777777" w:rsidR="00CE6F73" w:rsidRDefault="00CE6F73" w:rsidP="00CE6F73">
      <w:pPr>
        <w:rPr>
          <w:rFonts w:ascii="Times New Roman" w:hAnsi="Times New Roman" w:cs="Times New Roman"/>
          <w:sz w:val="24"/>
        </w:rPr>
      </w:pPr>
    </w:p>
    <w:p w14:paraId="728C104C" w14:textId="77777777" w:rsidR="00BC32A9" w:rsidRDefault="00BC32A9" w:rsidP="00601741"/>
    <w:sectPr w:rsidR="00BC32A9" w:rsidSect="00102B61">
      <w:headerReference w:type="even" r:id="rId27"/>
      <w:headerReference w:type="default" r:id="rId28"/>
      <w:footerReference w:type="even" r:id="rId29"/>
      <w:footerReference w:type="default" r:id="rId30"/>
      <w:pgSz w:w="11906" w:h="16838" w:code="9"/>
      <w:pgMar w:top="1985" w:right="851" w:bottom="993" w:left="1701" w:header="510" w:footer="215"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F35B8" w14:textId="77777777" w:rsidR="00051F36" w:rsidRDefault="00051F36">
      <w:r>
        <w:separator/>
      </w:r>
    </w:p>
  </w:endnote>
  <w:endnote w:type="continuationSeparator" w:id="0">
    <w:p w14:paraId="08979141" w14:textId="77777777" w:rsidR="00051F36" w:rsidRDefault="00051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embedRegular r:id="rId1" w:fontKey="{201739D4-4DBC-4127-800D-2977B523CD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939498"/>
      </w:tblBorders>
      <w:tblLayout w:type="fixed"/>
      <w:tblCellMar>
        <w:top w:w="57" w:type="dxa"/>
        <w:left w:w="0" w:type="dxa"/>
        <w:right w:w="0" w:type="dxa"/>
      </w:tblCellMar>
      <w:tblLook w:val="01E0" w:firstRow="1" w:lastRow="1" w:firstColumn="1" w:lastColumn="1" w:noHBand="0" w:noVBand="0"/>
    </w:tblPr>
    <w:tblGrid>
      <w:gridCol w:w="5103"/>
      <w:gridCol w:w="5103"/>
    </w:tblGrid>
    <w:tr w:rsidR="00051F36" w14:paraId="248ED4D9" w14:textId="77777777" w:rsidTr="00FB32F9">
      <w:trPr>
        <w:trHeight w:hRule="exact" w:val="284"/>
      </w:trPr>
      <w:tc>
        <w:tcPr>
          <w:tcW w:w="5103" w:type="dxa"/>
        </w:tcPr>
        <w:p w14:paraId="21226C93" w14:textId="77777777" w:rsidR="00051F36" w:rsidRPr="007F5B28" w:rsidRDefault="00051F36" w:rsidP="00A85342">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5103" w:type="dxa"/>
        </w:tcPr>
        <w:p w14:paraId="40AC142D" w14:textId="77777777" w:rsidR="00051F36" w:rsidRDefault="00051F36" w:rsidP="00FB32F9">
          <w:pPr>
            <w:pStyle w:val="Footer"/>
            <w:jc w:val="right"/>
          </w:pPr>
        </w:p>
      </w:tc>
    </w:tr>
  </w:tbl>
  <w:p w14:paraId="16883BC9" w14:textId="77777777" w:rsidR="00051F36" w:rsidRDefault="00051F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ayout w:type="fixed"/>
      <w:tblCellMar>
        <w:left w:w="0" w:type="dxa"/>
        <w:right w:w="0" w:type="dxa"/>
      </w:tblCellMar>
      <w:tblLook w:val="01E0" w:firstRow="1" w:lastRow="1" w:firstColumn="1" w:lastColumn="1" w:noHBand="0" w:noVBand="0"/>
    </w:tblPr>
    <w:tblGrid>
      <w:gridCol w:w="5671"/>
      <w:gridCol w:w="3316"/>
      <w:gridCol w:w="369"/>
    </w:tblGrid>
    <w:tr w:rsidR="00051F36" w14:paraId="07FAEFBA" w14:textId="77777777" w:rsidTr="00324D66">
      <w:trPr>
        <w:trHeight w:hRule="exact" w:val="284"/>
      </w:trPr>
      <w:tc>
        <w:tcPr>
          <w:tcW w:w="9356" w:type="dxa"/>
          <w:gridSpan w:val="3"/>
          <w:vAlign w:val="bottom"/>
        </w:tcPr>
        <w:p w14:paraId="215654AB" w14:textId="77777777" w:rsidR="00051F36" w:rsidRDefault="00051F36" w:rsidP="00E63C76">
          <w:pPr>
            <w:pStyle w:val="Footer"/>
          </w:pPr>
          <w:bookmarkStart w:id="41" w:name="Footer"/>
          <w:bookmarkEnd w:id="41"/>
          <w:r>
            <w:rPr>
              <w:noProof/>
              <w:lang w:eastAsia="en-AU"/>
            </w:rPr>
            <w:drawing>
              <wp:inline distT="0" distB="0" distL="0" distR="0" wp14:anchorId="3E5A3DFE" wp14:editId="270910E7">
                <wp:extent cx="5940000" cy="75600"/>
                <wp:effectExtent l="0" t="0" r="381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5940000" cy="75600"/>
                        </a:xfrm>
                        <a:prstGeom prst="rect">
                          <a:avLst/>
                        </a:prstGeom>
                      </pic:spPr>
                    </pic:pic>
                  </a:graphicData>
                </a:graphic>
              </wp:inline>
            </w:drawing>
          </w:r>
        </w:p>
      </w:tc>
    </w:tr>
    <w:tr w:rsidR="00051F36" w14:paraId="7ECBC66C" w14:textId="77777777" w:rsidTr="00324D66">
      <w:trPr>
        <w:trHeight w:hRule="exact" w:val="454"/>
      </w:trPr>
      <w:tc>
        <w:tcPr>
          <w:tcW w:w="5671" w:type="dxa"/>
          <w:vAlign w:val="bottom"/>
        </w:tcPr>
        <w:p w14:paraId="40CB709C" w14:textId="77777777" w:rsidR="00051F36" w:rsidRPr="007F5B28" w:rsidRDefault="00051F36" w:rsidP="00123AC8">
          <w:pPr>
            <w:pStyle w:val="Footer"/>
          </w:pPr>
          <w:bookmarkStart w:id="42" w:name="Title2"/>
          <w:bookmarkEnd w:id="42"/>
          <w:r>
            <w:rPr>
              <w:noProof/>
              <w:lang w:eastAsia="en-AU"/>
            </w:rPr>
            <w:drawing>
              <wp:inline distT="0" distB="0" distL="0" distR="0" wp14:anchorId="21DA44FD" wp14:editId="4D9553EF">
                <wp:extent cx="3466800" cy="151200"/>
                <wp:effectExtent l="0" t="0" r="63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VA Sample3.png"/>
                        <pic:cNvPicPr/>
                      </pic:nvPicPr>
                      <pic:blipFill rotWithShape="1">
                        <a:blip r:embed="rId2">
                          <a:extLst>
                            <a:ext uri="{28A0092B-C50C-407E-A947-70E740481C1C}">
                              <a14:useLocalDpi xmlns:a14="http://schemas.microsoft.com/office/drawing/2010/main" val="0"/>
                            </a:ext>
                          </a:extLst>
                        </a:blip>
                        <a:srcRect t="1" r="6112" b="28818"/>
                        <a:stretch/>
                      </pic:blipFill>
                      <pic:spPr bwMode="auto">
                        <a:xfrm>
                          <a:off x="0" y="0"/>
                          <a:ext cx="3466800" cy="151200"/>
                        </a:xfrm>
                        <a:prstGeom prst="rect">
                          <a:avLst/>
                        </a:prstGeom>
                        <a:ln>
                          <a:noFill/>
                        </a:ln>
                        <a:extLst>
                          <a:ext uri="{53640926-AAD7-44D8-BBD7-CCE9431645EC}">
                            <a14:shadowObscured xmlns:a14="http://schemas.microsoft.com/office/drawing/2010/main"/>
                          </a:ext>
                        </a:extLst>
                      </pic:spPr>
                    </pic:pic>
                  </a:graphicData>
                </a:graphic>
              </wp:inline>
            </w:drawing>
          </w:r>
        </w:p>
      </w:tc>
      <w:tc>
        <w:tcPr>
          <w:tcW w:w="3316" w:type="dxa"/>
          <w:vAlign w:val="bottom"/>
        </w:tcPr>
        <w:p w14:paraId="57ABF9CC" w14:textId="589362AD" w:rsidR="00051F36" w:rsidRDefault="00051F36" w:rsidP="009B5ACB">
          <w:pPr>
            <w:pStyle w:val="Footer"/>
            <w:jc w:val="right"/>
          </w:pPr>
          <w:r>
            <w:fldChar w:fldCharType="begin"/>
          </w:r>
          <w:r>
            <w:instrText xml:space="preserve"> DATE  \@ "MMMM yyyy"  \* MERGEFORMAT </w:instrText>
          </w:r>
          <w:r>
            <w:fldChar w:fldCharType="separate"/>
          </w:r>
          <w:r w:rsidR="00AA442E">
            <w:rPr>
              <w:noProof/>
            </w:rPr>
            <w:t>May 2016</w:t>
          </w:r>
          <w:r>
            <w:fldChar w:fldCharType="end"/>
          </w:r>
        </w:p>
      </w:tc>
      <w:tc>
        <w:tcPr>
          <w:tcW w:w="369" w:type="dxa"/>
          <w:vAlign w:val="bottom"/>
        </w:tcPr>
        <w:p w14:paraId="7B9ADAE0" w14:textId="3BF116FF" w:rsidR="00051F36" w:rsidRDefault="00051F36" w:rsidP="005F756A">
          <w:pPr>
            <w:pStyle w:val="Footer"/>
            <w:jc w:val="right"/>
          </w:pPr>
          <w:r>
            <w:fldChar w:fldCharType="begin"/>
          </w:r>
          <w:r>
            <w:instrText xml:space="preserve"> PAGE  \* Arabic  \* MERGEFORMAT </w:instrText>
          </w:r>
          <w:r>
            <w:fldChar w:fldCharType="separate"/>
          </w:r>
          <w:r w:rsidR="00AA442E">
            <w:rPr>
              <w:noProof/>
            </w:rPr>
            <w:t>1</w:t>
          </w:r>
          <w:r>
            <w:fldChar w:fldCharType="end"/>
          </w:r>
        </w:p>
      </w:tc>
    </w:tr>
  </w:tbl>
  <w:p w14:paraId="6A881199" w14:textId="77777777" w:rsidR="00051F36" w:rsidRDefault="00051F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ABCF4" w14:textId="77777777" w:rsidR="00051F36" w:rsidRDefault="00051F36">
      <w:r>
        <w:separator/>
      </w:r>
    </w:p>
  </w:footnote>
  <w:footnote w:type="continuationSeparator" w:id="0">
    <w:p w14:paraId="696FBA7D" w14:textId="77777777" w:rsidR="00051F36" w:rsidRDefault="00051F36">
      <w:r>
        <w:continuationSeparator/>
      </w:r>
    </w:p>
  </w:footnote>
  <w:footnote w:id="1">
    <w:p w14:paraId="68242E4F" w14:textId="229E1528" w:rsidR="00051F36" w:rsidRPr="00601741" w:rsidRDefault="00051F36">
      <w:pPr>
        <w:pStyle w:val="FootnoteText"/>
        <w:rPr>
          <w:color w:val="000000" w:themeColor="text1"/>
        </w:rPr>
      </w:pPr>
      <w:r>
        <w:rPr>
          <w:rStyle w:val="FootnoteReference"/>
        </w:rPr>
        <w:footnoteRef/>
      </w:r>
      <w:r>
        <w:t xml:space="preserve"> </w:t>
      </w:r>
      <w:r>
        <w:rPr>
          <w:rFonts w:ascii="Arial" w:hAnsi="Arial" w:cs="Arial"/>
          <w:color w:val="000000"/>
        </w:rPr>
        <w:t xml:space="preserve">Ministerial Council on Education, Employment, Training and Youth Affairs, 2008, </w:t>
      </w:r>
      <w:r>
        <w:rPr>
          <w:rFonts w:ascii="Arial" w:hAnsi="Arial" w:cs="Arial"/>
          <w:i/>
          <w:iCs/>
          <w:color w:val="000000"/>
        </w:rPr>
        <w:t>The Melbourne Declaration</w:t>
      </w:r>
      <w:r>
        <w:rPr>
          <w:rFonts w:ascii="Arial" w:hAnsi="Arial" w:cs="Arial"/>
          <w:color w:val="000000"/>
        </w:rPr>
        <w:t xml:space="preserve">, viewed 23 May 2016, </w:t>
      </w:r>
      <w:r w:rsidRPr="00601741">
        <w:rPr>
          <w:rFonts w:ascii="Arial" w:eastAsia="MS Mincho" w:hAnsi="Arial" w:cs="Arial"/>
          <w:color w:val="000000" w:themeColor="text1"/>
          <w:spacing w:val="0"/>
          <w:lang w:eastAsia="ja-JP"/>
        </w:rPr>
        <w:t>&lt;</w:t>
      </w:r>
      <w:hyperlink r:id="rId1" w:history="1">
        <w:r w:rsidRPr="00601741">
          <w:rPr>
            <w:rFonts w:ascii="Arial" w:eastAsia="MS Mincho" w:hAnsi="Arial" w:cs="Arial"/>
            <w:color w:val="000000" w:themeColor="text1"/>
            <w:spacing w:val="0"/>
            <w:u w:val="single"/>
            <w:lang w:eastAsia="ja-JP"/>
          </w:rPr>
          <w:t>http://www.curriculum.edu.au/verve/_resources/National_Declaration_on_the_Educational_Goals_for_Young_Australians.pdf</w:t>
        </w:r>
      </w:hyperlink>
    </w:p>
  </w:footnote>
  <w:footnote w:id="2">
    <w:p w14:paraId="4898063B" w14:textId="1CA40BDD" w:rsidR="00051F36" w:rsidRDefault="00051F36">
      <w:pPr>
        <w:pStyle w:val="FootnoteText"/>
      </w:pPr>
      <w:r>
        <w:rPr>
          <w:rStyle w:val="FootnoteReference"/>
        </w:rPr>
        <w:footnoteRef/>
      </w:r>
      <w:r>
        <w:t xml:space="preserve"> </w:t>
      </w:r>
      <w:r>
        <w:rPr>
          <w:rFonts w:ascii="Arial" w:hAnsi="Arial" w:cs="Arial"/>
          <w:color w:val="000000"/>
        </w:rPr>
        <w:t xml:space="preserve">Hattie, J 2003, ‘Teachers Make a Difference: What is the Research Evidence?’, </w:t>
      </w:r>
      <w:r>
        <w:rPr>
          <w:rFonts w:ascii="Arial" w:hAnsi="Arial" w:cs="Arial"/>
          <w:i/>
          <w:iCs/>
          <w:color w:val="000000"/>
        </w:rPr>
        <w:t xml:space="preserve">Distinguishing Expert Teachers from Novice and Experienced Teachers, </w:t>
      </w:r>
      <w:proofErr w:type="spellStart"/>
      <w:r>
        <w:rPr>
          <w:rFonts w:ascii="Arial" w:hAnsi="Arial" w:cs="Arial"/>
          <w:color w:val="000000"/>
        </w:rPr>
        <w:t>pp.2</w:t>
      </w:r>
      <w:proofErr w:type="spellEnd"/>
      <w:r>
        <w:rPr>
          <w:rFonts w:ascii="Arial" w:hAnsi="Arial" w:cs="Arial"/>
          <w:color w:val="000000"/>
        </w:rPr>
        <w:t>. viewed 23 May 2016, &lt;https://</w:t>
      </w:r>
      <w:proofErr w:type="spellStart"/>
      <w:r>
        <w:rPr>
          <w:rFonts w:ascii="Arial" w:hAnsi="Arial" w:cs="Arial"/>
          <w:color w:val="000000"/>
        </w:rPr>
        <w:t>www.det.nsw.edu.au</w:t>
      </w:r>
      <w:proofErr w:type="spellEnd"/>
      <w:r>
        <w:rPr>
          <w:rFonts w:ascii="Arial" w:hAnsi="Arial" w:cs="Arial"/>
          <w:color w:val="000000"/>
        </w:rPr>
        <w:t>/</w:t>
      </w:r>
      <w:proofErr w:type="spellStart"/>
      <w:r>
        <w:rPr>
          <w:rFonts w:ascii="Arial" w:hAnsi="Arial" w:cs="Arial"/>
          <w:color w:val="000000"/>
        </w:rPr>
        <w:t>proflearn</w:t>
      </w:r>
      <w:proofErr w:type="spellEnd"/>
      <w:r>
        <w:rPr>
          <w:rFonts w:ascii="Arial" w:hAnsi="Arial" w:cs="Arial"/>
          <w:color w:val="000000"/>
        </w:rPr>
        <w:t>/docs/pdf/</w:t>
      </w:r>
      <w:proofErr w:type="spellStart"/>
      <w:r>
        <w:rPr>
          <w:rFonts w:ascii="Arial" w:hAnsi="Arial" w:cs="Arial"/>
          <w:color w:val="000000"/>
        </w:rPr>
        <w:t>qt_hattie.pdf</w:t>
      </w:r>
      <w:proofErr w:type="spellEnd"/>
      <w:r>
        <w:rPr>
          <w:rFonts w:ascii="Arial" w:hAnsi="Arial" w:cs="Arial"/>
          <w:color w:val="000000"/>
        </w:rPr>
        <w:t>&gt;</w:t>
      </w:r>
    </w:p>
  </w:footnote>
  <w:footnote w:id="3">
    <w:p w14:paraId="17AF0445" w14:textId="15F636F8" w:rsidR="00051F36" w:rsidRDefault="00051F36">
      <w:pPr>
        <w:pStyle w:val="FootnoteText"/>
      </w:pPr>
      <w:r>
        <w:rPr>
          <w:rStyle w:val="FootnoteReference"/>
        </w:rPr>
        <w:footnoteRef/>
      </w:r>
      <w:r>
        <w:t xml:space="preserve"> </w:t>
      </w:r>
      <w:r>
        <w:rPr>
          <w:rFonts w:ascii="Arial" w:hAnsi="Arial" w:cs="Arial"/>
          <w:color w:val="000000"/>
        </w:rPr>
        <w:t xml:space="preserve">Productivity Commission 2016, ‘National Education Evidence Base’, </w:t>
      </w:r>
      <w:r>
        <w:rPr>
          <w:rFonts w:ascii="Arial" w:hAnsi="Arial" w:cs="Arial"/>
          <w:i/>
          <w:iCs/>
          <w:color w:val="000000"/>
        </w:rPr>
        <w:t>Productivity Commission Issues Paper,</w:t>
      </w:r>
      <w:r>
        <w:rPr>
          <w:rFonts w:ascii="Arial" w:hAnsi="Arial" w:cs="Arial"/>
          <w:color w:val="000000"/>
        </w:rPr>
        <w:t xml:space="preserve"> </w:t>
      </w:r>
      <w:proofErr w:type="spellStart"/>
      <w:r>
        <w:rPr>
          <w:rFonts w:ascii="Arial" w:hAnsi="Arial" w:cs="Arial"/>
          <w:color w:val="000000"/>
        </w:rPr>
        <w:t>pp.iii</w:t>
      </w:r>
      <w:proofErr w:type="spellEnd"/>
      <w:r>
        <w:rPr>
          <w:rFonts w:ascii="Arial" w:hAnsi="Arial" w:cs="Arial"/>
          <w:color w:val="000000"/>
        </w:rPr>
        <w:t>.</w:t>
      </w:r>
    </w:p>
  </w:footnote>
  <w:footnote w:id="4">
    <w:p w14:paraId="32C07041" w14:textId="7BAAE970" w:rsidR="00051F36" w:rsidRDefault="00051F36">
      <w:pPr>
        <w:pStyle w:val="FootnoteText"/>
      </w:pPr>
      <w:r>
        <w:rPr>
          <w:rStyle w:val="FootnoteReference"/>
        </w:rPr>
        <w:footnoteRef/>
      </w:r>
      <w:r>
        <w:t xml:space="preserve"> </w:t>
      </w:r>
      <w:r>
        <w:rPr>
          <w:rFonts w:ascii="Arial" w:hAnsi="Arial" w:cs="Arial"/>
          <w:color w:val="000000"/>
        </w:rPr>
        <w:t xml:space="preserve">Ibid., </w:t>
      </w:r>
      <w:proofErr w:type="spellStart"/>
      <w:r>
        <w:rPr>
          <w:rFonts w:ascii="Arial" w:hAnsi="Arial" w:cs="Arial"/>
          <w:color w:val="000000"/>
        </w:rPr>
        <w:t>pp.iii</w:t>
      </w:r>
      <w:proofErr w:type="spellEnd"/>
    </w:p>
  </w:footnote>
  <w:footnote w:id="5">
    <w:p w14:paraId="7B8DFC1C" w14:textId="5443AD27" w:rsidR="00051F36" w:rsidRDefault="00051F36">
      <w:pPr>
        <w:pStyle w:val="FootnoteText"/>
      </w:pPr>
      <w:r>
        <w:rPr>
          <w:rStyle w:val="FootnoteReference"/>
        </w:rPr>
        <w:footnoteRef/>
      </w:r>
      <w:r>
        <w:t xml:space="preserve"> </w:t>
      </w:r>
      <w:r>
        <w:rPr>
          <w:rFonts w:ascii="Arial" w:hAnsi="Arial" w:cs="Arial"/>
          <w:color w:val="000000"/>
        </w:rPr>
        <w:t xml:space="preserve">Ministerial Council on Education, Training and Youth Affairs 2008, ‘Melbourne Declaration on Educational Goals for Young Australians’, </w:t>
      </w:r>
      <w:proofErr w:type="spellStart"/>
      <w:r>
        <w:rPr>
          <w:rFonts w:ascii="Arial" w:hAnsi="Arial" w:cs="Arial"/>
          <w:i/>
          <w:iCs/>
          <w:color w:val="000000"/>
        </w:rPr>
        <w:t>MCEETYA</w:t>
      </w:r>
      <w:proofErr w:type="spellEnd"/>
      <w:r>
        <w:rPr>
          <w:rFonts w:ascii="Arial" w:hAnsi="Arial" w:cs="Arial"/>
          <w:i/>
          <w:iCs/>
          <w:color w:val="000000"/>
        </w:rPr>
        <w:t>.</w:t>
      </w:r>
    </w:p>
  </w:footnote>
  <w:footnote w:id="6">
    <w:p w14:paraId="692B4864" w14:textId="17ADFF4E" w:rsidR="00051F36" w:rsidRDefault="00051F36">
      <w:pPr>
        <w:pStyle w:val="FootnoteText"/>
      </w:pPr>
      <w:r>
        <w:rPr>
          <w:rStyle w:val="FootnoteReference"/>
        </w:rPr>
        <w:footnoteRef/>
      </w:r>
      <w:r>
        <w:t xml:space="preserve"> </w:t>
      </w:r>
      <w:r>
        <w:rPr>
          <w:rFonts w:ascii="Arial" w:hAnsi="Arial" w:cs="Arial"/>
          <w:color w:val="000000"/>
        </w:rPr>
        <w:t xml:space="preserve">Ministerial Council on Education, Training and Youth Affairs 2008, ‘Melbourne Declaration on Educational Goals for Young Australians’, </w:t>
      </w:r>
      <w:proofErr w:type="spellStart"/>
      <w:r>
        <w:rPr>
          <w:rFonts w:ascii="Arial" w:hAnsi="Arial" w:cs="Arial"/>
          <w:i/>
          <w:iCs/>
          <w:color w:val="000000"/>
        </w:rPr>
        <w:t>MCEETYA</w:t>
      </w:r>
      <w:proofErr w:type="spellEnd"/>
      <w:r>
        <w:rPr>
          <w:rFonts w:ascii="Arial" w:hAnsi="Arial" w:cs="Arial"/>
          <w:i/>
          <w:iCs/>
          <w:color w:val="000000"/>
        </w:rPr>
        <w:t>.</w:t>
      </w:r>
    </w:p>
  </w:footnote>
  <w:footnote w:id="7">
    <w:p w14:paraId="18650152" w14:textId="281887CB" w:rsidR="00051F36" w:rsidRDefault="00051F36">
      <w:pPr>
        <w:pStyle w:val="FootnoteText"/>
      </w:pPr>
      <w:r>
        <w:rPr>
          <w:rStyle w:val="FootnoteReference"/>
        </w:rPr>
        <w:footnoteRef/>
      </w:r>
      <w:r>
        <w:t xml:space="preserve"> </w:t>
      </w:r>
      <w:r>
        <w:rPr>
          <w:rFonts w:ascii="Arial" w:hAnsi="Arial" w:cs="Arial"/>
          <w:color w:val="000000"/>
        </w:rPr>
        <w:t xml:space="preserve">Masters, G 2016, ‘Five Challenges in Australian School Education’, </w:t>
      </w:r>
      <w:r>
        <w:rPr>
          <w:rFonts w:ascii="Arial" w:hAnsi="Arial" w:cs="Arial"/>
          <w:i/>
          <w:iCs/>
          <w:color w:val="000000"/>
        </w:rPr>
        <w:t xml:space="preserve">Policy Insights, </w:t>
      </w:r>
      <w:r>
        <w:rPr>
          <w:rFonts w:ascii="Arial" w:hAnsi="Arial" w:cs="Arial"/>
          <w:color w:val="000000"/>
        </w:rPr>
        <w:t> pp. 5, figure 1.</w:t>
      </w:r>
    </w:p>
  </w:footnote>
  <w:footnote w:id="8">
    <w:p w14:paraId="685D2484" w14:textId="6D47FB0C" w:rsidR="00051F36" w:rsidRPr="00601741" w:rsidRDefault="00051F36">
      <w:pPr>
        <w:pStyle w:val="FootnoteText"/>
        <w:rPr>
          <w:color w:val="000000" w:themeColor="text1"/>
        </w:rPr>
      </w:pPr>
      <w:r>
        <w:rPr>
          <w:rStyle w:val="FootnoteReference"/>
        </w:rPr>
        <w:footnoteRef/>
      </w:r>
      <w:r>
        <w:t xml:space="preserve"> </w:t>
      </w:r>
      <w:r>
        <w:rPr>
          <w:rFonts w:ascii="Arial" w:hAnsi="Arial" w:cs="Arial"/>
          <w:color w:val="000000"/>
        </w:rPr>
        <w:t xml:space="preserve">Productivity Commission 2016, ‘National </w:t>
      </w:r>
      <w:r w:rsidRPr="00601741">
        <w:rPr>
          <w:rFonts w:ascii="Arial" w:hAnsi="Arial" w:cs="Arial"/>
          <w:color w:val="000000" w:themeColor="text1"/>
        </w:rPr>
        <w:t xml:space="preserve">Education Evidence Base’, </w:t>
      </w:r>
      <w:r w:rsidRPr="00601741">
        <w:rPr>
          <w:rFonts w:ascii="Arial" w:hAnsi="Arial" w:cs="Arial"/>
          <w:i/>
          <w:iCs/>
          <w:color w:val="000000" w:themeColor="text1"/>
        </w:rPr>
        <w:t>Productivity Commission Issues Paper,</w:t>
      </w:r>
      <w:r w:rsidRPr="00601741">
        <w:rPr>
          <w:rFonts w:ascii="Arial" w:hAnsi="Arial" w:cs="Arial"/>
          <w:color w:val="000000" w:themeColor="text1"/>
        </w:rPr>
        <w:t xml:space="preserve"> </w:t>
      </w:r>
      <w:proofErr w:type="spellStart"/>
      <w:r w:rsidRPr="00601741">
        <w:rPr>
          <w:rFonts w:ascii="Arial" w:hAnsi="Arial" w:cs="Arial"/>
          <w:color w:val="000000" w:themeColor="text1"/>
        </w:rPr>
        <w:t>pp.iii</w:t>
      </w:r>
      <w:proofErr w:type="spellEnd"/>
      <w:r w:rsidRPr="00601741">
        <w:rPr>
          <w:rFonts w:ascii="Arial" w:hAnsi="Arial" w:cs="Arial"/>
          <w:color w:val="000000" w:themeColor="text1"/>
        </w:rPr>
        <w:t>.</w:t>
      </w:r>
    </w:p>
  </w:footnote>
  <w:footnote w:id="9">
    <w:p w14:paraId="2C5882EF" w14:textId="0265F955" w:rsidR="00051F36" w:rsidRPr="00601741" w:rsidRDefault="00051F36" w:rsidP="001D31BE">
      <w:pPr>
        <w:pStyle w:val="NormalWeb"/>
        <w:spacing w:after="0"/>
        <w:rPr>
          <w:rFonts w:ascii="Times New Roman" w:eastAsia="Times New Roman" w:hAnsi="Times New Roman" w:cs="Times New Roman"/>
          <w:color w:val="000000" w:themeColor="text1"/>
          <w:lang w:eastAsia="en-AU"/>
        </w:rPr>
      </w:pPr>
      <w:r w:rsidRPr="00601741">
        <w:rPr>
          <w:rStyle w:val="FootnoteReference"/>
          <w:color w:val="000000" w:themeColor="text1"/>
          <w:sz w:val="16"/>
          <w:szCs w:val="16"/>
        </w:rPr>
        <w:footnoteRef/>
      </w:r>
      <w:r w:rsidRPr="00601741">
        <w:rPr>
          <w:color w:val="000000" w:themeColor="text1"/>
          <w:sz w:val="16"/>
          <w:szCs w:val="16"/>
        </w:rPr>
        <w:t xml:space="preserve"> </w:t>
      </w:r>
      <w:r w:rsidRPr="00601741">
        <w:rPr>
          <w:rFonts w:ascii="Arial" w:eastAsia="Times New Roman" w:hAnsi="Arial" w:cs="Arial"/>
          <w:color w:val="000000" w:themeColor="text1"/>
          <w:sz w:val="16"/>
          <w:szCs w:val="16"/>
          <w:lang w:eastAsia="en-AU"/>
        </w:rPr>
        <w:t>See for example</w:t>
      </w:r>
      <w:r w:rsidRPr="00601741">
        <w:rPr>
          <w:rFonts w:ascii="Arial" w:eastAsia="Times New Roman" w:hAnsi="Arial" w:cs="Arial"/>
          <w:color w:val="000000" w:themeColor="text1"/>
          <w:sz w:val="20"/>
          <w:szCs w:val="20"/>
          <w:lang w:eastAsia="en-AU"/>
        </w:rPr>
        <w:t xml:space="preserve"> </w:t>
      </w:r>
      <w:hyperlink r:id="rId2" w:history="1">
        <w:r w:rsidRPr="00601741">
          <w:rPr>
            <w:rFonts w:ascii="Arial" w:eastAsia="Times New Roman" w:hAnsi="Arial" w:cs="Arial"/>
            <w:color w:val="000000" w:themeColor="text1"/>
            <w:sz w:val="16"/>
            <w:szCs w:val="16"/>
            <w:lang w:eastAsia="en-AU"/>
          </w:rPr>
          <w:t>https://</w:t>
        </w:r>
        <w:proofErr w:type="spellStart"/>
        <w:r w:rsidRPr="00601741">
          <w:rPr>
            <w:rFonts w:ascii="Arial" w:eastAsia="Times New Roman" w:hAnsi="Arial" w:cs="Arial"/>
            <w:color w:val="000000" w:themeColor="text1"/>
            <w:sz w:val="16"/>
            <w:szCs w:val="16"/>
            <w:lang w:eastAsia="en-AU"/>
          </w:rPr>
          <w:t>www.studentsfirst.gov.au</w:t>
        </w:r>
        <w:proofErr w:type="spellEnd"/>
        <w:r w:rsidRPr="00601741">
          <w:rPr>
            <w:rFonts w:ascii="Arial" w:eastAsia="Times New Roman" w:hAnsi="Arial" w:cs="Arial"/>
            <w:color w:val="000000" w:themeColor="text1"/>
            <w:sz w:val="16"/>
            <w:szCs w:val="16"/>
            <w:lang w:eastAsia="en-AU"/>
          </w:rPr>
          <w:t>/independent-public-schools/</w:t>
        </w:r>
      </w:hyperlink>
      <w:r w:rsidRPr="00601741">
        <w:rPr>
          <w:rFonts w:ascii="Arial" w:eastAsia="Times New Roman" w:hAnsi="Arial" w:cs="Arial"/>
          <w:color w:val="000000" w:themeColor="text1"/>
          <w:sz w:val="16"/>
          <w:szCs w:val="16"/>
          <w:lang w:eastAsia="en-AU"/>
        </w:rPr>
        <w:t xml:space="preserve"> and </w:t>
      </w:r>
      <w:hyperlink r:id="rId3" w:history="1">
        <w:r w:rsidRPr="00601741">
          <w:rPr>
            <w:rFonts w:ascii="Arial" w:eastAsia="Times New Roman" w:hAnsi="Arial" w:cs="Arial"/>
            <w:color w:val="000000" w:themeColor="text1"/>
            <w:sz w:val="16"/>
            <w:szCs w:val="16"/>
            <w:u w:val="single"/>
            <w:lang w:eastAsia="en-AU"/>
          </w:rPr>
          <w:t>http://www.dec.nsw.gov.au/about-the-department/our-reforms/local-schools-local-decisions</w:t>
        </w:r>
        <w:r w:rsidRPr="00601741">
          <w:rPr>
            <w:rFonts w:ascii="Arial" w:eastAsia="Times New Roman" w:hAnsi="Arial" w:cs="Arial"/>
            <w:color w:val="000000" w:themeColor="text1"/>
            <w:sz w:val="16"/>
            <w:szCs w:val="16"/>
            <w:lang w:eastAsia="en-AU"/>
          </w:rPr>
          <w:t xml:space="preserve"> </w:t>
        </w:r>
      </w:hyperlink>
    </w:p>
    <w:p w14:paraId="5395CEFF" w14:textId="5AA3D6F3" w:rsidR="00051F36" w:rsidRDefault="00AA442E" w:rsidP="001D31BE">
      <w:pPr>
        <w:pStyle w:val="FootnoteText"/>
      </w:pPr>
      <w:hyperlink r:id="rId4" w:history="1">
        <w:r w:rsidR="00051F36" w:rsidRPr="001D31BE">
          <w:rPr>
            <w:rFonts w:ascii="Arial" w:hAnsi="Arial" w:cs="Arial"/>
            <w:color w:val="000000"/>
            <w:spacing w:val="0"/>
            <w:sz w:val="20"/>
            <w:szCs w:val="20"/>
          </w:rPr>
          <w:t> </w:t>
        </w:r>
      </w:hyperlink>
    </w:p>
  </w:footnote>
  <w:footnote w:id="10">
    <w:p w14:paraId="745D4CBC" w14:textId="77777777" w:rsidR="00051F36" w:rsidRDefault="00051F36" w:rsidP="008978F5">
      <w:pPr>
        <w:pStyle w:val="FootnoteText"/>
      </w:pPr>
      <w:r>
        <w:rPr>
          <w:rStyle w:val="FootnoteReference"/>
        </w:rPr>
        <w:footnoteRef/>
      </w:r>
      <w:r>
        <w:t xml:space="preserve"> </w:t>
      </w:r>
      <w:r>
        <w:rPr>
          <w:rFonts w:ascii="Arial" w:hAnsi="Arial" w:cs="Arial"/>
          <w:color w:val="000000"/>
        </w:rPr>
        <w:t xml:space="preserve">Bentley, T. Cazaly, C. 2015, ‘The Shared Work of Learning: Lifting Educational Achievement Through Collaboration’, </w:t>
      </w:r>
      <w:r>
        <w:rPr>
          <w:rFonts w:ascii="Arial" w:hAnsi="Arial" w:cs="Arial"/>
          <w:i/>
          <w:iCs/>
          <w:color w:val="000000"/>
        </w:rPr>
        <w:t xml:space="preserve">Mitchell Institute Research Report, </w:t>
      </w:r>
      <w:proofErr w:type="spellStart"/>
      <w:r>
        <w:rPr>
          <w:rFonts w:ascii="Arial" w:hAnsi="Arial" w:cs="Arial"/>
          <w:color w:val="000000"/>
        </w:rPr>
        <w:t>pp.18</w:t>
      </w:r>
      <w:proofErr w:type="spellEnd"/>
      <w:r>
        <w:rPr>
          <w:rFonts w:ascii="Arial" w:hAnsi="Arial" w:cs="Arial"/>
          <w:color w:val="000000"/>
        </w:rPr>
        <w:t xml:space="preserve">; Lamb, S. Jackson, J. </w:t>
      </w:r>
      <w:proofErr w:type="spellStart"/>
      <w:r>
        <w:rPr>
          <w:rFonts w:ascii="Arial" w:hAnsi="Arial" w:cs="Arial"/>
          <w:color w:val="000000"/>
        </w:rPr>
        <w:t>Walstab</w:t>
      </w:r>
      <w:proofErr w:type="spellEnd"/>
      <w:r>
        <w:rPr>
          <w:rFonts w:ascii="Arial" w:hAnsi="Arial" w:cs="Arial"/>
          <w:color w:val="000000"/>
        </w:rPr>
        <w:t xml:space="preserve">, A. &amp; </w:t>
      </w:r>
      <w:proofErr w:type="spellStart"/>
      <w:r>
        <w:rPr>
          <w:rFonts w:ascii="Arial" w:hAnsi="Arial" w:cs="Arial"/>
          <w:color w:val="000000"/>
        </w:rPr>
        <w:t>Huo</w:t>
      </w:r>
      <w:proofErr w:type="spellEnd"/>
      <w:r>
        <w:rPr>
          <w:rFonts w:ascii="Arial" w:hAnsi="Arial" w:cs="Arial"/>
          <w:color w:val="000000"/>
        </w:rPr>
        <w:t xml:space="preserve">, S. 2015, ‘Educational Opportunity in Australia 2015: Who succeeds and who misses out?’, </w:t>
      </w:r>
      <w:r>
        <w:rPr>
          <w:rFonts w:ascii="Arial" w:hAnsi="Arial" w:cs="Arial"/>
          <w:i/>
          <w:iCs/>
          <w:color w:val="000000"/>
        </w:rPr>
        <w:t xml:space="preserve">Centre for International Research on Education Systems, Victoria University, for the Mitchell Institute, </w:t>
      </w:r>
      <w:r>
        <w:rPr>
          <w:rFonts w:ascii="Arial" w:hAnsi="Arial" w:cs="Arial"/>
          <w:color w:val="000000"/>
        </w:rPr>
        <w:t xml:space="preserve">Melbourne, </w:t>
      </w:r>
      <w:proofErr w:type="spellStart"/>
      <w:r>
        <w:rPr>
          <w:rFonts w:ascii="Arial" w:hAnsi="Arial" w:cs="Arial"/>
          <w:color w:val="000000"/>
        </w:rPr>
        <w:t>pp.v</w:t>
      </w:r>
      <w:proofErr w:type="spellEnd"/>
      <w:r>
        <w:rPr>
          <w:rFonts w:ascii="Arial" w:hAnsi="Arial" w:cs="Arial"/>
          <w:color w:val="000000"/>
        </w:rPr>
        <w:t>.</w:t>
      </w:r>
    </w:p>
  </w:footnote>
  <w:footnote w:id="11">
    <w:p w14:paraId="74D9CB43" w14:textId="77777777" w:rsidR="00051F36" w:rsidRDefault="00051F36" w:rsidP="008978F5">
      <w:pPr>
        <w:pStyle w:val="FootnoteText"/>
      </w:pPr>
      <w:r>
        <w:rPr>
          <w:rStyle w:val="FootnoteReference"/>
        </w:rPr>
        <w:footnoteRef/>
      </w:r>
      <w:r>
        <w:t xml:space="preserve"> </w:t>
      </w:r>
      <w:r>
        <w:rPr>
          <w:rFonts w:ascii="Arial" w:hAnsi="Arial" w:cs="Arial"/>
          <w:color w:val="000000"/>
        </w:rPr>
        <w:t>Australian Research Alliance for Children and Youth 2014, ‘</w:t>
      </w:r>
      <w:r>
        <w:rPr>
          <w:rFonts w:ascii="Arial" w:hAnsi="Arial" w:cs="Arial"/>
          <w:i/>
          <w:iCs/>
          <w:color w:val="000000"/>
        </w:rPr>
        <w:t>The Nest</w:t>
      </w:r>
      <w:r>
        <w:rPr>
          <w:rFonts w:ascii="Arial" w:hAnsi="Arial" w:cs="Arial"/>
          <w:color w:val="000000"/>
        </w:rPr>
        <w:t xml:space="preserve"> action agenda’, viewed 24 May 2016, https://</w:t>
      </w:r>
      <w:proofErr w:type="spellStart"/>
      <w:r>
        <w:rPr>
          <w:rFonts w:ascii="Arial" w:hAnsi="Arial" w:cs="Arial"/>
          <w:color w:val="000000"/>
        </w:rPr>
        <w:t>www.aracy.org.au</w:t>
      </w:r>
      <w:proofErr w:type="spellEnd"/>
      <w:r>
        <w:rPr>
          <w:rFonts w:ascii="Arial" w:hAnsi="Arial" w:cs="Arial"/>
          <w:color w:val="000000"/>
        </w:rPr>
        <w:t>/documents/item/182.</w:t>
      </w:r>
    </w:p>
  </w:footnote>
  <w:footnote w:id="12">
    <w:p w14:paraId="68DB9F74" w14:textId="495998D5" w:rsidR="00051F36" w:rsidRDefault="00051F36">
      <w:pPr>
        <w:pStyle w:val="FootnoteText"/>
      </w:pPr>
      <w:r>
        <w:rPr>
          <w:rStyle w:val="FootnoteReference"/>
        </w:rPr>
        <w:footnoteRef/>
      </w:r>
      <w:r>
        <w:t xml:space="preserve"> </w:t>
      </w:r>
      <w:r>
        <w:rPr>
          <w:rFonts w:ascii="Arial" w:hAnsi="Arial" w:cs="Arial"/>
          <w:color w:val="000000"/>
        </w:rPr>
        <w:t xml:space="preserve">Hattie, J 2003, ‘Teachers Make a Difference: What is the Research Evidence?’, </w:t>
      </w:r>
      <w:r>
        <w:rPr>
          <w:rFonts w:ascii="Arial" w:hAnsi="Arial" w:cs="Arial"/>
          <w:i/>
          <w:iCs/>
          <w:color w:val="000000"/>
        </w:rPr>
        <w:t xml:space="preserve">Distinguishing Expert Teachers from Novice and Experienced Teachers, </w:t>
      </w:r>
      <w:proofErr w:type="spellStart"/>
      <w:r>
        <w:rPr>
          <w:rFonts w:ascii="Arial" w:hAnsi="Arial" w:cs="Arial"/>
          <w:color w:val="000000"/>
        </w:rPr>
        <w:t>pp.3</w:t>
      </w:r>
      <w:proofErr w:type="spellEnd"/>
      <w:r>
        <w:rPr>
          <w:rFonts w:ascii="Arial" w:hAnsi="Arial" w:cs="Arial"/>
          <w:color w:val="000000"/>
        </w:rPr>
        <w:t>. Viewed 20 May 2016, &lt;https://</w:t>
      </w:r>
      <w:proofErr w:type="spellStart"/>
      <w:r>
        <w:rPr>
          <w:rFonts w:ascii="Arial" w:hAnsi="Arial" w:cs="Arial"/>
          <w:color w:val="000000"/>
        </w:rPr>
        <w:t>www.det.nsw.edu.au</w:t>
      </w:r>
      <w:proofErr w:type="spellEnd"/>
      <w:r>
        <w:rPr>
          <w:rFonts w:ascii="Arial" w:hAnsi="Arial" w:cs="Arial"/>
          <w:color w:val="000000"/>
        </w:rPr>
        <w:t>/</w:t>
      </w:r>
      <w:proofErr w:type="spellStart"/>
      <w:r>
        <w:rPr>
          <w:rFonts w:ascii="Arial" w:hAnsi="Arial" w:cs="Arial"/>
          <w:color w:val="000000"/>
        </w:rPr>
        <w:t>proflearn</w:t>
      </w:r>
      <w:proofErr w:type="spellEnd"/>
      <w:r>
        <w:rPr>
          <w:rFonts w:ascii="Arial" w:hAnsi="Arial" w:cs="Arial"/>
          <w:color w:val="000000"/>
        </w:rPr>
        <w:t>/docs/pdf/</w:t>
      </w:r>
      <w:proofErr w:type="spellStart"/>
      <w:r>
        <w:rPr>
          <w:rFonts w:ascii="Arial" w:hAnsi="Arial" w:cs="Arial"/>
          <w:color w:val="000000"/>
        </w:rPr>
        <w:t>qt_hattie.pdf</w:t>
      </w:r>
      <w:proofErr w:type="spellEnd"/>
      <w:r>
        <w:rPr>
          <w:rFonts w:ascii="Arial" w:hAnsi="Arial" w:cs="Arial"/>
          <w:color w:val="000000"/>
        </w:rPr>
        <w:t>&gt;</w:t>
      </w:r>
    </w:p>
  </w:footnote>
  <w:footnote w:id="13">
    <w:p w14:paraId="22374FC8" w14:textId="6199D848" w:rsidR="00051F36" w:rsidRDefault="00051F36">
      <w:pPr>
        <w:pStyle w:val="FootnoteText"/>
      </w:pPr>
      <w:r>
        <w:rPr>
          <w:rStyle w:val="FootnoteReference"/>
        </w:rPr>
        <w:footnoteRef/>
      </w:r>
      <w:r>
        <w:t xml:space="preserve"> </w:t>
      </w:r>
      <w:r w:rsidRPr="00601741">
        <w:rPr>
          <w:rFonts w:ascii="Arial" w:hAnsi="Arial" w:cs="Arial"/>
          <w:color w:val="000000"/>
        </w:rPr>
        <w:t xml:space="preserve">Leigh A. (2010) </w:t>
      </w:r>
      <w:r w:rsidRPr="00601741">
        <w:rPr>
          <w:rFonts w:ascii="Arial" w:hAnsi="Arial" w:cs="Arial"/>
          <w:i/>
          <w:iCs/>
          <w:color w:val="000000"/>
        </w:rPr>
        <w:t>Estimating teacher effectiveness from two year changes in st</w:t>
      </w:r>
      <w:r>
        <w:rPr>
          <w:rFonts w:ascii="Arial" w:hAnsi="Arial" w:cs="Arial"/>
          <w:i/>
          <w:iCs/>
          <w:color w:val="000000"/>
        </w:rPr>
        <w:t>u</w:t>
      </w:r>
      <w:r w:rsidRPr="00601741">
        <w:rPr>
          <w:rFonts w:ascii="Arial" w:hAnsi="Arial" w:cs="Arial"/>
          <w:i/>
          <w:iCs/>
          <w:color w:val="000000"/>
        </w:rPr>
        <w:t>dents’ test scores</w:t>
      </w:r>
      <w:r w:rsidRPr="00601741">
        <w:rPr>
          <w:rFonts w:ascii="Arial" w:hAnsi="Arial" w:cs="Arial"/>
          <w:color w:val="000000"/>
        </w:rPr>
        <w:t xml:space="preserve"> Economics of Education Review 29: 480-488.</w:t>
      </w:r>
    </w:p>
  </w:footnote>
  <w:footnote w:id="14">
    <w:p w14:paraId="6439CE77" w14:textId="49350414" w:rsidR="00051F36" w:rsidRDefault="00051F36" w:rsidP="00601741">
      <w:pPr>
        <w:pStyle w:val="NormalWeb"/>
        <w:spacing w:after="0"/>
      </w:pPr>
      <w:r>
        <w:rPr>
          <w:rStyle w:val="FootnoteReference"/>
        </w:rPr>
        <w:footnoteRef/>
      </w:r>
      <w:r>
        <w:t xml:space="preserve"> </w:t>
      </w:r>
      <w:r w:rsidRPr="001D31BE">
        <w:rPr>
          <w:rFonts w:ascii="Arial" w:eastAsia="Times New Roman" w:hAnsi="Arial" w:cs="Arial"/>
          <w:color w:val="000000"/>
          <w:sz w:val="16"/>
          <w:szCs w:val="16"/>
          <w:lang w:eastAsia="en-AU"/>
        </w:rPr>
        <w:t>PISA 2012 : how Australia measures up / Sue Thomson, Lisa</w:t>
      </w:r>
      <w:r>
        <w:rPr>
          <w:rFonts w:ascii="Arial" w:eastAsia="Times New Roman" w:hAnsi="Arial" w:cs="Arial"/>
          <w:color w:val="000000"/>
          <w:sz w:val="16"/>
          <w:szCs w:val="16"/>
          <w:lang w:eastAsia="en-AU"/>
        </w:rPr>
        <w:t xml:space="preserve"> </w:t>
      </w:r>
      <w:r w:rsidRPr="00601741">
        <w:rPr>
          <w:rFonts w:ascii="Arial" w:hAnsi="Arial" w:cs="Arial"/>
          <w:color w:val="000000"/>
          <w:sz w:val="16"/>
          <w:szCs w:val="16"/>
        </w:rPr>
        <w:t xml:space="preserve">De </w:t>
      </w:r>
      <w:proofErr w:type="spellStart"/>
      <w:r w:rsidRPr="00601741">
        <w:rPr>
          <w:rFonts w:ascii="Arial" w:hAnsi="Arial" w:cs="Arial"/>
          <w:color w:val="000000"/>
          <w:sz w:val="16"/>
          <w:szCs w:val="16"/>
        </w:rPr>
        <w:t>Bortoli</w:t>
      </w:r>
      <w:proofErr w:type="spellEnd"/>
      <w:r w:rsidRPr="00601741">
        <w:rPr>
          <w:rFonts w:ascii="Arial" w:hAnsi="Arial" w:cs="Arial"/>
          <w:color w:val="000000"/>
          <w:sz w:val="16"/>
          <w:szCs w:val="16"/>
        </w:rPr>
        <w:t xml:space="preserve">, Sarah Buckley. </w:t>
      </w:r>
      <w:proofErr w:type="spellStart"/>
      <w:r w:rsidRPr="00601741">
        <w:rPr>
          <w:rFonts w:ascii="Arial" w:hAnsi="Arial" w:cs="Arial"/>
          <w:color w:val="000000"/>
          <w:sz w:val="16"/>
          <w:szCs w:val="16"/>
        </w:rPr>
        <w:t>p276</w:t>
      </w:r>
      <w:proofErr w:type="spellEnd"/>
    </w:p>
  </w:footnote>
  <w:footnote w:id="15">
    <w:p w14:paraId="31BDCA35" w14:textId="5175D084" w:rsidR="00051F36" w:rsidRDefault="00051F36">
      <w:pPr>
        <w:pStyle w:val="FootnoteText"/>
      </w:pPr>
      <w:r>
        <w:rPr>
          <w:rStyle w:val="FootnoteReference"/>
        </w:rPr>
        <w:footnoteRef/>
      </w:r>
      <w:r>
        <w:t xml:space="preserve"> </w:t>
      </w:r>
      <w:r w:rsidRPr="001D31BE">
        <w:rPr>
          <w:rFonts w:ascii="Arial" w:eastAsia="MS Mincho" w:hAnsi="Arial" w:cs="Arial"/>
          <w:color w:val="000000"/>
          <w:spacing w:val="0"/>
          <w:lang w:eastAsia="ja-JP"/>
        </w:rPr>
        <w:t xml:space="preserve">OECD </w:t>
      </w:r>
      <w:r w:rsidRPr="00601741">
        <w:rPr>
          <w:rFonts w:ascii="Arial" w:eastAsia="MS Mincho" w:hAnsi="Arial" w:cs="Arial"/>
          <w:color w:val="000000" w:themeColor="text1"/>
          <w:spacing w:val="0"/>
          <w:lang w:eastAsia="ja-JP"/>
        </w:rPr>
        <w:t xml:space="preserve">2009, ‘Improving School Leadership: The Toolkit’, </w:t>
      </w:r>
      <w:r w:rsidRPr="00601741">
        <w:rPr>
          <w:rFonts w:ascii="Arial" w:eastAsia="MS Mincho" w:hAnsi="Arial" w:cs="Arial"/>
          <w:i/>
          <w:iCs/>
          <w:color w:val="000000" w:themeColor="text1"/>
          <w:spacing w:val="0"/>
          <w:lang w:eastAsia="ja-JP"/>
        </w:rPr>
        <w:t xml:space="preserve">OECD, </w:t>
      </w:r>
      <w:r w:rsidRPr="00601741">
        <w:rPr>
          <w:rFonts w:ascii="Arial" w:eastAsia="MS Mincho" w:hAnsi="Arial" w:cs="Arial"/>
          <w:color w:val="000000" w:themeColor="text1"/>
          <w:spacing w:val="0"/>
          <w:lang w:eastAsia="ja-JP"/>
        </w:rPr>
        <w:t>viewed 20 May 2016, &lt;</w:t>
      </w:r>
      <w:hyperlink r:id="rId5" w:history="1">
        <w:r w:rsidRPr="00601741">
          <w:rPr>
            <w:rFonts w:ascii="Arial" w:eastAsia="MS Mincho" w:hAnsi="Arial" w:cs="Arial"/>
            <w:color w:val="000000" w:themeColor="text1"/>
            <w:spacing w:val="0"/>
            <w:u w:val="single"/>
            <w:lang w:eastAsia="ja-JP"/>
          </w:rPr>
          <w:t>http://</w:t>
        </w:r>
        <w:proofErr w:type="spellStart"/>
        <w:r w:rsidRPr="00601741">
          <w:rPr>
            <w:rFonts w:ascii="Arial" w:eastAsia="MS Mincho" w:hAnsi="Arial" w:cs="Arial"/>
            <w:color w:val="000000" w:themeColor="text1"/>
            <w:spacing w:val="0"/>
            <w:u w:val="single"/>
            <w:lang w:eastAsia="ja-JP"/>
          </w:rPr>
          <w:t>www.oecd.org</w:t>
        </w:r>
        <w:proofErr w:type="spellEnd"/>
        <w:r w:rsidRPr="00601741">
          <w:rPr>
            <w:rFonts w:ascii="Arial" w:eastAsia="MS Mincho" w:hAnsi="Arial" w:cs="Arial"/>
            <w:color w:val="000000" w:themeColor="text1"/>
            <w:spacing w:val="0"/>
            <w:u w:val="single"/>
            <w:lang w:eastAsia="ja-JP"/>
          </w:rPr>
          <w:t>/</w:t>
        </w:r>
        <w:proofErr w:type="spellStart"/>
        <w:r w:rsidRPr="00601741">
          <w:rPr>
            <w:rFonts w:ascii="Arial" w:eastAsia="MS Mincho" w:hAnsi="Arial" w:cs="Arial"/>
            <w:color w:val="000000" w:themeColor="text1"/>
            <w:spacing w:val="0"/>
            <w:u w:val="single"/>
            <w:lang w:eastAsia="ja-JP"/>
          </w:rPr>
          <w:t>edu</w:t>
        </w:r>
        <w:proofErr w:type="spellEnd"/>
        <w:r w:rsidRPr="00601741">
          <w:rPr>
            <w:rFonts w:ascii="Arial" w:eastAsia="MS Mincho" w:hAnsi="Arial" w:cs="Arial"/>
            <w:color w:val="000000" w:themeColor="text1"/>
            <w:spacing w:val="0"/>
            <w:u w:val="single"/>
            <w:lang w:eastAsia="ja-JP"/>
          </w:rPr>
          <w:t>/school/</w:t>
        </w:r>
        <w:proofErr w:type="spellStart"/>
        <w:r w:rsidRPr="00601741">
          <w:rPr>
            <w:rFonts w:ascii="Arial" w:eastAsia="MS Mincho" w:hAnsi="Arial" w:cs="Arial"/>
            <w:color w:val="000000" w:themeColor="text1"/>
            <w:spacing w:val="0"/>
            <w:u w:val="single"/>
            <w:lang w:eastAsia="ja-JP"/>
          </w:rPr>
          <w:t>44339174.pdf</w:t>
        </w:r>
        <w:proofErr w:type="spellEnd"/>
      </w:hyperlink>
      <w:r w:rsidRPr="00601741">
        <w:rPr>
          <w:rFonts w:ascii="Arial" w:eastAsia="MS Mincho" w:hAnsi="Arial" w:cs="Arial"/>
          <w:color w:val="000000" w:themeColor="text1"/>
          <w:spacing w:val="0"/>
          <w:lang w:eastAsia="ja-JP"/>
        </w:rPr>
        <w:t>&gt;</w:t>
      </w:r>
    </w:p>
  </w:footnote>
  <w:footnote w:id="16">
    <w:p w14:paraId="6F521B07" w14:textId="6188F7D4" w:rsidR="00051F36" w:rsidRDefault="00051F36">
      <w:pPr>
        <w:pStyle w:val="FootnoteText"/>
      </w:pPr>
      <w:r>
        <w:rPr>
          <w:rStyle w:val="FootnoteReference"/>
        </w:rPr>
        <w:footnoteRef/>
      </w:r>
      <w:r>
        <w:t xml:space="preserve"> </w:t>
      </w:r>
      <w:r>
        <w:rPr>
          <w:rFonts w:ascii="Arial" w:hAnsi="Arial" w:cs="Arial"/>
          <w:color w:val="000000"/>
        </w:rPr>
        <w:t xml:space="preserve">Hattie, J 2003, ‘Teachers Make a Difference: What is the Research Evidence?’, </w:t>
      </w:r>
      <w:r>
        <w:rPr>
          <w:rFonts w:ascii="Arial" w:hAnsi="Arial" w:cs="Arial"/>
          <w:i/>
          <w:iCs/>
          <w:color w:val="000000"/>
        </w:rPr>
        <w:t xml:space="preserve">Distinguishing Expert Teachers from Novice and Experienced Teachers, </w:t>
      </w:r>
      <w:proofErr w:type="spellStart"/>
      <w:r>
        <w:rPr>
          <w:rFonts w:ascii="Arial" w:hAnsi="Arial" w:cs="Arial"/>
          <w:color w:val="000000"/>
        </w:rPr>
        <w:t>pp.3</w:t>
      </w:r>
      <w:proofErr w:type="spellEnd"/>
      <w:r>
        <w:rPr>
          <w:rFonts w:ascii="Arial" w:hAnsi="Arial" w:cs="Arial"/>
          <w:color w:val="000000"/>
        </w:rPr>
        <w:t>. Viewed 20 May 2016, &lt;https://</w:t>
      </w:r>
      <w:proofErr w:type="spellStart"/>
      <w:r>
        <w:rPr>
          <w:rFonts w:ascii="Arial" w:hAnsi="Arial" w:cs="Arial"/>
          <w:color w:val="000000"/>
        </w:rPr>
        <w:t>www.det.nsw.edu.au</w:t>
      </w:r>
      <w:proofErr w:type="spellEnd"/>
      <w:r>
        <w:rPr>
          <w:rFonts w:ascii="Arial" w:hAnsi="Arial" w:cs="Arial"/>
          <w:color w:val="000000"/>
        </w:rPr>
        <w:t>/</w:t>
      </w:r>
      <w:proofErr w:type="spellStart"/>
      <w:r>
        <w:rPr>
          <w:rFonts w:ascii="Arial" w:hAnsi="Arial" w:cs="Arial"/>
          <w:color w:val="000000"/>
        </w:rPr>
        <w:t>proflearn</w:t>
      </w:r>
      <w:proofErr w:type="spellEnd"/>
      <w:r>
        <w:rPr>
          <w:rFonts w:ascii="Arial" w:hAnsi="Arial" w:cs="Arial"/>
          <w:color w:val="000000"/>
        </w:rPr>
        <w:t>/docs/pdf/</w:t>
      </w:r>
      <w:proofErr w:type="spellStart"/>
      <w:r>
        <w:rPr>
          <w:rFonts w:ascii="Arial" w:hAnsi="Arial" w:cs="Arial"/>
          <w:color w:val="000000"/>
        </w:rPr>
        <w:t>qt_hattie.pdf</w:t>
      </w:r>
      <w:proofErr w:type="spellEnd"/>
      <w:r>
        <w:rPr>
          <w:rFonts w:ascii="Arial" w:hAnsi="Arial" w:cs="Arial"/>
          <w:color w:val="000000"/>
        </w:rPr>
        <w:t>&gt;</w:t>
      </w:r>
    </w:p>
  </w:footnote>
  <w:footnote w:id="17">
    <w:p w14:paraId="1A36E4A2" w14:textId="6E28DE97" w:rsidR="00051F36" w:rsidRPr="00670655" w:rsidRDefault="00051F36">
      <w:pPr>
        <w:pStyle w:val="FootnoteText"/>
      </w:pPr>
      <w:r>
        <w:rPr>
          <w:rStyle w:val="FootnoteReference"/>
        </w:rPr>
        <w:footnoteRef/>
      </w:r>
      <w:r>
        <w:t xml:space="preserve"> </w:t>
      </w:r>
      <w:r w:rsidRPr="001D31BE">
        <w:rPr>
          <w:rFonts w:ascii="Arial" w:eastAsia="MS Mincho" w:hAnsi="Arial" w:cs="Arial"/>
          <w:color w:val="000000"/>
          <w:spacing w:val="0"/>
          <w:lang w:eastAsia="ja-JP"/>
        </w:rPr>
        <w:t xml:space="preserve">See for example </w:t>
      </w:r>
      <w:r w:rsidRPr="00601741">
        <w:rPr>
          <w:rFonts w:ascii="Arial" w:eastAsia="MS Mincho" w:hAnsi="Arial" w:cs="Arial"/>
          <w:color w:val="000000"/>
          <w:spacing w:val="0"/>
          <w:shd w:val="clear" w:color="auto" w:fill="FFFFFF"/>
          <w:lang w:eastAsia="ja-JP"/>
        </w:rPr>
        <w:t xml:space="preserve">E. and L. </w:t>
      </w:r>
      <w:proofErr w:type="spellStart"/>
      <w:r w:rsidRPr="00601741">
        <w:rPr>
          <w:rFonts w:ascii="Arial" w:eastAsia="MS Mincho" w:hAnsi="Arial" w:cs="Arial"/>
          <w:color w:val="000000"/>
          <w:spacing w:val="0"/>
          <w:shd w:val="clear" w:color="auto" w:fill="FFFFFF"/>
          <w:lang w:eastAsia="ja-JP"/>
        </w:rPr>
        <w:t>Woessmann</w:t>
      </w:r>
      <w:proofErr w:type="spellEnd"/>
      <w:r w:rsidRPr="00601741">
        <w:rPr>
          <w:rFonts w:ascii="Arial" w:eastAsia="MS Mincho" w:hAnsi="Arial" w:cs="Arial"/>
          <w:color w:val="000000"/>
          <w:spacing w:val="0"/>
          <w:shd w:val="clear" w:color="auto" w:fill="FFFFFF"/>
          <w:lang w:eastAsia="ja-JP"/>
        </w:rPr>
        <w:t xml:space="preserve">, L..  (2015), ‘Universal Basic Skills: What Countries Stand to Gain’, </w:t>
      </w:r>
      <w:r w:rsidRPr="00601741">
        <w:rPr>
          <w:rFonts w:ascii="Arial" w:eastAsia="MS Mincho" w:hAnsi="Arial" w:cs="Arial"/>
          <w:i/>
          <w:iCs/>
          <w:color w:val="000000"/>
          <w:spacing w:val="0"/>
          <w:shd w:val="clear" w:color="auto" w:fill="FFFFFF"/>
          <w:lang w:eastAsia="ja-JP"/>
        </w:rPr>
        <w:t>OECD Publishing</w:t>
      </w:r>
      <w:r w:rsidRPr="00601741">
        <w:rPr>
          <w:rFonts w:ascii="Arial" w:eastAsia="MS Mincho" w:hAnsi="Arial" w:cs="Arial"/>
          <w:color w:val="000000"/>
          <w:spacing w:val="0"/>
          <w:shd w:val="clear" w:color="auto" w:fill="FFFFFF"/>
          <w:lang w:eastAsia="ja-JP"/>
        </w:rPr>
        <w:t xml:space="preserve">, Paris. </w:t>
      </w:r>
      <w:proofErr w:type="spellStart"/>
      <w:r w:rsidRPr="00601741">
        <w:rPr>
          <w:rFonts w:ascii="Arial" w:eastAsia="MS Mincho" w:hAnsi="Arial" w:cs="Arial"/>
          <w:color w:val="000000"/>
          <w:spacing w:val="0"/>
          <w:shd w:val="clear" w:color="auto" w:fill="FFFFFF"/>
          <w:lang w:eastAsia="ja-JP"/>
        </w:rPr>
        <w:t>DOI</w:t>
      </w:r>
      <w:proofErr w:type="spellEnd"/>
      <w:r w:rsidRPr="00601741">
        <w:rPr>
          <w:rFonts w:ascii="Arial" w:eastAsia="MS Mincho" w:hAnsi="Arial" w:cs="Arial"/>
          <w:color w:val="000000"/>
          <w:spacing w:val="0"/>
          <w:shd w:val="clear" w:color="auto" w:fill="FFFFFF"/>
          <w:lang w:eastAsia="ja-JP"/>
        </w:rPr>
        <w:t xml:space="preserve">, viewed 23 May 2016,:&lt; </w:t>
      </w:r>
      <w:hyperlink r:id="rId6" w:history="1">
        <w:r w:rsidRPr="00601741">
          <w:rPr>
            <w:rFonts w:ascii="Arial" w:eastAsia="MS Mincho" w:hAnsi="Arial" w:cs="Arial"/>
            <w:color w:val="000000"/>
            <w:spacing w:val="0"/>
            <w:u w:val="single"/>
            <w:shd w:val="clear" w:color="auto" w:fill="FFFFFF"/>
            <w:lang w:eastAsia="ja-JP"/>
          </w:rPr>
          <w:t>http://</w:t>
        </w:r>
        <w:proofErr w:type="spellStart"/>
        <w:r w:rsidRPr="00601741">
          <w:rPr>
            <w:rFonts w:ascii="Arial" w:eastAsia="MS Mincho" w:hAnsi="Arial" w:cs="Arial"/>
            <w:color w:val="000000"/>
            <w:spacing w:val="0"/>
            <w:u w:val="single"/>
            <w:shd w:val="clear" w:color="auto" w:fill="FFFFFF"/>
            <w:lang w:eastAsia="ja-JP"/>
          </w:rPr>
          <w:t>dx.doi.org</w:t>
        </w:r>
        <w:proofErr w:type="spellEnd"/>
        <w:r w:rsidRPr="00601741">
          <w:rPr>
            <w:rFonts w:ascii="Arial" w:eastAsia="MS Mincho" w:hAnsi="Arial" w:cs="Arial"/>
            <w:color w:val="000000"/>
            <w:spacing w:val="0"/>
            <w:u w:val="single"/>
            <w:shd w:val="clear" w:color="auto" w:fill="FFFFFF"/>
            <w:lang w:eastAsia="ja-JP"/>
          </w:rPr>
          <w:t>/10.1787/9789264234833-en</w:t>
        </w:r>
      </w:hyperlink>
      <w:r w:rsidRPr="00601741">
        <w:rPr>
          <w:rFonts w:ascii="Arial" w:eastAsia="MS Mincho" w:hAnsi="Arial" w:cs="Arial"/>
          <w:color w:val="000000"/>
          <w:spacing w:val="0"/>
          <w:lang w:eastAsia="ja-JP"/>
        </w:rPr>
        <w:t xml:space="preserve">&gt;; </w:t>
      </w:r>
      <w:r w:rsidRPr="00601741">
        <w:rPr>
          <w:rFonts w:ascii="Arial" w:eastAsia="MS Mincho" w:hAnsi="Arial" w:cs="Arial"/>
          <w:color w:val="000000"/>
          <w:spacing w:val="0"/>
          <w:shd w:val="clear" w:color="auto" w:fill="FFFFFF"/>
          <w:lang w:eastAsia="ja-JP"/>
        </w:rPr>
        <w:t>OECD .  (2010), ‘The High Cost of Low Educational Performance: The Long-run Economic Impact of Improving PISA Outcomes</w:t>
      </w:r>
      <w:r w:rsidRPr="00601741">
        <w:rPr>
          <w:rFonts w:ascii="Arial" w:eastAsia="MS Mincho" w:hAnsi="Arial" w:cs="Arial"/>
          <w:i/>
          <w:iCs/>
          <w:color w:val="000000"/>
          <w:spacing w:val="0"/>
          <w:shd w:val="clear" w:color="auto" w:fill="FFFFFF"/>
          <w:lang w:eastAsia="ja-JP"/>
        </w:rPr>
        <w:t>’</w:t>
      </w:r>
      <w:r w:rsidRPr="00601741">
        <w:rPr>
          <w:rFonts w:ascii="Arial" w:eastAsia="MS Mincho" w:hAnsi="Arial" w:cs="Arial"/>
          <w:color w:val="000000"/>
          <w:spacing w:val="0"/>
          <w:shd w:val="clear" w:color="auto" w:fill="FFFFFF"/>
          <w:lang w:eastAsia="ja-JP"/>
        </w:rPr>
        <w:t>,</w:t>
      </w:r>
      <w:r w:rsidRPr="00601741">
        <w:rPr>
          <w:rFonts w:ascii="Arial" w:eastAsia="MS Mincho" w:hAnsi="Arial" w:cs="Arial"/>
          <w:i/>
          <w:iCs/>
          <w:color w:val="000000"/>
          <w:spacing w:val="0"/>
          <w:shd w:val="clear" w:color="auto" w:fill="FFFFFF"/>
          <w:lang w:eastAsia="ja-JP"/>
        </w:rPr>
        <w:t xml:space="preserve"> PISA</w:t>
      </w:r>
      <w:r w:rsidRPr="00601741">
        <w:rPr>
          <w:rFonts w:ascii="Arial" w:eastAsia="MS Mincho" w:hAnsi="Arial" w:cs="Arial"/>
          <w:color w:val="000000"/>
          <w:spacing w:val="0"/>
          <w:shd w:val="clear" w:color="auto" w:fill="FFFFFF"/>
          <w:lang w:eastAsia="ja-JP"/>
        </w:rPr>
        <w:t xml:space="preserve">, OECD Publishing, Paris. </w:t>
      </w:r>
      <w:proofErr w:type="spellStart"/>
      <w:r w:rsidRPr="00601741">
        <w:rPr>
          <w:rFonts w:ascii="Arial" w:eastAsia="MS Mincho" w:hAnsi="Arial" w:cs="Arial"/>
          <w:color w:val="000000"/>
          <w:spacing w:val="0"/>
          <w:shd w:val="clear" w:color="auto" w:fill="FFFFFF"/>
          <w:lang w:eastAsia="ja-JP"/>
        </w:rPr>
        <w:t>DOI</w:t>
      </w:r>
      <w:proofErr w:type="spellEnd"/>
      <w:r w:rsidRPr="00601741">
        <w:rPr>
          <w:rFonts w:ascii="Arial" w:eastAsia="MS Mincho" w:hAnsi="Arial" w:cs="Arial"/>
          <w:color w:val="000000"/>
          <w:spacing w:val="0"/>
          <w:shd w:val="clear" w:color="auto" w:fill="FFFFFF"/>
          <w:lang w:eastAsia="ja-JP"/>
        </w:rPr>
        <w:t xml:space="preserve">, viewed 23 May 2016,: </w:t>
      </w:r>
      <w:hyperlink r:id="rId7" w:history="1">
        <w:r w:rsidRPr="00601741">
          <w:rPr>
            <w:rFonts w:ascii="Arial" w:eastAsia="MS Mincho" w:hAnsi="Arial" w:cs="Arial"/>
            <w:color w:val="000000"/>
            <w:spacing w:val="0"/>
            <w:u w:val="single"/>
            <w:shd w:val="clear" w:color="auto" w:fill="FFFFFF"/>
            <w:lang w:eastAsia="ja-JP"/>
          </w:rPr>
          <w:t>http://</w:t>
        </w:r>
        <w:proofErr w:type="spellStart"/>
        <w:r w:rsidRPr="00601741">
          <w:rPr>
            <w:rFonts w:ascii="Arial" w:eastAsia="MS Mincho" w:hAnsi="Arial" w:cs="Arial"/>
            <w:color w:val="000000"/>
            <w:spacing w:val="0"/>
            <w:u w:val="single"/>
            <w:shd w:val="clear" w:color="auto" w:fill="FFFFFF"/>
            <w:lang w:eastAsia="ja-JP"/>
          </w:rPr>
          <w:t>dx.doi.org</w:t>
        </w:r>
        <w:proofErr w:type="spellEnd"/>
        <w:r w:rsidRPr="00601741">
          <w:rPr>
            <w:rFonts w:ascii="Arial" w:eastAsia="MS Mincho" w:hAnsi="Arial" w:cs="Arial"/>
            <w:color w:val="000000"/>
            <w:spacing w:val="0"/>
            <w:u w:val="single"/>
            <w:shd w:val="clear" w:color="auto" w:fill="FFFFFF"/>
            <w:lang w:eastAsia="ja-JP"/>
          </w:rPr>
          <w:t>/10.1787/9789264077485-en</w:t>
        </w:r>
      </w:hyperlink>
    </w:p>
  </w:footnote>
  <w:footnote w:id="18">
    <w:p w14:paraId="0BEE8744" w14:textId="34CE591D" w:rsidR="00051F36" w:rsidRDefault="00051F36">
      <w:pPr>
        <w:pStyle w:val="FootnoteText"/>
      </w:pPr>
      <w:r>
        <w:rPr>
          <w:rStyle w:val="FootnoteReference"/>
        </w:rPr>
        <w:footnoteRef/>
      </w:r>
      <w:r>
        <w:t xml:space="preserve"> </w:t>
      </w:r>
      <w:proofErr w:type="spellStart"/>
      <w:r>
        <w:rPr>
          <w:rFonts w:ascii="Arial" w:hAnsi="Arial" w:cs="Arial"/>
          <w:color w:val="000000"/>
        </w:rPr>
        <w:t>Sharples</w:t>
      </w:r>
      <w:proofErr w:type="spellEnd"/>
      <w:r>
        <w:rPr>
          <w:rFonts w:ascii="Arial" w:hAnsi="Arial" w:cs="Arial"/>
          <w:color w:val="000000"/>
        </w:rPr>
        <w:t xml:space="preserve">, J 2013, ‘Evidence for the Frontline: A Report for the Alliance for Useful Evidence’, </w:t>
      </w:r>
      <w:r>
        <w:rPr>
          <w:rFonts w:ascii="Arial" w:hAnsi="Arial" w:cs="Arial"/>
          <w:i/>
          <w:iCs/>
          <w:color w:val="000000"/>
        </w:rPr>
        <w:t>Alliance for Useful Evidence</w:t>
      </w:r>
      <w:r>
        <w:rPr>
          <w:rFonts w:ascii="Arial" w:hAnsi="Arial" w:cs="Arial"/>
          <w:color w:val="000000"/>
        </w:rPr>
        <w:t xml:space="preserve">, </w:t>
      </w:r>
      <w:proofErr w:type="spellStart"/>
      <w:r>
        <w:rPr>
          <w:rFonts w:ascii="Arial" w:hAnsi="Arial" w:cs="Arial"/>
          <w:color w:val="000000"/>
        </w:rPr>
        <w:t>pp.24</w:t>
      </w:r>
      <w:proofErr w:type="spellEnd"/>
      <w:r>
        <w:rPr>
          <w:rFonts w:ascii="Arial" w:hAnsi="Arial" w:cs="Arial"/>
          <w:color w:val="000000"/>
        </w:rPr>
        <w:t>.</w:t>
      </w:r>
    </w:p>
  </w:footnote>
  <w:footnote w:id="19">
    <w:p w14:paraId="2FADC002" w14:textId="3E4B0708" w:rsidR="00051F36" w:rsidRDefault="00051F36">
      <w:pPr>
        <w:pStyle w:val="FootnoteText"/>
      </w:pPr>
      <w:r>
        <w:rPr>
          <w:rStyle w:val="FootnoteReference"/>
        </w:rPr>
        <w:footnoteRef/>
      </w:r>
      <w:r>
        <w:t xml:space="preserve"> </w:t>
      </w:r>
      <w:r>
        <w:rPr>
          <w:rFonts w:ascii="Arial" w:hAnsi="Arial" w:cs="Arial"/>
          <w:color w:val="000000"/>
        </w:rPr>
        <w:t xml:space="preserve">Hattie, J 2015, ‘What Works Best in Education: the Politics of Collaborative Expertise’, Pearson, </w:t>
      </w:r>
      <w:proofErr w:type="spellStart"/>
      <w:r>
        <w:rPr>
          <w:rFonts w:ascii="Arial" w:hAnsi="Arial" w:cs="Arial"/>
          <w:color w:val="000000"/>
        </w:rPr>
        <w:t>pp.15</w:t>
      </w:r>
      <w:proofErr w:type="spellEnd"/>
      <w:r>
        <w:rPr>
          <w:rFonts w:ascii="Arial" w:hAnsi="Arial" w:cs="Arial"/>
          <w:color w:val="000000"/>
        </w:rPr>
        <w:t>.</w:t>
      </w:r>
    </w:p>
  </w:footnote>
  <w:footnote w:id="20">
    <w:p w14:paraId="0CE577A1" w14:textId="64C68B10" w:rsidR="00051F36" w:rsidRDefault="00051F36">
      <w:pPr>
        <w:pStyle w:val="FootnoteText"/>
      </w:pPr>
      <w:r>
        <w:rPr>
          <w:rStyle w:val="FootnoteReference"/>
        </w:rPr>
        <w:footnoteRef/>
      </w:r>
      <w:r>
        <w:t xml:space="preserve"> </w:t>
      </w:r>
      <w:proofErr w:type="spellStart"/>
      <w:r>
        <w:rPr>
          <w:rFonts w:ascii="Arial" w:hAnsi="Arial" w:cs="Arial"/>
          <w:color w:val="000000"/>
        </w:rPr>
        <w:t>Bryk</w:t>
      </w:r>
      <w:proofErr w:type="spellEnd"/>
      <w:r>
        <w:rPr>
          <w:rFonts w:ascii="Arial" w:hAnsi="Arial" w:cs="Arial"/>
          <w:color w:val="000000"/>
        </w:rPr>
        <w:t xml:space="preserve">, A. 2015, ‘2014 </w:t>
      </w:r>
      <w:proofErr w:type="spellStart"/>
      <w:r>
        <w:rPr>
          <w:rFonts w:ascii="Arial" w:hAnsi="Arial" w:cs="Arial"/>
          <w:color w:val="000000"/>
        </w:rPr>
        <w:t>AERA</w:t>
      </w:r>
      <w:proofErr w:type="spellEnd"/>
      <w:r>
        <w:rPr>
          <w:rFonts w:ascii="Arial" w:hAnsi="Arial" w:cs="Arial"/>
          <w:color w:val="000000"/>
        </w:rPr>
        <w:t xml:space="preserve"> Distinguished Lecture: Accelerating How We Learn to Improve’, </w:t>
      </w:r>
      <w:r>
        <w:rPr>
          <w:rFonts w:ascii="Arial" w:hAnsi="Arial" w:cs="Arial"/>
          <w:i/>
          <w:iCs/>
          <w:color w:val="000000"/>
        </w:rPr>
        <w:t xml:space="preserve">Educational Researcher, </w:t>
      </w:r>
      <w:proofErr w:type="spellStart"/>
      <w:r>
        <w:rPr>
          <w:rFonts w:ascii="Arial" w:hAnsi="Arial" w:cs="Arial"/>
          <w:color w:val="000000"/>
        </w:rPr>
        <w:t>pp.473</w:t>
      </w:r>
      <w:proofErr w:type="spellEnd"/>
      <w:r>
        <w:rPr>
          <w:rFonts w:ascii="Arial" w:hAnsi="Arial" w:cs="Arial"/>
          <w:color w:val="000000"/>
        </w:rPr>
        <w:t>.</w:t>
      </w:r>
    </w:p>
  </w:footnote>
  <w:footnote w:id="21">
    <w:p w14:paraId="201DF537" w14:textId="1F26164D" w:rsidR="00051F36" w:rsidRDefault="00051F36">
      <w:pPr>
        <w:pStyle w:val="FootnoteText"/>
      </w:pPr>
      <w:r>
        <w:rPr>
          <w:rStyle w:val="FootnoteReference"/>
        </w:rPr>
        <w:footnoteRef/>
      </w:r>
      <w:r>
        <w:t xml:space="preserve"> </w:t>
      </w:r>
      <w:r>
        <w:rPr>
          <w:rFonts w:ascii="Arial" w:hAnsi="Arial" w:cs="Arial"/>
          <w:color w:val="000000"/>
        </w:rPr>
        <w:t xml:space="preserve">Productivity Commission 2016, ‘National Education Evidence Base’, </w:t>
      </w:r>
      <w:r>
        <w:rPr>
          <w:rFonts w:ascii="Arial" w:hAnsi="Arial" w:cs="Arial"/>
          <w:i/>
          <w:iCs/>
          <w:color w:val="000000"/>
        </w:rPr>
        <w:t>Productivity Commission Issues Paper,</w:t>
      </w:r>
      <w:r>
        <w:rPr>
          <w:rFonts w:ascii="Arial" w:hAnsi="Arial" w:cs="Arial"/>
          <w:color w:val="000000"/>
        </w:rPr>
        <w:t xml:space="preserve"> </w:t>
      </w:r>
      <w:proofErr w:type="spellStart"/>
      <w:r>
        <w:rPr>
          <w:rFonts w:ascii="Arial" w:hAnsi="Arial" w:cs="Arial"/>
          <w:color w:val="000000"/>
        </w:rPr>
        <w:t>pp.iii</w:t>
      </w:r>
      <w:proofErr w:type="spellEnd"/>
      <w:r>
        <w:rPr>
          <w:rFonts w:ascii="Arial" w:hAnsi="Arial" w:cs="Arial"/>
          <w:color w:val="000000"/>
        </w:rPr>
        <w:t>.</w:t>
      </w:r>
    </w:p>
  </w:footnote>
  <w:footnote w:id="22">
    <w:p w14:paraId="0D0D8F30" w14:textId="63CDDFCA" w:rsidR="00051F36" w:rsidRPr="00601741" w:rsidRDefault="00051F36">
      <w:pPr>
        <w:pStyle w:val="FootnoteText"/>
        <w:rPr>
          <w:color w:val="000000" w:themeColor="text1"/>
        </w:rPr>
      </w:pPr>
      <w:r>
        <w:rPr>
          <w:rStyle w:val="FootnoteReference"/>
        </w:rPr>
        <w:footnoteRef/>
      </w:r>
      <w:r>
        <w:t xml:space="preserve"> </w:t>
      </w:r>
      <w:r w:rsidRPr="00601741">
        <w:rPr>
          <w:rFonts w:ascii="Arial" w:hAnsi="Arial" w:cs="Arial"/>
          <w:color w:val="000000" w:themeColor="text1"/>
        </w:rPr>
        <w:t xml:space="preserve">Steering Committee for the Review of Government Service Provision 2015, ‘Why Investments in Early Childhood Work’, </w:t>
      </w:r>
      <w:r w:rsidRPr="00601741">
        <w:rPr>
          <w:rFonts w:ascii="Arial" w:hAnsi="Arial" w:cs="Arial"/>
          <w:i/>
          <w:iCs/>
          <w:color w:val="000000" w:themeColor="text1"/>
        </w:rPr>
        <w:t>Report on Government Services</w:t>
      </w:r>
      <w:r w:rsidRPr="00601741">
        <w:rPr>
          <w:rFonts w:ascii="Arial" w:hAnsi="Arial" w:cs="Arial"/>
          <w:color w:val="000000" w:themeColor="text1"/>
        </w:rPr>
        <w:t xml:space="preserve">, Viewed on 20 May 2016, </w:t>
      </w:r>
      <w:r w:rsidRPr="00601741">
        <w:rPr>
          <w:rFonts w:ascii="Arial" w:eastAsia="MS Mincho" w:hAnsi="Arial" w:cs="Arial"/>
          <w:color w:val="000000" w:themeColor="text1"/>
          <w:spacing w:val="0"/>
          <w:lang w:eastAsia="ja-JP"/>
        </w:rPr>
        <w:t>&lt;</w:t>
      </w:r>
      <w:hyperlink r:id="rId8" w:history="1">
        <w:r w:rsidRPr="00601741">
          <w:rPr>
            <w:rFonts w:ascii="Arial" w:eastAsia="MS Mincho" w:hAnsi="Arial" w:cs="Arial"/>
            <w:color w:val="000000" w:themeColor="text1"/>
            <w:spacing w:val="0"/>
            <w:u w:val="single"/>
            <w:lang w:eastAsia="ja-JP"/>
          </w:rPr>
          <w:t>http://www.theounce.org/who-we-are/why-investments-in-early-childhood-work</w:t>
        </w:r>
      </w:hyperlink>
      <w:r w:rsidRPr="00601741">
        <w:rPr>
          <w:rFonts w:ascii="Arial" w:eastAsia="MS Mincho" w:hAnsi="Arial" w:cs="Arial"/>
          <w:color w:val="000000" w:themeColor="text1"/>
          <w:spacing w:val="0"/>
          <w:sz w:val="20"/>
          <w:szCs w:val="20"/>
          <w:lang w:eastAsia="ja-JP"/>
        </w:rPr>
        <w:t>&gt;</w:t>
      </w:r>
    </w:p>
  </w:footnote>
  <w:footnote w:id="23">
    <w:p w14:paraId="38384234" w14:textId="1FC84688"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A. Reynolds, et al. 2001, ‘Age 21 Cost-Benefit Analysis of the Title I Chicago Child-Parent </w:t>
      </w:r>
      <w:proofErr w:type="spellStart"/>
      <w:r w:rsidRPr="00601741">
        <w:rPr>
          <w:rFonts w:ascii="Arial" w:eastAsia="MS Mincho" w:hAnsi="Arial" w:cs="Arial"/>
          <w:color w:val="000000" w:themeColor="text1"/>
          <w:spacing w:val="0"/>
          <w:lang w:eastAsia="ja-JP"/>
        </w:rPr>
        <w:t>Center</w:t>
      </w:r>
      <w:proofErr w:type="spellEnd"/>
      <w:r w:rsidRPr="00601741">
        <w:rPr>
          <w:rFonts w:ascii="Arial" w:eastAsia="MS Mincho" w:hAnsi="Arial" w:cs="Arial"/>
          <w:color w:val="000000" w:themeColor="text1"/>
          <w:spacing w:val="0"/>
          <w:lang w:eastAsia="ja-JP"/>
        </w:rPr>
        <w:t xml:space="preserve"> Program - Executive Summary’, </w:t>
      </w:r>
      <w:r w:rsidRPr="00601741">
        <w:rPr>
          <w:rFonts w:ascii="Arial" w:eastAsia="MS Mincho" w:hAnsi="Arial" w:cs="Arial"/>
          <w:i/>
          <w:iCs/>
          <w:color w:val="000000" w:themeColor="text1"/>
          <w:spacing w:val="0"/>
          <w:lang w:eastAsia="ja-JP"/>
        </w:rPr>
        <w:t>Chicago Longitudinal Stud</w:t>
      </w:r>
      <w:r w:rsidRPr="00601741">
        <w:rPr>
          <w:rFonts w:ascii="Arial" w:eastAsia="MS Mincho" w:hAnsi="Arial" w:cs="Arial"/>
          <w:color w:val="000000" w:themeColor="text1"/>
          <w:spacing w:val="0"/>
          <w:lang w:eastAsia="ja-JP"/>
        </w:rPr>
        <w:t>y, Viewed 20 May 2016, &lt;</w:t>
      </w:r>
      <w:hyperlink r:id="rId9" w:history="1">
        <w:r w:rsidRPr="00601741">
          <w:rPr>
            <w:rFonts w:ascii="Arial" w:eastAsia="MS Mincho" w:hAnsi="Arial" w:cs="Arial"/>
            <w:color w:val="000000" w:themeColor="text1"/>
            <w:spacing w:val="0"/>
            <w:u w:val="single"/>
            <w:lang w:eastAsia="ja-JP"/>
          </w:rPr>
          <w:t>http://</w:t>
        </w:r>
        <w:proofErr w:type="spellStart"/>
        <w:r w:rsidRPr="00601741">
          <w:rPr>
            <w:rFonts w:ascii="Arial" w:eastAsia="MS Mincho" w:hAnsi="Arial" w:cs="Arial"/>
            <w:color w:val="000000" w:themeColor="text1"/>
            <w:spacing w:val="0"/>
            <w:u w:val="single"/>
            <w:lang w:eastAsia="ja-JP"/>
          </w:rPr>
          <w:t>www.cehd.umn.edu</w:t>
        </w:r>
        <w:proofErr w:type="spellEnd"/>
        <w:r w:rsidRPr="00601741">
          <w:rPr>
            <w:rFonts w:ascii="Arial" w:eastAsia="MS Mincho" w:hAnsi="Arial" w:cs="Arial"/>
            <w:color w:val="000000" w:themeColor="text1"/>
            <w:spacing w:val="0"/>
            <w:u w:val="single"/>
            <w:lang w:eastAsia="ja-JP"/>
          </w:rPr>
          <w:t>/</w:t>
        </w:r>
        <w:proofErr w:type="spellStart"/>
        <w:r w:rsidRPr="00601741">
          <w:rPr>
            <w:rFonts w:ascii="Arial" w:eastAsia="MS Mincho" w:hAnsi="Arial" w:cs="Arial"/>
            <w:color w:val="000000" w:themeColor="text1"/>
            <w:spacing w:val="0"/>
            <w:u w:val="single"/>
            <w:lang w:eastAsia="ja-JP"/>
          </w:rPr>
          <w:t>icd</w:t>
        </w:r>
        <w:proofErr w:type="spellEnd"/>
        <w:r w:rsidRPr="00601741">
          <w:rPr>
            <w:rFonts w:ascii="Arial" w:eastAsia="MS Mincho" w:hAnsi="Arial" w:cs="Arial"/>
            <w:color w:val="000000" w:themeColor="text1"/>
            <w:spacing w:val="0"/>
            <w:u w:val="single"/>
            <w:lang w:eastAsia="ja-JP"/>
          </w:rPr>
          <w:t>/research/</w:t>
        </w:r>
        <w:proofErr w:type="spellStart"/>
        <w:r w:rsidRPr="00601741">
          <w:rPr>
            <w:rFonts w:ascii="Arial" w:eastAsia="MS Mincho" w:hAnsi="Arial" w:cs="Arial"/>
            <w:color w:val="000000" w:themeColor="text1"/>
            <w:spacing w:val="0"/>
            <w:u w:val="single"/>
            <w:lang w:eastAsia="ja-JP"/>
          </w:rPr>
          <w:t>cls</w:t>
        </w:r>
        <w:proofErr w:type="spellEnd"/>
        <w:r w:rsidRPr="00601741">
          <w:rPr>
            <w:rFonts w:ascii="Arial" w:eastAsia="MS Mincho" w:hAnsi="Arial" w:cs="Arial"/>
            <w:color w:val="000000" w:themeColor="text1"/>
            <w:spacing w:val="0"/>
            <w:u w:val="single"/>
            <w:lang w:eastAsia="ja-JP"/>
          </w:rPr>
          <w:t>/</w:t>
        </w:r>
        <w:proofErr w:type="spellStart"/>
        <w:r w:rsidRPr="00601741">
          <w:rPr>
            <w:rFonts w:ascii="Arial" w:eastAsia="MS Mincho" w:hAnsi="Arial" w:cs="Arial"/>
            <w:color w:val="000000" w:themeColor="text1"/>
            <w:spacing w:val="0"/>
            <w:u w:val="single"/>
            <w:lang w:eastAsia="ja-JP"/>
          </w:rPr>
          <w:t>Cbaexecsum4.html</w:t>
        </w:r>
        <w:proofErr w:type="spellEnd"/>
      </w:hyperlink>
      <w:r w:rsidRPr="00601741">
        <w:rPr>
          <w:rFonts w:ascii="Arial" w:eastAsia="MS Mincho" w:hAnsi="Arial" w:cs="Arial"/>
          <w:color w:val="000000" w:themeColor="text1"/>
          <w:spacing w:val="0"/>
          <w:lang w:eastAsia="ja-JP"/>
        </w:rPr>
        <w:t xml:space="preserve"> &gt;</w:t>
      </w:r>
    </w:p>
  </w:footnote>
  <w:footnote w:id="24">
    <w:p w14:paraId="471C7455" w14:textId="745BE519" w:rsidR="00051F36" w:rsidRDefault="00051F3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Heckman, J 2016, ‘The Heckman Curve’, viewed 20 May 2016, &lt;</w:t>
      </w:r>
      <w:hyperlink r:id="rId10" w:history="1">
        <w:r w:rsidRPr="00601741">
          <w:rPr>
            <w:rFonts w:ascii="Arial" w:eastAsia="MS Mincho" w:hAnsi="Arial" w:cs="Arial"/>
            <w:color w:val="000000" w:themeColor="text1"/>
            <w:spacing w:val="0"/>
            <w:lang w:eastAsia="ja-JP"/>
          </w:rPr>
          <w:t xml:space="preserve"> </w:t>
        </w:r>
        <w:r w:rsidRPr="00601741">
          <w:rPr>
            <w:rFonts w:ascii="Arial" w:eastAsia="MS Mincho" w:hAnsi="Arial" w:cs="Arial"/>
            <w:color w:val="000000" w:themeColor="text1"/>
            <w:spacing w:val="0"/>
            <w:u w:val="single"/>
            <w:lang w:eastAsia="ja-JP"/>
          </w:rPr>
          <w:t>http://</w:t>
        </w:r>
        <w:proofErr w:type="spellStart"/>
        <w:r w:rsidRPr="00601741">
          <w:rPr>
            <w:rFonts w:ascii="Arial" w:eastAsia="MS Mincho" w:hAnsi="Arial" w:cs="Arial"/>
            <w:color w:val="000000" w:themeColor="text1"/>
            <w:spacing w:val="0"/>
            <w:u w:val="single"/>
            <w:lang w:eastAsia="ja-JP"/>
          </w:rPr>
          <w:t>heckmanequation.org</w:t>
        </w:r>
        <w:proofErr w:type="spellEnd"/>
        <w:r w:rsidRPr="00601741">
          <w:rPr>
            <w:rFonts w:ascii="Arial" w:eastAsia="MS Mincho" w:hAnsi="Arial" w:cs="Arial"/>
            <w:color w:val="000000" w:themeColor="text1"/>
            <w:spacing w:val="0"/>
            <w:u w:val="single"/>
            <w:lang w:eastAsia="ja-JP"/>
          </w:rPr>
          <w:t>/content/resource/</w:t>
        </w:r>
        <w:proofErr w:type="spellStart"/>
        <w:r w:rsidRPr="00601741">
          <w:rPr>
            <w:rFonts w:ascii="Arial" w:eastAsia="MS Mincho" w:hAnsi="Arial" w:cs="Arial"/>
            <w:color w:val="000000" w:themeColor="text1"/>
            <w:spacing w:val="0"/>
            <w:u w:val="single"/>
            <w:lang w:eastAsia="ja-JP"/>
          </w:rPr>
          <w:t>heckman</w:t>
        </w:r>
        <w:proofErr w:type="spellEnd"/>
        <w:r w:rsidRPr="00601741">
          <w:rPr>
            <w:rFonts w:ascii="Arial" w:eastAsia="MS Mincho" w:hAnsi="Arial" w:cs="Arial"/>
            <w:color w:val="000000" w:themeColor="text1"/>
            <w:spacing w:val="0"/>
            <w:u w:val="single"/>
            <w:lang w:eastAsia="ja-JP"/>
          </w:rPr>
          <w:t>-curve</w:t>
        </w:r>
      </w:hyperlink>
      <w:r w:rsidRPr="00601741">
        <w:rPr>
          <w:rFonts w:ascii="Arial" w:eastAsia="MS Mincho" w:hAnsi="Arial" w:cs="Arial"/>
          <w:color w:val="000000" w:themeColor="text1"/>
          <w:spacing w:val="0"/>
          <w:sz w:val="20"/>
          <w:szCs w:val="20"/>
          <w:lang w:eastAsia="ja-JP"/>
        </w:rPr>
        <w:t>&gt;</w:t>
      </w:r>
    </w:p>
  </w:footnote>
  <w:footnote w:id="25">
    <w:p w14:paraId="77C28019" w14:textId="3ABFF0EA" w:rsidR="00051F36" w:rsidRPr="00601741" w:rsidRDefault="00051F36">
      <w:pPr>
        <w:pStyle w:val="FootnoteText"/>
        <w:rPr>
          <w:color w:val="000000" w:themeColor="text1"/>
        </w:rPr>
      </w:pPr>
      <w:r>
        <w:rPr>
          <w:rStyle w:val="FootnoteReference"/>
        </w:rPr>
        <w:footnoteRef/>
      </w:r>
      <w:r>
        <w:t xml:space="preserve"> </w:t>
      </w:r>
      <w:r w:rsidRPr="00601741">
        <w:rPr>
          <w:rFonts w:ascii="Arial" w:eastAsia="MS Mincho" w:hAnsi="Arial" w:cs="Arial"/>
          <w:color w:val="000000" w:themeColor="text1"/>
          <w:spacing w:val="0"/>
          <w:lang w:eastAsia="ja-JP"/>
        </w:rPr>
        <w:t xml:space="preserve">Australian Institute of Family Studies 2015, ‘’The Longitudinal Study of Australian Children: Annual Statistical Report 2014’, </w:t>
      </w:r>
      <w:r w:rsidRPr="00601741">
        <w:rPr>
          <w:rFonts w:ascii="Arial" w:eastAsia="MS Mincho" w:hAnsi="Arial" w:cs="Arial"/>
          <w:i/>
          <w:iCs/>
          <w:color w:val="000000" w:themeColor="text1"/>
          <w:spacing w:val="0"/>
          <w:lang w:eastAsia="ja-JP"/>
        </w:rPr>
        <w:t xml:space="preserve">Melbourne </w:t>
      </w:r>
      <w:proofErr w:type="spellStart"/>
      <w:r w:rsidRPr="00601741">
        <w:rPr>
          <w:rFonts w:ascii="Arial" w:eastAsia="MS Mincho" w:hAnsi="Arial" w:cs="Arial"/>
          <w:i/>
          <w:iCs/>
          <w:color w:val="000000" w:themeColor="text1"/>
          <w:spacing w:val="0"/>
          <w:lang w:eastAsia="ja-JP"/>
        </w:rPr>
        <w:t>AIFS</w:t>
      </w:r>
      <w:proofErr w:type="spellEnd"/>
      <w:r w:rsidRPr="00601741">
        <w:rPr>
          <w:rFonts w:ascii="Arial" w:eastAsia="MS Mincho" w:hAnsi="Arial" w:cs="Arial"/>
          <w:color w:val="000000" w:themeColor="text1"/>
          <w:spacing w:val="0"/>
          <w:lang w:eastAsia="ja-JP"/>
        </w:rPr>
        <w:t>,  pp. 63, viewed 20 May 2016</w:t>
      </w:r>
      <w:hyperlink r:id="rId11" w:history="1">
        <w:r w:rsidRPr="00601741">
          <w:rPr>
            <w:rFonts w:ascii="Arial" w:eastAsia="MS Mincho" w:hAnsi="Arial" w:cs="Arial"/>
            <w:color w:val="000000" w:themeColor="text1"/>
            <w:spacing w:val="0"/>
            <w:lang w:eastAsia="ja-JP"/>
          </w:rPr>
          <w:t xml:space="preserve"> </w:t>
        </w:r>
      </w:hyperlink>
      <w:r w:rsidRPr="00601741">
        <w:rPr>
          <w:rFonts w:ascii="Arial" w:eastAsia="MS Mincho" w:hAnsi="Arial" w:cs="Arial"/>
          <w:color w:val="000000" w:themeColor="text1"/>
          <w:spacing w:val="0"/>
          <w:lang w:eastAsia="ja-JP"/>
        </w:rPr>
        <w:t>&lt;</w:t>
      </w:r>
      <w:hyperlink r:id="rId12" w:history="1">
        <w:r w:rsidRPr="00601741">
          <w:rPr>
            <w:rFonts w:ascii="Arial" w:eastAsia="MS Mincho" w:hAnsi="Arial" w:cs="Arial"/>
            <w:color w:val="000000" w:themeColor="text1"/>
            <w:spacing w:val="0"/>
            <w:u w:val="single"/>
            <w:lang w:eastAsia="ja-JP"/>
          </w:rPr>
          <w:t>http://www.growingupinaustralia.gov.au/pubs/asr/2014/asr2014.pdf</w:t>
        </w:r>
      </w:hyperlink>
      <w:r w:rsidRPr="00601741">
        <w:rPr>
          <w:rFonts w:ascii="Arial" w:eastAsia="MS Mincho" w:hAnsi="Arial" w:cs="Arial"/>
          <w:color w:val="000000" w:themeColor="text1"/>
          <w:spacing w:val="0"/>
          <w:lang w:eastAsia="ja-JP"/>
        </w:rPr>
        <w:t>&gt;</w:t>
      </w:r>
    </w:p>
  </w:footnote>
  <w:footnote w:id="26">
    <w:p w14:paraId="7C62F1F1" w14:textId="4843E412"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proofErr w:type="spellStart"/>
      <w:r w:rsidRPr="00601741">
        <w:rPr>
          <w:rFonts w:ascii="Arial" w:hAnsi="Arial" w:cs="Arial"/>
          <w:color w:val="000000" w:themeColor="text1"/>
        </w:rPr>
        <w:t>Mahuteau</w:t>
      </w:r>
      <w:proofErr w:type="spellEnd"/>
      <w:r w:rsidRPr="00601741">
        <w:rPr>
          <w:rFonts w:ascii="Arial" w:hAnsi="Arial" w:cs="Arial"/>
          <w:color w:val="000000" w:themeColor="text1"/>
        </w:rPr>
        <w:t xml:space="preserve">, S. &amp; </w:t>
      </w:r>
      <w:proofErr w:type="spellStart"/>
      <w:r w:rsidRPr="00601741">
        <w:rPr>
          <w:rFonts w:ascii="Arial" w:hAnsi="Arial" w:cs="Arial"/>
          <w:color w:val="000000" w:themeColor="text1"/>
        </w:rPr>
        <w:t>Mavromaras</w:t>
      </w:r>
      <w:proofErr w:type="spellEnd"/>
      <w:r w:rsidRPr="00601741">
        <w:rPr>
          <w:rFonts w:ascii="Arial" w:hAnsi="Arial" w:cs="Arial"/>
          <w:color w:val="000000" w:themeColor="text1"/>
        </w:rPr>
        <w:t xml:space="preserve">, K. 2013, ‘An Analysis of the Impact of Socioeconomic Disadvantage and School Quality on the Probability of School Dropout’, </w:t>
      </w:r>
      <w:r w:rsidRPr="00601741">
        <w:rPr>
          <w:rFonts w:ascii="Arial" w:hAnsi="Arial" w:cs="Arial"/>
          <w:i/>
          <w:iCs/>
          <w:color w:val="000000" w:themeColor="text1"/>
        </w:rPr>
        <w:t>National Institute of Labour Studies,</w:t>
      </w:r>
      <w:r w:rsidRPr="00601741">
        <w:rPr>
          <w:rFonts w:ascii="Arial" w:hAnsi="Arial" w:cs="Arial"/>
          <w:color w:val="000000" w:themeColor="text1"/>
        </w:rPr>
        <w:t xml:space="preserve"> pp. 7, viewed 20 May 2016, </w:t>
      </w:r>
      <w:r w:rsidRPr="00601741">
        <w:rPr>
          <w:rFonts w:ascii="Arial" w:eastAsia="MS Mincho" w:hAnsi="Arial" w:cs="Arial"/>
          <w:color w:val="000000" w:themeColor="text1"/>
          <w:spacing w:val="0"/>
          <w:lang w:eastAsia="ja-JP"/>
        </w:rPr>
        <w:t>&lt;</w:t>
      </w:r>
      <w:hyperlink r:id="rId13" w:history="1">
        <w:r w:rsidRPr="00601741">
          <w:rPr>
            <w:rFonts w:ascii="Arial" w:eastAsia="MS Mincho" w:hAnsi="Arial" w:cs="Arial"/>
            <w:color w:val="000000" w:themeColor="text1"/>
            <w:spacing w:val="0"/>
            <w:u w:val="single"/>
            <w:lang w:eastAsia="ja-JP"/>
          </w:rPr>
          <w:t>http://www.flinders.edu.au/sabs/nils-files/publications/working-papers/WP%20197.pdf</w:t>
        </w:r>
      </w:hyperlink>
      <w:r w:rsidRPr="00601741">
        <w:rPr>
          <w:rFonts w:ascii="Arial" w:eastAsia="MS Mincho" w:hAnsi="Arial" w:cs="Arial"/>
          <w:color w:val="000000" w:themeColor="text1"/>
          <w:spacing w:val="0"/>
          <w:sz w:val="20"/>
          <w:szCs w:val="20"/>
          <w:lang w:eastAsia="ja-JP"/>
        </w:rPr>
        <w:t>&gt;</w:t>
      </w:r>
    </w:p>
  </w:footnote>
  <w:footnote w:id="27">
    <w:p w14:paraId="391C848A" w14:textId="14AE59C5"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Thomson, S. De </w:t>
      </w:r>
      <w:proofErr w:type="spellStart"/>
      <w:r w:rsidRPr="00601741">
        <w:rPr>
          <w:rFonts w:ascii="Arial" w:eastAsia="MS Mincho" w:hAnsi="Arial" w:cs="Arial"/>
          <w:color w:val="000000" w:themeColor="text1"/>
          <w:spacing w:val="0"/>
          <w:lang w:eastAsia="ja-JP"/>
        </w:rPr>
        <w:t>Bortoli</w:t>
      </w:r>
      <w:proofErr w:type="spellEnd"/>
      <w:r w:rsidRPr="00601741">
        <w:rPr>
          <w:rFonts w:ascii="Arial" w:eastAsia="MS Mincho" w:hAnsi="Arial" w:cs="Arial"/>
          <w:color w:val="000000" w:themeColor="text1"/>
          <w:spacing w:val="0"/>
          <w:lang w:eastAsia="ja-JP"/>
        </w:rPr>
        <w:t xml:space="preserve">, L. and Buckley, S. 2013, ‘PISA in brief : highlights from the full Australian report : PISA 2012 : how Australia measures up’, </w:t>
      </w:r>
      <w:r w:rsidRPr="00601741">
        <w:rPr>
          <w:rFonts w:ascii="Arial" w:eastAsia="MS Mincho" w:hAnsi="Arial" w:cs="Arial"/>
          <w:i/>
          <w:iCs/>
          <w:color w:val="000000" w:themeColor="text1"/>
          <w:spacing w:val="0"/>
          <w:lang w:eastAsia="ja-JP"/>
        </w:rPr>
        <w:t>Australian Council for Educational Research,</w:t>
      </w:r>
      <w:r w:rsidRPr="00601741">
        <w:rPr>
          <w:rFonts w:ascii="Arial" w:eastAsia="MS Mincho" w:hAnsi="Arial" w:cs="Arial"/>
          <w:color w:val="000000" w:themeColor="text1"/>
          <w:spacing w:val="0"/>
          <w:lang w:eastAsia="ja-JP"/>
        </w:rPr>
        <w:t xml:space="preserve"> pp. 21,</w:t>
      </w:r>
      <w:hyperlink r:id="rId14" w:history="1">
        <w:r w:rsidRPr="00601741">
          <w:rPr>
            <w:rFonts w:ascii="Arial" w:eastAsia="MS Mincho" w:hAnsi="Arial" w:cs="Arial"/>
            <w:color w:val="000000" w:themeColor="text1"/>
            <w:spacing w:val="0"/>
            <w:lang w:eastAsia="ja-JP"/>
          </w:rPr>
          <w:t xml:space="preserve"> viewed 20 May 2015, &lt;</w:t>
        </w:r>
        <w:r w:rsidRPr="00601741">
          <w:rPr>
            <w:rFonts w:ascii="Arial" w:eastAsia="MS Mincho" w:hAnsi="Arial" w:cs="Arial"/>
            <w:color w:val="000000" w:themeColor="text1"/>
            <w:spacing w:val="0"/>
            <w:u w:val="single"/>
            <w:lang w:eastAsia="ja-JP"/>
          </w:rPr>
          <w:t>http://research.acer.edu.au/cgi/viewcontent.cgi?article=1014&amp;context=ozpisa</w:t>
        </w:r>
      </w:hyperlink>
      <w:r w:rsidRPr="00601741">
        <w:rPr>
          <w:rFonts w:ascii="Arial" w:eastAsia="MS Mincho" w:hAnsi="Arial" w:cs="Arial"/>
          <w:color w:val="000000" w:themeColor="text1"/>
          <w:spacing w:val="0"/>
          <w:sz w:val="20"/>
          <w:szCs w:val="20"/>
          <w:lang w:eastAsia="ja-JP"/>
        </w:rPr>
        <w:t>&gt;</w:t>
      </w:r>
    </w:p>
  </w:footnote>
  <w:footnote w:id="28">
    <w:p w14:paraId="1A3784E0" w14:textId="7DEB0339"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 xml:space="preserve">Ibid., </w:t>
      </w:r>
      <w:proofErr w:type="spellStart"/>
      <w:r w:rsidRPr="00601741">
        <w:rPr>
          <w:rFonts w:ascii="Arial" w:hAnsi="Arial" w:cs="Arial"/>
          <w:color w:val="000000" w:themeColor="text1"/>
        </w:rPr>
        <w:t>pp.18</w:t>
      </w:r>
      <w:proofErr w:type="spellEnd"/>
      <w:r w:rsidRPr="00601741">
        <w:rPr>
          <w:rFonts w:ascii="Arial" w:hAnsi="Arial" w:cs="Arial"/>
          <w:color w:val="000000" w:themeColor="text1"/>
        </w:rPr>
        <w:t>.</w:t>
      </w:r>
    </w:p>
  </w:footnote>
  <w:footnote w:id="29">
    <w:p w14:paraId="3FB9DF49" w14:textId="0E131E36" w:rsidR="00051F36" w:rsidRDefault="00051F3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 xml:space="preserve">Ibid., </w:t>
      </w:r>
      <w:proofErr w:type="spellStart"/>
      <w:r w:rsidRPr="00601741">
        <w:rPr>
          <w:rFonts w:ascii="Arial" w:hAnsi="Arial" w:cs="Arial"/>
          <w:color w:val="000000" w:themeColor="text1"/>
        </w:rPr>
        <w:t>pp.20</w:t>
      </w:r>
      <w:proofErr w:type="spellEnd"/>
    </w:p>
  </w:footnote>
  <w:footnote w:id="30">
    <w:p w14:paraId="13BAB976" w14:textId="6A7C59BC" w:rsidR="00051F36" w:rsidRPr="00601741" w:rsidRDefault="00051F36">
      <w:pPr>
        <w:pStyle w:val="FootnoteText"/>
        <w:rPr>
          <w:color w:val="000000" w:themeColor="text1"/>
        </w:rPr>
      </w:pPr>
      <w:r>
        <w:rPr>
          <w:rStyle w:val="FootnoteReference"/>
        </w:rPr>
        <w:footnoteRef/>
      </w:r>
      <w:r>
        <w:t xml:space="preserve"> </w:t>
      </w:r>
      <w:r w:rsidRPr="00601741">
        <w:rPr>
          <w:rFonts w:ascii="Arial" w:eastAsia="MS Mincho" w:hAnsi="Arial" w:cs="Arial"/>
          <w:color w:val="000000" w:themeColor="text1"/>
          <w:spacing w:val="0"/>
          <w:lang w:eastAsia="ja-JP"/>
        </w:rPr>
        <w:t xml:space="preserve">Burgess, </w:t>
      </w:r>
      <w:proofErr w:type="spellStart"/>
      <w:r w:rsidRPr="00601741">
        <w:rPr>
          <w:rFonts w:ascii="Arial" w:eastAsia="MS Mincho" w:hAnsi="Arial" w:cs="Arial"/>
          <w:color w:val="000000" w:themeColor="text1"/>
          <w:spacing w:val="0"/>
          <w:lang w:eastAsia="ja-JP"/>
        </w:rPr>
        <w:t>V.2015</w:t>
      </w:r>
      <w:proofErr w:type="spellEnd"/>
      <w:r w:rsidRPr="00601741">
        <w:rPr>
          <w:rFonts w:ascii="Arial" w:eastAsia="MS Mincho" w:hAnsi="Arial" w:cs="Arial"/>
          <w:color w:val="000000" w:themeColor="text1"/>
          <w:spacing w:val="0"/>
          <w:lang w:eastAsia="ja-JP"/>
        </w:rPr>
        <w:t xml:space="preserve">, ‘Poor use of public sector data blocking success in the digital economy’, </w:t>
      </w:r>
      <w:r w:rsidRPr="00601741">
        <w:rPr>
          <w:rFonts w:ascii="Arial" w:eastAsia="MS Mincho" w:hAnsi="Arial" w:cs="Arial"/>
          <w:i/>
          <w:iCs/>
          <w:color w:val="000000" w:themeColor="text1"/>
          <w:spacing w:val="0"/>
          <w:lang w:eastAsia="ja-JP"/>
        </w:rPr>
        <w:t xml:space="preserve">Financial Review, </w:t>
      </w:r>
      <w:r w:rsidRPr="00601741">
        <w:rPr>
          <w:rFonts w:ascii="Arial" w:eastAsia="MS Mincho" w:hAnsi="Arial" w:cs="Arial"/>
          <w:color w:val="000000" w:themeColor="text1"/>
          <w:spacing w:val="0"/>
          <w:lang w:eastAsia="ja-JP"/>
        </w:rPr>
        <w:t xml:space="preserve">viewed 23 May 2016, </w:t>
      </w:r>
      <w:hyperlink r:id="rId15" w:history="1">
        <w:r w:rsidRPr="00601741">
          <w:rPr>
            <w:rFonts w:ascii="Arial" w:eastAsia="MS Mincho" w:hAnsi="Arial" w:cs="Arial"/>
            <w:color w:val="000000" w:themeColor="text1"/>
            <w:spacing w:val="0"/>
            <w:u w:val="single"/>
            <w:lang w:eastAsia="ja-JP"/>
          </w:rPr>
          <w:t>http://www.afr.com/technology/poor-use-of-publicsector-data-blocking-success-in-the-digital-economy-20151202-gld9tq</w:t>
        </w:r>
      </w:hyperlink>
    </w:p>
  </w:footnote>
  <w:footnote w:id="31">
    <w:p w14:paraId="000F13D5" w14:textId="761F3353"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 xml:space="preserve">National Schools Interoperability Program 2016, viewed 23 May 2016, </w:t>
      </w:r>
      <w:r w:rsidRPr="00601741">
        <w:rPr>
          <w:rFonts w:ascii="Arial" w:hAnsi="Arial" w:cs="Arial"/>
          <w:color w:val="000000" w:themeColor="text1"/>
          <w:sz w:val="10"/>
          <w:szCs w:val="10"/>
          <w:vertAlign w:val="subscript"/>
        </w:rPr>
        <w:t>&lt;</w:t>
      </w:r>
      <w:r w:rsidRPr="00601741">
        <w:rPr>
          <w:rFonts w:ascii="Arial" w:hAnsi="Arial" w:cs="Arial"/>
          <w:color w:val="000000" w:themeColor="text1"/>
        </w:rPr>
        <w:t xml:space="preserve"> &lt;http://</w:t>
      </w:r>
      <w:proofErr w:type="spellStart"/>
      <w:r w:rsidRPr="00601741">
        <w:rPr>
          <w:rFonts w:ascii="Arial" w:hAnsi="Arial" w:cs="Arial"/>
          <w:color w:val="000000" w:themeColor="text1"/>
        </w:rPr>
        <w:t>www.nsip.edu.au</w:t>
      </w:r>
      <w:proofErr w:type="spellEnd"/>
      <w:r w:rsidRPr="00601741">
        <w:rPr>
          <w:rFonts w:ascii="Arial" w:hAnsi="Arial" w:cs="Arial"/>
          <w:color w:val="000000" w:themeColor="text1"/>
        </w:rPr>
        <w:t>/&gt;</w:t>
      </w:r>
    </w:p>
  </w:footnote>
  <w:footnote w:id="32">
    <w:p w14:paraId="0E324EFA" w14:textId="763FCAE4" w:rsidR="00051F36" w:rsidRDefault="00051F3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 xml:space="preserve">Productivity Commission 2016, ‘National Education Evidence Base’, </w:t>
      </w:r>
      <w:r w:rsidRPr="00601741">
        <w:rPr>
          <w:rFonts w:ascii="Arial" w:hAnsi="Arial" w:cs="Arial"/>
          <w:i/>
          <w:iCs/>
          <w:color w:val="000000" w:themeColor="text1"/>
        </w:rPr>
        <w:t>Productivity Commission Issues Paper,</w:t>
      </w:r>
      <w:r w:rsidRPr="00601741">
        <w:rPr>
          <w:rFonts w:ascii="Arial" w:hAnsi="Arial" w:cs="Arial"/>
          <w:color w:val="000000" w:themeColor="text1"/>
        </w:rPr>
        <w:t xml:space="preserve"> </w:t>
      </w:r>
      <w:proofErr w:type="spellStart"/>
      <w:r w:rsidRPr="00601741">
        <w:rPr>
          <w:rFonts w:ascii="Arial" w:hAnsi="Arial" w:cs="Arial"/>
          <w:color w:val="000000" w:themeColor="text1"/>
        </w:rPr>
        <w:t>pp.3</w:t>
      </w:r>
      <w:proofErr w:type="spellEnd"/>
      <w:r w:rsidRPr="00601741">
        <w:rPr>
          <w:rFonts w:ascii="Arial" w:hAnsi="Arial" w:cs="Arial"/>
          <w:color w:val="000000" w:themeColor="text1"/>
        </w:rPr>
        <w:t>.</w:t>
      </w:r>
    </w:p>
  </w:footnote>
  <w:footnote w:id="33">
    <w:p w14:paraId="0D12DFA6" w14:textId="3C57D785" w:rsidR="00051F36" w:rsidRDefault="00051F36">
      <w:pPr>
        <w:pStyle w:val="FootnoteText"/>
      </w:pPr>
      <w:r>
        <w:rPr>
          <w:rStyle w:val="FootnoteReference"/>
        </w:rPr>
        <w:footnoteRef/>
      </w:r>
      <w:r>
        <w:t xml:space="preserve"> </w:t>
      </w:r>
      <w:r>
        <w:rPr>
          <w:rFonts w:ascii="Arial" w:hAnsi="Arial" w:cs="Arial"/>
          <w:color w:val="000000"/>
        </w:rPr>
        <w:t xml:space="preserve">Ibid., </w:t>
      </w:r>
      <w:proofErr w:type="spellStart"/>
      <w:r>
        <w:rPr>
          <w:rFonts w:ascii="Arial" w:hAnsi="Arial" w:cs="Arial"/>
          <w:color w:val="000000"/>
        </w:rPr>
        <w:t>pp.4</w:t>
      </w:r>
      <w:proofErr w:type="spellEnd"/>
      <w:r>
        <w:rPr>
          <w:rFonts w:ascii="Arial" w:hAnsi="Arial" w:cs="Arial"/>
          <w:color w:val="000000"/>
        </w:rPr>
        <w:t>.</w:t>
      </w:r>
    </w:p>
  </w:footnote>
  <w:footnote w:id="34">
    <w:p w14:paraId="74F16322" w14:textId="7369BD78" w:rsidR="00051F36" w:rsidRDefault="00051F36">
      <w:pPr>
        <w:pStyle w:val="FootnoteText"/>
      </w:pPr>
      <w:r>
        <w:rPr>
          <w:rStyle w:val="FootnoteReference"/>
        </w:rPr>
        <w:footnoteRef/>
      </w:r>
      <w:r>
        <w:t xml:space="preserve"> </w:t>
      </w:r>
      <w:r>
        <w:rPr>
          <w:rFonts w:ascii="Arial" w:hAnsi="Arial" w:cs="Arial"/>
          <w:color w:val="000000"/>
        </w:rPr>
        <w:t xml:space="preserve">Ibid., </w:t>
      </w:r>
      <w:proofErr w:type="spellStart"/>
      <w:r>
        <w:rPr>
          <w:rFonts w:ascii="Arial" w:hAnsi="Arial" w:cs="Arial"/>
          <w:color w:val="000000"/>
        </w:rPr>
        <w:t>pp.4</w:t>
      </w:r>
      <w:proofErr w:type="spellEnd"/>
      <w:r>
        <w:rPr>
          <w:rFonts w:ascii="Arial" w:hAnsi="Arial" w:cs="Arial"/>
          <w:color w:val="000000"/>
        </w:rPr>
        <w:t>.</w:t>
      </w:r>
    </w:p>
  </w:footnote>
  <w:footnote w:id="35">
    <w:p w14:paraId="02653045" w14:textId="66E2F270" w:rsidR="00051F36" w:rsidRDefault="00051F36">
      <w:pPr>
        <w:pStyle w:val="FootnoteText"/>
      </w:pPr>
      <w:r>
        <w:rPr>
          <w:rStyle w:val="FootnoteReference"/>
        </w:rPr>
        <w:footnoteRef/>
      </w:r>
      <w:r>
        <w:t xml:space="preserve"> </w:t>
      </w:r>
      <w:r>
        <w:rPr>
          <w:rFonts w:ascii="Arial" w:hAnsi="Arial" w:cs="Arial"/>
          <w:color w:val="000000"/>
        </w:rPr>
        <w:t xml:space="preserve">Ibid., </w:t>
      </w:r>
      <w:proofErr w:type="spellStart"/>
      <w:r>
        <w:rPr>
          <w:rFonts w:ascii="Arial" w:hAnsi="Arial" w:cs="Arial"/>
          <w:color w:val="000000"/>
        </w:rPr>
        <w:t>pp.4</w:t>
      </w:r>
      <w:proofErr w:type="spellEnd"/>
      <w:r>
        <w:rPr>
          <w:rFonts w:ascii="Arial" w:hAnsi="Arial" w:cs="Arial"/>
          <w:color w:val="000000"/>
        </w:rPr>
        <w:t>.</w:t>
      </w:r>
    </w:p>
  </w:footnote>
  <w:footnote w:id="36">
    <w:p w14:paraId="42B8CFF1" w14:textId="11301ECD" w:rsidR="00051F36" w:rsidRDefault="00051F36">
      <w:pPr>
        <w:pStyle w:val="FootnoteText"/>
      </w:pPr>
      <w:r>
        <w:rPr>
          <w:rStyle w:val="FootnoteReference"/>
        </w:rPr>
        <w:footnoteRef/>
      </w:r>
      <w:r>
        <w:t xml:space="preserve"> </w:t>
      </w:r>
      <w:proofErr w:type="spellStart"/>
      <w:r w:rsidRPr="00BD2836">
        <w:rPr>
          <w:rFonts w:ascii="Arial" w:eastAsia="MS Mincho" w:hAnsi="Arial" w:cs="Arial"/>
          <w:color w:val="000000"/>
          <w:spacing w:val="0"/>
          <w:lang w:eastAsia="ja-JP"/>
        </w:rPr>
        <w:t>Bryk</w:t>
      </w:r>
      <w:proofErr w:type="spellEnd"/>
      <w:r w:rsidRPr="00BD2836">
        <w:rPr>
          <w:rFonts w:ascii="Arial" w:eastAsia="MS Mincho" w:hAnsi="Arial" w:cs="Arial"/>
          <w:color w:val="000000"/>
          <w:spacing w:val="0"/>
          <w:lang w:eastAsia="ja-JP"/>
        </w:rPr>
        <w:t xml:space="preserve">, A. ‘2015, ‘2014 </w:t>
      </w:r>
      <w:proofErr w:type="spellStart"/>
      <w:r w:rsidRPr="00BD2836">
        <w:rPr>
          <w:rFonts w:ascii="Arial" w:eastAsia="MS Mincho" w:hAnsi="Arial" w:cs="Arial"/>
          <w:color w:val="000000"/>
          <w:spacing w:val="0"/>
          <w:lang w:eastAsia="ja-JP"/>
        </w:rPr>
        <w:t>AERA</w:t>
      </w:r>
      <w:proofErr w:type="spellEnd"/>
      <w:r w:rsidRPr="00BD2836">
        <w:rPr>
          <w:rFonts w:ascii="Arial" w:eastAsia="MS Mincho" w:hAnsi="Arial" w:cs="Arial"/>
          <w:color w:val="000000"/>
          <w:spacing w:val="0"/>
          <w:lang w:eastAsia="ja-JP"/>
        </w:rPr>
        <w:t xml:space="preserve"> Distinguished Lecture: Accelerating How We Learn to Improve’, </w:t>
      </w:r>
      <w:r w:rsidRPr="00BD2836">
        <w:rPr>
          <w:rFonts w:ascii="Arial" w:eastAsia="MS Mincho" w:hAnsi="Arial" w:cs="Arial"/>
          <w:i/>
          <w:iCs/>
          <w:color w:val="000000"/>
          <w:spacing w:val="0"/>
          <w:lang w:eastAsia="ja-JP"/>
        </w:rPr>
        <w:t xml:space="preserve">Educational Researcher, </w:t>
      </w:r>
      <w:proofErr w:type="spellStart"/>
      <w:r w:rsidRPr="00BD2836">
        <w:rPr>
          <w:rFonts w:ascii="Arial" w:eastAsia="MS Mincho" w:hAnsi="Arial" w:cs="Arial"/>
          <w:color w:val="000000"/>
          <w:spacing w:val="0"/>
          <w:lang w:eastAsia="ja-JP"/>
        </w:rPr>
        <w:t>pp.473</w:t>
      </w:r>
      <w:proofErr w:type="spellEnd"/>
      <w:r w:rsidRPr="00BD2836">
        <w:rPr>
          <w:rFonts w:ascii="Arial" w:eastAsia="MS Mincho" w:hAnsi="Arial" w:cs="Arial"/>
          <w:color w:val="000000"/>
          <w:spacing w:val="0"/>
          <w:lang w:eastAsia="ja-JP"/>
        </w:rPr>
        <w:t xml:space="preserve">; </w:t>
      </w:r>
      <w:r w:rsidRPr="00601741">
        <w:rPr>
          <w:rFonts w:ascii="Arial" w:eastAsia="MS Mincho" w:hAnsi="Arial" w:cs="Arial"/>
          <w:color w:val="000000" w:themeColor="text1"/>
          <w:spacing w:val="0"/>
          <w:lang w:eastAsia="ja-JP"/>
        </w:rPr>
        <w:t>Carnegie Foundation 2016, ‘The Six Core Principles of Improvement’, viewed 22 May 2016, &lt;</w:t>
      </w:r>
      <w:hyperlink r:id="rId16" w:history="1">
        <w:r w:rsidRPr="00601741">
          <w:rPr>
            <w:rFonts w:ascii="Arial" w:eastAsia="MS Mincho" w:hAnsi="Arial" w:cs="Arial"/>
            <w:color w:val="000000" w:themeColor="text1"/>
            <w:spacing w:val="0"/>
            <w:u w:val="single"/>
            <w:lang w:eastAsia="ja-JP"/>
          </w:rPr>
          <w:t>http://www.carnegiefoundation.org/our-ideas/six-core-principles-improvement/&gt;</w:t>
        </w:r>
      </w:hyperlink>
    </w:p>
  </w:footnote>
  <w:footnote w:id="37">
    <w:p w14:paraId="35B4EC80" w14:textId="10C3A67E" w:rsidR="00051F36" w:rsidRPr="006C3CF9" w:rsidRDefault="00051F36">
      <w:pPr>
        <w:pStyle w:val="FootnoteText"/>
      </w:pPr>
      <w:r w:rsidRPr="006C3CF9">
        <w:rPr>
          <w:rStyle w:val="FootnoteReference"/>
        </w:rPr>
        <w:footnoteRef/>
      </w:r>
      <w:r w:rsidRPr="006C3CF9">
        <w:t xml:space="preserve"> </w:t>
      </w:r>
      <w:r w:rsidRPr="00601741">
        <w:rPr>
          <w:rFonts w:ascii="Arial" w:hAnsi="Arial" w:cs="Arial"/>
          <w:shd w:val="clear" w:color="auto" w:fill="FFFFFF"/>
        </w:rPr>
        <w:t>See http://</w:t>
      </w:r>
      <w:proofErr w:type="spellStart"/>
      <w:r w:rsidRPr="00601741">
        <w:rPr>
          <w:rFonts w:ascii="Arial" w:hAnsi="Arial" w:cs="Arial"/>
          <w:shd w:val="clear" w:color="auto" w:fill="FFFFFF"/>
        </w:rPr>
        <w:t>nirn.fpg.unc.edu</w:t>
      </w:r>
      <w:proofErr w:type="spellEnd"/>
      <w:r w:rsidRPr="00601741">
        <w:rPr>
          <w:rFonts w:ascii="Arial" w:hAnsi="Arial" w:cs="Arial"/>
          <w:shd w:val="clear" w:color="auto" w:fill="FFFFFF"/>
        </w:rPr>
        <w:t>/</w:t>
      </w:r>
    </w:p>
  </w:footnote>
  <w:footnote w:id="38">
    <w:p w14:paraId="1E5117F6" w14:textId="1E548FEF" w:rsidR="00051F36" w:rsidRDefault="00051F36">
      <w:pPr>
        <w:pStyle w:val="FootnoteText"/>
      </w:pPr>
      <w:r>
        <w:rPr>
          <w:rStyle w:val="FootnoteReference"/>
        </w:rPr>
        <w:footnoteRef/>
      </w:r>
      <w:r>
        <w:t xml:space="preserve"> </w:t>
      </w:r>
      <w:r>
        <w:rPr>
          <w:rFonts w:ascii="Arial" w:hAnsi="Arial" w:cs="Arial"/>
          <w:color w:val="000000"/>
        </w:rPr>
        <w:t xml:space="preserve">Productivity Commission 2016, ‘National Education Evidence Base’, </w:t>
      </w:r>
      <w:r>
        <w:rPr>
          <w:rFonts w:ascii="Arial" w:hAnsi="Arial" w:cs="Arial"/>
          <w:i/>
          <w:iCs/>
          <w:color w:val="000000"/>
        </w:rPr>
        <w:t>Productivity Commission Issues Paper,</w:t>
      </w:r>
      <w:r>
        <w:rPr>
          <w:rFonts w:ascii="Arial" w:hAnsi="Arial" w:cs="Arial"/>
          <w:color w:val="000000"/>
        </w:rPr>
        <w:t xml:space="preserve"> </w:t>
      </w:r>
      <w:proofErr w:type="spellStart"/>
      <w:r>
        <w:rPr>
          <w:rFonts w:ascii="Arial" w:hAnsi="Arial" w:cs="Arial"/>
          <w:color w:val="000000"/>
        </w:rPr>
        <w:t>pp.4</w:t>
      </w:r>
      <w:proofErr w:type="spellEnd"/>
      <w:r>
        <w:rPr>
          <w:rFonts w:ascii="Arial" w:hAnsi="Arial" w:cs="Arial"/>
          <w:color w:val="000000"/>
        </w:rPr>
        <w:t>.</w:t>
      </w:r>
    </w:p>
  </w:footnote>
  <w:footnote w:id="39">
    <w:p w14:paraId="1EA39282" w14:textId="446631AD" w:rsidR="00051F36" w:rsidRDefault="00051F36">
      <w:pPr>
        <w:pStyle w:val="FootnoteText"/>
      </w:pPr>
      <w:r>
        <w:rPr>
          <w:rStyle w:val="FootnoteReference"/>
        </w:rPr>
        <w:footnoteRef/>
      </w:r>
      <w:r>
        <w:t xml:space="preserve"> </w:t>
      </w:r>
      <w:r>
        <w:rPr>
          <w:rFonts w:ascii="Arial" w:hAnsi="Arial" w:cs="Arial"/>
          <w:color w:val="000000"/>
        </w:rPr>
        <w:t>Ibid.</w:t>
      </w:r>
      <w:r>
        <w:rPr>
          <w:rFonts w:ascii="Arial" w:hAnsi="Arial" w:cs="Arial"/>
          <w:i/>
          <w:iCs/>
          <w:color w:val="000000"/>
        </w:rPr>
        <w:t>,</w:t>
      </w:r>
      <w:r>
        <w:rPr>
          <w:rFonts w:ascii="Arial" w:hAnsi="Arial" w:cs="Arial"/>
          <w:color w:val="000000"/>
        </w:rPr>
        <w:t xml:space="preserve"> </w:t>
      </w:r>
      <w:proofErr w:type="spellStart"/>
      <w:r>
        <w:rPr>
          <w:rFonts w:ascii="Arial" w:hAnsi="Arial" w:cs="Arial"/>
          <w:color w:val="000000"/>
        </w:rPr>
        <w:t>pp.7</w:t>
      </w:r>
      <w:proofErr w:type="spellEnd"/>
      <w:r>
        <w:rPr>
          <w:rFonts w:ascii="Arial" w:hAnsi="Arial" w:cs="Arial"/>
          <w:color w:val="000000"/>
        </w:rPr>
        <w:t>.</w:t>
      </w:r>
    </w:p>
  </w:footnote>
  <w:footnote w:id="40">
    <w:p w14:paraId="5CB8C9BF" w14:textId="48C9EFD7" w:rsidR="00051F36" w:rsidRDefault="00051F36">
      <w:pPr>
        <w:pStyle w:val="FootnoteText"/>
      </w:pPr>
      <w:r>
        <w:rPr>
          <w:rStyle w:val="FootnoteReference"/>
        </w:rPr>
        <w:footnoteRef/>
      </w:r>
      <w:r>
        <w:t xml:space="preserve"> Field, F. 2010, ‘The Foundation Years: Preventing Poor Children Becoming Poor Adults’ Cabinet Office, London, viewed 23 May 2016 </w:t>
      </w:r>
      <w:r w:rsidRPr="00A532F8">
        <w:t>http://www.bristol.ac.uk/poverty/downloads/keyofficialdocuments/Field%20Review%20poverty-report.pdf</w:t>
      </w:r>
    </w:p>
  </w:footnote>
  <w:footnote w:id="41">
    <w:p w14:paraId="1CA445C0" w14:textId="77777777" w:rsidR="00051F36" w:rsidRDefault="00051F36" w:rsidP="00172312">
      <w:pPr>
        <w:pStyle w:val="FootnoteText"/>
      </w:pPr>
      <w:r>
        <w:rPr>
          <w:rStyle w:val="FootnoteReference"/>
        </w:rPr>
        <w:footnoteRef/>
      </w:r>
      <w:r>
        <w:t xml:space="preserve"> </w:t>
      </w:r>
      <w:proofErr w:type="spellStart"/>
      <w:r w:rsidRPr="00BD2836">
        <w:rPr>
          <w:rFonts w:ascii="Arial" w:eastAsia="MS Mincho" w:hAnsi="Arial" w:cs="Arial"/>
          <w:color w:val="000000"/>
          <w:spacing w:val="0"/>
          <w:shd w:val="clear" w:color="auto" w:fill="FFFFFF"/>
          <w:lang w:eastAsia="ja-JP"/>
        </w:rPr>
        <w:t>Hanushek</w:t>
      </w:r>
      <w:proofErr w:type="spellEnd"/>
      <w:r w:rsidRPr="00BD2836">
        <w:rPr>
          <w:rFonts w:ascii="Arial" w:eastAsia="MS Mincho" w:hAnsi="Arial" w:cs="Arial"/>
          <w:color w:val="000000"/>
          <w:spacing w:val="0"/>
          <w:shd w:val="clear" w:color="auto" w:fill="FFFFFF"/>
          <w:lang w:eastAsia="ja-JP"/>
        </w:rPr>
        <w:t xml:space="preserve">, E. and </w:t>
      </w:r>
      <w:proofErr w:type="spellStart"/>
      <w:r w:rsidRPr="00BD2836">
        <w:rPr>
          <w:rFonts w:ascii="Arial" w:eastAsia="MS Mincho" w:hAnsi="Arial" w:cs="Arial"/>
          <w:color w:val="000000"/>
          <w:spacing w:val="0"/>
          <w:shd w:val="clear" w:color="auto" w:fill="FFFFFF"/>
          <w:lang w:eastAsia="ja-JP"/>
        </w:rPr>
        <w:t>Woessmann</w:t>
      </w:r>
      <w:proofErr w:type="spellEnd"/>
      <w:r w:rsidRPr="00BD2836">
        <w:rPr>
          <w:rFonts w:ascii="Arial" w:eastAsia="MS Mincho" w:hAnsi="Arial" w:cs="Arial"/>
          <w:color w:val="000000"/>
          <w:spacing w:val="0"/>
          <w:shd w:val="clear" w:color="auto" w:fill="FFFFFF"/>
          <w:lang w:eastAsia="ja-JP"/>
        </w:rPr>
        <w:t>, L. 2015, ‘Universal Basic Skills: What Countries Stand to Gain</w:t>
      </w:r>
      <w:r w:rsidRPr="00BD2836">
        <w:rPr>
          <w:rFonts w:ascii="Arial" w:eastAsia="MS Mincho" w:hAnsi="Arial" w:cs="Arial"/>
          <w:i/>
          <w:iCs/>
          <w:color w:val="000000"/>
          <w:spacing w:val="0"/>
          <w:shd w:val="clear" w:color="auto" w:fill="FFFFFF"/>
          <w:lang w:eastAsia="ja-JP"/>
        </w:rPr>
        <w:t>’</w:t>
      </w:r>
      <w:r w:rsidRPr="00BD2836">
        <w:rPr>
          <w:rFonts w:ascii="Arial" w:eastAsia="MS Mincho" w:hAnsi="Arial" w:cs="Arial"/>
          <w:color w:val="000000"/>
          <w:spacing w:val="0"/>
          <w:shd w:val="clear" w:color="auto" w:fill="FFFFFF"/>
          <w:lang w:eastAsia="ja-JP"/>
        </w:rPr>
        <w:t xml:space="preserve">, </w:t>
      </w:r>
      <w:r w:rsidRPr="00BD2836">
        <w:rPr>
          <w:rFonts w:ascii="Arial" w:eastAsia="MS Mincho" w:hAnsi="Arial" w:cs="Arial"/>
          <w:i/>
          <w:iCs/>
          <w:color w:val="000000"/>
          <w:spacing w:val="0"/>
          <w:shd w:val="clear" w:color="auto" w:fill="FFFFFF"/>
          <w:lang w:eastAsia="ja-JP"/>
        </w:rPr>
        <w:t>OECD Publishing</w:t>
      </w:r>
      <w:r w:rsidRPr="00BD2836">
        <w:rPr>
          <w:rFonts w:ascii="Arial" w:eastAsia="MS Mincho" w:hAnsi="Arial" w:cs="Arial"/>
          <w:color w:val="000000"/>
          <w:spacing w:val="0"/>
          <w:shd w:val="clear" w:color="auto" w:fill="FFFFFF"/>
          <w:lang w:eastAsia="ja-JP"/>
        </w:rPr>
        <w:t>, Paris, viewed 23 May 2016,  &lt;</w:t>
      </w:r>
      <w:hyperlink r:id="rId17" w:history="1">
        <w:r w:rsidRPr="00BD2836">
          <w:rPr>
            <w:rFonts w:ascii="Arial" w:eastAsia="MS Mincho" w:hAnsi="Arial" w:cs="Arial"/>
            <w:color w:val="000000"/>
            <w:spacing w:val="0"/>
            <w:u w:val="single"/>
            <w:shd w:val="clear" w:color="auto" w:fill="FFFFFF"/>
            <w:lang w:eastAsia="ja-JP"/>
          </w:rPr>
          <w:t>http://</w:t>
        </w:r>
        <w:proofErr w:type="spellStart"/>
        <w:r w:rsidRPr="00BD2836">
          <w:rPr>
            <w:rFonts w:ascii="Arial" w:eastAsia="MS Mincho" w:hAnsi="Arial" w:cs="Arial"/>
            <w:color w:val="000000"/>
            <w:spacing w:val="0"/>
            <w:u w:val="single"/>
            <w:shd w:val="clear" w:color="auto" w:fill="FFFFFF"/>
            <w:lang w:eastAsia="ja-JP"/>
          </w:rPr>
          <w:t>dx.doi.org</w:t>
        </w:r>
        <w:proofErr w:type="spellEnd"/>
        <w:r w:rsidRPr="00BD2836">
          <w:rPr>
            <w:rFonts w:ascii="Arial" w:eastAsia="MS Mincho" w:hAnsi="Arial" w:cs="Arial"/>
            <w:color w:val="000000"/>
            <w:spacing w:val="0"/>
            <w:u w:val="single"/>
            <w:shd w:val="clear" w:color="auto" w:fill="FFFFFF"/>
            <w:lang w:eastAsia="ja-JP"/>
          </w:rPr>
          <w:t>/10.1787/9789264234833-en</w:t>
        </w:r>
      </w:hyperlink>
      <w:r w:rsidRPr="00BD2836">
        <w:rPr>
          <w:rFonts w:ascii="Arial" w:eastAsia="MS Mincho" w:hAnsi="Arial" w:cs="Arial"/>
          <w:color w:val="000000"/>
          <w:spacing w:val="0"/>
          <w:lang w:eastAsia="ja-JP"/>
        </w:rPr>
        <w:t>&gt;</w:t>
      </w:r>
    </w:p>
  </w:footnote>
  <w:footnote w:id="42">
    <w:p w14:paraId="761FEF72" w14:textId="640B3328" w:rsidR="00051F36" w:rsidRDefault="00051F36">
      <w:pPr>
        <w:pStyle w:val="FootnoteText"/>
      </w:pPr>
      <w:r>
        <w:rPr>
          <w:rStyle w:val="FootnoteReference"/>
        </w:rPr>
        <w:footnoteRef/>
      </w:r>
      <w:r>
        <w:t xml:space="preserve"> </w:t>
      </w:r>
      <w:r w:rsidRPr="00601741">
        <w:rPr>
          <w:rFonts w:ascii="Arial" w:hAnsi="Arial" w:cs="Arial"/>
          <w:shd w:val="clear" w:color="auto" w:fill="FFFFFF"/>
        </w:rPr>
        <w:t xml:space="preserve">See, for example, </w:t>
      </w:r>
      <w:r w:rsidRPr="00601741">
        <w:rPr>
          <w:rFonts w:ascii="Arial" w:hAnsi="Arial" w:cs="Arial"/>
          <w:sz w:val="18"/>
          <w:szCs w:val="18"/>
          <w:shd w:val="clear" w:color="auto" w:fill="FFFFFF"/>
        </w:rPr>
        <w:t xml:space="preserve">Leigh, A. (2008), ‘Returns to Education in Australia’ Economic Papers: A journal of applied economics and policy, 27: 233–249. </w:t>
      </w:r>
      <w:proofErr w:type="spellStart"/>
      <w:r w:rsidRPr="00601741">
        <w:rPr>
          <w:rFonts w:ascii="Arial" w:hAnsi="Arial" w:cs="Arial"/>
          <w:sz w:val="18"/>
          <w:szCs w:val="18"/>
          <w:shd w:val="clear" w:color="auto" w:fill="FFFFFF"/>
        </w:rPr>
        <w:t>doi</w:t>
      </w:r>
      <w:proofErr w:type="spellEnd"/>
      <w:r w:rsidRPr="00601741">
        <w:rPr>
          <w:rFonts w:ascii="Arial" w:hAnsi="Arial" w:cs="Arial"/>
          <w:sz w:val="18"/>
          <w:szCs w:val="18"/>
          <w:shd w:val="clear" w:color="auto" w:fill="FFFFFF"/>
        </w:rPr>
        <w:t>: 10.1111/</w:t>
      </w:r>
      <w:proofErr w:type="spellStart"/>
      <w:r w:rsidRPr="00601741">
        <w:rPr>
          <w:rFonts w:ascii="Arial" w:hAnsi="Arial" w:cs="Arial"/>
          <w:sz w:val="18"/>
          <w:szCs w:val="18"/>
          <w:shd w:val="clear" w:color="auto" w:fill="FFFFFF"/>
        </w:rPr>
        <w:t>j.1759-3441.2008.tb01040.x</w:t>
      </w:r>
      <w:proofErr w:type="spellEnd"/>
    </w:p>
  </w:footnote>
  <w:footnote w:id="43">
    <w:p w14:paraId="6594BF97" w14:textId="4FD0DB05" w:rsidR="00051F36" w:rsidRDefault="00051F36">
      <w:pPr>
        <w:pStyle w:val="FootnoteText"/>
      </w:pPr>
      <w:r>
        <w:rPr>
          <w:rStyle w:val="FootnoteReference"/>
        </w:rPr>
        <w:footnoteRef/>
      </w:r>
      <w:r>
        <w:t xml:space="preserve"> </w:t>
      </w:r>
      <w:r>
        <w:rPr>
          <w:rFonts w:ascii="Arial" w:hAnsi="Arial" w:cs="Arial"/>
          <w:color w:val="000000"/>
        </w:rPr>
        <w:t xml:space="preserve">Santiago, P. Donaldson, G. Herman, </w:t>
      </w:r>
      <w:proofErr w:type="spellStart"/>
      <w:r>
        <w:rPr>
          <w:rFonts w:ascii="Arial" w:hAnsi="Arial" w:cs="Arial"/>
          <w:color w:val="000000"/>
        </w:rPr>
        <w:t>J.Shewbridge</w:t>
      </w:r>
      <w:proofErr w:type="spellEnd"/>
      <w:r>
        <w:rPr>
          <w:rFonts w:ascii="Arial" w:hAnsi="Arial" w:cs="Arial"/>
          <w:color w:val="000000"/>
        </w:rPr>
        <w:t>, C. 2011, ‘OECD</w:t>
      </w:r>
      <w:r>
        <w:rPr>
          <w:rFonts w:ascii="Arial" w:hAnsi="Arial" w:cs="Arial"/>
          <w:color w:val="000000"/>
          <w:sz w:val="20"/>
          <w:szCs w:val="20"/>
        </w:rPr>
        <w:t xml:space="preserve"> </w:t>
      </w:r>
      <w:r>
        <w:rPr>
          <w:rFonts w:ascii="Arial" w:hAnsi="Arial" w:cs="Arial"/>
          <w:color w:val="000000"/>
        </w:rPr>
        <w:t xml:space="preserve">Reviews of Evaluation and Assessment in </w:t>
      </w:r>
      <w:proofErr w:type="spellStart"/>
      <w:r>
        <w:rPr>
          <w:rFonts w:ascii="Arial" w:hAnsi="Arial" w:cs="Arial"/>
          <w:color w:val="000000"/>
        </w:rPr>
        <w:t>Education’,</w:t>
      </w:r>
      <w:r>
        <w:rPr>
          <w:rFonts w:ascii="Arial" w:hAnsi="Arial" w:cs="Arial"/>
          <w:i/>
          <w:iCs/>
          <w:color w:val="000000"/>
        </w:rPr>
        <w:t>OECD</w:t>
      </w:r>
      <w:proofErr w:type="spellEnd"/>
      <w:r>
        <w:rPr>
          <w:rFonts w:ascii="Arial" w:hAnsi="Arial" w:cs="Arial"/>
          <w:color w:val="000000"/>
        </w:rPr>
        <w:t>, Australia,</w:t>
      </w:r>
    </w:p>
  </w:footnote>
  <w:footnote w:id="44">
    <w:p w14:paraId="34B12FA1" w14:textId="22E0C168" w:rsidR="00051F36" w:rsidRDefault="00051F36">
      <w:pPr>
        <w:pStyle w:val="FootnoteText"/>
      </w:pPr>
      <w:r>
        <w:rPr>
          <w:rStyle w:val="FootnoteReference"/>
        </w:rPr>
        <w:footnoteRef/>
      </w:r>
      <w:r>
        <w:t xml:space="preserve"> </w:t>
      </w:r>
      <w:r>
        <w:rPr>
          <w:rFonts w:ascii="Arial" w:hAnsi="Arial" w:cs="Arial"/>
          <w:color w:val="000000"/>
        </w:rPr>
        <w:t xml:space="preserve">Ministerial Council on Education, Training and Youth Affairs 2008, ‘Melbourne Declaration on Educational Goals for Young Australians’, </w:t>
      </w:r>
      <w:proofErr w:type="spellStart"/>
      <w:r>
        <w:rPr>
          <w:rFonts w:ascii="Arial" w:hAnsi="Arial" w:cs="Arial"/>
          <w:i/>
          <w:iCs/>
          <w:color w:val="000000"/>
        </w:rPr>
        <w:t>MCEETYA</w:t>
      </w:r>
      <w:proofErr w:type="spellEnd"/>
      <w:r>
        <w:rPr>
          <w:rFonts w:ascii="Arial" w:hAnsi="Arial" w:cs="Arial"/>
          <w:i/>
          <w:iCs/>
          <w:color w:val="000000"/>
        </w:rPr>
        <w:t xml:space="preserve">, </w:t>
      </w:r>
      <w:proofErr w:type="spellStart"/>
      <w:r>
        <w:rPr>
          <w:rFonts w:ascii="Arial" w:hAnsi="Arial" w:cs="Arial"/>
          <w:color w:val="000000"/>
        </w:rPr>
        <w:t>pp.8</w:t>
      </w:r>
      <w:proofErr w:type="spellEnd"/>
      <w:r>
        <w:rPr>
          <w:rFonts w:ascii="Arial" w:hAnsi="Arial" w:cs="Arial"/>
          <w:color w:val="000000"/>
        </w:rPr>
        <w:t>.</w:t>
      </w:r>
    </w:p>
  </w:footnote>
  <w:footnote w:id="45">
    <w:p w14:paraId="79D3E4DE" w14:textId="1BC9ED51" w:rsidR="00051F36" w:rsidRPr="00601741" w:rsidRDefault="00051F36">
      <w:pPr>
        <w:pStyle w:val="FootnoteText"/>
        <w:rPr>
          <w:color w:val="000000" w:themeColor="text1"/>
        </w:rPr>
      </w:pPr>
      <w:r>
        <w:rPr>
          <w:rStyle w:val="FootnoteReference"/>
        </w:rPr>
        <w:footnoteRef/>
      </w:r>
      <w:r>
        <w:t xml:space="preserve"> </w:t>
      </w:r>
      <w:r w:rsidRPr="00172312">
        <w:rPr>
          <w:rFonts w:ascii="Arial" w:eastAsia="MS Mincho" w:hAnsi="Arial" w:cs="Arial"/>
          <w:color w:val="000000"/>
          <w:spacing w:val="0"/>
          <w:lang w:eastAsia="ja-JP"/>
        </w:rPr>
        <w:t xml:space="preserve">Assessment &amp; Teaching of 21st Century Skills Project 2009-2012, viewed 23 May </w:t>
      </w:r>
      <w:r w:rsidRPr="00601741">
        <w:rPr>
          <w:rFonts w:ascii="Arial" w:eastAsia="MS Mincho" w:hAnsi="Arial" w:cs="Arial"/>
          <w:color w:val="000000" w:themeColor="text1"/>
          <w:spacing w:val="0"/>
          <w:lang w:eastAsia="ja-JP"/>
        </w:rPr>
        <w:t>2016, &lt;</w:t>
      </w:r>
      <w:hyperlink r:id="rId18" w:history="1">
        <w:r w:rsidRPr="00601741">
          <w:rPr>
            <w:rFonts w:ascii="Arial" w:eastAsia="MS Mincho" w:hAnsi="Arial" w:cs="Arial"/>
            <w:color w:val="000000" w:themeColor="text1"/>
            <w:spacing w:val="0"/>
            <w:u w:val="single"/>
            <w:lang w:eastAsia="ja-JP"/>
          </w:rPr>
          <w:t>http://</w:t>
        </w:r>
        <w:proofErr w:type="spellStart"/>
        <w:r w:rsidRPr="00601741">
          <w:rPr>
            <w:rFonts w:ascii="Arial" w:eastAsia="MS Mincho" w:hAnsi="Arial" w:cs="Arial"/>
            <w:color w:val="000000" w:themeColor="text1"/>
            <w:spacing w:val="0"/>
            <w:u w:val="single"/>
            <w:lang w:eastAsia="ja-JP"/>
          </w:rPr>
          <w:t>www.atc21s.org</w:t>
        </w:r>
        <w:proofErr w:type="spellEnd"/>
      </w:hyperlink>
      <w:r w:rsidRPr="00601741">
        <w:rPr>
          <w:rFonts w:ascii="Arial" w:eastAsia="MS Mincho" w:hAnsi="Arial" w:cs="Arial"/>
          <w:color w:val="000000" w:themeColor="text1"/>
          <w:spacing w:val="0"/>
          <w:lang w:eastAsia="ja-JP"/>
        </w:rPr>
        <w:t xml:space="preserve">&gt;; </w:t>
      </w:r>
      <w:r w:rsidRPr="00601741">
        <w:rPr>
          <w:rFonts w:ascii="Arial" w:eastAsia="MS Mincho" w:hAnsi="Arial" w:cs="Arial"/>
          <w:color w:val="000000" w:themeColor="text1"/>
          <w:spacing w:val="0"/>
          <w:shd w:val="clear" w:color="auto" w:fill="FFFFFF"/>
          <w:lang w:eastAsia="ja-JP"/>
        </w:rPr>
        <w:t>Griffin, P. and Care, E. (Eds.), 2015, ‘</w:t>
      </w:r>
      <w:r w:rsidRPr="00601741">
        <w:rPr>
          <w:rFonts w:ascii="Arial" w:eastAsia="MS Mincho" w:hAnsi="Arial" w:cs="Arial"/>
          <w:color w:val="000000" w:themeColor="text1"/>
          <w:spacing w:val="0"/>
          <w:lang w:eastAsia="ja-JP"/>
        </w:rPr>
        <w:t>Assessment and teaching of 21st Century skills: Methods and approach’,</w:t>
      </w:r>
      <w:r w:rsidRPr="00601741">
        <w:rPr>
          <w:rFonts w:ascii="Arial" w:eastAsia="MS Mincho" w:hAnsi="Arial" w:cs="Arial"/>
          <w:color w:val="000000" w:themeColor="text1"/>
          <w:spacing w:val="0"/>
          <w:shd w:val="clear" w:color="auto" w:fill="FFFFFF"/>
          <w:lang w:eastAsia="ja-JP"/>
        </w:rPr>
        <w:t xml:space="preserve"> Dordrecht: Springer.</w:t>
      </w:r>
    </w:p>
  </w:footnote>
  <w:footnote w:id="46">
    <w:p w14:paraId="5D1B2FF7" w14:textId="00D10679"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PISA 2015 Cycle</w:t>
      </w:r>
    </w:p>
  </w:footnote>
  <w:footnote w:id="47">
    <w:p w14:paraId="75F0E839" w14:textId="48905442" w:rsidR="00051F36" w:rsidRDefault="00051F3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OECD 2011, ‘Against the Odds: Disadvantaged Students Who Succeed in School’, </w:t>
      </w:r>
      <w:r w:rsidRPr="00601741">
        <w:rPr>
          <w:rFonts w:ascii="Arial" w:eastAsia="MS Mincho" w:hAnsi="Arial" w:cs="Arial"/>
          <w:i/>
          <w:iCs/>
          <w:color w:val="000000" w:themeColor="text1"/>
          <w:spacing w:val="0"/>
          <w:lang w:eastAsia="ja-JP"/>
        </w:rPr>
        <w:t>OECD Publishing</w:t>
      </w:r>
      <w:r w:rsidRPr="00601741">
        <w:rPr>
          <w:rFonts w:ascii="Arial" w:eastAsia="MS Mincho" w:hAnsi="Arial" w:cs="Arial"/>
          <w:color w:val="000000" w:themeColor="text1"/>
          <w:spacing w:val="0"/>
          <w:lang w:eastAsia="ja-JP"/>
        </w:rPr>
        <w:t>, viewed 23 May 2016, &lt;</w:t>
      </w:r>
      <w:hyperlink r:id="rId19" w:history="1">
        <w:r w:rsidRPr="00601741">
          <w:rPr>
            <w:rFonts w:ascii="Arial" w:eastAsia="MS Mincho" w:hAnsi="Arial" w:cs="Arial"/>
            <w:color w:val="000000" w:themeColor="text1"/>
            <w:spacing w:val="0"/>
            <w:u w:val="single"/>
            <w:lang w:eastAsia="ja-JP"/>
          </w:rPr>
          <w:t>http://www.oecd.org/edu/school/programmeforinternationalstudentassessmentpisa/48373847.pdf</w:t>
        </w:r>
      </w:hyperlink>
      <w:r w:rsidRPr="00601741">
        <w:rPr>
          <w:rFonts w:ascii="Arial" w:eastAsia="MS Mincho" w:hAnsi="Arial" w:cs="Arial"/>
          <w:color w:val="000000" w:themeColor="text1"/>
          <w:spacing w:val="0"/>
          <w:lang w:eastAsia="ja-JP"/>
        </w:rPr>
        <w:t>&gt;</w:t>
      </w:r>
    </w:p>
  </w:footnote>
  <w:footnote w:id="48">
    <w:p w14:paraId="03829B3E" w14:textId="380F5D7F" w:rsidR="00051F36" w:rsidRPr="00601741" w:rsidRDefault="00051F36">
      <w:pPr>
        <w:pStyle w:val="FootnoteText"/>
        <w:rPr>
          <w:color w:val="000000" w:themeColor="text1"/>
        </w:rPr>
      </w:pPr>
      <w:r>
        <w:rPr>
          <w:rStyle w:val="FootnoteReference"/>
        </w:rPr>
        <w:footnoteRef/>
      </w:r>
      <w:r>
        <w:t xml:space="preserve"> </w:t>
      </w:r>
      <w:r w:rsidRPr="00601741">
        <w:rPr>
          <w:rFonts w:ascii="Arial" w:hAnsi="Arial" w:cs="Arial"/>
          <w:color w:val="000000"/>
        </w:rPr>
        <w:t xml:space="preserve">Leslie </w:t>
      </w:r>
      <w:proofErr w:type="spellStart"/>
      <w:r w:rsidRPr="00601741">
        <w:rPr>
          <w:rFonts w:ascii="Arial" w:hAnsi="Arial" w:cs="Arial"/>
          <w:color w:val="000000"/>
        </w:rPr>
        <w:t>Gutman</w:t>
      </w:r>
      <w:proofErr w:type="spellEnd"/>
      <w:r w:rsidRPr="00601741">
        <w:rPr>
          <w:rFonts w:ascii="Arial" w:hAnsi="Arial" w:cs="Arial"/>
          <w:color w:val="000000"/>
        </w:rPr>
        <w:t xml:space="preserve">, L. &amp; </w:t>
      </w:r>
      <w:proofErr w:type="spellStart"/>
      <w:r w:rsidRPr="00601741">
        <w:rPr>
          <w:rFonts w:ascii="Arial" w:hAnsi="Arial" w:cs="Arial"/>
          <w:color w:val="000000"/>
        </w:rPr>
        <w:t>Schoon</w:t>
      </w:r>
      <w:proofErr w:type="spellEnd"/>
      <w:r w:rsidRPr="00601741">
        <w:rPr>
          <w:rFonts w:ascii="Arial" w:hAnsi="Arial" w:cs="Arial"/>
          <w:color w:val="000000"/>
        </w:rPr>
        <w:t>, I. 2013, ‘The impact of non-cognitive skills on outcomes for young people: literature review</w:t>
      </w:r>
      <w:r w:rsidRPr="00601741">
        <w:rPr>
          <w:rFonts w:ascii="Arial" w:hAnsi="Arial" w:cs="Arial"/>
          <w:i/>
          <w:iCs/>
          <w:color w:val="000000"/>
        </w:rPr>
        <w:t>’</w:t>
      </w:r>
      <w:r w:rsidRPr="00601741">
        <w:rPr>
          <w:rFonts w:ascii="Arial" w:hAnsi="Arial" w:cs="Arial"/>
          <w:color w:val="000000"/>
        </w:rPr>
        <w:t xml:space="preserve">, </w:t>
      </w:r>
      <w:r w:rsidRPr="00601741">
        <w:rPr>
          <w:rFonts w:ascii="Arial" w:hAnsi="Arial" w:cs="Arial"/>
          <w:i/>
          <w:iCs/>
          <w:color w:val="000000"/>
        </w:rPr>
        <w:t>Education Endowment Foundation, viewed 23 May 2016</w:t>
      </w:r>
      <w:r w:rsidRPr="00601741">
        <w:rPr>
          <w:rFonts w:ascii="Arial" w:hAnsi="Arial" w:cs="Arial"/>
          <w:color w:val="000000"/>
        </w:rPr>
        <w:t>, &lt;https://v1.educationendowmentfoundation.org.uk/uploads/pdf/Non-</w:t>
      </w:r>
      <w:r w:rsidRPr="00601741">
        <w:rPr>
          <w:rFonts w:ascii="Arial" w:hAnsi="Arial" w:cs="Arial"/>
          <w:color w:val="000000" w:themeColor="text1"/>
        </w:rPr>
        <w:t>cognitive_skills_literature_review.pd&gt;</w:t>
      </w:r>
    </w:p>
  </w:footnote>
  <w:footnote w:id="49">
    <w:p w14:paraId="71596324" w14:textId="4A06FCED"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Foundation for Young Australians 2015, ‘The New Work Order: Ensuring Young Australians have Skills and Experience for the Jobs of the Future, not the Past’, </w:t>
      </w:r>
      <w:r w:rsidRPr="00601741">
        <w:rPr>
          <w:rFonts w:ascii="Arial" w:eastAsia="MS Mincho" w:hAnsi="Arial" w:cs="Arial"/>
          <w:i/>
          <w:iCs/>
          <w:color w:val="000000" w:themeColor="text1"/>
          <w:spacing w:val="0"/>
          <w:lang w:eastAsia="ja-JP"/>
        </w:rPr>
        <w:t xml:space="preserve">Alpha Beta, </w:t>
      </w:r>
      <w:r w:rsidRPr="00601741">
        <w:rPr>
          <w:rFonts w:ascii="Arial" w:eastAsia="MS Mincho" w:hAnsi="Arial" w:cs="Arial"/>
          <w:color w:val="000000" w:themeColor="text1"/>
          <w:spacing w:val="0"/>
          <w:lang w:eastAsia="ja-JP"/>
        </w:rPr>
        <w:t>viewed 23 May 2016, &lt;</w:t>
      </w:r>
      <w:hyperlink r:id="rId20" w:history="1">
        <w:r w:rsidRPr="00601741">
          <w:rPr>
            <w:rFonts w:ascii="Arial" w:eastAsia="MS Mincho" w:hAnsi="Arial" w:cs="Arial"/>
            <w:color w:val="000000" w:themeColor="text1"/>
            <w:spacing w:val="0"/>
            <w:u w:val="single"/>
            <w:lang w:eastAsia="ja-JP"/>
          </w:rPr>
          <w:t>http://www.fya.org.au/wp-content/uploads/2015/08/fya-future-of-work-report-final-lr.pdf</w:t>
        </w:r>
      </w:hyperlink>
      <w:r w:rsidRPr="00601741">
        <w:rPr>
          <w:rFonts w:ascii="Arial" w:eastAsia="MS Mincho" w:hAnsi="Arial" w:cs="Arial"/>
          <w:color w:val="000000" w:themeColor="text1"/>
          <w:spacing w:val="0"/>
          <w:lang w:eastAsia="ja-JP"/>
        </w:rPr>
        <w:t xml:space="preserve"> &gt;</w:t>
      </w:r>
    </w:p>
  </w:footnote>
  <w:footnote w:id="50">
    <w:p w14:paraId="7679FDF3" w14:textId="18C6D208"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Foundation for Young Australians 2016, ‘The New Basics: Big data reveals the skills young people need for the new work order’, </w:t>
      </w:r>
      <w:r w:rsidRPr="00601741">
        <w:rPr>
          <w:rFonts w:ascii="Arial" w:eastAsia="MS Mincho" w:hAnsi="Arial" w:cs="Arial"/>
          <w:i/>
          <w:iCs/>
          <w:color w:val="000000" w:themeColor="text1"/>
          <w:spacing w:val="0"/>
          <w:lang w:eastAsia="ja-JP"/>
        </w:rPr>
        <w:t xml:space="preserve">Alpha Beta, </w:t>
      </w:r>
      <w:r w:rsidRPr="00601741">
        <w:rPr>
          <w:rFonts w:ascii="Arial" w:eastAsia="MS Mincho" w:hAnsi="Arial" w:cs="Arial"/>
          <w:color w:val="000000" w:themeColor="text1"/>
          <w:spacing w:val="0"/>
          <w:lang w:eastAsia="ja-JP"/>
        </w:rPr>
        <w:t>viewed 23 May 2016, &lt;</w:t>
      </w:r>
      <w:hyperlink r:id="rId21" w:history="1">
        <w:r w:rsidRPr="00601741">
          <w:rPr>
            <w:rFonts w:ascii="Arial" w:eastAsia="MS Mincho" w:hAnsi="Arial" w:cs="Arial"/>
            <w:color w:val="000000" w:themeColor="text1"/>
            <w:spacing w:val="0"/>
            <w:u w:val="single"/>
            <w:lang w:eastAsia="ja-JP"/>
          </w:rPr>
          <w:t>http://www.fya.org.au/wp-content/uploads/2016/04/The-New-Basics_Update_Web.pdf</w:t>
        </w:r>
      </w:hyperlink>
      <w:r w:rsidRPr="00601741">
        <w:rPr>
          <w:rFonts w:ascii="Arial" w:eastAsia="MS Mincho" w:hAnsi="Arial" w:cs="Arial"/>
          <w:color w:val="000000" w:themeColor="text1"/>
          <w:spacing w:val="0"/>
          <w:lang w:eastAsia="ja-JP"/>
        </w:rPr>
        <w:t>&gt;</w:t>
      </w:r>
    </w:p>
  </w:footnote>
  <w:footnote w:id="51">
    <w:p w14:paraId="6D8A4D94" w14:textId="52755F96"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Vic Health &amp; CSIRO 2015, ‘Bright Futures: Megatrends impacting mental wellbeing of young Victorians over the coming 20 years’, </w:t>
      </w:r>
      <w:r w:rsidRPr="00601741">
        <w:rPr>
          <w:rFonts w:ascii="Arial" w:eastAsia="MS Mincho" w:hAnsi="Arial" w:cs="Arial"/>
          <w:i/>
          <w:iCs/>
          <w:color w:val="000000" w:themeColor="text1"/>
          <w:spacing w:val="0"/>
          <w:lang w:eastAsia="ja-JP"/>
        </w:rPr>
        <w:t xml:space="preserve">Victorian Health Promotion Foundation, </w:t>
      </w:r>
      <w:r w:rsidRPr="00601741">
        <w:rPr>
          <w:rFonts w:ascii="Arial" w:eastAsia="MS Mincho" w:hAnsi="Arial" w:cs="Arial"/>
          <w:color w:val="000000" w:themeColor="text1"/>
          <w:spacing w:val="0"/>
          <w:lang w:eastAsia="ja-JP"/>
        </w:rPr>
        <w:t>Melbourne, viewed 23 May 2016, &lt;</w:t>
      </w:r>
      <w:hyperlink r:id="rId22" w:history="1">
        <w:r w:rsidRPr="00601741">
          <w:rPr>
            <w:rFonts w:ascii="Arial" w:eastAsia="MS Mincho" w:hAnsi="Arial" w:cs="Arial"/>
            <w:color w:val="000000" w:themeColor="text1"/>
            <w:spacing w:val="0"/>
            <w:u w:val="single"/>
            <w:lang w:eastAsia="ja-JP"/>
          </w:rPr>
          <w:t>https://www.vichealth.vic.gov.au/media-and-resources/publications/youth-megatrends-report</w:t>
        </w:r>
      </w:hyperlink>
      <w:r w:rsidRPr="00601741">
        <w:rPr>
          <w:rFonts w:ascii="Arial" w:eastAsia="MS Mincho" w:hAnsi="Arial" w:cs="Arial"/>
          <w:color w:val="000000" w:themeColor="text1"/>
          <w:spacing w:val="0"/>
          <w:lang w:eastAsia="ja-JP"/>
        </w:rPr>
        <w:t xml:space="preserve"> &gt;</w:t>
      </w:r>
    </w:p>
  </w:footnote>
  <w:footnote w:id="52">
    <w:p w14:paraId="36467BCD" w14:textId="77777777" w:rsidR="00051F36" w:rsidRPr="00601741" w:rsidRDefault="00051F36" w:rsidP="00172312">
      <w:pPr>
        <w:pStyle w:val="NormalWeb"/>
        <w:spacing w:after="0"/>
        <w:rPr>
          <w:rFonts w:ascii="Times New Roman" w:eastAsia="Times New Roman" w:hAnsi="Times New Roman" w:cs="Times New Roman"/>
          <w:sz w:val="16"/>
          <w:szCs w:val="16"/>
          <w:lang w:eastAsia="en-AU"/>
        </w:rPr>
      </w:pPr>
      <w:r w:rsidRPr="00601741">
        <w:rPr>
          <w:rStyle w:val="FootnoteReference"/>
          <w:color w:val="000000" w:themeColor="text1"/>
          <w:sz w:val="16"/>
          <w:szCs w:val="16"/>
        </w:rPr>
        <w:footnoteRef/>
      </w:r>
      <w:r w:rsidRPr="00601741">
        <w:rPr>
          <w:color w:val="000000" w:themeColor="text1"/>
          <w:sz w:val="16"/>
          <w:szCs w:val="16"/>
        </w:rPr>
        <w:t xml:space="preserve"> </w:t>
      </w:r>
      <w:r w:rsidRPr="00601741">
        <w:rPr>
          <w:rFonts w:ascii="Arial" w:eastAsia="Times New Roman" w:hAnsi="Arial" w:cs="Arial"/>
          <w:color w:val="000000" w:themeColor="text1"/>
          <w:sz w:val="16"/>
          <w:szCs w:val="16"/>
          <w:lang w:eastAsia="en-AU"/>
        </w:rPr>
        <w:t>ABS, 4261.6 Educational outcomes, experimental estimates</w:t>
      </w:r>
      <w:r w:rsidRPr="00601741">
        <w:rPr>
          <w:rFonts w:ascii="Arial" w:eastAsia="Times New Roman" w:hAnsi="Arial" w:cs="Arial"/>
          <w:sz w:val="16"/>
          <w:szCs w:val="16"/>
          <w:lang w:eastAsia="en-AU"/>
        </w:rPr>
        <w:t xml:space="preserve">, Tasmania, 2006-2013 (Released 28 July 2014) http://www.abs.gov.au/AUSSTATS/abs@.nsf/Latestproducts/4261.6Main%20Features12006-2013?opendocument&amp;tabname=Summary&amp;prodno=4261.6&amp;issue=2006-2013&amp;num=&amp;view=; </w:t>
      </w:r>
    </w:p>
    <w:p w14:paraId="7B868B7D" w14:textId="4908425C" w:rsidR="00051F36" w:rsidRDefault="00051F36" w:rsidP="00172312">
      <w:pPr>
        <w:pStyle w:val="FootnoteText"/>
      </w:pPr>
      <w:r w:rsidRPr="00601741">
        <w:rPr>
          <w:rFonts w:ascii="Arial" w:hAnsi="Arial" w:cs="Arial"/>
          <w:spacing w:val="0"/>
        </w:rPr>
        <w:t>ABS, 4261.3 Educational outcomes, experimental estimates, Queensland 2011 (Released 15 December 2014) http://www.abs.gov.au/AUSSTATS/abs@.nsf/Latestproducts/4261.3Main%20Features12011?opendocument&amp;tabname=Summary&amp;prodno=4261.3&amp;issue=2011&amp;num=&amp;view=.</w:t>
      </w:r>
    </w:p>
  </w:footnote>
  <w:footnote w:id="53">
    <w:p w14:paraId="79796500" w14:textId="45B6D8BF" w:rsidR="00051F36" w:rsidRDefault="00051F36">
      <w:pPr>
        <w:pStyle w:val="FootnoteText"/>
      </w:pPr>
      <w:r>
        <w:rPr>
          <w:rStyle w:val="FootnoteReference"/>
        </w:rPr>
        <w:footnoteRef/>
      </w:r>
      <w:r>
        <w:t xml:space="preserve"> </w:t>
      </w:r>
      <w:proofErr w:type="spellStart"/>
      <w:r w:rsidRPr="00601741">
        <w:rPr>
          <w:rFonts w:ascii="Arial" w:hAnsi="Arial" w:cs="Arial"/>
          <w:color w:val="000000"/>
        </w:rPr>
        <w:t>Hanushek</w:t>
      </w:r>
      <w:proofErr w:type="spellEnd"/>
      <w:r w:rsidRPr="00601741">
        <w:rPr>
          <w:rFonts w:ascii="Arial" w:hAnsi="Arial" w:cs="Arial"/>
          <w:color w:val="000000"/>
        </w:rPr>
        <w:t xml:space="preserve">, E. 1995, ‘Outcomes, Costs, and Incentives in Schools’ in National Research Council Board on Science, Technology, and Economic Policy’, </w:t>
      </w:r>
      <w:r w:rsidRPr="00601741">
        <w:rPr>
          <w:rFonts w:ascii="Arial" w:hAnsi="Arial" w:cs="Arial"/>
          <w:i/>
          <w:iCs/>
          <w:color w:val="000000"/>
        </w:rPr>
        <w:t>Improving the Performance of America’s Schools,</w:t>
      </w:r>
      <w:r w:rsidRPr="00601741">
        <w:rPr>
          <w:rFonts w:ascii="Arial" w:hAnsi="Arial" w:cs="Arial"/>
          <w:color w:val="000000"/>
        </w:rPr>
        <w:t xml:space="preserve"> pp. 41-46</w:t>
      </w:r>
      <w:r>
        <w:rPr>
          <w:rFonts w:ascii="Arial" w:hAnsi="Arial" w:cs="Arial"/>
          <w:color w:val="000000"/>
          <w:sz w:val="20"/>
          <w:szCs w:val="20"/>
        </w:rPr>
        <w:t>.</w:t>
      </w:r>
    </w:p>
  </w:footnote>
  <w:footnote w:id="54">
    <w:p w14:paraId="03468E32" w14:textId="0A638280" w:rsidR="00051F36" w:rsidRDefault="00051F36">
      <w:pPr>
        <w:pStyle w:val="FootnoteText"/>
      </w:pPr>
      <w:r>
        <w:rPr>
          <w:rStyle w:val="FootnoteReference"/>
        </w:rPr>
        <w:footnoteRef/>
      </w:r>
      <w:r>
        <w:t xml:space="preserve"> </w:t>
      </w:r>
      <w:r w:rsidRPr="00601741">
        <w:rPr>
          <w:rFonts w:ascii="Arial" w:hAnsi="Arial" w:cs="Arial"/>
          <w:color w:val="000000"/>
        </w:rPr>
        <w:t xml:space="preserve">Ibid., </w:t>
      </w:r>
      <w:proofErr w:type="spellStart"/>
      <w:r w:rsidRPr="00601741">
        <w:rPr>
          <w:rFonts w:ascii="Arial" w:hAnsi="Arial" w:cs="Arial"/>
          <w:color w:val="000000"/>
        </w:rPr>
        <w:t>pp.41</w:t>
      </w:r>
      <w:proofErr w:type="spellEnd"/>
      <w:r w:rsidRPr="00601741">
        <w:rPr>
          <w:rFonts w:ascii="Arial" w:hAnsi="Arial" w:cs="Arial"/>
          <w:color w:val="000000"/>
        </w:rPr>
        <w:t>-46.</w:t>
      </w:r>
    </w:p>
  </w:footnote>
  <w:footnote w:id="55">
    <w:p w14:paraId="4D11A575" w14:textId="741411BA" w:rsidR="00051F36" w:rsidRDefault="00051F36">
      <w:pPr>
        <w:pStyle w:val="FootnoteText"/>
      </w:pPr>
      <w:r>
        <w:rPr>
          <w:rStyle w:val="FootnoteReference"/>
        </w:rPr>
        <w:footnoteRef/>
      </w:r>
      <w:r>
        <w:t xml:space="preserve"> </w:t>
      </w:r>
      <w:r w:rsidRPr="00601741">
        <w:rPr>
          <w:rFonts w:ascii="Arial" w:eastAsia="MS Mincho" w:hAnsi="Arial" w:cs="Arial"/>
          <w:spacing w:val="0"/>
          <w:lang w:eastAsia="ja-JP"/>
        </w:rPr>
        <w:t xml:space="preserve">Masters, G. N. (2013) </w:t>
      </w:r>
      <w:r w:rsidRPr="00601741">
        <w:rPr>
          <w:rFonts w:ascii="Arial" w:eastAsia="MS Mincho" w:hAnsi="Arial" w:cs="Arial"/>
          <w:i/>
          <w:iCs/>
          <w:spacing w:val="0"/>
          <w:lang w:eastAsia="ja-JP"/>
        </w:rPr>
        <w:t>Reforming educational assessment: Imperatives, principles and challenges</w:t>
      </w:r>
      <w:r w:rsidRPr="00601741">
        <w:rPr>
          <w:rFonts w:ascii="Arial" w:eastAsia="MS Mincho" w:hAnsi="Arial" w:cs="Arial"/>
          <w:spacing w:val="0"/>
          <w:lang w:eastAsia="ja-JP"/>
        </w:rPr>
        <w:t xml:space="preserve">, ACER, accessed 23 May 2016 available at: </w:t>
      </w:r>
      <w:hyperlink r:id="rId23" w:history="1">
        <w:r w:rsidRPr="00601741">
          <w:rPr>
            <w:rFonts w:ascii="Arial" w:eastAsia="MS Mincho" w:hAnsi="Arial" w:cs="Arial"/>
            <w:spacing w:val="0"/>
            <w:u w:val="single"/>
            <w:lang w:eastAsia="ja-JP"/>
          </w:rPr>
          <w:t>http://research.acer.edu.au/cgi/viewcontent.cgi?article=1021&amp;context=aer</w:t>
        </w:r>
      </w:hyperlink>
      <w:r w:rsidRPr="00601741">
        <w:rPr>
          <w:rFonts w:ascii="Arial" w:eastAsia="MS Mincho" w:hAnsi="Arial" w:cs="Arial"/>
          <w:spacing w:val="0"/>
          <w:lang w:eastAsia="ja-JP"/>
        </w:rPr>
        <w:t xml:space="preserve"> p 3.</w:t>
      </w:r>
    </w:p>
  </w:footnote>
  <w:footnote w:id="56">
    <w:p w14:paraId="42F8D7B2" w14:textId="30CF86C4" w:rsidR="00051F36" w:rsidRDefault="00051F36">
      <w:pPr>
        <w:pStyle w:val="FootnoteText"/>
      </w:pPr>
      <w:r>
        <w:rPr>
          <w:rStyle w:val="FootnoteReference"/>
        </w:rPr>
        <w:footnoteRef/>
      </w:r>
      <w:r>
        <w:t xml:space="preserve"> </w:t>
      </w:r>
      <w:r w:rsidRPr="00601741">
        <w:rPr>
          <w:rFonts w:ascii="Arial" w:hAnsi="Arial" w:cs="Arial"/>
        </w:rPr>
        <w:t xml:space="preserve">Black, P. and </w:t>
      </w:r>
      <w:proofErr w:type="spellStart"/>
      <w:r w:rsidRPr="00601741">
        <w:rPr>
          <w:rFonts w:ascii="Arial" w:hAnsi="Arial" w:cs="Arial"/>
        </w:rPr>
        <w:t>Wiliam</w:t>
      </w:r>
      <w:proofErr w:type="spellEnd"/>
      <w:r w:rsidRPr="00601741">
        <w:rPr>
          <w:rFonts w:ascii="Arial" w:hAnsi="Arial" w:cs="Arial"/>
        </w:rPr>
        <w:t xml:space="preserve">, D. (1998) </w:t>
      </w:r>
      <w:r w:rsidRPr="00601741">
        <w:rPr>
          <w:rFonts w:ascii="Arial" w:hAnsi="Arial" w:cs="Arial"/>
          <w:i/>
          <w:iCs/>
        </w:rPr>
        <w:t>Inside the black box: Raising standards through classroom assessment</w:t>
      </w:r>
      <w:r w:rsidRPr="00601741">
        <w:rPr>
          <w:rFonts w:ascii="Arial" w:hAnsi="Arial" w:cs="Arial"/>
        </w:rPr>
        <w:t xml:space="preserve">, Granada Learning; Hattie, J. (2009) </w:t>
      </w:r>
      <w:r w:rsidRPr="00601741">
        <w:rPr>
          <w:rFonts w:ascii="Arial" w:hAnsi="Arial" w:cs="Arial"/>
          <w:i/>
          <w:iCs/>
        </w:rPr>
        <w:t>Visible learning: A synthesis of meta-analyses in education</w:t>
      </w:r>
      <w:r w:rsidRPr="00601741">
        <w:rPr>
          <w:rFonts w:ascii="Arial" w:hAnsi="Arial" w:cs="Arial"/>
        </w:rPr>
        <w:t xml:space="preserve">, Routledge, p 173; Goss, P., Hunter, J., </w:t>
      </w:r>
      <w:proofErr w:type="spellStart"/>
      <w:r w:rsidRPr="00601741">
        <w:rPr>
          <w:rFonts w:ascii="Arial" w:hAnsi="Arial" w:cs="Arial"/>
        </w:rPr>
        <w:t>Romanes</w:t>
      </w:r>
      <w:proofErr w:type="spellEnd"/>
      <w:r w:rsidRPr="00601741">
        <w:rPr>
          <w:rFonts w:ascii="Arial" w:hAnsi="Arial" w:cs="Arial"/>
        </w:rPr>
        <w:t xml:space="preserve">, D., Parsonage, H., 2015, </w:t>
      </w:r>
      <w:r w:rsidRPr="00601741">
        <w:rPr>
          <w:rFonts w:ascii="Arial" w:hAnsi="Arial" w:cs="Arial"/>
          <w:i/>
          <w:iCs/>
        </w:rPr>
        <w:t>Targeted teaching: how better use of data can improve student learning</w:t>
      </w:r>
      <w:r w:rsidRPr="00601741">
        <w:rPr>
          <w:rFonts w:ascii="Arial" w:hAnsi="Arial" w:cs="Arial"/>
        </w:rPr>
        <w:t>, Grattan Institute p. 19 accessed 23 May 2016 available at https://grattan.edu.au/report/targeted-teaching-how-better-use-of-data-can-improve-student-learning/;</w:t>
      </w:r>
    </w:p>
  </w:footnote>
  <w:footnote w:id="57">
    <w:p w14:paraId="3DB14596" w14:textId="296A7ED7" w:rsidR="00051F36" w:rsidRDefault="00051F36">
      <w:pPr>
        <w:pStyle w:val="FootnoteText"/>
      </w:pPr>
      <w:r>
        <w:rPr>
          <w:rStyle w:val="FootnoteReference"/>
        </w:rPr>
        <w:footnoteRef/>
      </w:r>
      <w:r>
        <w:t xml:space="preserve"> </w:t>
      </w:r>
      <w:proofErr w:type="spellStart"/>
      <w:r>
        <w:rPr>
          <w:rFonts w:ascii="Arial" w:hAnsi="Arial" w:cs="Arial"/>
          <w:color w:val="000000"/>
        </w:rPr>
        <w:t>Bryk</w:t>
      </w:r>
      <w:proofErr w:type="spellEnd"/>
      <w:r>
        <w:rPr>
          <w:rFonts w:ascii="Arial" w:hAnsi="Arial" w:cs="Arial"/>
          <w:color w:val="000000"/>
        </w:rPr>
        <w:t xml:space="preserve">, A. 2015, ‘2014 </w:t>
      </w:r>
      <w:proofErr w:type="spellStart"/>
      <w:r>
        <w:rPr>
          <w:rFonts w:ascii="Arial" w:hAnsi="Arial" w:cs="Arial"/>
          <w:color w:val="000000"/>
        </w:rPr>
        <w:t>AERA</w:t>
      </w:r>
      <w:proofErr w:type="spellEnd"/>
      <w:r>
        <w:rPr>
          <w:rFonts w:ascii="Arial" w:hAnsi="Arial" w:cs="Arial"/>
          <w:color w:val="000000"/>
        </w:rPr>
        <w:t xml:space="preserve"> Distinguished Lecture: Accelerating How We Learn to Improve’, </w:t>
      </w:r>
      <w:r>
        <w:rPr>
          <w:rFonts w:ascii="Arial" w:hAnsi="Arial" w:cs="Arial"/>
          <w:i/>
          <w:iCs/>
          <w:color w:val="000000"/>
        </w:rPr>
        <w:t xml:space="preserve">Educational Researcher, </w:t>
      </w:r>
      <w:proofErr w:type="spellStart"/>
      <w:r>
        <w:rPr>
          <w:rFonts w:ascii="Arial" w:hAnsi="Arial" w:cs="Arial"/>
          <w:color w:val="000000"/>
        </w:rPr>
        <w:t>pp.473</w:t>
      </w:r>
      <w:proofErr w:type="spellEnd"/>
      <w:r>
        <w:rPr>
          <w:rFonts w:ascii="Arial" w:hAnsi="Arial" w:cs="Arial"/>
          <w:color w:val="000000"/>
        </w:rPr>
        <w:t>.</w:t>
      </w:r>
    </w:p>
  </w:footnote>
  <w:footnote w:id="58">
    <w:p w14:paraId="4D74B638" w14:textId="567855B3" w:rsidR="00051F36" w:rsidRPr="00601741" w:rsidRDefault="00051F36">
      <w:pPr>
        <w:pStyle w:val="FootnoteText"/>
        <w:rPr>
          <w:color w:val="000000" w:themeColor="text1"/>
        </w:rPr>
      </w:pPr>
      <w:r>
        <w:rPr>
          <w:rStyle w:val="FootnoteReference"/>
        </w:rPr>
        <w:footnoteRef/>
      </w:r>
      <w:r>
        <w:t xml:space="preserve"> </w:t>
      </w:r>
      <w:r w:rsidRPr="00172312">
        <w:rPr>
          <w:rFonts w:ascii="Arial" w:eastAsia="MS Mincho" w:hAnsi="Arial" w:cs="Arial"/>
          <w:color w:val="000000"/>
          <w:spacing w:val="0"/>
          <w:lang w:eastAsia="ja-JP"/>
        </w:rPr>
        <w:t>Education Endowment Foundation 2016, ‘Themed Rounds’, viewed 23 May 2016, &lt;</w:t>
      </w:r>
      <w:hyperlink r:id="rId24" w:history="1">
        <w:r w:rsidRPr="00601741">
          <w:rPr>
            <w:rFonts w:ascii="Arial" w:eastAsia="MS Mincho" w:hAnsi="Arial" w:cs="Arial"/>
            <w:color w:val="000000" w:themeColor="text1"/>
            <w:spacing w:val="0"/>
            <w:u w:val="single"/>
            <w:lang w:eastAsia="ja-JP"/>
          </w:rPr>
          <w:t>https://educationendowmentfoundation.org.uk/funding/closed-rounds/</w:t>
        </w:r>
      </w:hyperlink>
      <w:r w:rsidRPr="00601741">
        <w:rPr>
          <w:rFonts w:ascii="Arial" w:eastAsia="MS Mincho" w:hAnsi="Arial" w:cs="Arial"/>
          <w:color w:val="000000" w:themeColor="text1"/>
          <w:spacing w:val="0"/>
          <w:lang w:eastAsia="ja-JP"/>
        </w:rPr>
        <w:t xml:space="preserve"> &gt;</w:t>
      </w:r>
    </w:p>
  </w:footnote>
  <w:footnote w:id="59">
    <w:p w14:paraId="3C1F41A1" w14:textId="77777777" w:rsidR="00051F36" w:rsidRPr="00601741" w:rsidRDefault="00051F36" w:rsidP="002C2280">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Education Endowment Foundation 2016, ‘The Literacy Octopus: Communicating and Engaging with Research’, viewed 23 May 2016, &lt;</w:t>
      </w:r>
      <w:hyperlink r:id="rId25" w:history="1">
        <w:r w:rsidRPr="00601741">
          <w:rPr>
            <w:rFonts w:ascii="Arial" w:eastAsia="MS Mincho" w:hAnsi="Arial" w:cs="Arial"/>
            <w:color w:val="000000" w:themeColor="text1"/>
            <w:spacing w:val="0"/>
            <w:u w:val="single"/>
            <w:lang w:eastAsia="ja-JP"/>
          </w:rPr>
          <w:t>https://educationendowmentfoundation.org.uk/evaluation/projects/the-literacy-octopus-communicating-and-engaging-with-research/</w:t>
        </w:r>
      </w:hyperlink>
      <w:r w:rsidRPr="00601741">
        <w:rPr>
          <w:rFonts w:ascii="Arial" w:eastAsia="MS Mincho" w:hAnsi="Arial" w:cs="Arial"/>
          <w:color w:val="000000" w:themeColor="text1"/>
          <w:spacing w:val="0"/>
          <w:lang w:eastAsia="ja-JP"/>
        </w:rPr>
        <w:t>&gt;</w:t>
      </w:r>
    </w:p>
  </w:footnote>
  <w:footnote w:id="60">
    <w:p w14:paraId="375A963E" w14:textId="2B848378" w:rsidR="00051F36" w:rsidRPr="00601741" w:rsidRDefault="00051F36" w:rsidP="00601741">
      <w:pPr>
        <w:pStyle w:val="NormalWeb"/>
        <w:spacing w:after="0"/>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Times New Roman" w:hAnsi="Arial" w:cs="Arial"/>
          <w:color w:val="000000" w:themeColor="text1"/>
          <w:sz w:val="16"/>
          <w:szCs w:val="16"/>
          <w:lang w:eastAsia="en-AU"/>
        </w:rPr>
        <w:t>Education Endowment Foundation 2016, ‘Research Learning Communities’, viewed 23 May 2016, &lt;</w:t>
      </w:r>
      <w:hyperlink r:id="rId26" w:history="1">
        <w:r w:rsidRPr="00601741">
          <w:rPr>
            <w:rFonts w:ascii="Arial" w:eastAsia="Times New Roman" w:hAnsi="Arial" w:cs="Arial"/>
            <w:color w:val="000000" w:themeColor="text1"/>
            <w:sz w:val="16"/>
            <w:szCs w:val="16"/>
            <w:u w:val="single"/>
            <w:lang w:eastAsia="en-AU"/>
          </w:rPr>
          <w:t>https://educationendowmentfoundation.org.uk/evaluation/projects/research-learning-communities/</w:t>
        </w:r>
      </w:hyperlink>
      <w:r w:rsidRPr="00601741">
        <w:rPr>
          <w:rFonts w:ascii="Arial" w:eastAsia="Times New Roman" w:hAnsi="Arial" w:cs="Arial"/>
          <w:color w:val="000000" w:themeColor="text1"/>
          <w:sz w:val="16"/>
          <w:szCs w:val="16"/>
          <w:lang w:eastAsia="en-AU"/>
        </w:rPr>
        <w:t>&gt;</w:t>
      </w:r>
    </w:p>
  </w:footnote>
  <w:footnote w:id="61">
    <w:p w14:paraId="6C5549DC" w14:textId="1C59CFF6" w:rsidR="00051F36" w:rsidRDefault="00051F3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Richardson, J. 2016, ‘Fidelity vs. flexibility’, Education Endowment Foundation, viewed 24 May 2016, </w:t>
      </w:r>
      <w:hyperlink r:id="rId27" w:history="1">
        <w:r w:rsidRPr="00601741">
          <w:rPr>
            <w:rFonts w:ascii="Arial" w:eastAsia="MS Mincho" w:hAnsi="Arial" w:cs="Arial"/>
            <w:color w:val="000000" w:themeColor="text1"/>
            <w:spacing w:val="0"/>
            <w:u w:val="single"/>
            <w:lang w:eastAsia="ja-JP"/>
          </w:rPr>
          <w:t>https://educationendowmentfoundation.org.uk/news/fidelity-vs.-flexibility/</w:t>
        </w:r>
      </w:hyperlink>
      <w:r w:rsidRPr="00601741">
        <w:rPr>
          <w:rFonts w:ascii="Arial" w:eastAsia="MS Mincho" w:hAnsi="Arial" w:cs="Arial"/>
          <w:color w:val="000000" w:themeColor="text1"/>
          <w:spacing w:val="0"/>
          <w:lang w:eastAsia="ja-JP"/>
        </w:rPr>
        <w:t>.</w:t>
      </w:r>
    </w:p>
  </w:footnote>
  <w:footnote w:id="62">
    <w:p w14:paraId="3D93CBB2" w14:textId="76379B53" w:rsidR="00051F36" w:rsidRDefault="00051F36">
      <w:pPr>
        <w:pStyle w:val="FootnoteText"/>
      </w:pPr>
      <w:r>
        <w:rPr>
          <w:rStyle w:val="FootnoteReference"/>
        </w:rPr>
        <w:footnoteRef/>
      </w:r>
      <w:r>
        <w:t xml:space="preserve"> </w:t>
      </w:r>
      <w:proofErr w:type="spellStart"/>
      <w:r>
        <w:rPr>
          <w:rFonts w:ascii="Arial" w:hAnsi="Arial" w:cs="Arial"/>
          <w:color w:val="000000"/>
        </w:rPr>
        <w:t>Bryk</w:t>
      </w:r>
      <w:proofErr w:type="spellEnd"/>
      <w:r>
        <w:rPr>
          <w:rFonts w:ascii="Arial" w:hAnsi="Arial" w:cs="Arial"/>
          <w:color w:val="000000"/>
        </w:rPr>
        <w:t xml:space="preserve">, A. 2015, ‘2014 </w:t>
      </w:r>
      <w:proofErr w:type="spellStart"/>
      <w:r>
        <w:rPr>
          <w:rFonts w:ascii="Arial" w:hAnsi="Arial" w:cs="Arial"/>
          <w:color w:val="000000"/>
        </w:rPr>
        <w:t>AERA</w:t>
      </w:r>
      <w:proofErr w:type="spellEnd"/>
      <w:r>
        <w:rPr>
          <w:rFonts w:ascii="Arial" w:hAnsi="Arial" w:cs="Arial"/>
          <w:color w:val="000000"/>
        </w:rPr>
        <w:t xml:space="preserve"> Distinguished Lecture: Accelerating How We Learn to Improve, </w:t>
      </w:r>
      <w:r>
        <w:rPr>
          <w:rFonts w:ascii="Arial" w:hAnsi="Arial" w:cs="Arial"/>
          <w:i/>
          <w:iCs/>
          <w:color w:val="000000"/>
        </w:rPr>
        <w:t xml:space="preserve">Educational Researcher, </w:t>
      </w:r>
      <w:r>
        <w:rPr>
          <w:rFonts w:ascii="Arial" w:hAnsi="Arial" w:cs="Arial"/>
          <w:color w:val="000000"/>
        </w:rPr>
        <w:t>pp.</w:t>
      </w:r>
      <w:r>
        <w:rPr>
          <w:rFonts w:ascii="Arial" w:hAnsi="Arial" w:cs="Arial"/>
          <w:color w:val="FF0000"/>
        </w:rPr>
        <w:t>??</w:t>
      </w:r>
    </w:p>
  </w:footnote>
  <w:footnote w:id="63">
    <w:p w14:paraId="3F6BA815" w14:textId="031A0FDA" w:rsidR="00051F36" w:rsidRPr="00601741" w:rsidRDefault="00051F36">
      <w:pPr>
        <w:pStyle w:val="FootnoteText"/>
        <w:rPr>
          <w:color w:val="000000" w:themeColor="text1"/>
        </w:rPr>
      </w:pPr>
      <w:r>
        <w:rPr>
          <w:rStyle w:val="FootnoteReference"/>
        </w:rPr>
        <w:footnoteRef/>
      </w:r>
      <w:r>
        <w:t xml:space="preserve"> </w:t>
      </w:r>
      <w:r w:rsidRPr="002C2280">
        <w:rPr>
          <w:rFonts w:ascii="Arial" w:eastAsia="MS Mincho" w:hAnsi="Arial" w:cs="Arial"/>
          <w:color w:val="000000"/>
          <w:spacing w:val="0"/>
          <w:lang w:eastAsia="ja-JP"/>
        </w:rPr>
        <w:t xml:space="preserve">Centre for Evidence Implementation 2016, </w:t>
      </w:r>
      <w:r w:rsidRPr="002C2280">
        <w:rPr>
          <w:rFonts w:ascii="Arial" w:eastAsia="MS Mincho" w:hAnsi="Arial" w:cs="Arial"/>
          <w:i/>
          <w:iCs/>
          <w:color w:val="000000"/>
          <w:spacing w:val="0"/>
          <w:lang w:eastAsia="ja-JP"/>
        </w:rPr>
        <w:t xml:space="preserve">Save </w:t>
      </w:r>
      <w:r w:rsidRPr="00601741">
        <w:rPr>
          <w:rFonts w:ascii="Arial" w:eastAsia="MS Mincho" w:hAnsi="Arial" w:cs="Arial"/>
          <w:i/>
          <w:iCs/>
          <w:color w:val="000000" w:themeColor="text1"/>
          <w:spacing w:val="0"/>
          <w:lang w:eastAsia="ja-JP"/>
        </w:rPr>
        <w:t xml:space="preserve">the Children Australia, </w:t>
      </w:r>
      <w:r w:rsidRPr="00601741">
        <w:rPr>
          <w:rFonts w:ascii="Arial" w:eastAsia="MS Mincho" w:hAnsi="Arial" w:cs="Arial"/>
          <w:color w:val="000000" w:themeColor="text1"/>
          <w:spacing w:val="0"/>
          <w:lang w:eastAsia="ja-JP"/>
        </w:rPr>
        <w:t>viewed 23 May 2016, &lt;</w:t>
      </w:r>
      <w:hyperlink r:id="rId28" w:history="1">
        <w:r w:rsidRPr="00601741">
          <w:rPr>
            <w:rFonts w:ascii="Arial" w:eastAsia="MS Mincho" w:hAnsi="Arial" w:cs="Arial"/>
            <w:color w:val="000000" w:themeColor="text1"/>
            <w:spacing w:val="0"/>
            <w:u w:val="single"/>
            <w:lang w:eastAsia="ja-JP"/>
          </w:rPr>
          <w:t>http://</w:t>
        </w:r>
        <w:proofErr w:type="spellStart"/>
        <w:r w:rsidRPr="00601741">
          <w:rPr>
            <w:rFonts w:ascii="Arial" w:eastAsia="MS Mincho" w:hAnsi="Arial" w:cs="Arial"/>
            <w:color w:val="000000" w:themeColor="text1"/>
            <w:spacing w:val="0"/>
            <w:u w:val="single"/>
            <w:lang w:eastAsia="ja-JP"/>
          </w:rPr>
          <w:t>www.cei.org.au</w:t>
        </w:r>
        <w:proofErr w:type="spellEnd"/>
        <w:r w:rsidRPr="00601741">
          <w:rPr>
            <w:rFonts w:ascii="Arial" w:eastAsia="MS Mincho" w:hAnsi="Arial" w:cs="Arial"/>
            <w:color w:val="000000" w:themeColor="text1"/>
            <w:spacing w:val="0"/>
            <w:u w:val="single"/>
            <w:lang w:eastAsia="ja-JP"/>
          </w:rPr>
          <w:t>/</w:t>
        </w:r>
      </w:hyperlink>
      <w:r w:rsidRPr="00601741">
        <w:rPr>
          <w:rFonts w:ascii="Arial" w:eastAsia="MS Mincho" w:hAnsi="Arial" w:cs="Arial"/>
          <w:color w:val="000000" w:themeColor="text1"/>
          <w:spacing w:val="0"/>
          <w:lang w:eastAsia="ja-JP"/>
        </w:rPr>
        <w:t>&gt;</w:t>
      </w:r>
    </w:p>
  </w:footnote>
  <w:footnote w:id="64">
    <w:p w14:paraId="14358420" w14:textId="5D2FEA5D"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 xml:space="preserve">Aarons, </w:t>
      </w:r>
      <w:proofErr w:type="spellStart"/>
      <w:r w:rsidRPr="00601741">
        <w:rPr>
          <w:rFonts w:ascii="Arial" w:hAnsi="Arial" w:cs="Arial"/>
          <w:color w:val="000000" w:themeColor="text1"/>
        </w:rPr>
        <w:t>G.A</w:t>
      </w:r>
      <w:proofErr w:type="spellEnd"/>
      <w:r w:rsidRPr="00601741">
        <w:rPr>
          <w:rFonts w:ascii="Arial" w:hAnsi="Arial" w:cs="Arial"/>
          <w:color w:val="000000" w:themeColor="text1"/>
        </w:rPr>
        <w:t xml:space="preserve">. &amp; </w:t>
      </w:r>
      <w:proofErr w:type="spellStart"/>
      <w:r w:rsidRPr="00601741">
        <w:rPr>
          <w:rFonts w:ascii="Arial" w:hAnsi="Arial" w:cs="Arial"/>
          <w:color w:val="000000" w:themeColor="text1"/>
        </w:rPr>
        <w:t>Sawitsky</w:t>
      </w:r>
      <w:proofErr w:type="spellEnd"/>
      <w:r w:rsidRPr="00601741">
        <w:rPr>
          <w:rFonts w:ascii="Arial" w:hAnsi="Arial" w:cs="Arial"/>
          <w:color w:val="000000" w:themeColor="text1"/>
        </w:rPr>
        <w:t xml:space="preserve">, </w:t>
      </w:r>
      <w:proofErr w:type="spellStart"/>
      <w:r w:rsidRPr="00601741">
        <w:rPr>
          <w:rFonts w:ascii="Arial" w:hAnsi="Arial" w:cs="Arial"/>
          <w:color w:val="000000" w:themeColor="text1"/>
        </w:rPr>
        <w:t>A.C</w:t>
      </w:r>
      <w:proofErr w:type="spellEnd"/>
      <w:r w:rsidRPr="00601741">
        <w:rPr>
          <w:rFonts w:ascii="Arial" w:hAnsi="Arial" w:cs="Arial"/>
          <w:color w:val="000000" w:themeColor="text1"/>
        </w:rPr>
        <w:t xml:space="preserve">. 2006, ‘Organizational Culture and Climate and Mental Health Provider Attitudes Toward Evidence-Based Practice,’ </w:t>
      </w:r>
      <w:r w:rsidRPr="00601741">
        <w:rPr>
          <w:rFonts w:ascii="Arial" w:hAnsi="Arial" w:cs="Arial"/>
          <w:i/>
          <w:iCs/>
          <w:color w:val="000000" w:themeColor="text1"/>
        </w:rPr>
        <w:t>Psychological Services</w:t>
      </w:r>
      <w:r w:rsidRPr="00601741">
        <w:rPr>
          <w:rFonts w:ascii="Arial" w:hAnsi="Arial" w:cs="Arial"/>
          <w:color w:val="000000" w:themeColor="text1"/>
        </w:rPr>
        <w:t xml:space="preserve">. Volume 3, issue 1, </w:t>
      </w:r>
      <w:proofErr w:type="spellStart"/>
      <w:r w:rsidRPr="00601741">
        <w:rPr>
          <w:rFonts w:ascii="Arial" w:hAnsi="Arial" w:cs="Arial"/>
          <w:color w:val="000000" w:themeColor="text1"/>
        </w:rPr>
        <w:t>pp.:61-72</w:t>
      </w:r>
      <w:proofErr w:type="spellEnd"/>
      <w:r w:rsidRPr="00601741">
        <w:rPr>
          <w:rFonts w:ascii="Arial" w:hAnsi="Arial" w:cs="Arial"/>
          <w:color w:val="000000" w:themeColor="text1"/>
        </w:rPr>
        <w:t>.</w:t>
      </w:r>
    </w:p>
  </w:footnote>
  <w:footnote w:id="65">
    <w:p w14:paraId="11FEDDCB" w14:textId="047AAD9A" w:rsidR="00051F36" w:rsidRDefault="00051F3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Aarons, </w:t>
      </w:r>
      <w:proofErr w:type="spellStart"/>
      <w:r w:rsidRPr="00601741">
        <w:rPr>
          <w:rFonts w:ascii="Arial" w:eastAsia="MS Mincho" w:hAnsi="Arial" w:cs="Arial"/>
          <w:color w:val="000000" w:themeColor="text1"/>
          <w:spacing w:val="0"/>
          <w:lang w:eastAsia="ja-JP"/>
        </w:rPr>
        <w:t>G.A</w:t>
      </w:r>
      <w:proofErr w:type="spellEnd"/>
      <w:r w:rsidRPr="00601741">
        <w:rPr>
          <w:rFonts w:ascii="Arial" w:eastAsia="MS Mincho" w:hAnsi="Arial" w:cs="Arial"/>
          <w:color w:val="000000" w:themeColor="text1"/>
          <w:spacing w:val="0"/>
          <w:lang w:eastAsia="ja-JP"/>
        </w:rPr>
        <w:t xml:space="preserve">. </w:t>
      </w:r>
      <w:proofErr w:type="spellStart"/>
      <w:r w:rsidRPr="00601741">
        <w:rPr>
          <w:rFonts w:ascii="Arial" w:eastAsia="MS Mincho" w:hAnsi="Arial" w:cs="Arial"/>
          <w:color w:val="000000" w:themeColor="text1"/>
          <w:spacing w:val="0"/>
          <w:lang w:eastAsia="ja-JP"/>
        </w:rPr>
        <w:t>Ehrhart</w:t>
      </w:r>
      <w:proofErr w:type="spellEnd"/>
      <w:r w:rsidRPr="00601741">
        <w:rPr>
          <w:rFonts w:ascii="Arial" w:eastAsia="MS Mincho" w:hAnsi="Arial" w:cs="Arial"/>
          <w:color w:val="000000" w:themeColor="text1"/>
          <w:spacing w:val="0"/>
          <w:lang w:eastAsia="ja-JP"/>
        </w:rPr>
        <w:t xml:space="preserve">, </w:t>
      </w:r>
      <w:proofErr w:type="spellStart"/>
      <w:r w:rsidRPr="00601741">
        <w:rPr>
          <w:rFonts w:ascii="Arial" w:eastAsia="MS Mincho" w:hAnsi="Arial" w:cs="Arial"/>
          <w:color w:val="000000" w:themeColor="text1"/>
          <w:spacing w:val="0"/>
          <w:lang w:eastAsia="ja-JP"/>
        </w:rPr>
        <w:t>M.G</w:t>
      </w:r>
      <w:proofErr w:type="spellEnd"/>
      <w:r w:rsidRPr="00601741">
        <w:rPr>
          <w:rFonts w:ascii="Arial" w:eastAsia="MS Mincho" w:hAnsi="Arial" w:cs="Arial"/>
          <w:color w:val="000000" w:themeColor="text1"/>
          <w:spacing w:val="0"/>
          <w:lang w:eastAsia="ja-JP"/>
        </w:rPr>
        <w:t xml:space="preserve">. &amp; </w:t>
      </w:r>
      <w:proofErr w:type="spellStart"/>
      <w:r w:rsidRPr="00601741">
        <w:rPr>
          <w:rFonts w:ascii="Arial" w:eastAsia="MS Mincho" w:hAnsi="Arial" w:cs="Arial"/>
          <w:color w:val="000000" w:themeColor="text1"/>
          <w:spacing w:val="0"/>
          <w:lang w:eastAsia="ja-JP"/>
        </w:rPr>
        <w:t>Farahnak</w:t>
      </w:r>
      <w:proofErr w:type="spellEnd"/>
      <w:r w:rsidRPr="00601741">
        <w:rPr>
          <w:rFonts w:ascii="Arial" w:eastAsia="MS Mincho" w:hAnsi="Arial" w:cs="Arial"/>
          <w:color w:val="000000" w:themeColor="text1"/>
          <w:spacing w:val="0"/>
          <w:lang w:eastAsia="ja-JP"/>
        </w:rPr>
        <w:t xml:space="preserve">, </w:t>
      </w:r>
      <w:proofErr w:type="spellStart"/>
      <w:r w:rsidRPr="00601741">
        <w:rPr>
          <w:rFonts w:ascii="Arial" w:eastAsia="MS Mincho" w:hAnsi="Arial" w:cs="Arial"/>
          <w:color w:val="000000" w:themeColor="text1"/>
          <w:spacing w:val="0"/>
          <w:lang w:eastAsia="ja-JP"/>
        </w:rPr>
        <w:t>L.R</w:t>
      </w:r>
      <w:proofErr w:type="spellEnd"/>
      <w:r w:rsidRPr="00601741">
        <w:rPr>
          <w:rFonts w:ascii="Arial" w:eastAsia="MS Mincho" w:hAnsi="Arial" w:cs="Arial"/>
          <w:color w:val="000000" w:themeColor="text1"/>
          <w:spacing w:val="0"/>
          <w:lang w:eastAsia="ja-JP"/>
        </w:rPr>
        <w:t xml:space="preserve">. 2014, ‘Implementation Leadership Scale: Development of a Brief Measure of Unit Level Implementation Leadership’, </w:t>
      </w:r>
      <w:r w:rsidRPr="00601741">
        <w:rPr>
          <w:rFonts w:ascii="Arial" w:eastAsia="MS Mincho" w:hAnsi="Arial" w:cs="Arial"/>
          <w:i/>
          <w:iCs/>
          <w:color w:val="000000" w:themeColor="text1"/>
          <w:spacing w:val="0"/>
          <w:lang w:eastAsia="ja-JP"/>
        </w:rPr>
        <w:t xml:space="preserve">Implementation Science, </w:t>
      </w:r>
      <w:r w:rsidRPr="00601741">
        <w:rPr>
          <w:rFonts w:ascii="Arial" w:eastAsia="MS Mincho" w:hAnsi="Arial" w:cs="Arial"/>
          <w:color w:val="000000" w:themeColor="text1"/>
          <w:spacing w:val="0"/>
          <w:lang w:eastAsia="ja-JP"/>
        </w:rPr>
        <w:t>vol. 14, issue. 9, pp.?? viewed 23 May 2016, &lt;</w:t>
      </w:r>
      <w:hyperlink r:id="rId29" w:history="1">
        <w:r w:rsidRPr="00601741">
          <w:rPr>
            <w:rFonts w:ascii="Arial" w:eastAsia="MS Mincho" w:hAnsi="Arial" w:cs="Arial"/>
            <w:color w:val="000000" w:themeColor="text1"/>
            <w:spacing w:val="0"/>
            <w:u w:val="single"/>
            <w:lang w:eastAsia="ja-JP"/>
          </w:rPr>
          <w:t>http://</w:t>
        </w:r>
        <w:proofErr w:type="spellStart"/>
        <w:r w:rsidRPr="00601741">
          <w:rPr>
            <w:rFonts w:ascii="Arial" w:eastAsia="MS Mincho" w:hAnsi="Arial" w:cs="Arial"/>
            <w:color w:val="000000" w:themeColor="text1"/>
            <w:spacing w:val="0"/>
            <w:u w:val="single"/>
            <w:lang w:eastAsia="ja-JP"/>
          </w:rPr>
          <w:t>www.ncbi.nlm.nih.gov</w:t>
        </w:r>
        <w:proofErr w:type="spellEnd"/>
        <w:r w:rsidRPr="00601741">
          <w:rPr>
            <w:rFonts w:ascii="Arial" w:eastAsia="MS Mincho" w:hAnsi="Arial" w:cs="Arial"/>
            <w:color w:val="000000" w:themeColor="text1"/>
            <w:spacing w:val="0"/>
            <w:u w:val="single"/>
            <w:lang w:eastAsia="ja-JP"/>
          </w:rPr>
          <w:t>/</w:t>
        </w:r>
        <w:proofErr w:type="spellStart"/>
        <w:r w:rsidRPr="00601741">
          <w:rPr>
            <w:rFonts w:ascii="Arial" w:eastAsia="MS Mincho" w:hAnsi="Arial" w:cs="Arial"/>
            <w:color w:val="000000" w:themeColor="text1"/>
            <w:spacing w:val="0"/>
            <w:u w:val="single"/>
            <w:lang w:eastAsia="ja-JP"/>
          </w:rPr>
          <w:t>pubmed</w:t>
        </w:r>
        <w:proofErr w:type="spellEnd"/>
        <w:r w:rsidRPr="00601741">
          <w:rPr>
            <w:rFonts w:ascii="Arial" w:eastAsia="MS Mincho" w:hAnsi="Arial" w:cs="Arial"/>
            <w:color w:val="000000" w:themeColor="text1"/>
            <w:spacing w:val="0"/>
            <w:u w:val="single"/>
            <w:lang w:eastAsia="ja-JP"/>
          </w:rPr>
          <w:t>/24731295</w:t>
        </w:r>
      </w:hyperlink>
      <w:r w:rsidRPr="00601741">
        <w:rPr>
          <w:rFonts w:ascii="Arial" w:eastAsia="MS Mincho" w:hAnsi="Arial" w:cs="Arial"/>
          <w:color w:val="000000" w:themeColor="text1"/>
          <w:spacing w:val="0"/>
          <w:lang w:eastAsia="ja-JP"/>
        </w:rPr>
        <w:t>&gt;</w:t>
      </w:r>
    </w:p>
  </w:footnote>
  <w:footnote w:id="66">
    <w:p w14:paraId="7168ED1E" w14:textId="42F7E293" w:rsidR="00051F36" w:rsidRDefault="00051F36">
      <w:pPr>
        <w:pStyle w:val="FootnoteText"/>
      </w:pPr>
      <w:r>
        <w:rPr>
          <w:rStyle w:val="FootnoteReference"/>
        </w:rPr>
        <w:footnoteRef/>
      </w:r>
      <w:r>
        <w:t xml:space="preserve"> </w:t>
      </w:r>
      <w:r>
        <w:rPr>
          <w:rFonts w:ascii="Arial" w:hAnsi="Arial" w:cs="Arial"/>
          <w:color w:val="000000"/>
        </w:rPr>
        <w:t>http://</w:t>
      </w:r>
      <w:proofErr w:type="spellStart"/>
      <w:r>
        <w:rPr>
          <w:rFonts w:ascii="Arial" w:hAnsi="Arial" w:cs="Arial"/>
          <w:color w:val="000000"/>
        </w:rPr>
        <w:t>ncrpp.org</w:t>
      </w:r>
      <w:proofErr w:type="spellEnd"/>
      <w:r>
        <w:rPr>
          <w:rFonts w:ascii="Arial" w:hAnsi="Arial" w:cs="Arial"/>
          <w:color w:val="000000"/>
        </w:rPr>
        <w:t>/pages/our-work</w:t>
      </w:r>
    </w:p>
  </w:footnote>
  <w:footnote w:id="67">
    <w:p w14:paraId="5ACFF21B" w14:textId="0D1C24C5" w:rsidR="00051F36" w:rsidRDefault="00051F36">
      <w:pPr>
        <w:pStyle w:val="FootnoteText"/>
      </w:pPr>
      <w:r>
        <w:rPr>
          <w:rStyle w:val="FootnoteReference"/>
        </w:rPr>
        <w:footnoteRef/>
      </w:r>
      <w:r>
        <w:t xml:space="preserve"> </w:t>
      </w:r>
      <w:r>
        <w:rPr>
          <w:rFonts w:ascii="Arial" w:hAnsi="Arial" w:cs="Arial"/>
          <w:color w:val="000000"/>
        </w:rPr>
        <w:t>http://</w:t>
      </w:r>
      <w:proofErr w:type="spellStart"/>
      <w:r>
        <w:rPr>
          <w:rFonts w:ascii="Arial" w:hAnsi="Arial" w:cs="Arial"/>
          <w:color w:val="000000"/>
        </w:rPr>
        <w:t>ncrpp.org</w:t>
      </w:r>
      <w:proofErr w:type="spellEnd"/>
      <w:r>
        <w:rPr>
          <w:rFonts w:ascii="Arial" w:hAnsi="Arial" w:cs="Arial"/>
          <w:color w:val="000000"/>
        </w:rPr>
        <w:t>/assets/documents/</w:t>
      </w:r>
      <w:proofErr w:type="spellStart"/>
      <w:r>
        <w:rPr>
          <w:rFonts w:ascii="Arial" w:hAnsi="Arial" w:cs="Arial"/>
          <w:color w:val="000000"/>
        </w:rPr>
        <w:t>NCRPP_Technical</w:t>
      </w:r>
      <w:proofErr w:type="spellEnd"/>
      <w:r>
        <w:rPr>
          <w:rFonts w:ascii="Arial" w:hAnsi="Arial" w:cs="Arial"/>
          <w:color w:val="000000"/>
        </w:rPr>
        <w:t>-Report-</w:t>
      </w:r>
      <w:proofErr w:type="spellStart"/>
      <w:r>
        <w:rPr>
          <w:rFonts w:ascii="Arial" w:hAnsi="Arial" w:cs="Arial"/>
          <w:color w:val="000000"/>
        </w:rPr>
        <w:t>1.pdf</w:t>
      </w:r>
      <w:proofErr w:type="spellEnd"/>
    </w:p>
  </w:footnote>
  <w:footnote w:id="68">
    <w:p w14:paraId="2CFA3FFD" w14:textId="46EB37DA" w:rsidR="00051F36" w:rsidRDefault="00051F36">
      <w:pPr>
        <w:pStyle w:val="FootnoteText"/>
      </w:pPr>
      <w:r>
        <w:rPr>
          <w:rStyle w:val="FootnoteReference"/>
        </w:rPr>
        <w:footnoteRef/>
      </w:r>
      <w:r>
        <w:t xml:space="preserve"> </w:t>
      </w:r>
      <w:r>
        <w:rPr>
          <w:rFonts w:ascii="Arial" w:hAnsi="Arial" w:cs="Arial"/>
          <w:color w:val="000000"/>
        </w:rPr>
        <w:t>http://www.nfer.ac.uk/research/projects/measuring-support-for-pupil-progress--development-of-baseline-and-outcomes-surveys.cfm</w:t>
      </w:r>
    </w:p>
  </w:footnote>
  <w:footnote w:id="69">
    <w:p w14:paraId="1E730A5B" w14:textId="4563137D" w:rsidR="00051F36" w:rsidRDefault="00051F36">
      <w:pPr>
        <w:pStyle w:val="FootnoteText"/>
      </w:pPr>
      <w:r>
        <w:rPr>
          <w:rStyle w:val="FootnoteReference"/>
        </w:rPr>
        <w:footnoteRef/>
      </w:r>
      <w:r>
        <w:t xml:space="preserve"> </w:t>
      </w:r>
      <w:proofErr w:type="spellStart"/>
      <w:r>
        <w:rPr>
          <w:rFonts w:ascii="Arial" w:hAnsi="Arial" w:cs="Arial"/>
          <w:color w:val="000000"/>
        </w:rPr>
        <w:t>Torgerson</w:t>
      </w:r>
      <w:proofErr w:type="spellEnd"/>
      <w:r>
        <w:rPr>
          <w:rFonts w:ascii="Arial" w:hAnsi="Arial" w:cs="Arial"/>
          <w:color w:val="000000"/>
        </w:rPr>
        <w:t xml:space="preserve">, C &amp; </w:t>
      </w:r>
      <w:proofErr w:type="spellStart"/>
      <w:r>
        <w:rPr>
          <w:rFonts w:ascii="Arial" w:hAnsi="Arial" w:cs="Arial"/>
          <w:color w:val="000000"/>
        </w:rPr>
        <w:t>Torgerson</w:t>
      </w:r>
      <w:proofErr w:type="spellEnd"/>
      <w:r>
        <w:rPr>
          <w:rFonts w:ascii="Arial" w:hAnsi="Arial" w:cs="Arial"/>
          <w:color w:val="000000"/>
        </w:rPr>
        <w:t xml:space="preserve">, D. 2016, ‘Randomised Trials in Education: An introductory handbook’, </w:t>
      </w:r>
      <w:r>
        <w:rPr>
          <w:rFonts w:ascii="Arial" w:hAnsi="Arial" w:cs="Arial"/>
          <w:i/>
          <w:iCs/>
          <w:color w:val="000000"/>
        </w:rPr>
        <w:t xml:space="preserve">Education Endowment Foundation, </w:t>
      </w:r>
      <w:r>
        <w:rPr>
          <w:rFonts w:ascii="Arial" w:hAnsi="Arial" w:cs="Arial"/>
          <w:color w:val="000000"/>
        </w:rPr>
        <w:t>viewed 23 May 2016, &lt;https://educationendowmentfoundation.org.uk/public/files/Evaluation/EEF-RandomisedTrialsInEducationHandbook.pdf&gt;</w:t>
      </w:r>
    </w:p>
  </w:footnote>
  <w:footnote w:id="70">
    <w:p w14:paraId="0F74714B" w14:textId="5A87E00C" w:rsidR="00051F36" w:rsidRDefault="00051F36">
      <w:pPr>
        <w:pStyle w:val="FootnoteText"/>
      </w:pPr>
      <w:r>
        <w:rPr>
          <w:rStyle w:val="FootnoteReference"/>
        </w:rPr>
        <w:footnoteRef/>
      </w:r>
      <w:r>
        <w:t xml:space="preserve"> </w:t>
      </w:r>
      <w:r w:rsidRPr="002C2280">
        <w:rPr>
          <w:rFonts w:ascii="Arial" w:eastAsia="MS Mincho" w:hAnsi="Arial" w:cs="Arial"/>
          <w:color w:val="000000"/>
          <w:spacing w:val="0"/>
          <w:lang w:eastAsia="ja-JP"/>
        </w:rPr>
        <w:t xml:space="preserve">Haynes, L. Service, O. </w:t>
      </w:r>
      <w:proofErr w:type="spellStart"/>
      <w:r w:rsidRPr="002C2280">
        <w:rPr>
          <w:rFonts w:ascii="Arial" w:eastAsia="MS Mincho" w:hAnsi="Arial" w:cs="Arial"/>
          <w:color w:val="000000"/>
          <w:spacing w:val="0"/>
          <w:lang w:eastAsia="ja-JP"/>
        </w:rPr>
        <w:t>Goldacre</w:t>
      </w:r>
      <w:proofErr w:type="spellEnd"/>
      <w:r w:rsidRPr="002C2280">
        <w:rPr>
          <w:rFonts w:ascii="Arial" w:eastAsia="MS Mincho" w:hAnsi="Arial" w:cs="Arial"/>
          <w:color w:val="000000"/>
          <w:spacing w:val="0"/>
          <w:lang w:eastAsia="ja-JP"/>
        </w:rPr>
        <w:t xml:space="preserve">, B. &amp; </w:t>
      </w:r>
      <w:proofErr w:type="spellStart"/>
      <w:r w:rsidRPr="002C2280">
        <w:rPr>
          <w:rFonts w:ascii="Arial" w:eastAsia="MS Mincho" w:hAnsi="Arial" w:cs="Arial"/>
          <w:color w:val="000000"/>
          <w:spacing w:val="0"/>
          <w:lang w:eastAsia="ja-JP"/>
        </w:rPr>
        <w:t>Torgerson</w:t>
      </w:r>
      <w:proofErr w:type="spellEnd"/>
      <w:r w:rsidRPr="002C2280">
        <w:rPr>
          <w:rFonts w:ascii="Arial" w:eastAsia="MS Mincho" w:hAnsi="Arial" w:cs="Arial"/>
          <w:color w:val="000000"/>
          <w:spacing w:val="0"/>
          <w:lang w:eastAsia="ja-JP"/>
        </w:rPr>
        <w:t xml:space="preserve">, D. 2012, ‘Test, Learn, Adapt: Developing Public Policy with Randomised Controlled Trials’, </w:t>
      </w:r>
      <w:r w:rsidRPr="002C2280">
        <w:rPr>
          <w:rFonts w:ascii="Arial" w:eastAsia="MS Mincho" w:hAnsi="Arial" w:cs="Arial"/>
          <w:i/>
          <w:iCs/>
          <w:color w:val="000000"/>
          <w:spacing w:val="0"/>
          <w:lang w:eastAsia="ja-JP"/>
        </w:rPr>
        <w:t xml:space="preserve">UK </w:t>
      </w:r>
      <w:r w:rsidRPr="00601741">
        <w:rPr>
          <w:rFonts w:ascii="Arial" w:eastAsia="MS Mincho" w:hAnsi="Arial" w:cs="Arial"/>
          <w:i/>
          <w:iCs/>
          <w:color w:val="000000" w:themeColor="text1"/>
          <w:spacing w:val="0"/>
          <w:lang w:eastAsia="ja-JP"/>
        </w:rPr>
        <w:t>Cabinet Office</w:t>
      </w:r>
      <w:r w:rsidRPr="00601741">
        <w:rPr>
          <w:rFonts w:ascii="Arial" w:eastAsia="MS Mincho" w:hAnsi="Arial" w:cs="Arial"/>
          <w:color w:val="000000" w:themeColor="text1"/>
          <w:spacing w:val="0"/>
          <w:lang w:eastAsia="ja-JP"/>
        </w:rPr>
        <w:t>, p. 31, viewed 23 May 2016, &lt;</w:t>
      </w:r>
      <w:hyperlink r:id="rId30" w:history="1">
        <w:r w:rsidRPr="00601741">
          <w:rPr>
            <w:rFonts w:ascii="Arial" w:eastAsia="MS Mincho" w:hAnsi="Arial" w:cs="Arial"/>
            <w:color w:val="000000" w:themeColor="text1"/>
            <w:spacing w:val="0"/>
            <w:u w:val="single"/>
            <w:lang w:eastAsia="ja-JP"/>
          </w:rPr>
          <w:t>https://www.gov.uk/government/uploads/system/uploads/attachment_data/file/62529/TLA-1906126.pdf</w:t>
        </w:r>
      </w:hyperlink>
      <w:r w:rsidRPr="00601741">
        <w:rPr>
          <w:rFonts w:ascii="Arial" w:eastAsia="MS Mincho" w:hAnsi="Arial" w:cs="Arial"/>
          <w:color w:val="000000" w:themeColor="text1"/>
          <w:spacing w:val="0"/>
          <w:lang w:eastAsia="ja-JP"/>
        </w:rPr>
        <w:t>&gt;</w:t>
      </w:r>
    </w:p>
  </w:footnote>
  <w:footnote w:id="71">
    <w:p w14:paraId="23868844" w14:textId="6599F82C" w:rsidR="00051F36" w:rsidRPr="000A2B66" w:rsidRDefault="00051F36">
      <w:pPr>
        <w:pStyle w:val="FootnoteText"/>
      </w:pPr>
      <w:r>
        <w:rPr>
          <w:rStyle w:val="FootnoteReference"/>
        </w:rPr>
        <w:footnoteRef/>
      </w:r>
      <w:r>
        <w:t xml:space="preserve"> </w:t>
      </w:r>
      <w:r w:rsidRPr="00601741">
        <w:rPr>
          <w:rFonts w:ascii="Arial" w:eastAsia="MS Mincho" w:hAnsi="Arial" w:cs="Arial"/>
          <w:spacing w:val="0"/>
          <w:lang w:eastAsia="ja-JP"/>
        </w:rPr>
        <w:t xml:space="preserve">Phonics programs focus on developing ‘phonemic awareness’, enabling students to identify sound patterns in English and decode new words by ‘sounding them out’ and ‘blending’ sound-spelling patterns. Research indicates a phonics approach is more effective on average than other approaches for teaching early reading, such as ‘whole language’ instruction, although other approaches may be more beneficial for struggling older readers. </w:t>
      </w:r>
      <w:hyperlink r:id="rId31" w:history="1">
        <w:r w:rsidRPr="00601741">
          <w:rPr>
            <w:rFonts w:ascii="Arial" w:eastAsia="MS Mincho" w:hAnsi="Arial" w:cs="Arial"/>
            <w:spacing w:val="0"/>
            <w:u w:val="single"/>
            <w:lang w:eastAsia="ja-JP"/>
          </w:rPr>
          <w:t>http://</w:t>
        </w:r>
        <w:proofErr w:type="spellStart"/>
        <w:r w:rsidRPr="00601741">
          <w:rPr>
            <w:rFonts w:ascii="Arial" w:eastAsia="MS Mincho" w:hAnsi="Arial" w:cs="Arial"/>
            <w:spacing w:val="0"/>
            <w:u w:val="single"/>
            <w:lang w:eastAsia="ja-JP"/>
          </w:rPr>
          <w:t>evidenceforlearning.org.au</w:t>
        </w:r>
        <w:proofErr w:type="spellEnd"/>
        <w:r w:rsidRPr="00601741">
          <w:rPr>
            <w:rFonts w:ascii="Arial" w:eastAsia="MS Mincho" w:hAnsi="Arial" w:cs="Arial"/>
            <w:spacing w:val="0"/>
            <w:u w:val="single"/>
            <w:lang w:eastAsia="ja-JP"/>
          </w:rPr>
          <w:t>/toolkit/phonics/</w:t>
        </w:r>
      </w:hyperlink>
    </w:p>
  </w:footnote>
  <w:footnote w:id="72">
    <w:p w14:paraId="50DF6D30" w14:textId="385E79FE" w:rsidR="00051F36" w:rsidRPr="000A2B66" w:rsidRDefault="00051F36">
      <w:pPr>
        <w:pStyle w:val="FootnoteText"/>
      </w:pPr>
      <w:r w:rsidRPr="000A2B66">
        <w:rPr>
          <w:rStyle w:val="FootnoteReference"/>
        </w:rPr>
        <w:footnoteRef/>
      </w:r>
      <w:r w:rsidRPr="000A2B66">
        <w:t xml:space="preserve"> </w:t>
      </w:r>
      <w:r w:rsidRPr="00601741">
        <w:rPr>
          <w:rFonts w:ascii="Arial" w:eastAsia="MS Mincho" w:hAnsi="Arial" w:cs="Arial"/>
          <w:spacing w:val="0"/>
          <w:lang w:eastAsia="ja-JP"/>
        </w:rPr>
        <w:t xml:space="preserve">Peer tutoring involves placing students in pairs or small groups to provide each other with support and feedback to consolidate classroom learning. Research studies have found peer tutoring benefits all students, regardless of whether they take on the role of tutor or tutee. </w:t>
      </w:r>
      <w:hyperlink r:id="rId32" w:history="1">
        <w:r w:rsidRPr="00601741">
          <w:rPr>
            <w:rFonts w:ascii="Arial" w:eastAsia="MS Mincho" w:hAnsi="Arial" w:cs="Arial"/>
            <w:spacing w:val="0"/>
            <w:u w:val="single"/>
            <w:lang w:eastAsia="ja-JP"/>
          </w:rPr>
          <w:t>http://</w:t>
        </w:r>
        <w:proofErr w:type="spellStart"/>
        <w:r w:rsidRPr="00601741">
          <w:rPr>
            <w:rFonts w:ascii="Arial" w:eastAsia="MS Mincho" w:hAnsi="Arial" w:cs="Arial"/>
            <w:spacing w:val="0"/>
            <w:u w:val="single"/>
            <w:lang w:eastAsia="ja-JP"/>
          </w:rPr>
          <w:t>evidenceforlearning.org.au</w:t>
        </w:r>
        <w:proofErr w:type="spellEnd"/>
        <w:r w:rsidRPr="00601741">
          <w:rPr>
            <w:rFonts w:ascii="Arial" w:eastAsia="MS Mincho" w:hAnsi="Arial" w:cs="Arial"/>
            <w:spacing w:val="0"/>
            <w:u w:val="single"/>
            <w:lang w:eastAsia="ja-JP"/>
          </w:rPr>
          <w:t>/toolkit/peer-tutoring/</w:t>
        </w:r>
      </w:hyperlink>
    </w:p>
  </w:footnote>
  <w:footnote w:id="73">
    <w:p w14:paraId="501997E2" w14:textId="6AAAC75B" w:rsidR="00051F36" w:rsidRPr="00726F64" w:rsidRDefault="00051F36" w:rsidP="00601741">
      <w:pPr>
        <w:pStyle w:val="NormalWeb"/>
        <w:spacing w:after="0"/>
      </w:pPr>
      <w:r w:rsidRPr="00601741">
        <w:rPr>
          <w:rStyle w:val="FootnoteReference"/>
          <w:sz w:val="16"/>
          <w:szCs w:val="16"/>
        </w:rPr>
        <w:footnoteRef/>
      </w:r>
      <w:r w:rsidRPr="00601741">
        <w:rPr>
          <w:sz w:val="16"/>
          <w:szCs w:val="16"/>
        </w:rPr>
        <w:t xml:space="preserve"> </w:t>
      </w:r>
      <w:r w:rsidRPr="00601741">
        <w:rPr>
          <w:rFonts w:ascii="Arial" w:eastAsia="Times New Roman" w:hAnsi="Arial" w:cs="Arial"/>
          <w:sz w:val="16"/>
          <w:szCs w:val="16"/>
          <w:lang w:eastAsia="en-AU"/>
        </w:rPr>
        <w:t xml:space="preserve">On average, students who repeat a year fall 4 months behind their peers of similar achievement levels who do not repeat. Students who repeat are not likely to catch up, even with the additional year of schooling, and are also more likely to drop out of school altogether. </w:t>
      </w:r>
      <w:hyperlink r:id="rId33" w:history="1">
        <w:r w:rsidRPr="00601741">
          <w:rPr>
            <w:rFonts w:ascii="Arial" w:eastAsia="Times New Roman" w:hAnsi="Arial" w:cs="Arial"/>
            <w:sz w:val="16"/>
            <w:szCs w:val="16"/>
            <w:u w:val="single"/>
            <w:lang w:eastAsia="en-AU"/>
          </w:rPr>
          <w:t>http://</w:t>
        </w:r>
        <w:proofErr w:type="spellStart"/>
        <w:r w:rsidRPr="00601741">
          <w:rPr>
            <w:rFonts w:ascii="Arial" w:eastAsia="Times New Roman" w:hAnsi="Arial" w:cs="Arial"/>
            <w:sz w:val="16"/>
            <w:szCs w:val="16"/>
            <w:u w:val="single"/>
            <w:lang w:eastAsia="en-AU"/>
          </w:rPr>
          <w:t>evidenceforlearning.org.au</w:t>
        </w:r>
        <w:proofErr w:type="spellEnd"/>
        <w:r w:rsidRPr="00601741">
          <w:rPr>
            <w:rFonts w:ascii="Arial" w:eastAsia="Times New Roman" w:hAnsi="Arial" w:cs="Arial"/>
            <w:sz w:val="16"/>
            <w:szCs w:val="16"/>
            <w:u w:val="single"/>
            <w:lang w:eastAsia="en-AU"/>
          </w:rPr>
          <w:t>/toolkit/repeating-a-year/</w:t>
        </w:r>
      </w:hyperlink>
      <w:r w:rsidRPr="00601741">
        <w:rPr>
          <w:rFonts w:ascii="Arial" w:eastAsia="Times New Roman" w:hAnsi="Arial" w:cs="Arial"/>
          <w:sz w:val="16"/>
          <w:szCs w:val="16"/>
          <w:lang w:eastAsia="en-AU"/>
        </w:rPr>
        <w:t xml:space="preserve"> In Australia, 8.4% of students repeat a grade at some stage of their schooling; OECD 2013, ‘Education Policy Outlook: Australia’, </w:t>
      </w:r>
      <w:r w:rsidRPr="00601741">
        <w:rPr>
          <w:rFonts w:ascii="Arial" w:eastAsia="Times New Roman" w:hAnsi="Arial" w:cs="Arial"/>
          <w:i/>
          <w:iCs/>
          <w:sz w:val="16"/>
          <w:szCs w:val="16"/>
          <w:lang w:eastAsia="en-AU"/>
        </w:rPr>
        <w:t>OECD Publishing</w:t>
      </w:r>
      <w:r w:rsidRPr="00601741">
        <w:rPr>
          <w:rFonts w:ascii="Arial" w:eastAsia="Times New Roman" w:hAnsi="Arial" w:cs="Arial"/>
          <w:sz w:val="16"/>
          <w:szCs w:val="16"/>
          <w:lang w:eastAsia="en-AU"/>
        </w:rPr>
        <w:t>, viewed 23 May 2016,</w:t>
      </w:r>
      <w:r>
        <w:rPr>
          <w:rFonts w:ascii="Arial" w:eastAsia="Times New Roman" w:hAnsi="Arial" w:cs="Arial"/>
          <w:sz w:val="16"/>
          <w:szCs w:val="16"/>
          <w:lang w:eastAsia="en-AU"/>
        </w:rPr>
        <w:t xml:space="preserve"> </w:t>
      </w:r>
      <w:r w:rsidRPr="00601741">
        <w:rPr>
          <w:sz w:val="16"/>
          <w:szCs w:val="16"/>
        </w:rPr>
        <w:t>&lt;</w:t>
      </w:r>
      <w:hyperlink r:id="rId34" w:history="1">
        <w:r w:rsidRPr="00601741">
          <w:rPr>
            <w:sz w:val="16"/>
            <w:szCs w:val="16"/>
            <w:u w:val="single"/>
          </w:rPr>
          <w:t>http://www.oecd.org/education/EDUCATION%20POLICY%20OUTLOOK%20AUSTRALIA_EN.pdf</w:t>
        </w:r>
      </w:hyperlink>
      <w:r w:rsidRPr="00601741">
        <w:rPr>
          <w:sz w:val="16"/>
          <w:szCs w:val="16"/>
        </w:rPr>
        <w:t xml:space="preserve">&gt;; </w:t>
      </w:r>
      <w:proofErr w:type="spellStart"/>
      <w:r w:rsidRPr="00601741">
        <w:rPr>
          <w:sz w:val="16"/>
          <w:szCs w:val="16"/>
        </w:rPr>
        <w:t>Romanes</w:t>
      </w:r>
      <w:proofErr w:type="spellEnd"/>
      <w:r w:rsidRPr="00601741">
        <w:rPr>
          <w:sz w:val="16"/>
          <w:szCs w:val="16"/>
        </w:rPr>
        <w:t xml:space="preserve">, D. &amp; Hunter, J. 2015, ‘Grade Repetition: There are Better Ways to Move Kids Forward than by Holding them Back’, </w:t>
      </w:r>
      <w:r w:rsidRPr="00601741">
        <w:rPr>
          <w:i/>
          <w:iCs/>
          <w:sz w:val="16"/>
          <w:szCs w:val="16"/>
        </w:rPr>
        <w:t xml:space="preserve">The Conversation, </w:t>
      </w:r>
      <w:r w:rsidRPr="00601741">
        <w:rPr>
          <w:sz w:val="16"/>
          <w:szCs w:val="16"/>
        </w:rPr>
        <w:t>viewed 23 May 2016, &lt;</w:t>
      </w:r>
      <w:hyperlink r:id="rId35" w:history="1">
        <w:r w:rsidRPr="00601741">
          <w:rPr>
            <w:sz w:val="16"/>
            <w:szCs w:val="16"/>
            <w:u w:val="single"/>
          </w:rPr>
          <w:t>https://theconversation.com/grade-repetition-there-are-better-ways-to-move-kids-forward-than-by-holding-them-back-47269</w:t>
        </w:r>
      </w:hyperlink>
      <w:r w:rsidRPr="00601741">
        <w:rPr>
          <w:sz w:val="16"/>
          <w:szCs w:val="16"/>
        </w:rPr>
        <w:t>&gt;</w:t>
      </w:r>
    </w:p>
  </w:footnote>
  <w:footnote w:id="74">
    <w:p w14:paraId="0A09AB13" w14:textId="7E28B895" w:rsidR="00051F36" w:rsidRDefault="00051F36">
      <w:pPr>
        <w:pStyle w:val="FootnoteText"/>
      </w:pPr>
      <w:r>
        <w:rPr>
          <w:rStyle w:val="FootnoteReference"/>
        </w:rPr>
        <w:footnoteRef/>
      </w:r>
      <w:r>
        <w:t xml:space="preserve"> </w:t>
      </w:r>
      <w:r>
        <w:rPr>
          <w:rFonts w:ascii="Arial" w:hAnsi="Arial" w:cs="Arial"/>
          <w:color w:val="000000"/>
        </w:rPr>
        <w:t xml:space="preserve">Coalition for Evidence-Based </w:t>
      </w:r>
      <w:proofErr w:type="spellStart"/>
      <w:r>
        <w:rPr>
          <w:rFonts w:ascii="Arial" w:hAnsi="Arial" w:cs="Arial"/>
          <w:color w:val="000000"/>
        </w:rPr>
        <w:t>Policy2013</w:t>
      </w:r>
      <w:proofErr w:type="spellEnd"/>
      <w:r>
        <w:rPr>
          <w:rFonts w:ascii="Arial" w:hAnsi="Arial" w:cs="Arial"/>
          <w:color w:val="000000"/>
        </w:rPr>
        <w:t xml:space="preserve">, ‘Randomized Controlled Trials Commissioned by the Institute of Education Sciences </w:t>
      </w:r>
      <w:proofErr w:type="spellStart"/>
      <w:r>
        <w:rPr>
          <w:rFonts w:ascii="Arial" w:hAnsi="Arial" w:cs="Arial"/>
          <w:color w:val="000000"/>
        </w:rPr>
        <w:t>Sicne</w:t>
      </w:r>
      <w:proofErr w:type="spellEnd"/>
      <w:r>
        <w:rPr>
          <w:rFonts w:ascii="Arial" w:hAnsi="Arial" w:cs="Arial"/>
          <w:color w:val="000000"/>
        </w:rPr>
        <w:t xml:space="preserve"> 2002: How many found positive versus weak or no effects’,</w:t>
      </w:r>
      <w:r>
        <w:rPr>
          <w:rFonts w:ascii="Arial" w:hAnsi="Arial" w:cs="Arial"/>
          <w:i/>
          <w:iCs/>
          <w:color w:val="000000"/>
        </w:rPr>
        <w:t xml:space="preserve"> </w:t>
      </w:r>
      <w:r>
        <w:rPr>
          <w:rFonts w:ascii="Arial" w:hAnsi="Arial" w:cs="Arial"/>
          <w:color w:val="000000"/>
        </w:rPr>
        <w:t>viewed 23 May 2016, &lt;http://coalition4evidence.org/wp-content/uploads/2013/06/IES-Commissioned-RCTs-positive-vs-weak-or-null-findings-7-2013.pdf&gt;</w:t>
      </w:r>
    </w:p>
  </w:footnote>
  <w:footnote w:id="75">
    <w:p w14:paraId="468CAF0C" w14:textId="526F9E0A" w:rsidR="00051F36" w:rsidRPr="00726F64" w:rsidRDefault="00051F36" w:rsidP="00601741">
      <w:pPr>
        <w:pStyle w:val="NormalWeb"/>
        <w:spacing w:after="0"/>
      </w:pPr>
      <w:r w:rsidRPr="00601741">
        <w:rPr>
          <w:rStyle w:val="FootnoteReference"/>
          <w:sz w:val="16"/>
          <w:szCs w:val="16"/>
        </w:rPr>
        <w:footnoteRef/>
      </w:r>
      <w:r w:rsidRPr="00601741">
        <w:rPr>
          <w:sz w:val="16"/>
          <w:szCs w:val="16"/>
        </w:rPr>
        <w:t xml:space="preserve"> </w:t>
      </w:r>
      <w:r w:rsidRPr="000A2B66">
        <w:rPr>
          <w:rFonts w:ascii="Arial" w:eastAsia="Times New Roman" w:hAnsi="Arial" w:cs="Arial"/>
          <w:color w:val="000000"/>
          <w:sz w:val="16"/>
          <w:szCs w:val="16"/>
          <w:lang w:eastAsia="en-AU"/>
        </w:rPr>
        <w:t>See</w:t>
      </w:r>
      <w:r w:rsidRPr="00ED6446">
        <w:rPr>
          <w:rFonts w:ascii="Arial" w:eastAsia="Times New Roman" w:hAnsi="Arial" w:cs="Arial"/>
          <w:color w:val="000000"/>
          <w:sz w:val="16"/>
          <w:szCs w:val="16"/>
          <w:lang w:eastAsia="en-AU"/>
        </w:rPr>
        <w:t xml:space="preserve">, for example, OECD 2010, ‘Improving Health and Social Cohesion through Education, Educational Research and Innovation’, </w:t>
      </w:r>
      <w:r w:rsidRPr="00ED6446">
        <w:rPr>
          <w:rFonts w:ascii="Arial" w:eastAsia="Times New Roman" w:hAnsi="Arial" w:cs="Arial"/>
          <w:i/>
          <w:iCs/>
          <w:color w:val="000000"/>
          <w:sz w:val="16"/>
          <w:szCs w:val="16"/>
          <w:lang w:eastAsia="en-AU"/>
        </w:rPr>
        <w:t>OECD Publishing</w:t>
      </w:r>
      <w:r w:rsidRPr="00ED6446">
        <w:rPr>
          <w:rFonts w:ascii="Arial" w:eastAsia="Times New Roman" w:hAnsi="Arial" w:cs="Arial"/>
          <w:color w:val="000000"/>
          <w:sz w:val="18"/>
          <w:szCs w:val="18"/>
          <w:lang w:eastAsia="en-AU"/>
        </w:rPr>
        <w:t>,</w:t>
      </w:r>
      <w:r w:rsidRPr="00ED6446">
        <w:rPr>
          <w:rFonts w:ascii="Arial" w:eastAsia="Times New Roman" w:hAnsi="Arial" w:cs="Arial"/>
          <w:color w:val="000000"/>
          <w:sz w:val="16"/>
          <w:szCs w:val="16"/>
          <w:lang w:eastAsia="en-AU"/>
        </w:rPr>
        <w:t xml:space="preserve"> Paris. </w:t>
      </w:r>
      <w:proofErr w:type="spellStart"/>
      <w:r w:rsidRPr="00ED6446">
        <w:rPr>
          <w:rFonts w:ascii="Arial" w:eastAsia="Times New Roman" w:hAnsi="Arial" w:cs="Arial"/>
          <w:color w:val="000000"/>
          <w:sz w:val="16"/>
          <w:szCs w:val="16"/>
          <w:lang w:eastAsia="en-AU"/>
        </w:rPr>
        <w:t>DOI</w:t>
      </w:r>
      <w:proofErr w:type="spellEnd"/>
      <w:r w:rsidRPr="00ED6446">
        <w:rPr>
          <w:rFonts w:ascii="Arial" w:eastAsia="Times New Roman" w:hAnsi="Arial" w:cs="Arial"/>
          <w:color w:val="000000"/>
          <w:sz w:val="16"/>
          <w:szCs w:val="16"/>
          <w:lang w:eastAsia="en-AU"/>
        </w:rPr>
        <w:t>, viewed 23 May 2016, &lt;</w:t>
      </w:r>
      <w:hyperlink r:id="rId36" w:history="1">
        <w:r w:rsidRPr="00ED6446">
          <w:rPr>
            <w:rFonts w:ascii="Arial" w:eastAsia="Times New Roman" w:hAnsi="Arial" w:cs="Arial"/>
            <w:color w:val="000000"/>
            <w:sz w:val="16"/>
            <w:szCs w:val="16"/>
            <w:u w:val="single"/>
            <w:lang w:eastAsia="en-AU"/>
          </w:rPr>
          <w:t>http://</w:t>
        </w:r>
        <w:proofErr w:type="spellStart"/>
        <w:r w:rsidRPr="00ED6446">
          <w:rPr>
            <w:rFonts w:ascii="Arial" w:eastAsia="Times New Roman" w:hAnsi="Arial" w:cs="Arial"/>
            <w:color w:val="000000"/>
            <w:sz w:val="16"/>
            <w:szCs w:val="16"/>
            <w:u w:val="single"/>
            <w:lang w:eastAsia="en-AU"/>
          </w:rPr>
          <w:t>dx.doi.org</w:t>
        </w:r>
        <w:proofErr w:type="spellEnd"/>
        <w:r w:rsidRPr="00ED6446">
          <w:rPr>
            <w:rFonts w:ascii="Arial" w:eastAsia="Times New Roman" w:hAnsi="Arial" w:cs="Arial"/>
            <w:color w:val="000000"/>
            <w:sz w:val="16"/>
            <w:szCs w:val="16"/>
            <w:u w:val="single"/>
            <w:lang w:eastAsia="en-AU"/>
          </w:rPr>
          <w:t>/10.1787/9789264086319-en</w:t>
        </w:r>
      </w:hyperlink>
      <w:r w:rsidRPr="00425ADD">
        <w:rPr>
          <w:rFonts w:ascii="Arial" w:eastAsia="Times New Roman" w:hAnsi="Arial" w:cs="Arial"/>
          <w:color w:val="000000"/>
          <w:sz w:val="16"/>
          <w:szCs w:val="16"/>
          <w:lang w:eastAsia="en-AU"/>
        </w:rPr>
        <w:t xml:space="preserve">&gt;; </w:t>
      </w:r>
      <w:r w:rsidRPr="00601741">
        <w:rPr>
          <w:sz w:val="16"/>
          <w:szCs w:val="16"/>
        </w:rPr>
        <w:t xml:space="preserve">Grossman, M. and R. </w:t>
      </w:r>
      <w:proofErr w:type="spellStart"/>
      <w:r w:rsidRPr="00601741">
        <w:rPr>
          <w:sz w:val="16"/>
          <w:szCs w:val="16"/>
        </w:rPr>
        <w:t>Kaestner</w:t>
      </w:r>
      <w:proofErr w:type="spellEnd"/>
      <w:r w:rsidRPr="00601741">
        <w:rPr>
          <w:sz w:val="16"/>
          <w:szCs w:val="16"/>
        </w:rPr>
        <w:t xml:space="preserve"> (1997), “Effects of education on health”, in: </w:t>
      </w:r>
      <w:proofErr w:type="spellStart"/>
      <w:r w:rsidRPr="00601741">
        <w:rPr>
          <w:sz w:val="16"/>
          <w:szCs w:val="16"/>
        </w:rPr>
        <w:t>J.R</w:t>
      </w:r>
      <w:proofErr w:type="spellEnd"/>
      <w:r w:rsidRPr="00601741">
        <w:rPr>
          <w:sz w:val="16"/>
          <w:szCs w:val="16"/>
        </w:rPr>
        <w:t xml:space="preserve">. Behrman and N. Stacey, eds., The Social Benefits of Education (University of Michigan Press, Ann </w:t>
      </w:r>
      <w:proofErr w:type="spellStart"/>
      <w:r w:rsidRPr="00601741">
        <w:rPr>
          <w:sz w:val="16"/>
          <w:szCs w:val="16"/>
        </w:rPr>
        <w:t>Arbor</w:t>
      </w:r>
      <w:proofErr w:type="spellEnd"/>
      <w:r w:rsidRPr="00601741">
        <w:rPr>
          <w:sz w:val="16"/>
          <w:szCs w:val="16"/>
        </w:rPr>
        <w:t>, Michigan) 69-123.</w:t>
      </w:r>
    </w:p>
  </w:footnote>
  <w:footnote w:id="76">
    <w:p w14:paraId="395CAA32" w14:textId="65B71553" w:rsidR="00051F36" w:rsidRPr="00601741" w:rsidRDefault="00051F36">
      <w:pPr>
        <w:pStyle w:val="FootnoteText"/>
        <w:rPr>
          <w:color w:val="000000" w:themeColor="text1"/>
        </w:rPr>
      </w:pPr>
      <w:r>
        <w:rPr>
          <w:rStyle w:val="FootnoteReference"/>
        </w:rPr>
        <w:footnoteRef/>
      </w:r>
      <w:r>
        <w:t xml:space="preserve"> </w:t>
      </w:r>
      <w:r>
        <w:rPr>
          <w:rFonts w:ascii="Arial" w:hAnsi="Arial" w:cs="Arial"/>
          <w:color w:val="000000"/>
          <w:shd w:val="clear" w:color="auto" w:fill="FFFFFF"/>
        </w:rPr>
        <w:t xml:space="preserve">Rosen, L. Manor, O. Engelhard, D. &amp; </w:t>
      </w:r>
      <w:proofErr w:type="spellStart"/>
      <w:r>
        <w:rPr>
          <w:rFonts w:ascii="Arial" w:hAnsi="Arial" w:cs="Arial"/>
          <w:color w:val="000000"/>
          <w:shd w:val="clear" w:color="auto" w:fill="FFFFFF"/>
        </w:rPr>
        <w:t>Zucker</w:t>
      </w:r>
      <w:proofErr w:type="spellEnd"/>
      <w:r>
        <w:rPr>
          <w:rFonts w:ascii="Arial" w:hAnsi="Arial" w:cs="Arial"/>
          <w:color w:val="000000"/>
          <w:shd w:val="clear" w:color="auto" w:fill="FFFFFF"/>
        </w:rPr>
        <w:t xml:space="preserve">, D. 2006, ‘In </w:t>
      </w:r>
      <w:proofErr w:type="spellStart"/>
      <w:r>
        <w:rPr>
          <w:rFonts w:ascii="Arial" w:hAnsi="Arial" w:cs="Arial"/>
          <w:color w:val="000000"/>
          <w:shd w:val="clear" w:color="auto" w:fill="FFFFFF"/>
        </w:rPr>
        <w:t>Defense</w:t>
      </w:r>
      <w:proofErr w:type="spellEnd"/>
      <w:r>
        <w:rPr>
          <w:rFonts w:ascii="Arial" w:hAnsi="Arial" w:cs="Arial"/>
          <w:color w:val="000000"/>
          <w:shd w:val="clear" w:color="auto" w:fill="FFFFFF"/>
        </w:rPr>
        <w:t xml:space="preserve"> of the Randomized Controlled Trial for Health Promotion Research’, </w:t>
      </w:r>
      <w:r>
        <w:rPr>
          <w:rFonts w:ascii="Arial" w:hAnsi="Arial" w:cs="Arial"/>
          <w:i/>
          <w:iCs/>
          <w:color w:val="000000"/>
        </w:rPr>
        <w:t>American Journal of Public Health</w:t>
      </w:r>
      <w:r>
        <w:rPr>
          <w:rFonts w:ascii="Arial" w:hAnsi="Arial" w:cs="Arial"/>
          <w:color w:val="000000"/>
          <w:shd w:val="clear" w:color="auto" w:fill="FFFFFF"/>
        </w:rPr>
        <w:t xml:space="preserve">, volume </w:t>
      </w:r>
      <w:r>
        <w:rPr>
          <w:rFonts w:ascii="Arial" w:hAnsi="Arial" w:cs="Arial"/>
          <w:i/>
          <w:iCs/>
          <w:color w:val="000000"/>
        </w:rPr>
        <w:t xml:space="preserve">96, </w:t>
      </w:r>
      <w:proofErr w:type="spellStart"/>
      <w:r>
        <w:rPr>
          <w:rFonts w:ascii="Arial" w:hAnsi="Arial" w:cs="Arial"/>
          <w:i/>
          <w:iCs/>
          <w:color w:val="000000"/>
        </w:rPr>
        <w:t>no.</w:t>
      </w:r>
      <w:r>
        <w:rPr>
          <w:rFonts w:ascii="Arial" w:hAnsi="Arial" w:cs="Arial"/>
          <w:color w:val="000000"/>
          <w:shd w:val="clear" w:color="auto" w:fill="FFFFFF"/>
        </w:rPr>
        <w:t>7</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pp.1181</w:t>
      </w:r>
      <w:proofErr w:type="spellEnd"/>
      <w:r>
        <w:rPr>
          <w:rFonts w:ascii="Arial" w:hAnsi="Arial" w:cs="Arial"/>
          <w:color w:val="000000"/>
          <w:shd w:val="clear" w:color="auto" w:fill="FFFFFF"/>
        </w:rPr>
        <w:t>–1186, viewed 23 May 2016, &lt;</w:t>
      </w:r>
      <w:r>
        <w:rPr>
          <w:rFonts w:ascii="Arial" w:hAnsi="Arial" w:cs="Arial"/>
          <w:color w:val="000000"/>
        </w:rPr>
        <w:t>http://</w:t>
      </w:r>
      <w:proofErr w:type="spellStart"/>
      <w:r w:rsidRPr="00601741">
        <w:rPr>
          <w:rFonts w:ascii="Arial" w:hAnsi="Arial" w:cs="Arial"/>
          <w:color w:val="000000" w:themeColor="text1"/>
        </w:rPr>
        <w:t>www.ncbi.nlm.nih.gov</w:t>
      </w:r>
      <w:proofErr w:type="spellEnd"/>
      <w:r w:rsidRPr="00601741">
        <w:rPr>
          <w:rFonts w:ascii="Arial" w:hAnsi="Arial" w:cs="Arial"/>
          <w:color w:val="000000" w:themeColor="text1"/>
        </w:rPr>
        <w:t>/</w:t>
      </w:r>
      <w:proofErr w:type="spellStart"/>
      <w:r w:rsidRPr="00601741">
        <w:rPr>
          <w:rFonts w:ascii="Arial" w:hAnsi="Arial" w:cs="Arial"/>
          <w:color w:val="000000" w:themeColor="text1"/>
        </w:rPr>
        <w:t>pmc</w:t>
      </w:r>
      <w:proofErr w:type="spellEnd"/>
      <w:r w:rsidRPr="00601741">
        <w:rPr>
          <w:rFonts w:ascii="Arial" w:hAnsi="Arial" w:cs="Arial"/>
          <w:color w:val="000000" w:themeColor="text1"/>
        </w:rPr>
        <w:t>/articles/</w:t>
      </w:r>
      <w:proofErr w:type="spellStart"/>
      <w:r w:rsidRPr="00601741">
        <w:rPr>
          <w:rFonts w:ascii="Arial" w:hAnsi="Arial" w:cs="Arial"/>
          <w:color w:val="000000" w:themeColor="text1"/>
        </w:rPr>
        <w:t>PMC1483860</w:t>
      </w:r>
      <w:proofErr w:type="spellEnd"/>
      <w:r w:rsidRPr="00601741">
        <w:rPr>
          <w:rFonts w:ascii="Arial" w:hAnsi="Arial" w:cs="Arial"/>
          <w:color w:val="000000" w:themeColor="text1"/>
        </w:rPr>
        <w:t>/&gt;</w:t>
      </w:r>
    </w:p>
  </w:footnote>
  <w:footnote w:id="77">
    <w:p w14:paraId="66A6E1E0" w14:textId="32F03C26"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Haynes, L. Service, O. </w:t>
      </w:r>
      <w:proofErr w:type="spellStart"/>
      <w:r w:rsidRPr="00601741">
        <w:rPr>
          <w:rFonts w:ascii="Arial" w:eastAsia="MS Mincho" w:hAnsi="Arial" w:cs="Arial"/>
          <w:color w:val="000000" w:themeColor="text1"/>
          <w:spacing w:val="0"/>
          <w:lang w:eastAsia="ja-JP"/>
        </w:rPr>
        <w:t>Goldacre</w:t>
      </w:r>
      <w:proofErr w:type="spellEnd"/>
      <w:r w:rsidRPr="00601741">
        <w:rPr>
          <w:rFonts w:ascii="Arial" w:eastAsia="MS Mincho" w:hAnsi="Arial" w:cs="Arial"/>
          <w:color w:val="000000" w:themeColor="text1"/>
          <w:spacing w:val="0"/>
          <w:lang w:eastAsia="ja-JP"/>
        </w:rPr>
        <w:t xml:space="preserve">, B. &amp; </w:t>
      </w:r>
      <w:proofErr w:type="spellStart"/>
      <w:r w:rsidRPr="00601741">
        <w:rPr>
          <w:rFonts w:ascii="Arial" w:eastAsia="MS Mincho" w:hAnsi="Arial" w:cs="Arial"/>
          <w:color w:val="000000" w:themeColor="text1"/>
          <w:spacing w:val="0"/>
          <w:lang w:eastAsia="ja-JP"/>
        </w:rPr>
        <w:t>Torgerson</w:t>
      </w:r>
      <w:proofErr w:type="spellEnd"/>
      <w:r w:rsidRPr="00601741">
        <w:rPr>
          <w:rFonts w:ascii="Arial" w:eastAsia="MS Mincho" w:hAnsi="Arial" w:cs="Arial"/>
          <w:color w:val="000000" w:themeColor="text1"/>
          <w:spacing w:val="0"/>
          <w:lang w:eastAsia="ja-JP"/>
        </w:rPr>
        <w:t xml:space="preserve">, D. 2012, ‘Test, Learn, Adapt: Developing Public Policy with Randomised Controlled Trials’, </w:t>
      </w:r>
      <w:r w:rsidRPr="00601741">
        <w:rPr>
          <w:rFonts w:ascii="Arial" w:eastAsia="MS Mincho" w:hAnsi="Arial" w:cs="Arial"/>
          <w:i/>
          <w:iCs/>
          <w:color w:val="000000" w:themeColor="text1"/>
          <w:spacing w:val="0"/>
          <w:lang w:eastAsia="ja-JP"/>
        </w:rPr>
        <w:t>UK Cabinet Office</w:t>
      </w:r>
      <w:r w:rsidRPr="00601741">
        <w:rPr>
          <w:rFonts w:ascii="Arial" w:eastAsia="MS Mincho" w:hAnsi="Arial" w:cs="Arial"/>
          <w:color w:val="000000" w:themeColor="text1"/>
          <w:spacing w:val="0"/>
          <w:lang w:eastAsia="ja-JP"/>
        </w:rPr>
        <w:t>, pp. 15-16, viewed 23 May 2016, &lt;</w:t>
      </w:r>
      <w:hyperlink r:id="rId37" w:history="1">
        <w:r w:rsidRPr="00601741">
          <w:rPr>
            <w:rFonts w:ascii="Arial" w:eastAsia="MS Mincho" w:hAnsi="Arial" w:cs="Arial"/>
            <w:color w:val="000000" w:themeColor="text1"/>
            <w:spacing w:val="0"/>
            <w:u w:val="single"/>
            <w:lang w:eastAsia="ja-JP"/>
          </w:rPr>
          <w:t>https://www.gov.uk/government/uploads/system/uploads/attachment_data/file/62529/TLA-1906126.pdf</w:t>
        </w:r>
      </w:hyperlink>
      <w:r w:rsidRPr="00601741">
        <w:rPr>
          <w:rFonts w:ascii="Arial" w:eastAsia="MS Mincho" w:hAnsi="Arial" w:cs="Arial"/>
          <w:color w:val="000000" w:themeColor="text1"/>
          <w:spacing w:val="0"/>
          <w:lang w:eastAsia="ja-JP"/>
        </w:rPr>
        <w:t xml:space="preserve">&gt;; </w:t>
      </w:r>
      <w:r w:rsidRPr="00601741">
        <w:rPr>
          <w:rFonts w:ascii="Arial" w:eastAsia="MS Mincho" w:hAnsi="Arial" w:cs="Arial"/>
          <w:color w:val="000000" w:themeColor="text1"/>
          <w:spacing w:val="0"/>
          <w:shd w:val="clear" w:color="auto" w:fill="FFFFFF"/>
          <w:lang w:eastAsia="ja-JP"/>
        </w:rPr>
        <w:t xml:space="preserve">Rosen, L. Manor, O. Engelhard, D. &amp; </w:t>
      </w:r>
      <w:proofErr w:type="spellStart"/>
      <w:r w:rsidRPr="00601741">
        <w:rPr>
          <w:rFonts w:ascii="Arial" w:eastAsia="MS Mincho" w:hAnsi="Arial" w:cs="Arial"/>
          <w:color w:val="000000" w:themeColor="text1"/>
          <w:spacing w:val="0"/>
          <w:shd w:val="clear" w:color="auto" w:fill="FFFFFF"/>
          <w:lang w:eastAsia="ja-JP"/>
        </w:rPr>
        <w:t>Zucker</w:t>
      </w:r>
      <w:proofErr w:type="spellEnd"/>
      <w:r w:rsidRPr="00601741">
        <w:rPr>
          <w:rFonts w:ascii="Arial" w:eastAsia="MS Mincho" w:hAnsi="Arial" w:cs="Arial"/>
          <w:color w:val="000000" w:themeColor="text1"/>
          <w:spacing w:val="0"/>
          <w:shd w:val="clear" w:color="auto" w:fill="FFFFFF"/>
          <w:lang w:eastAsia="ja-JP"/>
        </w:rPr>
        <w:t xml:space="preserve">, D. 2006, ‘In </w:t>
      </w:r>
      <w:proofErr w:type="spellStart"/>
      <w:r w:rsidRPr="00601741">
        <w:rPr>
          <w:rFonts w:ascii="Arial" w:eastAsia="MS Mincho" w:hAnsi="Arial" w:cs="Arial"/>
          <w:color w:val="000000" w:themeColor="text1"/>
          <w:spacing w:val="0"/>
          <w:shd w:val="clear" w:color="auto" w:fill="FFFFFF"/>
          <w:lang w:eastAsia="ja-JP"/>
        </w:rPr>
        <w:t>Defense</w:t>
      </w:r>
      <w:proofErr w:type="spellEnd"/>
      <w:r w:rsidRPr="00601741">
        <w:rPr>
          <w:rFonts w:ascii="Arial" w:eastAsia="MS Mincho" w:hAnsi="Arial" w:cs="Arial"/>
          <w:color w:val="000000" w:themeColor="text1"/>
          <w:spacing w:val="0"/>
          <w:shd w:val="clear" w:color="auto" w:fill="FFFFFF"/>
          <w:lang w:eastAsia="ja-JP"/>
        </w:rPr>
        <w:t xml:space="preserve"> of the Randomized Controlled Trial for Health Promotion Research’, </w:t>
      </w:r>
      <w:r w:rsidRPr="00601741">
        <w:rPr>
          <w:rFonts w:ascii="Arial" w:eastAsia="MS Mincho" w:hAnsi="Arial" w:cs="Arial"/>
          <w:i/>
          <w:iCs/>
          <w:color w:val="000000" w:themeColor="text1"/>
          <w:spacing w:val="0"/>
          <w:lang w:eastAsia="ja-JP"/>
        </w:rPr>
        <w:t>American Journal of Public Health</w:t>
      </w:r>
      <w:r w:rsidRPr="00601741">
        <w:rPr>
          <w:rFonts w:ascii="Arial" w:eastAsia="MS Mincho" w:hAnsi="Arial" w:cs="Arial"/>
          <w:color w:val="000000" w:themeColor="text1"/>
          <w:spacing w:val="0"/>
          <w:shd w:val="clear" w:color="auto" w:fill="FFFFFF"/>
          <w:lang w:eastAsia="ja-JP"/>
        </w:rPr>
        <w:t xml:space="preserve">, volume </w:t>
      </w:r>
      <w:r w:rsidRPr="00601741">
        <w:rPr>
          <w:rFonts w:ascii="Arial" w:eastAsia="MS Mincho" w:hAnsi="Arial" w:cs="Arial"/>
          <w:i/>
          <w:iCs/>
          <w:color w:val="000000" w:themeColor="text1"/>
          <w:spacing w:val="0"/>
          <w:lang w:eastAsia="ja-JP"/>
        </w:rPr>
        <w:t xml:space="preserve">96, </w:t>
      </w:r>
      <w:proofErr w:type="spellStart"/>
      <w:r w:rsidRPr="00601741">
        <w:rPr>
          <w:rFonts w:ascii="Arial" w:eastAsia="MS Mincho" w:hAnsi="Arial" w:cs="Arial"/>
          <w:i/>
          <w:iCs/>
          <w:color w:val="000000" w:themeColor="text1"/>
          <w:spacing w:val="0"/>
          <w:lang w:eastAsia="ja-JP"/>
        </w:rPr>
        <w:t>no.</w:t>
      </w:r>
      <w:r w:rsidRPr="00601741">
        <w:rPr>
          <w:rFonts w:ascii="Arial" w:eastAsia="MS Mincho" w:hAnsi="Arial" w:cs="Arial"/>
          <w:color w:val="000000" w:themeColor="text1"/>
          <w:spacing w:val="0"/>
          <w:shd w:val="clear" w:color="auto" w:fill="FFFFFF"/>
          <w:lang w:eastAsia="ja-JP"/>
        </w:rPr>
        <w:t>7</w:t>
      </w:r>
      <w:proofErr w:type="spellEnd"/>
      <w:r w:rsidRPr="00601741">
        <w:rPr>
          <w:rFonts w:ascii="Arial" w:eastAsia="MS Mincho" w:hAnsi="Arial" w:cs="Arial"/>
          <w:color w:val="000000" w:themeColor="text1"/>
          <w:spacing w:val="0"/>
          <w:shd w:val="clear" w:color="auto" w:fill="FFFFFF"/>
          <w:lang w:eastAsia="ja-JP"/>
        </w:rPr>
        <w:t xml:space="preserve">, </w:t>
      </w:r>
      <w:proofErr w:type="spellStart"/>
      <w:r w:rsidRPr="00601741">
        <w:rPr>
          <w:rFonts w:ascii="Arial" w:eastAsia="MS Mincho" w:hAnsi="Arial" w:cs="Arial"/>
          <w:color w:val="000000" w:themeColor="text1"/>
          <w:spacing w:val="0"/>
          <w:shd w:val="clear" w:color="auto" w:fill="FFFFFF"/>
          <w:lang w:eastAsia="ja-JP"/>
        </w:rPr>
        <w:t>pp.1181</w:t>
      </w:r>
      <w:proofErr w:type="spellEnd"/>
      <w:r w:rsidRPr="00601741">
        <w:rPr>
          <w:rFonts w:ascii="Arial" w:eastAsia="MS Mincho" w:hAnsi="Arial" w:cs="Arial"/>
          <w:color w:val="000000" w:themeColor="text1"/>
          <w:spacing w:val="0"/>
          <w:shd w:val="clear" w:color="auto" w:fill="FFFFFF"/>
          <w:lang w:eastAsia="ja-JP"/>
        </w:rPr>
        <w:t>–1186, viewed 23 May 2016, &lt;</w:t>
      </w:r>
      <w:r w:rsidRPr="00601741">
        <w:rPr>
          <w:rFonts w:ascii="Arial" w:eastAsia="MS Mincho" w:hAnsi="Arial" w:cs="Arial"/>
          <w:color w:val="000000" w:themeColor="text1"/>
          <w:spacing w:val="0"/>
          <w:lang w:eastAsia="ja-JP"/>
        </w:rPr>
        <w:t>http://</w:t>
      </w:r>
      <w:proofErr w:type="spellStart"/>
      <w:r w:rsidRPr="00601741">
        <w:rPr>
          <w:rFonts w:ascii="Arial" w:eastAsia="MS Mincho" w:hAnsi="Arial" w:cs="Arial"/>
          <w:color w:val="000000" w:themeColor="text1"/>
          <w:spacing w:val="0"/>
          <w:lang w:eastAsia="ja-JP"/>
        </w:rPr>
        <w:t>www.ncbi.nlm.nih.gov</w:t>
      </w:r>
      <w:proofErr w:type="spellEnd"/>
      <w:r w:rsidRPr="00601741">
        <w:rPr>
          <w:rFonts w:ascii="Arial" w:eastAsia="MS Mincho" w:hAnsi="Arial" w:cs="Arial"/>
          <w:color w:val="000000" w:themeColor="text1"/>
          <w:spacing w:val="0"/>
          <w:lang w:eastAsia="ja-JP"/>
        </w:rPr>
        <w:t>/</w:t>
      </w:r>
      <w:proofErr w:type="spellStart"/>
      <w:r w:rsidRPr="00601741">
        <w:rPr>
          <w:rFonts w:ascii="Arial" w:eastAsia="MS Mincho" w:hAnsi="Arial" w:cs="Arial"/>
          <w:color w:val="000000" w:themeColor="text1"/>
          <w:spacing w:val="0"/>
          <w:lang w:eastAsia="ja-JP"/>
        </w:rPr>
        <w:t>pmc</w:t>
      </w:r>
      <w:proofErr w:type="spellEnd"/>
      <w:r w:rsidRPr="00601741">
        <w:rPr>
          <w:rFonts w:ascii="Arial" w:eastAsia="MS Mincho" w:hAnsi="Arial" w:cs="Arial"/>
          <w:color w:val="000000" w:themeColor="text1"/>
          <w:spacing w:val="0"/>
          <w:lang w:eastAsia="ja-JP"/>
        </w:rPr>
        <w:t>/articles/</w:t>
      </w:r>
      <w:proofErr w:type="spellStart"/>
      <w:r w:rsidRPr="00601741">
        <w:rPr>
          <w:rFonts w:ascii="Arial" w:eastAsia="MS Mincho" w:hAnsi="Arial" w:cs="Arial"/>
          <w:color w:val="000000" w:themeColor="text1"/>
          <w:spacing w:val="0"/>
          <w:lang w:eastAsia="ja-JP"/>
        </w:rPr>
        <w:t>PMC1483860</w:t>
      </w:r>
      <w:proofErr w:type="spellEnd"/>
      <w:r w:rsidRPr="00601741">
        <w:rPr>
          <w:rFonts w:ascii="Arial" w:eastAsia="MS Mincho" w:hAnsi="Arial" w:cs="Arial"/>
          <w:color w:val="000000" w:themeColor="text1"/>
          <w:spacing w:val="0"/>
          <w:lang w:eastAsia="ja-JP"/>
        </w:rPr>
        <w:t>/&gt;</w:t>
      </w:r>
    </w:p>
  </w:footnote>
  <w:footnote w:id="78">
    <w:p w14:paraId="516C1B3B" w14:textId="37A72747" w:rsidR="00051F36" w:rsidRDefault="00051F3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Coalition for Evidence-Based Policy 2013, ‘Demonstrating how low-cost randomised control trials can drive effective social spending’,</w:t>
      </w:r>
      <w:r w:rsidRPr="00601741">
        <w:rPr>
          <w:rFonts w:ascii="Arial" w:hAnsi="Arial" w:cs="Arial"/>
          <w:i/>
          <w:iCs/>
          <w:color w:val="000000" w:themeColor="text1"/>
        </w:rPr>
        <w:t xml:space="preserve"> </w:t>
      </w:r>
      <w:r w:rsidRPr="00601741">
        <w:rPr>
          <w:rFonts w:ascii="Arial" w:hAnsi="Arial" w:cs="Arial"/>
          <w:color w:val="000000" w:themeColor="text1"/>
        </w:rPr>
        <w:t xml:space="preserve">viewed 23 May 2016, </w:t>
      </w:r>
      <w:r w:rsidRPr="00601741">
        <w:rPr>
          <w:rFonts w:ascii="Arial" w:eastAsia="MS Mincho" w:hAnsi="Arial" w:cs="Arial"/>
          <w:color w:val="000000" w:themeColor="text1"/>
          <w:spacing w:val="0"/>
          <w:lang w:eastAsia="ja-JP"/>
        </w:rPr>
        <w:t>&lt;</w:t>
      </w:r>
      <w:hyperlink r:id="rId38" w:history="1">
        <w:r w:rsidRPr="00601741">
          <w:rPr>
            <w:rFonts w:ascii="Arial" w:eastAsia="MS Mincho" w:hAnsi="Arial" w:cs="Arial"/>
            <w:color w:val="000000" w:themeColor="text1"/>
            <w:spacing w:val="0"/>
            <w:u w:val="single"/>
            <w:lang w:eastAsia="ja-JP"/>
          </w:rPr>
          <w:t>http://coalition4evidence.org/wp-content/uploads/2014/02/Low-cost-RCT-competition-December-2013.pdf</w:t>
        </w:r>
      </w:hyperlink>
      <w:r w:rsidRPr="00601741">
        <w:rPr>
          <w:rFonts w:ascii="Arial" w:eastAsia="MS Mincho" w:hAnsi="Arial" w:cs="Arial"/>
          <w:color w:val="000000" w:themeColor="text1"/>
          <w:spacing w:val="0"/>
          <w:lang w:eastAsia="ja-JP"/>
        </w:rPr>
        <w:t>&gt;</w:t>
      </w:r>
      <w:r w:rsidRPr="00601741">
        <w:rPr>
          <w:rFonts w:ascii="Arial" w:eastAsia="MS Mincho" w:hAnsi="Arial" w:cs="Arial"/>
          <w:color w:val="000000" w:themeColor="text1"/>
          <w:spacing w:val="0"/>
          <w:sz w:val="20"/>
          <w:szCs w:val="20"/>
          <w:lang w:eastAsia="ja-JP"/>
        </w:rPr>
        <w:t xml:space="preserve">; </w:t>
      </w:r>
      <w:r w:rsidRPr="00601741">
        <w:rPr>
          <w:rFonts w:ascii="Arial" w:eastAsia="MS Mincho" w:hAnsi="Arial" w:cs="Arial"/>
          <w:color w:val="000000" w:themeColor="text1"/>
          <w:spacing w:val="0"/>
          <w:lang w:eastAsia="ja-JP"/>
        </w:rPr>
        <w:t xml:space="preserve"> Haynes, L. Service, O. </w:t>
      </w:r>
      <w:proofErr w:type="spellStart"/>
      <w:r w:rsidRPr="00601741">
        <w:rPr>
          <w:rFonts w:ascii="Arial" w:eastAsia="MS Mincho" w:hAnsi="Arial" w:cs="Arial"/>
          <w:color w:val="000000" w:themeColor="text1"/>
          <w:spacing w:val="0"/>
          <w:lang w:eastAsia="ja-JP"/>
        </w:rPr>
        <w:t>Goldacre</w:t>
      </w:r>
      <w:proofErr w:type="spellEnd"/>
      <w:r w:rsidRPr="00601741">
        <w:rPr>
          <w:rFonts w:ascii="Arial" w:eastAsia="MS Mincho" w:hAnsi="Arial" w:cs="Arial"/>
          <w:color w:val="000000" w:themeColor="text1"/>
          <w:spacing w:val="0"/>
          <w:lang w:eastAsia="ja-JP"/>
        </w:rPr>
        <w:t xml:space="preserve">, B. &amp; </w:t>
      </w:r>
      <w:proofErr w:type="spellStart"/>
      <w:r w:rsidRPr="00601741">
        <w:rPr>
          <w:rFonts w:ascii="Arial" w:eastAsia="MS Mincho" w:hAnsi="Arial" w:cs="Arial"/>
          <w:color w:val="000000" w:themeColor="text1"/>
          <w:spacing w:val="0"/>
          <w:lang w:eastAsia="ja-JP"/>
        </w:rPr>
        <w:t>Torgerson</w:t>
      </w:r>
      <w:proofErr w:type="spellEnd"/>
      <w:r w:rsidRPr="00601741">
        <w:rPr>
          <w:rFonts w:ascii="Arial" w:eastAsia="MS Mincho" w:hAnsi="Arial" w:cs="Arial"/>
          <w:color w:val="000000" w:themeColor="text1"/>
          <w:spacing w:val="0"/>
          <w:lang w:eastAsia="ja-JP"/>
        </w:rPr>
        <w:t xml:space="preserve">, D. 2012, ‘Test, Learn, Adapt: Developing Public Policy with Randomised Controlled Trials’, </w:t>
      </w:r>
      <w:r w:rsidRPr="00601741">
        <w:rPr>
          <w:rFonts w:ascii="Arial" w:eastAsia="MS Mincho" w:hAnsi="Arial" w:cs="Arial"/>
          <w:i/>
          <w:iCs/>
          <w:color w:val="000000" w:themeColor="text1"/>
          <w:spacing w:val="0"/>
          <w:lang w:eastAsia="ja-JP"/>
        </w:rPr>
        <w:t>UK Cabinet Office</w:t>
      </w:r>
      <w:r w:rsidRPr="00601741">
        <w:rPr>
          <w:rFonts w:ascii="Arial" w:eastAsia="MS Mincho" w:hAnsi="Arial" w:cs="Arial"/>
          <w:color w:val="000000" w:themeColor="text1"/>
          <w:spacing w:val="0"/>
          <w:lang w:eastAsia="ja-JP"/>
        </w:rPr>
        <w:t>, pp. 15-16, viewed 23 May 2016, &lt;</w:t>
      </w:r>
      <w:hyperlink r:id="rId39" w:history="1">
        <w:r w:rsidRPr="00601741">
          <w:rPr>
            <w:rFonts w:ascii="Arial" w:eastAsia="MS Mincho" w:hAnsi="Arial" w:cs="Arial"/>
            <w:color w:val="000000" w:themeColor="text1"/>
            <w:spacing w:val="0"/>
            <w:u w:val="single"/>
            <w:lang w:eastAsia="ja-JP"/>
          </w:rPr>
          <w:t>https://www.gov.uk/government/uploads/system/uploads/attachment_data/file/62529/TLA-1906126.pdf</w:t>
        </w:r>
      </w:hyperlink>
      <w:r w:rsidRPr="00601741">
        <w:rPr>
          <w:rFonts w:ascii="Arial" w:eastAsia="MS Mincho" w:hAnsi="Arial" w:cs="Arial"/>
          <w:color w:val="000000" w:themeColor="text1"/>
          <w:spacing w:val="0"/>
          <w:lang w:eastAsia="ja-JP"/>
        </w:rPr>
        <w:t>&gt;</w:t>
      </w:r>
    </w:p>
  </w:footnote>
  <w:footnote w:id="79">
    <w:p w14:paraId="23C26F53" w14:textId="47227CE0" w:rsidR="00051F36" w:rsidRPr="004036F3" w:rsidRDefault="00051F36">
      <w:pPr>
        <w:pStyle w:val="FootnoteText"/>
      </w:pPr>
      <w:r w:rsidRPr="004036F3">
        <w:rPr>
          <w:rStyle w:val="FootnoteReference"/>
        </w:rPr>
        <w:footnoteRef/>
      </w:r>
      <w:r w:rsidRPr="004036F3">
        <w:t xml:space="preserve"> </w:t>
      </w:r>
      <w:r w:rsidRPr="004036F3">
        <w:rPr>
          <w:rFonts w:ascii="Arial" w:hAnsi="Arial" w:cs="Arial"/>
          <w:color w:val="000000"/>
        </w:rPr>
        <w:t xml:space="preserve">Ibid., </w:t>
      </w:r>
      <w:proofErr w:type="spellStart"/>
      <w:r w:rsidRPr="004036F3">
        <w:rPr>
          <w:rFonts w:ascii="Arial" w:hAnsi="Arial" w:cs="Arial"/>
          <w:color w:val="000000"/>
        </w:rPr>
        <w:t>pp.15</w:t>
      </w:r>
      <w:proofErr w:type="spellEnd"/>
      <w:r w:rsidRPr="004036F3">
        <w:rPr>
          <w:rFonts w:ascii="Arial" w:hAnsi="Arial" w:cs="Arial"/>
          <w:color w:val="000000"/>
        </w:rPr>
        <w:t>-16.</w:t>
      </w:r>
    </w:p>
  </w:footnote>
  <w:footnote w:id="80">
    <w:p w14:paraId="3184B563" w14:textId="44884120" w:rsidR="00051F36" w:rsidRPr="004036F3" w:rsidRDefault="00051F36">
      <w:pPr>
        <w:pStyle w:val="FootnoteText"/>
      </w:pPr>
      <w:r w:rsidRPr="004036F3">
        <w:rPr>
          <w:rStyle w:val="FootnoteReference"/>
        </w:rPr>
        <w:footnoteRef/>
      </w:r>
      <w:r w:rsidRPr="004036F3">
        <w:t xml:space="preserve"> </w:t>
      </w:r>
      <w:r w:rsidRPr="004036F3">
        <w:rPr>
          <w:rFonts w:ascii="Arial" w:eastAsia="MS Mincho" w:hAnsi="Arial" w:cs="Arial"/>
          <w:color w:val="000000"/>
          <w:spacing w:val="0"/>
          <w:lang w:eastAsia="ja-JP"/>
        </w:rPr>
        <w:t>Coalition for Evidence-Based Policy 2013, ‘Demonstrating how low-cost randomised control trials can drive effective social spending’,</w:t>
      </w:r>
      <w:r w:rsidRPr="004036F3">
        <w:rPr>
          <w:rFonts w:ascii="Arial" w:eastAsia="MS Mincho" w:hAnsi="Arial" w:cs="Arial"/>
          <w:i/>
          <w:iCs/>
          <w:color w:val="000000"/>
          <w:spacing w:val="0"/>
          <w:lang w:eastAsia="ja-JP"/>
        </w:rPr>
        <w:t xml:space="preserve"> </w:t>
      </w:r>
      <w:r w:rsidRPr="004036F3">
        <w:rPr>
          <w:rFonts w:ascii="Arial" w:eastAsia="MS Mincho" w:hAnsi="Arial" w:cs="Arial"/>
          <w:color w:val="000000"/>
          <w:spacing w:val="0"/>
          <w:lang w:eastAsia="ja-JP"/>
        </w:rPr>
        <w:t>viewed 23 May 2016, &lt;</w:t>
      </w:r>
      <w:hyperlink r:id="rId40" w:history="1">
        <w:r w:rsidRPr="004036F3">
          <w:rPr>
            <w:rFonts w:ascii="Arial" w:eastAsia="MS Mincho" w:hAnsi="Arial" w:cs="Arial"/>
            <w:color w:val="1155CC"/>
            <w:spacing w:val="0"/>
            <w:u w:val="single"/>
            <w:lang w:eastAsia="ja-JP"/>
          </w:rPr>
          <w:t>http://coalition4evidence.org/wp-content/uploads/2014/02/Low-cost-RCT-competition-December-2013.pdf</w:t>
        </w:r>
      </w:hyperlink>
      <w:r w:rsidRPr="004036F3">
        <w:rPr>
          <w:rFonts w:ascii="Arial" w:eastAsia="MS Mincho" w:hAnsi="Arial" w:cs="Arial"/>
          <w:color w:val="000000"/>
          <w:spacing w:val="0"/>
          <w:lang w:eastAsia="ja-JP"/>
        </w:rPr>
        <w:t>&gt;</w:t>
      </w:r>
    </w:p>
  </w:footnote>
  <w:footnote w:id="81">
    <w:p w14:paraId="52579557" w14:textId="59F4AAB0" w:rsidR="00051F36" w:rsidRDefault="00051F36">
      <w:pPr>
        <w:pStyle w:val="FootnoteText"/>
      </w:pPr>
      <w:r w:rsidRPr="004036F3">
        <w:rPr>
          <w:rStyle w:val="FootnoteReference"/>
        </w:rPr>
        <w:footnoteRef/>
      </w:r>
      <w:r w:rsidRPr="004036F3">
        <w:t xml:space="preserve"> </w:t>
      </w:r>
      <w:r w:rsidRPr="004036F3">
        <w:rPr>
          <w:rFonts w:ascii="Arial" w:eastAsia="MS Mincho" w:hAnsi="Arial" w:cs="Arial"/>
          <w:color w:val="000000"/>
          <w:spacing w:val="0"/>
          <w:lang w:eastAsia="ja-JP"/>
        </w:rPr>
        <w:t>Fryer, R.G. 2011, ‘Teacher Incentives and Student Achievement: Evidence from New York City Public Schools</w:t>
      </w:r>
      <w:r w:rsidRPr="004036F3">
        <w:rPr>
          <w:rFonts w:ascii="Arial" w:eastAsia="MS Mincho" w:hAnsi="Arial" w:cs="Arial"/>
          <w:i/>
          <w:iCs/>
          <w:color w:val="000000"/>
          <w:spacing w:val="0"/>
          <w:lang w:eastAsia="ja-JP"/>
        </w:rPr>
        <w:t>’, National Bureau of Economic Research Working Paper 16850</w:t>
      </w:r>
      <w:r w:rsidRPr="004036F3">
        <w:rPr>
          <w:rFonts w:ascii="Arial" w:eastAsia="MS Mincho" w:hAnsi="Arial" w:cs="Arial"/>
          <w:color w:val="000000"/>
          <w:spacing w:val="0"/>
          <w:lang w:eastAsia="ja-JP"/>
        </w:rPr>
        <w:t xml:space="preserve">, </w:t>
      </w:r>
      <w:proofErr w:type="spellStart"/>
      <w:r w:rsidRPr="004036F3">
        <w:rPr>
          <w:rFonts w:ascii="Arial" w:eastAsia="MS Mincho" w:hAnsi="Arial" w:cs="Arial"/>
          <w:color w:val="000000"/>
          <w:spacing w:val="0"/>
          <w:lang w:eastAsia="ja-JP"/>
        </w:rPr>
        <w:t>pp.5</w:t>
      </w:r>
      <w:proofErr w:type="spellEnd"/>
      <w:r w:rsidRPr="004036F3">
        <w:rPr>
          <w:rFonts w:ascii="Arial" w:eastAsia="MS Mincho" w:hAnsi="Arial" w:cs="Arial"/>
          <w:color w:val="000000"/>
          <w:spacing w:val="0"/>
          <w:lang w:eastAsia="ja-JP"/>
        </w:rPr>
        <w:t xml:space="preserve">-6, viewed 23 May 2016, </w:t>
      </w:r>
      <w:r w:rsidRPr="00601741">
        <w:rPr>
          <w:rFonts w:ascii="Arial" w:eastAsia="MS Mincho" w:hAnsi="Arial" w:cs="Arial"/>
          <w:color w:val="000000"/>
          <w:spacing w:val="0"/>
          <w:lang w:eastAsia="ja-JP"/>
        </w:rPr>
        <w:t>&lt;</w:t>
      </w:r>
      <w:hyperlink r:id="rId41" w:history="1">
        <w:r w:rsidRPr="00601741">
          <w:rPr>
            <w:rFonts w:ascii="Arial" w:eastAsia="MS Mincho" w:hAnsi="Arial" w:cs="Arial"/>
            <w:color w:val="1155CC"/>
            <w:spacing w:val="0"/>
            <w:u w:val="single"/>
            <w:lang w:eastAsia="ja-JP"/>
          </w:rPr>
          <w:t>http://</w:t>
        </w:r>
        <w:proofErr w:type="spellStart"/>
        <w:r w:rsidRPr="00601741">
          <w:rPr>
            <w:rFonts w:ascii="Arial" w:eastAsia="MS Mincho" w:hAnsi="Arial" w:cs="Arial"/>
            <w:color w:val="1155CC"/>
            <w:spacing w:val="0"/>
            <w:u w:val="single"/>
            <w:lang w:eastAsia="ja-JP"/>
          </w:rPr>
          <w:t>www.nber.org</w:t>
        </w:r>
        <w:proofErr w:type="spellEnd"/>
        <w:r w:rsidRPr="00601741">
          <w:rPr>
            <w:rFonts w:ascii="Arial" w:eastAsia="MS Mincho" w:hAnsi="Arial" w:cs="Arial"/>
            <w:color w:val="1155CC"/>
            <w:spacing w:val="0"/>
            <w:u w:val="single"/>
            <w:lang w:eastAsia="ja-JP"/>
          </w:rPr>
          <w:t>/papers/</w:t>
        </w:r>
        <w:proofErr w:type="spellStart"/>
        <w:r w:rsidRPr="00601741">
          <w:rPr>
            <w:rFonts w:ascii="Arial" w:eastAsia="MS Mincho" w:hAnsi="Arial" w:cs="Arial"/>
            <w:color w:val="1155CC"/>
            <w:spacing w:val="0"/>
            <w:u w:val="single"/>
            <w:lang w:eastAsia="ja-JP"/>
          </w:rPr>
          <w:t>w16850.pdf</w:t>
        </w:r>
        <w:proofErr w:type="spellEnd"/>
      </w:hyperlink>
      <w:r w:rsidRPr="00601741">
        <w:rPr>
          <w:rFonts w:ascii="Arial" w:eastAsia="MS Mincho" w:hAnsi="Arial" w:cs="Arial"/>
          <w:color w:val="000000"/>
          <w:spacing w:val="0"/>
          <w:lang w:eastAsia="ja-JP"/>
        </w:rPr>
        <w:t xml:space="preserve">&gt;; </w:t>
      </w:r>
      <w:r w:rsidRPr="004036F3">
        <w:rPr>
          <w:rFonts w:ascii="Arial" w:eastAsia="MS Mincho" w:hAnsi="Arial" w:cs="Arial"/>
          <w:color w:val="000000"/>
          <w:spacing w:val="0"/>
          <w:lang w:eastAsia="ja-JP"/>
        </w:rPr>
        <w:t>Coalition for Evidence-Based Policy 2013, ‘Demonstrating how low-cost randomised control trials can drive effective social spending’,</w:t>
      </w:r>
      <w:r w:rsidRPr="004036F3">
        <w:rPr>
          <w:rFonts w:ascii="Arial" w:eastAsia="MS Mincho" w:hAnsi="Arial" w:cs="Arial"/>
          <w:i/>
          <w:iCs/>
          <w:color w:val="000000"/>
          <w:spacing w:val="0"/>
          <w:lang w:eastAsia="ja-JP"/>
        </w:rPr>
        <w:t xml:space="preserve"> </w:t>
      </w:r>
      <w:r w:rsidRPr="004036F3">
        <w:rPr>
          <w:rFonts w:ascii="Arial" w:eastAsia="MS Mincho" w:hAnsi="Arial" w:cs="Arial"/>
          <w:color w:val="000000"/>
          <w:spacing w:val="0"/>
          <w:lang w:eastAsia="ja-JP"/>
        </w:rPr>
        <w:t>viewed 23 May 2016, &lt;</w:t>
      </w:r>
      <w:hyperlink r:id="rId42" w:history="1">
        <w:r w:rsidRPr="004036F3">
          <w:rPr>
            <w:rFonts w:ascii="Arial" w:eastAsia="MS Mincho" w:hAnsi="Arial" w:cs="Arial"/>
            <w:color w:val="1155CC"/>
            <w:spacing w:val="0"/>
            <w:u w:val="single"/>
            <w:lang w:eastAsia="ja-JP"/>
          </w:rPr>
          <w:t>http://coalition4evidence.org/wp-content/uploads/2014/02/Low-cost-RCT-competition-December-2013.pdf</w:t>
        </w:r>
      </w:hyperlink>
      <w:r w:rsidRPr="004036F3">
        <w:rPr>
          <w:rFonts w:ascii="Arial" w:eastAsia="MS Mincho" w:hAnsi="Arial" w:cs="Arial"/>
          <w:color w:val="000000"/>
          <w:spacing w:val="0"/>
          <w:lang w:eastAsia="ja-JP"/>
        </w:rPr>
        <w:t>&gt;</w:t>
      </w:r>
    </w:p>
  </w:footnote>
  <w:footnote w:id="82">
    <w:p w14:paraId="4F4635C1" w14:textId="015F2FBE" w:rsidR="00051F36" w:rsidRPr="00601741" w:rsidRDefault="00051F36" w:rsidP="00601741">
      <w:pPr>
        <w:pStyle w:val="NormalWeb"/>
        <w:spacing w:after="0"/>
        <w:rPr>
          <w:color w:val="000000" w:themeColor="text1"/>
        </w:rPr>
      </w:pPr>
      <w:r w:rsidRPr="00601741">
        <w:rPr>
          <w:rStyle w:val="FootnoteReference"/>
          <w:color w:val="000000" w:themeColor="text1"/>
          <w:sz w:val="16"/>
          <w:szCs w:val="16"/>
        </w:rPr>
        <w:footnoteRef/>
      </w:r>
      <w:r w:rsidRPr="00601741">
        <w:rPr>
          <w:color w:val="000000" w:themeColor="text1"/>
          <w:sz w:val="16"/>
          <w:szCs w:val="16"/>
        </w:rPr>
        <w:t xml:space="preserve"> </w:t>
      </w:r>
      <w:r w:rsidRPr="00601741">
        <w:rPr>
          <w:rFonts w:ascii="Arial" w:eastAsia="Times New Roman" w:hAnsi="Arial" w:cs="Arial"/>
          <w:color w:val="000000" w:themeColor="text1"/>
          <w:sz w:val="16"/>
          <w:szCs w:val="16"/>
          <w:lang w:eastAsia="en-AU"/>
        </w:rPr>
        <w:t xml:space="preserve">Haynes, L. Service, O. </w:t>
      </w:r>
      <w:proofErr w:type="spellStart"/>
      <w:r w:rsidRPr="00601741">
        <w:rPr>
          <w:rFonts w:ascii="Arial" w:eastAsia="Times New Roman" w:hAnsi="Arial" w:cs="Arial"/>
          <w:color w:val="000000" w:themeColor="text1"/>
          <w:sz w:val="16"/>
          <w:szCs w:val="16"/>
          <w:lang w:eastAsia="en-AU"/>
        </w:rPr>
        <w:t>Goldacre</w:t>
      </w:r>
      <w:proofErr w:type="spellEnd"/>
      <w:r w:rsidRPr="00601741">
        <w:rPr>
          <w:rFonts w:ascii="Arial" w:eastAsia="Times New Roman" w:hAnsi="Arial" w:cs="Arial"/>
          <w:color w:val="000000" w:themeColor="text1"/>
          <w:sz w:val="16"/>
          <w:szCs w:val="16"/>
          <w:lang w:eastAsia="en-AU"/>
        </w:rPr>
        <w:t xml:space="preserve">, B. &amp; </w:t>
      </w:r>
      <w:proofErr w:type="spellStart"/>
      <w:r w:rsidRPr="00601741">
        <w:rPr>
          <w:rFonts w:ascii="Arial" w:eastAsia="Times New Roman" w:hAnsi="Arial" w:cs="Arial"/>
          <w:color w:val="000000" w:themeColor="text1"/>
          <w:sz w:val="16"/>
          <w:szCs w:val="16"/>
          <w:lang w:eastAsia="en-AU"/>
        </w:rPr>
        <w:t>Torgerson</w:t>
      </w:r>
      <w:proofErr w:type="spellEnd"/>
      <w:r w:rsidRPr="00601741">
        <w:rPr>
          <w:rFonts w:ascii="Arial" w:eastAsia="Times New Roman" w:hAnsi="Arial" w:cs="Arial"/>
          <w:color w:val="000000" w:themeColor="text1"/>
          <w:sz w:val="16"/>
          <w:szCs w:val="16"/>
          <w:lang w:eastAsia="en-AU"/>
        </w:rPr>
        <w:t xml:space="preserve">, D. 2012, ‘Test, Learn, Adapt: Developing Public Policy with Randomised Controlled Trials’, </w:t>
      </w:r>
      <w:r w:rsidRPr="00601741">
        <w:rPr>
          <w:rFonts w:ascii="Arial" w:eastAsia="Times New Roman" w:hAnsi="Arial" w:cs="Arial"/>
          <w:i/>
          <w:iCs/>
          <w:color w:val="000000" w:themeColor="text1"/>
          <w:sz w:val="16"/>
          <w:szCs w:val="16"/>
          <w:lang w:eastAsia="en-AU"/>
        </w:rPr>
        <w:t>UK Cabinet Office</w:t>
      </w:r>
      <w:r w:rsidRPr="00601741">
        <w:rPr>
          <w:rFonts w:ascii="Arial" w:eastAsia="Times New Roman" w:hAnsi="Arial" w:cs="Arial"/>
          <w:color w:val="000000" w:themeColor="text1"/>
          <w:sz w:val="16"/>
          <w:szCs w:val="16"/>
          <w:lang w:eastAsia="en-AU"/>
        </w:rPr>
        <w:t>, viewed 23 May 2016, &lt;</w:t>
      </w:r>
      <w:hyperlink r:id="rId43" w:history="1">
        <w:r w:rsidRPr="00601741">
          <w:rPr>
            <w:rFonts w:ascii="Arial" w:eastAsia="Times New Roman" w:hAnsi="Arial" w:cs="Arial"/>
            <w:color w:val="000000" w:themeColor="text1"/>
            <w:sz w:val="16"/>
            <w:szCs w:val="16"/>
            <w:u w:val="single"/>
            <w:lang w:eastAsia="en-AU"/>
          </w:rPr>
          <w:t>https://www.gov.uk/government/uploads/system/uploads/attachment_data/file/62529/TLA-1906126.pdf</w:t>
        </w:r>
      </w:hyperlink>
      <w:r w:rsidRPr="00601741">
        <w:rPr>
          <w:rFonts w:ascii="Arial" w:eastAsia="Times New Roman" w:hAnsi="Arial" w:cs="Arial"/>
          <w:color w:val="000000" w:themeColor="text1"/>
          <w:sz w:val="16"/>
          <w:szCs w:val="16"/>
          <w:lang w:eastAsia="en-AU"/>
        </w:rPr>
        <w:t>&gt;</w:t>
      </w:r>
    </w:p>
  </w:footnote>
  <w:footnote w:id="83">
    <w:p w14:paraId="43B82579" w14:textId="5819488B"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Haynes, L. Service, O. </w:t>
      </w:r>
      <w:proofErr w:type="spellStart"/>
      <w:r w:rsidRPr="00601741">
        <w:rPr>
          <w:rFonts w:ascii="Arial" w:eastAsia="MS Mincho" w:hAnsi="Arial" w:cs="Arial"/>
          <w:color w:val="000000" w:themeColor="text1"/>
          <w:spacing w:val="0"/>
          <w:lang w:eastAsia="ja-JP"/>
        </w:rPr>
        <w:t>Goldacre</w:t>
      </w:r>
      <w:proofErr w:type="spellEnd"/>
      <w:r w:rsidRPr="00601741">
        <w:rPr>
          <w:rFonts w:ascii="Arial" w:eastAsia="MS Mincho" w:hAnsi="Arial" w:cs="Arial"/>
          <w:color w:val="000000" w:themeColor="text1"/>
          <w:spacing w:val="0"/>
          <w:lang w:eastAsia="ja-JP"/>
        </w:rPr>
        <w:t xml:space="preserve">, B. &amp; </w:t>
      </w:r>
      <w:proofErr w:type="spellStart"/>
      <w:r w:rsidRPr="00601741">
        <w:rPr>
          <w:rFonts w:ascii="Arial" w:eastAsia="MS Mincho" w:hAnsi="Arial" w:cs="Arial"/>
          <w:color w:val="000000" w:themeColor="text1"/>
          <w:spacing w:val="0"/>
          <w:lang w:eastAsia="ja-JP"/>
        </w:rPr>
        <w:t>Torgerson</w:t>
      </w:r>
      <w:proofErr w:type="spellEnd"/>
      <w:r w:rsidRPr="00601741">
        <w:rPr>
          <w:rFonts w:ascii="Arial" w:eastAsia="MS Mincho" w:hAnsi="Arial" w:cs="Arial"/>
          <w:color w:val="000000" w:themeColor="text1"/>
          <w:spacing w:val="0"/>
          <w:lang w:eastAsia="ja-JP"/>
        </w:rPr>
        <w:t xml:space="preserve">, D. 2012, ‘Test, Learn, Adapt: Developing Public Policy with Randomised Controlled Trials’, </w:t>
      </w:r>
      <w:r w:rsidRPr="00601741">
        <w:rPr>
          <w:rFonts w:ascii="Arial" w:eastAsia="MS Mincho" w:hAnsi="Arial" w:cs="Arial"/>
          <w:i/>
          <w:iCs/>
          <w:color w:val="000000" w:themeColor="text1"/>
          <w:spacing w:val="0"/>
          <w:lang w:eastAsia="ja-JP"/>
        </w:rPr>
        <w:t>UK Cabinet Office</w:t>
      </w:r>
      <w:r w:rsidRPr="00601741">
        <w:rPr>
          <w:rFonts w:ascii="Arial" w:eastAsia="MS Mincho" w:hAnsi="Arial" w:cs="Arial"/>
          <w:color w:val="000000" w:themeColor="text1"/>
          <w:spacing w:val="0"/>
          <w:lang w:eastAsia="ja-JP"/>
        </w:rPr>
        <w:t>, pp. 26-27, viewed 23 May 2016, &lt;</w:t>
      </w:r>
      <w:hyperlink r:id="rId44" w:history="1">
        <w:r w:rsidRPr="00601741">
          <w:rPr>
            <w:rFonts w:ascii="Arial" w:eastAsia="MS Mincho" w:hAnsi="Arial" w:cs="Arial"/>
            <w:color w:val="000000" w:themeColor="text1"/>
            <w:spacing w:val="0"/>
            <w:u w:val="single"/>
            <w:lang w:eastAsia="ja-JP"/>
          </w:rPr>
          <w:t>https://www.gov.uk/government/uploads/system/uploads/attachment_data/file/62529/TLA-1906126.pdf</w:t>
        </w:r>
      </w:hyperlink>
      <w:r w:rsidRPr="00601741">
        <w:rPr>
          <w:rFonts w:ascii="Arial" w:eastAsia="MS Mincho" w:hAnsi="Arial" w:cs="Arial"/>
          <w:color w:val="000000" w:themeColor="text1"/>
          <w:spacing w:val="0"/>
          <w:lang w:eastAsia="ja-JP"/>
        </w:rPr>
        <w:t>&gt;</w:t>
      </w:r>
    </w:p>
  </w:footnote>
  <w:footnote w:id="84">
    <w:p w14:paraId="04CF4B8C" w14:textId="1645B194"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shd w:val="clear" w:color="auto" w:fill="FFFFFF"/>
          <w:lang w:eastAsia="ja-JP"/>
        </w:rPr>
        <w:t xml:space="preserve">Cook, T. D. 2002, 'Randomized Experiments in Educational Policy Research: A Critical Examination of the Reasons the Educational Evaluation Community has Offered for not Doing Them,' </w:t>
      </w:r>
      <w:r w:rsidRPr="00601741">
        <w:rPr>
          <w:rFonts w:ascii="Arial" w:eastAsia="MS Mincho" w:hAnsi="Arial" w:cs="Arial"/>
          <w:i/>
          <w:iCs/>
          <w:color w:val="000000" w:themeColor="text1"/>
          <w:spacing w:val="0"/>
          <w:shd w:val="clear" w:color="auto" w:fill="FFFFFF"/>
          <w:lang w:eastAsia="ja-JP"/>
        </w:rPr>
        <w:t>Educational Evaluation and Policy Analysis</w:t>
      </w:r>
      <w:r w:rsidRPr="00601741">
        <w:rPr>
          <w:rFonts w:ascii="Arial" w:eastAsia="MS Mincho" w:hAnsi="Arial" w:cs="Arial"/>
          <w:color w:val="000000" w:themeColor="text1"/>
          <w:spacing w:val="0"/>
          <w:shd w:val="clear" w:color="auto" w:fill="FFFFFF"/>
          <w:lang w:eastAsia="ja-JP"/>
        </w:rPr>
        <w:t xml:space="preserve">, Vol. 24, No. 3, </w:t>
      </w:r>
      <w:r w:rsidRPr="00601741">
        <w:rPr>
          <w:rFonts w:ascii="Arial" w:eastAsia="MS Mincho" w:hAnsi="Arial" w:cs="Arial"/>
          <w:color w:val="000000" w:themeColor="text1"/>
          <w:spacing w:val="0"/>
          <w:lang w:eastAsia="ja-JP"/>
        </w:rPr>
        <w:t>pp. 176-7,</w:t>
      </w:r>
      <w:r w:rsidRPr="00601741">
        <w:rPr>
          <w:rFonts w:ascii="Arial" w:eastAsia="MS Mincho" w:hAnsi="Arial" w:cs="Arial"/>
          <w:color w:val="000000" w:themeColor="text1"/>
          <w:spacing w:val="0"/>
          <w:shd w:val="clear" w:color="auto" w:fill="FFFFFF"/>
          <w:lang w:eastAsia="ja-JP"/>
        </w:rPr>
        <w:t xml:space="preserve"> viewed 22 February 2016, &lt;</w:t>
      </w:r>
      <w:hyperlink r:id="rId45" w:history="1">
        <w:r w:rsidRPr="00601741">
          <w:rPr>
            <w:rFonts w:ascii="Arial" w:eastAsia="MS Mincho" w:hAnsi="Arial" w:cs="Arial"/>
            <w:color w:val="000000" w:themeColor="text1"/>
            <w:spacing w:val="0"/>
            <w:shd w:val="clear" w:color="auto" w:fill="FFFFFF"/>
            <w:lang w:eastAsia="ja-JP"/>
          </w:rPr>
          <w:t>http://</w:t>
        </w:r>
        <w:proofErr w:type="spellStart"/>
        <w:r w:rsidRPr="00601741">
          <w:rPr>
            <w:rFonts w:ascii="Arial" w:eastAsia="MS Mincho" w:hAnsi="Arial" w:cs="Arial"/>
            <w:color w:val="000000" w:themeColor="text1"/>
            <w:spacing w:val="0"/>
            <w:shd w:val="clear" w:color="auto" w:fill="FFFFFF"/>
            <w:lang w:eastAsia="ja-JP"/>
          </w:rPr>
          <w:t>www.jstor.org</w:t>
        </w:r>
        <w:proofErr w:type="spellEnd"/>
        <w:r w:rsidRPr="00601741">
          <w:rPr>
            <w:rFonts w:ascii="Arial" w:eastAsia="MS Mincho" w:hAnsi="Arial" w:cs="Arial"/>
            <w:color w:val="000000" w:themeColor="text1"/>
            <w:spacing w:val="0"/>
            <w:shd w:val="clear" w:color="auto" w:fill="FFFFFF"/>
            <w:lang w:eastAsia="ja-JP"/>
          </w:rPr>
          <w:t>/stable/3594164</w:t>
        </w:r>
      </w:hyperlink>
      <w:r w:rsidRPr="00601741">
        <w:rPr>
          <w:rFonts w:ascii="Arial" w:eastAsia="MS Mincho" w:hAnsi="Arial" w:cs="Arial"/>
          <w:color w:val="000000" w:themeColor="text1"/>
          <w:spacing w:val="0"/>
          <w:shd w:val="clear" w:color="auto" w:fill="FFFFFF"/>
          <w:lang w:eastAsia="ja-JP"/>
        </w:rPr>
        <w:t>.&gt;</w:t>
      </w:r>
    </w:p>
  </w:footnote>
  <w:footnote w:id="85">
    <w:p w14:paraId="276F6573" w14:textId="6E02033E"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proofErr w:type="spellStart"/>
      <w:r w:rsidRPr="00601741">
        <w:rPr>
          <w:rFonts w:ascii="Arial" w:eastAsia="MS Mincho" w:hAnsi="Arial" w:cs="Arial"/>
          <w:color w:val="000000" w:themeColor="text1"/>
          <w:spacing w:val="0"/>
          <w:shd w:val="clear" w:color="auto" w:fill="FFFFFF"/>
          <w:lang w:eastAsia="ja-JP"/>
        </w:rPr>
        <w:t>Timperly</w:t>
      </w:r>
      <w:proofErr w:type="spellEnd"/>
      <w:r w:rsidRPr="00601741">
        <w:rPr>
          <w:rFonts w:ascii="Arial" w:eastAsia="MS Mincho" w:hAnsi="Arial" w:cs="Arial"/>
          <w:color w:val="000000" w:themeColor="text1"/>
          <w:spacing w:val="0"/>
          <w:shd w:val="clear" w:color="auto" w:fill="FFFFFF"/>
          <w:lang w:eastAsia="ja-JP"/>
        </w:rPr>
        <w:t xml:space="preserve">, H. Wilson, A. </w:t>
      </w:r>
      <w:proofErr w:type="spellStart"/>
      <w:r w:rsidRPr="00601741">
        <w:rPr>
          <w:rFonts w:ascii="Arial" w:eastAsia="MS Mincho" w:hAnsi="Arial" w:cs="Arial"/>
          <w:color w:val="000000" w:themeColor="text1"/>
          <w:spacing w:val="0"/>
          <w:shd w:val="clear" w:color="auto" w:fill="FFFFFF"/>
          <w:lang w:eastAsia="ja-JP"/>
        </w:rPr>
        <w:t>Barrar</w:t>
      </w:r>
      <w:proofErr w:type="spellEnd"/>
      <w:r w:rsidRPr="00601741">
        <w:rPr>
          <w:rFonts w:ascii="Arial" w:eastAsia="MS Mincho" w:hAnsi="Arial" w:cs="Arial"/>
          <w:color w:val="000000" w:themeColor="text1"/>
          <w:spacing w:val="0"/>
          <w:shd w:val="clear" w:color="auto" w:fill="FFFFFF"/>
          <w:lang w:eastAsia="ja-JP"/>
        </w:rPr>
        <w:t>, H. &amp; Fung, I. 2007, ‘Teacher Professional Learning and Development: Best Evidence Synthesis Iteration’, Iterative Best Evidence Synthesis Program, Wellington, New Zealand: Ministry of Education, viewed 20 May 2016</w:t>
      </w:r>
      <w:r w:rsidRPr="00601741">
        <w:rPr>
          <w:rFonts w:ascii="Arial" w:eastAsia="MS Mincho" w:hAnsi="Arial" w:cs="Arial"/>
          <w:color w:val="000000" w:themeColor="text1"/>
          <w:spacing w:val="0"/>
          <w:lang w:eastAsia="ja-JP"/>
        </w:rPr>
        <w:t xml:space="preserve"> &lt;</w:t>
      </w:r>
      <w:hyperlink r:id="rId46" w:history="1">
        <w:r w:rsidRPr="00601741">
          <w:rPr>
            <w:rFonts w:ascii="Arial" w:eastAsia="MS Mincho" w:hAnsi="Arial" w:cs="Arial"/>
            <w:color w:val="000000" w:themeColor="text1"/>
            <w:spacing w:val="0"/>
            <w:u w:val="single"/>
            <w:shd w:val="clear" w:color="auto" w:fill="FFFFFF"/>
            <w:lang w:eastAsia="ja-JP"/>
          </w:rPr>
          <w:t>https://www.educationcounts.govt.nz/__data/assets/pdf_file/0017/16901/TPLandDBESentireWeb.pdf</w:t>
        </w:r>
      </w:hyperlink>
      <w:r w:rsidRPr="00601741">
        <w:rPr>
          <w:rFonts w:ascii="Arial" w:eastAsia="MS Mincho" w:hAnsi="Arial" w:cs="Arial"/>
          <w:color w:val="000000" w:themeColor="text1"/>
          <w:spacing w:val="0"/>
          <w:lang w:eastAsia="ja-JP"/>
        </w:rPr>
        <w:t>&gt;</w:t>
      </w:r>
    </w:p>
  </w:footnote>
  <w:footnote w:id="86">
    <w:p w14:paraId="5E45A48A" w14:textId="77777777" w:rsidR="00051F36" w:rsidRDefault="00051F36" w:rsidP="00ED644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shd w:val="clear" w:color="auto" w:fill="FFFFFF"/>
        </w:rPr>
        <w:t>Elmore, R. 2002, ‘</w:t>
      </w:r>
      <w:r w:rsidRPr="00601741">
        <w:rPr>
          <w:rFonts w:ascii="Arial" w:hAnsi="Arial" w:cs="Arial"/>
          <w:color w:val="000000" w:themeColor="text1"/>
        </w:rPr>
        <w:t>Bridging the Gap Between Standards and Achievement: The Imperative for Professional Development in Education</w:t>
      </w:r>
      <w:r w:rsidRPr="00601741">
        <w:rPr>
          <w:rFonts w:ascii="Arial" w:hAnsi="Arial" w:cs="Arial"/>
          <w:i/>
          <w:iCs/>
          <w:color w:val="000000" w:themeColor="text1"/>
        </w:rPr>
        <w:t>’,</w:t>
      </w:r>
      <w:r w:rsidRPr="00601741">
        <w:rPr>
          <w:rFonts w:ascii="Arial" w:hAnsi="Arial" w:cs="Arial"/>
          <w:color w:val="000000" w:themeColor="text1"/>
          <w:shd w:val="clear" w:color="auto" w:fill="FFFFFF"/>
        </w:rPr>
        <w:t xml:space="preserve"> Washington, DC: </w:t>
      </w:r>
      <w:r w:rsidRPr="00601741">
        <w:rPr>
          <w:rFonts w:ascii="Arial" w:hAnsi="Arial" w:cs="Arial"/>
          <w:i/>
          <w:iCs/>
          <w:color w:val="000000" w:themeColor="text1"/>
          <w:shd w:val="clear" w:color="auto" w:fill="FFFFFF"/>
        </w:rPr>
        <w:t xml:space="preserve">Albert </w:t>
      </w:r>
      <w:proofErr w:type="spellStart"/>
      <w:r w:rsidRPr="00601741">
        <w:rPr>
          <w:rFonts w:ascii="Arial" w:hAnsi="Arial" w:cs="Arial"/>
          <w:i/>
          <w:iCs/>
          <w:color w:val="000000" w:themeColor="text1"/>
          <w:shd w:val="clear" w:color="auto" w:fill="FFFFFF"/>
        </w:rPr>
        <w:t>Shanker</w:t>
      </w:r>
      <w:proofErr w:type="spellEnd"/>
      <w:r w:rsidRPr="00601741">
        <w:rPr>
          <w:rFonts w:ascii="Arial" w:hAnsi="Arial" w:cs="Arial"/>
          <w:i/>
          <w:iCs/>
          <w:color w:val="000000" w:themeColor="text1"/>
          <w:shd w:val="clear" w:color="auto" w:fill="FFFFFF"/>
        </w:rPr>
        <w:t xml:space="preserve"> Institute</w:t>
      </w:r>
      <w:r w:rsidRPr="00601741">
        <w:rPr>
          <w:rFonts w:ascii="Arial" w:hAnsi="Arial" w:cs="Arial"/>
          <w:color w:val="000000" w:themeColor="text1"/>
          <w:shd w:val="clear" w:color="auto" w:fill="FFFFFF"/>
        </w:rPr>
        <w:t xml:space="preserve">; </w:t>
      </w:r>
      <w:r w:rsidRPr="00601741">
        <w:rPr>
          <w:rFonts w:ascii="Arial" w:hAnsi="Arial" w:cs="Arial"/>
          <w:color w:val="000000" w:themeColor="text1"/>
        </w:rPr>
        <w:t xml:space="preserve">Jensen, B. Hunter, J. </w:t>
      </w:r>
      <w:proofErr w:type="spellStart"/>
      <w:r w:rsidRPr="00601741">
        <w:rPr>
          <w:rFonts w:ascii="Arial" w:hAnsi="Arial" w:cs="Arial"/>
          <w:color w:val="000000" w:themeColor="text1"/>
        </w:rPr>
        <w:t>Sonnemann</w:t>
      </w:r>
      <w:proofErr w:type="spellEnd"/>
      <w:r w:rsidRPr="00601741">
        <w:rPr>
          <w:rFonts w:ascii="Arial" w:hAnsi="Arial" w:cs="Arial"/>
          <w:color w:val="000000" w:themeColor="text1"/>
        </w:rPr>
        <w:t xml:space="preserve">, J. and Cooper, S. 2014, ‘Making time for great teaching’, </w:t>
      </w:r>
      <w:r w:rsidRPr="00601741">
        <w:rPr>
          <w:rFonts w:ascii="Arial" w:hAnsi="Arial" w:cs="Arial"/>
          <w:i/>
          <w:iCs/>
          <w:color w:val="000000" w:themeColor="text1"/>
        </w:rPr>
        <w:t>Grattan Institute.</w:t>
      </w:r>
    </w:p>
  </w:footnote>
  <w:footnote w:id="87">
    <w:p w14:paraId="55E0B74C" w14:textId="4C881443"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proofErr w:type="spellStart"/>
      <w:r w:rsidRPr="00601741">
        <w:rPr>
          <w:rFonts w:ascii="Arial" w:hAnsi="Arial" w:cs="Arial"/>
          <w:color w:val="000000" w:themeColor="text1"/>
        </w:rPr>
        <w:t>Honig</w:t>
      </w:r>
      <w:proofErr w:type="spellEnd"/>
      <w:r w:rsidRPr="00601741">
        <w:rPr>
          <w:rFonts w:ascii="Arial" w:hAnsi="Arial" w:cs="Arial"/>
          <w:color w:val="000000" w:themeColor="text1"/>
        </w:rPr>
        <w:t xml:space="preserve">, </w:t>
      </w:r>
      <w:proofErr w:type="spellStart"/>
      <w:r w:rsidRPr="00601741">
        <w:rPr>
          <w:rFonts w:ascii="Arial" w:hAnsi="Arial" w:cs="Arial"/>
          <w:color w:val="000000" w:themeColor="text1"/>
        </w:rPr>
        <w:t>M.I</w:t>
      </w:r>
      <w:proofErr w:type="spellEnd"/>
      <w:r w:rsidRPr="00601741">
        <w:rPr>
          <w:rFonts w:ascii="Arial" w:hAnsi="Arial" w:cs="Arial"/>
          <w:color w:val="000000" w:themeColor="text1"/>
        </w:rPr>
        <w:t xml:space="preserve">. </w:t>
      </w:r>
      <w:proofErr w:type="spellStart"/>
      <w:r w:rsidRPr="00601741">
        <w:rPr>
          <w:rFonts w:ascii="Arial" w:hAnsi="Arial" w:cs="Arial"/>
          <w:color w:val="000000" w:themeColor="text1"/>
        </w:rPr>
        <w:t>Venkateswaran</w:t>
      </w:r>
      <w:proofErr w:type="spellEnd"/>
      <w:r w:rsidRPr="00601741">
        <w:rPr>
          <w:rFonts w:ascii="Arial" w:hAnsi="Arial" w:cs="Arial"/>
          <w:color w:val="000000" w:themeColor="text1"/>
        </w:rPr>
        <w:t xml:space="preserve">, N. McNeil, P. &amp; </w:t>
      </w:r>
      <w:proofErr w:type="spellStart"/>
      <w:r w:rsidRPr="00601741">
        <w:rPr>
          <w:rFonts w:ascii="Arial" w:hAnsi="Arial" w:cs="Arial"/>
          <w:color w:val="000000" w:themeColor="text1"/>
        </w:rPr>
        <w:t>Twitchell</w:t>
      </w:r>
      <w:proofErr w:type="spellEnd"/>
      <w:r w:rsidRPr="00601741">
        <w:rPr>
          <w:rFonts w:ascii="Arial" w:hAnsi="Arial" w:cs="Arial"/>
          <w:color w:val="000000" w:themeColor="text1"/>
        </w:rPr>
        <w:t xml:space="preserve">, </w:t>
      </w:r>
      <w:proofErr w:type="spellStart"/>
      <w:r w:rsidRPr="00601741">
        <w:rPr>
          <w:rFonts w:ascii="Arial" w:hAnsi="Arial" w:cs="Arial"/>
          <w:color w:val="000000" w:themeColor="text1"/>
        </w:rPr>
        <w:t>J.M</w:t>
      </w:r>
      <w:proofErr w:type="spellEnd"/>
      <w:r w:rsidRPr="00601741">
        <w:rPr>
          <w:rFonts w:ascii="Arial" w:hAnsi="Arial" w:cs="Arial"/>
          <w:color w:val="000000" w:themeColor="text1"/>
        </w:rPr>
        <w:t xml:space="preserve">. 2014, ‘ Leaders’ Use of Research for Fundamental Change in School District Central Offices: Processes and Challenges,’ in </w:t>
      </w:r>
      <w:proofErr w:type="spellStart"/>
      <w:r w:rsidRPr="00601741">
        <w:rPr>
          <w:rFonts w:ascii="Arial" w:hAnsi="Arial" w:cs="Arial"/>
          <w:color w:val="000000" w:themeColor="text1"/>
        </w:rPr>
        <w:t>K.S</w:t>
      </w:r>
      <w:proofErr w:type="spellEnd"/>
      <w:r w:rsidRPr="00601741">
        <w:rPr>
          <w:rFonts w:ascii="Arial" w:hAnsi="Arial" w:cs="Arial"/>
          <w:color w:val="000000" w:themeColor="text1"/>
        </w:rPr>
        <w:t xml:space="preserve"> Finnegan and </w:t>
      </w:r>
      <w:proofErr w:type="spellStart"/>
      <w:r w:rsidRPr="00601741">
        <w:rPr>
          <w:rFonts w:ascii="Arial" w:hAnsi="Arial" w:cs="Arial"/>
          <w:color w:val="000000" w:themeColor="text1"/>
        </w:rPr>
        <w:t>A.J</w:t>
      </w:r>
      <w:proofErr w:type="spellEnd"/>
      <w:r w:rsidRPr="00601741">
        <w:rPr>
          <w:rFonts w:ascii="Arial" w:hAnsi="Arial" w:cs="Arial"/>
          <w:color w:val="000000" w:themeColor="text1"/>
        </w:rPr>
        <w:t xml:space="preserve">. Daly, eds. </w:t>
      </w:r>
      <w:r w:rsidRPr="00601741">
        <w:rPr>
          <w:rFonts w:ascii="Arial" w:hAnsi="Arial" w:cs="Arial"/>
          <w:i/>
          <w:iCs/>
          <w:color w:val="000000" w:themeColor="text1"/>
        </w:rPr>
        <w:t>Using Research Evidence in Education: From the Schoolhouse Door to Capitol Hill</w:t>
      </w:r>
      <w:r w:rsidRPr="00601741">
        <w:rPr>
          <w:rFonts w:ascii="Arial" w:hAnsi="Arial" w:cs="Arial"/>
          <w:color w:val="000000" w:themeColor="text1"/>
        </w:rPr>
        <w:t xml:space="preserve">, Springer International Publishing, </w:t>
      </w:r>
      <w:proofErr w:type="spellStart"/>
      <w:r w:rsidRPr="00601741">
        <w:rPr>
          <w:rFonts w:ascii="Arial" w:hAnsi="Arial" w:cs="Arial"/>
          <w:color w:val="000000" w:themeColor="text1"/>
        </w:rPr>
        <w:t>pp.37</w:t>
      </w:r>
      <w:proofErr w:type="spellEnd"/>
      <w:r w:rsidRPr="00601741">
        <w:rPr>
          <w:rFonts w:ascii="Arial" w:hAnsi="Arial" w:cs="Arial"/>
          <w:color w:val="000000" w:themeColor="text1"/>
        </w:rPr>
        <w:t>-52.</w:t>
      </w:r>
    </w:p>
  </w:footnote>
  <w:footnote w:id="88">
    <w:p w14:paraId="5288DDF5" w14:textId="40509A52"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proofErr w:type="spellStart"/>
      <w:r w:rsidRPr="00601741">
        <w:rPr>
          <w:rFonts w:ascii="Arial" w:eastAsia="MS Mincho" w:hAnsi="Arial" w:cs="Arial"/>
          <w:color w:val="000000" w:themeColor="text1"/>
          <w:spacing w:val="0"/>
          <w:shd w:val="clear" w:color="auto" w:fill="FFFFFF"/>
          <w:lang w:eastAsia="ja-JP"/>
        </w:rPr>
        <w:t>Timperly</w:t>
      </w:r>
      <w:proofErr w:type="spellEnd"/>
      <w:r w:rsidRPr="00601741">
        <w:rPr>
          <w:rFonts w:ascii="Arial" w:eastAsia="MS Mincho" w:hAnsi="Arial" w:cs="Arial"/>
          <w:color w:val="000000" w:themeColor="text1"/>
          <w:spacing w:val="0"/>
          <w:shd w:val="clear" w:color="auto" w:fill="FFFFFF"/>
          <w:lang w:eastAsia="ja-JP"/>
        </w:rPr>
        <w:t xml:space="preserve">, H. Wilson, A. </w:t>
      </w:r>
      <w:proofErr w:type="spellStart"/>
      <w:r w:rsidRPr="00601741">
        <w:rPr>
          <w:rFonts w:ascii="Arial" w:eastAsia="MS Mincho" w:hAnsi="Arial" w:cs="Arial"/>
          <w:color w:val="000000" w:themeColor="text1"/>
          <w:spacing w:val="0"/>
          <w:shd w:val="clear" w:color="auto" w:fill="FFFFFF"/>
          <w:lang w:eastAsia="ja-JP"/>
        </w:rPr>
        <w:t>Barrar</w:t>
      </w:r>
      <w:proofErr w:type="spellEnd"/>
      <w:r w:rsidRPr="00601741">
        <w:rPr>
          <w:rFonts w:ascii="Arial" w:eastAsia="MS Mincho" w:hAnsi="Arial" w:cs="Arial"/>
          <w:color w:val="000000" w:themeColor="text1"/>
          <w:spacing w:val="0"/>
          <w:shd w:val="clear" w:color="auto" w:fill="FFFFFF"/>
          <w:lang w:eastAsia="ja-JP"/>
        </w:rPr>
        <w:t>, H. &amp; Fung, I. 2007, ‘Teacher Professional Learning and Development: Best Evidence Synthesis Iteration’, Iterative Best Evidence Synthesis Program, Wellington, New Zealand: Ministry of Education, viewed 20 May 2016</w:t>
      </w:r>
      <w:r w:rsidRPr="00601741">
        <w:rPr>
          <w:rFonts w:ascii="Arial" w:eastAsia="MS Mincho" w:hAnsi="Arial" w:cs="Arial"/>
          <w:color w:val="000000" w:themeColor="text1"/>
          <w:spacing w:val="0"/>
          <w:lang w:eastAsia="ja-JP"/>
        </w:rPr>
        <w:t xml:space="preserve"> &lt;</w:t>
      </w:r>
      <w:hyperlink r:id="rId47" w:history="1">
        <w:r w:rsidRPr="00601741">
          <w:rPr>
            <w:rFonts w:ascii="Arial" w:eastAsia="MS Mincho" w:hAnsi="Arial" w:cs="Arial"/>
            <w:color w:val="000000" w:themeColor="text1"/>
            <w:spacing w:val="0"/>
            <w:u w:val="single"/>
            <w:shd w:val="clear" w:color="auto" w:fill="FFFFFF"/>
            <w:lang w:eastAsia="ja-JP"/>
          </w:rPr>
          <w:t>https://www.educationcounts.govt.nz/__data/assets/pdf_file/0017/16901/TPLandDBESentireWeb.pdf</w:t>
        </w:r>
      </w:hyperlink>
      <w:r w:rsidRPr="00601741">
        <w:rPr>
          <w:rFonts w:ascii="Arial" w:eastAsia="MS Mincho" w:hAnsi="Arial" w:cs="Arial"/>
          <w:color w:val="000000" w:themeColor="text1"/>
          <w:spacing w:val="0"/>
          <w:lang w:eastAsia="ja-JP"/>
        </w:rPr>
        <w:t>&gt;</w:t>
      </w:r>
    </w:p>
  </w:footnote>
  <w:footnote w:id="89">
    <w:p w14:paraId="6DC75C61" w14:textId="1591C1BE"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hyperlink r:id="rId48" w:history="1">
        <w:r w:rsidRPr="00601741">
          <w:rPr>
            <w:rFonts w:ascii="Arial" w:eastAsia="MS Mincho" w:hAnsi="Arial" w:cs="Arial"/>
            <w:color w:val="000000" w:themeColor="text1"/>
            <w:spacing w:val="0"/>
            <w:u w:val="single"/>
            <w:lang w:eastAsia="ja-JP"/>
          </w:rPr>
          <w:t>http://www.abs.gov.au/ausstats%5Cabs@.nsf/0/9448F2F814FA0311CA2579C700118E2D?Opendocument</w:t>
        </w:r>
      </w:hyperlink>
    </w:p>
  </w:footnote>
  <w:footnote w:id="90">
    <w:p w14:paraId="1FFD8000" w14:textId="05460F97" w:rsidR="00051F36" w:rsidRPr="003A1439" w:rsidRDefault="00051F36">
      <w:pPr>
        <w:pStyle w:val="FootnoteText"/>
      </w:pPr>
      <w:r w:rsidRPr="00601741">
        <w:rPr>
          <w:rStyle w:val="FootnoteReference"/>
          <w:color w:val="000000" w:themeColor="text1"/>
        </w:rPr>
        <w:footnoteRef/>
      </w:r>
      <w:r w:rsidR="00543558">
        <w:rPr>
          <w:color w:val="000000" w:themeColor="text1"/>
        </w:rPr>
        <w:t xml:space="preserve"> </w:t>
      </w:r>
      <w:hyperlink r:id="rId49" w:history="1">
        <w:r w:rsidR="001E0AAB" w:rsidRPr="003A1439">
          <w:rPr>
            <w:rStyle w:val="Hyperlink"/>
            <w:rFonts w:ascii="Arial" w:eastAsia="MS Mincho" w:hAnsi="Arial" w:cs="Arial"/>
            <w:color w:val="auto"/>
            <w:spacing w:val="0"/>
            <w:lang w:eastAsia="ja-JP"/>
          </w:rPr>
          <w:t>http://www.abs.gov.au/ausstats/abs@.nsf/Latestproducts/4221.0Main%20Features502015?opendocument&amp;tabname=Summary&amp;prodno=4221.0&amp;issue=2015&amp;num=&amp;view=</w:t>
        </w:r>
      </w:hyperlink>
    </w:p>
  </w:footnote>
  <w:footnote w:id="91">
    <w:p w14:paraId="27AE0AE8" w14:textId="6B707383" w:rsidR="00051F36" w:rsidRDefault="00051F36">
      <w:pPr>
        <w:pStyle w:val="FootnoteText"/>
      </w:pPr>
      <w:r w:rsidRPr="00601741">
        <w:rPr>
          <w:rStyle w:val="FootnoteReference"/>
          <w:color w:val="000000" w:themeColor="text1"/>
        </w:rPr>
        <w:footnoteRef/>
      </w:r>
      <w:r w:rsidRPr="00601741">
        <w:rPr>
          <w:color w:val="000000" w:themeColor="text1"/>
        </w:rPr>
        <w:t xml:space="preserve"> ‘Funding for disadvantaged pupils’ UK National Audit Office 29 June 2015 page 9 https://</w:t>
      </w:r>
      <w:proofErr w:type="spellStart"/>
      <w:r w:rsidRPr="00601741">
        <w:rPr>
          <w:color w:val="000000" w:themeColor="text1"/>
        </w:rPr>
        <w:t>www.nao.org.uk</w:t>
      </w:r>
      <w:proofErr w:type="spellEnd"/>
      <w:r w:rsidRPr="00601741">
        <w:rPr>
          <w:color w:val="000000" w:themeColor="text1"/>
        </w:rPr>
        <w:t>/report/funding-for-disadvantaged-pupils/</w:t>
      </w:r>
    </w:p>
  </w:footnote>
  <w:footnote w:id="92">
    <w:p w14:paraId="777C9CD0" w14:textId="3258E606" w:rsidR="00051F36" w:rsidRPr="00824934" w:rsidRDefault="00051F36">
      <w:pPr>
        <w:pStyle w:val="FootnoteText"/>
      </w:pPr>
      <w:r w:rsidRPr="00824934">
        <w:rPr>
          <w:rStyle w:val="FootnoteReference"/>
        </w:rPr>
        <w:footnoteRef/>
      </w:r>
      <w:r w:rsidRPr="00824934">
        <w:t xml:space="preserve"> </w:t>
      </w:r>
      <w:r w:rsidRPr="00601741">
        <w:rPr>
          <w:rFonts w:ascii="Arial" w:eastAsia="MS Mincho" w:hAnsi="Arial" w:cs="Arial"/>
          <w:spacing w:val="0"/>
          <w:lang w:eastAsia="ja-JP"/>
        </w:rPr>
        <w:t xml:space="preserve">See for example, Appleton S, Atherton P and </w:t>
      </w:r>
      <w:proofErr w:type="spellStart"/>
      <w:r w:rsidRPr="00601741">
        <w:rPr>
          <w:rFonts w:ascii="Arial" w:eastAsia="MS Mincho" w:hAnsi="Arial" w:cs="Arial"/>
          <w:spacing w:val="0"/>
          <w:lang w:eastAsia="ja-JP"/>
        </w:rPr>
        <w:t>Bleaney</w:t>
      </w:r>
      <w:proofErr w:type="spellEnd"/>
      <w:r w:rsidRPr="00601741">
        <w:rPr>
          <w:rFonts w:ascii="Arial" w:eastAsia="MS Mincho" w:hAnsi="Arial" w:cs="Arial"/>
          <w:spacing w:val="0"/>
          <w:lang w:eastAsia="ja-JP"/>
        </w:rPr>
        <w:t xml:space="preserve"> M. ‘International School Test Scores and Economic Growth’ 2008</w:t>
      </w:r>
      <w:r w:rsidRPr="00601741">
        <w:rPr>
          <w:rFonts w:ascii="Arial" w:eastAsia="MS Mincho" w:hAnsi="Arial" w:cs="Arial"/>
          <w:i/>
          <w:iCs/>
          <w:spacing w:val="0"/>
          <w:lang w:eastAsia="ja-JP"/>
        </w:rPr>
        <w:t xml:space="preserve"> </w:t>
      </w:r>
      <w:r w:rsidRPr="00601741">
        <w:rPr>
          <w:rFonts w:ascii="Arial" w:eastAsia="MS Mincho" w:hAnsi="Arial" w:cs="Arial"/>
          <w:spacing w:val="0"/>
          <w:lang w:eastAsia="ja-JP"/>
        </w:rPr>
        <w:t>Centre for Research in Economic Development and International Trade Research Paper No 08/04 available at https://</w:t>
      </w:r>
      <w:proofErr w:type="spellStart"/>
      <w:r w:rsidRPr="00601741">
        <w:rPr>
          <w:rFonts w:ascii="Arial" w:eastAsia="MS Mincho" w:hAnsi="Arial" w:cs="Arial"/>
          <w:spacing w:val="0"/>
          <w:lang w:eastAsia="ja-JP"/>
        </w:rPr>
        <w:t>ideas.repec.org</w:t>
      </w:r>
      <w:proofErr w:type="spellEnd"/>
      <w:r w:rsidRPr="00601741">
        <w:rPr>
          <w:rFonts w:ascii="Arial" w:eastAsia="MS Mincho" w:hAnsi="Arial" w:cs="Arial"/>
          <w:spacing w:val="0"/>
          <w:lang w:eastAsia="ja-JP"/>
        </w:rPr>
        <w:t>/p/not/</w:t>
      </w:r>
      <w:proofErr w:type="spellStart"/>
      <w:r w:rsidRPr="00601741">
        <w:rPr>
          <w:rFonts w:ascii="Arial" w:eastAsia="MS Mincho" w:hAnsi="Arial" w:cs="Arial"/>
          <w:spacing w:val="0"/>
          <w:lang w:eastAsia="ja-JP"/>
        </w:rPr>
        <w:t>notcre</w:t>
      </w:r>
      <w:proofErr w:type="spellEnd"/>
      <w:r w:rsidRPr="00601741">
        <w:rPr>
          <w:rFonts w:ascii="Arial" w:eastAsia="MS Mincho" w:hAnsi="Arial" w:cs="Arial"/>
          <w:spacing w:val="0"/>
          <w:lang w:eastAsia="ja-JP"/>
        </w:rPr>
        <w:t>/08-</w:t>
      </w:r>
      <w:proofErr w:type="spellStart"/>
      <w:r w:rsidRPr="00601741">
        <w:rPr>
          <w:rFonts w:ascii="Arial" w:eastAsia="MS Mincho" w:hAnsi="Arial" w:cs="Arial"/>
          <w:spacing w:val="0"/>
          <w:lang w:eastAsia="ja-JP"/>
        </w:rPr>
        <w:t>04.html</w:t>
      </w:r>
      <w:proofErr w:type="spellEnd"/>
      <w:r w:rsidRPr="00601741">
        <w:rPr>
          <w:rFonts w:ascii="Arial" w:eastAsia="MS Mincho" w:hAnsi="Arial" w:cs="Arial"/>
          <w:spacing w:val="0"/>
          <w:lang w:eastAsia="ja-JP"/>
        </w:rPr>
        <w:t xml:space="preserve">; </w:t>
      </w:r>
      <w:proofErr w:type="spellStart"/>
      <w:r w:rsidRPr="00601741">
        <w:rPr>
          <w:rFonts w:ascii="Arial" w:eastAsia="MS Mincho" w:hAnsi="Arial" w:cs="Arial"/>
          <w:spacing w:val="0"/>
          <w:lang w:eastAsia="ja-JP"/>
        </w:rPr>
        <w:t>Altinok</w:t>
      </w:r>
      <w:proofErr w:type="spellEnd"/>
      <w:r w:rsidRPr="00601741">
        <w:rPr>
          <w:rFonts w:ascii="Arial" w:eastAsia="MS Mincho" w:hAnsi="Arial" w:cs="Arial"/>
          <w:spacing w:val="0"/>
          <w:lang w:eastAsia="ja-JP"/>
        </w:rPr>
        <w:t xml:space="preserve">, N. (2007). Human Capital Quality and Economic Growth. Institute for Research in Sociology and Economics of Education Working Paper No. DT 2007/1, Paris. Available at </w:t>
      </w:r>
      <w:hyperlink r:id="rId50" w:history="1">
        <w:r w:rsidRPr="00601741">
          <w:rPr>
            <w:rFonts w:ascii="Arial" w:eastAsia="MS Mincho" w:hAnsi="Arial" w:cs="Arial"/>
            <w:spacing w:val="0"/>
            <w:u w:val="single"/>
            <w:lang w:eastAsia="ja-JP"/>
          </w:rPr>
          <w:t>https://</w:t>
        </w:r>
        <w:proofErr w:type="spellStart"/>
        <w:r w:rsidRPr="00601741">
          <w:rPr>
            <w:rFonts w:ascii="Arial" w:eastAsia="MS Mincho" w:hAnsi="Arial" w:cs="Arial"/>
            <w:spacing w:val="0"/>
            <w:u w:val="single"/>
            <w:lang w:eastAsia="ja-JP"/>
          </w:rPr>
          <w:t>hal.archives-ouvertes.fr</w:t>
        </w:r>
        <w:proofErr w:type="spellEnd"/>
        <w:r w:rsidRPr="00601741">
          <w:rPr>
            <w:rFonts w:ascii="Arial" w:eastAsia="MS Mincho" w:hAnsi="Arial" w:cs="Arial"/>
            <w:spacing w:val="0"/>
            <w:u w:val="single"/>
            <w:lang w:eastAsia="ja-JP"/>
          </w:rPr>
          <w:t>/</w:t>
        </w:r>
        <w:proofErr w:type="spellStart"/>
        <w:r w:rsidRPr="00601741">
          <w:rPr>
            <w:rFonts w:ascii="Arial" w:eastAsia="MS Mincho" w:hAnsi="Arial" w:cs="Arial"/>
            <w:spacing w:val="0"/>
            <w:u w:val="single"/>
            <w:lang w:eastAsia="ja-JP"/>
          </w:rPr>
          <w:t>halshs-00132531v1</w:t>
        </w:r>
        <w:proofErr w:type="spellEnd"/>
        <w:r w:rsidRPr="00601741">
          <w:rPr>
            <w:rFonts w:ascii="Arial" w:eastAsia="MS Mincho" w:hAnsi="Arial" w:cs="Arial"/>
            <w:spacing w:val="0"/>
            <w:u w:val="single"/>
            <w:lang w:eastAsia="ja-JP"/>
          </w:rPr>
          <w:t>/document</w:t>
        </w:r>
      </w:hyperlink>
      <w:r w:rsidRPr="00601741">
        <w:rPr>
          <w:rFonts w:ascii="Arial" w:eastAsia="MS Mincho" w:hAnsi="Arial" w:cs="Arial"/>
          <w:spacing w:val="0"/>
          <w:lang w:eastAsia="ja-JP"/>
        </w:rPr>
        <w:t xml:space="preserve">; </w:t>
      </w:r>
      <w:proofErr w:type="spellStart"/>
      <w:r w:rsidRPr="00601741">
        <w:rPr>
          <w:rFonts w:ascii="Arial" w:eastAsia="MS Mincho" w:hAnsi="Arial" w:cs="Arial"/>
          <w:spacing w:val="0"/>
          <w:lang w:eastAsia="ja-JP"/>
        </w:rPr>
        <w:t>Barro</w:t>
      </w:r>
      <w:proofErr w:type="spellEnd"/>
      <w:r w:rsidRPr="00601741">
        <w:rPr>
          <w:rFonts w:ascii="Arial" w:eastAsia="MS Mincho" w:hAnsi="Arial" w:cs="Arial"/>
          <w:spacing w:val="0"/>
          <w:lang w:eastAsia="ja-JP"/>
        </w:rPr>
        <w:t xml:space="preserve"> R. ‘Education and Economic Growth’ in </w:t>
      </w:r>
      <w:proofErr w:type="spellStart"/>
      <w:r w:rsidRPr="00601741">
        <w:rPr>
          <w:rFonts w:ascii="Arial" w:eastAsia="MS Mincho" w:hAnsi="Arial" w:cs="Arial"/>
          <w:spacing w:val="0"/>
          <w:lang w:eastAsia="ja-JP"/>
        </w:rPr>
        <w:t>Helliwell</w:t>
      </w:r>
      <w:proofErr w:type="spellEnd"/>
      <w:r w:rsidRPr="00601741">
        <w:rPr>
          <w:rFonts w:ascii="Arial" w:eastAsia="MS Mincho" w:hAnsi="Arial" w:cs="Arial"/>
          <w:spacing w:val="0"/>
          <w:lang w:eastAsia="ja-JP"/>
        </w:rPr>
        <w:t xml:space="preserve"> J. F. </w:t>
      </w:r>
      <w:r w:rsidRPr="00601741">
        <w:rPr>
          <w:rFonts w:ascii="Arial" w:eastAsia="MS Mincho" w:hAnsi="Arial" w:cs="Arial"/>
          <w:i/>
          <w:iCs/>
          <w:spacing w:val="0"/>
          <w:lang w:eastAsia="ja-JP"/>
        </w:rPr>
        <w:t xml:space="preserve">The Contribution of Human and Social Capital to Sustained Economic Growth and Well-Being. </w:t>
      </w:r>
      <w:r w:rsidRPr="00601741">
        <w:rPr>
          <w:rFonts w:ascii="Arial" w:eastAsia="MS Mincho" w:hAnsi="Arial" w:cs="Arial"/>
          <w:spacing w:val="0"/>
          <w:lang w:eastAsia="ja-JP"/>
        </w:rPr>
        <w:t>OECD 2001</w:t>
      </w:r>
      <w:r w:rsidRPr="00601741">
        <w:rPr>
          <w:rFonts w:ascii="Arial" w:eastAsia="MS Mincho" w:hAnsi="Arial" w:cs="Arial"/>
          <w:i/>
          <w:iCs/>
          <w:spacing w:val="0"/>
          <w:lang w:eastAsia="ja-JP"/>
        </w:rPr>
        <w:t>.</w:t>
      </w:r>
    </w:p>
  </w:footnote>
  <w:footnote w:id="93">
    <w:p w14:paraId="7CC7AE14" w14:textId="77777777" w:rsidR="00543558" w:rsidRPr="00543558" w:rsidRDefault="00543558" w:rsidP="00543558">
      <w:pPr>
        <w:pStyle w:val="NormalWeb"/>
        <w:spacing w:after="0"/>
        <w:rPr>
          <w:rFonts w:ascii="Arial" w:eastAsia="Times New Roman" w:hAnsi="Arial" w:cs="Arial"/>
          <w:sz w:val="16"/>
          <w:szCs w:val="16"/>
          <w:lang w:eastAsia="en-AU"/>
        </w:rPr>
      </w:pPr>
      <w:r w:rsidRPr="00543558">
        <w:rPr>
          <w:rStyle w:val="FootnoteReference"/>
          <w:sz w:val="16"/>
          <w:szCs w:val="16"/>
        </w:rPr>
        <w:footnoteRef/>
      </w:r>
      <w:r>
        <w:t xml:space="preserve"> </w:t>
      </w:r>
      <w:r w:rsidRPr="00543558">
        <w:rPr>
          <w:rFonts w:ascii="Arial" w:eastAsia="Times New Roman" w:hAnsi="Arial" w:cs="Arial"/>
          <w:sz w:val="16"/>
          <w:szCs w:val="16"/>
          <w:lang w:eastAsia="en-AU"/>
        </w:rPr>
        <w:t xml:space="preserve">Education Endowment Foundation 2016, ‘Teaching Assistants’, </w:t>
      </w:r>
      <w:r w:rsidRPr="00543558">
        <w:rPr>
          <w:rFonts w:ascii="Arial" w:eastAsia="Times New Roman" w:hAnsi="Arial" w:cs="Arial"/>
          <w:i/>
          <w:iCs/>
          <w:sz w:val="16"/>
          <w:szCs w:val="16"/>
          <w:lang w:eastAsia="en-AU"/>
        </w:rPr>
        <w:t xml:space="preserve">Education Endowment Foundation, </w:t>
      </w:r>
      <w:r w:rsidRPr="00543558">
        <w:rPr>
          <w:rFonts w:ascii="Arial" w:eastAsia="Times New Roman" w:hAnsi="Arial" w:cs="Arial"/>
          <w:sz w:val="16"/>
          <w:szCs w:val="16"/>
          <w:lang w:eastAsia="en-AU"/>
        </w:rPr>
        <w:t xml:space="preserve">viewed 23 May 2016, </w:t>
      </w:r>
      <w:hyperlink r:id="rId51" w:history="1">
        <w:r w:rsidRPr="00543558">
          <w:rPr>
            <w:rStyle w:val="Hyperlink"/>
            <w:rFonts w:ascii="Arial" w:eastAsia="Times New Roman" w:hAnsi="Arial" w:cs="Arial"/>
            <w:color w:val="auto"/>
            <w:sz w:val="16"/>
            <w:szCs w:val="16"/>
            <w:lang w:eastAsia="en-AU"/>
          </w:rPr>
          <w:t>https://educationendowmentfoundation.org.uk/evidence/teaching-learning-toolkit/teaching-assistants/</w:t>
        </w:r>
      </w:hyperlink>
    </w:p>
    <w:p w14:paraId="03BE8886" w14:textId="212C4BA5" w:rsidR="00543558" w:rsidRPr="00543558" w:rsidRDefault="001E0AAB" w:rsidP="00543558">
      <w:pPr>
        <w:spacing w:after="0" w:line="240" w:lineRule="auto"/>
        <w:rPr>
          <w:rFonts w:ascii="Times New Roman" w:eastAsia="Times New Roman" w:hAnsi="Times New Roman" w:cs="Times New Roman"/>
          <w:sz w:val="16"/>
          <w:szCs w:val="16"/>
          <w:lang w:eastAsia="en-AU"/>
        </w:rPr>
      </w:pPr>
      <w:r>
        <w:rPr>
          <w:rFonts w:ascii="Arial" w:eastAsia="Times New Roman" w:hAnsi="Arial" w:cs="Arial"/>
          <w:sz w:val="16"/>
          <w:szCs w:val="16"/>
          <w:lang w:eastAsia="en-AU"/>
        </w:rPr>
        <w:t>M</w:t>
      </w:r>
      <w:r w:rsidR="00543558" w:rsidRPr="00543558">
        <w:rPr>
          <w:rFonts w:ascii="Arial" w:eastAsia="Times New Roman" w:hAnsi="Arial" w:cs="Arial"/>
          <w:sz w:val="16"/>
          <w:szCs w:val="16"/>
          <w:lang w:eastAsia="en-AU"/>
        </w:rPr>
        <w:t>aximising the Impact of Teaching Assistants 2016, ‘Research: The Deployment and Impact of Support Staff’, viewed 23 May 2016, http://</w:t>
      </w:r>
      <w:proofErr w:type="spellStart"/>
      <w:r w:rsidR="00543558" w:rsidRPr="00543558">
        <w:rPr>
          <w:rFonts w:ascii="Arial" w:eastAsia="Times New Roman" w:hAnsi="Arial" w:cs="Arial"/>
          <w:sz w:val="16"/>
          <w:szCs w:val="16"/>
          <w:lang w:eastAsia="en-AU"/>
        </w:rPr>
        <w:t>maximisingtas.co.uk</w:t>
      </w:r>
      <w:proofErr w:type="spellEnd"/>
      <w:r w:rsidR="00543558" w:rsidRPr="00543558">
        <w:rPr>
          <w:rFonts w:ascii="Arial" w:eastAsia="Times New Roman" w:hAnsi="Arial" w:cs="Arial"/>
          <w:sz w:val="16"/>
          <w:szCs w:val="16"/>
          <w:lang w:eastAsia="en-AU"/>
        </w:rPr>
        <w:t>/research/the-</w:t>
      </w:r>
      <w:proofErr w:type="spellStart"/>
      <w:r w:rsidR="00543558" w:rsidRPr="00543558">
        <w:rPr>
          <w:rFonts w:ascii="Arial" w:eastAsia="Times New Roman" w:hAnsi="Arial" w:cs="Arial"/>
          <w:sz w:val="16"/>
          <w:szCs w:val="16"/>
          <w:lang w:eastAsia="en-AU"/>
        </w:rPr>
        <w:t>diss</w:t>
      </w:r>
      <w:proofErr w:type="spellEnd"/>
      <w:r w:rsidR="00543558" w:rsidRPr="00543558">
        <w:rPr>
          <w:rFonts w:ascii="Arial" w:eastAsia="Times New Roman" w:hAnsi="Arial" w:cs="Arial"/>
          <w:sz w:val="16"/>
          <w:szCs w:val="16"/>
          <w:lang w:eastAsia="en-AU"/>
        </w:rPr>
        <w:t>-</w:t>
      </w:r>
      <w:proofErr w:type="spellStart"/>
      <w:r w:rsidR="00543558" w:rsidRPr="00543558">
        <w:rPr>
          <w:rFonts w:ascii="Arial" w:eastAsia="Times New Roman" w:hAnsi="Arial" w:cs="Arial"/>
          <w:sz w:val="16"/>
          <w:szCs w:val="16"/>
          <w:lang w:eastAsia="en-AU"/>
        </w:rPr>
        <w:t>project.php</w:t>
      </w:r>
      <w:proofErr w:type="spellEnd"/>
    </w:p>
    <w:p w14:paraId="3F88284A" w14:textId="77777777" w:rsidR="00543558" w:rsidRPr="00543558" w:rsidRDefault="00543558" w:rsidP="00543558">
      <w:pPr>
        <w:pStyle w:val="NormalWeb"/>
        <w:spacing w:after="0"/>
        <w:rPr>
          <w:rFonts w:ascii="Arial" w:hAnsi="Arial" w:cs="Arial"/>
          <w:sz w:val="16"/>
          <w:szCs w:val="16"/>
        </w:rPr>
      </w:pPr>
    </w:p>
    <w:p w14:paraId="657E6DC8" w14:textId="77777777" w:rsidR="00543558" w:rsidRPr="00543558" w:rsidRDefault="00543558" w:rsidP="00543558">
      <w:pPr>
        <w:pStyle w:val="NormalWeb"/>
        <w:spacing w:after="0"/>
        <w:rPr>
          <w:rFonts w:ascii="Arial" w:hAnsi="Arial" w:cs="Arial"/>
          <w:sz w:val="16"/>
          <w:szCs w:val="16"/>
        </w:rPr>
      </w:pPr>
      <w:r w:rsidRPr="00543558">
        <w:rPr>
          <w:rFonts w:ascii="Arial" w:hAnsi="Arial" w:cs="Arial"/>
          <w:sz w:val="16"/>
          <w:szCs w:val="16"/>
        </w:rPr>
        <w:t xml:space="preserve">Education Endowment Foundation 2016, ‘Six of the best: how our latest reports can help you support teaching assistants to get results’, </w:t>
      </w:r>
      <w:r w:rsidRPr="00543558">
        <w:rPr>
          <w:rFonts w:ascii="Arial" w:hAnsi="Arial" w:cs="Arial"/>
          <w:i/>
          <w:iCs/>
          <w:sz w:val="16"/>
          <w:szCs w:val="16"/>
        </w:rPr>
        <w:t xml:space="preserve">Education Endowment Foundation, </w:t>
      </w:r>
      <w:r w:rsidRPr="00543558">
        <w:rPr>
          <w:rFonts w:ascii="Arial" w:hAnsi="Arial" w:cs="Arial"/>
          <w:sz w:val="16"/>
          <w:szCs w:val="16"/>
        </w:rPr>
        <w:t xml:space="preserve">viewed 23 May 2016, </w:t>
      </w:r>
      <w:hyperlink r:id="rId52" w:history="1">
        <w:r w:rsidRPr="00543558">
          <w:rPr>
            <w:rStyle w:val="Hyperlink"/>
            <w:rFonts w:ascii="Arial" w:hAnsi="Arial" w:cs="Arial"/>
            <w:color w:val="auto"/>
            <w:sz w:val="16"/>
            <w:szCs w:val="16"/>
          </w:rPr>
          <w:t>https://educationendowmentfoundation.org.uk/news/six-of-the-best-how-our-latest-reports-can-help-you-support-teaching-assist/</w:t>
        </w:r>
      </w:hyperlink>
      <w:r w:rsidRPr="00543558">
        <w:rPr>
          <w:rFonts w:ascii="Arial" w:hAnsi="Arial" w:cs="Arial"/>
          <w:sz w:val="16"/>
          <w:szCs w:val="16"/>
        </w:rPr>
        <w:br/>
      </w:r>
      <w:r w:rsidRPr="00543558">
        <w:rPr>
          <w:rFonts w:ascii="Arial" w:hAnsi="Arial" w:cs="Arial"/>
          <w:sz w:val="16"/>
          <w:szCs w:val="16"/>
        </w:rPr>
        <w:br/>
      </w:r>
      <w:proofErr w:type="spellStart"/>
      <w:r w:rsidRPr="00543558">
        <w:rPr>
          <w:rFonts w:ascii="Arial" w:hAnsi="Arial" w:cs="Arial"/>
          <w:sz w:val="16"/>
          <w:szCs w:val="16"/>
        </w:rPr>
        <w:t>Sharples</w:t>
      </w:r>
      <w:proofErr w:type="spellEnd"/>
      <w:r w:rsidRPr="00543558">
        <w:rPr>
          <w:rFonts w:ascii="Arial" w:hAnsi="Arial" w:cs="Arial"/>
          <w:sz w:val="16"/>
          <w:szCs w:val="16"/>
        </w:rPr>
        <w:t xml:space="preserve">, J. Webster, R. &amp; Blatchford, P. 2015, ‘Making the Best Use of Teaching Assistants: Guidance Report’, </w:t>
      </w:r>
      <w:r w:rsidRPr="00543558">
        <w:rPr>
          <w:rFonts w:ascii="Arial" w:hAnsi="Arial" w:cs="Arial"/>
          <w:i/>
          <w:iCs/>
          <w:sz w:val="16"/>
          <w:szCs w:val="16"/>
        </w:rPr>
        <w:t>Education Endowment Foundation</w:t>
      </w:r>
      <w:r w:rsidRPr="00543558">
        <w:rPr>
          <w:rFonts w:ascii="Arial" w:hAnsi="Arial" w:cs="Arial"/>
          <w:sz w:val="16"/>
          <w:szCs w:val="16"/>
        </w:rPr>
        <w:t>,</w:t>
      </w:r>
      <w:r w:rsidRPr="00543558">
        <w:rPr>
          <w:rFonts w:ascii="Arial" w:hAnsi="Arial" w:cs="Arial"/>
          <w:i/>
          <w:iCs/>
          <w:sz w:val="16"/>
          <w:szCs w:val="16"/>
        </w:rPr>
        <w:t xml:space="preserve"> </w:t>
      </w:r>
      <w:r w:rsidRPr="00543558">
        <w:rPr>
          <w:rFonts w:ascii="Arial" w:hAnsi="Arial" w:cs="Arial"/>
          <w:sz w:val="16"/>
          <w:szCs w:val="16"/>
        </w:rPr>
        <w:t>viewed 23 May 2016, https://educationendowmentfoundation.org.uk/public/files/Publications/Campaigns/TA_Guidance_Report_MakingBestUseOfTeachingAssisstants-Printable.pdf?</w:t>
      </w:r>
      <w:r w:rsidRPr="00543558">
        <w:rPr>
          <w:rFonts w:ascii="Arial" w:hAnsi="Arial" w:cs="Arial"/>
          <w:sz w:val="16"/>
          <w:szCs w:val="16"/>
        </w:rPr>
        <w:br/>
      </w:r>
      <w:r w:rsidRPr="00543558">
        <w:rPr>
          <w:rFonts w:ascii="Arial" w:hAnsi="Arial" w:cs="Arial"/>
          <w:sz w:val="16"/>
          <w:szCs w:val="16"/>
        </w:rPr>
        <w:br/>
        <w:t xml:space="preserve">Education Endowment Foundation 2016, ‘Making the Best Use of Teaching Assistants: A Self-Assessment Guide’, </w:t>
      </w:r>
      <w:r w:rsidRPr="00543558">
        <w:rPr>
          <w:rFonts w:ascii="Arial" w:hAnsi="Arial" w:cs="Arial"/>
          <w:i/>
          <w:iCs/>
          <w:sz w:val="16"/>
          <w:szCs w:val="16"/>
        </w:rPr>
        <w:t xml:space="preserve">Education Endowment Foundation, </w:t>
      </w:r>
      <w:r w:rsidRPr="00543558">
        <w:rPr>
          <w:rFonts w:ascii="Arial" w:hAnsi="Arial" w:cs="Arial"/>
          <w:sz w:val="16"/>
          <w:szCs w:val="16"/>
        </w:rPr>
        <w:t xml:space="preserve">viewed 23 May 2016, </w:t>
      </w:r>
      <w:hyperlink r:id="rId53" w:history="1">
        <w:r w:rsidRPr="00543558">
          <w:rPr>
            <w:rStyle w:val="Hyperlink"/>
            <w:rFonts w:ascii="Arial" w:hAnsi="Arial" w:cs="Arial"/>
            <w:color w:val="auto"/>
            <w:sz w:val="16"/>
            <w:szCs w:val="16"/>
          </w:rPr>
          <w:t>https://educationendowmentfoundation.org.uk/public/files/Publications/Campaigns/TA_RAG_SelfAssessmentGuide.pdf</w:t>
        </w:r>
      </w:hyperlink>
    </w:p>
    <w:p w14:paraId="1AFC809A" w14:textId="3E4675C3" w:rsidR="00543558" w:rsidRPr="00543558" w:rsidRDefault="00543558" w:rsidP="00543558">
      <w:pPr>
        <w:pStyle w:val="FootnoteText"/>
      </w:pPr>
      <w:r w:rsidRPr="00543558">
        <w:rPr>
          <w:rFonts w:ascii="Arial" w:hAnsi="Arial" w:cs="Arial"/>
        </w:rPr>
        <w:t xml:space="preserve">National Audit Office 2015, ‘Funding for disadvantaged pupils’, </w:t>
      </w:r>
      <w:r w:rsidRPr="00543558">
        <w:rPr>
          <w:rFonts w:ascii="Arial" w:hAnsi="Arial" w:cs="Arial"/>
          <w:i/>
          <w:iCs/>
        </w:rPr>
        <w:t xml:space="preserve">UK National Audit Office, </w:t>
      </w:r>
      <w:proofErr w:type="spellStart"/>
      <w:r w:rsidRPr="00543558">
        <w:rPr>
          <w:rFonts w:ascii="Arial" w:hAnsi="Arial" w:cs="Arial"/>
        </w:rPr>
        <w:t>pp.9</w:t>
      </w:r>
      <w:proofErr w:type="spellEnd"/>
      <w:r w:rsidRPr="00543558">
        <w:rPr>
          <w:rFonts w:ascii="Arial" w:hAnsi="Arial" w:cs="Arial"/>
        </w:rPr>
        <w:t>, viewed 23 May 2016</w:t>
      </w:r>
    </w:p>
  </w:footnote>
  <w:footnote w:id="94">
    <w:p w14:paraId="6825D21C" w14:textId="3BB72D84" w:rsidR="00051F36" w:rsidRPr="00824934" w:rsidRDefault="00051F36">
      <w:pPr>
        <w:pStyle w:val="FootnoteText"/>
      </w:pPr>
      <w:r w:rsidRPr="00824934">
        <w:rPr>
          <w:rStyle w:val="FootnoteReference"/>
        </w:rPr>
        <w:footnoteRef/>
      </w:r>
      <w:r w:rsidRPr="00824934">
        <w:t xml:space="preserve"> </w:t>
      </w:r>
      <w:r>
        <w:t xml:space="preserve">OECD, E. </w:t>
      </w:r>
      <w:proofErr w:type="spellStart"/>
      <w:r>
        <w:t>Hanushek</w:t>
      </w:r>
      <w:proofErr w:type="spellEnd"/>
      <w:r>
        <w:t xml:space="preserve"> and L. </w:t>
      </w:r>
      <w:proofErr w:type="spellStart"/>
      <w:r>
        <w:t>Woessmann</w:t>
      </w:r>
      <w:proofErr w:type="spellEnd"/>
      <w:r>
        <w:t xml:space="preserve">.  (2015), Universal Basic Skills: What Countries Stand to Gain and OECD E. </w:t>
      </w:r>
      <w:proofErr w:type="spellStart"/>
      <w:r>
        <w:t>Hanushek</w:t>
      </w:r>
      <w:proofErr w:type="spellEnd"/>
      <w:r>
        <w:t xml:space="preserve"> and L. </w:t>
      </w:r>
      <w:proofErr w:type="spellStart"/>
      <w:r>
        <w:t>Woessmann</w:t>
      </w:r>
      <w:proofErr w:type="spellEnd"/>
      <w:r>
        <w:t>.  (2010), T</w:t>
      </w:r>
      <w:r w:rsidRPr="004E16ED">
        <w:t>he High Cost of Low Educational Performance</w:t>
      </w:r>
      <w:r w:rsidRPr="004E16ED" w:rsidDel="00F16C0A">
        <w:t xml:space="preserve"> </w:t>
      </w:r>
    </w:p>
  </w:footnote>
  <w:footnote w:id="95">
    <w:p w14:paraId="07580F35" w14:textId="321503ED" w:rsidR="00051F36" w:rsidRPr="00824934" w:rsidRDefault="00051F36">
      <w:pPr>
        <w:pStyle w:val="FootnoteText"/>
      </w:pPr>
      <w:r w:rsidRPr="00824934">
        <w:rPr>
          <w:rStyle w:val="FootnoteReference"/>
        </w:rPr>
        <w:footnoteRef/>
      </w:r>
      <w:r w:rsidRPr="00824934">
        <w:t xml:space="preserve"> </w:t>
      </w:r>
      <w:r w:rsidRPr="00601741">
        <w:rPr>
          <w:rFonts w:ascii="Arial" w:hAnsi="Arial" w:cs="Arial"/>
        </w:rPr>
        <w:t>OECD 2015, p 50. The authors modelled the impact over an 80 year period to correspond to average life expectancy at the outset of the reform. The value of the reform is the discounted value of future increases in GDP until 2095 due to the reform, expressed in US dollars (PPP). The authors modelled the impact over an 80 year period to correspond to average life expectancy at the outset of the reform.</w:t>
      </w:r>
    </w:p>
  </w:footnote>
  <w:footnote w:id="96">
    <w:p w14:paraId="3BC59E2E" w14:textId="3000FA52" w:rsidR="00051F36" w:rsidRPr="00824934" w:rsidRDefault="00051F36">
      <w:pPr>
        <w:pStyle w:val="FootnoteText"/>
      </w:pPr>
      <w:r w:rsidRPr="00824934">
        <w:rPr>
          <w:rStyle w:val="FootnoteReference"/>
        </w:rPr>
        <w:footnoteRef/>
      </w:r>
      <w:r w:rsidRPr="00824934">
        <w:t xml:space="preserve"> </w:t>
      </w:r>
      <w:r w:rsidRPr="00601741">
        <w:rPr>
          <w:rFonts w:ascii="Arial" w:hAnsi="Arial" w:cs="Arial"/>
        </w:rPr>
        <w:t xml:space="preserve">OECD 2015, p 63. The value of the reform is the discounted value of future increases in GDP until 2095 due to the reform, expressed in US dollars (PPP). In Australia’s case, ensuring all students achieve universal basic skills at </w:t>
      </w:r>
      <w:proofErr w:type="spellStart"/>
      <w:r w:rsidRPr="00601741">
        <w:rPr>
          <w:rFonts w:ascii="Arial" w:hAnsi="Arial" w:cs="Arial"/>
        </w:rPr>
        <w:t>PISA’s</w:t>
      </w:r>
      <w:proofErr w:type="spellEnd"/>
      <w:r w:rsidRPr="00601741">
        <w:rPr>
          <w:rFonts w:ascii="Arial" w:hAnsi="Arial" w:cs="Arial"/>
        </w:rPr>
        <w:t xml:space="preserve"> minimum standard of proficiency would imply an increase in Australia’s PISA score of around 10 points.</w:t>
      </w:r>
    </w:p>
  </w:footnote>
  <w:footnote w:id="97">
    <w:p w14:paraId="1CB81FB5" w14:textId="1CEBFB39" w:rsidR="00051F36" w:rsidRPr="00824934" w:rsidRDefault="00051F36">
      <w:pPr>
        <w:pStyle w:val="FootnoteText"/>
      </w:pPr>
      <w:r w:rsidRPr="00824934">
        <w:rPr>
          <w:rStyle w:val="FootnoteReference"/>
        </w:rPr>
        <w:footnoteRef/>
      </w:r>
      <w:r w:rsidRPr="00824934">
        <w:t xml:space="preserve"> </w:t>
      </w:r>
      <w:r w:rsidRPr="00601741">
        <w:rPr>
          <w:rFonts w:ascii="Arial" w:hAnsi="Arial" w:cs="Arial"/>
        </w:rPr>
        <w:t>OECD 2015, p 11</w:t>
      </w:r>
    </w:p>
  </w:footnote>
  <w:footnote w:id="98">
    <w:p w14:paraId="74E0F00A" w14:textId="6703E92A" w:rsidR="00051F36" w:rsidRDefault="00051F36">
      <w:pPr>
        <w:pStyle w:val="FootnoteText"/>
      </w:pPr>
      <w:r w:rsidRPr="00824934">
        <w:rPr>
          <w:rStyle w:val="FootnoteReference"/>
        </w:rPr>
        <w:footnoteRef/>
      </w:r>
      <w:r w:rsidRPr="00824934">
        <w:t xml:space="preserve"> </w:t>
      </w:r>
      <w:r w:rsidRPr="00601741">
        <w:rPr>
          <w:rFonts w:ascii="Arial" w:hAnsi="Arial" w:cs="Arial"/>
        </w:rPr>
        <w:t>Jensen B. 2010 Investing in our teachers, investing in our economy, Grattan Institute, Melbourne, pp 17-18.</w:t>
      </w:r>
    </w:p>
  </w:footnote>
  <w:footnote w:id="99">
    <w:p w14:paraId="659127A1" w14:textId="6E7E1386" w:rsidR="00051F36" w:rsidRPr="00824934" w:rsidRDefault="00051F36">
      <w:pPr>
        <w:pStyle w:val="FootnoteText"/>
      </w:pPr>
      <w:r w:rsidRPr="00824934">
        <w:rPr>
          <w:rStyle w:val="FootnoteReference"/>
        </w:rPr>
        <w:footnoteRef/>
      </w:r>
      <w:r w:rsidRPr="00824934">
        <w:t xml:space="preserve"> </w:t>
      </w:r>
      <w:r w:rsidRPr="00601741">
        <w:rPr>
          <w:rFonts w:ascii="Arial" w:hAnsi="Arial" w:cs="Arial"/>
          <w:color w:val="000000"/>
          <w:shd w:val="clear" w:color="auto" w:fill="FFFFFF"/>
        </w:rPr>
        <w:t>OECD .  (2010), ‘The High Cost of Low Educational Performance: The Long-run Economic Impact of Improving PISA Outcomes</w:t>
      </w:r>
      <w:r w:rsidRPr="00601741">
        <w:rPr>
          <w:rFonts w:ascii="Arial" w:hAnsi="Arial" w:cs="Arial"/>
          <w:i/>
          <w:iCs/>
          <w:color w:val="000000"/>
          <w:shd w:val="clear" w:color="auto" w:fill="FFFFFF"/>
        </w:rPr>
        <w:t>’</w:t>
      </w:r>
      <w:r w:rsidRPr="00601741">
        <w:rPr>
          <w:rFonts w:ascii="Arial" w:hAnsi="Arial" w:cs="Arial"/>
          <w:color w:val="000000"/>
          <w:shd w:val="clear" w:color="auto" w:fill="FFFFFF"/>
        </w:rPr>
        <w:t>,</w:t>
      </w:r>
      <w:r w:rsidRPr="00601741">
        <w:rPr>
          <w:rFonts w:ascii="Arial" w:hAnsi="Arial" w:cs="Arial"/>
          <w:i/>
          <w:iCs/>
          <w:color w:val="000000"/>
          <w:shd w:val="clear" w:color="auto" w:fill="FFFFFF"/>
        </w:rPr>
        <w:t xml:space="preserve"> PISA</w:t>
      </w:r>
      <w:r w:rsidRPr="00601741">
        <w:rPr>
          <w:rFonts w:ascii="Arial" w:hAnsi="Arial" w:cs="Arial"/>
          <w:color w:val="000000"/>
          <w:shd w:val="clear" w:color="auto" w:fill="FFFFFF"/>
        </w:rPr>
        <w:t xml:space="preserve">, OECD Publishing, Paris. </w:t>
      </w:r>
      <w:proofErr w:type="spellStart"/>
      <w:r w:rsidRPr="00601741">
        <w:rPr>
          <w:rFonts w:ascii="Arial" w:hAnsi="Arial" w:cs="Arial"/>
          <w:color w:val="000000"/>
          <w:shd w:val="clear" w:color="auto" w:fill="FFFFFF"/>
        </w:rPr>
        <w:t>DOI</w:t>
      </w:r>
      <w:proofErr w:type="spellEnd"/>
      <w:r w:rsidRPr="00601741">
        <w:rPr>
          <w:rFonts w:ascii="Arial" w:hAnsi="Arial" w:cs="Arial"/>
          <w:color w:val="000000"/>
          <w:shd w:val="clear" w:color="auto" w:fill="FFFFFF"/>
        </w:rPr>
        <w:t xml:space="preserve">, </w:t>
      </w:r>
      <w:proofErr w:type="spellStart"/>
      <w:r w:rsidRPr="00601741">
        <w:rPr>
          <w:rFonts w:ascii="Arial" w:hAnsi="Arial" w:cs="Arial"/>
          <w:color w:val="000000"/>
          <w:shd w:val="clear" w:color="auto" w:fill="FFFFFF"/>
        </w:rPr>
        <w:t>pp.9</w:t>
      </w:r>
      <w:proofErr w:type="spellEnd"/>
      <w:r w:rsidRPr="00601741">
        <w:rPr>
          <w:rFonts w:ascii="Arial" w:hAnsi="Arial" w:cs="Arial"/>
          <w:color w:val="000000"/>
          <w:shd w:val="clear" w:color="auto" w:fill="FFFFFF"/>
        </w:rPr>
        <w:t>, viewed 23 May 2016,:</w:t>
      </w:r>
    </w:p>
  </w:footnote>
  <w:footnote w:id="100">
    <w:p w14:paraId="5DD085A5" w14:textId="18B0E620" w:rsidR="00051F36" w:rsidRDefault="00051F36">
      <w:pPr>
        <w:pStyle w:val="FootnoteText"/>
      </w:pPr>
      <w:r w:rsidRPr="00824934">
        <w:rPr>
          <w:rStyle w:val="FootnoteReference"/>
        </w:rPr>
        <w:footnoteRef/>
      </w:r>
      <w:r w:rsidRPr="00824934">
        <w:t xml:space="preserve"> </w:t>
      </w:r>
      <w:r w:rsidRPr="00824934">
        <w:rPr>
          <w:rFonts w:ascii="Arial" w:eastAsia="MS Mincho" w:hAnsi="Arial" w:cs="Arial"/>
          <w:color w:val="4B4B4B"/>
          <w:spacing w:val="0"/>
          <w:shd w:val="clear" w:color="auto" w:fill="FFFFFF"/>
          <w:lang w:eastAsia="ja-JP"/>
        </w:rPr>
        <w:t>OECD,.  (2010), ‘</w:t>
      </w:r>
      <w:r w:rsidRPr="00824934">
        <w:rPr>
          <w:rFonts w:ascii="Arial" w:eastAsia="MS Mincho" w:hAnsi="Arial" w:cs="Arial"/>
          <w:color w:val="000000"/>
          <w:spacing w:val="0"/>
          <w:shd w:val="clear" w:color="auto" w:fill="FFFFFF"/>
          <w:lang w:eastAsia="ja-JP"/>
        </w:rPr>
        <w:t xml:space="preserve">Improving Health and Social Cohesion through Education, Educational Research and Innovation’, </w:t>
      </w:r>
      <w:r w:rsidRPr="00824934">
        <w:rPr>
          <w:rFonts w:ascii="Arial" w:eastAsia="MS Mincho" w:hAnsi="Arial" w:cs="Arial"/>
          <w:i/>
          <w:iCs/>
          <w:color w:val="000000"/>
          <w:spacing w:val="0"/>
          <w:shd w:val="clear" w:color="auto" w:fill="FFFFFF"/>
          <w:lang w:eastAsia="ja-JP"/>
        </w:rPr>
        <w:t>OECD Publishing</w:t>
      </w:r>
      <w:r w:rsidRPr="00824934">
        <w:rPr>
          <w:rFonts w:ascii="Arial" w:eastAsia="MS Mincho" w:hAnsi="Arial" w:cs="Arial"/>
          <w:color w:val="000000"/>
          <w:spacing w:val="0"/>
          <w:shd w:val="clear" w:color="auto" w:fill="FFFFFF"/>
          <w:lang w:eastAsia="ja-JP"/>
        </w:rPr>
        <w:t xml:space="preserve">, Paris. </w:t>
      </w:r>
      <w:proofErr w:type="spellStart"/>
      <w:r w:rsidRPr="00824934">
        <w:rPr>
          <w:rFonts w:ascii="Arial" w:eastAsia="MS Mincho" w:hAnsi="Arial" w:cs="Arial"/>
          <w:color w:val="000000"/>
          <w:spacing w:val="0"/>
          <w:shd w:val="clear" w:color="auto" w:fill="FFFFFF"/>
          <w:lang w:eastAsia="ja-JP"/>
        </w:rPr>
        <w:t>DOI</w:t>
      </w:r>
      <w:proofErr w:type="spellEnd"/>
      <w:r w:rsidRPr="00824934">
        <w:rPr>
          <w:rFonts w:ascii="Arial" w:eastAsia="MS Mincho" w:hAnsi="Arial" w:cs="Arial"/>
          <w:color w:val="000000"/>
          <w:spacing w:val="0"/>
          <w:shd w:val="clear" w:color="auto" w:fill="FFFFFF"/>
          <w:lang w:eastAsia="ja-JP"/>
        </w:rPr>
        <w:t xml:space="preserve">. viewed 23 May 2016,:&lt; </w:t>
      </w:r>
      <w:hyperlink r:id="rId54" w:history="1">
        <w:r w:rsidRPr="00824934">
          <w:rPr>
            <w:rFonts w:ascii="Arial" w:eastAsia="MS Mincho" w:hAnsi="Arial" w:cs="Arial"/>
            <w:color w:val="000000"/>
            <w:spacing w:val="0"/>
            <w:u w:val="single"/>
            <w:shd w:val="clear" w:color="auto" w:fill="FFFFFF"/>
            <w:lang w:eastAsia="ja-JP"/>
          </w:rPr>
          <w:t>http://</w:t>
        </w:r>
        <w:proofErr w:type="spellStart"/>
        <w:r w:rsidRPr="00824934">
          <w:rPr>
            <w:rFonts w:ascii="Arial" w:eastAsia="MS Mincho" w:hAnsi="Arial" w:cs="Arial"/>
            <w:color w:val="000000"/>
            <w:spacing w:val="0"/>
            <w:u w:val="single"/>
            <w:shd w:val="clear" w:color="auto" w:fill="FFFFFF"/>
            <w:lang w:eastAsia="ja-JP"/>
          </w:rPr>
          <w:t>dx.doi.org</w:t>
        </w:r>
        <w:proofErr w:type="spellEnd"/>
        <w:r w:rsidRPr="00824934">
          <w:rPr>
            <w:rFonts w:ascii="Arial" w:eastAsia="MS Mincho" w:hAnsi="Arial" w:cs="Arial"/>
            <w:color w:val="000000"/>
            <w:spacing w:val="0"/>
            <w:u w:val="single"/>
            <w:shd w:val="clear" w:color="auto" w:fill="FFFFFF"/>
            <w:lang w:eastAsia="ja-JP"/>
          </w:rPr>
          <w:t>/10.1787/9789264086319-en</w:t>
        </w:r>
      </w:hyperlink>
      <w:r w:rsidRPr="00824934">
        <w:rPr>
          <w:rFonts w:ascii="Arial" w:eastAsia="MS Mincho" w:hAnsi="Arial" w:cs="Arial"/>
          <w:color w:val="000000"/>
          <w:spacing w:val="0"/>
          <w:lang w:eastAsia="ja-JP"/>
        </w:rPr>
        <w:t>&gt;</w:t>
      </w:r>
    </w:p>
  </w:footnote>
  <w:footnote w:id="101">
    <w:p w14:paraId="7B0F87B7" w14:textId="268BCFE3" w:rsidR="00051F36" w:rsidRDefault="00051F36">
      <w:pPr>
        <w:pStyle w:val="FootnoteText"/>
      </w:pPr>
      <w:r>
        <w:rPr>
          <w:rStyle w:val="FootnoteReference"/>
        </w:rPr>
        <w:footnoteRef/>
      </w:r>
      <w:r>
        <w:t xml:space="preserve"> </w:t>
      </w:r>
      <w:r>
        <w:rPr>
          <w:rFonts w:ascii="Arial" w:hAnsi="Arial" w:cs="Arial"/>
          <w:color w:val="000000"/>
        </w:rPr>
        <w:t xml:space="preserve">National Schools Interoperability Program 2016, viewed 23 May 2016, </w:t>
      </w:r>
      <w:r>
        <w:rPr>
          <w:rFonts w:ascii="Arial" w:hAnsi="Arial" w:cs="Arial"/>
          <w:color w:val="000000"/>
          <w:sz w:val="10"/>
          <w:szCs w:val="10"/>
          <w:vertAlign w:val="subscript"/>
        </w:rPr>
        <w:t>&lt;</w:t>
      </w:r>
      <w:r>
        <w:rPr>
          <w:rFonts w:ascii="Arial" w:hAnsi="Arial" w:cs="Arial"/>
          <w:color w:val="000000"/>
        </w:rPr>
        <w:t xml:space="preserve"> &lt;http://</w:t>
      </w:r>
      <w:proofErr w:type="spellStart"/>
      <w:r>
        <w:rPr>
          <w:rFonts w:ascii="Arial" w:hAnsi="Arial" w:cs="Arial"/>
          <w:color w:val="000000"/>
        </w:rPr>
        <w:t>www.nsip.edu.au</w:t>
      </w:r>
      <w:proofErr w:type="spellEnd"/>
      <w:r>
        <w:rPr>
          <w:rFonts w:ascii="Arial" w:hAnsi="Arial" w:cs="Arial"/>
          <w:color w:val="000000"/>
        </w:rPr>
        <w:t>/&gt;</w:t>
      </w:r>
    </w:p>
  </w:footnote>
  <w:footnote w:id="102">
    <w:p w14:paraId="0C60E447" w14:textId="4D75276C"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proofErr w:type="spellStart"/>
      <w:r w:rsidRPr="00601741">
        <w:rPr>
          <w:rFonts w:ascii="Arial" w:hAnsi="Arial" w:cs="Arial"/>
          <w:color w:val="000000" w:themeColor="text1"/>
        </w:rPr>
        <w:t>Penuel</w:t>
      </w:r>
      <w:proofErr w:type="spellEnd"/>
      <w:r w:rsidRPr="00601741">
        <w:rPr>
          <w:rFonts w:ascii="Arial" w:hAnsi="Arial" w:cs="Arial"/>
          <w:color w:val="000000" w:themeColor="text1"/>
        </w:rPr>
        <w:t xml:space="preserve">, W.R. &amp; Coburn, </w:t>
      </w:r>
      <w:proofErr w:type="spellStart"/>
      <w:r w:rsidRPr="00601741">
        <w:rPr>
          <w:rFonts w:ascii="Arial" w:hAnsi="Arial" w:cs="Arial"/>
          <w:color w:val="000000" w:themeColor="text1"/>
        </w:rPr>
        <w:t>C.E</w:t>
      </w:r>
      <w:proofErr w:type="spellEnd"/>
      <w:r w:rsidRPr="00601741">
        <w:rPr>
          <w:rFonts w:ascii="Arial" w:hAnsi="Arial" w:cs="Arial"/>
          <w:color w:val="000000" w:themeColor="text1"/>
        </w:rPr>
        <w:t xml:space="preserve">. 2014, ‘“Introduction to Part: Research Use at the School and District Level,’ in </w:t>
      </w:r>
      <w:proofErr w:type="spellStart"/>
      <w:r w:rsidRPr="00601741">
        <w:rPr>
          <w:rFonts w:ascii="Arial" w:hAnsi="Arial" w:cs="Arial"/>
          <w:color w:val="000000" w:themeColor="text1"/>
        </w:rPr>
        <w:t>K.S</w:t>
      </w:r>
      <w:proofErr w:type="spellEnd"/>
      <w:r w:rsidRPr="00601741">
        <w:rPr>
          <w:rFonts w:ascii="Arial" w:hAnsi="Arial" w:cs="Arial"/>
          <w:color w:val="000000" w:themeColor="text1"/>
        </w:rPr>
        <w:t xml:space="preserve">. </w:t>
      </w:r>
      <w:proofErr w:type="spellStart"/>
      <w:r w:rsidRPr="00601741">
        <w:rPr>
          <w:rFonts w:ascii="Arial" w:hAnsi="Arial" w:cs="Arial"/>
          <w:color w:val="000000" w:themeColor="text1"/>
        </w:rPr>
        <w:t>Finnigan</w:t>
      </w:r>
      <w:proofErr w:type="spellEnd"/>
      <w:r w:rsidRPr="00601741">
        <w:rPr>
          <w:rFonts w:ascii="Arial" w:hAnsi="Arial" w:cs="Arial"/>
          <w:color w:val="000000" w:themeColor="text1"/>
        </w:rPr>
        <w:t xml:space="preserve"> &amp; </w:t>
      </w:r>
      <w:proofErr w:type="spellStart"/>
      <w:r w:rsidRPr="00601741">
        <w:rPr>
          <w:rFonts w:ascii="Arial" w:hAnsi="Arial" w:cs="Arial"/>
          <w:color w:val="000000" w:themeColor="text1"/>
        </w:rPr>
        <w:t>A.J</w:t>
      </w:r>
      <w:proofErr w:type="spellEnd"/>
      <w:r w:rsidRPr="00601741">
        <w:rPr>
          <w:rFonts w:ascii="Arial" w:hAnsi="Arial" w:cs="Arial"/>
          <w:color w:val="000000" w:themeColor="text1"/>
        </w:rPr>
        <w:t xml:space="preserve">. Daly, </w:t>
      </w:r>
      <w:proofErr w:type="spellStart"/>
      <w:r w:rsidRPr="00601741">
        <w:rPr>
          <w:rFonts w:ascii="Arial" w:hAnsi="Arial" w:cs="Arial"/>
          <w:color w:val="000000" w:themeColor="text1"/>
        </w:rPr>
        <w:t>eds</w:t>
      </w:r>
      <w:proofErr w:type="spellEnd"/>
      <w:r w:rsidRPr="00601741">
        <w:rPr>
          <w:rFonts w:ascii="Arial" w:hAnsi="Arial" w:cs="Arial"/>
          <w:color w:val="000000" w:themeColor="text1"/>
        </w:rPr>
        <w:t xml:space="preserve">, </w:t>
      </w:r>
      <w:r w:rsidRPr="00601741">
        <w:rPr>
          <w:rFonts w:ascii="Arial" w:hAnsi="Arial" w:cs="Arial"/>
          <w:i/>
          <w:iCs/>
          <w:color w:val="000000" w:themeColor="text1"/>
        </w:rPr>
        <w:t>Using Research Evidence in Education: From the Schoolhouse Door to Capitol Hill</w:t>
      </w:r>
      <w:r w:rsidRPr="00601741">
        <w:rPr>
          <w:rFonts w:ascii="Arial" w:hAnsi="Arial" w:cs="Arial"/>
          <w:color w:val="000000" w:themeColor="text1"/>
        </w:rPr>
        <w:t>, Springer International Publishing, pp. 10.</w:t>
      </w:r>
    </w:p>
  </w:footnote>
  <w:footnote w:id="103">
    <w:p w14:paraId="65B26E4F" w14:textId="32176659"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ibid., pp. 9.</w:t>
      </w:r>
    </w:p>
  </w:footnote>
  <w:footnote w:id="104">
    <w:p w14:paraId="2A41A34F" w14:textId="646ADFD9"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 xml:space="preserve">Granger, </w:t>
      </w:r>
      <w:proofErr w:type="spellStart"/>
      <w:r w:rsidRPr="00601741">
        <w:rPr>
          <w:rFonts w:ascii="Arial" w:hAnsi="Arial" w:cs="Arial"/>
          <w:color w:val="000000" w:themeColor="text1"/>
        </w:rPr>
        <w:t>R.C</w:t>
      </w:r>
      <w:proofErr w:type="spellEnd"/>
      <w:r w:rsidRPr="00601741">
        <w:rPr>
          <w:rFonts w:ascii="Arial" w:hAnsi="Arial" w:cs="Arial"/>
          <w:color w:val="000000" w:themeColor="text1"/>
        </w:rPr>
        <w:t xml:space="preserve">. 2014, ‘Foreword’, </w:t>
      </w:r>
      <w:r w:rsidRPr="00601741">
        <w:rPr>
          <w:rFonts w:ascii="Arial" w:hAnsi="Arial" w:cs="Arial"/>
          <w:i/>
          <w:iCs/>
          <w:color w:val="000000" w:themeColor="text1"/>
        </w:rPr>
        <w:t>Using Research Evidence in Education: From the Schoolhouse Door to Capitol Hill</w:t>
      </w:r>
      <w:r w:rsidRPr="00601741">
        <w:rPr>
          <w:rFonts w:ascii="Arial" w:hAnsi="Arial" w:cs="Arial"/>
          <w:color w:val="000000" w:themeColor="text1"/>
        </w:rPr>
        <w:t xml:space="preserve">, in </w:t>
      </w:r>
      <w:proofErr w:type="spellStart"/>
      <w:r w:rsidRPr="00601741">
        <w:rPr>
          <w:rFonts w:ascii="Arial" w:hAnsi="Arial" w:cs="Arial"/>
          <w:color w:val="000000" w:themeColor="text1"/>
        </w:rPr>
        <w:t>K.S</w:t>
      </w:r>
      <w:proofErr w:type="spellEnd"/>
      <w:r w:rsidRPr="00601741">
        <w:rPr>
          <w:rFonts w:ascii="Arial" w:hAnsi="Arial" w:cs="Arial"/>
          <w:color w:val="000000" w:themeColor="text1"/>
        </w:rPr>
        <w:t xml:space="preserve">. Finnegan and </w:t>
      </w:r>
      <w:proofErr w:type="spellStart"/>
      <w:r w:rsidRPr="00601741">
        <w:rPr>
          <w:rFonts w:ascii="Arial" w:hAnsi="Arial" w:cs="Arial"/>
          <w:color w:val="000000" w:themeColor="text1"/>
        </w:rPr>
        <w:t>A.J</w:t>
      </w:r>
      <w:proofErr w:type="spellEnd"/>
      <w:r w:rsidRPr="00601741">
        <w:rPr>
          <w:rFonts w:ascii="Arial" w:hAnsi="Arial" w:cs="Arial"/>
          <w:color w:val="000000" w:themeColor="text1"/>
        </w:rPr>
        <w:t xml:space="preserve">. Daly, </w:t>
      </w:r>
      <w:proofErr w:type="spellStart"/>
      <w:r w:rsidRPr="00601741">
        <w:rPr>
          <w:rFonts w:ascii="Arial" w:hAnsi="Arial" w:cs="Arial"/>
          <w:color w:val="000000" w:themeColor="text1"/>
        </w:rPr>
        <w:t>eds</w:t>
      </w:r>
      <w:proofErr w:type="spellEnd"/>
      <w:r w:rsidRPr="00601741">
        <w:rPr>
          <w:rFonts w:ascii="Arial" w:hAnsi="Arial" w:cs="Arial"/>
          <w:color w:val="000000" w:themeColor="text1"/>
        </w:rPr>
        <w:t>, Springer International Publishing, pp. ix.</w:t>
      </w:r>
    </w:p>
  </w:footnote>
  <w:footnote w:id="105">
    <w:p w14:paraId="575B270F" w14:textId="588569D9"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ibid., pp. vii.</w:t>
      </w:r>
    </w:p>
  </w:footnote>
  <w:footnote w:id="106">
    <w:p w14:paraId="0BF21789" w14:textId="7D5A0235"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proofErr w:type="spellStart"/>
      <w:r w:rsidRPr="00601741">
        <w:rPr>
          <w:rFonts w:ascii="Arial" w:hAnsi="Arial" w:cs="Arial"/>
          <w:color w:val="000000" w:themeColor="text1"/>
        </w:rPr>
        <w:t>Honig</w:t>
      </w:r>
      <w:proofErr w:type="spellEnd"/>
      <w:r w:rsidRPr="00601741">
        <w:rPr>
          <w:rFonts w:ascii="Arial" w:hAnsi="Arial" w:cs="Arial"/>
          <w:color w:val="000000" w:themeColor="text1"/>
        </w:rPr>
        <w:t xml:space="preserve">, </w:t>
      </w:r>
      <w:proofErr w:type="spellStart"/>
      <w:r w:rsidRPr="00601741">
        <w:rPr>
          <w:rFonts w:ascii="Arial" w:hAnsi="Arial" w:cs="Arial"/>
          <w:color w:val="000000" w:themeColor="text1"/>
        </w:rPr>
        <w:t>M.I</w:t>
      </w:r>
      <w:proofErr w:type="spellEnd"/>
      <w:r w:rsidRPr="00601741">
        <w:rPr>
          <w:rFonts w:ascii="Arial" w:hAnsi="Arial" w:cs="Arial"/>
          <w:color w:val="000000" w:themeColor="text1"/>
        </w:rPr>
        <w:t xml:space="preserve">. </w:t>
      </w:r>
      <w:proofErr w:type="spellStart"/>
      <w:r w:rsidRPr="00601741">
        <w:rPr>
          <w:rFonts w:ascii="Arial" w:hAnsi="Arial" w:cs="Arial"/>
          <w:color w:val="000000" w:themeColor="text1"/>
        </w:rPr>
        <w:t>Venkateswaran</w:t>
      </w:r>
      <w:proofErr w:type="spellEnd"/>
      <w:r w:rsidRPr="00601741">
        <w:rPr>
          <w:rFonts w:ascii="Arial" w:hAnsi="Arial" w:cs="Arial"/>
          <w:color w:val="000000" w:themeColor="text1"/>
        </w:rPr>
        <w:t xml:space="preserve">, N. McNeil, P. &amp; </w:t>
      </w:r>
      <w:proofErr w:type="spellStart"/>
      <w:r w:rsidRPr="00601741">
        <w:rPr>
          <w:rFonts w:ascii="Arial" w:hAnsi="Arial" w:cs="Arial"/>
          <w:color w:val="000000" w:themeColor="text1"/>
        </w:rPr>
        <w:t>Twitchell</w:t>
      </w:r>
      <w:proofErr w:type="spellEnd"/>
      <w:r w:rsidRPr="00601741">
        <w:rPr>
          <w:rFonts w:ascii="Arial" w:hAnsi="Arial" w:cs="Arial"/>
          <w:color w:val="000000" w:themeColor="text1"/>
        </w:rPr>
        <w:t xml:space="preserve">, </w:t>
      </w:r>
      <w:proofErr w:type="spellStart"/>
      <w:r w:rsidRPr="00601741">
        <w:rPr>
          <w:rFonts w:ascii="Arial" w:hAnsi="Arial" w:cs="Arial"/>
          <w:color w:val="000000" w:themeColor="text1"/>
        </w:rPr>
        <w:t>J.M</w:t>
      </w:r>
      <w:proofErr w:type="spellEnd"/>
      <w:r w:rsidRPr="00601741">
        <w:rPr>
          <w:rFonts w:ascii="Arial" w:hAnsi="Arial" w:cs="Arial"/>
          <w:color w:val="000000" w:themeColor="text1"/>
        </w:rPr>
        <w:t xml:space="preserve">. 2014, ‘Leaders’ Use of Research for Fundamental Change in School District Central Offices: Processes and Challenges,’ in </w:t>
      </w:r>
      <w:proofErr w:type="spellStart"/>
      <w:r w:rsidRPr="00601741">
        <w:rPr>
          <w:rFonts w:ascii="Arial" w:hAnsi="Arial" w:cs="Arial"/>
          <w:color w:val="000000" w:themeColor="text1"/>
        </w:rPr>
        <w:t>K.S</w:t>
      </w:r>
      <w:proofErr w:type="spellEnd"/>
      <w:r w:rsidRPr="00601741">
        <w:rPr>
          <w:rFonts w:ascii="Arial" w:hAnsi="Arial" w:cs="Arial"/>
          <w:color w:val="000000" w:themeColor="text1"/>
        </w:rPr>
        <w:t xml:space="preserve"> Finnegan and </w:t>
      </w:r>
      <w:proofErr w:type="spellStart"/>
      <w:r w:rsidRPr="00601741">
        <w:rPr>
          <w:rFonts w:ascii="Arial" w:hAnsi="Arial" w:cs="Arial"/>
          <w:color w:val="000000" w:themeColor="text1"/>
        </w:rPr>
        <w:t>A.J</w:t>
      </w:r>
      <w:proofErr w:type="spellEnd"/>
      <w:r w:rsidRPr="00601741">
        <w:rPr>
          <w:rFonts w:ascii="Arial" w:hAnsi="Arial" w:cs="Arial"/>
          <w:color w:val="000000" w:themeColor="text1"/>
        </w:rPr>
        <w:t xml:space="preserve">. Daly, eds. </w:t>
      </w:r>
      <w:r w:rsidRPr="00601741">
        <w:rPr>
          <w:rFonts w:ascii="Arial" w:hAnsi="Arial" w:cs="Arial"/>
          <w:i/>
          <w:iCs/>
          <w:color w:val="000000" w:themeColor="text1"/>
        </w:rPr>
        <w:t>Using Research Evidence in Education: From the Schoolhouse Door to Capitol Hill</w:t>
      </w:r>
      <w:r w:rsidRPr="00601741">
        <w:rPr>
          <w:rFonts w:ascii="Arial" w:hAnsi="Arial" w:cs="Arial"/>
          <w:color w:val="000000" w:themeColor="text1"/>
        </w:rPr>
        <w:t xml:space="preserve">, Springer International Publishing, </w:t>
      </w:r>
      <w:proofErr w:type="spellStart"/>
      <w:r w:rsidRPr="00601741">
        <w:rPr>
          <w:rFonts w:ascii="Arial" w:hAnsi="Arial" w:cs="Arial"/>
          <w:color w:val="000000" w:themeColor="text1"/>
        </w:rPr>
        <w:t>pp.37</w:t>
      </w:r>
      <w:proofErr w:type="spellEnd"/>
      <w:r w:rsidRPr="00601741">
        <w:rPr>
          <w:rFonts w:ascii="Arial" w:hAnsi="Arial" w:cs="Arial"/>
          <w:color w:val="000000" w:themeColor="text1"/>
        </w:rPr>
        <w:t>.</w:t>
      </w:r>
    </w:p>
  </w:footnote>
  <w:footnote w:id="107">
    <w:p w14:paraId="094D1DE9" w14:textId="2E753858" w:rsidR="00051F36" w:rsidRDefault="00051F3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Social Ventures Australia 2014, ‘Overcoming Barriers to Spreading Effective Practice,’ </w:t>
      </w:r>
      <w:r w:rsidRPr="00601741">
        <w:rPr>
          <w:rFonts w:ascii="Arial" w:eastAsia="MS Mincho" w:hAnsi="Arial" w:cs="Arial"/>
          <w:i/>
          <w:iCs/>
          <w:color w:val="000000" w:themeColor="text1"/>
          <w:spacing w:val="0"/>
          <w:lang w:eastAsia="ja-JP"/>
        </w:rPr>
        <w:t>Social Ventures Australia,</w:t>
      </w:r>
      <w:r w:rsidRPr="00601741">
        <w:rPr>
          <w:rFonts w:ascii="Arial" w:eastAsia="MS Mincho" w:hAnsi="Arial" w:cs="Arial"/>
          <w:color w:val="000000" w:themeColor="text1"/>
          <w:spacing w:val="0"/>
          <w:lang w:eastAsia="ja-JP"/>
        </w:rPr>
        <w:t xml:space="preserve"> viewed on 18 May 2016: </w:t>
      </w:r>
      <w:hyperlink r:id="rId55" w:history="1">
        <w:r w:rsidRPr="00601741">
          <w:rPr>
            <w:rFonts w:ascii="Arial" w:eastAsia="MS Mincho" w:hAnsi="Arial" w:cs="Arial"/>
            <w:color w:val="000000" w:themeColor="text1"/>
            <w:spacing w:val="0"/>
            <w:u w:val="single"/>
            <w:lang w:eastAsia="ja-JP"/>
          </w:rPr>
          <w:t>http://socialventures.com.au/assets/SVA-Education_Overcoming-Barriers-to-Spreading-Effective-Practice.pdf</w:t>
        </w:r>
      </w:hyperlink>
    </w:p>
  </w:footnote>
  <w:footnote w:id="108">
    <w:p w14:paraId="4039B10F" w14:textId="531F5C37" w:rsidR="00051F36" w:rsidRDefault="00051F3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Bush, J. 2014, ‘Spreading What Works in Education,’ </w:t>
      </w:r>
      <w:proofErr w:type="spellStart"/>
      <w:r w:rsidRPr="00601741">
        <w:rPr>
          <w:rFonts w:ascii="Arial" w:eastAsia="MS Mincho" w:hAnsi="Arial" w:cs="Arial"/>
          <w:i/>
          <w:iCs/>
          <w:color w:val="000000" w:themeColor="text1"/>
          <w:spacing w:val="0"/>
          <w:lang w:eastAsia="ja-JP"/>
        </w:rPr>
        <w:t>SVA</w:t>
      </w:r>
      <w:proofErr w:type="spellEnd"/>
      <w:r w:rsidRPr="00601741">
        <w:rPr>
          <w:rFonts w:ascii="Arial" w:eastAsia="MS Mincho" w:hAnsi="Arial" w:cs="Arial"/>
          <w:i/>
          <w:iCs/>
          <w:color w:val="000000" w:themeColor="text1"/>
          <w:spacing w:val="0"/>
          <w:lang w:eastAsia="ja-JP"/>
        </w:rPr>
        <w:t xml:space="preserve"> Quarterly,</w:t>
      </w:r>
      <w:r w:rsidRPr="00601741">
        <w:rPr>
          <w:rFonts w:ascii="Arial" w:eastAsia="MS Mincho" w:hAnsi="Arial" w:cs="Arial"/>
          <w:color w:val="000000" w:themeColor="text1"/>
          <w:spacing w:val="0"/>
          <w:lang w:eastAsia="ja-JP"/>
        </w:rPr>
        <w:t xml:space="preserve"> Issue 11, viewed 18 May 2016, &lt;</w:t>
      </w:r>
      <w:hyperlink r:id="rId56" w:history="1">
        <w:r w:rsidRPr="00601741">
          <w:rPr>
            <w:rFonts w:ascii="Arial" w:eastAsia="MS Mincho" w:hAnsi="Arial" w:cs="Arial"/>
            <w:color w:val="000000" w:themeColor="text1"/>
            <w:spacing w:val="0"/>
            <w:u w:val="single"/>
            <w:lang w:eastAsia="ja-JP"/>
          </w:rPr>
          <w:t>http://www.socialventures.com.au/sva-quarterly/spreading-what-works-in-education/</w:t>
        </w:r>
      </w:hyperlink>
      <w:r w:rsidRPr="00601741">
        <w:rPr>
          <w:rFonts w:ascii="Arial" w:eastAsia="MS Mincho" w:hAnsi="Arial" w:cs="Arial"/>
          <w:color w:val="000000" w:themeColor="text1"/>
          <w:spacing w:val="0"/>
          <w:lang w:eastAsia="ja-JP"/>
        </w:rPr>
        <w:t xml:space="preserve"> &gt;</w:t>
      </w:r>
    </w:p>
  </w:footnote>
  <w:footnote w:id="109">
    <w:p w14:paraId="222F7C70" w14:textId="5D0FDC91" w:rsidR="00051F36" w:rsidRPr="00601741" w:rsidRDefault="00051F36">
      <w:pPr>
        <w:pStyle w:val="FootnoteText"/>
        <w:rPr>
          <w:color w:val="000000" w:themeColor="text1"/>
        </w:rPr>
      </w:pPr>
      <w:r w:rsidRPr="00B773D8">
        <w:rPr>
          <w:rStyle w:val="FootnoteReference"/>
        </w:rPr>
        <w:footnoteRef/>
      </w:r>
      <w:r w:rsidRPr="00B773D8">
        <w:t xml:space="preserve"> </w:t>
      </w:r>
      <w:proofErr w:type="spellStart"/>
      <w:r w:rsidRPr="00601741">
        <w:rPr>
          <w:rFonts w:ascii="Arial" w:hAnsi="Arial" w:cs="Arial"/>
          <w:color w:val="000000"/>
        </w:rPr>
        <w:t>Honig</w:t>
      </w:r>
      <w:proofErr w:type="spellEnd"/>
      <w:r w:rsidRPr="00601741">
        <w:rPr>
          <w:rFonts w:ascii="Arial" w:hAnsi="Arial" w:cs="Arial"/>
          <w:color w:val="000000"/>
        </w:rPr>
        <w:t xml:space="preserve">, </w:t>
      </w:r>
      <w:proofErr w:type="spellStart"/>
      <w:r w:rsidRPr="00601741">
        <w:rPr>
          <w:rFonts w:ascii="Arial" w:hAnsi="Arial" w:cs="Arial"/>
          <w:color w:val="000000"/>
        </w:rPr>
        <w:t>M.I</w:t>
      </w:r>
      <w:proofErr w:type="spellEnd"/>
      <w:r w:rsidRPr="00601741">
        <w:rPr>
          <w:rFonts w:ascii="Arial" w:hAnsi="Arial" w:cs="Arial"/>
          <w:color w:val="000000"/>
        </w:rPr>
        <w:t xml:space="preserve">. </w:t>
      </w:r>
      <w:proofErr w:type="spellStart"/>
      <w:r w:rsidRPr="00601741">
        <w:rPr>
          <w:rFonts w:ascii="Arial" w:hAnsi="Arial" w:cs="Arial"/>
          <w:color w:val="000000"/>
        </w:rPr>
        <w:t>Venkateswaran</w:t>
      </w:r>
      <w:proofErr w:type="spellEnd"/>
      <w:r w:rsidRPr="00601741">
        <w:rPr>
          <w:rFonts w:ascii="Arial" w:hAnsi="Arial" w:cs="Arial"/>
          <w:color w:val="000000"/>
        </w:rPr>
        <w:t xml:space="preserve">, N. McNeil, P. &amp; </w:t>
      </w:r>
      <w:proofErr w:type="spellStart"/>
      <w:r w:rsidRPr="00601741">
        <w:rPr>
          <w:rFonts w:ascii="Arial" w:hAnsi="Arial" w:cs="Arial"/>
          <w:color w:val="000000"/>
        </w:rPr>
        <w:t>Twitchell</w:t>
      </w:r>
      <w:proofErr w:type="spellEnd"/>
      <w:r w:rsidRPr="00601741">
        <w:rPr>
          <w:rFonts w:ascii="Arial" w:hAnsi="Arial" w:cs="Arial"/>
          <w:color w:val="000000"/>
        </w:rPr>
        <w:t xml:space="preserve">, </w:t>
      </w:r>
      <w:proofErr w:type="spellStart"/>
      <w:r w:rsidRPr="00601741">
        <w:rPr>
          <w:rFonts w:ascii="Arial" w:hAnsi="Arial" w:cs="Arial"/>
          <w:color w:val="000000"/>
        </w:rPr>
        <w:t>J.M</w:t>
      </w:r>
      <w:proofErr w:type="spellEnd"/>
      <w:r w:rsidRPr="00601741">
        <w:rPr>
          <w:rFonts w:ascii="Arial" w:hAnsi="Arial" w:cs="Arial"/>
          <w:color w:val="000000"/>
        </w:rPr>
        <w:t xml:space="preserve">. 2014, ‘Leaders’ Use of Research for Fundamental Change in School District Central Offices: Processes and Challenges,’ in </w:t>
      </w:r>
      <w:proofErr w:type="spellStart"/>
      <w:r w:rsidRPr="00601741">
        <w:rPr>
          <w:rFonts w:ascii="Arial" w:hAnsi="Arial" w:cs="Arial"/>
          <w:color w:val="000000"/>
        </w:rPr>
        <w:t>K.S</w:t>
      </w:r>
      <w:proofErr w:type="spellEnd"/>
      <w:r w:rsidRPr="00601741">
        <w:rPr>
          <w:rFonts w:ascii="Arial" w:hAnsi="Arial" w:cs="Arial"/>
          <w:color w:val="000000"/>
        </w:rPr>
        <w:t xml:space="preserve"> Finnegan and </w:t>
      </w:r>
      <w:proofErr w:type="spellStart"/>
      <w:r w:rsidRPr="00601741">
        <w:rPr>
          <w:rFonts w:ascii="Arial" w:hAnsi="Arial" w:cs="Arial"/>
          <w:color w:val="000000"/>
        </w:rPr>
        <w:t>A.J</w:t>
      </w:r>
      <w:proofErr w:type="spellEnd"/>
      <w:r w:rsidRPr="00601741">
        <w:rPr>
          <w:rFonts w:ascii="Arial" w:hAnsi="Arial" w:cs="Arial"/>
          <w:color w:val="000000"/>
        </w:rPr>
        <w:t xml:space="preserve">. Daly, eds. </w:t>
      </w:r>
      <w:r w:rsidRPr="00601741">
        <w:rPr>
          <w:rFonts w:ascii="Arial" w:hAnsi="Arial" w:cs="Arial"/>
          <w:i/>
          <w:iCs/>
          <w:color w:val="000000"/>
        </w:rPr>
        <w:t xml:space="preserve">Using Research Evidence in Education: </w:t>
      </w:r>
      <w:r w:rsidRPr="00601741">
        <w:rPr>
          <w:rFonts w:ascii="Arial" w:hAnsi="Arial" w:cs="Arial"/>
          <w:i/>
          <w:iCs/>
          <w:color w:val="000000" w:themeColor="text1"/>
        </w:rPr>
        <w:t>From the Schoolhouse Door to Capitol Hill</w:t>
      </w:r>
      <w:r w:rsidRPr="00601741">
        <w:rPr>
          <w:rFonts w:ascii="Arial" w:hAnsi="Arial" w:cs="Arial"/>
          <w:color w:val="000000" w:themeColor="text1"/>
        </w:rPr>
        <w:t>, Springer International Publishing, pp. 37-8.</w:t>
      </w:r>
    </w:p>
  </w:footnote>
  <w:footnote w:id="110">
    <w:p w14:paraId="078D2B54" w14:textId="10F643F8" w:rsidR="00051F36" w:rsidRDefault="00051F36">
      <w:pPr>
        <w:pStyle w:val="FootnoteText"/>
      </w:pPr>
      <w:r w:rsidRPr="00601741">
        <w:rPr>
          <w:rStyle w:val="FootnoteReference"/>
          <w:color w:val="000000" w:themeColor="text1"/>
        </w:rPr>
        <w:footnoteRef/>
      </w:r>
      <w:r w:rsidRPr="00601741">
        <w:rPr>
          <w:color w:val="000000" w:themeColor="text1"/>
        </w:rPr>
        <w:t xml:space="preserve"> </w:t>
      </w:r>
      <w:proofErr w:type="spellStart"/>
      <w:r w:rsidRPr="00601741">
        <w:rPr>
          <w:rFonts w:ascii="Arial" w:eastAsia="MS Mincho" w:hAnsi="Arial" w:cs="Arial"/>
          <w:color w:val="000000" w:themeColor="text1"/>
          <w:spacing w:val="0"/>
          <w:lang w:eastAsia="ja-JP"/>
        </w:rPr>
        <w:t>Timperly</w:t>
      </w:r>
      <w:proofErr w:type="spellEnd"/>
      <w:r w:rsidRPr="00601741">
        <w:rPr>
          <w:rFonts w:ascii="Arial" w:eastAsia="MS Mincho" w:hAnsi="Arial" w:cs="Arial"/>
          <w:color w:val="000000" w:themeColor="text1"/>
          <w:spacing w:val="0"/>
          <w:lang w:eastAsia="ja-JP"/>
        </w:rPr>
        <w:t xml:space="preserve">, H. Wilson, A. </w:t>
      </w:r>
      <w:proofErr w:type="spellStart"/>
      <w:r w:rsidRPr="00601741">
        <w:rPr>
          <w:rFonts w:ascii="Arial" w:eastAsia="MS Mincho" w:hAnsi="Arial" w:cs="Arial"/>
          <w:color w:val="000000" w:themeColor="text1"/>
          <w:spacing w:val="0"/>
          <w:lang w:eastAsia="ja-JP"/>
        </w:rPr>
        <w:t>Barrar</w:t>
      </w:r>
      <w:proofErr w:type="spellEnd"/>
      <w:r w:rsidRPr="00601741">
        <w:rPr>
          <w:rFonts w:ascii="Arial" w:eastAsia="MS Mincho" w:hAnsi="Arial" w:cs="Arial"/>
          <w:color w:val="000000" w:themeColor="text1"/>
          <w:spacing w:val="0"/>
          <w:lang w:eastAsia="ja-JP"/>
        </w:rPr>
        <w:t>, H. &amp; Fung, I. 2007, ‘Teacher Professional Learning and Development: Best Evidence Synthesis Iteration’</w:t>
      </w:r>
      <w:r w:rsidRPr="00601741">
        <w:rPr>
          <w:rFonts w:ascii="Arial" w:eastAsia="MS Mincho" w:hAnsi="Arial" w:cs="Arial"/>
          <w:i/>
          <w:iCs/>
          <w:color w:val="000000" w:themeColor="text1"/>
          <w:spacing w:val="0"/>
          <w:lang w:eastAsia="ja-JP"/>
        </w:rPr>
        <w:t>, Iterative Best Evidence Synthesis Program,</w:t>
      </w:r>
      <w:r w:rsidRPr="00601741">
        <w:rPr>
          <w:rFonts w:ascii="Arial" w:eastAsia="MS Mincho" w:hAnsi="Arial" w:cs="Arial"/>
          <w:color w:val="000000" w:themeColor="text1"/>
          <w:spacing w:val="0"/>
          <w:lang w:eastAsia="ja-JP"/>
        </w:rPr>
        <w:t xml:space="preserve"> Wellington, New Zealand: Ministry of Education, viewed 20 May 2016 &lt;</w:t>
      </w:r>
      <w:hyperlink r:id="rId57" w:history="1">
        <w:r w:rsidRPr="00601741">
          <w:rPr>
            <w:rFonts w:ascii="Arial" w:eastAsia="MS Mincho" w:hAnsi="Arial" w:cs="Arial"/>
            <w:color w:val="000000" w:themeColor="text1"/>
            <w:spacing w:val="0"/>
            <w:u w:val="single"/>
            <w:shd w:val="clear" w:color="auto" w:fill="FFFFFF"/>
            <w:lang w:eastAsia="ja-JP"/>
          </w:rPr>
          <w:t>https://www.educationcounts.govt.nz/__data/assets/pdf_file/0017/16901/TPLandDBESentireWeb.pdf</w:t>
        </w:r>
      </w:hyperlink>
      <w:r w:rsidRPr="00601741">
        <w:rPr>
          <w:rFonts w:ascii="Arial" w:eastAsia="MS Mincho" w:hAnsi="Arial" w:cs="Arial"/>
          <w:color w:val="000000" w:themeColor="text1"/>
          <w:spacing w:val="0"/>
          <w:lang w:eastAsia="ja-JP"/>
        </w:rPr>
        <w:t>&gt;</w:t>
      </w:r>
    </w:p>
  </w:footnote>
  <w:footnote w:id="111">
    <w:p w14:paraId="6A9D9B85" w14:textId="48E5A70E"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shd w:val="clear" w:color="auto" w:fill="FFFFFF"/>
          <w:lang w:eastAsia="ja-JP"/>
        </w:rPr>
        <w:t xml:space="preserve">Cook, </w:t>
      </w:r>
      <w:proofErr w:type="spellStart"/>
      <w:r w:rsidRPr="00601741">
        <w:rPr>
          <w:rFonts w:ascii="Arial" w:eastAsia="MS Mincho" w:hAnsi="Arial" w:cs="Arial"/>
          <w:color w:val="000000" w:themeColor="text1"/>
          <w:spacing w:val="0"/>
          <w:shd w:val="clear" w:color="auto" w:fill="FFFFFF"/>
          <w:lang w:eastAsia="ja-JP"/>
        </w:rPr>
        <w:t>T.D</w:t>
      </w:r>
      <w:proofErr w:type="spellEnd"/>
      <w:r w:rsidRPr="00601741">
        <w:rPr>
          <w:rFonts w:ascii="Arial" w:eastAsia="MS Mincho" w:hAnsi="Arial" w:cs="Arial"/>
          <w:color w:val="000000" w:themeColor="text1"/>
          <w:spacing w:val="0"/>
          <w:shd w:val="clear" w:color="auto" w:fill="FFFFFF"/>
          <w:lang w:eastAsia="ja-JP"/>
        </w:rPr>
        <w:t xml:space="preserve">., 2002, 'Randomized Experiments in Educational Policy Research: A Critical Examination of the Reasons the Educational Evaluation Community has Offered for not Doing Them,' </w:t>
      </w:r>
      <w:r w:rsidRPr="00601741">
        <w:rPr>
          <w:rFonts w:ascii="Arial" w:eastAsia="MS Mincho" w:hAnsi="Arial" w:cs="Arial"/>
          <w:i/>
          <w:iCs/>
          <w:color w:val="000000" w:themeColor="text1"/>
          <w:spacing w:val="0"/>
          <w:shd w:val="clear" w:color="auto" w:fill="FFFFFF"/>
          <w:lang w:eastAsia="ja-JP"/>
        </w:rPr>
        <w:t>Educational Evaluation and Policy Analysis</w:t>
      </w:r>
      <w:r w:rsidRPr="00601741">
        <w:rPr>
          <w:rFonts w:ascii="Arial" w:eastAsia="MS Mincho" w:hAnsi="Arial" w:cs="Arial"/>
          <w:color w:val="000000" w:themeColor="text1"/>
          <w:spacing w:val="0"/>
          <w:shd w:val="clear" w:color="auto" w:fill="FFFFFF"/>
          <w:lang w:eastAsia="ja-JP"/>
        </w:rPr>
        <w:t xml:space="preserve">, Vol. 24, No. 3, </w:t>
      </w:r>
      <w:proofErr w:type="spellStart"/>
      <w:r w:rsidRPr="00601741">
        <w:rPr>
          <w:rFonts w:ascii="Arial" w:eastAsia="MS Mincho" w:hAnsi="Arial" w:cs="Arial"/>
          <w:color w:val="000000" w:themeColor="text1"/>
          <w:spacing w:val="0"/>
          <w:shd w:val="clear" w:color="auto" w:fill="FFFFFF"/>
          <w:lang w:eastAsia="ja-JP"/>
        </w:rPr>
        <w:t>pp.183</w:t>
      </w:r>
      <w:proofErr w:type="spellEnd"/>
      <w:r w:rsidRPr="00601741">
        <w:rPr>
          <w:rFonts w:ascii="Arial" w:eastAsia="MS Mincho" w:hAnsi="Arial" w:cs="Arial"/>
          <w:color w:val="000000" w:themeColor="text1"/>
          <w:spacing w:val="0"/>
          <w:shd w:val="clear" w:color="auto" w:fill="FFFFFF"/>
          <w:lang w:eastAsia="ja-JP"/>
        </w:rPr>
        <w:t>. viewed 22 February 2016, &lt;</w:t>
      </w:r>
      <w:hyperlink r:id="rId58" w:history="1">
        <w:r w:rsidRPr="00601741">
          <w:rPr>
            <w:rFonts w:ascii="Arial" w:eastAsia="MS Mincho" w:hAnsi="Arial" w:cs="Arial"/>
            <w:color w:val="000000" w:themeColor="text1"/>
            <w:spacing w:val="0"/>
            <w:shd w:val="clear" w:color="auto" w:fill="FFFFFF"/>
            <w:lang w:eastAsia="ja-JP"/>
          </w:rPr>
          <w:t>http://</w:t>
        </w:r>
        <w:proofErr w:type="spellStart"/>
        <w:r w:rsidRPr="00601741">
          <w:rPr>
            <w:rFonts w:ascii="Arial" w:eastAsia="MS Mincho" w:hAnsi="Arial" w:cs="Arial"/>
            <w:color w:val="000000" w:themeColor="text1"/>
            <w:spacing w:val="0"/>
            <w:shd w:val="clear" w:color="auto" w:fill="FFFFFF"/>
            <w:lang w:eastAsia="ja-JP"/>
          </w:rPr>
          <w:t>www.jstor.org</w:t>
        </w:r>
        <w:proofErr w:type="spellEnd"/>
        <w:r w:rsidRPr="00601741">
          <w:rPr>
            <w:rFonts w:ascii="Arial" w:eastAsia="MS Mincho" w:hAnsi="Arial" w:cs="Arial"/>
            <w:color w:val="000000" w:themeColor="text1"/>
            <w:spacing w:val="0"/>
            <w:shd w:val="clear" w:color="auto" w:fill="FFFFFF"/>
            <w:lang w:eastAsia="ja-JP"/>
          </w:rPr>
          <w:t>/stable/3594164</w:t>
        </w:r>
      </w:hyperlink>
      <w:r w:rsidRPr="00601741">
        <w:rPr>
          <w:rFonts w:ascii="Arial" w:eastAsia="MS Mincho" w:hAnsi="Arial" w:cs="Arial"/>
          <w:color w:val="000000" w:themeColor="text1"/>
          <w:spacing w:val="0"/>
          <w:shd w:val="clear" w:color="auto" w:fill="FFFFFF"/>
          <w:lang w:eastAsia="ja-JP"/>
        </w:rPr>
        <w:t>&gt;.</w:t>
      </w:r>
    </w:p>
  </w:footnote>
  <w:footnote w:id="112">
    <w:p w14:paraId="075C5356" w14:textId="1925D452"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Education Endowment Foundation viewed 23 May 2016, &lt; https://</w:t>
      </w:r>
      <w:proofErr w:type="spellStart"/>
      <w:r w:rsidRPr="00601741">
        <w:rPr>
          <w:rFonts w:ascii="Arial" w:hAnsi="Arial" w:cs="Arial"/>
          <w:color w:val="000000" w:themeColor="text1"/>
        </w:rPr>
        <w:t>educationendowmentfoundation.org.uk</w:t>
      </w:r>
      <w:proofErr w:type="spellEnd"/>
      <w:r w:rsidRPr="00601741">
        <w:rPr>
          <w:rFonts w:ascii="Arial" w:hAnsi="Arial" w:cs="Arial"/>
          <w:color w:val="000000" w:themeColor="text1"/>
        </w:rPr>
        <w:t>/&gt;</w:t>
      </w:r>
    </w:p>
  </w:footnote>
  <w:footnote w:id="113">
    <w:p w14:paraId="03602351" w14:textId="536B37F3" w:rsidR="00051F36" w:rsidRPr="00601741" w:rsidRDefault="00051F36">
      <w:pPr>
        <w:pStyle w:val="FootnoteText"/>
        <w:rPr>
          <w:color w:val="000000" w:themeColor="text1"/>
        </w:rPr>
      </w:pPr>
      <w:r w:rsidRPr="00601741">
        <w:rPr>
          <w:rStyle w:val="FootnoteReference"/>
          <w:color w:val="000000" w:themeColor="text1"/>
        </w:rPr>
        <w:footnoteRef/>
      </w:r>
      <w:r w:rsidRPr="00601741">
        <w:rPr>
          <w:color w:val="000000" w:themeColor="text1"/>
        </w:rPr>
        <w:t xml:space="preserve"> </w:t>
      </w:r>
      <w:r w:rsidRPr="00601741">
        <w:rPr>
          <w:rFonts w:ascii="Arial" w:hAnsi="Arial" w:cs="Arial"/>
          <w:color w:val="000000" w:themeColor="text1"/>
        </w:rPr>
        <w:t>National Centre for Research in Policy and Practice, viewed 23 My 2016, &lt;http://</w:t>
      </w:r>
      <w:proofErr w:type="spellStart"/>
      <w:r w:rsidRPr="00601741">
        <w:rPr>
          <w:rFonts w:ascii="Arial" w:hAnsi="Arial" w:cs="Arial"/>
          <w:color w:val="000000" w:themeColor="text1"/>
        </w:rPr>
        <w:t>ncrpp.org</w:t>
      </w:r>
      <w:proofErr w:type="spellEnd"/>
      <w:r w:rsidRPr="00601741">
        <w:rPr>
          <w:rFonts w:ascii="Arial" w:hAnsi="Arial" w:cs="Arial"/>
          <w:color w:val="000000" w:themeColor="text1"/>
        </w:rPr>
        <w:t>/&gt;</w:t>
      </w:r>
    </w:p>
  </w:footnote>
  <w:footnote w:id="114">
    <w:p w14:paraId="1270DCEA" w14:textId="6D6F573E" w:rsidR="00051F36" w:rsidRDefault="00051F36">
      <w:pPr>
        <w:pStyle w:val="FootnoteText"/>
      </w:pPr>
      <w:r w:rsidRPr="00601741">
        <w:rPr>
          <w:rStyle w:val="FootnoteReference"/>
          <w:color w:val="000000" w:themeColor="text1"/>
        </w:rPr>
        <w:footnoteRef/>
      </w:r>
      <w:r w:rsidRPr="00601741">
        <w:rPr>
          <w:color w:val="000000" w:themeColor="text1"/>
        </w:rPr>
        <w:t xml:space="preserve"> </w:t>
      </w:r>
      <w:r w:rsidRPr="00601741">
        <w:rPr>
          <w:rFonts w:ascii="Arial" w:eastAsia="MS Mincho" w:hAnsi="Arial" w:cs="Arial"/>
          <w:color w:val="000000" w:themeColor="text1"/>
          <w:spacing w:val="0"/>
          <w:lang w:eastAsia="ja-JP"/>
        </w:rPr>
        <w:t xml:space="preserve">Cook, </w:t>
      </w:r>
      <w:proofErr w:type="spellStart"/>
      <w:r w:rsidRPr="00601741">
        <w:rPr>
          <w:rFonts w:ascii="Arial" w:eastAsia="MS Mincho" w:hAnsi="Arial" w:cs="Arial"/>
          <w:color w:val="000000" w:themeColor="text1"/>
          <w:spacing w:val="0"/>
          <w:lang w:eastAsia="ja-JP"/>
        </w:rPr>
        <w:t>T.D</w:t>
      </w:r>
      <w:proofErr w:type="spellEnd"/>
      <w:r w:rsidRPr="00601741">
        <w:rPr>
          <w:rFonts w:ascii="Arial" w:eastAsia="MS Mincho" w:hAnsi="Arial" w:cs="Arial"/>
          <w:color w:val="000000" w:themeColor="text1"/>
          <w:spacing w:val="0"/>
          <w:lang w:eastAsia="ja-JP"/>
        </w:rPr>
        <w:t xml:space="preserve">. 2002, 'Randomized Experiments in Educational Policy Research: A Critical Examination of the Reasons the Educational Evaluation Community has Offered for not Doing Them,' </w:t>
      </w:r>
      <w:r w:rsidRPr="00601741">
        <w:rPr>
          <w:rFonts w:ascii="Arial" w:eastAsia="MS Mincho" w:hAnsi="Arial" w:cs="Arial"/>
          <w:i/>
          <w:iCs/>
          <w:color w:val="000000" w:themeColor="text1"/>
          <w:spacing w:val="0"/>
          <w:lang w:eastAsia="ja-JP"/>
        </w:rPr>
        <w:t>Educational Evaluation and Policy Analysis</w:t>
      </w:r>
      <w:r w:rsidRPr="00601741">
        <w:rPr>
          <w:rFonts w:ascii="Arial" w:eastAsia="MS Mincho" w:hAnsi="Arial" w:cs="Arial"/>
          <w:color w:val="000000" w:themeColor="text1"/>
          <w:spacing w:val="0"/>
          <w:lang w:eastAsia="ja-JP"/>
        </w:rPr>
        <w:t xml:space="preserve">, Vol. 24, No. 3, </w:t>
      </w:r>
      <w:proofErr w:type="spellStart"/>
      <w:r w:rsidRPr="00601741">
        <w:rPr>
          <w:rFonts w:ascii="Arial" w:eastAsia="MS Mincho" w:hAnsi="Arial" w:cs="Arial"/>
          <w:color w:val="000000" w:themeColor="text1"/>
          <w:spacing w:val="0"/>
          <w:lang w:eastAsia="ja-JP"/>
        </w:rPr>
        <w:t>pp.184</w:t>
      </w:r>
      <w:proofErr w:type="spellEnd"/>
      <w:r w:rsidRPr="00601741">
        <w:rPr>
          <w:rFonts w:ascii="Arial" w:eastAsia="MS Mincho" w:hAnsi="Arial" w:cs="Arial"/>
          <w:color w:val="000000" w:themeColor="text1"/>
          <w:spacing w:val="0"/>
          <w:lang w:eastAsia="ja-JP"/>
        </w:rPr>
        <w:t>, viewed 22 February 2016 &lt;</w:t>
      </w:r>
      <w:hyperlink r:id="rId59" w:history="1">
        <w:r w:rsidRPr="00601741">
          <w:rPr>
            <w:rFonts w:ascii="Arial" w:eastAsia="MS Mincho" w:hAnsi="Arial" w:cs="Arial"/>
            <w:color w:val="000000" w:themeColor="text1"/>
            <w:spacing w:val="0"/>
            <w:u w:val="single"/>
            <w:lang w:eastAsia="ja-JP"/>
          </w:rPr>
          <w:t>http://</w:t>
        </w:r>
        <w:proofErr w:type="spellStart"/>
        <w:r w:rsidRPr="00601741">
          <w:rPr>
            <w:rFonts w:ascii="Arial" w:eastAsia="MS Mincho" w:hAnsi="Arial" w:cs="Arial"/>
            <w:color w:val="000000" w:themeColor="text1"/>
            <w:spacing w:val="0"/>
            <w:u w:val="single"/>
            <w:lang w:eastAsia="ja-JP"/>
          </w:rPr>
          <w:t>www.jstor.org</w:t>
        </w:r>
        <w:proofErr w:type="spellEnd"/>
        <w:r w:rsidRPr="00601741">
          <w:rPr>
            <w:rFonts w:ascii="Arial" w:eastAsia="MS Mincho" w:hAnsi="Arial" w:cs="Arial"/>
            <w:color w:val="000000" w:themeColor="text1"/>
            <w:spacing w:val="0"/>
            <w:u w:val="single"/>
            <w:lang w:eastAsia="ja-JP"/>
          </w:rPr>
          <w:t>/stable/3594164</w:t>
        </w:r>
      </w:hyperlink>
      <w:r w:rsidRPr="00601741">
        <w:rPr>
          <w:rFonts w:ascii="Arial" w:eastAsia="MS Mincho" w:hAnsi="Arial" w:cs="Arial"/>
          <w:color w:val="000000" w:themeColor="text1"/>
          <w:spacing w:val="0"/>
          <w:lang w:eastAsia="ja-JP"/>
        </w:rPr>
        <w:t>&gt;.</w:t>
      </w:r>
    </w:p>
  </w:footnote>
  <w:footnote w:id="115">
    <w:p w14:paraId="6E2DD205" w14:textId="6B0A14CC" w:rsidR="00051F36" w:rsidRDefault="00051F36">
      <w:pPr>
        <w:pStyle w:val="FootnoteText"/>
      </w:pPr>
      <w:r>
        <w:rPr>
          <w:rStyle w:val="FootnoteReference"/>
        </w:rPr>
        <w:footnoteRef/>
      </w:r>
      <w:r>
        <w:t xml:space="preserve"> </w:t>
      </w:r>
      <w:r>
        <w:rPr>
          <w:rFonts w:ascii="Arial" w:hAnsi="Arial" w:cs="Arial"/>
          <w:color w:val="000000"/>
        </w:rPr>
        <w:t xml:space="preserve">Hattie, J 2003, ‘Teachers Make a Difference: What is the </w:t>
      </w:r>
      <w:r w:rsidRPr="00601741">
        <w:rPr>
          <w:rFonts w:ascii="Arial" w:hAnsi="Arial" w:cs="Arial"/>
          <w:color w:val="000000" w:themeColor="text1"/>
        </w:rPr>
        <w:t xml:space="preserve">Research Evidence?’, </w:t>
      </w:r>
      <w:r w:rsidRPr="00601741">
        <w:rPr>
          <w:rFonts w:ascii="Arial" w:hAnsi="Arial" w:cs="Arial"/>
          <w:i/>
          <w:iCs/>
          <w:color w:val="000000" w:themeColor="text1"/>
        </w:rPr>
        <w:t xml:space="preserve">Distinguishing Expert Teachers from Novice and Experienced Teachers, </w:t>
      </w:r>
      <w:proofErr w:type="spellStart"/>
      <w:r w:rsidRPr="00601741">
        <w:rPr>
          <w:rFonts w:ascii="Arial" w:hAnsi="Arial" w:cs="Arial"/>
          <w:color w:val="000000" w:themeColor="text1"/>
        </w:rPr>
        <w:t>pp.3</w:t>
      </w:r>
      <w:proofErr w:type="spellEnd"/>
      <w:r w:rsidRPr="00601741">
        <w:rPr>
          <w:rFonts w:ascii="Arial" w:hAnsi="Arial" w:cs="Arial"/>
          <w:color w:val="000000" w:themeColor="text1"/>
        </w:rPr>
        <w:t xml:space="preserve">. Viewed 20 May 2016, </w:t>
      </w:r>
      <w:hyperlink r:id="rId60" w:history="1">
        <w:r w:rsidRPr="00601741">
          <w:rPr>
            <w:rStyle w:val="Hyperlink"/>
            <w:rFonts w:ascii="Arial" w:hAnsi="Arial" w:cs="Arial"/>
            <w:color w:val="000000" w:themeColor="text1"/>
          </w:rPr>
          <w:t>https://</w:t>
        </w:r>
        <w:proofErr w:type="spellStart"/>
        <w:r w:rsidRPr="00601741">
          <w:rPr>
            <w:rStyle w:val="Hyperlink"/>
            <w:rFonts w:ascii="Arial" w:hAnsi="Arial" w:cs="Arial"/>
            <w:color w:val="000000" w:themeColor="text1"/>
          </w:rPr>
          <w:t>www.det.nsw.edu.au</w:t>
        </w:r>
        <w:proofErr w:type="spellEnd"/>
        <w:r w:rsidRPr="00601741">
          <w:rPr>
            <w:rStyle w:val="Hyperlink"/>
            <w:rFonts w:ascii="Arial" w:hAnsi="Arial" w:cs="Arial"/>
            <w:color w:val="000000" w:themeColor="text1"/>
          </w:rPr>
          <w:t>/</w:t>
        </w:r>
        <w:proofErr w:type="spellStart"/>
        <w:r w:rsidRPr="00601741">
          <w:rPr>
            <w:rStyle w:val="Hyperlink"/>
            <w:rFonts w:ascii="Arial" w:hAnsi="Arial" w:cs="Arial"/>
            <w:color w:val="000000" w:themeColor="text1"/>
          </w:rPr>
          <w:t>proflearn</w:t>
        </w:r>
        <w:proofErr w:type="spellEnd"/>
        <w:r w:rsidRPr="00601741">
          <w:rPr>
            <w:rStyle w:val="Hyperlink"/>
            <w:rFonts w:ascii="Arial" w:hAnsi="Arial" w:cs="Arial"/>
            <w:color w:val="000000" w:themeColor="text1"/>
          </w:rPr>
          <w:t>/docs/pdf/</w:t>
        </w:r>
        <w:proofErr w:type="spellStart"/>
        <w:r w:rsidRPr="00601741">
          <w:rPr>
            <w:rStyle w:val="Hyperlink"/>
            <w:rFonts w:ascii="Arial" w:hAnsi="Arial" w:cs="Arial"/>
            <w:color w:val="000000" w:themeColor="text1"/>
          </w:rPr>
          <w:t>qt_hattie.pdf</w:t>
        </w:r>
        <w:proofErr w:type="spellEnd"/>
      </w:hyperlink>
      <w:r w:rsidRPr="00601741">
        <w:rPr>
          <w:rFonts w:ascii="Arial" w:hAnsi="Arial" w:cs="Arial"/>
          <w:color w:val="000000" w:themeColor="text1"/>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4" w:type="dxa"/>
      <w:tblLayout w:type="fixed"/>
      <w:tblCellMar>
        <w:left w:w="0" w:type="dxa"/>
        <w:right w:w="0" w:type="dxa"/>
      </w:tblCellMar>
      <w:tblLook w:val="01E0" w:firstRow="1" w:lastRow="1" w:firstColumn="1" w:lastColumn="1" w:noHBand="0" w:noVBand="0"/>
    </w:tblPr>
    <w:tblGrid>
      <w:gridCol w:w="2340"/>
      <w:gridCol w:w="7724"/>
    </w:tblGrid>
    <w:tr w:rsidR="00051F36" w14:paraId="43C8EFFD" w14:textId="77777777" w:rsidTr="00FB32F9">
      <w:trPr>
        <w:trHeight w:hRule="exact" w:val="454"/>
      </w:trPr>
      <w:tc>
        <w:tcPr>
          <w:tcW w:w="2340" w:type="dxa"/>
          <w:vMerge w:val="restart"/>
        </w:tcPr>
        <w:p w14:paraId="02A99090" w14:textId="77777777" w:rsidR="00051F36" w:rsidRDefault="00051F36" w:rsidP="006545F3">
          <w:pPr>
            <w:pStyle w:val="Header"/>
          </w:pPr>
          <w:r>
            <w:t>Company Logo Here</w:t>
          </w:r>
        </w:p>
      </w:tc>
      <w:tc>
        <w:tcPr>
          <w:tcW w:w="7724" w:type="dxa"/>
        </w:tcPr>
        <w:p w14:paraId="3E1B98FD" w14:textId="77777777" w:rsidR="00051F36" w:rsidRDefault="00051F36" w:rsidP="00FB32F9">
          <w:pPr>
            <w:pStyle w:val="Header"/>
            <w:jc w:val="right"/>
          </w:pPr>
        </w:p>
      </w:tc>
    </w:tr>
    <w:tr w:rsidR="00051F36" w14:paraId="65ABF2F3" w14:textId="77777777" w:rsidTr="00FB32F9">
      <w:trPr>
        <w:trHeight w:hRule="exact" w:val="427"/>
      </w:trPr>
      <w:tc>
        <w:tcPr>
          <w:tcW w:w="2340" w:type="dxa"/>
          <w:vMerge/>
        </w:tcPr>
        <w:p w14:paraId="0EAB91BB" w14:textId="77777777" w:rsidR="00051F36" w:rsidRDefault="00051F36" w:rsidP="006545F3">
          <w:pPr>
            <w:pStyle w:val="Header"/>
          </w:pPr>
        </w:p>
      </w:tc>
      <w:tc>
        <w:tcPr>
          <w:tcW w:w="7724" w:type="dxa"/>
          <w:tcMar>
            <w:top w:w="136" w:type="dxa"/>
          </w:tcMar>
        </w:tcPr>
        <w:p w14:paraId="67027E16" w14:textId="77777777" w:rsidR="00051F36" w:rsidRDefault="00051F36" w:rsidP="00FB32F9">
          <w:pPr>
            <w:pStyle w:val="Header"/>
            <w:jc w:val="right"/>
          </w:pPr>
        </w:p>
      </w:tc>
    </w:tr>
  </w:tbl>
  <w:p w14:paraId="10942FC5" w14:textId="77777777" w:rsidR="00051F36" w:rsidRDefault="00051F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top w:w="28" w:type="dxa"/>
        <w:left w:w="0" w:type="dxa"/>
        <w:right w:w="0" w:type="dxa"/>
      </w:tblCellMar>
      <w:tblLook w:val="01E0" w:firstRow="1" w:lastRow="1" w:firstColumn="1" w:lastColumn="1" w:noHBand="0" w:noVBand="0"/>
    </w:tblPr>
    <w:tblGrid>
      <w:gridCol w:w="9072"/>
    </w:tblGrid>
    <w:tr w:rsidR="00051F36" w:rsidRPr="00444BF8" w14:paraId="206276A6" w14:textId="77777777" w:rsidTr="00956823">
      <w:trPr>
        <w:trHeight w:hRule="exact" w:val="854"/>
      </w:trPr>
      <w:tc>
        <w:tcPr>
          <w:tcW w:w="9072" w:type="dxa"/>
          <w:vAlign w:val="center"/>
        </w:tcPr>
        <w:p w14:paraId="38A80206" w14:textId="77777777" w:rsidR="00051F36" w:rsidRPr="00444BF8" w:rsidRDefault="00051F36" w:rsidP="00956823">
          <w:pPr>
            <w:pStyle w:val="Header"/>
            <w:jc w:val="right"/>
          </w:pPr>
          <w:bookmarkStart w:id="40" w:name="Header"/>
          <w:bookmarkEnd w:id="40"/>
          <w:r>
            <w:rPr>
              <w:noProof/>
              <w:lang w:eastAsia="en-AU"/>
            </w:rPr>
            <w:drawing>
              <wp:anchor distT="0" distB="0" distL="114300" distR="114300" simplePos="0" relativeHeight="251657216" behindDoc="0" locked="0" layoutInCell="1" allowOverlap="1" wp14:anchorId="2A5238A5" wp14:editId="2F53D68A">
                <wp:simplePos x="0" y="0"/>
                <wp:positionH relativeFrom="margin">
                  <wp:align>right</wp:align>
                </wp:positionH>
                <wp:positionV relativeFrom="margin">
                  <wp:align>center</wp:align>
                </wp:positionV>
                <wp:extent cx="3533775" cy="42164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VA Sample.png"/>
                        <pic:cNvPicPr/>
                      </pic:nvPicPr>
                      <pic:blipFill rotWithShape="1">
                        <a:blip r:embed="rId1">
                          <a:extLst>
                            <a:ext uri="{28A0092B-C50C-407E-A947-70E740481C1C}">
                              <a14:useLocalDpi xmlns:a14="http://schemas.microsoft.com/office/drawing/2010/main" val="0"/>
                            </a:ext>
                          </a:extLst>
                        </a:blip>
                        <a:srcRect l="2853" t="14856" r="3421" b="22372"/>
                        <a:stretch/>
                      </pic:blipFill>
                      <pic:spPr bwMode="auto">
                        <a:xfrm>
                          <a:off x="0" y="0"/>
                          <a:ext cx="3533775" cy="42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C6E894E" w14:textId="77777777" w:rsidR="00051F36" w:rsidRDefault="00051F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98E03D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F184A64"/>
    <w:lvl w:ilvl="0">
      <w:start w:val="1"/>
      <w:numFmt w:val="lowerLetter"/>
      <w:pStyle w:val="ListNumber2"/>
      <w:lvlText w:val="%1."/>
      <w:lvlJc w:val="left"/>
      <w:pPr>
        <w:ind w:left="644" w:hanging="360"/>
      </w:pPr>
    </w:lvl>
  </w:abstractNum>
  <w:abstractNum w:abstractNumId="4">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A2AC09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332DCD8"/>
    <w:lvl w:ilvl="0">
      <w:start w:val="1"/>
      <w:numFmt w:val="bullet"/>
      <w:pStyle w:val="ListBullet2"/>
      <w:lvlText w:val=""/>
      <w:lvlJc w:val="left"/>
      <w:pPr>
        <w:tabs>
          <w:tab w:val="num" w:pos="907"/>
        </w:tabs>
        <w:ind w:left="907" w:hanging="453"/>
      </w:pPr>
      <w:rPr>
        <w:rFonts w:ascii="Symbol" w:hAnsi="Symbol" w:hint="default"/>
        <w:color w:val="auto"/>
      </w:rPr>
    </w:lvl>
  </w:abstractNum>
  <w:abstractNum w:abstractNumId="8">
    <w:nsid w:val="FFFFFF88"/>
    <w:multiLevelType w:val="singleLevel"/>
    <w:tmpl w:val="CA1C4440"/>
    <w:lvl w:ilvl="0">
      <w:start w:val="1"/>
      <w:numFmt w:val="decimal"/>
      <w:pStyle w:val="ListNumber"/>
      <w:lvlText w:val="%1."/>
      <w:lvlJc w:val="left"/>
      <w:pPr>
        <w:tabs>
          <w:tab w:val="num" w:pos="360"/>
        </w:tabs>
        <w:ind w:left="360" w:hanging="360"/>
      </w:pPr>
    </w:lvl>
  </w:abstractNum>
  <w:abstractNum w:abstractNumId="9">
    <w:nsid w:val="FFFFFF89"/>
    <w:multiLevelType w:val="singleLevel"/>
    <w:tmpl w:val="132A8390"/>
    <w:lvl w:ilvl="0">
      <w:start w:val="1"/>
      <w:numFmt w:val="bullet"/>
      <w:pStyle w:val="ListBullet"/>
      <w:lvlText w:val=""/>
      <w:lvlJc w:val="left"/>
      <w:pPr>
        <w:tabs>
          <w:tab w:val="num" w:pos="454"/>
        </w:tabs>
        <w:ind w:left="454" w:hanging="454"/>
      </w:pPr>
      <w:rPr>
        <w:rFonts w:ascii="Symbol" w:hAnsi="Symbol" w:hint="default"/>
        <w:color w:val="auto"/>
      </w:rPr>
    </w:lvl>
  </w:abstractNum>
  <w:abstractNum w:abstractNumId="10">
    <w:nsid w:val="01CA58D8"/>
    <w:multiLevelType w:val="multilevel"/>
    <w:tmpl w:val="3CE22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371297E"/>
    <w:multiLevelType w:val="hybridMultilevel"/>
    <w:tmpl w:val="205486B2"/>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4056EFF"/>
    <w:multiLevelType w:val="multilevel"/>
    <w:tmpl w:val="2676F8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8612AA"/>
    <w:multiLevelType w:val="hybridMultilevel"/>
    <w:tmpl w:val="6278345C"/>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0EBA359B"/>
    <w:multiLevelType w:val="multilevel"/>
    <w:tmpl w:val="71925E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2230DF6"/>
    <w:multiLevelType w:val="multilevel"/>
    <w:tmpl w:val="A3DC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E738C1"/>
    <w:multiLevelType w:val="multilevel"/>
    <w:tmpl w:val="2918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176F0D"/>
    <w:multiLevelType w:val="multilevel"/>
    <w:tmpl w:val="3DA89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E50EE2"/>
    <w:multiLevelType w:val="hybridMultilevel"/>
    <w:tmpl w:val="32683C08"/>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16E914CC"/>
    <w:multiLevelType w:val="hybridMultilevel"/>
    <w:tmpl w:val="27507D1A"/>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18CB4AF2"/>
    <w:multiLevelType w:val="hybridMultilevel"/>
    <w:tmpl w:val="E4065E6C"/>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18E238DF"/>
    <w:multiLevelType w:val="hybridMultilevel"/>
    <w:tmpl w:val="5F8AA5AA"/>
    <w:lvl w:ilvl="0" w:tplc="CF3A79B4">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nsid w:val="1AD22A43"/>
    <w:multiLevelType w:val="hybridMultilevel"/>
    <w:tmpl w:val="1FD468D6"/>
    <w:lvl w:ilvl="0" w:tplc="38AAFDC6">
      <w:start w:val="1"/>
      <w:numFmt w:val="bullet"/>
      <w:lvlText w:val=""/>
      <w:lvlJc w:val="left"/>
      <w:pPr>
        <w:ind w:left="720" w:hanging="360"/>
      </w:pPr>
      <w:rPr>
        <w:rFonts w:ascii="Symbol" w:hAnsi="Symbol" w:hint="default"/>
        <w:color w:val="B2BB1E"/>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AE274F9"/>
    <w:multiLevelType w:val="hybridMultilevel"/>
    <w:tmpl w:val="75EC7EBE"/>
    <w:lvl w:ilvl="0" w:tplc="38AAFDC6">
      <w:start w:val="1"/>
      <w:numFmt w:val="bullet"/>
      <w:lvlText w:val=""/>
      <w:lvlJc w:val="left"/>
      <w:pPr>
        <w:ind w:left="360" w:hanging="360"/>
      </w:pPr>
      <w:rPr>
        <w:rFonts w:ascii="Symbol" w:hAnsi="Symbol" w:hint="default"/>
        <w:color w:val="B2BB1E"/>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1BD90454"/>
    <w:multiLevelType w:val="hybridMultilevel"/>
    <w:tmpl w:val="1C4285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1CC973BC"/>
    <w:multiLevelType w:val="hybridMultilevel"/>
    <w:tmpl w:val="8F58AF88"/>
    <w:lvl w:ilvl="0" w:tplc="38AAFDC6">
      <w:start w:val="1"/>
      <w:numFmt w:val="bullet"/>
      <w:lvlText w:val=""/>
      <w:lvlJc w:val="left"/>
      <w:pPr>
        <w:ind w:left="360" w:hanging="360"/>
      </w:pPr>
      <w:rPr>
        <w:rFonts w:ascii="Symbol" w:hAnsi="Symbol" w:hint="default"/>
        <w:color w:val="B2BB1E"/>
        <w:sz w:val="24"/>
      </w:rPr>
    </w:lvl>
    <w:lvl w:ilvl="1" w:tplc="38AAFDC6">
      <w:start w:val="1"/>
      <w:numFmt w:val="bullet"/>
      <w:lvlText w:val=""/>
      <w:lvlJc w:val="left"/>
      <w:pPr>
        <w:ind w:left="1080" w:hanging="360"/>
      </w:pPr>
      <w:rPr>
        <w:rFonts w:ascii="Symbol" w:hAnsi="Symbol" w:hint="default"/>
        <w:color w:val="B2BB1E"/>
        <w:sz w:val="24"/>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1D810C26"/>
    <w:multiLevelType w:val="multilevel"/>
    <w:tmpl w:val="9F982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27346D2"/>
    <w:multiLevelType w:val="hybridMultilevel"/>
    <w:tmpl w:val="50A8D368"/>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22C21201"/>
    <w:multiLevelType w:val="hybridMultilevel"/>
    <w:tmpl w:val="A8C64736"/>
    <w:lvl w:ilvl="0" w:tplc="99721D1C">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3CF70E9"/>
    <w:multiLevelType w:val="hybridMultilevel"/>
    <w:tmpl w:val="CC0EE7DA"/>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nsid w:val="28711F0C"/>
    <w:multiLevelType w:val="multilevel"/>
    <w:tmpl w:val="A5CC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C671ED0"/>
    <w:multiLevelType w:val="multilevel"/>
    <w:tmpl w:val="AE62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1C2F4F"/>
    <w:multiLevelType w:val="hybridMultilevel"/>
    <w:tmpl w:val="8B5483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32645520"/>
    <w:multiLevelType w:val="multilevel"/>
    <w:tmpl w:val="ED58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3B4400C"/>
    <w:multiLevelType w:val="hybridMultilevel"/>
    <w:tmpl w:val="EE20E55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372120B6"/>
    <w:multiLevelType w:val="hybridMultilevel"/>
    <w:tmpl w:val="1D6AB430"/>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37BD0950"/>
    <w:multiLevelType w:val="hybridMultilevel"/>
    <w:tmpl w:val="A2F4E7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385424A1"/>
    <w:multiLevelType w:val="multilevel"/>
    <w:tmpl w:val="E6CE1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AAC2359"/>
    <w:multiLevelType w:val="multilevel"/>
    <w:tmpl w:val="7CEA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D4A0A14"/>
    <w:multiLevelType w:val="hybridMultilevel"/>
    <w:tmpl w:val="C68CA130"/>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3F973708"/>
    <w:multiLevelType w:val="hybridMultilevel"/>
    <w:tmpl w:val="DF1CCB7C"/>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4">
    <w:nsid w:val="40664676"/>
    <w:multiLevelType w:val="multilevel"/>
    <w:tmpl w:val="CD1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11C0E51"/>
    <w:multiLevelType w:val="hybridMultilevel"/>
    <w:tmpl w:val="FDFAEC7C"/>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47083B21"/>
    <w:multiLevelType w:val="hybridMultilevel"/>
    <w:tmpl w:val="3E3C0F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7B83287"/>
    <w:multiLevelType w:val="multilevel"/>
    <w:tmpl w:val="628046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74435B"/>
    <w:multiLevelType w:val="hybridMultilevel"/>
    <w:tmpl w:val="94C602A8"/>
    <w:lvl w:ilvl="0" w:tplc="2B8C225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4B9A1CE1"/>
    <w:multiLevelType w:val="hybridMultilevel"/>
    <w:tmpl w:val="402AF886"/>
    <w:lvl w:ilvl="0" w:tplc="38AAFDC6">
      <w:start w:val="1"/>
      <w:numFmt w:val="bullet"/>
      <w:lvlText w:val=""/>
      <w:lvlJc w:val="left"/>
      <w:pPr>
        <w:ind w:left="360" w:hanging="360"/>
      </w:pPr>
      <w:rPr>
        <w:rFonts w:ascii="Symbol" w:hAnsi="Symbol" w:hint="default"/>
        <w:color w:val="B2BB1E"/>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4BBC28A3"/>
    <w:multiLevelType w:val="multilevel"/>
    <w:tmpl w:val="4618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CF75B66"/>
    <w:multiLevelType w:val="hybridMultilevel"/>
    <w:tmpl w:val="1E6EE7A2"/>
    <w:lvl w:ilvl="0" w:tplc="38AAFDC6">
      <w:start w:val="1"/>
      <w:numFmt w:val="bullet"/>
      <w:lvlText w:val=""/>
      <w:lvlJc w:val="left"/>
      <w:pPr>
        <w:ind w:left="360" w:hanging="360"/>
      </w:pPr>
      <w:rPr>
        <w:rFonts w:ascii="Symbol" w:hAnsi="Symbol" w:hint="default"/>
        <w:color w:val="B2BB1E"/>
        <w:sz w:val="24"/>
      </w:rPr>
    </w:lvl>
    <w:lvl w:ilvl="1" w:tplc="38AAFDC6">
      <w:start w:val="1"/>
      <w:numFmt w:val="bullet"/>
      <w:lvlText w:val=""/>
      <w:lvlJc w:val="left"/>
      <w:pPr>
        <w:ind w:left="1080" w:hanging="360"/>
      </w:pPr>
      <w:rPr>
        <w:rFonts w:ascii="Symbol" w:hAnsi="Symbol" w:hint="default"/>
        <w:color w:val="B2BB1E"/>
        <w:sz w:val="24"/>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52C472A1"/>
    <w:multiLevelType w:val="hybridMultilevel"/>
    <w:tmpl w:val="CC28C8E6"/>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558C30F2"/>
    <w:multiLevelType w:val="hybridMultilevel"/>
    <w:tmpl w:val="0756BCA0"/>
    <w:lvl w:ilvl="0" w:tplc="38AAFDC6">
      <w:start w:val="1"/>
      <w:numFmt w:val="bullet"/>
      <w:lvlText w:val=""/>
      <w:lvlJc w:val="left"/>
      <w:pPr>
        <w:ind w:left="720" w:hanging="360"/>
      </w:pPr>
      <w:rPr>
        <w:rFonts w:ascii="Symbol" w:hAnsi="Symbol" w:hint="default"/>
        <w:color w:val="B2BB1E"/>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7DC5D62"/>
    <w:multiLevelType w:val="hybridMultilevel"/>
    <w:tmpl w:val="A2FE8DB6"/>
    <w:lvl w:ilvl="0" w:tplc="38AAFDC6">
      <w:start w:val="1"/>
      <w:numFmt w:val="bullet"/>
      <w:lvlText w:val=""/>
      <w:lvlJc w:val="left"/>
      <w:pPr>
        <w:ind w:left="360" w:hanging="360"/>
      </w:pPr>
      <w:rPr>
        <w:rFonts w:ascii="Symbol" w:hAnsi="Symbol" w:hint="default"/>
        <w:color w:val="B2BB1E"/>
        <w:sz w:val="24"/>
      </w:rPr>
    </w:lvl>
    <w:lvl w:ilvl="1" w:tplc="38AAFDC6">
      <w:start w:val="1"/>
      <w:numFmt w:val="bullet"/>
      <w:lvlText w:val=""/>
      <w:lvlJc w:val="left"/>
      <w:pPr>
        <w:ind w:left="1080" w:hanging="360"/>
      </w:pPr>
      <w:rPr>
        <w:rFonts w:ascii="Symbol" w:hAnsi="Symbol" w:hint="default"/>
        <w:color w:val="B2BB1E"/>
        <w:sz w:val="24"/>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5C34096C"/>
    <w:multiLevelType w:val="hybridMultilevel"/>
    <w:tmpl w:val="62466C78"/>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62A655EA"/>
    <w:multiLevelType w:val="hybridMultilevel"/>
    <w:tmpl w:val="9610873A"/>
    <w:lvl w:ilvl="0" w:tplc="38AAFDC6">
      <w:start w:val="1"/>
      <w:numFmt w:val="bullet"/>
      <w:lvlText w:val=""/>
      <w:lvlJc w:val="left"/>
      <w:pPr>
        <w:ind w:left="1004" w:hanging="360"/>
      </w:pPr>
      <w:rPr>
        <w:rFonts w:ascii="Symbol" w:hAnsi="Symbol" w:hint="default"/>
        <w:color w:val="B2BB1E"/>
        <w:sz w:val="24"/>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8">
    <w:nsid w:val="631C0140"/>
    <w:multiLevelType w:val="hybridMultilevel"/>
    <w:tmpl w:val="32E285AE"/>
    <w:lvl w:ilvl="0" w:tplc="38AAFDC6">
      <w:start w:val="1"/>
      <w:numFmt w:val="bullet"/>
      <w:lvlText w:val=""/>
      <w:lvlJc w:val="left"/>
      <w:pPr>
        <w:ind w:left="360" w:hanging="360"/>
      </w:pPr>
      <w:rPr>
        <w:rFonts w:ascii="Symbol" w:hAnsi="Symbol" w:hint="default"/>
        <w:color w:val="B2BB1E"/>
        <w:sz w:val="24"/>
      </w:rPr>
    </w:lvl>
    <w:lvl w:ilvl="1" w:tplc="38AAFDC6">
      <w:start w:val="1"/>
      <w:numFmt w:val="bullet"/>
      <w:lvlText w:val=""/>
      <w:lvlJc w:val="left"/>
      <w:pPr>
        <w:ind w:left="1080" w:hanging="360"/>
      </w:pPr>
      <w:rPr>
        <w:rFonts w:ascii="Symbol" w:hAnsi="Symbol" w:hint="default"/>
        <w:color w:val="B2BB1E"/>
        <w:sz w:val="24"/>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63C720CA"/>
    <w:multiLevelType w:val="hybridMultilevel"/>
    <w:tmpl w:val="4CC4560C"/>
    <w:lvl w:ilvl="0" w:tplc="38AAFDC6">
      <w:start w:val="1"/>
      <w:numFmt w:val="bullet"/>
      <w:lvlText w:val=""/>
      <w:lvlJc w:val="left"/>
      <w:pPr>
        <w:ind w:left="360" w:hanging="360"/>
      </w:pPr>
      <w:rPr>
        <w:rFonts w:ascii="Symbol" w:hAnsi="Symbol" w:hint="default"/>
        <w:color w:val="B2BB1E"/>
        <w:sz w:val="24"/>
      </w:rPr>
    </w:lvl>
    <w:lvl w:ilvl="1" w:tplc="38AAFDC6">
      <w:start w:val="1"/>
      <w:numFmt w:val="bullet"/>
      <w:lvlText w:val=""/>
      <w:lvlJc w:val="left"/>
      <w:pPr>
        <w:ind w:left="1080" w:hanging="360"/>
      </w:pPr>
      <w:rPr>
        <w:rFonts w:ascii="Symbol" w:hAnsi="Symbol" w:hint="default"/>
        <w:color w:val="B2BB1E"/>
        <w:sz w:val="24"/>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6A3836AA"/>
    <w:multiLevelType w:val="multilevel"/>
    <w:tmpl w:val="9622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DF81A5B"/>
    <w:multiLevelType w:val="multilevel"/>
    <w:tmpl w:val="B33C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F956978"/>
    <w:multiLevelType w:val="multilevel"/>
    <w:tmpl w:val="BACC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F9C12AC"/>
    <w:multiLevelType w:val="hybridMultilevel"/>
    <w:tmpl w:val="13FC0190"/>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7171562A"/>
    <w:multiLevelType w:val="hybridMultilevel"/>
    <w:tmpl w:val="7DBC1DE0"/>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73D344AB"/>
    <w:multiLevelType w:val="multilevel"/>
    <w:tmpl w:val="0BBA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66719C5"/>
    <w:multiLevelType w:val="hybridMultilevel"/>
    <w:tmpl w:val="BAFCEE02"/>
    <w:lvl w:ilvl="0" w:tplc="38AAFDC6">
      <w:start w:val="1"/>
      <w:numFmt w:val="bullet"/>
      <w:lvlText w:val=""/>
      <w:lvlJc w:val="left"/>
      <w:pPr>
        <w:ind w:left="360" w:hanging="360"/>
      </w:pPr>
      <w:rPr>
        <w:rFonts w:ascii="Symbol" w:hAnsi="Symbol" w:hint="default"/>
        <w:color w:val="B2BB1E"/>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76F90391"/>
    <w:multiLevelType w:val="multilevel"/>
    <w:tmpl w:val="0E60C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714064E"/>
    <w:multiLevelType w:val="hybridMultilevel"/>
    <w:tmpl w:val="F8988A4C"/>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nsid w:val="77565E4D"/>
    <w:multiLevelType w:val="multilevel"/>
    <w:tmpl w:val="DAE4E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77A462F"/>
    <w:multiLevelType w:val="hybridMultilevel"/>
    <w:tmpl w:val="656A0E1C"/>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nsid w:val="7902140A"/>
    <w:multiLevelType w:val="multilevel"/>
    <w:tmpl w:val="CAA4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BB52EC4"/>
    <w:multiLevelType w:val="hybridMultilevel"/>
    <w:tmpl w:val="B1489618"/>
    <w:lvl w:ilvl="0" w:tplc="38AAFDC6">
      <w:start w:val="1"/>
      <w:numFmt w:val="bullet"/>
      <w:lvlText w:val=""/>
      <w:lvlJc w:val="left"/>
      <w:pPr>
        <w:ind w:left="360" w:hanging="360"/>
      </w:pPr>
      <w:rPr>
        <w:rFonts w:ascii="Symbol" w:hAnsi="Symbol" w:hint="default"/>
        <w:color w:val="B2BB1E"/>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7EB36A40"/>
    <w:multiLevelType w:val="multilevel"/>
    <w:tmpl w:val="5C9E79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14"/>
  </w:num>
  <w:num w:numId="5">
    <w:abstractNumId w:val="8"/>
  </w:num>
  <w:num w:numId="6">
    <w:abstractNumId w:val="16"/>
  </w:num>
  <w:num w:numId="7">
    <w:abstractNumId w:val="56"/>
  </w:num>
  <w:num w:numId="8">
    <w:abstractNumId w:val="32"/>
  </w:num>
  <w:num w:numId="9">
    <w:abstractNumId w:val="5"/>
  </w:num>
  <w:num w:numId="10">
    <w:abstractNumId w:val="4"/>
  </w:num>
  <w:num w:numId="11">
    <w:abstractNumId w:val="3"/>
  </w:num>
  <w:num w:numId="12">
    <w:abstractNumId w:val="2"/>
  </w:num>
  <w:num w:numId="13">
    <w:abstractNumId w:val="1"/>
  </w:num>
  <w:num w:numId="14">
    <w:abstractNumId w:val="0"/>
  </w:num>
  <w:num w:numId="15">
    <w:abstractNumId w:val="30"/>
  </w:num>
  <w:num w:numId="16">
    <w:abstractNumId w:val="17"/>
  </w:num>
  <w:num w:numId="17">
    <w:abstractNumId w:val="28"/>
  </w:num>
  <w:num w:numId="18">
    <w:abstractNumId w:val="36"/>
  </w:num>
  <w:num w:numId="19">
    <w:abstractNumId w:val="12"/>
  </w:num>
  <w:num w:numId="20">
    <w:abstractNumId w:val="73"/>
  </w:num>
  <w:num w:numId="21">
    <w:abstractNumId w:val="33"/>
  </w:num>
  <w:num w:numId="22">
    <w:abstractNumId w:val="15"/>
  </w:num>
  <w:num w:numId="23">
    <w:abstractNumId w:val="60"/>
  </w:num>
  <w:num w:numId="24">
    <w:abstractNumId w:val="67"/>
  </w:num>
  <w:num w:numId="25">
    <w:abstractNumId w:val="18"/>
  </w:num>
  <w:num w:numId="26">
    <w:abstractNumId w:val="44"/>
  </w:num>
  <w:num w:numId="27">
    <w:abstractNumId w:val="62"/>
  </w:num>
  <w:num w:numId="28">
    <w:abstractNumId w:val="34"/>
  </w:num>
  <w:num w:numId="29">
    <w:abstractNumId w:val="69"/>
  </w:num>
  <w:num w:numId="30">
    <w:abstractNumId w:val="19"/>
  </w:num>
  <w:num w:numId="31">
    <w:abstractNumId w:val="41"/>
  </w:num>
  <w:num w:numId="32">
    <w:abstractNumId w:val="61"/>
  </w:num>
  <w:num w:numId="33">
    <w:abstractNumId w:val="46"/>
  </w:num>
  <w:num w:numId="34">
    <w:abstractNumId w:val="11"/>
  </w:num>
  <w:num w:numId="35">
    <w:abstractNumId w:val="55"/>
  </w:num>
  <w:num w:numId="36">
    <w:abstractNumId w:val="38"/>
  </w:num>
  <w:num w:numId="37">
    <w:abstractNumId w:val="26"/>
  </w:num>
  <w:num w:numId="38">
    <w:abstractNumId w:val="13"/>
  </w:num>
  <w:num w:numId="39">
    <w:abstractNumId w:val="35"/>
  </w:num>
  <w:num w:numId="40">
    <w:abstractNumId w:val="20"/>
  </w:num>
  <w:num w:numId="41">
    <w:abstractNumId w:val="53"/>
  </w:num>
  <w:num w:numId="42">
    <w:abstractNumId w:val="57"/>
  </w:num>
  <w:num w:numId="43">
    <w:abstractNumId w:val="63"/>
  </w:num>
  <w:num w:numId="44">
    <w:abstractNumId w:val="49"/>
  </w:num>
  <w:num w:numId="45">
    <w:abstractNumId w:val="51"/>
  </w:num>
  <w:num w:numId="46">
    <w:abstractNumId w:val="54"/>
  </w:num>
  <w:num w:numId="47">
    <w:abstractNumId w:val="65"/>
  </w:num>
  <w:num w:numId="48">
    <w:abstractNumId w:val="47"/>
  </w:num>
  <w:num w:numId="49">
    <w:abstractNumId w:val="47"/>
    <w:lvlOverride w:ilvl="1">
      <w:lvl w:ilvl="1">
        <w:numFmt w:val="lowerLetter"/>
        <w:lvlText w:val="%2."/>
        <w:lvlJc w:val="left"/>
      </w:lvl>
    </w:lvlOverride>
  </w:num>
  <w:num w:numId="50">
    <w:abstractNumId w:val="40"/>
  </w:num>
  <w:num w:numId="51">
    <w:abstractNumId w:val="10"/>
  </w:num>
  <w:num w:numId="52">
    <w:abstractNumId w:val="39"/>
  </w:num>
  <w:num w:numId="53">
    <w:abstractNumId w:val="43"/>
  </w:num>
  <w:num w:numId="54">
    <w:abstractNumId w:val="8"/>
    <w:lvlOverride w:ilvl="0">
      <w:startOverride w:val="1"/>
    </w:lvlOverride>
  </w:num>
  <w:num w:numId="55">
    <w:abstractNumId w:val="8"/>
    <w:lvlOverride w:ilvl="0">
      <w:startOverride w:val="1"/>
    </w:lvlOverride>
  </w:num>
  <w:num w:numId="56">
    <w:abstractNumId w:val="22"/>
  </w:num>
  <w:num w:numId="57">
    <w:abstractNumId w:val="23"/>
  </w:num>
  <w:num w:numId="58">
    <w:abstractNumId w:val="45"/>
  </w:num>
  <w:num w:numId="59">
    <w:abstractNumId w:val="25"/>
  </w:num>
  <w:num w:numId="60">
    <w:abstractNumId w:val="59"/>
  </w:num>
  <w:num w:numId="61">
    <w:abstractNumId w:val="66"/>
  </w:num>
  <w:num w:numId="62">
    <w:abstractNumId w:val="27"/>
  </w:num>
  <w:num w:numId="63">
    <w:abstractNumId w:val="58"/>
  </w:num>
  <w:num w:numId="64">
    <w:abstractNumId w:val="64"/>
  </w:num>
  <w:num w:numId="65">
    <w:abstractNumId w:val="71"/>
  </w:num>
  <w:num w:numId="66">
    <w:abstractNumId w:val="52"/>
  </w:num>
  <w:num w:numId="67">
    <w:abstractNumId w:val="68"/>
  </w:num>
  <w:num w:numId="68">
    <w:abstractNumId w:val="70"/>
  </w:num>
  <w:num w:numId="69">
    <w:abstractNumId w:val="31"/>
  </w:num>
  <w:num w:numId="70">
    <w:abstractNumId w:val="21"/>
  </w:num>
  <w:num w:numId="71">
    <w:abstractNumId w:val="42"/>
  </w:num>
  <w:num w:numId="72">
    <w:abstractNumId w:val="29"/>
  </w:num>
  <w:num w:numId="73">
    <w:abstractNumId w:val="48"/>
  </w:num>
  <w:num w:numId="74">
    <w:abstractNumId w:val="37"/>
  </w:num>
  <w:num w:numId="75">
    <w:abstractNumId w:val="24"/>
  </w:num>
  <w:num w:numId="76">
    <w:abstractNumId w:val="50"/>
  </w:num>
  <w:num w:numId="77">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TrueType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F73"/>
    <w:rsid w:val="00000CC6"/>
    <w:rsid w:val="000102BD"/>
    <w:rsid w:val="000132ED"/>
    <w:rsid w:val="00013ECA"/>
    <w:rsid w:val="0001736B"/>
    <w:rsid w:val="00020629"/>
    <w:rsid w:val="000245DF"/>
    <w:rsid w:val="00024D60"/>
    <w:rsid w:val="00032FB1"/>
    <w:rsid w:val="000459BE"/>
    <w:rsid w:val="00051F36"/>
    <w:rsid w:val="000647AD"/>
    <w:rsid w:val="00067C21"/>
    <w:rsid w:val="00083853"/>
    <w:rsid w:val="000879FA"/>
    <w:rsid w:val="00090312"/>
    <w:rsid w:val="000A2B66"/>
    <w:rsid w:val="000A3C27"/>
    <w:rsid w:val="000A54D8"/>
    <w:rsid w:val="000C30F5"/>
    <w:rsid w:val="000D0EF0"/>
    <w:rsid w:val="000D6AC3"/>
    <w:rsid w:val="000F7AAD"/>
    <w:rsid w:val="00102B61"/>
    <w:rsid w:val="00102DF4"/>
    <w:rsid w:val="00104B01"/>
    <w:rsid w:val="00112DBC"/>
    <w:rsid w:val="0011444D"/>
    <w:rsid w:val="00120791"/>
    <w:rsid w:val="00123AC8"/>
    <w:rsid w:val="0012610C"/>
    <w:rsid w:val="00127011"/>
    <w:rsid w:val="001343B3"/>
    <w:rsid w:val="00134717"/>
    <w:rsid w:val="00136F01"/>
    <w:rsid w:val="00145966"/>
    <w:rsid w:val="00153193"/>
    <w:rsid w:val="001556D5"/>
    <w:rsid w:val="00162DEC"/>
    <w:rsid w:val="001644EB"/>
    <w:rsid w:val="00172312"/>
    <w:rsid w:val="00177BD3"/>
    <w:rsid w:val="00187CC7"/>
    <w:rsid w:val="00191AC5"/>
    <w:rsid w:val="00197769"/>
    <w:rsid w:val="001A1564"/>
    <w:rsid w:val="001A331F"/>
    <w:rsid w:val="001A39B0"/>
    <w:rsid w:val="001A7A3C"/>
    <w:rsid w:val="001B2775"/>
    <w:rsid w:val="001B27D4"/>
    <w:rsid w:val="001C16CB"/>
    <w:rsid w:val="001C1EC9"/>
    <w:rsid w:val="001D1AE9"/>
    <w:rsid w:val="001D31BE"/>
    <w:rsid w:val="001E0AAB"/>
    <w:rsid w:val="001E18C3"/>
    <w:rsid w:val="001E3A0B"/>
    <w:rsid w:val="001E5F31"/>
    <w:rsid w:val="001F0605"/>
    <w:rsid w:val="001F257F"/>
    <w:rsid w:val="001F506D"/>
    <w:rsid w:val="001F5D11"/>
    <w:rsid w:val="00201615"/>
    <w:rsid w:val="00220A81"/>
    <w:rsid w:val="002339A8"/>
    <w:rsid w:val="00236B4E"/>
    <w:rsid w:val="00237743"/>
    <w:rsid w:val="00240242"/>
    <w:rsid w:val="0024042F"/>
    <w:rsid w:val="00240EEC"/>
    <w:rsid w:val="002503D8"/>
    <w:rsid w:val="00256E91"/>
    <w:rsid w:val="00260C97"/>
    <w:rsid w:val="0027062E"/>
    <w:rsid w:val="00275DA3"/>
    <w:rsid w:val="00277D15"/>
    <w:rsid w:val="00283C8D"/>
    <w:rsid w:val="002974F7"/>
    <w:rsid w:val="002A2A3A"/>
    <w:rsid w:val="002A690B"/>
    <w:rsid w:val="002A6F0E"/>
    <w:rsid w:val="002B02AB"/>
    <w:rsid w:val="002C2280"/>
    <w:rsid w:val="002C2BF1"/>
    <w:rsid w:val="002C44F0"/>
    <w:rsid w:val="002C7364"/>
    <w:rsid w:val="002D7DB8"/>
    <w:rsid w:val="002E1511"/>
    <w:rsid w:val="002E6114"/>
    <w:rsid w:val="002E677C"/>
    <w:rsid w:val="002F6F57"/>
    <w:rsid w:val="0030001C"/>
    <w:rsid w:val="00301E50"/>
    <w:rsid w:val="00303F21"/>
    <w:rsid w:val="00306503"/>
    <w:rsid w:val="00311A9C"/>
    <w:rsid w:val="00315BA7"/>
    <w:rsid w:val="00315C02"/>
    <w:rsid w:val="00317618"/>
    <w:rsid w:val="003205D7"/>
    <w:rsid w:val="00322E41"/>
    <w:rsid w:val="00324D66"/>
    <w:rsid w:val="00324EEB"/>
    <w:rsid w:val="003252D5"/>
    <w:rsid w:val="00337A5A"/>
    <w:rsid w:val="00341B5E"/>
    <w:rsid w:val="00341F16"/>
    <w:rsid w:val="003575BB"/>
    <w:rsid w:val="00381535"/>
    <w:rsid w:val="00382437"/>
    <w:rsid w:val="003850AB"/>
    <w:rsid w:val="00387E85"/>
    <w:rsid w:val="003A0361"/>
    <w:rsid w:val="003A1439"/>
    <w:rsid w:val="003A371D"/>
    <w:rsid w:val="003B7234"/>
    <w:rsid w:val="003C2F31"/>
    <w:rsid w:val="003D2CA3"/>
    <w:rsid w:val="003D38B3"/>
    <w:rsid w:val="003D44EA"/>
    <w:rsid w:val="003D5BB9"/>
    <w:rsid w:val="003D6D80"/>
    <w:rsid w:val="003D7A26"/>
    <w:rsid w:val="003E0CE9"/>
    <w:rsid w:val="003E21BB"/>
    <w:rsid w:val="003E4364"/>
    <w:rsid w:val="003E61F4"/>
    <w:rsid w:val="003E79FF"/>
    <w:rsid w:val="00401BB1"/>
    <w:rsid w:val="004036F3"/>
    <w:rsid w:val="00404884"/>
    <w:rsid w:val="00412B07"/>
    <w:rsid w:val="0041399E"/>
    <w:rsid w:val="00417A99"/>
    <w:rsid w:val="00425ADD"/>
    <w:rsid w:val="00433699"/>
    <w:rsid w:val="0044016F"/>
    <w:rsid w:val="00444BF8"/>
    <w:rsid w:val="004611EA"/>
    <w:rsid w:val="00462DC5"/>
    <w:rsid w:val="00471AFF"/>
    <w:rsid w:val="004809DC"/>
    <w:rsid w:val="00482ADD"/>
    <w:rsid w:val="0048512E"/>
    <w:rsid w:val="00487298"/>
    <w:rsid w:val="00492BF3"/>
    <w:rsid w:val="00496FA3"/>
    <w:rsid w:val="004A0A37"/>
    <w:rsid w:val="004A1064"/>
    <w:rsid w:val="004A4A8F"/>
    <w:rsid w:val="004B7868"/>
    <w:rsid w:val="004C273C"/>
    <w:rsid w:val="004C39C1"/>
    <w:rsid w:val="004C5B87"/>
    <w:rsid w:val="004D03C4"/>
    <w:rsid w:val="004D28BB"/>
    <w:rsid w:val="004E16ED"/>
    <w:rsid w:val="004F03B5"/>
    <w:rsid w:val="004F0DA3"/>
    <w:rsid w:val="004F3477"/>
    <w:rsid w:val="00500646"/>
    <w:rsid w:val="00503B28"/>
    <w:rsid w:val="00510301"/>
    <w:rsid w:val="00510641"/>
    <w:rsid w:val="00514F75"/>
    <w:rsid w:val="005158B3"/>
    <w:rsid w:val="0051655B"/>
    <w:rsid w:val="005165FA"/>
    <w:rsid w:val="00521426"/>
    <w:rsid w:val="00522FEA"/>
    <w:rsid w:val="005249FF"/>
    <w:rsid w:val="00543558"/>
    <w:rsid w:val="00544C29"/>
    <w:rsid w:val="00551884"/>
    <w:rsid w:val="005520B6"/>
    <w:rsid w:val="00553F3B"/>
    <w:rsid w:val="00555A20"/>
    <w:rsid w:val="00560641"/>
    <w:rsid w:val="005742FA"/>
    <w:rsid w:val="00584738"/>
    <w:rsid w:val="00590462"/>
    <w:rsid w:val="00595C53"/>
    <w:rsid w:val="005A0F00"/>
    <w:rsid w:val="005A2139"/>
    <w:rsid w:val="005B1543"/>
    <w:rsid w:val="005C0EBF"/>
    <w:rsid w:val="005C7738"/>
    <w:rsid w:val="005F756A"/>
    <w:rsid w:val="00601741"/>
    <w:rsid w:val="006018A9"/>
    <w:rsid w:val="00606D96"/>
    <w:rsid w:val="00617398"/>
    <w:rsid w:val="0063412F"/>
    <w:rsid w:val="00640C50"/>
    <w:rsid w:val="00647AF2"/>
    <w:rsid w:val="006545F3"/>
    <w:rsid w:val="006638E3"/>
    <w:rsid w:val="00670655"/>
    <w:rsid w:val="006710B5"/>
    <w:rsid w:val="0067232B"/>
    <w:rsid w:val="006766A5"/>
    <w:rsid w:val="00680D64"/>
    <w:rsid w:val="006823C4"/>
    <w:rsid w:val="00695018"/>
    <w:rsid w:val="006A1A59"/>
    <w:rsid w:val="006A1CCB"/>
    <w:rsid w:val="006A561E"/>
    <w:rsid w:val="006B2261"/>
    <w:rsid w:val="006B4B63"/>
    <w:rsid w:val="006C3CF9"/>
    <w:rsid w:val="006C7C4B"/>
    <w:rsid w:val="006D1896"/>
    <w:rsid w:val="006E51E8"/>
    <w:rsid w:val="006E7322"/>
    <w:rsid w:val="006E7D7F"/>
    <w:rsid w:val="00702CD9"/>
    <w:rsid w:val="0070517D"/>
    <w:rsid w:val="00706B41"/>
    <w:rsid w:val="00712F7A"/>
    <w:rsid w:val="00726F64"/>
    <w:rsid w:val="0074258A"/>
    <w:rsid w:val="0075097A"/>
    <w:rsid w:val="00760832"/>
    <w:rsid w:val="00761BD7"/>
    <w:rsid w:val="007704DB"/>
    <w:rsid w:val="0077485F"/>
    <w:rsid w:val="007751D7"/>
    <w:rsid w:val="00785D51"/>
    <w:rsid w:val="007931F9"/>
    <w:rsid w:val="007940A3"/>
    <w:rsid w:val="007967AA"/>
    <w:rsid w:val="007A0C25"/>
    <w:rsid w:val="007A1F12"/>
    <w:rsid w:val="007A2559"/>
    <w:rsid w:val="007A2A2F"/>
    <w:rsid w:val="007A7FF6"/>
    <w:rsid w:val="007B0CE5"/>
    <w:rsid w:val="007B43A1"/>
    <w:rsid w:val="007C0653"/>
    <w:rsid w:val="007C0B52"/>
    <w:rsid w:val="007C404C"/>
    <w:rsid w:val="007D02EC"/>
    <w:rsid w:val="007D52C0"/>
    <w:rsid w:val="007E3F1D"/>
    <w:rsid w:val="007F5B28"/>
    <w:rsid w:val="0080327E"/>
    <w:rsid w:val="00824934"/>
    <w:rsid w:val="00826CF3"/>
    <w:rsid w:val="008350AD"/>
    <w:rsid w:val="00837980"/>
    <w:rsid w:val="00843CB7"/>
    <w:rsid w:val="00851046"/>
    <w:rsid w:val="00861861"/>
    <w:rsid w:val="00880AF2"/>
    <w:rsid w:val="00880F1C"/>
    <w:rsid w:val="00883F5D"/>
    <w:rsid w:val="008978F5"/>
    <w:rsid w:val="008B0D58"/>
    <w:rsid w:val="008B19B9"/>
    <w:rsid w:val="008B2834"/>
    <w:rsid w:val="008B2AC6"/>
    <w:rsid w:val="008C23F0"/>
    <w:rsid w:val="008D39B1"/>
    <w:rsid w:val="008D471E"/>
    <w:rsid w:val="008E5149"/>
    <w:rsid w:val="008F45E0"/>
    <w:rsid w:val="008F4810"/>
    <w:rsid w:val="008F4BDA"/>
    <w:rsid w:val="00902F3F"/>
    <w:rsid w:val="0090382B"/>
    <w:rsid w:val="0090500D"/>
    <w:rsid w:val="00905189"/>
    <w:rsid w:val="009122E5"/>
    <w:rsid w:val="00924C58"/>
    <w:rsid w:val="00940893"/>
    <w:rsid w:val="009447AC"/>
    <w:rsid w:val="009526F0"/>
    <w:rsid w:val="00952AF2"/>
    <w:rsid w:val="00956823"/>
    <w:rsid w:val="00956E90"/>
    <w:rsid w:val="00977723"/>
    <w:rsid w:val="00977BE3"/>
    <w:rsid w:val="009833BA"/>
    <w:rsid w:val="00994A9A"/>
    <w:rsid w:val="009A270C"/>
    <w:rsid w:val="009A35F7"/>
    <w:rsid w:val="009A3D4D"/>
    <w:rsid w:val="009A6987"/>
    <w:rsid w:val="009B4F4F"/>
    <w:rsid w:val="009B5ACB"/>
    <w:rsid w:val="009B6327"/>
    <w:rsid w:val="009C0AF2"/>
    <w:rsid w:val="009C44A3"/>
    <w:rsid w:val="009C457B"/>
    <w:rsid w:val="009C758D"/>
    <w:rsid w:val="009D5FDB"/>
    <w:rsid w:val="009D7FAE"/>
    <w:rsid w:val="009E1DA3"/>
    <w:rsid w:val="009E2502"/>
    <w:rsid w:val="009E76A1"/>
    <w:rsid w:val="009E7ADE"/>
    <w:rsid w:val="009F19CE"/>
    <w:rsid w:val="009F7F4F"/>
    <w:rsid w:val="00A03B36"/>
    <w:rsid w:val="00A24CCD"/>
    <w:rsid w:val="00A25E0B"/>
    <w:rsid w:val="00A268D7"/>
    <w:rsid w:val="00A3214A"/>
    <w:rsid w:val="00A3409E"/>
    <w:rsid w:val="00A3687C"/>
    <w:rsid w:val="00A3781D"/>
    <w:rsid w:val="00A403A6"/>
    <w:rsid w:val="00A4134C"/>
    <w:rsid w:val="00A41CC9"/>
    <w:rsid w:val="00A532F8"/>
    <w:rsid w:val="00A556A7"/>
    <w:rsid w:val="00A67BCF"/>
    <w:rsid w:val="00A71F2B"/>
    <w:rsid w:val="00A85342"/>
    <w:rsid w:val="00A869C3"/>
    <w:rsid w:val="00A90BF9"/>
    <w:rsid w:val="00A91B19"/>
    <w:rsid w:val="00A9734D"/>
    <w:rsid w:val="00AA1987"/>
    <w:rsid w:val="00AA442E"/>
    <w:rsid w:val="00AA4BBD"/>
    <w:rsid w:val="00AC0D35"/>
    <w:rsid w:val="00AC69F9"/>
    <w:rsid w:val="00AD0FC8"/>
    <w:rsid w:val="00AD57CF"/>
    <w:rsid w:val="00AD6279"/>
    <w:rsid w:val="00AE5F21"/>
    <w:rsid w:val="00AF0CAD"/>
    <w:rsid w:val="00B03C61"/>
    <w:rsid w:val="00B0597B"/>
    <w:rsid w:val="00B110C8"/>
    <w:rsid w:val="00B15D6C"/>
    <w:rsid w:val="00B1679B"/>
    <w:rsid w:val="00B2246E"/>
    <w:rsid w:val="00B337E7"/>
    <w:rsid w:val="00B35FB8"/>
    <w:rsid w:val="00B506DF"/>
    <w:rsid w:val="00B56228"/>
    <w:rsid w:val="00B60B5E"/>
    <w:rsid w:val="00B60EDA"/>
    <w:rsid w:val="00B6156B"/>
    <w:rsid w:val="00B773D8"/>
    <w:rsid w:val="00B80D12"/>
    <w:rsid w:val="00BA1009"/>
    <w:rsid w:val="00BA3E89"/>
    <w:rsid w:val="00BB2AF9"/>
    <w:rsid w:val="00BB5C03"/>
    <w:rsid w:val="00BC0562"/>
    <w:rsid w:val="00BC3210"/>
    <w:rsid w:val="00BC32A9"/>
    <w:rsid w:val="00BD060F"/>
    <w:rsid w:val="00BD0C45"/>
    <w:rsid w:val="00BD18E5"/>
    <w:rsid w:val="00BD2836"/>
    <w:rsid w:val="00BD3BA2"/>
    <w:rsid w:val="00BD4D8E"/>
    <w:rsid w:val="00BD5247"/>
    <w:rsid w:val="00BD576E"/>
    <w:rsid w:val="00BD7286"/>
    <w:rsid w:val="00BE6B4F"/>
    <w:rsid w:val="00BF0BB0"/>
    <w:rsid w:val="00BF27CD"/>
    <w:rsid w:val="00C01A7D"/>
    <w:rsid w:val="00C0419D"/>
    <w:rsid w:val="00C16854"/>
    <w:rsid w:val="00C22729"/>
    <w:rsid w:val="00C2526B"/>
    <w:rsid w:val="00C463CD"/>
    <w:rsid w:val="00C469D5"/>
    <w:rsid w:val="00C66856"/>
    <w:rsid w:val="00C66F4C"/>
    <w:rsid w:val="00C749DF"/>
    <w:rsid w:val="00C77998"/>
    <w:rsid w:val="00C80876"/>
    <w:rsid w:val="00C85F9A"/>
    <w:rsid w:val="00C86C03"/>
    <w:rsid w:val="00C9515B"/>
    <w:rsid w:val="00CA341F"/>
    <w:rsid w:val="00CA5AF4"/>
    <w:rsid w:val="00CA6EB2"/>
    <w:rsid w:val="00CB13EB"/>
    <w:rsid w:val="00CB1571"/>
    <w:rsid w:val="00CC1ACB"/>
    <w:rsid w:val="00CC51A4"/>
    <w:rsid w:val="00CC5C14"/>
    <w:rsid w:val="00CD215B"/>
    <w:rsid w:val="00CE2C00"/>
    <w:rsid w:val="00CE6F73"/>
    <w:rsid w:val="00CE7FA8"/>
    <w:rsid w:val="00D02EE9"/>
    <w:rsid w:val="00D06B89"/>
    <w:rsid w:val="00D143A2"/>
    <w:rsid w:val="00D227F3"/>
    <w:rsid w:val="00D25A4D"/>
    <w:rsid w:val="00D26212"/>
    <w:rsid w:val="00D267EB"/>
    <w:rsid w:val="00D35029"/>
    <w:rsid w:val="00D374F8"/>
    <w:rsid w:val="00D41AD3"/>
    <w:rsid w:val="00D47AA8"/>
    <w:rsid w:val="00D55838"/>
    <w:rsid w:val="00D577F3"/>
    <w:rsid w:val="00D60B15"/>
    <w:rsid w:val="00D6292B"/>
    <w:rsid w:val="00D66802"/>
    <w:rsid w:val="00D754BE"/>
    <w:rsid w:val="00D82117"/>
    <w:rsid w:val="00D94020"/>
    <w:rsid w:val="00DB705D"/>
    <w:rsid w:val="00DB72A5"/>
    <w:rsid w:val="00DB759D"/>
    <w:rsid w:val="00DB790E"/>
    <w:rsid w:val="00DC62A0"/>
    <w:rsid w:val="00E0340A"/>
    <w:rsid w:val="00E055D5"/>
    <w:rsid w:val="00E073DC"/>
    <w:rsid w:val="00E112F0"/>
    <w:rsid w:val="00E1384F"/>
    <w:rsid w:val="00E16D9C"/>
    <w:rsid w:val="00E2443C"/>
    <w:rsid w:val="00E276BA"/>
    <w:rsid w:val="00E33E8B"/>
    <w:rsid w:val="00E41386"/>
    <w:rsid w:val="00E43BBA"/>
    <w:rsid w:val="00E47833"/>
    <w:rsid w:val="00E510AF"/>
    <w:rsid w:val="00E511AE"/>
    <w:rsid w:val="00E52BCA"/>
    <w:rsid w:val="00E60C29"/>
    <w:rsid w:val="00E628AA"/>
    <w:rsid w:val="00E63C76"/>
    <w:rsid w:val="00E64711"/>
    <w:rsid w:val="00E82AE0"/>
    <w:rsid w:val="00E94374"/>
    <w:rsid w:val="00EC175A"/>
    <w:rsid w:val="00EC23E2"/>
    <w:rsid w:val="00EC43E0"/>
    <w:rsid w:val="00EC7AB2"/>
    <w:rsid w:val="00ED1BB9"/>
    <w:rsid w:val="00ED6446"/>
    <w:rsid w:val="00ED7BC5"/>
    <w:rsid w:val="00EE1BB4"/>
    <w:rsid w:val="00EE1DA8"/>
    <w:rsid w:val="00EE3644"/>
    <w:rsid w:val="00EF0225"/>
    <w:rsid w:val="00EF2A35"/>
    <w:rsid w:val="00EF303B"/>
    <w:rsid w:val="00EF548E"/>
    <w:rsid w:val="00F04078"/>
    <w:rsid w:val="00F04356"/>
    <w:rsid w:val="00F073DF"/>
    <w:rsid w:val="00F111D6"/>
    <w:rsid w:val="00F16C0A"/>
    <w:rsid w:val="00F17EFC"/>
    <w:rsid w:val="00F20619"/>
    <w:rsid w:val="00F22B7D"/>
    <w:rsid w:val="00F411F6"/>
    <w:rsid w:val="00F46504"/>
    <w:rsid w:val="00F5242F"/>
    <w:rsid w:val="00F67811"/>
    <w:rsid w:val="00F74492"/>
    <w:rsid w:val="00F74BB6"/>
    <w:rsid w:val="00F75562"/>
    <w:rsid w:val="00F77D0E"/>
    <w:rsid w:val="00F80A86"/>
    <w:rsid w:val="00F84A4A"/>
    <w:rsid w:val="00F90D40"/>
    <w:rsid w:val="00F93732"/>
    <w:rsid w:val="00F95961"/>
    <w:rsid w:val="00F96AE5"/>
    <w:rsid w:val="00F97150"/>
    <w:rsid w:val="00F97A0F"/>
    <w:rsid w:val="00FA221A"/>
    <w:rsid w:val="00FB24AD"/>
    <w:rsid w:val="00FB2CFA"/>
    <w:rsid w:val="00FB32F9"/>
    <w:rsid w:val="00FC75B1"/>
    <w:rsid w:val="00FD75AE"/>
    <w:rsid w:val="00FE2B1F"/>
    <w:rsid w:val="00FE775B"/>
    <w:rsid w:val="00FF0F72"/>
    <w:rsid w:val="00FF2733"/>
    <w:rsid w:val="00FF3F5D"/>
    <w:rsid w:val="00FF5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A5E9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8"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97"/>
    <w:lsdException w:name="index 2" w:uiPriority="97"/>
    <w:lsdException w:name="index 3" w:uiPriority="97"/>
    <w:lsdException w:name="index 4" w:uiPriority="97"/>
    <w:lsdException w:name="index 5" w:uiPriority="97"/>
    <w:lsdException w:name="index 6" w:uiPriority="97"/>
    <w:lsdException w:name="index 7" w:uiPriority="97"/>
    <w:lsdException w:name="index 8" w:uiPriority="97"/>
    <w:lsdException w:name="index 9" w:uiPriority="97"/>
    <w:lsdException w:name="toc 1" w:uiPriority="39"/>
    <w:lsdException w:name="toc 2" w:uiPriority="39"/>
    <w:lsdException w:name="toc 3" w:uiPriority="39"/>
    <w:lsdException w:name="toc 4" w:uiPriority="97"/>
    <w:lsdException w:name="toc 5" w:uiPriority="97"/>
    <w:lsdException w:name="toc 6" w:uiPriority="97"/>
    <w:lsdException w:name="toc 7" w:uiPriority="97"/>
    <w:lsdException w:name="toc 8" w:uiPriority="97"/>
    <w:lsdException w:name="toc 9" w:uiPriority="97"/>
    <w:lsdException w:name="Normal Indent" w:uiPriority="0"/>
    <w:lsdException w:name="footnote text" w:uiPriority="97"/>
    <w:lsdException w:name="annotation text" w:uiPriority="97"/>
    <w:lsdException w:name="header" w:uiPriority="9"/>
    <w:lsdException w:name="footer" w:uiPriority="9"/>
    <w:lsdException w:name="index heading" w:uiPriority="97"/>
    <w:lsdException w:name="caption" w:uiPriority="97" w:qFormat="1"/>
    <w:lsdException w:name="table of figures" w:uiPriority="97"/>
    <w:lsdException w:name="envelope address" w:uiPriority="97"/>
    <w:lsdException w:name="envelope return" w:uiPriority="97"/>
    <w:lsdException w:name="footnote reference" w:uiPriority="97"/>
    <w:lsdException w:name="annotation reference" w:uiPriority="97"/>
    <w:lsdException w:name="line number" w:uiPriority="97"/>
    <w:lsdException w:name="page number" w:uiPriority="97"/>
    <w:lsdException w:name="endnote reference" w:uiPriority="97"/>
    <w:lsdException w:name="endnote text" w:uiPriority="97"/>
    <w:lsdException w:name="table of authorities" w:uiPriority="97"/>
    <w:lsdException w:name="macro" w:uiPriority="97"/>
    <w:lsdException w:name="toa heading" w:uiPriority="97"/>
    <w:lsdException w:name="List" w:uiPriority="4"/>
    <w:lsdException w:name="List Bullet" w:uiPriority="2"/>
    <w:lsdException w:name="List Number" w:semiHidden="0" w:uiPriority="3" w:unhideWhenUsed="0"/>
    <w:lsdException w:name="List 2" w:uiPriority="4"/>
    <w:lsdException w:name="List 3" w:uiPriority="4"/>
    <w:lsdException w:name="List 4" w:semiHidden="0" w:uiPriority="4" w:unhideWhenUsed="0"/>
    <w:lsdException w:name="List 5" w:semiHidden="0" w:uiPriority="4" w:unhideWhenUsed="0"/>
    <w:lsdException w:name="List Bullet 2" w:uiPriority="2"/>
    <w:lsdException w:name="List Bullet 3" w:uiPriority="2"/>
    <w:lsdException w:name="List Bullet 4" w:uiPriority="2"/>
    <w:lsdException w:name="List Bullet 5" w:uiPriority="2"/>
    <w:lsdException w:name="List Number 2" w:uiPriority="3"/>
    <w:lsdException w:name="List Number 3" w:uiPriority="3"/>
    <w:lsdException w:name="List Number 4" w:uiPriority="3"/>
    <w:lsdException w:name="List Number 5" w:uiPriority="3"/>
    <w:lsdException w:name="Title" w:semiHidden="0" w:uiPriority="97" w:unhideWhenUsed="0"/>
    <w:lsdException w:name="Closing" w:uiPriority="97"/>
    <w:lsdException w:name="Signature" w:uiPriority="97"/>
    <w:lsdException w:name="Default Paragraph Font" w:uiPriority="97"/>
    <w:lsdException w:name="Body Text" w:uiPriority="97"/>
    <w:lsdException w:name="Body Text Indent" w:uiPriority="97"/>
    <w:lsdException w:name="List Continue" w:uiPriority="10"/>
    <w:lsdException w:name="List Continue 2" w:uiPriority="10"/>
    <w:lsdException w:name="List Continue 3" w:uiPriority="10"/>
    <w:lsdException w:name="List Continue 4" w:uiPriority="10"/>
    <w:lsdException w:name="List Continue 5" w:uiPriority="10"/>
    <w:lsdException w:name="Message Header" w:uiPriority="97"/>
    <w:lsdException w:name="Subtitle" w:semiHidden="0" w:uiPriority="97" w:unhideWhenUsed="0"/>
    <w:lsdException w:name="Salutation" w:semiHidden="0" w:uiPriority="97" w:unhideWhenUsed="0"/>
    <w:lsdException w:name="Date" w:semiHidden="0" w:uiPriority="97" w:unhideWhenUsed="0"/>
    <w:lsdException w:name="Body Text First Indent" w:semiHidden="0" w:uiPriority="97" w:unhideWhenUsed="0"/>
    <w:lsdException w:name="Body Text First Indent 2" w:uiPriority="97"/>
    <w:lsdException w:name="Note Heading" w:uiPriority="97"/>
    <w:lsdException w:name="Body Text 2" w:uiPriority="97"/>
    <w:lsdException w:name="Body Text 3" w:uiPriority="97"/>
    <w:lsdException w:name="Body Text Indent 2" w:uiPriority="97"/>
    <w:lsdException w:name="Body Text Indent 3" w:uiPriority="97"/>
    <w:lsdException w:name="Block Text" w:uiPriority="97"/>
    <w:lsdException w:name="Hyperlink" w:uiPriority="99"/>
    <w:lsdException w:name="FollowedHyperlink" w:uiPriority="97"/>
    <w:lsdException w:name="Strong" w:semiHidden="0" w:uiPriority="97" w:unhideWhenUsed="0"/>
    <w:lsdException w:name="Emphasis" w:semiHidden="0" w:uiPriority="97" w:unhideWhenUsed="0"/>
    <w:lsdException w:name="Document Map" w:uiPriority="97"/>
    <w:lsdException w:name="Plain Text" w:uiPriority="97"/>
    <w:lsdException w:name="E-mail Signature" w:uiPriority="97"/>
    <w:lsdException w:name="HTML Top of Form" w:uiPriority="0"/>
    <w:lsdException w:name="HTML Bottom of Form" w:uiPriority="0"/>
    <w:lsdException w:name="Normal (Web)" w:uiPriority="99"/>
    <w:lsdException w:name="HTML Acronym" w:uiPriority="97"/>
    <w:lsdException w:name="HTML Address" w:uiPriority="97"/>
    <w:lsdException w:name="HTML Cite" w:uiPriority="97"/>
    <w:lsdException w:name="HTML Code" w:uiPriority="97"/>
    <w:lsdException w:name="HTML Definition" w:uiPriority="97"/>
    <w:lsdException w:name="HTML Keyboard" w:uiPriority="97"/>
    <w:lsdException w:name="HTML Preformatted" w:uiPriority="97"/>
    <w:lsdException w:name="HTML Sample" w:uiPriority="97"/>
    <w:lsdException w:name="HTML Typewriter" w:uiPriority="97"/>
    <w:lsdException w:name="HTML Variable" w:uiPriority="97"/>
    <w:lsdException w:name="annotation subject" w:uiPriority="97"/>
    <w:lsdException w:name="No List" w:uiPriority="97"/>
    <w:lsdException w:name="Outline List 1" w:uiPriority="97"/>
    <w:lsdException w:name="Outline List 2" w:uiPriority="97"/>
    <w:lsdException w:name="Outline List 3" w:uiPriority="97"/>
    <w:lsdException w:name="Balloon Text" w:uiPriority="97"/>
    <w:lsdException w:name="Table Grid" w:semiHidden="0" w:unhideWhenUsed="0"/>
    <w:lsdException w:name="Placeholder Text" w:uiPriority="97" w:unhideWhenUsed="0"/>
    <w:lsdException w:name="No Spacing" w:semiHidden="0" w:uiPriority="97"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4" w:unhideWhenUsed="0"/>
    <w:lsdException w:name="Quote" w:semiHidden="0" w:uiPriority="97" w:unhideWhenUsed="0"/>
    <w:lsdException w:name="Intense Quote" w:semiHidden="0" w:uiPriority="97"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97" w:unhideWhenUsed="0"/>
    <w:lsdException w:name="Intense Emphasis" w:semiHidden="0" w:uiPriority="97" w:unhideWhenUsed="0"/>
    <w:lsdException w:name="Subtle Reference" w:semiHidden="0" w:uiPriority="97" w:unhideWhenUsed="0"/>
    <w:lsdException w:name="Intense Reference" w:semiHidden="0" w:uiPriority="97" w:unhideWhenUsed="0"/>
    <w:lsdException w:name="Book Title" w:semiHidden="0" w:uiPriority="97" w:unhideWhenUsed="0"/>
    <w:lsdException w:name="Bibliography" w:uiPriority="97"/>
    <w:lsdException w:name="TOC Heading" w:uiPriority="39" w:qFormat="1"/>
  </w:latentStyles>
  <w:style w:type="paragraph" w:default="1" w:styleId="Normal">
    <w:name w:val="Normal"/>
    <w:qFormat/>
    <w:rsid w:val="00FF3F5D"/>
    <w:pPr>
      <w:spacing w:after="240" w:line="240" w:lineRule="atLeast"/>
    </w:pPr>
    <w:rPr>
      <w:rFonts w:asciiTheme="minorHAnsi" w:hAnsiTheme="minorHAnsi" w:cstheme="minorHAnsi"/>
      <w:szCs w:val="24"/>
      <w:lang w:val="en-AU" w:eastAsia="ja-JP"/>
    </w:rPr>
  </w:style>
  <w:style w:type="paragraph" w:styleId="Heading1">
    <w:name w:val="heading 1"/>
    <w:basedOn w:val="Normal"/>
    <w:next w:val="Normal"/>
    <w:uiPriority w:val="1"/>
    <w:qFormat/>
    <w:rsid w:val="007C0653"/>
    <w:pPr>
      <w:keepNext/>
      <w:pageBreakBefore/>
      <w:framePr w:w="14459" w:wrap="around" w:vAnchor="text" w:hAnchor="text" w:y="1"/>
      <w:spacing w:after="180" w:line="240" w:lineRule="auto"/>
      <w:outlineLvl w:val="0"/>
    </w:pPr>
    <w:rPr>
      <w:rFonts w:asciiTheme="majorHAnsi" w:hAnsiTheme="majorHAnsi" w:cstheme="majorHAnsi"/>
      <w:bCs/>
      <w:sz w:val="52"/>
      <w:szCs w:val="32"/>
    </w:rPr>
  </w:style>
  <w:style w:type="paragraph" w:styleId="Heading2">
    <w:name w:val="heading 2"/>
    <w:basedOn w:val="Normal"/>
    <w:next w:val="Normal"/>
    <w:uiPriority w:val="1"/>
    <w:qFormat/>
    <w:rsid w:val="007C0653"/>
    <w:pPr>
      <w:keepNext/>
      <w:framePr w:w="14459" w:wrap="around" w:vAnchor="text" w:hAnchor="text" w:y="1"/>
      <w:spacing w:before="60" w:after="570" w:line="240" w:lineRule="auto"/>
      <w:outlineLvl w:val="1"/>
    </w:pPr>
    <w:rPr>
      <w:rFonts w:asciiTheme="majorHAnsi" w:hAnsiTheme="majorHAnsi" w:cstheme="majorHAnsi"/>
      <w:bCs/>
      <w:iCs/>
      <w:sz w:val="40"/>
      <w:szCs w:val="28"/>
    </w:rPr>
  </w:style>
  <w:style w:type="paragraph" w:styleId="Heading3">
    <w:name w:val="heading 3"/>
    <w:basedOn w:val="Normal"/>
    <w:next w:val="Normal"/>
    <w:uiPriority w:val="1"/>
    <w:qFormat/>
    <w:rsid w:val="00104B01"/>
    <w:pPr>
      <w:keepNext/>
      <w:spacing w:before="60" w:after="118"/>
      <w:outlineLvl w:val="2"/>
    </w:pPr>
    <w:rPr>
      <w:rFonts w:asciiTheme="majorHAnsi" w:hAnsiTheme="majorHAnsi" w:cstheme="majorHAnsi"/>
      <w:b/>
      <w:bCs/>
      <w:sz w:val="26"/>
      <w:szCs w:val="26"/>
    </w:rPr>
  </w:style>
  <w:style w:type="paragraph" w:styleId="Heading4">
    <w:name w:val="heading 4"/>
    <w:next w:val="Normal"/>
    <w:uiPriority w:val="1"/>
    <w:qFormat/>
    <w:rsid w:val="002C2BF1"/>
    <w:pPr>
      <w:keepNext/>
      <w:spacing w:before="240" w:after="30"/>
      <w:outlineLvl w:val="3"/>
    </w:pPr>
    <w:rPr>
      <w:rFonts w:asciiTheme="majorHAnsi" w:hAnsiTheme="majorHAnsi" w:cstheme="majorHAnsi"/>
      <w:b/>
      <w:bCs/>
      <w:szCs w:val="28"/>
      <w:lang w:val="en-AU" w:eastAsia="ja-JP"/>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1A1E24"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1A1E24"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szCs w:val="20"/>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rFonts w:eastAsia="Times New Roman"/>
      <w:spacing w:val="-3"/>
      <w:sz w:val="22"/>
      <w:szCs w:val="19"/>
      <w:lang w:eastAsia="en-AU"/>
    </w:rPr>
  </w:style>
  <w:style w:type="paragraph" w:customStyle="1" w:styleId="TableBullet">
    <w:name w:val="Table Bullet"/>
    <w:basedOn w:val="TableText"/>
    <w:qFormat/>
    <w:rsid w:val="0051655B"/>
    <w:pPr>
      <w:numPr>
        <w:numId w:val="15"/>
      </w:numPr>
      <w:ind w:left="170" w:hanging="170"/>
    </w:pPr>
  </w:style>
  <w:style w:type="paragraph" w:styleId="ListBullet">
    <w:name w:val="List Bullet"/>
    <w:basedOn w:val="Normal"/>
    <w:uiPriority w:val="2"/>
    <w:rsid w:val="007B0CE5"/>
    <w:pPr>
      <w:numPr>
        <w:numId w:val="1"/>
      </w:numPr>
      <w:ind w:left="284" w:hanging="284"/>
      <w:contextualSpacing/>
    </w:pPr>
  </w:style>
  <w:style w:type="paragraph" w:styleId="ListBullet2">
    <w:name w:val="List Bullet 2"/>
    <w:basedOn w:val="Normal"/>
    <w:uiPriority w:val="2"/>
    <w:rsid w:val="007B0CE5"/>
    <w:pPr>
      <w:numPr>
        <w:numId w:val="2"/>
      </w:numPr>
      <w:ind w:left="568" w:hanging="284"/>
      <w:contextualSpacing/>
    </w:pPr>
  </w:style>
  <w:style w:type="paragraph" w:styleId="Footer">
    <w:name w:val="footer"/>
    <w:basedOn w:val="Normal"/>
    <w:link w:val="FooterChar"/>
    <w:uiPriority w:val="9"/>
    <w:rsid w:val="00706B41"/>
    <w:pPr>
      <w:tabs>
        <w:tab w:val="center" w:pos="4153"/>
        <w:tab w:val="right" w:pos="8306"/>
      </w:tabs>
      <w:spacing w:after="0" w:line="240" w:lineRule="auto"/>
    </w:pPr>
    <w:rPr>
      <w:sz w:val="14"/>
    </w:rPr>
  </w:style>
  <w:style w:type="paragraph" w:styleId="Header">
    <w:name w:val="header"/>
    <w:basedOn w:val="Normal"/>
    <w:link w:val="HeaderChar"/>
    <w:uiPriority w:val="9"/>
    <w:rsid w:val="00706B41"/>
    <w:pPr>
      <w:tabs>
        <w:tab w:val="center" w:pos="4153"/>
        <w:tab w:val="right" w:pos="8306"/>
      </w:tabs>
      <w:spacing w:after="0" w:line="240" w:lineRule="auto"/>
    </w:pPr>
    <w:rPr>
      <w:sz w:val="14"/>
    </w:rPr>
  </w:style>
  <w:style w:type="table" w:styleId="TableGrid">
    <w:name w:val="Table Grid"/>
    <w:basedOn w:val="TableNormal"/>
    <w:uiPriority w:val="98"/>
    <w:rsid w:val="00706B41"/>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39"/>
    <w:rsid w:val="00706B41"/>
    <w:pPr>
      <w:tabs>
        <w:tab w:val="right" w:pos="9979"/>
      </w:tabs>
      <w:spacing w:before="140" w:after="60"/>
    </w:pPr>
    <w:rPr>
      <w:b/>
      <w:color w:val="808080"/>
      <w:sz w:val="22"/>
    </w:rPr>
  </w:style>
  <w:style w:type="paragraph" w:styleId="TOC2">
    <w:name w:val="toc 2"/>
    <w:basedOn w:val="Normal"/>
    <w:next w:val="Normal"/>
    <w:uiPriority w:val="39"/>
    <w:rsid w:val="00706B41"/>
    <w:pPr>
      <w:tabs>
        <w:tab w:val="right" w:pos="9979"/>
      </w:tabs>
      <w:spacing w:before="140" w:after="60"/>
      <w:ind w:left="454"/>
    </w:pPr>
    <w:rPr>
      <w:color w:val="808080"/>
      <w:sz w:val="22"/>
      <w:szCs w:val="22"/>
    </w:rPr>
  </w:style>
  <w:style w:type="paragraph" w:customStyle="1" w:styleId="CoverDetails">
    <w:name w:val="Cover Details"/>
    <w:basedOn w:val="Normal"/>
    <w:uiPriority w:val="10"/>
    <w:rsid w:val="00680D64"/>
    <w:pPr>
      <w:spacing w:after="0" w:line="240" w:lineRule="auto"/>
    </w:pPr>
    <w:rPr>
      <w:rFonts w:eastAsia="Times New Roman"/>
      <w:spacing w:val="-3"/>
      <w:lang w:eastAsia="en-AU"/>
    </w:rPr>
  </w:style>
  <w:style w:type="paragraph" w:customStyle="1" w:styleId="CoverHeading">
    <w:name w:val="Cover Heading"/>
    <w:uiPriority w:val="10"/>
    <w:rsid w:val="008B0D58"/>
    <w:rPr>
      <w:rFonts w:asciiTheme="minorHAnsi" w:eastAsia="Times New Roman" w:hAnsiTheme="minorHAnsi" w:cstheme="minorHAnsi"/>
      <w:b/>
      <w:spacing w:val="-3"/>
      <w:sz w:val="26"/>
      <w:szCs w:val="28"/>
      <w:lang w:val="en-AU" w:eastAsia="en-AU"/>
    </w:rPr>
  </w:style>
  <w:style w:type="paragraph" w:customStyle="1" w:styleId="CoverTitle">
    <w:name w:val="Cover Title"/>
    <w:next w:val="Normal"/>
    <w:uiPriority w:val="10"/>
    <w:rsid w:val="00A268D7"/>
    <w:pPr>
      <w:spacing w:before="220" w:after="120" w:line="420" w:lineRule="atLeast"/>
      <w:ind w:left="312"/>
    </w:pPr>
    <w:rPr>
      <w:rFonts w:asciiTheme="majorHAnsi" w:eastAsia="Times New Roman" w:hAnsiTheme="majorHAnsi" w:cstheme="majorHAnsi"/>
      <w:bCs/>
      <w:color w:val="FFFFFF" w:themeColor="background1"/>
      <w:spacing w:val="-3"/>
      <w:sz w:val="54"/>
      <w:szCs w:val="38"/>
      <w:lang w:val="en-AU" w:eastAsia="en-US"/>
    </w:rPr>
  </w:style>
  <w:style w:type="paragraph" w:customStyle="1" w:styleId="CoverSubtitle">
    <w:name w:val="Cover Subtitle"/>
    <w:basedOn w:val="CoverTitle"/>
    <w:uiPriority w:val="10"/>
    <w:rsid w:val="008B0D58"/>
    <w:pPr>
      <w:spacing w:before="2" w:after="126" w:line="384" w:lineRule="atLeast"/>
    </w:pPr>
    <w:rPr>
      <w:rFonts w:asciiTheme="minorHAnsi" w:hAnsiTheme="minorHAnsi" w:cstheme="minorHAnsi"/>
      <w:sz w:val="40"/>
    </w:rPr>
  </w:style>
  <w:style w:type="paragraph" w:customStyle="1" w:styleId="TableText">
    <w:name w:val="Table Text"/>
    <w:basedOn w:val="Normal"/>
    <w:uiPriority w:val="9"/>
    <w:qFormat/>
    <w:rsid w:val="00FF3F5D"/>
    <w:pPr>
      <w:spacing w:before="80" w:after="60" w:line="184" w:lineRule="atLeast"/>
    </w:pPr>
    <w:rPr>
      <w:rFonts w:eastAsia="Times New Roman"/>
      <w:spacing w:val="-3"/>
      <w:szCs w:val="19"/>
      <w:lang w:eastAsia="en-AU"/>
    </w:rPr>
  </w:style>
  <w:style w:type="paragraph" w:styleId="FootnoteText">
    <w:name w:val="footnote text"/>
    <w:basedOn w:val="Normal"/>
    <w:link w:val="FootnoteTextChar"/>
    <w:uiPriority w:val="10"/>
    <w:rsid w:val="00706B41"/>
    <w:pPr>
      <w:tabs>
        <w:tab w:val="left" w:pos="320"/>
      </w:tabs>
      <w:spacing w:before="85" w:after="60" w:line="220" w:lineRule="atLeast"/>
      <w:ind w:left="318" w:hanging="318"/>
    </w:pPr>
    <w:rPr>
      <w:rFonts w:eastAsia="Times New Roman"/>
      <w:spacing w:val="-3"/>
      <w:sz w:val="16"/>
      <w:szCs w:val="16"/>
      <w:lang w:eastAsia="en-AU"/>
    </w:rPr>
  </w:style>
  <w:style w:type="character" w:customStyle="1" w:styleId="FootnoteTextChar">
    <w:name w:val="Footnote Text Char"/>
    <w:basedOn w:val="DefaultParagraphFont"/>
    <w:link w:val="FootnoteText"/>
    <w:uiPriority w:val="10"/>
    <w:rsid w:val="00706B41"/>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706B41"/>
    <w:pPr>
      <w:numPr>
        <w:numId w:val="4"/>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qFormat/>
    <w:rsid w:val="00706B41"/>
    <w:rPr>
      <w:rFonts w:asciiTheme="majorHAnsi" w:hAnsiTheme="majorHAnsi" w:cstheme="majorHAnsi"/>
      <w:b/>
    </w:rPr>
  </w:style>
  <w:style w:type="paragraph" w:styleId="ListNumber">
    <w:name w:val="List Number"/>
    <w:basedOn w:val="Normal"/>
    <w:uiPriority w:val="3"/>
    <w:rsid w:val="007B0CE5"/>
    <w:pPr>
      <w:numPr>
        <w:numId w:val="5"/>
      </w:numPr>
      <w:ind w:left="357" w:hanging="357"/>
      <w:contextualSpacing/>
    </w:pPr>
  </w:style>
  <w:style w:type="numbering" w:styleId="111111">
    <w:name w:val="Outline List 2"/>
    <w:basedOn w:val="NoList"/>
    <w:uiPriority w:val="97"/>
    <w:semiHidden/>
    <w:rsid w:val="00706B41"/>
    <w:pPr>
      <w:numPr>
        <w:numId w:val="6"/>
      </w:numPr>
    </w:pPr>
  </w:style>
  <w:style w:type="numbering" w:styleId="1ai">
    <w:name w:val="Outline List 1"/>
    <w:basedOn w:val="NoList"/>
    <w:uiPriority w:val="97"/>
    <w:semiHidden/>
    <w:rsid w:val="00706B41"/>
    <w:pPr>
      <w:numPr>
        <w:numId w:val="7"/>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1A1E24" w:themeColor="accent1" w:themeShade="7F"/>
      <w:szCs w:val="24"/>
      <w:lang w:val="en-AU" w:eastAsia="ja-JP"/>
    </w:rPr>
  </w:style>
  <w:style w:type="character" w:customStyle="1" w:styleId="Heading6Char">
    <w:name w:val="Heading 6 Char"/>
    <w:basedOn w:val="DefaultParagraphFont"/>
    <w:link w:val="Heading6"/>
    <w:uiPriority w:val="1"/>
    <w:semiHidden/>
    <w:rsid w:val="00706B41"/>
    <w:rPr>
      <w:rFonts w:asciiTheme="majorHAnsi" w:eastAsiaTheme="majorEastAsia" w:hAnsiTheme="majorHAnsi" w:cstheme="majorHAnsi"/>
      <w:i/>
      <w:iCs/>
      <w:color w:val="1A1E24"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8"/>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353E49" w:themeColor="accent1" w:shadow="1" w:frame="1"/>
        <w:left w:val="single" w:sz="2" w:space="10" w:color="353E49" w:themeColor="accent1" w:shadow="1" w:frame="1"/>
        <w:bottom w:val="single" w:sz="2" w:space="10" w:color="353E49" w:themeColor="accent1" w:shadow="1" w:frame="1"/>
        <w:right w:val="single" w:sz="2" w:space="10" w:color="353E49" w:themeColor="accent1" w:shadow="1" w:frame="1"/>
      </w:pBdr>
      <w:ind w:left="1152" w:right="1152"/>
    </w:pPr>
    <w:rPr>
      <w:rFonts w:eastAsiaTheme="minorEastAsia"/>
      <w:i/>
      <w:iCs/>
      <w:color w:val="353E49" w:themeColor="accent1"/>
    </w:rPr>
  </w:style>
  <w:style w:type="paragraph" w:styleId="BodyText">
    <w:name w:val="Body Text"/>
    <w:basedOn w:val="Normal"/>
    <w:link w:val="BodyTextChar"/>
    <w:uiPriority w:val="97"/>
    <w:semiHidden/>
    <w:rsid w:val="00706B41"/>
  </w:style>
  <w:style w:type="character" w:customStyle="1" w:styleId="BodyTextChar">
    <w:name w:val="Body Text Char"/>
    <w:basedOn w:val="DefaultParagraphFont"/>
    <w:link w:val="BodyText"/>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aption">
    <w:name w:val="caption"/>
    <w:basedOn w:val="Normal"/>
    <w:next w:val="Normal"/>
    <w:uiPriority w:val="10"/>
    <w:qFormat/>
    <w:rsid w:val="00FF3F5D"/>
    <w:pPr>
      <w:spacing w:before="240" w:after="80" w:line="240" w:lineRule="auto"/>
    </w:pPr>
    <w:rPr>
      <w:b/>
      <w:bCs/>
      <w:szCs w:val="18"/>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D7DE"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A6B0BE" w:themeFill="accent1" w:themeFillTint="66"/>
      </w:tcPr>
    </w:tblStylePr>
    <w:tblStylePr w:type="lastRow">
      <w:rPr>
        <w:b/>
        <w:bCs/>
        <w:color w:val="000000" w:themeColor="text1"/>
      </w:rPr>
      <w:tblPr/>
      <w:tcPr>
        <w:shd w:val="clear" w:color="auto" w:fill="A6B0BE" w:themeFill="accent1" w:themeFillTint="66"/>
      </w:tcPr>
    </w:tblStylePr>
    <w:tblStylePr w:type="firstCol">
      <w:rPr>
        <w:color w:val="FFFFFF" w:themeColor="background1"/>
      </w:rPr>
      <w:tblPr/>
      <w:tcPr>
        <w:shd w:val="clear" w:color="auto" w:fill="272E36" w:themeFill="accent1" w:themeFillShade="BF"/>
      </w:tcPr>
    </w:tblStylePr>
    <w:tblStylePr w:type="lastCol">
      <w:rPr>
        <w:color w:val="FFFFFF" w:themeColor="background1"/>
      </w:rPr>
      <w:tblPr/>
      <w:tcPr>
        <w:shd w:val="clear" w:color="auto" w:fill="272E36" w:themeFill="accent1" w:themeFillShade="BF"/>
      </w:tcPr>
    </w:tblStylePr>
    <w:tblStylePr w:type="band1Vert">
      <w:tblPr/>
      <w:tcPr>
        <w:shd w:val="clear" w:color="auto" w:fill="909DAE" w:themeFill="accent1" w:themeFillTint="7F"/>
      </w:tcPr>
    </w:tblStylePr>
    <w:tblStylePr w:type="band1Horz">
      <w:tblPr/>
      <w:tcPr>
        <w:shd w:val="clear" w:color="auto" w:fill="909DAE"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DE4"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FDBC9" w:themeFill="accent2" w:themeFillTint="66"/>
      </w:tcPr>
    </w:tblStylePr>
    <w:tblStylePr w:type="lastRow">
      <w:rPr>
        <w:b/>
        <w:bCs/>
        <w:color w:val="000000" w:themeColor="text1"/>
      </w:rPr>
      <w:tblPr/>
      <w:tcPr>
        <w:shd w:val="clear" w:color="auto" w:fill="DFDBC9" w:themeFill="accent2" w:themeFillTint="66"/>
      </w:tcPr>
    </w:tblStylePr>
    <w:tblStylePr w:type="firstCol">
      <w:rPr>
        <w:color w:val="FFFFFF" w:themeColor="background1"/>
      </w:rPr>
      <w:tblPr/>
      <w:tcPr>
        <w:shd w:val="clear" w:color="auto" w:fill="8A8252" w:themeFill="accent2" w:themeFillShade="BF"/>
      </w:tcPr>
    </w:tblStylePr>
    <w:tblStylePr w:type="lastCol">
      <w:rPr>
        <w:color w:val="FFFFFF" w:themeColor="background1"/>
      </w:rPr>
      <w:tblPr/>
      <w:tcPr>
        <w:shd w:val="clear" w:color="auto" w:fill="8A8252" w:themeFill="accent2" w:themeFillShade="BF"/>
      </w:tcPr>
    </w:tblStylePr>
    <w:tblStylePr w:type="band1Vert">
      <w:tblPr/>
      <w:tcPr>
        <w:shd w:val="clear" w:color="auto" w:fill="D7D3BB" w:themeFill="accent2" w:themeFillTint="7F"/>
      </w:tcPr>
    </w:tblStylePr>
    <w:tblStylePr w:type="band1Horz">
      <w:tblPr/>
      <w:tcPr>
        <w:shd w:val="clear" w:color="auto" w:fill="D7D3BB"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FE2EB"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A0C5D8" w:themeFill="accent3" w:themeFillTint="66"/>
      </w:tcPr>
    </w:tblStylePr>
    <w:tblStylePr w:type="lastRow">
      <w:rPr>
        <w:b/>
        <w:bCs/>
        <w:color w:val="000000" w:themeColor="text1"/>
      </w:rPr>
      <w:tblPr/>
      <w:tcPr>
        <w:shd w:val="clear" w:color="auto" w:fill="A0C5D8" w:themeFill="accent3" w:themeFillTint="66"/>
      </w:tcPr>
    </w:tblStylePr>
    <w:tblStylePr w:type="firstCol">
      <w:rPr>
        <w:color w:val="FFFFFF" w:themeColor="background1"/>
      </w:rPr>
      <w:tblPr/>
      <w:tcPr>
        <w:shd w:val="clear" w:color="auto" w:fill="274B5F" w:themeFill="accent3" w:themeFillShade="BF"/>
      </w:tcPr>
    </w:tblStylePr>
    <w:tblStylePr w:type="lastCol">
      <w:rPr>
        <w:color w:val="FFFFFF" w:themeColor="background1"/>
      </w:rPr>
      <w:tblPr/>
      <w:tcPr>
        <w:shd w:val="clear" w:color="auto" w:fill="274B5F" w:themeFill="accent3" w:themeFillShade="BF"/>
      </w:tcPr>
    </w:tblStylePr>
    <w:tblStylePr w:type="band1Vert">
      <w:tblPr/>
      <w:tcPr>
        <w:shd w:val="clear" w:color="auto" w:fill="89B6CF" w:themeFill="accent3" w:themeFillTint="7F"/>
      </w:tcPr>
    </w:tblStylePr>
    <w:tblStylePr w:type="band1Horz">
      <w:tblPr/>
      <w:tcPr>
        <w:shd w:val="clear" w:color="auto" w:fill="89B6CF"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1EADF"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4D6BF" w:themeFill="accent4" w:themeFillTint="66"/>
      </w:tcPr>
    </w:tblStylePr>
    <w:tblStylePr w:type="lastRow">
      <w:rPr>
        <w:b/>
        <w:bCs/>
        <w:color w:val="000000" w:themeColor="text1"/>
      </w:rPr>
      <w:tblPr/>
      <w:tcPr>
        <w:shd w:val="clear" w:color="auto" w:fill="E4D6BF" w:themeFill="accent4" w:themeFillTint="66"/>
      </w:tcPr>
    </w:tblStylePr>
    <w:tblStylePr w:type="firstCol">
      <w:rPr>
        <w:color w:val="FFFFFF" w:themeColor="background1"/>
      </w:rPr>
      <w:tblPr/>
      <w:tcPr>
        <w:shd w:val="clear" w:color="auto" w:fill="96763E" w:themeFill="accent4" w:themeFillShade="BF"/>
      </w:tcPr>
    </w:tblStylePr>
    <w:tblStylePr w:type="lastCol">
      <w:rPr>
        <w:color w:val="FFFFFF" w:themeColor="background1"/>
      </w:rPr>
      <w:tblPr/>
      <w:tcPr>
        <w:shd w:val="clear" w:color="auto" w:fill="96763E" w:themeFill="accent4" w:themeFillShade="BF"/>
      </w:tcPr>
    </w:tblStylePr>
    <w:tblStylePr w:type="band1Vert">
      <w:tblPr/>
      <w:tcPr>
        <w:shd w:val="clear" w:color="auto" w:fill="DECCAF" w:themeFill="accent4" w:themeFillTint="7F"/>
      </w:tcPr>
    </w:tblStylePr>
    <w:tblStylePr w:type="band1Horz">
      <w:tblPr/>
      <w:tcPr>
        <w:shd w:val="clear" w:color="auto" w:fill="DECCAF"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DF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5BFB9" w:themeFill="accent5" w:themeFillTint="66"/>
      </w:tcPr>
    </w:tblStylePr>
    <w:tblStylePr w:type="lastRow">
      <w:rPr>
        <w:b/>
        <w:bCs/>
        <w:color w:val="000000" w:themeColor="text1"/>
      </w:rPr>
      <w:tblPr/>
      <w:tcPr>
        <w:shd w:val="clear" w:color="auto" w:fill="C5BFB9" w:themeFill="accent5" w:themeFillTint="66"/>
      </w:tcPr>
    </w:tblStylePr>
    <w:tblStylePr w:type="firstCol">
      <w:rPr>
        <w:color w:val="FFFFFF" w:themeColor="background1"/>
      </w:rPr>
      <w:tblPr/>
      <w:tcPr>
        <w:shd w:val="clear" w:color="auto" w:fill="4E4842" w:themeFill="accent5" w:themeFillShade="BF"/>
      </w:tcPr>
    </w:tblStylePr>
    <w:tblStylePr w:type="lastCol">
      <w:rPr>
        <w:color w:val="FFFFFF" w:themeColor="background1"/>
      </w:rPr>
      <w:tblPr/>
      <w:tcPr>
        <w:shd w:val="clear" w:color="auto" w:fill="4E4842" w:themeFill="accent5" w:themeFillShade="BF"/>
      </w:tcPr>
    </w:tblStylePr>
    <w:tblStylePr w:type="band1Vert">
      <w:tblPr/>
      <w:tcPr>
        <w:shd w:val="clear" w:color="auto" w:fill="B7B0A9" w:themeFill="accent5" w:themeFillTint="7F"/>
      </w:tcPr>
    </w:tblStylePr>
    <w:tblStylePr w:type="band1Horz">
      <w:tblPr/>
      <w:tcPr>
        <w:shd w:val="clear" w:color="auto" w:fill="B7B0A9"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E8E8"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FD1D1" w:themeFill="accent6" w:themeFillTint="66"/>
      </w:tcPr>
    </w:tblStylePr>
    <w:tblStylePr w:type="lastRow">
      <w:rPr>
        <w:b/>
        <w:bCs/>
        <w:color w:val="000000" w:themeColor="text1"/>
      </w:rPr>
      <w:tblPr/>
      <w:tcPr>
        <w:shd w:val="clear" w:color="auto" w:fill="CFD1D1" w:themeFill="accent6" w:themeFillTint="66"/>
      </w:tcPr>
    </w:tblStylePr>
    <w:tblStylePr w:type="firstCol">
      <w:rPr>
        <w:color w:val="FFFFFF" w:themeColor="background1"/>
      </w:rPr>
      <w:tblPr/>
      <w:tcPr>
        <w:shd w:val="clear" w:color="auto" w:fill="666969" w:themeFill="accent6" w:themeFillShade="BF"/>
      </w:tcPr>
    </w:tblStylePr>
    <w:tblStylePr w:type="lastCol">
      <w:rPr>
        <w:color w:val="FFFFFF" w:themeColor="background1"/>
      </w:rPr>
      <w:tblPr/>
      <w:tcPr>
        <w:shd w:val="clear" w:color="auto" w:fill="666969" w:themeFill="accent6" w:themeFillShade="BF"/>
      </w:tcPr>
    </w:tblStylePr>
    <w:tblStylePr w:type="band1Vert">
      <w:tblPr/>
      <w:tcPr>
        <w:shd w:val="clear" w:color="auto" w:fill="C4C6C6" w:themeFill="accent6" w:themeFillTint="7F"/>
      </w:tcPr>
    </w:tblStylePr>
    <w:tblStylePr w:type="band1Horz">
      <w:tblPr/>
      <w:tcPr>
        <w:shd w:val="clear" w:color="auto" w:fill="C4C6C6"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48B58" w:themeFill="accent2" w:themeFillShade="CC"/>
      </w:tcPr>
    </w:tblStylePr>
    <w:tblStylePr w:type="lastRow">
      <w:rPr>
        <w:b/>
        <w:bCs/>
        <w:color w:val="948B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9EBE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48B58" w:themeFill="accent2" w:themeFillShade="CC"/>
      </w:tcPr>
    </w:tblStylePr>
    <w:tblStylePr w:type="lastRow">
      <w:rPr>
        <w:b/>
        <w:bCs/>
        <w:color w:val="948B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ED7" w:themeFill="accent1" w:themeFillTint="3F"/>
      </w:tcPr>
    </w:tblStylePr>
    <w:tblStylePr w:type="band1Horz">
      <w:tblPr/>
      <w:tcPr>
        <w:shd w:val="clear" w:color="auto" w:fill="D2D7DE"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6F1"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48B58" w:themeFill="accent2" w:themeFillShade="CC"/>
      </w:tcPr>
    </w:tblStylePr>
    <w:tblStylePr w:type="lastRow">
      <w:rPr>
        <w:b/>
        <w:bCs/>
        <w:color w:val="948B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9DD" w:themeFill="accent2" w:themeFillTint="3F"/>
      </w:tcPr>
    </w:tblStylePr>
    <w:tblStylePr w:type="band1Horz">
      <w:tblPr/>
      <w:tcPr>
        <w:shd w:val="clear" w:color="auto" w:fill="EFEDE4"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7F0F5"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A17E43" w:themeFill="accent4" w:themeFillShade="CC"/>
      </w:tcPr>
    </w:tblStylePr>
    <w:tblStylePr w:type="lastRow">
      <w:rPr>
        <w:b/>
        <w:bCs/>
        <w:color w:val="A17E4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DBE7" w:themeFill="accent3" w:themeFillTint="3F"/>
      </w:tcPr>
    </w:tblStylePr>
    <w:tblStylePr w:type="band1Horz">
      <w:tblPr/>
      <w:tcPr>
        <w:shd w:val="clear" w:color="auto" w:fill="CFE2EB"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5EF"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95065" w:themeFill="accent3" w:themeFillShade="CC"/>
      </w:tcPr>
    </w:tblStylePr>
    <w:tblStylePr w:type="lastRow">
      <w:rPr>
        <w:b/>
        <w:bCs/>
        <w:color w:val="29506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6D7" w:themeFill="accent4" w:themeFillTint="3F"/>
      </w:tcPr>
    </w:tblStylePr>
    <w:tblStylePr w:type="band1Horz">
      <w:tblPr/>
      <w:tcPr>
        <w:shd w:val="clear" w:color="auto" w:fill="F1EADF"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EFED"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D7171" w:themeFill="accent6" w:themeFillShade="CC"/>
      </w:tcPr>
    </w:tblStylePr>
    <w:tblStylePr w:type="lastRow">
      <w:rPr>
        <w:b/>
        <w:bCs/>
        <w:color w:val="6D717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8D4" w:themeFill="accent5" w:themeFillTint="3F"/>
      </w:tcPr>
    </w:tblStylePr>
    <w:tblStylePr w:type="band1Horz">
      <w:tblPr/>
      <w:tcPr>
        <w:shd w:val="clear" w:color="auto" w:fill="E2DFDC"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3F3"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34D46" w:themeFill="accent5" w:themeFillShade="CC"/>
      </w:tcPr>
    </w:tblStylePr>
    <w:tblStylePr w:type="lastRow">
      <w:rPr>
        <w:b/>
        <w:bCs/>
        <w:color w:val="534D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2E2" w:themeFill="accent6" w:themeFillTint="3F"/>
      </w:tcPr>
    </w:tblStylePr>
    <w:tblStylePr w:type="band1Horz">
      <w:tblPr/>
      <w:tcPr>
        <w:shd w:val="clear" w:color="auto" w:fill="E7E8E8"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Ind w:w="0" w:type="dxa"/>
      <w:tblBorders>
        <w:top w:val="single" w:sz="24" w:space="0" w:color="AFA77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FA7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Ind w:w="0" w:type="dxa"/>
      <w:tblBorders>
        <w:top w:val="single" w:sz="24" w:space="0" w:color="AFA778" w:themeColor="accent2"/>
        <w:left w:val="single" w:sz="4" w:space="0" w:color="353E49" w:themeColor="accent1"/>
        <w:bottom w:val="single" w:sz="4" w:space="0" w:color="353E49" w:themeColor="accent1"/>
        <w:right w:val="single" w:sz="4" w:space="0" w:color="353E4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BE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FA7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252B" w:themeFill="accent1" w:themeFillShade="99"/>
      </w:tcPr>
    </w:tblStylePr>
    <w:tblStylePr w:type="firstCol">
      <w:rPr>
        <w:color w:val="FFFFFF" w:themeColor="background1"/>
      </w:rPr>
      <w:tblPr/>
      <w:tcPr>
        <w:tcBorders>
          <w:top w:val="nil"/>
          <w:left w:val="nil"/>
          <w:bottom w:val="nil"/>
          <w:right w:val="nil"/>
          <w:insideH w:val="single" w:sz="4" w:space="0" w:color="1F252B" w:themeColor="accent1" w:themeShade="99"/>
          <w:insideV w:val="nil"/>
        </w:tcBorders>
        <w:shd w:val="clear" w:color="auto" w:fill="1F25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252B" w:themeFill="accent1" w:themeFillShade="99"/>
      </w:tcPr>
    </w:tblStylePr>
    <w:tblStylePr w:type="band1Vert">
      <w:tblPr/>
      <w:tcPr>
        <w:shd w:val="clear" w:color="auto" w:fill="A6B0BE" w:themeFill="accent1" w:themeFillTint="66"/>
      </w:tcPr>
    </w:tblStylePr>
    <w:tblStylePr w:type="band1Horz">
      <w:tblPr/>
      <w:tcPr>
        <w:shd w:val="clear" w:color="auto" w:fill="909DA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Ind w:w="0" w:type="dxa"/>
      <w:tblBorders>
        <w:top w:val="single" w:sz="24" w:space="0" w:color="AFA778" w:themeColor="accent2"/>
        <w:left w:val="single" w:sz="4" w:space="0" w:color="AFA778" w:themeColor="accent2"/>
        <w:bottom w:val="single" w:sz="4" w:space="0" w:color="AFA778" w:themeColor="accent2"/>
        <w:right w:val="single" w:sz="4" w:space="0" w:color="AFA778"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6F1"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FA7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F6842" w:themeFill="accent2" w:themeFillShade="99"/>
      </w:tcPr>
    </w:tblStylePr>
    <w:tblStylePr w:type="firstCol">
      <w:rPr>
        <w:color w:val="FFFFFF" w:themeColor="background1"/>
      </w:rPr>
      <w:tblPr/>
      <w:tcPr>
        <w:tcBorders>
          <w:top w:val="nil"/>
          <w:left w:val="nil"/>
          <w:bottom w:val="nil"/>
          <w:right w:val="nil"/>
          <w:insideH w:val="single" w:sz="4" w:space="0" w:color="6F6842" w:themeColor="accent2" w:themeShade="99"/>
          <w:insideV w:val="nil"/>
        </w:tcBorders>
        <w:shd w:val="clear" w:color="auto" w:fill="6F68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F6842" w:themeFill="accent2" w:themeFillShade="99"/>
      </w:tcPr>
    </w:tblStylePr>
    <w:tblStylePr w:type="band1Vert">
      <w:tblPr/>
      <w:tcPr>
        <w:shd w:val="clear" w:color="auto" w:fill="DFDBC9" w:themeFill="accent2" w:themeFillTint="66"/>
      </w:tcPr>
    </w:tblStylePr>
    <w:tblStylePr w:type="band1Horz">
      <w:tblPr/>
      <w:tcPr>
        <w:shd w:val="clear" w:color="auto" w:fill="D7D3B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Ind w:w="0" w:type="dxa"/>
      <w:tblBorders>
        <w:top w:val="single" w:sz="24" w:space="0" w:color="BD9B60" w:themeColor="accent4"/>
        <w:left w:val="single" w:sz="4" w:space="0" w:color="34657F" w:themeColor="accent3"/>
        <w:bottom w:val="single" w:sz="4" w:space="0" w:color="34657F" w:themeColor="accent3"/>
        <w:right w:val="single" w:sz="4" w:space="0" w:color="34657F"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F0F5"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D9B6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3C4C" w:themeFill="accent3" w:themeFillShade="99"/>
      </w:tcPr>
    </w:tblStylePr>
    <w:tblStylePr w:type="firstCol">
      <w:rPr>
        <w:color w:val="FFFFFF" w:themeColor="background1"/>
      </w:rPr>
      <w:tblPr/>
      <w:tcPr>
        <w:tcBorders>
          <w:top w:val="nil"/>
          <w:left w:val="nil"/>
          <w:bottom w:val="nil"/>
          <w:right w:val="nil"/>
          <w:insideH w:val="single" w:sz="4" w:space="0" w:color="1F3C4C" w:themeColor="accent3" w:themeShade="99"/>
          <w:insideV w:val="nil"/>
        </w:tcBorders>
        <w:shd w:val="clear" w:color="auto" w:fill="1F3C4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3C4C" w:themeFill="accent3" w:themeFillShade="99"/>
      </w:tcPr>
    </w:tblStylePr>
    <w:tblStylePr w:type="band1Vert">
      <w:tblPr/>
      <w:tcPr>
        <w:shd w:val="clear" w:color="auto" w:fill="A0C5D8" w:themeFill="accent3" w:themeFillTint="66"/>
      </w:tcPr>
    </w:tblStylePr>
    <w:tblStylePr w:type="band1Horz">
      <w:tblPr/>
      <w:tcPr>
        <w:shd w:val="clear" w:color="auto" w:fill="89B6CF"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Ind w:w="0" w:type="dxa"/>
      <w:tblBorders>
        <w:top w:val="single" w:sz="24" w:space="0" w:color="34657F" w:themeColor="accent3"/>
        <w:left w:val="single" w:sz="4" w:space="0" w:color="BD9B60" w:themeColor="accent4"/>
        <w:bottom w:val="single" w:sz="4" w:space="0" w:color="BD9B60" w:themeColor="accent4"/>
        <w:right w:val="single" w:sz="4" w:space="0" w:color="BD9B6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5EF"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34657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5E32" w:themeFill="accent4" w:themeFillShade="99"/>
      </w:tcPr>
    </w:tblStylePr>
    <w:tblStylePr w:type="firstCol">
      <w:rPr>
        <w:color w:val="FFFFFF" w:themeColor="background1"/>
      </w:rPr>
      <w:tblPr/>
      <w:tcPr>
        <w:tcBorders>
          <w:top w:val="nil"/>
          <w:left w:val="nil"/>
          <w:bottom w:val="nil"/>
          <w:right w:val="nil"/>
          <w:insideH w:val="single" w:sz="4" w:space="0" w:color="785E32" w:themeColor="accent4" w:themeShade="99"/>
          <w:insideV w:val="nil"/>
        </w:tcBorders>
        <w:shd w:val="clear" w:color="auto" w:fill="785E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85E32" w:themeFill="accent4" w:themeFillShade="99"/>
      </w:tcPr>
    </w:tblStylePr>
    <w:tblStylePr w:type="band1Vert">
      <w:tblPr/>
      <w:tcPr>
        <w:shd w:val="clear" w:color="auto" w:fill="E4D6BF" w:themeFill="accent4" w:themeFillTint="66"/>
      </w:tcPr>
    </w:tblStylePr>
    <w:tblStylePr w:type="band1Horz">
      <w:tblPr/>
      <w:tcPr>
        <w:shd w:val="clear" w:color="auto" w:fill="DECCA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Ind w:w="0" w:type="dxa"/>
      <w:tblBorders>
        <w:top w:val="single" w:sz="24" w:space="0" w:color="898D8D" w:themeColor="accent6"/>
        <w:left w:val="single" w:sz="4" w:space="0" w:color="696158" w:themeColor="accent5"/>
        <w:bottom w:val="single" w:sz="4" w:space="0" w:color="696158" w:themeColor="accent5"/>
        <w:right w:val="single" w:sz="4" w:space="0" w:color="696158"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EFED"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98D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3A34" w:themeFill="accent5" w:themeFillShade="99"/>
      </w:tcPr>
    </w:tblStylePr>
    <w:tblStylePr w:type="firstCol">
      <w:rPr>
        <w:color w:val="FFFFFF" w:themeColor="background1"/>
      </w:rPr>
      <w:tblPr/>
      <w:tcPr>
        <w:tcBorders>
          <w:top w:val="nil"/>
          <w:left w:val="nil"/>
          <w:bottom w:val="nil"/>
          <w:right w:val="nil"/>
          <w:insideH w:val="single" w:sz="4" w:space="0" w:color="3E3A34" w:themeColor="accent5" w:themeShade="99"/>
          <w:insideV w:val="nil"/>
        </w:tcBorders>
        <w:shd w:val="clear" w:color="auto" w:fill="3E3A3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E3A34" w:themeFill="accent5" w:themeFillShade="99"/>
      </w:tcPr>
    </w:tblStylePr>
    <w:tblStylePr w:type="band1Vert">
      <w:tblPr/>
      <w:tcPr>
        <w:shd w:val="clear" w:color="auto" w:fill="C5BFB9" w:themeFill="accent5" w:themeFillTint="66"/>
      </w:tcPr>
    </w:tblStylePr>
    <w:tblStylePr w:type="band1Horz">
      <w:tblPr/>
      <w:tcPr>
        <w:shd w:val="clear" w:color="auto" w:fill="B7B0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Ind w:w="0" w:type="dxa"/>
      <w:tblBorders>
        <w:top w:val="single" w:sz="24" w:space="0" w:color="696158" w:themeColor="accent5"/>
        <w:left w:val="single" w:sz="4" w:space="0" w:color="898D8D" w:themeColor="accent6"/>
        <w:bottom w:val="single" w:sz="4" w:space="0" w:color="898D8D" w:themeColor="accent6"/>
        <w:right w:val="single" w:sz="4" w:space="0" w:color="898D8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3F3"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9615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5454" w:themeFill="accent6" w:themeFillShade="99"/>
      </w:tcPr>
    </w:tblStylePr>
    <w:tblStylePr w:type="firstCol">
      <w:rPr>
        <w:color w:val="FFFFFF" w:themeColor="background1"/>
      </w:rPr>
      <w:tblPr/>
      <w:tcPr>
        <w:tcBorders>
          <w:top w:val="nil"/>
          <w:left w:val="nil"/>
          <w:bottom w:val="nil"/>
          <w:right w:val="nil"/>
          <w:insideH w:val="single" w:sz="4" w:space="0" w:color="525454" w:themeColor="accent6" w:themeShade="99"/>
          <w:insideV w:val="nil"/>
        </w:tcBorders>
        <w:shd w:val="clear" w:color="auto" w:fill="52545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5454" w:themeFill="accent6" w:themeFillShade="99"/>
      </w:tcPr>
    </w:tblStylePr>
    <w:tblStylePr w:type="band1Vert">
      <w:tblPr/>
      <w:tcPr>
        <w:shd w:val="clear" w:color="auto" w:fill="CFD1D1" w:themeFill="accent6" w:themeFillTint="66"/>
      </w:tcPr>
    </w:tblStylePr>
    <w:tblStylePr w:type="band1Horz">
      <w:tblPr/>
      <w:tcPr>
        <w:shd w:val="clear" w:color="auto" w:fill="C4C6C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rPr>
      <w:szCs w:val="20"/>
    </w:r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3E49"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1E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2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2E36" w:themeFill="accent1" w:themeFillShade="BF"/>
      </w:tcPr>
    </w:tblStylePr>
    <w:tblStylePr w:type="band1Vert">
      <w:tblPr/>
      <w:tcPr>
        <w:tcBorders>
          <w:top w:val="nil"/>
          <w:left w:val="nil"/>
          <w:bottom w:val="nil"/>
          <w:right w:val="nil"/>
          <w:insideH w:val="nil"/>
          <w:insideV w:val="nil"/>
        </w:tcBorders>
        <w:shd w:val="clear" w:color="auto" w:fill="272E36" w:themeFill="accent1" w:themeFillShade="BF"/>
      </w:tcPr>
    </w:tblStylePr>
    <w:tblStylePr w:type="band1Horz">
      <w:tblPr/>
      <w:tcPr>
        <w:tcBorders>
          <w:top w:val="nil"/>
          <w:left w:val="nil"/>
          <w:bottom w:val="nil"/>
          <w:right w:val="nil"/>
          <w:insideH w:val="nil"/>
          <w:insideV w:val="nil"/>
        </w:tcBorders>
        <w:shd w:val="clear" w:color="auto" w:fill="272E36"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FA778"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C56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A825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A8252" w:themeFill="accent2" w:themeFillShade="BF"/>
      </w:tcPr>
    </w:tblStylePr>
    <w:tblStylePr w:type="band1Vert">
      <w:tblPr/>
      <w:tcPr>
        <w:tcBorders>
          <w:top w:val="nil"/>
          <w:left w:val="nil"/>
          <w:bottom w:val="nil"/>
          <w:right w:val="nil"/>
          <w:insideH w:val="nil"/>
          <w:insideV w:val="nil"/>
        </w:tcBorders>
        <w:shd w:val="clear" w:color="auto" w:fill="8A8252" w:themeFill="accent2" w:themeFillShade="BF"/>
      </w:tcPr>
    </w:tblStylePr>
    <w:tblStylePr w:type="band1Horz">
      <w:tblPr/>
      <w:tcPr>
        <w:tcBorders>
          <w:top w:val="nil"/>
          <w:left w:val="nil"/>
          <w:bottom w:val="nil"/>
          <w:right w:val="nil"/>
          <w:insideH w:val="nil"/>
          <w:insideV w:val="nil"/>
        </w:tcBorders>
        <w:shd w:val="clear" w:color="auto" w:fill="8A8252"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657F"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23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4B5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4B5F" w:themeFill="accent3" w:themeFillShade="BF"/>
      </w:tcPr>
    </w:tblStylePr>
    <w:tblStylePr w:type="band1Vert">
      <w:tblPr/>
      <w:tcPr>
        <w:tcBorders>
          <w:top w:val="nil"/>
          <w:left w:val="nil"/>
          <w:bottom w:val="nil"/>
          <w:right w:val="nil"/>
          <w:insideH w:val="nil"/>
          <w:insideV w:val="nil"/>
        </w:tcBorders>
        <w:shd w:val="clear" w:color="auto" w:fill="274B5F" w:themeFill="accent3" w:themeFillShade="BF"/>
      </w:tcPr>
    </w:tblStylePr>
    <w:tblStylePr w:type="band1Horz">
      <w:tblPr/>
      <w:tcPr>
        <w:tcBorders>
          <w:top w:val="nil"/>
          <w:left w:val="nil"/>
          <w:bottom w:val="nil"/>
          <w:right w:val="nil"/>
          <w:insideH w:val="nil"/>
          <w:insideV w:val="nil"/>
        </w:tcBorders>
        <w:shd w:val="clear" w:color="auto" w:fill="274B5F"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D9B6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44E2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6763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6763E" w:themeFill="accent4" w:themeFillShade="BF"/>
      </w:tcPr>
    </w:tblStylePr>
    <w:tblStylePr w:type="band1Vert">
      <w:tblPr/>
      <w:tcPr>
        <w:tcBorders>
          <w:top w:val="nil"/>
          <w:left w:val="nil"/>
          <w:bottom w:val="nil"/>
          <w:right w:val="nil"/>
          <w:insideH w:val="nil"/>
          <w:insideV w:val="nil"/>
        </w:tcBorders>
        <w:shd w:val="clear" w:color="auto" w:fill="96763E" w:themeFill="accent4" w:themeFillShade="BF"/>
      </w:tcPr>
    </w:tblStylePr>
    <w:tblStylePr w:type="band1Horz">
      <w:tblPr/>
      <w:tcPr>
        <w:tcBorders>
          <w:top w:val="nil"/>
          <w:left w:val="nil"/>
          <w:bottom w:val="nil"/>
          <w:right w:val="nil"/>
          <w:insideH w:val="nil"/>
          <w:insideV w:val="nil"/>
        </w:tcBorders>
        <w:shd w:val="clear" w:color="auto" w:fill="96763E"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96158"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302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E484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E4842" w:themeFill="accent5" w:themeFillShade="BF"/>
      </w:tcPr>
    </w:tblStylePr>
    <w:tblStylePr w:type="band1Vert">
      <w:tblPr/>
      <w:tcPr>
        <w:tcBorders>
          <w:top w:val="nil"/>
          <w:left w:val="nil"/>
          <w:bottom w:val="nil"/>
          <w:right w:val="nil"/>
          <w:insideH w:val="nil"/>
          <w:insideV w:val="nil"/>
        </w:tcBorders>
        <w:shd w:val="clear" w:color="auto" w:fill="4E4842" w:themeFill="accent5" w:themeFillShade="BF"/>
      </w:tcPr>
    </w:tblStylePr>
    <w:tblStylePr w:type="band1Horz">
      <w:tblPr/>
      <w:tcPr>
        <w:tcBorders>
          <w:top w:val="nil"/>
          <w:left w:val="nil"/>
          <w:bottom w:val="nil"/>
          <w:right w:val="nil"/>
          <w:insideH w:val="nil"/>
          <w:insideV w:val="nil"/>
        </w:tcBorders>
        <w:shd w:val="clear" w:color="auto" w:fill="4E4842"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98D8D"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464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6696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66969" w:themeFill="accent6" w:themeFillShade="BF"/>
      </w:tcPr>
    </w:tblStylePr>
    <w:tblStylePr w:type="band1Vert">
      <w:tblPr/>
      <w:tcPr>
        <w:tcBorders>
          <w:top w:val="nil"/>
          <w:left w:val="nil"/>
          <w:bottom w:val="nil"/>
          <w:right w:val="nil"/>
          <w:insideH w:val="nil"/>
          <w:insideV w:val="nil"/>
        </w:tcBorders>
        <w:shd w:val="clear" w:color="auto" w:fill="666969" w:themeFill="accent6" w:themeFillShade="BF"/>
      </w:tcPr>
    </w:tblStylePr>
    <w:tblStylePr w:type="band1Horz">
      <w:tblPr/>
      <w:tcPr>
        <w:tcBorders>
          <w:top w:val="nil"/>
          <w:left w:val="nil"/>
          <w:bottom w:val="nil"/>
          <w:right w:val="nil"/>
          <w:insideH w:val="nil"/>
          <w:insideV w:val="nil"/>
        </w:tcBorders>
        <w:shd w:val="clear" w:color="auto" w:fill="666969" w:themeFill="accent6" w:themeFillShade="BF"/>
      </w:tcPr>
    </w:tblStylePr>
  </w:style>
  <w:style w:type="paragraph" w:styleId="Date">
    <w:name w:val="Date"/>
    <w:basedOn w:val="Normal"/>
    <w:next w:val="Normal"/>
    <w:link w:val="DateChar"/>
    <w:uiPriority w:val="97"/>
    <w:semiHidden/>
    <w:rsid w:val="00706B41"/>
  </w:style>
  <w:style w:type="character" w:customStyle="1" w:styleId="DateChar">
    <w:name w:val="Date Char"/>
    <w:basedOn w:val="DefaultParagraphFont"/>
    <w:link w:val="Date"/>
    <w:rsid w:val="00706B41"/>
    <w:rPr>
      <w:rFonts w:asciiTheme="minorHAnsi" w:hAnsiTheme="minorHAnsi" w:cstheme="minorHAnsi"/>
      <w:color w:val="221E1F"/>
      <w:szCs w:val="24"/>
      <w:lang w:val="en-AU" w:eastAsia="ja-JP"/>
    </w:r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mphasis">
    <w:name w:val="Emphasis"/>
    <w:basedOn w:val="DefaultParagraphFont"/>
    <w:uiPriority w:val="97"/>
    <w:semiHidden/>
    <w:rsid w:val="00706B41"/>
    <w:rPr>
      <w:rFonts w:asciiTheme="minorHAnsi" w:hAnsiTheme="minorHAnsi" w:cstheme="minorHAnsi"/>
      <w:i/>
      <w:iCs/>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rPr>
      <w:szCs w:val="20"/>
    </w:r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szCs w:val="20"/>
    </w:rPr>
  </w:style>
  <w:style w:type="character" w:styleId="FollowedHyperlink">
    <w:name w:val="FollowedHyperlink"/>
    <w:basedOn w:val="DefaultParagraphFont"/>
    <w:uiPriority w:val="97"/>
    <w:semiHidden/>
    <w:rsid w:val="00706B41"/>
    <w:rPr>
      <w:rFonts w:asciiTheme="minorHAnsi" w:hAnsiTheme="minorHAnsi" w:cstheme="minorHAnsi"/>
      <w:color w:val="998542"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rPr>
      <w:szCs w:val="20"/>
    </w:r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9"/>
    <w:rsid w:val="00706B41"/>
    <w:rPr>
      <w:rFonts w:asciiTheme="minorHAnsi" w:hAnsiTheme="minorHAnsi" w:cstheme="minorHAnsi"/>
      <w:color w:val="6E5023" w:themeColor="hyperlink"/>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353E49" w:themeColor="accent1"/>
    </w:rPr>
  </w:style>
  <w:style w:type="paragraph" w:styleId="IntenseQuote">
    <w:name w:val="Intense Quote"/>
    <w:basedOn w:val="Normal"/>
    <w:next w:val="Normal"/>
    <w:link w:val="IntenseQuoteChar"/>
    <w:uiPriority w:val="97"/>
    <w:semiHidden/>
    <w:rsid w:val="00706B41"/>
    <w:pPr>
      <w:pBdr>
        <w:bottom w:val="single" w:sz="4" w:space="4" w:color="353E49" w:themeColor="accent1"/>
      </w:pBdr>
      <w:spacing w:before="200" w:after="280"/>
      <w:ind w:left="936" w:right="936"/>
    </w:pPr>
    <w:rPr>
      <w:b/>
      <w:bCs/>
      <w:i/>
      <w:iCs/>
      <w:color w:val="353E49"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353E49"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AFA778" w:themeColor="accent2"/>
      <w:spacing w:val="5"/>
      <w:u w:val="single"/>
    </w:rPr>
  </w:style>
  <w:style w:type="table" w:styleId="LightGrid">
    <w:name w:val="Light Grid"/>
    <w:basedOn w:val="TableNormal"/>
    <w:uiPriority w:val="98"/>
    <w:rsid w:val="00706B4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Ind w:w="0" w:type="dxa"/>
      <w:tblBorders>
        <w:top w:val="single" w:sz="8" w:space="0" w:color="353E49" w:themeColor="accent1"/>
        <w:left w:val="single" w:sz="8" w:space="0" w:color="353E49" w:themeColor="accent1"/>
        <w:bottom w:val="single" w:sz="8" w:space="0" w:color="353E49" w:themeColor="accent1"/>
        <w:right w:val="single" w:sz="8" w:space="0" w:color="353E49" w:themeColor="accent1"/>
        <w:insideH w:val="single" w:sz="8" w:space="0" w:color="353E49" w:themeColor="accent1"/>
        <w:insideV w:val="single" w:sz="8" w:space="0" w:color="353E49"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353E49" w:themeColor="accent1"/>
          <w:left w:val="single" w:sz="8" w:space="0" w:color="353E49" w:themeColor="accent1"/>
          <w:bottom w:val="single" w:sz="18" w:space="0" w:color="353E49" w:themeColor="accent1"/>
          <w:right w:val="single" w:sz="8" w:space="0" w:color="353E49" w:themeColor="accent1"/>
          <w:insideH w:val="nil"/>
          <w:insideV w:val="single" w:sz="8" w:space="0" w:color="353E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3E49" w:themeColor="accent1"/>
          <w:left w:val="single" w:sz="8" w:space="0" w:color="353E49" w:themeColor="accent1"/>
          <w:bottom w:val="single" w:sz="8" w:space="0" w:color="353E49" w:themeColor="accent1"/>
          <w:right w:val="single" w:sz="8" w:space="0" w:color="353E49" w:themeColor="accent1"/>
          <w:insideH w:val="nil"/>
          <w:insideV w:val="single" w:sz="8" w:space="0" w:color="353E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3E49" w:themeColor="accent1"/>
          <w:left w:val="single" w:sz="8" w:space="0" w:color="353E49" w:themeColor="accent1"/>
          <w:bottom w:val="single" w:sz="8" w:space="0" w:color="353E49" w:themeColor="accent1"/>
          <w:right w:val="single" w:sz="8" w:space="0" w:color="353E49" w:themeColor="accent1"/>
        </w:tcBorders>
      </w:tcPr>
    </w:tblStylePr>
    <w:tblStylePr w:type="band1Vert">
      <w:tblPr/>
      <w:tcPr>
        <w:tcBorders>
          <w:top w:val="single" w:sz="8" w:space="0" w:color="353E49" w:themeColor="accent1"/>
          <w:left w:val="single" w:sz="8" w:space="0" w:color="353E49" w:themeColor="accent1"/>
          <w:bottom w:val="single" w:sz="8" w:space="0" w:color="353E49" w:themeColor="accent1"/>
          <w:right w:val="single" w:sz="8" w:space="0" w:color="353E49" w:themeColor="accent1"/>
        </w:tcBorders>
        <w:shd w:val="clear" w:color="auto" w:fill="C7CED7" w:themeFill="accent1" w:themeFillTint="3F"/>
      </w:tcPr>
    </w:tblStylePr>
    <w:tblStylePr w:type="band1Horz">
      <w:tblPr/>
      <w:tcPr>
        <w:tcBorders>
          <w:top w:val="single" w:sz="8" w:space="0" w:color="353E49" w:themeColor="accent1"/>
          <w:left w:val="single" w:sz="8" w:space="0" w:color="353E49" w:themeColor="accent1"/>
          <w:bottom w:val="single" w:sz="8" w:space="0" w:color="353E49" w:themeColor="accent1"/>
          <w:right w:val="single" w:sz="8" w:space="0" w:color="353E49" w:themeColor="accent1"/>
          <w:insideV w:val="single" w:sz="8" w:space="0" w:color="353E49" w:themeColor="accent1"/>
        </w:tcBorders>
        <w:shd w:val="clear" w:color="auto" w:fill="C7CED7" w:themeFill="accent1" w:themeFillTint="3F"/>
      </w:tcPr>
    </w:tblStylePr>
    <w:tblStylePr w:type="band2Horz">
      <w:tblPr/>
      <w:tcPr>
        <w:tcBorders>
          <w:top w:val="single" w:sz="8" w:space="0" w:color="353E49" w:themeColor="accent1"/>
          <w:left w:val="single" w:sz="8" w:space="0" w:color="353E49" w:themeColor="accent1"/>
          <w:bottom w:val="single" w:sz="8" w:space="0" w:color="353E49" w:themeColor="accent1"/>
          <w:right w:val="single" w:sz="8" w:space="0" w:color="353E49" w:themeColor="accent1"/>
          <w:insideV w:val="single" w:sz="8" w:space="0" w:color="353E49" w:themeColor="accent1"/>
        </w:tcBorders>
      </w:tcPr>
    </w:tblStylePr>
  </w:style>
  <w:style w:type="table" w:styleId="LightGrid-Accent2">
    <w:name w:val="Light Grid Accent 2"/>
    <w:basedOn w:val="TableNormal"/>
    <w:uiPriority w:val="98"/>
    <w:rsid w:val="00706B41"/>
    <w:tblPr>
      <w:tblStyleRowBandSize w:val="1"/>
      <w:tblStyleColBandSize w:val="1"/>
      <w:tblInd w:w="0" w:type="dxa"/>
      <w:tblBorders>
        <w:top w:val="single" w:sz="8" w:space="0" w:color="AFA778" w:themeColor="accent2"/>
        <w:left w:val="single" w:sz="8" w:space="0" w:color="AFA778" w:themeColor="accent2"/>
        <w:bottom w:val="single" w:sz="8" w:space="0" w:color="AFA778" w:themeColor="accent2"/>
        <w:right w:val="single" w:sz="8" w:space="0" w:color="AFA778" w:themeColor="accent2"/>
        <w:insideH w:val="single" w:sz="8" w:space="0" w:color="AFA778" w:themeColor="accent2"/>
        <w:insideV w:val="single" w:sz="8" w:space="0" w:color="AFA778"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FA778" w:themeColor="accent2"/>
          <w:left w:val="single" w:sz="8" w:space="0" w:color="AFA778" w:themeColor="accent2"/>
          <w:bottom w:val="single" w:sz="18" w:space="0" w:color="AFA778" w:themeColor="accent2"/>
          <w:right w:val="single" w:sz="8" w:space="0" w:color="AFA778" w:themeColor="accent2"/>
          <w:insideH w:val="nil"/>
          <w:insideV w:val="single" w:sz="8" w:space="0" w:color="AFA77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A778" w:themeColor="accent2"/>
          <w:left w:val="single" w:sz="8" w:space="0" w:color="AFA778" w:themeColor="accent2"/>
          <w:bottom w:val="single" w:sz="8" w:space="0" w:color="AFA778" w:themeColor="accent2"/>
          <w:right w:val="single" w:sz="8" w:space="0" w:color="AFA778" w:themeColor="accent2"/>
          <w:insideH w:val="nil"/>
          <w:insideV w:val="single" w:sz="8" w:space="0" w:color="AFA77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A778" w:themeColor="accent2"/>
          <w:left w:val="single" w:sz="8" w:space="0" w:color="AFA778" w:themeColor="accent2"/>
          <w:bottom w:val="single" w:sz="8" w:space="0" w:color="AFA778" w:themeColor="accent2"/>
          <w:right w:val="single" w:sz="8" w:space="0" w:color="AFA778" w:themeColor="accent2"/>
        </w:tcBorders>
      </w:tcPr>
    </w:tblStylePr>
    <w:tblStylePr w:type="band1Vert">
      <w:tblPr/>
      <w:tcPr>
        <w:tcBorders>
          <w:top w:val="single" w:sz="8" w:space="0" w:color="AFA778" w:themeColor="accent2"/>
          <w:left w:val="single" w:sz="8" w:space="0" w:color="AFA778" w:themeColor="accent2"/>
          <w:bottom w:val="single" w:sz="8" w:space="0" w:color="AFA778" w:themeColor="accent2"/>
          <w:right w:val="single" w:sz="8" w:space="0" w:color="AFA778" w:themeColor="accent2"/>
        </w:tcBorders>
        <w:shd w:val="clear" w:color="auto" w:fill="EBE9DD" w:themeFill="accent2" w:themeFillTint="3F"/>
      </w:tcPr>
    </w:tblStylePr>
    <w:tblStylePr w:type="band1Horz">
      <w:tblPr/>
      <w:tcPr>
        <w:tcBorders>
          <w:top w:val="single" w:sz="8" w:space="0" w:color="AFA778" w:themeColor="accent2"/>
          <w:left w:val="single" w:sz="8" w:space="0" w:color="AFA778" w:themeColor="accent2"/>
          <w:bottom w:val="single" w:sz="8" w:space="0" w:color="AFA778" w:themeColor="accent2"/>
          <w:right w:val="single" w:sz="8" w:space="0" w:color="AFA778" w:themeColor="accent2"/>
          <w:insideV w:val="single" w:sz="8" w:space="0" w:color="AFA778" w:themeColor="accent2"/>
        </w:tcBorders>
        <w:shd w:val="clear" w:color="auto" w:fill="EBE9DD" w:themeFill="accent2" w:themeFillTint="3F"/>
      </w:tcPr>
    </w:tblStylePr>
    <w:tblStylePr w:type="band2Horz">
      <w:tblPr/>
      <w:tcPr>
        <w:tcBorders>
          <w:top w:val="single" w:sz="8" w:space="0" w:color="AFA778" w:themeColor="accent2"/>
          <w:left w:val="single" w:sz="8" w:space="0" w:color="AFA778" w:themeColor="accent2"/>
          <w:bottom w:val="single" w:sz="8" w:space="0" w:color="AFA778" w:themeColor="accent2"/>
          <w:right w:val="single" w:sz="8" w:space="0" w:color="AFA778" w:themeColor="accent2"/>
          <w:insideV w:val="single" w:sz="8" w:space="0" w:color="AFA778" w:themeColor="accent2"/>
        </w:tcBorders>
      </w:tcPr>
    </w:tblStylePr>
  </w:style>
  <w:style w:type="table" w:styleId="LightGrid-Accent3">
    <w:name w:val="Light Grid Accent 3"/>
    <w:basedOn w:val="TableNormal"/>
    <w:uiPriority w:val="98"/>
    <w:rsid w:val="00706B41"/>
    <w:tblPr>
      <w:tblStyleRowBandSize w:val="1"/>
      <w:tblStyleColBandSize w:val="1"/>
      <w:tblInd w:w="0" w:type="dxa"/>
      <w:tblBorders>
        <w:top w:val="single" w:sz="8" w:space="0" w:color="34657F" w:themeColor="accent3"/>
        <w:left w:val="single" w:sz="8" w:space="0" w:color="34657F" w:themeColor="accent3"/>
        <w:bottom w:val="single" w:sz="8" w:space="0" w:color="34657F" w:themeColor="accent3"/>
        <w:right w:val="single" w:sz="8" w:space="0" w:color="34657F" w:themeColor="accent3"/>
        <w:insideH w:val="single" w:sz="8" w:space="0" w:color="34657F" w:themeColor="accent3"/>
        <w:insideV w:val="single" w:sz="8" w:space="0" w:color="34657F"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34657F" w:themeColor="accent3"/>
          <w:left w:val="single" w:sz="8" w:space="0" w:color="34657F" w:themeColor="accent3"/>
          <w:bottom w:val="single" w:sz="18" w:space="0" w:color="34657F" w:themeColor="accent3"/>
          <w:right w:val="single" w:sz="8" w:space="0" w:color="34657F" w:themeColor="accent3"/>
          <w:insideH w:val="nil"/>
          <w:insideV w:val="single" w:sz="8" w:space="0" w:color="34657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657F" w:themeColor="accent3"/>
          <w:left w:val="single" w:sz="8" w:space="0" w:color="34657F" w:themeColor="accent3"/>
          <w:bottom w:val="single" w:sz="8" w:space="0" w:color="34657F" w:themeColor="accent3"/>
          <w:right w:val="single" w:sz="8" w:space="0" w:color="34657F" w:themeColor="accent3"/>
          <w:insideH w:val="nil"/>
          <w:insideV w:val="single" w:sz="8" w:space="0" w:color="34657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657F" w:themeColor="accent3"/>
          <w:left w:val="single" w:sz="8" w:space="0" w:color="34657F" w:themeColor="accent3"/>
          <w:bottom w:val="single" w:sz="8" w:space="0" w:color="34657F" w:themeColor="accent3"/>
          <w:right w:val="single" w:sz="8" w:space="0" w:color="34657F" w:themeColor="accent3"/>
        </w:tcBorders>
      </w:tcPr>
    </w:tblStylePr>
    <w:tblStylePr w:type="band1Vert">
      <w:tblPr/>
      <w:tcPr>
        <w:tcBorders>
          <w:top w:val="single" w:sz="8" w:space="0" w:color="34657F" w:themeColor="accent3"/>
          <w:left w:val="single" w:sz="8" w:space="0" w:color="34657F" w:themeColor="accent3"/>
          <w:bottom w:val="single" w:sz="8" w:space="0" w:color="34657F" w:themeColor="accent3"/>
          <w:right w:val="single" w:sz="8" w:space="0" w:color="34657F" w:themeColor="accent3"/>
        </w:tcBorders>
        <w:shd w:val="clear" w:color="auto" w:fill="C4DBE7" w:themeFill="accent3" w:themeFillTint="3F"/>
      </w:tcPr>
    </w:tblStylePr>
    <w:tblStylePr w:type="band1Horz">
      <w:tblPr/>
      <w:tcPr>
        <w:tcBorders>
          <w:top w:val="single" w:sz="8" w:space="0" w:color="34657F" w:themeColor="accent3"/>
          <w:left w:val="single" w:sz="8" w:space="0" w:color="34657F" w:themeColor="accent3"/>
          <w:bottom w:val="single" w:sz="8" w:space="0" w:color="34657F" w:themeColor="accent3"/>
          <w:right w:val="single" w:sz="8" w:space="0" w:color="34657F" w:themeColor="accent3"/>
          <w:insideV w:val="single" w:sz="8" w:space="0" w:color="34657F" w:themeColor="accent3"/>
        </w:tcBorders>
        <w:shd w:val="clear" w:color="auto" w:fill="C4DBE7" w:themeFill="accent3" w:themeFillTint="3F"/>
      </w:tcPr>
    </w:tblStylePr>
    <w:tblStylePr w:type="band2Horz">
      <w:tblPr/>
      <w:tcPr>
        <w:tcBorders>
          <w:top w:val="single" w:sz="8" w:space="0" w:color="34657F" w:themeColor="accent3"/>
          <w:left w:val="single" w:sz="8" w:space="0" w:color="34657F" w:themeColor="accent3"/>
          <w:bottom w:val="single" w:sz="8" w:space="0" w:color="34657F" w:themeColor="accent3"/>
          <w:right w:val="single" w:sz="8" w:space="0" w:color="34657F" w:themeColor="accent3"/>
          <w:insideV w:val="single" w:sz="8" w:space="0" w:color="34657F" w:themeColor="accent3"/>
        </w:tcBorders>
      </w:tcPr>
    </w:tblStylePr>
  </w:style>
  <w:style w:type="table" w:styleId="LightGrid-Accent4">
    <w:name w:val="Light Grid Accent 4"/>
    <w:basedOn w:val="TableNormal"/>
    <w:uiPriority w:val="98"/>
    <w:rsid w:val="00706B41"/>
    <w:tblPr>
      <w:tblStyleRowBandSize w:val="1"/>
      <w:tblStyleColBandSize w:val="1"/>
      <w:tblInd w:w="0" w:type="dxa"/>
      <w:tblBorders>
        <w:top w:val="single" w:sz="8" w:space="0" w:color="BD9B60" w:themeColor="accent4"/>
        <w:left w:val="single" w:sz="8" w:space="0" w:color="BD9B60" w:themeColor="accent4"/>
        <w:bottom w:val="single" w:sz="8" w:space="0" w:color="BD9B60" w:themeColor="accent4"/>
        <w:right w:val="single" w:sz="8" w:space="0" w:color="BD9B60" w:themeColor="accent4"/>
        <w:insideH w:val="single" w:sz="8" w:space="0" w:color="BD9B60" w:themeColor="accent4"/>
        <w:insideV w:val="single" w:sz="8" w:space="0" w:color="BD9B6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D9B60" w:themeColor="accent4"/>
          <w:left w:val="single" w:sz="8" w:space="0" w:color="BD9B60" w:themeColor="accent4"/>
          <w:bottom w:val="single" w:sz="18" w:space="0" w:color="BD9B60" w:themeColor="accent4"/>
          <w:right w:val="single" w:sz="8" w:space="0" w:color="BD9B60" w:themeColor="accent4"/>
          <w:insideH w:val="nil"/>
          <w:insideV w:val="single" w:sz="8" w:space="0" w:color="BD9B6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9B60" w:themeColor="accent4"/>
          <w:left w:val="single" w:sz="8" w:space="0" w:color="BD9B60" w:themeColor="accent4"/>
          <w:bottom w:val="single" w:sz="8" w:space="0" w:color="BD9B60" w:themeColor="accent4"/>
          <w:right w:val="single" w:sz="8" w:space="0" w:color="BD9B60" w:themeColor="accent4"/>
          <w:insideH w:val="nil"/>
          <w:insideV w:val="single" w:sz="8" w:space="0" w:color="BD9B6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9B60" w:themeColor="accent4"/>
          <w:left w:val="single" w:sz="8" w:space="0" w:color="BD9B60" w:themeColor="accent4"/>
          <w:bottom w:val="single" w:sz="8" w:space="0" w:color="BD9B60" w:themeColor="accent4"/>
          <w:right w:val="single" w:sz="8" w:space="0" w:color="BD9B60" w:themeColor="accent4"/>
        </w:tcBorders>
      </w:tcPr>
    </w:tblStylePr>
    <w:tblStylePr w:type="band1Vert">
      <w:tblPr/>
      <w:tcPr>
        <w:tcBorders>
          <w:top w:val="single" w:sz="8" w:space="0" w:color="BD9B60" w:themeColor="accent4"/>
          <w:left w:val="single" w:sz="8" w:space="0" w:color="BD9B60" w:themeColor="accent4"/>
          <w:bottom w:val="single" w:sz="8" w:space="0" w:color="BD9B60" w:themeColor="accent4"/>
          <w:right w:val="single" w:sz="8" w:space="0" w:color="BD9B60" w:themeColor="accent4"/>
        </w:tcBorders>
        <w:shd w:val="clear" w:color="auto" w:fill="EEE6D7" w:themeFill="accent4" w:themeFillTint="3F"/>
      </w:tcPr>
    </w:tblStylePr>
    <w:tblStylePr w:type="band1Horz">
      <w:tblPr/>
      <w:tcPr>
        <w:tcBorders>
          <w:top w:val="single" w:sz="8" w:space="0" w:color="BD9B60" w:themeColor="accent4"/>
          <w:left w:val="single" w:sz="8" w:space="0" w:color="BD9B60" w:themeColor="accent4"/>
          <w:bottom w:val="single" w:sz="8" w:space="0" w:color="BD9B60" w:themeColor="accent4"/>
          <w:right w:val="single" w:sz="8" w:space="0" w:color="BD9B60" w:themeColor="accent4"/>
          <w:insideV w:val="single" w:sz="8" w:space="0" w:color="BD9B60" w:themeColor="accent4"/>
        </w:tcBorders>
        <w:shd w:val="clear" w:color="auto" w:fill="EEE6D7" w:themeFill="accent4" w:themeFillTint="3F"/>
      </w:tcPr>
    </w:tblStylePr>
    <w:tblStylePr w:type="band2Horz">
      <w:tblPr/>
      <w:tcPr>
        <w:tcBorders>
          <w:top w:val="single" w:sz="8" w:space="0" w:color="BD9B60" w:themeColor="accent4"/>
          <w:left w:val="single" w:sz="8" w:space="0" w:color="BD9B60" w:themeColor="accent4"/>
          <w:bottom w:val="single" w:sz="8" w:space="0" w:color="BD9B60" w:themeColor="accent4"/>
          <w:right w:val="single" w:sz="8" w:space="0" w:color="BD9B60" w:themeColor="accent4"/>
          <w:insideV w:val="single" w:sz="8" w:space="0" w:color="BD9B60" w:themeColor="accent4"/>
        </w:tcBorders>
      </w:tcPr>
    </w:tblStylePr>
  </w:style>
  <w:style w:type="table" w:styleId="LightGrid-Accent5">
    <w:name w:val="Light Grid Accent 5"/>
    <w:basedOn w:val="TableNormal"/>
    <w:uiPriority w:val="98"/>
    <w:rsid w:val="00706B41"/>
    <w:tblPr>
      <w:tblStyleRowBandSize w:val="1"/>
      <w:tblStyleColBandSize w:val="1"/>
      <w:tblInd w:w="0" w:type="dxa"/>
      <w:tblBorders>
        <w:top w:val="single" w:sz="8" w:space="0" w:color="696158" w:themeColor="accent5"/>
        <w:left w:val="single" w:sz="8" w:space="0" w:color="696158" w:themeColor="accent5"/>
        <w:bottom w:val="single" w:sz="8" w:space="0" w:color="696158" w:themeColor="accent5"/>
        <w:right w:val="single" w:sz="8" w:space="0" w:color="696158" w:themeColor="accent5"/>
        <w:insideH w:val="single" w:sz="8" w:space="0" w:color="696158" w:themeColor="accent5"/>
        <w:insideV w:val="single" w:sz="8" w:space="0" w:color="696158"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96158" w:themeColor="accent5"/>
          <w:left w:val="single" w:sz="8" w:space="0" w:color="696158" w:themeColor="accent5"/>
          <w:bottom w:val="single" w:sz="18" w:space="0" w:color="696158" w:themeColor="accent5"/>
          <w:right w:val="single" w:sz="8" w:space="0" w:color="696158" w:themeColor="accent5"/>
          <w:insideH w:val="nil"/>
          <w:insideV w:val="single" w:sz="8" w:space="0" w:color="69615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6158" w:themeColor="accent5"/>
          <w:left w:val="single" w:sz="8" w:space="0" w:color="696158" w:themeColor="accent5"/>
          <w:bottom w:val="single" w:sz="8" w:space="0" w:color="696158" w:themeColor="accent5"/>
          <w:right w:val="single" w:sz="8" w:space="0" w:color="696158" w:themeColor="accent5"/>
          <w:insideH w:val="nil"/>
          <w:insideV w:val="single" w:sz="8" w:space="0" w:color="69615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6158" w:themeColor="accent5"/>
          <w:left w:val="single" w:sz="8" w:space="0" w:color="696158" w:themeColor="accent5"/>
          <w:bottom w:val="single" w:sz="8" w:space="0" w:color="696158" w:themeColor="accent5"/>
          <w:right w:val="single" w:sz="8" w:space="0" w:color="696158" w:themeColor="accent5"/>
        </w:tcBorders>
      </w:tcPr>
    </w:tblStylePr>
    <w:tblStylePr w:type="band1Vert">
      <w:tblPr/>
      <w:tcPr>
        <w:tcBorders>
          <w:top w:val="single" w:sz="8" w:space="0" w:color="696158" w:themeColor="accent5"/>
          <w:left w:val="single" w:sz="8" w:space="0" w:color="696158" w:themeColor="accent5"/>
          <w:bottom w:val="single" w:sz="8" w:space="0" w:color="696158" w:themeColor="accent5"/>
          <w:right w:val="single" w:sz="8" w:space="0" w:color="696158" w:themeColor="accent5"/>
        </w:tcBorders>
        <w:shd w:val="clear" w:color="auto" w:fill="DBD8D4" w:themeFill="accent5" w:themeFillTint="3F"/>
      </w:tcPr>
    </w:tblStylePr>
    <w:tblStylePr w:type="band1Horz">
      <w:tblPr/>
      <w:tcPr>
        <w:tcBorders>
          <w:top w:val="single" w:sz="8" w:space="0" w:color="696158" w:themeColor="accent5"/>
          <w:left w:val="single" w:sz="8" w:space="0" w:color="696158" w:themeColor="accent5"/>
          <w:bottom w:val="single" w:sz="8" w:space="0" w:color="696158" w:themeColor="accent5"/>
          <w:right w:val="single" w:sz="8" w:space="0" w:color="696158" w:themeColor="accent5"/>
          <w:insideV w:val="single" w:sz="8" w:space="0" w:color="696158" w:themeColor="accent5"/>
        </w:tcBorders>
        <w:shd w:val="clear" w:color="auto" w:fill="DBD8D4" w:themeFill="accent5" w:themeFillTint="3F"/>
      </w:tcPr>
    </w:tblStylePr>
    <w:tblStylePr w:type="band2Horz">
      <w:tblPr/>
      <w:tcPr>
        <w:tcBorders>
          <w:top w:val="single" w:sz="8" w:space="0" w:color="696158" w:themeColor="accent5"/>
          <w:left w:val="single" w:sz="8" w:space="0" w:color="696158" w:themeColor="accent5"/>
          <w:bottom w:val="single" w:sz="8" w:space="0" w:color="696158" w:themeColor="accent5"/>
          <w:right w:val="single" w:sz="8" w:space="0" w:color="696158" w:themeColor="accent5"/>
          <w:insideV w:val="single" w:sz="8" w:space="0" w:color="696158" w:themeColor="accent5"/>
        </w:tcBorders>
      </w:tcPr>
    </w:tblStylePr>
  </w:style>
  <w:style w:type="table" w:styleId="LightGrid-Accent6">
    <w:name w:val="Light Grid Accent 6"/>
    <w:basedOn w:val="TableNormal"/>
    <w:uiPriority w:val="98"/>
    <w:rsid w:val="00706B41"/>
    <w:tblPr>
      <w:tblStyleRowBandSize w:val="1"/>
      <w:tblStyleColBandSize w:val="1"/>
      <w:tblInd w:w="0" w:type="dxa"/>
      <w:tblBorders>
        <w:top w:val="single" w:sz="8" w:space="0" w:color="898D8D" w:themeColor="accent6"/>
        <w:left w:val="single" w:sz="8" w:space="0" w:color="898D8D" w:themeColor="accent6"/>
        <w:bottom w:val="single" w:sz="8" w:space="0" w:color="898D8D" w:themeColor="accent6"/>
        <w:right w:val="single" w:sz="8" w:space="0" w:color="898D8D" w:themeColor="accent6"/>
        <w:insideH w:val="single" w:sz="8" w:space="0" w:color="898D8D" w:themeColor="accent6"/>
        <w:insideV w:val="single" w:sz="8" w:space="0" w:color="898D8D"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98D8D" w:themeColor="accent6"/>
          <w:left w:val="single" w:sz="8" w:space="0" w:color="898D8D" w:themeColor="accent6"/>
          <w:bottom w:val="single" w:sz="18" w:space="0" w:color="898D8D" w:themeColor="accent6"/>
          <w:right w:val="single" w:sz="8" w:space="0" w:color="898D8D" w:themeColor="accent6"/>
          <w:insideH w:val="nil"/>
          <w:insideV w:val="single" w:sz="8" w:space="0" w:color="898D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8D8D" w:themeColor="accent6"/>
          <w:left w:val="single" w:sz="8" w:space="0" w:color="898D8D" w:themeColor="accent6"/>
          <w:bottom w:val="single" w:sz="8" w:space="0" w:color="898D8D" w:themeColor="accent6"/>
          <w:right w:val="single" w:sz="8" w:space="0" w:color="898D8D" w:themeColor="accent6"/>
          <w:insideH w:val="nil"/>
          <w:insideV w:val="single" w:sz="8" w:space="0" w:color="898D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8D8D" w:themeColor="accent6"/>
          <w:left w:val="single" w:sz="8" w:space="0" w:color="898D8D" w:themeColor="accent6"/>
          <w:bottom w:val="single" w:sz="8" w:space="0" w:color="898D8D" w:themeColor="accent6"/>
          <w:right w:val="single" w:sz="8" w:space="0" w:color="898D8D" w:themeColor="accent6"/>
        </w:tcBorders>
      </w:tcPr>
    </w:tblStylePr>
    <w:tblStylePr w:type="band1Vert">
      <w:tblPr/>
      <w:tcPr>
        <w:tcBorders>
          <w:top w:val="single" w:sz="8" w:space="0" w:color="898D8D" w:themeColor="accent6"/>
          <w:left w:val="single" w:sz="8" w:space="0" w:color="898D8D" w:themeColor="accent6"/>
          <w:bottom w:val="single" w:sz="8" w:space="0" w:color="898D8D" w:themeColor="accent6"/>
          <w:right w:val="single" w:sz="8" w:space="0" w:color="898D8D" w:themeColor="accent6"/>
        </w:tcBorders>
        <w:shd w:val="clear" w:color="auto" w:fill="E1E2E2" w:themeFill="accent6" w:themeFillTint="3F"/>
      </w:tcPr>
    </w:tblStylePr>
    <w:tblStylePr w:type="band1Horz">
      <w:tblPr/>
      <w:tcPr>
        <w:tcBorders>
          <w:top w:val="single" w:sz="8" w:space="0" w:color="898D8D" w:themeColor="accent6"/>
          <w:left w:val="single" w:sz="8" w:space="0" w:color="898D8D" w:themeColor="accent6"/>
          <w:bottom w:val="single" w:sz="8" w:space="0" w:color="898D8D" w:themeColor="accent6"/>
          <w:right w:val="single" w:sz="8" w:space="0" w:color="898D8D" w:themeColor="accent6"/>
          <w:insideV w:val="single" w:sz="8" w:space="0" w:color="898D8D" w:themeColor="accent6"/>
        </w:tcBorders>
        <w:shd w:val="clear" w:color="auto" w:fill="E1E2E2" w:themeFill="accent6" w:themeFillTint="3F"/>
      </w:tcPr>
    </w:tblStylePr>
    <w:tblStylePr w:type="band2Horz">
      <w:tblPr/>
      <w:tcPr>
        <w:tcBorders>
          <w:top w:val="single" w:sz="8" w:space="0" w:color="898D8D" w:themeColor="accent6"/>
          <w:left w:val="single" w:sz="8" w:space="0" w:color="898D8D" w:themeColor="accent6"/>
          <w:bottom w:val="single" w:sz="8" w:space="0" w:color="898D8D" w:themeColor="accent6"/>
          <w:right w:val="single" w:sz="8" w:space="0" w:color="898D8D" w:themeColor="accent6"/>
          <w:insideV w:val="single" w:sz="8" w:space="0" w:color="898D8D" w:themeColor="accent6"/>
        </w:tcBorders>
      </w:tcPr>
    </w:tblStylePr>
  </w:style>
  <w:style w:type="table" w:styleId="LightList">
    <w:name w:val="Light List"/>
    <w:basedOn w:val="TableNormal"/>
    <w:uiPriority w:val="98"/>
    <w:rsid w:val="00706B4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Ind w:w="0" w:type="dxa"/>
      <w:tblBorders>
        <w:top w:val="single" w:sz="8" w:space="0" w:color="353E49" w:themeColor="accent1"/>
        <w:left w:val="single" w:sz="8" w:space="0" w:color="353E49" w:themeColor="accent1"/>
        <w:bottom w:val="single" w:sz="8" w:space="0" w:color="353E49" w:themeColor="accent1"/>
        <w:right w:val="single" w:sz="8" w:space="0" w:color="353E49"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353E49" w:themeFill="accent1"/>
      </w:tcPr>
    </w:tblStylePr>
    <w:tblStylePr w:type="lastRow">
      <w:pPr>
        <w:spacing w:before="0" w:after="0" w:line="240" w:lineRule="auto"/>
      </w:pPr>
      <w:rPr>
        <w:b/>
        <w:bCs/>
      </w:rPr>
      <w:tblPr/>
      <w:tcPr>
        <w:tcBorders>
          <w:top w:val="double" w:sz="6" w:space="0" w:color="353E49" w:themeColor="accent1"/>
          <w:left w:val="single" w:sz="8" w:space="0" w:color="353E49" w:themeColor="accent1"/>
          <w:bottom w:val="single" w:sz="8" w:space="0" w:color="353E49" w:themeColor="accent1"/>
          <w:right w:val="single" w:sz="8" w:space="0" w:color="353E49" w:themeColor="accent1"/>
        </w:tcBorders>
      </w:tcPr>
    </w:tblStylePr>
    <w:tblStylePr w:type="firstCol">
      <w:rPr>
        <w:b/>
        <w:bCs/>
      </w:rPr>
    </w:tblStylePr>
    <w:tblStylePr w:type="lastCol">
      <w:rPr>
        <w:b/>
        <w:bCs/>
      </w:rPr>
    </w:tblStylePr>
    <w:tblStylePr w:type="band1Vert">
      <w:tblPr/>
      <w:tcPr>
        <w:tcBorders>
          <w:top w:val="single" w:sz="8" w:space="0" w:color="353E49" w:themeColor="accent1"/>
          <w:left w:val="single" w:sz="8" w:space="0" w:color="353E49" w:themeColor="accent1"/>
          <w:bottom w:val="single" w:sz="8" w:space="0" w:color="353E49" w:themeColor="accent1"/>
          <w:right w:val="single" w:sz="8" w:space="0" w:color="353E49" w:themeColor="accent1"/>
        </w:tcBorders>
      </w:tcPr>
    </w:tblStylePr>
    <w:tblStylePr w:type="band1Horz">
      <w:tblPr/>
      <w:tcPr>
        <w:tcBorders>
          <w:top w:val="single" w:sz="8" w:space="0" w:color="353E49" w:themeColor="accent1"/>
          <w:left w:val="single" w:sz="8" w:space="0" w:color="353E49" w:themeColor="accent1"/>
          <w:bottom w:val="single" w:sz="8" w:space="0" w:color="353E49" w:themeColor="accent1"/>
          <w:right w:val="single" w:sz="8" w:space="0" w:color="353E49" w:themeColor="accent1"/>
        </w:tcBorders>
      </w:tcPr>
    </w:tblStylePr>
  </w:style>
  <w:style w:type="table" w:styleId="LightList-Accent2">
    <w:name w:val="Light List Accent 2"/>
    <w:basedOn w:val="TableNormal"/>
    <w:uiPriority w:val="98"/>
    <w:rsid w:val="00706B41"/>
    <w:tblPr>
      <w:tblStyleRowBandSize w:val="1"/>
      <w:tblStyleColBandSize w:val="1"/>
      <w:tblInd w:w="0" w:type="dxa"/>
      <w:tblBorders>
        <w:top w:val="single" w:sz="8" w:space="0" w:color="AFA778" w:themeColor="accent2"/>
        <w:left w:val="single" w:sz="8" w:space="0" w:color="AFA778" w:themeColor="accent2"/>
        <w:bottom w:val="single" w:sz="8" w:space="0" w:color="AFA778" w:themeColor="accent2"/>
        <w:right w:val="single" w:sz="8" w:space="0" w:color="AFA778"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FA778" w:themeFill="accent2"/>
      </w:tcPr>
    </w:tblStylePr>
    <w:tblStylePr w:type="lastRow">
      <w:pPr>
        <w:spacing w:before="0" w:after="0" w:line="240" w:lineRule="auto"/>
      </w:pPr>
      <w:rPr>
        <w:b/>
        <w:bCs/>
      </w:rPr>
      <w:tblPr/>
      <w:tcPr>
        <w:tcBorders>
          <w:top w:val="double" w:sz="6" w:space="0" w:color="AFA778" w:themeColor="accent2"/>
          <w:left w:val="single" w:sz="8" w:space="0" w:color="AFA778" w:themeColor="accent2"/>
          <w:bottom w:val="single" w:sz="8" w:space="0" w:color="AFA778" w:themeColor="accent2"/>
          <w:right w:val="single" w:sz="8" w:space="0" w:color="AFA778" w:themeColor="accent2"/>
        </w:tcBorders>
      </w:tcPr>
    </w:tblStylePr>
    <w:tblStylePr w:type="firstCol">
      <w:rPr>
        <w:b/>
        <w:bCs/>
      </w:rPr>
    </w:tblStylePr>
    <w:tblStylePr w:type="lastCol">
      <w:rPr>
        <w:b/>
        <w:bCs/>
      </w:rPr>
    </w:tblStylePr>
    <w:tblStylePr w:type="band1Vert">
      <w:tblPr/>
      <w:tcPr>
        <w:tcBorders>
          <w:top w:val="single" w:sz="8" w:space="0" w:color="AFA778" w:themeColor="accent2"/>
          <w:left w:val="single" w:sz="8" w:space="0" w:color="AFA778" w:themeColor="accent2"/>
          <w:bottom w:val="single" w:sz="8" w:space="0" w:color="AFA778" w:themeColor="accent2"/>
          <w:right w:val="single" w:sz="8" w:space="0" w:color="AFA778" w:themeColor="accent2"/>
        </w:tcBorders>
      </w:tcPr>
    </w:tblStylePr>
    <w:tblStylePr w:type="band1Horz">
      <w:tblPr/>
      <w:tcPr>
        <w:tcBorders>
          <w:top w:val="single" w:sz="8" w:space="0" w:color="AFA778" w:themeColor="accent2"/>
          <w:left w:val="single" w:sz="8" w:space="0" w:color="AFA778" w:themeColor="accent2"/>
          <w:bottom w:val="single" w:sz="8" w:space="0" w:color="AFA778" w:themeColor="accent2"/>
          <w:right w:val="single" w:sz="8" w:space="0" w:color="AFA778" w:themeColor="accent2"/>
        </w:tcBorders>
      </w:tcPr>
    </w:tblStylePr>
  </w:style>
  <w:style w:type="table" w:styleId="LightList-Accent3">
    <w:name w:val="Light List Accent 3"/>
    <w:basedOn w:val="TableNormal"/>
    <w:uiPriority w:val="98"/>
    <w:rsid w:val="00706B41"/>
    <w:tblPr>
      <w:tblStyleRowBandSize w:val="1"/>
      <w:tblStyleColBandSize w:val="1"/>
      <w:tblInd w:w="0" w:type="dxa"/>
      <w:tblBorders>
        <w:top w:val="single" w:sz="8" w:space="0" w:color="34657F" w:themeColor="accent3"/>
        <w:left w:val="single" w:sz="8" w:space="0" w:color="34657F" w:themeColor="accent3"/>
        <w:bottom w:val="single" w:sz="8" w:space="0" w:color="34657F" w:themeColor="accent3"/>
        <w:right w:val="single" w:sz="8" w:space="0" w:color="34657F"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34657F" w:themeFill="accent3"/>
      </w:tcPr>
    </w:tblStylePr>
    <w:tblStylePr w:type="lastRow">
      <w:pPr>
        <w:spacing w:before="0" w:after="0" w:line="240" w:lineRule="auto"/>
      </w:pPr>
      <w:rPr>
        <w:b/>
        <w:bCs/>
      </w:rPr>
      <w:tblPr/>
      <w:tcPr>
        <w:tcBorders>
          <w:top w:val="double" w:sz="6" w:space="0" w:color="34657F" w:themeColor="accent3"/>
          <w:left w:val="single" w:sz="8" w:space="0" w:color="34657F" w:themeColor="accent3"/>
          <w:bottom w:val="single" w:sz="8" w:space="0" w:color="34657F" w:themeColor="accent3"/>
          <w:right w:val="single" w:sz="8" w:space="0" w:color="34657F" w:themeColor="accent3"/>
        </w:tcBorders>
      </w:tcPr>
    </w:tblStylePr>
    <w:tblStylePr w:type="firstCol">
      <w:rPr>
        <w:b/>
        <w:bCs/>
      </w:rPr>
    </w:tblStylePr>
    <w:tblStylePr w:type="lastCol">
      <w:rPr>
        <w:b/>
        <w:bCs/>
      </w:rPr>
    </w:tblStylePr>
    <w:tblStylePr w:type="band1Vert">
      <w:tblPr/>
      <w:tcPr>
        <w:tcBorders>
          <w:top w:val="single" w:sz="8" w:space="0" w:color="34657F" w:themeColor="accent3"/>
          <w:left w:val="single" w:sz="8" w:space="0" w:color="34657F" w:themeColor="accent3"/>
          <w:bottom w:val="single" w:sz="8" w:space="0" w:color="34657F" w:themeColor="accent3"/>
          <w:right w:val="single" w:sz="8" w:space="0" w:color="34657F" w:themeColor="accent3"/>
        </w:tcBorders>
      </w:tcPr>
    </w:tblStylePr>
    <w:tblStylePr w:type="band1Horz">
      <w:tblPr/>
      <w:tcPr>
        <w:tcBorders>
          <w:top w:val="single" w:sz="8" w:space="0" w:color="34657F" w:themeColor="accent3"/>
          <w:left w:val="single" w:sz="8" w:space="0" w:color="34657F" w:themeColor="accent3"/>
          <w:bottom w:val="single" w:sz="8" w:space="0" w:color="34657F" w:themeColor="accent3"/>
          <w:right w:val="single" w:sz="8" w:space="0" w:color="34657F" w:themeColor="accent3"/>
        </w:tcBorders>
      </w:tcPr>
    </w:tblStylePr>
  </w:style>
  <w:style w:type="table" w:styleId="LightList-Accent4">
    <w:name w:val="Light List Accent 4"/>
    <w:basedOn w:val="TableNormal"/>
    <w:uiPriority w:val="98"/>
    <w:rsid w:val="00706B41"/>
    <w:tblPr>
      <w:tblStyleRowBandSize w:val="1"/>
      <w:tblStyleColBandSize w:val="1"/>
      <w:tblInd w:w="0" w:type="dxa"/>
      <w:tblBorders>
        <w:top w:val="single" w:sz="8" w:space="0" w:color="BD9B60" w:themeColor="accent4"/>
        <w:left w:val="single" w:sz="8" w:space="0" w:color="BD9B60" w:themeColor="accent4"/>
        <w:bottom w:val="single" w:sz="8" w:space="0" w:color="BD9B60" w:themeColor="accent4"/>
        <w:right w:val="single" w:sz="8" w:space="0" w:color="BD9B6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D9B60" w:themeFill="accent4"/>
      </w:tcPr>
    </w:tblStylePr>
    <w:tblStylePr w:type="lastRow">
      <w:pPr>
        <w:spacing w:before="0" w:after="0" w:line="240" w:lineRule="auto"/>
      </w:pPr>
      <w:rPr>
        <w:b/>
        <w:bCs/>
      </w:rPr>
      <w:tblPr/>
      <w:tcPr>
        <w:tcBorders>
          <w:top w:val="double" w:sz="6" w:space="0" w:color="BD9B60" w:themeColor="accent4"/>
          <w:left w:val="single" w:sz="8" w:space="0" w:color="BD9B60" w:themeColor="accent4"/>
          <w:bottom w:val="single" w:sz="8" w:space="0" w:color="BD9B60" w:themeColor="accent4"/>
          <w:right w:val="single" w:sz="8" w:space="0" w:color="BD9B60" w:themeColor="accent4"/>
        </w:tcBorders>
      </w:tcPr>
    </w:tblStylePr>
    <w:tblStylePr w:type="firstCol">
      <w:rPr>
        <w:b/>
        <w:bCs/>
      </w:rPr>
    </w:tblStylePr>
    <w:tblStylePr w:type="lastCol">
      <w:rPr>
        <w:b/>
        <w:bCs/>
      </w:rPr>
    </w:tblStylePr>
    <w:tblStylePr w:type="band1Vert">
      <w:tblPr/>
      <w:tcPr>
        <w:tcBorders>
          <w:top w:val="single" w:sz="8" w:space="0" w:color="BD9B60" w:themeColor="accent4"/>
          <w:left w:val="single" w:sz="8" w:space="0" w:color="BD9B60" w:themeColor="accent4"/>
          <w:bottom w:val="single" w:sz="8" w:space="0" w:color="BD9B60" w:themeColor="accent4"/>
          <w:right w:val="single" w:sz="8" w:space="0" w:color="BD9B60" w:themeColor="accent4"/>
        </w:tcBorders>
      </w:tcPr>
    </w:tblStylePr>
    <w:tblStylePr w:type="band1Horz">
      <w:tblPr/>
      <w:tcPr>
        <w:tcBorders>
          <w:top w:val="single" w:sz="8" w:space="0" w:color="BD9B60" w:themeColor="accent4"/>
          <w:left w:val="single" w:sz="8" w:space="0" w:color="BD9B60" w:themeColor="accent4"/>
          <w:bottom w:val="single" w:sz="8" w:space="0" w:color="BD9B60" w:themeColor="accent4"/>
          <w:right w:val="single" w:sz="8" w:space="0" w:color="BD9B60" w:themeColor="accent4"/>
        </w:tcBorders>
      </w:tcPr>
    </w:tblStylePr>
  </w:style>
  <w:style w:type="table" w:styleId="LightList-Accent5">
    <w:name w:val="Light List Accent 5"/>
    <w:basedOn w:val="TableNormal"/>
    <w:uiPriority w:val="98"/>
    <w:rsid w:val="00706B41"/>
    <w:tblPr>
      <w:tblStyleRowBandSize w:val="1"/>
      <w:tblStyleColBandSize w:val="1"/>
      <w:tblInd w:w="0" w:type="dxa"/>
      <w:tblBorders>
        <w:top w:val="single" w:sz="8" w:space="0" w:color="696158" w:themeColor="accent5"/>
        <w:left w:val="single" w:sz="8" w:space="0" w:color="696158" w:themeColor="accent5"/>
        <w:bottom w:val="single" w:sz="8" w:space="0" w:color="696158" w:themeColor="accent5"/>
        <w:right w:val="single" w:sz="8" w:space="0" w:color="696158"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96158" w:themeFill="accent5"/>
      </w:tcPr>
    </w:tblStylePr>
    <w:tblStylePr w:type="lastRow">
      <w:pPr>
        <w:spacing w:before="0" w:after="0" w:line="240" w:lineRule="auto"/>
      </w:pPr>
      <w:rPr>
        <w:b/>
        <w:bCs/>
      </w:rPr>
      <w:tblPr/>
      <w:tcPr>
        <w:tcBorders>
          <w:top w:val="double" w:sz="6" w:space="0" w:color="696158" w:themeColor="accent5"/>
          <w:left w:val="single" w:sz="8" w:space="0" w:color="696158" w:themeColor="accent5"/>
          <w:bottom w:val="single" w:sz="8" w:space="0" w:color="696158" w:themeColor="accent5"/>
          <w:right w:val="single" w:sz="8" w:space="0" w:color="696158" w:themeColor="accent5"/>
        </w:tcBorders>
      </w:tcPr>
    </w:tblStylePr>
    <w:tblStylePr w:type="firstCol">
      <w:rPr>
        <w:b/>
        <w:bCs/>
      </w:rPr>
    </w:tblStylePr>
    <w:tblStylePr w:type="lastCol">
      <w:rPr>
        <w:b/>
        <w:bCs/>
      </w:rPr>
    </w:tblStylePr>
    <w:tblStylePr w:type="band1Vert">
      <w:tblPr/>
      <w:tcPr>
        <w:tcBorders>
          <w:top w:val="single" w:sz="8" w:space="0" w:color="696158" w:themeColor="accent5"/>
          <w:left w:val="single" w:sz="8" w:space="0" w:color="696158" w:themeColor="accent5"/>
          <w:bottom w:val="single" w:sz="8" w:space="0" w:color="696158" w:themeColor="accent5"/>
          <w:right w:val="single" w:sz="8" w:space="0" w:color="696158" w:themeColor="accent5"/>
        </w:tcBorders>
      </w:tcPr>
    </w:tblStylePr>
    <w:tblStylePr w:type="band1Horz">
      <w:tblPr/>
      <w:tcPr>
        <w:tcBorders>
          <w:top w:val="single" w:sz="8" w:space="0" w:color="696158" w:themeColor="accent5"/>
          <w:left w:val="single" w:sz="8" w:space="0" w:color="696158" w:themeColor="accent5"/>
          <w:bottom w:val="single" w:sz="8" w:space="0" w:color="696158" w:themeColor="accent5"/>
          <w:right w:val="single" w:sz="8" w:space="0" w:color="696158" w:themeColor="accent5"/>
        </w:tcBorders>
      </w:tcPr>
    </w:tblStylePr>
  </w:style>
  <w:style w:type="table" w:styleId="LightList-Accent6">
    <w:name w:val="Light List Accent 6"/>
    <w:basedOn w:val="TableNormal"/>
    <w:uiPriority w:val="98"/>
    <w:rsid w:val="00706B41"/>
    <w:tblPr>
      <w:tblStyleRowBandSize w:val="1"/>
      <w:tblStyleColBandSize w:val="1"/>
      <w:tblInd w:w="0" w:type="dxa"/>
      <w:tblBorders>
        <w:top w:val="single" w:sz="8" w:space="0" w:color="898D8D" w:themeColor="accent6"/>
        <w:left w:val="single" w:sz="8" w:space="0" w:color="898D8D" w:themeColor="accent6"/>
        <w:bottom w:val="single" w:sz="8" w:space="0" w:color="898D8D" w:themeColor="accent6"/>
        <w:right w:val="single" w:sz="8" w:space="0" w:color="898D8D"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98D8D" w:themeFill="accent6"/>
      </w:tcPr>
    </w:tblStylePr>
    <w:tblStylePr w:type="lastRow">
      <w:pPr>
        <w:spacing w:before="0" w:after="0" w:line="240" w:lineRule="auto"/>
      </w:pPr>
      <w:rPr>
        <w:b/>
        <w:bCs/>
      </w:rPr>
      <w:tblPr/>
      <w:tcPr>
        <w:tcBorders>
          <w:top w:val="double" w:sz="6" w:space="0" w:color="898D8D" w:themeColor="accent6"/>
          <w:left w:val="single" w:sz="8" w:space="0" w:color="898D8D" w:themeColor="accent6"/>
          <w:bottom w:val="single" w:sz="8" w:space="0" w:color="898D8D" w:themeColor="accent6"/>
          <w:right w:val="single" w:sz="8" w:space="0" w:color="898D8D" w:themeColor="accent6"/>
        </w:tcBorders>
      </w:tcPr>
    </w:tblStylePr>
    <w:tblStylePr w:type="firstCol">
      <w:rPr>
        <w:b/>
        <w:bCs/>
      </w:rPr>
    </w:tblStylePr>
    <w:tblStylePr w:type="lastCol">
      <w:rPr>
        <w:b/>
        <w:bCs/>
      </w:rPr>
    </w:tblStylePr>
    <w:tblStylePr w:type="band1Vert">
      <w:tblPr/>
      <w:tcPr>
        <w:tcBorders>
          <w:top w:val="single" w:sz="8" w:space="0" w:color="898D8D" w:themeColor="accent6"/>
          <w:left w:val="single" w:sz="8" w:space="0" w:color="898D8D" w:themeColor="accent6"/>
          <w:bottom w:val="single" w:sz="8" w:space="0" w:color="898D8D" w:themeColor="accent6"/>
          <w:right w:val="single" w:sz="8" w:space="0" w:color="898D8D" w:themeColor="accent6"/>
        </w:tcBorders>
      </w:tcPr>
    </w:tblStylePr>
    <w:tblStylePr w:type="band1Horz">
      <w:tblPr/>
      <w:tcPr>
        <w:tcBorders>
          <w:top w:val="single" w:sz="8" w:space="0" w:color="898D8D" w:themeColor="accent6"/>
          <w:left w:val="single" w:sz="8" w:space="0" w:color="898D8D" w:themeColor="accent6"/>
          <w:bottom w:val="single" w:sz="8" w:space="0" w:color="898D8D" w:themeColor="accent6"/>
          <w:right w:val="single" w:sz="8" w:space="0" w:color="898D8D"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272E36" w:themeColor="accent1" w:themeShade="BF"/>
    </w:rPr>
    <w:tblPr>
      <w:tblStyleRowBandSize w:val="1"/>
      <w:tblStyleColBandSize w:val="1"/>
      <w:tblInd w:w="0" w:type="dxa"/>
      <w:tblBorders>
        <w:top w:val="single" w:sz="8" w:space="0" w:color="353E49" w:themeColor="accent1"/>
        <w:bottom w:val="single" w:sz="8" w:space="0" w:color="353E49"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353E49" w:themeColor="accent1"/>
          <w:left w:val="nil"/>
          <w:bottom w:val="single" w:sz="8" w:space="0" w:color="353E49" w:themeColor="accent1"/>
          <w:right w:val="nil"/>
          <w:insideH w:val="nil"/>
          <w:insideV w:val="nil"/>
        </w:tcBorders>
      </w:tcPr>
    </w:tblStylePr>
    <w:tblStylePr w:type="lastRow">
      <w:pPr>
        <w:spacing w:before="0" w:after="0" w:line="240" w:lineRule="auto"/>
      </w:pPr>
      <w:rPr>
        <w:b/>
        <w:bCs/>
      </w:rPr>
      <w:tblPr/>
      <w:tcPr>
        <w:tcBorders>
          <w:top w:val="single" w:sz="8" w:space="0" w:color="353E49" w:themeColor="accent1"/>
          <w:left w:val="nil"/>
          <w:bottom w:val="single" w:sz="8" w:space="0" w:color="353E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ED7" w:themeFill="accent1" w:themeFillTint="3F"/>
      </w:tcPr>
    </w:tblStylePr>
    <w:tblStylePr w:type="band1Horz">
      <w:tblPr/>
      <w:tcPr>
        <w:tcBorders>
          <w:left w:val="nil"/>
          <w:right w:val="nil"/>
          <w:insideH w:val="nil"/>
          <w:insideV w:val="nil"/>
        </w:tcBorders>
        <w:shd w:val="clear" w:color="auto" w:fill="C7CED7" w:themeFill="accent1" w:themeFillTint="3F"/>
      </w:tcPr>
    </w:tblStylePr>
  </w:style>
  <w:style w:type="table" w:styleId="LightShading-Accent2">
    <w:name w:val="Light Shading Accent 2"/>
    <w:basedOn w:val="TableNormal"/>
    <w:uiPriority w:val="98"/>
    <w:rsid w:val="00706B41"/>
    <w:rPr>
      <w:color w:val="8A8252" w:themeColor="accent2" w:themeShade="BF"/>
    </w:rPr>
    <w:tblPr>
      <w:tblStyleRowBandSize w:val="1"/>
      <w:tblStyleColBandSize w:val="1"/>
      <w:tblInd w:w="0" w:type="dxa"/>
      <w:tblBorders>
        <w:top w:val="single" w:sz="8" w:space="0" w:color="AFA778" w:themeColor="accent2"/>
        <w:bottom w:val="single" w:sz="8" w:space="0" w:color="AFA778"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FA778" w:themeColor="accent2"/>
          <w:left w:val="nil"/>
          <w:bottom w:val="single" w:sz="8" w:space="0" w:color="AFA778" w:themeColor="accent2"/>
          <w:right w:val="nil"/>
          <w:insideH w:val="nil"/>
          <w:insideV w:val="nil"/>
        </w:tcBorders>
      </w:tcPr>
    </w:tblStylePr>
    <w:tblStylePr w:type="lastRow">
      <w:pPr>
        <w:spacing w:before="0" w:after="0" w:line="240" w:lineRule="auto"/>
      </w:pPr>
      <w:rPr>
        <w:b/>
        <w:bCs/>
      </w:rPr>
      <w:tblPr/>
      <w:tcPr>
        <w:tcBorders>
          <w:top w:val="single" w:sz="8" w:space="0" w:color="AFA778" w:themeColor="accent2"/>
          <w:left w:val="nil"/>
          <w:bottom w:val="single" w:sz="8" w:space="0" w:color="AFA77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9DD" w:themeFill="accent2" w:themeFillTint="3F"/>
      </w:tcPr>
    </w:tblStylePr>
    <w:tblStylePr w:type="band1Horz">
      <w:tblPr/>
      <w:tcPr>
        <w:tcBorders>
          <w:left w:val="nil"/>
          <w:right w:val="nil"/>
          <w:insideH w:val="nil"/>
          <w:insideV w:val="nil"/>
        </w:tcBorders>
        <w:shd w:val="clear" w:color="auto" w:fill="EBE9DD" w:themeFill="accent2" w:themeFillTint="3F"/>
      </w:tcPr>
    </w:tblStylePr>
  </w:style>
  <w:style w:type="table" w:styleId="LightShading-Accent3">
    <w:name w:val="Light Shading Accent 3"/>
    <w:basedOn w:val="TableNormal"/>
    <w:uiPriority w:val="98"/>
    <w:rsid w:val="00706B41"/>
    <w:rPr>
      <w:color w:val="274B5F" w:themeColor="accent3" w:themeShade="BF"/>
    </w:rPr>
    <w:tblPr>
      <w:tblStyleRowBandSize w:val="1"/>
      <w:tblStyleColBandSize w:val="1"/>
      <w:tblInd w:w="0" w:type="dxa"/>
      <w:tblBorders>
        <w:top w:val="single" w:sz="8" w:space="0" w:color="34657F" w:themeColor="accent3"/>
        <w:bottom w:val="single" w:sz="8" w:space="0" w:color="34657F"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34657F" w:themeColor="accent3"/>
          <w:left w:val="nil"/>
          <w:bottom w:val="single" w:sz="8" w:space="0" w:color="34657F" w:themeColor="accent3"/>
          <w:right w:val="nil"/>
          <w:insideH w:val="nil"/>
          <w:insideV w:val="nil"/>
        </w:tcBorders>
      </w:tcPr>
    </w:tblStylePr>
    <w:tblStylePr w:type="lastRow">
      <w:pPr>
        <w:spacing w:before="0" w:after="0" w:line="240" w:lineRule="auto"/>
      </w:pPr>
      <w:rPr>
        <w:b/>
        <w:bCs/>
      </w:rPr>
      <w:tblPr/>
      <w:tcPr>
        <w:tcBorders>
          <w:top w:val="single" w:sz="8" w:space="0" w:color="34657F" w:themeColor="accent3"/>
          <w:left w:val="nil"/>
          <w:bottom w:val="single" w:sz="8" w:space="0" w:color="34657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BE7" w:themeFill="accent3" w:themeFillTint="3F"/>
      </w:tcPr>
    </w:tblStylePr>
    <w:tblStylePr w:type="band1Horz">
      <w:tblPr/>
      <w:tcPr>
        <w:tcBorders>
          <w:left w:val="nil"/>
          <w:right w:val="nil"/>
          <w:insideH w:val="nil"/>
          <w:insideV w:val="nil"/>
        </w:tcBorders>
        <w:shd w:val="clear" w:color="auto" w:fill="C4DBE7" w:themeFill="accent3" w:themeFillTint="3F"/>
      </w:tcPr>
    </w:tblStylePr>
  </w:style>
  <w:style w:type="table" w:styleId="LightShading-Accent4">
    <w:name w:val="Light Shading Accent 4"/>
    <w:basedOn w:val="TableNormal"/>
    <w:uiPriority w:val="98"/>
    <w:rsid w:val="00706B41"/>
    <w:rPr>
      <w:color w:val="96763E" w:themeColor="accent4" w:themeShade="BF"/>
    </w:rPr>
    <w:tblPr>
      <w:tblStyleRowBandSize w:val="1"/>
      <w:tblStyleColBandSize w:val="1"/>
      <w:tblInd w:w="0" w:type="dxa"/>
      <w:tblBorders>
        <w:top w:val="single" w:sz="8" w:space="0" w:color="BD9B60" w:themeColor="accent4"/>
        <w:bottom w:val="single" w:sz="8" w:space="0" w:color="BD9B6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D9B60" w:themeColor="accent4"/>
          <w:left w:val="nil"/>
          <w:bottom w:val="single" w:sz="8" w:space="0" w:color="BD9B60" w:themeColor="accent4"/>
          <w:right w:val="nil"/>
          <w:insideH w:val="nil"/>
          <w:insideV w:val="nil"/>
        </w:tcBorders>
      </w:tcPr>
    </w:tblStylePr>
    <w:tblStylePr w:type="lastRow">
      <w:pPr>
        <w:spacing w:before="0" w:after="0" w:line="240" w:lineRule="auto"/>
      </w:pPr>
      <w:rPr>
        <w:b/>
        <w:bCs/>
      </w:rPr>
      <w:tblPr/>
      <w:tcPr>
        <w:tcBorders>
          <w:top w:val="single" w:sz="8" w:space="0" w:color="BD9B60" w:themeColor="accent4"/>
          <w:left w:val="nil"/>
          <w:bottom w:val="single" w:sz="8" w:space="0" w:color="BD9B6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6D7" w:themeFill="accent4" w:themeFillTint="3F"/>
      </w:tcPr>
    </w:tblStylePr>
    <w:tblStylePr w:type="band1Horz">
      <w:tblPr/>
      <w:tcPr>
        <w:tcBorders>
          <w:left w:val="nil"/>
          <w:right w:val="nil"/>
          <w:insideH w:val="nil"/>
          <w:insideV w:val="nil"/>
        </w:tcBorders>
        <w:shd w:val="clear" w:color="auto" w:fill="EEE6D7" w:themeFill="accent4" w:themeFillTint="3F"/>
      </w:tcPr>
    </w:tblStylePr>
  </w:style>
  <w:style w:type="table" w:styleId="LightShading-Accent5">
    <w:name w:val="Light Shading Accent 5"/>
    <w:basedOn w:val="TableNormal"/>
    <w:uiPriority w:val="98"/>
    <w:rsid w:val="00706B41"/>
    <w:rPr>
      <w:color w:val="4E4842" w:themeColor="accent5" w:themeShade="BF"/>
    </w:rPr>
    <w:tblPr>
      <w:tblStyleRowBandSize w:val="1"/>
      <w:tblStyleColBandSize w:val="1"/>
      <w:tblInd w:w="0" w:type="dxa"/>
      <w:tblBorders>
        <w:top w:val="single" w:sz="8" w:space="0" w:color="696158" w:themeColor="accent5"/>
        <w:bottom w:val="single" w:sz="8" w:space="0" w:color="696158"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96158" w:themeColor="accent5"/>
          <w:left w:val="nil"/>
          <w:bottom w:val="single" w:sz="8" w:space="0" w:color="696158" w:themeColor="accent5"/>
          <w:right w:val="nil"/>
          <w:insideH w:val="nil"/>
          <w:insideV w:val="nil"/>
        </w:tcBorders>
      </w:tcPr>
    </w:tblStylePr>
    <w:tblStylePr w:type="lastRow">
      <w:pPr>
        <w:spacing w:before="0" w:after="0" w:line="240" w:lineRule="auto"/>
      </w:pPr>
      <w:rPr>
        <w:b/>
        <w:bCs/>
      </w:rPr>
      <w:tblPr/>
      <w:tcPr>
        <w:tcBorders>
          <w:top w:val="single" w:sz="8" w:space="0" w:color="696158" w:themeColor="accent5"/>
          <w:left w:val="nil"/>
          <w:bottom w:val="single" w:sz="8" w:space="0" w:color="69615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8D4" w:themeFill="accent5" w:themeFillTint="3F"/>
      </w:tcPr>
    </w:tblStylePr>
    <w:tblStylePr w:type="band1Horz">
      <w:tblPr/>
      <w:tcPr>
        <w:tcBorders>
          <w:left w:val="nil"/>
          <w:right w:val="nil"/>
          <w:insideH w:val="nil"/>
          <w:insideV w:val="nil"/>
        </w:tcBorders>
        <w:shd w:val="clear" w:color="auto" w:fill="DBD8D4" w:themeFill="accent5" w:themeFillTint="3F"/>
      </w:tcPr>
    </w:tblStylePr>
  </w:style>
  <w:style w:type="table" w:styleId="LightShading-Accent6">
    <w:name w:val="Light Shading Accent 6"/>
    <w:basedOn w:val="TableNormal"/>
    <w:uiPriority w:val="98"/>
    <w:rsid w:val="00706B41"/>
    <w:rPr>
      <w:color w:val="666969" w:themeColor="accent6" w:themeShade="BF"/>
    </w:rPr>
    <w:tblPr>
      <w:tblStyleRowBandSize w:val="1"/>
      <w:tblStyleColBandSize w:val="1"/>
      <w:tblInd w:w="0" w:type="dxa"/>
      <w:tblBorders>
        <w:top w:val="single" w:sz="8" w:space="0" w:color="898D8D" w:themeColor="accent6"/>
        <w:bottom w:val="single" w:sz="8" w:space="0" w:color="898D8D"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98D8D" w:themeColor="accent6"/>
          <w:left w:val="nil"/>
          <w:bottom w:val="single" w:sz="8" w:space="0" w:color="898D8D" w:themeColor="accent6"/>
          <w:right w:val="nil"/>
          <w:insideH w:val="nil"/>
          <w:insideV w:val="nil"/>
        </w:tcBorders>
      </w:tcPr>
    </w:tblStylePr>
    <w:tblStylePr w:type="lastRow">
      <w:pPr>
        <w:spacing w:before="0" w:after="0" w:line="240" w:lineRule="auto"/>
      </w:pPr>
      <w:rPr>
        <w:b/>
        <w:bCs/>
      </w:rPr>
      <w:tblPr/>
      <w:tcPr>
        <w:tcBorders>
          <w:top w:val="single" w:sz="8" w:space="0" w:color="898D8D" w:themeColor="accent6"/>
          <w:left w:val="nil"/>
          <w:bottom w:val="single" w:sz="8" w:space="0" w:color="898D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2E2" w:themeFill="accent6" w:themeFillTint="3F"/>
      </w:tcPr>
    </w:tblStylePr>
    <w:tblStylePr w:type="band1Horz">
      <w:tblPr/>
      <w:tcPr>
        <w:tcBorders>
          <w:left w:val="nil"/>
          <w:right w:val="nil"/>
          <w:insideH w:val="nil"/>
          <w:insideV w:val="nil"/>
        </w:tcBorders>
        <w:shd w:val="clear" w:color="auto" w:fill="E1E2E2"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
    <w:name w:val="List"/>
    <w:basedOn w:val="Normal"/>
    <w:uiPriority w:val="4"/>
    <w:rsid w:val="00706B41"/>
    <w:pPr>
      <w:ind w:left="283" w:hanging="283"/>
    </w:pPr>
  </w:style>
  <w:style w:type="paragraph" w:styleId="List2">
    <w:name w:val="List 2"/>
    <w:basedOn w:val="Normal"/>
    <w:uiPriority w:val="4"/>
    <w:rsid w:val="00706B41"/>
    <w:pPr>
      <w:ind w:left="566" w:hanging="283"/>
    </w:pPr>
  </w:style>
  <w:style w:type="paragraph" w:styleId="List3">
    <w:name w:val="List 3"/>
    <w:basedOn w:val="Normal"/>
    <w:uiPriority w:val="4"/>
    <w:semiHidden/>
    <w:rsid w:val="00706B41"/>
    <w:pPr>
      <w:ind w:left="849" w:hanging="283"/>
    </w:pPr>
  </w:style>
  <w:style w:type="paragraph" w:styleId="List4">
    <w:name w:val="List 4"/>
    <w:basedOn w:val="Normal"/>
    <w:uiPriority w:val="4"/>
    <w:semiHidden/>
    <w:rsid w:val="00706B41"/>
    <w:pPr>
      <w:ind w:left="1132" w:hanging="283"/>
    </w:pPr>
  </w:style>
  <w:style w:type="paragraph" w:styleId="List5">
    <w:name w:val="List 5"/>
    <w:basedOn w:val="Normal"/>
    <w:uiPriority w:val="4"/>
    <w:semiHidden/>
    <w:rsid w:val="00706B41"/>
    <w:pPr>
      <w:ind w:left="1415" w:hanging="283"/>
    </w:pPr>
  </w:style>
  <w:style w:type="paragraph" w:styleId="ListBullet3">
    <w:name w:val="List Bullet 3"/>
    <w:basedOn w:val="Normal"/>
    <w:uiPriority w:val="2"/>
    <w:semiHidden/>
    <w:rsid w:val="00706B41"/>
    <w:pPr>
      <w:numPr>
        <w:numId w:val="3"/>
      </w:numPr>
    </w:pPr>
  </w:style>
  <w:style w:type="paragraph" w:styleId="ListBullet4">
    <w:name w:val="List Bullet 4"/>
    <w:basedOn w:val="Normal"/>
    <w:uiPriority w:val="2"/>
    <w:semiHidden/>
    <w:rsid w:val="00706B41"/>
    <w:pPr>
      <w:numPr>
        <w:numId w:val="9"/>
      </w:numPr>
    </w:pPr>
  </w:style>
  <w:style w:type="paragraph" w:styleId="ListBullet5">
    <w:name w:val="List Bullet 5"/>
    <w:basedOn w:val="Normal"/>
    <w:uiPriority w:val="2"/>
    <w:semiHidden/>
    <w:rsid w:val="00706B41"/>
    <w:pPr>
      <w:numPr>
        <w:numId w:val="10"/>
      </w:numPr>
    </w:pPr>
  </w:style>
  <w:style w:type="paragraph" w:styleId="ListContinue">
    <w:name w:val="List Continue"/>
    <w:basedOn w:val="Normal"/>
    <w:uiPriority w:val="10"/>
    <w:semiHidden/>
    <w:rsid w:val="00706B41"/>
    <w:pPr>
      <w:ind w:left="283"/>
    </w:pPr>
  </w:style>
  <w:style w:type="paragraph" w:styleId="ListContinue2">
    <w:name w:val="List Continue 2"/>
    <w:basedOn w:val="Normal"/>
    <w:uiPriority w:val="10"/>
    <w:semiHidden/>
    <w:rsid w:val="00706B41"/>
    <w:pPr>
      <w:ind w:left="566"/>
    </w:pPr>
  </w:style>
  <w:style w:type="paragraph" w:styleId="ListContinue3">
    <w:name w:val="List Continue 3"/>
    <w:basedOn w:val="Normal"/>
    <w:uiPriority w:val="10"/>
    <w:semiHidden/>
    <w:rsid w:val="00706B41"/>
    <w:pPr>
      <w:ind w:left="849"/>
    </w:pPr>
  </w:style>
  <w:style w:type="paragraph" w:styleId="ListContinue4">
    <w:name w:val="List Continue 4"/>
    <w:basedOn w:val="Normal"/>
    <w:uiPriority w:val="10"/>
    <w:semiHidden/>
    <w:rsid w:val="00706B41"/>
    <w:pPr>
      <w:ind w:left="1132"/>
    </w:pPr>
  </w:style>
  <w:style w:type="paragraph" w:styleId="ListContinue5">
    <w:name w:val="List Continue 5"/>
    <w:basedOn w:val="Normal"/>
    <w:uiPriority w:val="10"/>
    <w:semiHidden/>
    <w:rsid w:val="00706B41"/>
    <w:pPr>
      <w:ind w:left="1415"/>
    </w:pPr>
  </w:style>
  <w:style w:type="paragraph" w:styleId="ListNumber2">
    <w:name w:val="List Number 2"/>
    <w:basedOn w:val="Normal"/>
    <w:uiPriority w:val="3"/>
    <w:rsid w:val="007B0CE5"/>
    <w:pPr>
      <w:numPr>
        <w:numId w:val="11"/>
      </w:numPr>
      <w:ind w:left="714" w:hanging="357"/>
      <w:contextualSpacing/>
    </w:pPr>
  </w:style>
  <w:style w:type="paragraph" w:styleId="ListNumber3">
    <w:name w:val="List Number 3"/>
    <w:basedOn w:val="Normal"/>
    <w:uiPriority w:val="3"/>
    <w:semiHidden/>
    <w:rsid w:val="00706B41"/>
    <w:pPr>
      <w:numPr>
        <w:numId w:val="12"/>
      </w:numPr>
    </w:pPr>
  </w:style>
  <w:style w:type="paragraph" w:styleId="ListNumber4">
    <w:name w:val="List Number 4"/>
    <w:basedOn w:val="Normal"/>
    <w:uiPriority w:val="3"/>
    <w:semiHidden/>
    <w:rsid w:val="00706B41"/>
    <w:pPr>
      <w:numPr>
        <w:numId w:val="13"/>
      </w:numPr>
    </w:pPr>
  </w:style>
  <w:style w:type="paragraph" w:styleId="ListNumber5">
    <w:name w:val="List Number 5"/>
    <w:basedOn w:val="Normal"/>
    <w:uiPriority w:val="3"/>
    <w:semiHidden/>
    <w:rsid w:val="00706B41"/>
    <w:pPr>
      <w:numPr>
        <w:numId w:val="14"/>
      </w:numPr>
    </w:pPr>
  </w:style>
  <w:style w:type="paragraph" w:styleId="ListParagraph">
    <w:name w:val="List Paragraph"/>
    <w:basedOn w:val="Normal"/>
    <w:uiPriority w:val="4"/>
    <w:semiHidden/>
    <w:rsid w:val="00706B41"/>
    <w:pPr>
      <w:ind w:left="720"/>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Ind w:w="0" w:type="dxa"/>
      <w:tblBorders>
        <w:top w:val="single" w:sz="8" w:space="0" w:color="5D6D80" w:themeColor="accent1" w:themeTint="BF"/>
        <w:left w:val="single" w:sz="8" w:space="0" w:color="5D6D80" w:themeColor="accent1" w:themeTint="BF"/>
        <w:bottom w:val="single" w:sz="8" w:space="0" w:color="5D6D80" w:themeColor="accent1" w:themeTint="BF"/>
        <w:right w:val="single" w:sz="8" w:space="0" w:color="5D6D80" w:themeColor="accent1" w:themeTint="BF"/>
        <w:insideH w:val="single" w:sz="8" w:space="0" w:color="5D6D80" w:themeColor="accent1" w:themeTint="BF"/>
        <w:insideV w:val="single" w:sz="8" w:space="0" w:color="5D6D80" w:themeColor="accent1" w:themeTint="BF"/>
      </w:tblBorders>
      <w:tblCellMar>
        <w:top w:w="0" w:type="dxa"/>
        <w:left w:w="108" w:type="dxa"/>
        <w:bottom w:w="0" w:type="dxa"/>
        <w:right w:w="108" w:type="dxa"/>
      </w:tblCellMar>
    </w:tblPr>
    <w:tcPr>
      <w:shd w:val="clear" w:color="auto" w:fill="C7CED7"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5D6D80" w:themeColor="accent1" w:themeTint="BF"/>
        </w:tcBorders>
      </w:tcPr>
    </w:tblStylePr>
    <w:tblStylePr w:type="firstCol">
      <w:rPr>
        <w:b/>
        <w:bCs/>
      </w:rPr>
    </w:tblStylePr>
    <w:tblStylePr w:type="lastCol">
      <w:rPr>
        <w:b/>
        <w:bCs/>
      </w:rPr>
    </w:tblStylePr>
    <w:tblStylePr w:type="band1Vert">
      <w:tblPr/>
      <w:tcPr>
        <w:shd w:val="clear" w:color="auto" w:fill="909DAE" w:themeFill="accent1" w:themeFillTint="7F"/>
      </w:tcPr>
    </w:tblStylePr>
    <w:tblStylePr w:type="band1Horz">
      <w:tblPr/>
      <w:tcPr>
        <w:shd w:val="clear" w:color="auto" w:fill="909DAE" w:themeFill="accent1" w:themeFillTint="7F"/>
      </w:tcPr>
    </w:tblStylePr>
  </w:style>
  <w:style w:type="table" w:styleId="MediumGrid1-Accent2">
    <w:name w:val="Medium Grid 1 Accent 2"/>
    <w:basedOn w:val="TableNormal"/>
    <w:uiPriority w:val="98"/>
    <w:rsid w:val="00706B41"/>
    <w:tblPr>
      <w:tblStyleRowBandSize w:val="1"/>
      <w:tblStyleColBandSize w:val="1"/>
      <w:tblInd w:w="0" w:type="dxa"/>
      <w:tblBorders>
        <w:top w:val="single" w:sz="8" w:space="0" w:color="C3BC99" w:themeColor="accent2" w:themeTint="BF"/>
        <w:left w:val="single" w:sz="8" w:space="0" w:color="C3BC99" w:themeColor="accent2" w:themeTint="BF"/>
        <w:bottom w:val="single" w:sz="8" w:space="0" w:color="C3BC99" w:themeColor="accent2" w:themeTint="BF"/>
        <w:right w:val="single" w:sz="8" w:space="0" w:color="C3BC99" w:themeColor="accent2" w:themeTint="BF"/>
        <w:insideH w:val="single" w:sz="8" w:space="0" w:color="C3BC99" w:themeColor="accent2" w:themeTint="BF"/>
        <w:insideV w:val="single" w:sz="8" w:space="0" w:color="C3BC99" w:themeColor="accent2" w:themeTint="BF"/>
      </w:tblBorders>
      <w:tblCellMar>
        <w:top w:w="0" w:type="dxa"/>
        <w:left w:w="108" w:type="dxa"/>
        <w:bottom w:w="0" w:type="dxa"/>
        <w:right w:w="108" w:type="dxa"/>
      </w:tblCellMar>
    </w:tblPr>
    <w:tcPr>
      <w:shd w:val="clear" w:color="auto" w:fill="EBE9DD"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3BC99" w:themeColor="accent2" w:themeTint="BF"/>
        </w:tcBorders>
      </w:tcPr>
    </w:tblStylePr>
    <w:tblStylePr w:type="firstCol">
      <w:rPr>
        <w:b/>
        <w:bCs/>
      </w:rPr>
    </w:tblStylePr>
    <w:tblStylePr w:type="lastCol">
      <w:rPr>
        <w:b/>
        <w:bCs/>
      </w:rPr>
    </w:tblStylePr>
    <w:tblStylePr w:type="band1Vert">
      <w:tblPr/>
      <w:tcPr>
        <w:shd w:val="clear" w:color="auto" w:fill="D7D3BB" w:themeFill="accent2" w:themeFillTint="7F"/>
      </w:tcPr>
    </w:tblStylePr>
    <w:tblStylePr w:type="band1Horz">
      <w:tblPr/>
      <w:tcPr>
        <w:shd w:val="clear" w:color="auto" w:fill="D7D3BB" w:themeFill="accent2" w:themeFillTint="7F"/>
      </w:tcPr>
    </w:tblStylePr>
  </w:style>
  <w:style w:type="table" w:styleId="MediumGrid1-Accent3">
    <w:name w:val="Medium Grid 1 Accent 3"/>
    <w:basedOn w:val="TableNormal"/>
    <w:uiPriority w:val="98"/>
    <w:rsid w:val="00706B41"/>
    <w:tblPr>
      <w:tblStyleRowBandSize w:val="1"/>
      <w:tblStyleColBandSize w:val="1"/>
      <w:tblInd w:w="0" w:type="dxa"/>
      <w:tblBorders>
        <w:top w:val="single" w:sz="8" w:space="0" w:color="4F92B7" w:themeColor="accent3" w:themeTint="BF"/>
        <w:left w:val="single" w:sz="8" w:space="0" w:color="4F92B7" w:themeColor="accent3" w:themeTint="BF"/>
        <w:bottom w:val="single" w:sz="8" w:space="0" w:color="4F92B7" w:themeColor="accent3" w:themeTint="BF"/>
        <w:right w:val="single" w:sz="8" w:space="0" w:color="4F92B7" w:themeColor="accent3" w:themeTint="BF"/>
        <w:insideH w:val="single" w:sz="8" w:space="0" w:color="4F92B7" w:themeColor="accent3" w:themeTint="BF"/>
        <w:insideV w:val="single" w:sz="8" w:space="0" w:color="4F92B7" w:themeColor="accent3" w:themeTint="BF"/>
      </w:tblBorders>
      <w:tblCellMar>
        <w:top w:w="0" w:type="dxa"/>
        <w:left w:w="108" w:type="dxa"/>
        <w:bottom w:w="0" w:type="dxa"/>
        <w:right w:w="108" w:type="dxa"/>
      </w:tblCellMar>
    </w:tblPr>
    <w:tcPr>
      <w:shd w:val="clear" w:color="auto" w:fill="C4DBE7"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F92B7" w:themeColor="accent3" w:themeTint="BF"/>
        </w:tcBorders>
      </w:tcPr>
    </w:tblStylePr>
    <w:tblStylePr w:type="firstCol">
      <w:rPr>
        <w:b/>
        <w:bCs/>
      </w:rPr>
    </w:tblStylePr>
    <w:tblStylePr w:type="lastCol">
      <w:rPr>
        <w:b/>
        <w:bCs/>
      </w:rPr>
    </w:tblStylePr>
    <w:tblStylePr w:type="band1Vert">
      <w:tblPr/>
      <w:tcPr>
        <w:shd w:val="clear" w:color="auto" w:fill="89B6CF" w:themeFill="accent3" w:themeFillTint="7F"/>
      </w:tcPr>
    </w:tblStylePr>
    <w:tblStylePr w:type="band1Horz">
      <w:tblPr/>
      <w:tcPr>
        <w:shd w:val="clear" w:color="auto" w:fill="89B6CF" w:themeFill="accent3" w:themeFillTint="7F"/>
      </w:tcPr>
    </w:tblStylePr>
  </w:style>
  <w:style w:type="table" w:styleId="MediumGrid1-Accent4">
    <w:name w:val="Medium Grid 1 Accent 4"/>
    <w:basedOn w:val="TableNormal"/>
    <w:uiPriority w:val="98"/>
    <w:rsid w:val="00706B41"/>
    <w:tblPr>
      <w:tblStyleRowBandSize w:val="1"/>
      <w:tblStyleColBandSize w:val="1"/>
      <w:tblInd w:w="0" w:type="dxa"/>
      <w:tblBorders>
        <w:top w:val="single" w:sz="8" w:space="0" w:color="CDB387" w:themeColor="accent4" w:themeTint="BF"/>
        <w:left w:val="single" w:sz="8" w:space="0" w:color="CDB387" w:themeColor="accent4" w:themeTint="BF"/>
        <w:bottom w:val="single" w:sz="8" w:space="0" w:color="CDB387" w:themeColor="accent4" w:themeTint="BF"/>
        <w:right w:val="single" w:sz="8" w:space="0" w:color="CDB387" w:themeColor="accent4" w:themeTint="BF"/>
        <w:insideH w:val="single" w:sz="8" w:space="0" w:color="CDB387" w:themeColor="accent4" w:themeTint="BF"/>
        <w:insideV w:val="single" w:sz="8" w:space="0" w:color="CDB387" w:themeColor="accent4" w:themeTint="BF"/>
      </w:tblBorders>
      <w:tblCellMar>
        <w:top w:w="0" w:type="dxa"/>
        <w:left w:w="108" w:type="dxa"/>
        <w:bottom w:w="0" w:type="dxa"/>
        <w:right w:w="108" w:type="dxa"/>
      </w:tblCellMar>
    </w:tblPr>
    <w:tcPr>
      <w:shd w:val="clear" w:color="auto" w:fill="EEE6D7"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DB387" w:themeColor="accent4" w:themeTint="BF"/>
        </w:tcBorders>
      </w:tcPr>
    </w:tblStylePr>
    <w:tblStylePr w:type="firstCol">
      <w:rPr>
        <w:b/>
        <w:bCs/>
      </w:rPr>
    </w:tblStylePr>
    <w:tblStylePr w:type="lastCol">
      <w:rPr>
        <w:b/>
        <w:bCs/>
      </w:rPr>
    </w:tblStylePr>
    <w:tblStylePr w:type="band1Vert">
      <w:tblPr/>
      <w:tcPr>
        <w:shd w:val="clear" w:color="auto" w:fill="DECCAF" w:themeFill="accent4" w:themeFillTint="7F"/>
      </w:tcPr>
    </w:tblStylePr>
    <w:tblStylePr w:type="band1Horz">
      <w:tblPr/>
      <w:tcPr>
        <w:shd w:val="clear" w:color="auto" w:fill="DECCAF" w:themeFill="accent4" w:themeFillTint="7F"/>
      </w:tcPr>
    </w:tblStylePr>
  </w:style>
  <w:style w:type="table" w:styleId="MediumGrid1-Accent5">
    <w:name w:val="Medium Grid 1 Accent 5"/>
    <w:basedOn w:val="TableNormal"/>
    <w:uiPriority w:val="98"/>
    <w:rsid w:val="00706B41"/>
    <w:tblPr>
      <w:tblStyleRowBandSize w:val="1"/>
      <w:tblStyleColBandSize w:val="1"/>
      <w:tblInd w:w="0" w:type="dxa"/>
      <w:tblBorders>
        <w:top w:val="single" w:sz="8" w:space="0" w:color="92887D" w:themeColor="accent5" w:themeTint="BF"/>
        <w:left w:val="single" w:sz="8" w:space="0" w:color="92887D" w:themeColor="accent5" w:themeTint="BF"/>
        <w:bottom w:val="single" w:sz="8" w:space="0" w:color="92887D" w:themeColor="accent5" w:themeTint="BF"/>
        <w:right w:val="single" w:sz="8" w:space="0" w:color="92887D" w:themeColor="accent5" w:themeTint="BF"/>
        <w:insideH w:val="single" w:sz="8" w:space="0" w:color="92887D" w:themeColor="accent5" w:themeTint="BF"/>
        <w:insideV w:val="single" w:sz="8" w:space="0" w:color="92887D" w:themeColor="accent5" w:themeTint="BF"/>
      </w:tblBorders>
      <w:tblCellMar>
        <w:top w:w="0" w:type="dxa"/>
        <w:left w:w="108" w:type="dxa"/>
        <w:bottom w:w="0" w:type="dxa"/>
        <w:right w:w="108" w:type="dxa"/>
      </w:tblCellMar>
    </w:tblPr>
    <w:tcPr>
      <w:shd w:val="clear" w:color="auto" w:fill="DBD8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2887D" w:themeColor="accent5" w:themeTint="BF"/>
        </w:tcBorders>
      </w:tcPr>
    </w:tblStylePr>
    <w:tblStylePr w:type="firstCol">
      <w:rPr>
        <w:b/>
        <w:bCs/>
      </w:rPr>
    </w:tblStylePr>
    <w:tblStylePr w:type="lastCol">
      <w:rPr>
        <w:b/>
        <w:bCs/>
      </w:rPr>
    </w:tblStylePr>
    <w:tblStylePr w:type="band1Vert">
      <w:tblPr/>
      <w:tcPr>
        <w:shd w:val="clear" w:color="auto" w:fill="B7B0A9" w:themeFill="accent5" w:themeFillTint="7F"/>
      </w:tcPr>
    </w:tblStylePr>
    <w:tblStylePr w:type="band1Horz">
      <w:tblPr/>
      <w:tcPr>
        <w:shd w:val="clear" w:color="auto" w:fill="B7B0A9" w:themeFill="accent5" w:themeFillTint="7F"/>
      </w:tcPr>
    </w:tblStylePr>
  </w:style>
  <w:style w:type="table" w:styleId="MediumGrid1-Accent6">
    <w:name w:val="Medium Grid 1 Accent 6"/>
    <w:basedOn w:val="TableNormal"/>
    <w:uiPriority w:val="98"/>
    <w:rsid w:val="00706B41"/>
    <w:tblPr>
      <w:tblStyleRowBandSize w:val="1"/>
      <w:tblStyleColBandSize w:val="1"/>
      <w:tblInd w:w="0" w:type="dxa"/>
      <w:tblBorders>
        <w:top w:val="single" w:sz="8" w:space="0" w:color="A6A9A9" w:themeColor="accent6" w:themeTint="BF"/>
        <w:left w:val="single" w:sz="8" w:space="0" w:color="A6A9A9" w:themeColor="accent6" w:themeTint="BF"/>
        <w:bottom w:val="single" w:sz="8" w:space="0" w:color="A6A9A9" w:themeColor="accent6" w:themeTint="BF"/>
        <w:right w:val="single" w:sz="8" w:space="0" w:color="A6A9A9" w:themeColor="accent6" w:themeTint="BF"/>
        <w:insideH w:val="single" w:sz="8" w:space="0" w:color="A6A9A9" w:themeColor="accent6" w:themeTint="BF"/>
        <w:insideV w:val="single" w:sz="8" w:space="0" w:color="A6A9A9" w:themeColor="accent6" w:themeTint="BF"/>
      </w:tblBorders>
      <w:tblCellMar>
        <w:top w:w="0" w:type="dxa"/>
        <w:left w:w="108" w:type="dxa"/>
        <w:bottom w:w="0" w:type="dxa"/>
        <w:right w:w="108" w:type="dxa"/>
      </w:tblCellMar>
    </w:tblPr>
    <w:tcPr>
      <w:shd w:val="clear" w:color="auto" w:fill="E1E2E2"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6A9A9" w:themeColor="accent6" w:themeTint="BF"/>
        </w:tcBorders>
      </w:tcPr>
    </w:tblStylePr>
    <w:tblStylePr w:type="firstCol">
      <w:rPr>
        <w:b/>
        <w:bCs/>
      </w:rPr>
    </w:tblStylePr>
    <w:tblStylePr w:type="lastCol">
      <w:rPr>
        <w:b/>
        <w:bCs/>
      </w:rPr>
    </w:tblStylePr>
    <w:tblStylePr w:type="band1Vert">
      <w:tblPr/>
      <w:tcPr>
        <w:shd w:val="clear" w:color="auto" w:fill="C4C6C6" w:themeFill="accent6" w:themeFillTint="7F"/>
      </w:tcPr>
    </w:tblStylePr>
    <w:tblStylePr w:type="band1Horz">
      <w:tblPr/>
      <w:tcPr>
        <w:shd w:val="clear" w:color="auto" w:fill="C4C6C6"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Ind w:w="0" w:type="dxa"/>
      <w:tblBorders>
        <w:top w:val="single" w:sz="8" w:space="0" w:color="353E49" w:themeColor="accent1"/>
        <w:left w:val="single" w:sz="8" w:space="0" w:color="353E49" w:themeColor="accent1"/>
        <w:bottom w:val="single" w:sz="8" w:space="0" w:color="353E49" w:themeColor="accent1"/>
        <w:right w:val="single" w:sz="8" w:space="0" w:color="353E49" w:themeColor="accent1"/>
        <w:insideH w:val="single" w:sz="8" w:space="0" w:color="353E49" w:themeColor="accent1"/>
        <w:insideV w:val="single" w:sz="8" w:space="0" w:color="353E49" w:themeColor="accent1"/>
      </w:tblBorders>
      <w:tblCellMar>
        <w:top w:w="0" w:type="dxa"/>
        <w:left w:w="108" w:type="dxa"/>
        <w:bottom w:w="0" w:type="dxa"/>
        <w:right w:w="108" w:type="dxa"/>
      </w:tblCellMar>
    </w:tblPr>
    <w:tcPr>
      <w:shd w:val="clear" w:color="auto" w:fill="C7CED7"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9EB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7DE" w:themeFill="accent1" w:themeFillTint="33"/>
      </w:tcPr>
    </w:tblStylePr>
    <w:tblStylePr w:type="band1Vert">
      <w:tblPr/>
      <w:tcPr>
        <w:shd w:val="clear" w:color="auto" w:fill="909DAE" w:themeFill="accent1" w:themeFillTint="7F"/>
      </w:tcPr>
    </w:tblStylePr>
    <w:tblStylePr w:type="band1Horz">
      <w:tblPr/>
      <w:tcPr>
        <w:tcBorders>
          <w:insideH w:val="single" w:sz="6" w:space="0" w:color="353E49" w:themeColor="accent1"/>
          <w:insideV w:val="single" w:sz="6" w:space="0" w:color="353E49" w:themeColor="accent1"/>
        </w:tcBorders>
        <w:shd w:val="clear" w:color="auto" w:fill="909DA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Ind w:w="0" w:type="dxa"/>
      <w:tblBorders>
        <w:top w:val="single" w:sz="8" w:space="0" w:color="AFA778" w:themeColor="accent2"/>
        <w:left w:val="single" w:sz="8" w:space="0" w:color="AFA778" w:themeColor="accent2"/>
        <w:bottom w:val="single" w:sz="8" w:space="0" w:color="AFA778" w:themeColor="accent2"/>
        <w:right w:val="single" w:sz="8" w:space="0" w:color="AFA778" w:themeColor="accent2"/>
        <w:insideH w:val="single" w:sz="8" w:space="0" w:color="AFA778" w:themeColor="accent2"/>
        <w:insideV w:val="single" w:sz="8" w:space="0" w:color="AFA778" w:themeColor="accent2"/>
      </w:tblBorders>
      <w:tblCellMar>
        <w:top w:w="0" w:type="dxa"/>
        <w:left w:w="108" w:type="dxa"/>
        <w:bottom w:w="0" w:type="dxa"/>
        <w:right w:w="108" w:type="dxa"/>
      </w:tblCellMar>
    </w:tblPr>
    <w:tcPr>
      <w:shd w:val="clear" w:color="auto" w:fill="EBE9DD"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6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DE4" w:themeFill="accent2" w:themeFillTint="33"/>
      </w:tcPr>
    </w:tblStylePr>
    <w:tblStylePr w:type="band1Vert">
      <w:tblPr/>
      <w:tcPr>
        <w:shd w:val="clear" w:color="auto" w:fill="D7D3BB" w:themeFill="accent2" w:themeFillTint="7F"/>
      </w:tcPr>
    </w:tblStylePr>
    <w:tblStylePr w:type="band1Horz">
      <w:tblPr/>
      <w:tcPr>
        <w:tcBorders>
          <w:insideH w:val="single" w:sz="6" w:space="0" w:color="AFA778" w:themeColor="accent2"/>
          <w:insideV w:val="single" w:sz="6" w:space="0" w:color="AFA778" w:themeColor="accent2"/>
        </w:tcBorders>
        <w:shd w:val="clear" w:color="auto" w:fill="D7D3B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Ind w:w="0" w:type="dxa"/>
      <w:tblBorders>
        <w:top w:val="single" w:sz="8" w:space="0" w:color="34657F" w:themeColor="accent3"/>
        <w:left w:val="single" w:sz="8" w:space="0" w:color="34657F" w:themeColor="accent3"/>
        <w:bottom w:val="single" w:sz="8" w:space="0" w:color="34657F" w:themeColor="accent3"/>
        <w:right w:val="single" w:sz="8" w:space="0" w:color="34657F" w:themeColor="accent3"/>
        <w:insideH w:val="single" w:sz="8" w:space="0" w:color="34657F" w:themeColor="accent3"/>
        <w:insideV w:val="single" w:sz="8" w:space="0" w:color="34657F" w:themeColor="accent3"/>
      </w:tblBorders>
      <w:tblCellMar>
        <w:top w:w="0" w:type="dxa"/>
        <w:left w:w="108" w:type="dxa"/>
        <w:bottom w:w="0" w:type="dxa"/>
        <w:right w:w="108" w:type="dxa"/>
      </w:tblCellMar>
    </w:tblPr>
    <w:tcPr>
      <w:shd w:val="clear" w:color="auto" w:fill="C4DBE7"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7F0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2EB" w:themeFill="accent3" w:themeFillTint="33"/>
      </w:tcPr>
    </w:tblStylePr>
    <w:tblStylePr w:type="band1Vert">
      <w:tblPr/>
      <w:tcPr>
        <w:shd w:val="clear" w:color="auto" w:fill="89B6CF" w:themeFill="accent3" w:themeFillTint="7F"/>
      </w:tcPr>
    </w:tblStylePr>
    <w:tblStylePr w:type="band1Horz">
      <w:tblPr/>
      <w:tcPr>
        <w:tcBorders>
          <w:insideH w:val="single" w:sz="6" w:space="0" w:color="34657F" w:themeColor="accent3"/>
          <w:insideV w:val="single" w:sz="6" w:space="0" w:color="34657F" w:themeColor="accent3"/>
        </w:tcBorders>
        <w:shd w:val="clear" w:color="auto" w:fill="89B6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Ind w:w="0" w:type="dxa"/>
      <w:tblBorders>
        <w:top w:val="single" w:sz="8" w:space="0" w:color="BD9B60" w:themeColor="accent4"/>
        <w:left w:val="single" w:sz="8" w:space="0" w:color="BD9B60" w:themeColor="accent4"/>
        <w:bottom w:val="single" w:sz="8" w:space="0" w:color="BD9B60" w:themeColor="accent4"/>
        <w:right w:val="single" w:sz="8" w:space="0" w:color="BD9B60" w:themeColor="accent4"/>
        <w:insideH w:val="single" w:sz="8" w:space="0" w:color="BD9B60" w:themeColor="accent4"/>
        <w:insideV w:val="single" w:sz="8" w:space="0" w:color="BD9B60" w:themeColor="accent4"/>
      </w:tblBorders>
      <w:tblCellMar>
        <w:top w:w="0" w:type="dxa"/>
        <w:left w:w="108" w:type="dxa"/>
        <w:bottom w:w="0" w:type="dxa"/>
        <w:right w:w="108" w:type="dxa"/>
      </w:tblCellMar>
    </w:tblPr>
    <w:tcPr>
      <w:shd w:val="clear" w:color="auto" w:fill="EEE6D7"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8F5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EADF" w:themeFill="accent4" w:themeFillTint="33"/>
      </w:tcPr>
    </w:tblStylePr>
    <w:tblStylePr w:type="band1Vert">
      <w:tblPr/>
      <w:tcPr>
        <w:shd w:val="clear" w:color="auto" w:fill="DECCAF" w:themeFill="accent4" w:themeFillTint="7F"/>
      </w:tcPr>
    </w:tblStylePr>
    <w:tblStylePr w:type="band1Horz">
      <w:tblPr/>
      <w:tcPr>
        <w:tcBorders>
          <w:insideH w:val="single" w:sz="6" w:space="0" w:color="BD9B60" w:themeColor="accent4"/>
          <w:insideV w:val="single" w:sz="6" w:space="0" w:color="BD9B60" w:themeColor="accent4"/>
        </w:tcBorders>
        <w:shd w:val="clear" w:color="auto" w:fill="DECCA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Ind w:w="0" w:type="dxa"/>
      <w:tblBorders>
        <w:top w:val="single" w:sz="8" w:space="0" w:color="696158" w:themeColor="accent5"/>
        <w:left w:val="single" w:sz="8" w:space="0" w:color="696158" w:themeColor="accent5"/>
        <w:bottom w:val="single" w:sz="8" w:space="0" w:color="696158" w:themeColor="accent5"/>
        <w:right w:val="single" w:sz="8" w:space="0" w:color="696158" w:themeColor="accent5"/>
        <w:insideH w:val="single" w:sz="8" w:space="0" w:color="696158" w:themeColor="accent5"/>
        <w:insideV w:val="single" w:sz="8" w:space="0" w:color="696158" w:themeColor="accent5"/>
      </w:tblBorders>
      <w:tblCellMar>
        <w:top w:w="0" w:type="dxa"/>
        <w:left w:w="108" w:type="dxa"/>
        <w:bottom w:w="0" w:type="dxa"/>
        <w:right w:w="108" w:type="dxa"/>
      </w:tblCellMar>
    </w:tblPr>
    <w:tcPr>
      <w:shd w:val="clear" w:color="auto" w:fill="DBD8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0EF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FDC" w:themeFill="accent5" w:themeFillTint="33"/>
      </w:tcPr>
    </w:tblStylePr>
    <w:tblStylePr w:type="band1Vert">
      <w:tblPr/>
      <w:tcPr>
        <w:shd w:val="clear" w:color="auto" w:fill="B7B0A9" w:themeFill="accent5" w:themeFillTint="7F"/>
      </w:tcPr>
    </w:tblStylePr>
    <w:tblStylePr w:type="band1Horz">
      <w:tblPr/>
      <w:tcPr>
        <w:tcBorders>
          <w:insideH w:val="single" w:sz="6" w:space="0" w:color="696158" w:themeColor="accent5"/>
          <w:insideV w:val="single" w:sz="6" w:space="0" w:color="696158" w:themeColor="accent5"/>
        </w:tcBorders>
        <w:shd w:val="clear" w:color="auto" w:fill="B7B0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Ind w:w="0" w:type="dxa"/>
      <w:tblBorders>
        <w:top w:val="single" w:sz="8" w:space="0" w:color="898D8D" w:themeColor="accent6"/>
        <w:left w:val="single" w:sz="8" w:space="0" w:color="898D8D" w:themeColor="accent6"/>
        <w:bottom w:val="single" w:sz="8" w:space="0" w:color="898D8D" w:themeColor="accent6"/>
        <w:right w:val="single" w:sz="8" w:space="0" w:color="898D8D" w:themeColor="accent6"/>
        <w:insideH w:val="single" w:sz="8" w:space="0" w:color="898D8D" w:themeColor="accent6"/>
        <w:insideV w:val="single" w:sz="8" w:space="0" w:color="898D8D" w:themeColor="accent6"/>
      </w:tblBorders>
      <w:tblCellMar>
        <w:top w:w="0" w:type="dxa"/>
        <w:left w:w="108" w:type="dxa"/>
        <w:bottom w:w="0" w:type="dxa"/>
        <w:right w:w="108" w:type="dxa"/>
      </w:tblCellMar>
    </w:tblPr>
    <w:tcPr>
      <w:shd w:val="clear" w:color="auto" w:fill="E1E2E2"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3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8E8" w:themeFill="accent6" w:themeFillTint="33"/>
      </w:tcPr>
    </w:tblStylePr>
    <w:tblStylePr w:type="band1Vert">
      <w:tblPr/>
      <w:tcPr>
        <w:shd w:val="clear" w:color="auto" w:fill="C4C6C6" w:themeFill="accent6" w:themeFillTint="7F"/>
      </w:tcPr>
    </w:tblStylePr>
    <w:tblStylePr w:type="band1Horz">
      <w:tblPr/>
      <w:tcPr>
        <w:tcBorders>
          <w:insideH w:val="single" w:sz="6" w:space="0" w:color="898D8D" w:themeColor="accent6"/>
          <w:insideV w:val="single" w:sz="6" w:space="0" w:color="898D8D" w:themeColor="accent6"/>
        </w:tcBorders>
        <w:shd w:val="clear" w:color="auto" w:fill="C4C6C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7CED7"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3E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3E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3E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3E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9DA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9DAE" w:themeFill="accent1" w:themeFillTint="7F"/>
      </w:tcPr>
    </w:tblStylePr>
  </w:style>
  <w:style w:type="table" w:styleId="MediumGrid3-Accent2">
    <w:name w:val="Medium Grid 3 Accent 2"/>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9DD"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A77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A77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A77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A77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D3B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D3BB" w:themeFill="accent2" w:themeFillTint="7F"/>
      </w:tcPr>
    </w:tblStylePr>
  </w:style>
  <w:style w:type="table" w:styleId="MediumGrid3-Accent3">
    <w:name w:val="Medium Grid 3 Accent 3"/>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4DBE7"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65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65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65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65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9B6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9B6CF" w:themeFill="accent3" w:themeFillTint="7F"/>
      </w:tcPr>
    </w:tblStylePr>
  </w:style>
  <w:style w:type="table" w:styleId="MediumGrid3-Accent4">
    <w:name w:val="Medium Grid 3 Accent 4"/>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EE6D7"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9B6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9B6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9B6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9B6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CCA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CCAF" w:themeFill="accent4" w:themeFillTint="7F"/>
      </w:tcPr>
    </w:tblStylePr>
  </w:style>
  <w:style w:type="table" w:styleId="MediumGrid3-Accent5">
    <w:name w:val="Medium Grid 3 Accent 5"/>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D8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615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615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615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615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0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0A9" w:themeFill="accent5" w:themeFillTint="7F"/>
      </w:tcPr>
    </w:tblStylePr>
  </w:style>
  <w:style w:type="table" w:styleId="MediumGrid3-Accent6">
    <w:name w:val="Medium Grid 3 Accent 6"/>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1E2E2"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8D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8D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8D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8D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C6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C6C6"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D6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Ind w:w="0" w:type="dxa"/>
      <w:tblBorders>
        <w:top w:val="single" w:sz="8" w:space="0" w:color="353E49" w:themeColor="accent1"/>
        <w:bottom w:val="single" w:sz="8" w:space="0" w:color="353E49"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353E49" w:themeColor="accent1"/>
        </w:tcBorders>
      </w:tcPr>
    </w:tblStylePr>
    <w:tblStylePr w:type="lastRow">
      <w:rPr>
        <w:b/>
        <w:bCs/>
        <w:color w:val="002D62" w:themeColor="text2"/>
      </w:rPr>
      <w:tblPr/>
      <w:tcPr>
        <w:tcBorders>
          <w:top w:val="single" w:sz="8" w:space="0" w:color="353E49" w:themeColor="accent1"/>
          <w:bottom w:val="single" w:sz="8" w:space="0" w:color="353E49" w:themeColor="accent1"/>
        </w:tcBorders>
      </w:tcPr>
    </w:tblStylePr>
    <w:tblStylePr w:type="firstCol">
      <w:rPr>
        <w:b/>
        <w:bCs/>
      </w:rPr>
    </w:tblStylePr>
    <w:tblStylePr w:type="lastCol">
      <w:rPr>
        <w:b/>
        <w:bCs/>
      </w:rPr>
      <w:tblPr/>
      <w:tcPr>
        <w:tcBorders>
          <w:top w:val="single" w:sz="8" w:space="0" w:color="353E49" w:themeColor="accent1"/>
          <w:bottom w:val="single" w:sz="8" w:space="0" w:color="353E49" w:themeColor="accent1"/>
        </w:tcBorders>
      </w:tcPr>
    </w:tblStylePr>
    <w:tblStylePr w:type="band1Vert">
      <w:tblPr/>
      <w:tcPr>
        <w:shd w:val="clear" w:color="auto" w:fill="C7CED7" w:themeFill="accent1" w:themeFillTint="3F"/>
      </w:tcPr>
    </w:tblStylePr>
    <w:tblStylePr w:type="band1Horz">
      <w:tblPr/>
      <w:tcPr>
        <w:shd w:val="clear" w:color="auto" w:fill="C7CED7"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Ind w:w="0" w:type="dxa"/>
      <w:tblBorders>
        <w:top w:val="single" w:sz="8" w:space="0" w:color="AFA778" w:themeColor="accent2"/>
        <w:bottom w:val="single" w:sz="8" w:space="0" w:color="AFA778"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FA778" w:themeColor="accent2"/>
        </w:tcBorders>
      </w:tcPr>
    </w:tblStylePr>
    <w:tblStylePr w:type="lastRow">
      <w:rPr>
        <w:b/>
        <w:bCs/>
        <w:color w:val="002D62" w:themeColor="text2"/>
      </w:rPr>
      <w:tblPr/>
      <w:tcPr>
        <w:tcBorders>
          <w:top w:val="single" w:sz="8" w:space="0" w:color="AFA778" w:themeColor="accent2"/>
          <w:bottom w:val="single" w:sz="8" w:space="0" w:color="AFA778" w:themeColor="accent2"/>
        </w:tcBorders>
      </w:tcPr>
    </w:tblStylePr>
    <w:tblStylePr w:type="firstCol">
      <w:rPr>
        <w:b/>
        <w:bCs/>
      </w:rPr>
    </w:tblStylePr>
    <w:tblStylePr w:type="lastCol">
      <w:rPr>
        <w:b/>
        <w:bCs/>
      </w:rPr>
      <w:tblPr/>
      <w:tcPr>
        <w:tcBorders>
          <w:top w:val="single" w:sz="8" w:space="0" w:color="AFA778" w:themeColor="accent2"/>
          <w:bottom w:val="single" w:sz="8" w:space="0" w:color="AFA778" w:themeColor="accent2"/>
        </w:tcBorders>
      </w:tcPr>
    </w:tblStylePr>
    <w:tblStylePr w:type="band1Vert">
      <w:tblPr/>
      <w:tcPr>
        <w:shd w:val="clear" w:color="auto" w:fill="EBE9DD" w:themeFill="accent2" w:themeFillTint="3F"/>
      </w:tcPr>
    </w:tblStylePr>
    <w:tblStylePr w:type="band1Horz">
      <w:tblPr/>
      <w:tcPr>
        <w:shd w:val="clear" w:color="auto" w:fill="EBE9DD"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Ind w:w="0" w:type="dxa"/>
      <w:tblBorders>
        <w:top w:val="single" w:sz="8" w:space="0" w:color="34657F" w:themeColor="accent3"/>
        <w:bottom w:val="single" w:sz="8" w:space="0" w:color="34657F"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34657F" w:themeColor="accent3"/>
        </w:tcBorders>
      </w:tcPr>
    </w:tblStylePr>
    <w:tblStylePr w:type="lastRow">
      <w:rPr>
        <w:b/>
        <w:bCs/>
        <w:color w:val="002D62" w:themeColor="text2"/>
      </w:rPr>
      <w:tblPr/>
      <w:tcPr>
        <w:tcBorders>
          <w:top w:val="single" w:sz="8" w:space="0" w:color="34657F" w:themeColor="accent3"/>
          <w:bottom w:val="single" w:sz="8" w:space="0" w:color="34657F" w:themeColor="accent3"/>
        </w:tcBorders>
      </w:tcPr>
    </w:tblStylePr>
    <w:tblStylePr w:type="firstCol">
      <w:rPr>
        <w:b/>
        <w:bCs/>
      </w:rPr>
    </w:tblStylePr>
    <w:tblStylePr w:type="lastCol">
      <w:rPr>
        <w:b/>
        <w:bCs/>
      </w:rPr>
      <w:tblPr/>
      <w:tcPr>
        <w:tcBorders>
          <w:top w:val="single" w:sz="8" w:space="0" w:color="34657F" w:themeColor="accent3"/>
          <w:bottom w:val="single" w:sz="8" w:space="0" w:color="34657F" w:themeColor="accent3"/>
        </w:tcBorders>
      </w:tcPr>
    </w:tblStylePr>
    <w:tblStylePr w:type="band1Vert">
      <w:tblPr/>
      <w:tcPr>
        <w:shd w:val="clear" w:color="auto" w:fill="C4DBE7" w:themeFill="accent3" w:themeFillTint="3F"/>
      </w:tcPr>
    </w:tblStylePr>
    <w:tblStylePr w:type="band1Horz">
      <w:tblPr/>
      <w:tcPr>
        <w:shd w:val="clear" w:color="auto" w:fill="C4DBE7"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Ind w:w="0" w:type="dxa"/>
      <w:tblBorders>
        <w:top w:val="single" w:sz="8" w:space="0" w:color="BD9B60" w:themeColor="accent4"/>
        <w:bottom w:val="single" w:sz="8" w:space="0" w:color="BD9B6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D9B60" w:themeColor="accent4"/>
        </w:tcBorders>
      </w:tcPr>
    </w:tblStylePr>
    <w:tblStylePr w:type="lastRow">
      <w:rPr>
        <w:b/>
        <w:bCs/>
        <w:color w:val="002D62" w:themeColor="text2"/>
      </w:rPr>
      <w:tblPr/>
      <w:tcPr>
        <w:tcBorders>
          <w:top w:val="single" w:sz="8" w:space="0" w:color="BD9B60" w:themeColor="accent4"/>
          <w:bottom w:val="single" w:sz="8" w:space="0" w:color="BD9B60" w:themeColor="accent4"/>
        </w:tcBorders>
      </w:tcPr>
    </w:tblStylePr>
    <w:tblStylePr w:type="firstCol">
      <w:rPr>
        <w:b/>
        <w:bCs/>
      </w:rPr>
    </w:tblStylePr>
    <w:tblStylePr w:type="lastCol">
      <w:rPr>
        <w:b/>
        <w:bCs/>
      </w:rPr>
      <w:tblPr/>
      <w:tcPr>
        <w:tcBorders>
          <w:top w:val="single" w:sz="8" w:space="0" w:color="BD9B60" w:themeColor="accent4"/>
          <w:bottom w:val="single" w:sz="8" w:space="0" w:color="BD9B60" w:themeColor="accent4"/>
        </w:tcBorders>
      </w:tcPr>
    </w:tblStylePr>
    <w:tblStylePr w:type="band1Vert">
      <w:tblPr/>
      <w:tcPr>
        <w:shd w:val="clear" w:color="auto" w:fill="EEE6D7" w:themeFill="accent4" w:themeFillTint="3F"/>
      </w:tcPr>
    </w:tblStylePr>
    <w:tblStylePr w:type="band1Horz">
      <w:tblPr/>
      <w:tcPr>
        <w:shd w:val="clear" w:color="auto" w:fill="EEE6D7"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Ind w:w="0" w:type="dxa"/>
      <w:tblBorders>
        <w:top w:val="single" w:sz="8" w:space="0" w:color="696158" w:themeColor="accent5"/>
        <w:bottom w:val="single" w:sz="8" w:space="0" w:color="696158"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96158" w:themeColor="accent5"/>
        </w:tcBorders>
      </w:tcPr>
    </w:tblStylePr>
    <w:tblStylePr w:type="lastRow">
      <w:rPr>
        <w:b/>
        <w:bCs/>
        <w:color w:val="002D62" w:themeColor="text2"/>
      </w:rPr>
      <w:tblPr/>
      <w:tcPr>
        <w:tcBorders>
          <w:top w:val="single" w:sz="8" w:space="0" w:color="696158" w:themeColor="accent5"/>
          <w:bottom w:val="single" w:sz="8" w:space="0" w:color="696158" w:themeColor="accent5"/>
        </w:tcBorders>
      </w:tcPr>
    </w:tblStylePr>
    <w:tblStylePr w:type="firstCol">
      <w:rPr>
        <w:b/>
        <w:bCs/>
      </w:rPr>
    </w:tblStylePr>
    <w:tblStylePr w:type="lastCol">
      <w:rPr>
        <w:b/>
        <w:bCs/>
      </w:rPr>
      <w:tblPr/>
      <w:tcPr>
        <w:tcBorders>
          <w:top w:val="single" w:sz="8" w:space="0" w:color="696158" w:themeColor="accent5"/>
          <w:bottom w:val="single" w:sz="8" w:space="0" w:color="696158" w:themeColor="accent5"/>
        </w:tcBorders>
      </w:tcPr>
    </w:tblStylePr>
    <w:tblStylePr w:type="band1Vert">
      <w:tblPr/>
      <w:tcPr>
        <w:shd w:val="clear" w:color="auto" w:fill="DBD8D4" w:themeFill="accent5" w:themeFillTint="3F"/>
      </w:tcPr>
    </w:tblStylePr>
    <w:tblStylePr w:type="band1Horz">
      <w:tblPr/>
      <w:tcPr>
        <w:shd w:val="clear" w:color="auto" w:fill="DBD8D4"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Ind w:w="0" w:type="dxa"/>
      <w:tblBorders>
        <w:top w:val="single" w:sz="8" w:space="0" w:color="898D8D" w:themeColor="accent6"/>
        <w:bottom w:val="single" w:sz="8" w:space="0" w:color="898D8D"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98D8D" w:themeColor="accent6"/>
        </w:tcBorders>
      </w:tcPr>
    </w:tblStylePr>
    <w:tblStylePr w:type="lastRow">
      <w:rPr>
        <w:b/>
        <w:bCs/>
        <w:color w:val="002D62" w:themeColor="text2"/>
      </w:rPr>
      <w:tblPr/>
      <w:tcPr>
        <w:tcBorders>
          <w:top w:val="single" w:sz="8" w:space="0" w:color="898D8D" w:themeColor="accent6"/>
          <w:bottom w:val="single" w:sz="8" w:space="0" w:color="898D8D" w:themeColor="accent6"/>
        </w:tcBorders>
      </w:tcPr>
    </w:tblStylePr>
    <w:tblStylePr w:type="firstCol">
      <w:rPr>
        <w:b/>
        <w:bCs/>
      </w:rPr>
    </w:tblStylePr>
    <w:tblStylePr w:type="lastCol">
      <w:rPr>
        <w:b/>
        <w:bCs/>
      </w:rPr>
      <w:tblPr/>
      <w:tcPr>
        <w:tcBorders>
          <w:top w:val="single" w:sz="8" w:space="0" w:color="898D8D" w:themeColor="accent6"/>
          <w:bottom w:val="single" w:sz="8" w:space="0" w:color="898D8D" w:themeColor="accent6"/>
        </w:tcBorders>
      </w:tcPr>
    </w:tblStylePr>
    <w:tblStylePr w:type="band1Vert">
      <w:tblPr/>
      <w:tcPr>
        <w:shd w:val="clear" w:color="auto" w:fill="E1E2E2" w:themeFill="accent6" w:themeFillTint="3F"/>
      </w:tcPr>
    </w:tblStylePr>
    <w:tblStylePr w:type="band1Horz">
      <w:tblPr/>
      <w:tcPr>
        <w:shd w:val="clear" w:color="auto" w:fill="E1E2E2"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Ind w:w="0" w:type="dxa"/>
      <w:tblBorders>
        <w:top w:val="single" w:sz="8" w:space="0" w:color="353E49" w:themeColor="accent1"/>
        <w:left w:val="single" w:sz="8" w:space="0" w:color="353E49" w:themeColor="accent1"/>
        <w:bottom w:val="single" w:sz="8" w:space="0" w:color="353E49" w:themeColor="accent1"/>
        <w:right w:val="single" w:sz="8" w:space="0" w:color="353E49"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353E49" w:themeColor="accent1"/>
          <w:right w:val="nil"/>
          <w:insideH w:val="nil"/>
          <w:insideV w:val="nil"/>
        </w:tcBorders>
        <w:shd w:val="clear" w:color="auto" w:fill="FFFFFF" w:themeFill="background1"/>
      </w:tcPr>
    </w:tblStylePr>
    <w:tblStylePr w:type="lastRow">
      <w:tblPr/>
      <w:tcPr>
        <w:tcBorders>
          <w:top w:val="single" w:sz="8" w:space="0" w:color="353E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3E49" w:themeColor="accent1"/>
          <w:insideH w:val="nil"/>
          <w:insideV w:val="nil"/>
        </w:tcBorders>
        <w:shd w:val="clear" w:color="auto" w:fill="FFFFFF" w:themeFill="background1"/>
      </w:tcPr>
    </w:tblStylePr>
    <w:tblStylePr w:type="lastCol">
      <w:tblPr/>
      <w:tcPr>
        <w:tcBorders>
          <w:top w:val="nil"/>
          <w:left w:val="single" w:sz="8" w:space="0" w:color="353E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ED7" w:themeFill="accent1" w:themeFillTint="3F"/>
      </w:tcPr>
    </w:tblStylePr>
    <w:tblStylePr w:type="band1Horz">
      <w:tblPr/>
      <w:tcPr>
        <w:tcBorders>
          <w:top w:val="nil"/>
          <w:bottom w:val="nil"/>
          <w:insideH w:val="nil"/>
          <w:insideV w:val="nil"/>
        </w:tcBorders>
        <w:shd w:val="clear" w:color="auto" w:fill="C7CE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Ind w:w="0" w:type="dxa"/>
      <w:tblBorders>
        <w:top w:val="single" w:sz="8" w:space="0" w:color="AFA778" w:themeColor="accent2"/>
        <w:left w:val="single" w:sz="8" w:space="0" w:color="AFA778" w:themeColor="accent2"/>
        <w:bottom w:val="single" w:sz="8" w:space="0" w:color="AFA778" w:themeColor="accent2"/>
        <w:right w:val="single" w:sz="8" w:space="0" w:color="AFA778"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FA778" w:themeColor="accent2"/>
          <w:right w:val="nil"/>
          <w:insideH w:val="nil"/>
          <w:insideV w:val="nil"/>
        </w:tcBorders>
        <w:shd w:val="clear" w:color="auto" w:fill="FFFFFF" w:themeFill="background1"/>
      </w:tcPr>
    </w:tblStylePr>
    <w:tblStylePr w:type="lastRow">
      <w:tblPr/>
      <w:tcPr>
        <w:tcBorders>
          <w:top w:val="single" w:sz="8" w:space="0" w:color="AFA77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A778" w:themeColor="accent2"/>
          <w:insideH w:val="nil"/>
          <w:insideV w:val="nil"/>
        </w:tcBorders>
        <w:shd w:val="clear" w:color="auto" w:fill="FFFFFF" w:themeFill="background1"/>
      </w:tcPr>
    </w:tblStylePr>
    <w:tblStylePr w:type="lastCol">
      <w:tblPr/>
      <w:tcPr>
        <w:tcBorders>
          <w:top w:val="nil"/>
          <w:left w:val="single" w:sz="8" w:space="0" w:color="AFA77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9DD" w:themeFill="accent2" w:themeFillTint="3F"/>
      </w:tcPr>
    </w:tblStylePr>
    <w:tblStylePr w:type="band1Horz">
      <w:tblPr/>
      <w:tcPr>
        <w:tcBorders>
          <w:top w:val="nil"/>
          <w:bottom w:val="nil"/>
          <w:insideH w:val="nil"/>
          <w:insideV w:val="nil"/>
        </w:tcBorders>
        <w:shd w:val="clear" w:color="auto" w:fill="EBE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Ind w:w="0" w:type="dxa"/>
      <w:tblBorders>
        <w:top w:val="single" w:sz="8" w:space="0" w:color="34657F" w:themeColor="accent3"/>
        <w:left w:val="single" w:sz="8" w:space="0" w:color="34657F" w:themeColor="accent3"/>
        <w:bottom w:val="single" w:sz="8" w:space="0" w:color="34657F" w:themeColor="accent3"/>
        <w:right w:val="single" w:sz="8" w:space="0" w:color="34657F"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34657F" w:themeColor="accent3"/>
          <w:right w:val="nil"/>
          <w:insideH w:val="nil"/>
          <w:insideV w:val="nil"/>
        </w:tcBorders>
        <w:shd w:val="clear" w:color="auto" w:fill="FFFFFF" w:themeFill="background1"/>
      </w:tcPr>
    </w:tblStylePr>
    <w:tblStylePr w:type="lastRow">
      <w:tblPr/>
      <w:tcPr>
        <w:tcBorders>
          <w:top w:val="single" w:sz="8" w:space="0" w:color="34657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657F" w:themeColor="accent3"/>
          <w:insideH w:val="nil"/>
          <w:insideV w:val="nil"/>
        </w:tcBorders>
        <w:shd w:val="clear" w:color="auto" w:fill="FFFFFF" w:themeFill="background1"/>
      </w:tcPr>
    </w:tblStylePr>
    <w:tblStylePr w:type="lastCol">
      <w:tblPr/>
      <w:tcPr>
        <w:tcBorders>
          <w:top w:val="nil"/>
          <w:left w:val="single" w:sz="8" w:space="0" w:color="34657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DBE7" w:themeFill="accent3" w:themeFillTint="3F"/>
      </w:tcPr>
    </w:tblStylePr>
    <w:tblStylePr w:type="band1Horz">
      <w:tblPr/>
      <w:tcPr>
        <w:tcBorders>
          <w:top w:val="nil"/>
          <w:bottom w:val="nil"/>
          <w:insideH w:val="nil"/>
          <w:insideV w:val="nil"/>
        </w:tcBorders>
        <w:shd w:val="clear" w:color="auto" w:fill="C4DB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Ind w:w="0" w:type="dxa"/>
      <w:tblBorders>
        <w:top w:val="single" w:sz="8" w:space="0" w:color="BD9B60" w:themeColor="accent4"/>
        <w:left w:val="single" w:sz="8" w:space="0" w:color="BD9B60" w:themeColor="accent4"/>
        <w:bottom w:val="single" w:sz="8" w:space="0" w:color="BD9B60" w:themeColor="accent4"/>
        <w:right w:val="single" w:sz="8" w:space="0" w:color="BD9B6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D9B60" w:themeColor="accent4"/>
          <w:right w:val="nil"/>
          <w:insideH w:val="nil"/>
          <w:insideV w:val="nil"/>
        </w:tcBorders>
        <w:shd w:val="clear" w:color="auto" w:fill="FFFFFF" w:themeFill="background1"/>
      </w:tcPr>
    </w:tblStylePr>
    <w:tblStylePr w:type="lastRow">
      <w:tblPr/>
      <w:tcPr>
        <w:tcBorders>
          <w:top w:val="single" w:sz="8" w:space="0" w:color="BD9B6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D9B60" w:themeColor="accent4"/>
          <w:insideH w:val="nil"/>
          <w:insideV w:val="nil"/>
        </w:tcBorders>
        <w:shd w:val="clear" w:color="auto" w:fill="FFFFFF" w:themeFill="background1"/>
      </w:tcPr>
    </w:tblStylePr>
    <w:tblStylePr w:type="lastCol">
      <w:tblPr/>
      <w:tcPr>
        <w:tcBorders>
          <w:top w:val="nil"/>
          <w:left w:val="single" w:sz="8" w:space="0" w:color="BD9B6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6D7" w:themeFill="accent4" w:themeFillTint="3F"/>
      </w:tcPr>
    </w:tblStylePr>
    <w:tblStylePr w:type="band1Horz">
      <w:tblPr/>
      <w:tcPr>
        <w:tcBorders>
          <w:top w:val="nil"/>
          <w:bottom w:val="nil"/>
          <w:insideH w:val="nil"/>
          <w:insideV w:val="nil"/>
        </w:tcBorders>
        <w:shd w:val="clear" w:color="auto" w:fill="EEE6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Ind w:w="0" w:type="dxa"/>
      <w:tblBorders>
        <w:top w:val="single" w:sz="8" w:space="0" w:color="696158" w:themeColor="accent5"/>
        <w:left w:val="single" w:sz="8" w:space="0" w:color="696158" w:themeColor="accent5"/>
        <w:bottom w:val="single" w:sz="8" w:space="0" w:color="696158" w:themeColor="accent5"/>
        <w:right w:val="single" w:sz="8" w:space="0" w:color="696158"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96158" w:themeColor="accent5"/>
          <w:right w:val="nil"/>
          <w:insideH w:val="nil"/>
          <w:insideV w:val="nil"/>
        </w:tcBorders>
        <w:shd w:val="clear" w:color="auto" w:fill="FFFFFF" w:themeFill="background1"/>
      </w:tcPr>
    </w:tblStylePr>
    <w:tblStylePr w:type="lastRow">
      <w:tblPr/>
      <w:tcPr>
        <w:tcBorders>
          <w:top w:val="single" w:sz="8" w:space="0" w:color="69615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6158" w:themeColor="accent5"/>
          <w:insideH w:val="nil"/>
          <w:insideV w:val="nil"/>
        </w:tcBorders>
        <w:shd w:val="clear" w:color="auto" w:fill="FFFFFF" w:themeFill="background1"/>
      </w:tcPr>
    </w:tblStylePr>
    <w:tblStylePr w:type="lastCol">
      <w:tblPr/>
      <w:tcPr>
        <w:tcBorders>
          <w:top w:val="nil"/>
          <w:left w:val="single" w:sz="8" w:space="0" w:color="69615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8D4" w:themeFill="accent5" w:themeFillTint="3F"/>
      </w:tcPr>
    </w:tblStylePr>
    <w:tblStylePr w:type="band1Horz">
      <w:tblPr/>
      <w:tcPr>
        <w:tcBorders>
          <w:top w:val="nil"/>
          <w:bottom w:val="nil"/>
          <w:insideH w:val="nil"/>
          <w:insideV w:val="nil"/>
        </w:tcBorders>
        <w:shd w:val="clear" w:color="auto" w:fill="DBD8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Ind w:w="0" w:type="dxa"/>
      <w:tblBorders>
        <w:top w:val="single" w:sz="8" w:space="0" w:color="898D8D" w:themeColor="accent6"/>
        <w:left w:val="single" w:sz="8" w:space="0" w:color="898D8D" w:themeColor="accent6"/>
        <w:bottom w:val="single" w:sz="8" w:space="0" w:color="898D8D" w:themeColor="accent6"/>
        <w:right w:val="single" w:sz="8" w:space="0" w:color="898D8D"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98D8D" w:themeColor="accent6"/>
          <w:right w:val="nil"/>
          <w:insideH w:val="nil"/>
          <w:insideV w:val="nil"/>
        </w:tcBorders>
        <w:shd w:val="clear" w:color="auto" w:fill="FFFFFF" w:themeFill="background1"/>
      </w:tcPr>
    </w:tblStylePr>
    <w:tblStylePr w:type="lastRow">
      <w:tblPr/>
      <w:tcPr>
        <w:tcBorders>
          <w:top w:val="single" w:sz="8" w:space="0" w:color="898D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8D8D" w:themeColor="accent6"/>
          <w:insideH w:val="nil"/>
          <w:insideV w:val="nil"/>
        </w:tcBorders>
        <w:shd w:val="clear" w:color="auto" w:fill="FFFFFF" w:themeFill="background1"/>
      </w:tcPr>
    </w:tblStylePr>
    <w:tblStylePr w:type="lastCol">
      <w:tblPr/>
      <w:tcPr>
        <w:tcBorders>
          <w:top w:val="nil"/>
          <w:left w:val="single" w:sz="8" w:space="0" w:color="898D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2E2" w:themeFill="accent6" w:themeFillTint="3F"/>
      </w:tcPr>
    </w:tblStylePr>
    <w:tblStylePr w:type="band1Horz">
      <w:tblPr/>
      <w:tcPr>
        <w:tcBorders>
          <w:top w:val="nil"/>
          <w:bottom w:val="nil"/>
          <w:insideH w:val="nil"/>
          <w:insideV w:val="nil"/>
        </w:tcBorders>
        <w:shd w:val="clear" w:color="auto" w:fill="E1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Ind w:w="0" w:type="dxa"/>
      <w:tblBorders>
        <w:top w:val="single" w:sz="8" w:space="0" w:color="5D6D80" w:themeColor="accent1" w:themeTint="BF"/>
        <w:left w:val="single" w:sz="8" w:space="0" w:color="5D6D80" w:themeColor="accent1" w:themeTint="BF"/>
        <w:bottom w:val="single" w:sz="8" w:space="0" w:color="5D6D80" w:themeColor="accent1" w:themeTint="BF"/>
        <w:right w:val="single" w:sz="8" w:space="0" w:color="5D6D80" w:themeColor="accent1" w:themeTint="BF"/>
        <w:insideH w:val="single" w:sz="8" w:space="0" w:color="5D6D80" w:themeColor="accent1"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5D6D80" w:themeColor="accent1" w:themeTint="BF"/>
          <w:left w:val="single" w:sz="8" w:space="0" w:color="5D6D80" w:themeColor="accent1" w:themeTint="BF"/>
          <w:bottom w:val="single" w:sz="8" w:space="0" w:color="5D6D80" w:themeColor="accent1" w:themeTint="BF"/>
          <w:right w:val="single" w:sz="8" w:space="0" w:color="5D6D80" w:themeColor="accent1" w:themeTint="BF"/>
          <w:insideH w:val="nil"/>
          <w:insideV w:val="nil"/>
        </w:tcBorders>
        <w:shd w:val="clear" w:color="auto" w:fill="353E49" w:themeFill="accent1"/>
      </w:tcPr>
    </w:tblStylePr>
    <w:tblStylePr w:type="lastRow">
      <w:pPr>
        <w:spacing w:before="0" w:after="0" w:line="240" w:lineRule="auto"/>
      </w:pPr>
      <w:rPr>
        <w:b/>
        <w:bCs/>
      </w:rPr>
      <w:tblPr/>
      <w:tcPr>
        <w:tcBorders>
          <w:top w:val="double" w:sz="6" w:space="0" w:color="5D6D80" w:themeColor="accent1" w:themeTint="BF"/>
          <w:left w:val="single" w:sz="8" w:space="0" w:color="5D6D80" w:themeColor="accent1" w:themeTint="BF"/>
          <w:bottom w:val="single" w:sz="8" w:space="0" w:color="5D6D80" w:themeColor="accent1" w:themeTint="BF"/>
          <w:right w:val="single" w:sz="8" w:space="0" w:color="5D6D8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ED7" w:themeFill="accent1" w:themeFillTint="3F"/>
      </w:tcPr>
    </w:tblStylePr>
    <w:tblStylePr w:type="band1Horz">
      <w:tblPr/>
      <w:tcPr>
        <w:tcBorders>
          <w:insideH w:val="nil"/>
          <w:insideV w:val="nil"/>
        </w:tcBorders>
        <w:shd w:val="clear" w:color="auto" w:fill="C7CE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Ind w:w="0" w:type="dxa"/>
      <w:tblBorders>
        <w:top w:val="single" w:sz="8" w:space="0" w:color="C3BC99" w:themeColor="accent2" w:themeTint="BF"/>
        <w:left w:val="single" w:sz="8" w:space="0" w:color="C3BC99" w:themeColor="accent2" w:themeTint="BF"/>
        <w:bottom w:val="single" w:sz="8" w:space="0" w:color="C3BC99" w:themeColor="accent2" w:themeTint="BF"/>
        <w:right w:val="single" w:sz="8" w:space="0" w:color="C3BC99" w:themeColor="accent2" w:themeTint="BF"/>
        <w:insideH w:val="single" w:sz="8" w:space="0" w:color="C3BC99" w:themeColor="accent2"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3BC99" w:themeColor="accent2" w:themeTint="BF"/>
          <w:left w:val="single" w:sz="8" w:space="0" w:color="C3BC99" w:themeColor="accent2" w:themeTint="BF"/>
          <w:bottom w:val="single" w:sz="8" w:space="0" w:color="C3BC99" w:themeColor="accent2" w:themeTint="BF"/>
          <w:right w:val="single" w:sz="8" w:space="0" w:color="C3BC99" w:themeColor="accent2" w:themeTint="BF"/>
          <w:insideH w:val="nil"/>
          <w:insideV w:val="nil"/>
        </w:tcBorders>
        <w:shd w:val="clear" w:color="auto" w:fill="AFA778" w:themeFill="accent2"/>
      </w:tcPr>
    </w:tblStylePr>
    <w:tblStylePr w:type="lastRow">
      <w:pPr>
        <w:spacing w:before="0" w:after="0" w:line="240" w:lineRule="auto"/>
      </w:pPr>
      <w:rPr>
        <w:b/>
        <w:bCs/>
      </w:rPr>
      <w:tblPr/>
      <w:tcPr>
        <w:tcBorders>
          <w:top w:val="double" w:sz="6" w:space="0" w:color="C3BC99" w:themeColor="accent2" w:themeTint="BF"/>
          <w:left w:val="single" w:sz="8" w:space="0" w:color="C3BC99" w:themeColor="accent2" w:themeTint="BF"/>
          <w:bottom w:val="single" w:sz="8" w:space="0" w:color="C3BC99" w:themeColor="accent2" w:themeTint="BF"/>
          <w:right w:val="single" w:sz="8" w:space="0" w:color="C3BC9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9DD" w:themeFill="accent2" w:themeFillTint="3F"/>
      </w:tcPr>
    </w:tblStylePr>
    <w:tblStylePr w:type="band1Horz">
      <w:tblPr/>
      <w:tcPr>
        <w:tcBorders>
          <w:insideH w:val="nil"/>
          <w:insideV w:val="nil"/>
        </w:tcBorders>
        <w:shd w:val="clear" w:color="auto" w:fill="EBE9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Ind w:w="0" w:type="dxa"/>
      <w:tblBorders>
        <w:top w:val="single" w:sz="8" w:space="0" w:color="4F92B7" w:themeColor="accent3" w:themeTint="BF"/>
        <w:left w:val="single" w:sz="8" w:space="0" w:color="4F92B7" w:themeColor="accent3" w:themeTint="BF"/>
        <w:bottom w:val="single" w:sz="8" w:space="0" w:color="4F92B7" w:themeColor="accent3" w:themeTint="BF"/>
        <w:right w:val="single" w:sz="8" w:space="0" w:color="4F92B7" w:themeColor="accent3" w:themeTint="BF"/>
        <w:insideH w:val="single" w:sz="8" w:space="0" w:color="4F92B7" w:themeColor="accent3"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F92B7" w:themeColor="accent3" w:themeTint="BF"/>
          <w:left w:val="single" w:sz="8" w:space="0" w:color="4F92B7" w:themeColor="accent3" w:themeTint="BF"/>
          <w:bottom w:val="single" w:sz="8" w:space="0" w:color="4F92B7" w:themeColor="accent3" w:themeTint="BF"/>
          <w:right w:val="single" w:sz="8" w:space="0" w:color="4F92B7" w:themeColor="accent3" w:themeTint="BF"/>
          <w:insideH w:val="nil"/>
          <w:insideV w:val="nil"/>
        </w:tcBorders>
        <w:shd w:val="clear" w:color="auto" w:fill="34657F" w:themeFill="accent3"/>
      </w:tcPr>
    </w:tblStylePr>
    <w:tblStylePr w:type="lastRow">
      <w:pPr>
        <w:spacing w:before="0" w:after="0" w:line="240" w:lineRule="auto"/>
      </w:pPr>
      <w:rPr>
        <w:b/>
        <w:bCs/>
      </w:rPr>
      <w:tblPr/>
      <w:tcPr>
        <w:tcBorders>
          <w:top w:val="double" w:sz="6" w:space="0" w:color="4F92B7" w:themeColor="accent3" w:themeTint="BF"/>
          <w:left w:val="single" w:sz="8" w:space="0" w:color="4F92B7" w:themeColor="accent3" w:themeTint="BF"/>
          <w:bottom w:val="single" w:sz="8" w:space="0" w:color="4F92B7" w:themeColor="accent3" w:themeTint="BF"/>
          <w:right w:val="single" w:sz="8" w:space="0" w:color="4F92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C4DBE7" w:themeFill="accent3" w:themeFillTint="3F"/>
      </w:tcPr>
    </w:tblStylePr>
    <w:tblStylePr w:type="band1Horz">
      <w:tblPr/>
      <w:tcPr>
        <w:tcBorders>
          <w:insideH w:val="nil"/>
          <w:insideV w:val="nil"/>
        </w:tcBorders>
        <w:shd w:val="clear" w:color="auto" w:fill="C4DB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Ind w:w="0" w:type="dxa"/>
      <w:tblBorders>
        <w:top w:val="single" w:sz="8" w:space="0" w:color="CDB387" w:themeColor="accent4" w:themeTint="BF"/>
        <w:left w:val="single" w:sz="8" w:space="0" w:color="CDB387" w:themeColor="accent4" w:themeTint="BF"/>
        <w:bottom w:val="single" w:sz="8" w:space="0" w:color="CDB387" w:themeColor="accent4" w:themeTint="BF"/>
        <w:right w:val="single" w:sz="8" w:space="0" w:color="CDB387" w:themeColor="accent4" w:themeTint="BF"/>
        <w:insideH w:val="single" w:sz="8" w:space="0" w:color="CDB387" w:themeColor="accent4"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DB387" w:themeColor="accent4" w:themeTint="BF"/>
          <w:left w:val="single" w:sz="8" w:space="0" w:color="CDB387" w:themeColor="accent4" w:themeTint="BF"/>
          <w:bottom w:val="single" w:sz="8" w:space="0" w:color="CDB387" w:themeColor="accent4" w:themeTint="BF"/>
          <w:right w:val="single" w:sz="8" w:space="0" w:color="CDB387" w:themeColor="accent4" w:themeTint="BF"/>
          <w:insideH w:val="nil"/>
          <w:insideV w:val="nil"/>
        </w:tcBorders>
        <w:shd w:val="clear" w:color="auto" w:fill="BD9B60" w:themeFill="accent4"/>
      </w:tcPr>
    </w:tblStylePr>
    <w:tblStylePr w:type="lastRow">
      <w:pPr>
        <w:spacing w:before="0" w:after="0" w:line="240" w:lineRule="auto"/>
      </w:pPr>
      <w:rPr>
        <w:b/>
        <w:bCs/>
      </w:rPr>
      <w:tblPr/>
      <w:tcPr>
        <w:tcBorders>
          <w:top w:val="double" w:sz="6" w:space="0" w:color="CDB387" w:themeColor="accent4" w:themeTint="BF"/>
          <w:left w:val="single" w:sz="8" w:space="0" w:color="CDB387" w:themeColor="accent4" w:themeTint="BF"/>
          <w:bottom w:val="single" w:sz="8" w:space="0" w:color="CDB387" w:themeColor="accent4" w:themeTint="BF"/>
          <w:right w:val="single" w:sz="8" w:space="0" w:color="CDB38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EE6D7" w:themeFill="accent4" w:themeFillTint="3F"/>
      </w:tcPr>
    </w:tblStylePr>
    <w:tblStylePr w:type="band1Horz">
      <w:tblPr/>
      <w:tcPr>
        <w:tcBorders>
          <w:insideH w:val="nil"/>
          <w:insideV w:val="nil"/>
        </w:tcBorders>
        <w:shd w:val="clear" w:color="auto" w:fill="EEE6D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Ind w:w="0" w:type="dxa"/>
      <w:tblBorders>
        <w:top w:val="single" w:sz="8" w:space="0" w:color="92887D" w:themeColor="accent5" w:themeTint="BF"/>
        <w:left w:val="single" w:sz="8" w:space="0" w:color="92887D" w:themeColor="accent5" w:themeTint="BF"/>
        <w:bottom w:val="single" w:sz="8" w:space="0" w:color="92887D" w:themeColor="accent5" w:themeTint="BF"/>
        <w:right w:val="single" w:sz="8" w:space="0" w:color="92887D" w:themeColor="accent5" w:themeTint="BF"/>
        <w:insideH w:val="single" w:sz="8" w:space="0" w:color="92887D" w:themeColor="accent5"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2887D" w:themeColor="accent5" w:themeTint="BF"/>
          <w:left w:val="single" w:sz="8" w:space="0" w:color="92887D" w:themeColor="accent5" w:themeTint="BF"/>
          <w:bottom w:val="single" w:sz="8" w:space="0" w:color="92887D" w:themeColor="accent5" w:themeTint="BF"/>
          <w:right w:val="single" w:sz="8" w:space="0" w:color="92887D" w:themeColor="accent5" w:themeTint="BF"/>
          <w:insideH w:val="nil"/>
          <w:insideV w:val="nil"/>
        </w:tcBorders>
        <w:shd w:val="clear" w:color="auto" w:fill="696158" w:themeFill="accent5"/>
      </w:tcPr>
    </w:tblStylePr>
    <w:tblStylePr w:type="lastRow">
      <w:pPr>
        <w:spacing w:before="0" w:after="0" w:line="240" w:lineRule="auto"/>
      </w:pPr>
      <w:rPr>
        <w:b/>
        <w:bCs/>
      </w:rPr>
      <w:tblPr/>
      <w:tcPr>
        <w:tcBorders>
          <w:top w:val="double" w:sz="6" w:space="0" w:color="92887D" w:themeColor="accent5" w:themeTint="BF"/>
          <w:left w:val="single" w:sz="8" w:space="0" w:color="92887D" w:themeColor="accent5" w:themeTint="BF"/>
          <w:bottom w:val="single" w:sz="8" w:space="0" w:color="92887D" w:themeColor="accent5" w:themeTint="BF"/>
          <w:right w:val="single" w:sz="8" w:space="0" w:color="9288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D8D4" w:themeFill="accent5" w:themeFillTint="3F"/>
      </w:tcPr>
    </w:tblStylePr>
    <w:tblStylePr w:type="band1Horz">
      <w:tblPr/>
      <w:tcPr>
        <w:tcBorders>
          <w:insideH w:val="nil"/>
          <w:insideV w:val="nil"/>
        </w:tcBorders>
        <w:shd w:val="clear" w:color="auto" w:fill="DBD8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Ind w:w="0" w:type="dxa"/>
      <w:tblBorders>
        <w:top w:val="single" w:sz="8" w:space="0" w:color="A6A9A9" w:themeColor="accent6" w:themeTint="BF"/>
        <w:left w:val="single" w:sz="8" w:space="0" w:color="A6A9A9" w:themeColor="accent6" w:themeTint="BF"/>
        <w:bottom w:val="single" w:sz="8" w:space="0" w:color="A6A9A9" w:themeColor="accent6" w:themeTint="BF"/>
        <w:right w:val="single" w:sz="8" w:space="0" w:color="A6A9A9" w:themeColor="accent6" w:themeTint="BF"/>
        <w:insideH w:val="single" w:sz="8" w:space="0" w:color="A6A9A9" w:themeColor="accent6"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6A9A9" w:themeColor="accent6" w:themeTint="BF"/>
          <w:left w:val="single" w:sz="8" w:space="0" w:color="A6A9A9" w:themeColor="accent6" w:themeTint="BF"/>
          <w:bottom w:val="single" w:sz="8" w:space="0" w:color="A6A9A9" w:themeColor="accent6" w:themeTint="BF"/>
          <w:right w:val="single" w:sz="8" w:space="0" w:color="A6A9A9" w:themeColor="accent6" w:themeTint="BF"/>
          <w:insideH w:val="nil"/>
          <w:insideV w:val="nil"/>
        </w:tcBorders>
        <w:shd w:val="clear" w:color="auto" w:fill="898D8D" w:themeFill="accent6"/>
      </w:tcPr>
    </w:tblStylePr>
    <w:tblStylePr w:type="lastRow">
      <w:pPr>
        <w:spacing w:before="0" w:after="0" w:line="240" w:lineRule="auto"/>
      </w:pPr>
      <w:rPr>
        <w:b/>
        <w:bCs/>
      </w:rPr>
      <w:tblPr/>
      <w:tcPr>
        <w:tcBorders>
          <w:top w:val="double" w:sz="6" w:space="0" w:color="A6A9A9" w:themeColor="accent6" w:themeTint="BF"/>
          <w:left w:val="single" w:sz="8" w:space="0" w:color="A6A9A9" w:themeColor="accent6" w:themeTint="BF"/>
          <w:bottom w:val="single" w:sz="8" w:space="0" w:color="A6A9A9" w:themeColor="accent6" w:themeTint="BF"/>
          <w:right w:val="single" w:sz="8" w:space="0" w:color="A6A9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E1E2E2" w:themeFill="accent6" w:themeFillTint="3F"/>
      </w:tcPr>
    </w:tblStylePr>
    <w:tblStylePr w:type="band1Horz">
      <w:tblPr/>
      <w:tcPr>
        <w:tcBorders>
          <w:insideH w:val="nil"/>
          <w:insideV w:val="nil"/>
        </w:tcBorders>
        <w:shd w:val="clear" w:color="auto" w:fill="E1E2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53E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53E49" w:themeFill="accent1"/>
      </w:tcPr>
    </w:tblStylePr>
    <w:tblStylePr w:type="lastCol">
      <w:rPr>
        <w:b/>
        <w:bCs/>
        <w:color w:val="FFFFFF" w:themeColor="background1"/>
      </w:rPr>
      <w:tblPr/>
      <w:tcPr>
        <w:tcBorders>
          <w:left w:val="nil"/>
          <w:right w:val="nil"/>
          <w:insideH w:val="nil"/>
          <w:insideV w:val="nil"/>
        </w:tcBorders>
        <w:shd w:val="clear" w:color="auto" w:fill="353E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FA77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A778" w:themeFill="accent2"/>
      </w:tcPr>
    </w:tblStylePr>
    <w:tblStylePr w:type="lastCol">
      <w:rPr>
        <w:b/>
        <w:bCs/>
        <w:color w:val="FFFFFF" w:themeColor="background1"/>
      </w:rPr>
      <w:tblPr/>
      <w:tcPr>
        <w:tcBorders>
          <w:left w:val="nil"/>
          <w:right w:val="nil"/>
          <w:insideH w:val="nil"/>
          <w:insideV w:val="nil"/>
        </w:tcBorders>
        <w:shd w:val="clear" w:color="auto" w:fill="AFA77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4657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657F" w:themeFill="accent3"/>
      </w:tcPr>
    </w:tblStylePr>
    <w:tblStylePr w:type="lastCol">
      <w:rPr>
        <w:b/>
        <w:bCs/>
        <w:color w:val="FFFFFF" w:themeColor="background1"/>
      </w:rPr>
      <w:tblPr/>
      <w:tcPr>
        <w:tcBorders>
          <w:left w:val="nil"/>
          <w:right w:val="nil"/>
          <w:insideH w:val="nil"/>
          <w:insideV w:val="nil"/>
        </w:tcBorders>
        <w:shd w:val="clear" w:color="auto" w:fill="34657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D9B6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D9B60" w:themeFill="accent4"/>
      </w:tcPr>
    </w:tblStylePr>
    <w:tblStylePr w:type="lastCol">
      <w:rPr>
        <w:b/>
        <w:bCs/>
        <w:color w:val="FFFFFF" w:themeColor="background1"/>
      </w:rPr>
      <w:tblPr/>
      <w:tcPr>
        <w:tcBorders>
          <w:left w:val="nil"/>
          <w:right w:val="nil"/>
          <w:insideH w:val="nil"/>
          <w:insideV w:val="nil"/>
        </w:tcBorders>
        <w:shd w:val="clear" w:color="auto" w:fill="BD9B6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9615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96158" w:themeFill="accent5"/>
      </w:tcPr>
    </w:tblStylePr>
    <w:tblStylePr w:type="lastCol">
      <w:rPr>
        <w:b/>
        <w:bCs/>
        <w:color w:val="FFFFFF" w:themeColor="background1"/>
      </w:rPr>
      <w:tblPr/>
      <w:tcPr>
        <w:tcBorders>
          <w:left w:val="nil"/>
          <w:right w:val="nil"/>
          <w:insideH w:val="nil"/>
          <w:insideV w:val="nil"/>
        </w:tcBorders>
        <w:shd w:val="clear" w:color="auto" w:fill="69615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98D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98D8D" w:themeFill="accent6"/>
      </w:tcPr>
    </w:tblStylePr>
    <w:tblStylePr w:type="lastCol">
      <w:rPr>
        <w:b/>
        <w:bCs/>
        <w:color w:val="FFFFFF" w:themeColor="background1"/>
      </w:rPr>
      <w:tblPr/>
      <w:tcPr>
        <w:tcBorders>
          <w:left w:val="nil"/>
          <w:right w:val="nil"/>
          <w:insideH w:val="nil"/>
          <w:insideV w:val="nil"/>
        </w:tcBorders>
        <w:shd w:val="clear" w:color="auto" w:fill="898D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9"/>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DefaultParagraphFont"/>
    <w:uiPriority w:val="11"/>
    <w:semiHidden/>
    <w:rsid w:val="00706B41"/>
    <w:rPr>
      <w:rFonts w:asciiTheme="minorHAnsi" w:hAnsiTheme="minorHAnsi" w:cstheme="minorHAnsi"/>
      <w:color w:val="808080"/>
    </w:rPr>
  </w:style>
  <w:style w:type="paragraph" w:styleId="PlainText">
    <w:name w:val="Plain Text"/>
    <w:basedOn w:val="Normal"/>
    <w:link w:val="PlainTextChar"/>
    <w:uiPriority w:val="97"/>
    <w:semiHidden/>
    <w:rsid w:val="00706B41"/>
    <w:pPr>
      <w:spacing w:after="0" w:line="240" w:lineRule="auto"/>
    </w:pPr>
    <w:rPr>
      <w:sz w:val="21"/>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353E49"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353E49"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AFA778" w:themeColor="accent2"/>
      <w:u w:val="single"/>
    </w:rPr>
  </w:style>
  <w:style w:type="table" w:styleId="Table3Deffects1">
    <w:name w:val="Table 3D effects 1"/>
    <w:basedOn w:val="TableNormal"/>
    <w:uiPriority w:val="98"/>
    <w:semiHidden/>
    <w:rsid w:val="00706B41"/>
    <w:pPr>
      <w:spacing w:after="140" w:line="280" w:lineRule="atLeast"/>
    </w:pPr>
    <w:tblPr>
      <w:tblInd w:w="0" w:type="dxa"/>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Ind w:w="0" w:type="dxa"/>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semiHidden/>
    <w:rsid w:val="00706B41"/>
    <w:pPr>
      <w:spacing w:after="14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Ind w:w="0" w:type="dxa"/>
      <w:tblBorders>
        <w:bottom w:val="single" w:sz="12" w:space="0" w:color="808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353E49" w:themeColor="accent1"/>
      </w:pBdr>
      <w:spacing w:after="300" w:line="240" w:lineRule="auto"/>
    </w:pPr>
    <w:rPr>
      <w:rFonts w:eastAsiaTheme="majorEastAsia"/>
      <w:color w:val="002149"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002149"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39"/>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39"/>
    <w:unhideWhenUsed/>
    <w:qFormat/>
    <w:rsid w:val="00706B41"/>
    <w:pPr>
      <w:keepLines/>
      <w:framePr w:wrap="around"/>
      <w:spacing w:before="480" w:after="0" w:line="280" w:lineRule="atLeast"/>
      <w:outlineLvl w:val="9"/>
    </w:pPr>
    <w:rPr>
      <w:rFonts w:eastAsiaTheme="majorEastAsia"/>
      <w:b/>
      <w:color w:val="272E36" w:themeColor="accent1" w:themeShade="BF"/>
      <w:sz w:val="28"/>
      <w:szCs w:val="28"/>
    </w:rPr>
  </w:style>
  <w:style w:type="table" w:customStyle="1" w:styleId="LayoutGrid">
    <w:name w:val="Layout Grid"/>
    <w:basedOn w:val="TableNormal"/>
    <w:uiPriority w:val="99"/>
    <w:rsid w:val="002A6F0E"/>
    <w:tblPr>
      <w:tblInd w:w="0" w:type="dxa"/>
      <w:tblCellMar>
        <w:top w:w="0" w:type="dxa"/>
        <w:left w:w="0" w:type="dxa"/>
        <w:bottom w:w="0" w:type="dxa"/>
        <w:right w:w="0" w:type="dxa"/>
      </w:tblCellMar>
    </w:tblPr>
  </w:style>
  <w:style w:type="paragraph" w:customStyle="1" w:styleId="PulloutQuote">
    <w:name w:val="PulloutQuote"/>
    <w:basedOn w:val="Normal"/>
    <w:qFormat/>
    <w:rsid w:val="002A6F0E"/>
    <w:pPr>
      <w:ind w:left="113" w:right="113"/>
    </w:pPr>
  </w:style>
  <w:style w:type="table" w:customStyle="1" w:styleId="Details">
    <w:name w:val="Details"/>
    <w:basedOn w:val="TableNormal"/>
    <w:uiPriority w:val="99"/>
    <w:rsid w:val="00112DBC"/>
    <w:rPr>
      <w:rFonts w:ascii="Arial" w:eastAsiaTheme="minorHAnsi" w:hAnsi="Arial"/>
      <w:lang w:val="en-AU" w:eastAsia="en-US"/>
    </w:rPr>
    <w:tblPr>
      <w:tblInd w:w="0" w:type="dxa"/>
      <w:tblCellMar>
        <w:top w:w="0" w:type="dxa"/>
        <w:left w:w="108" w:type="dxa"/>
        <w:bottom w:w="0" w:type="dxa"/>
        <w:right w:w="108" w:type="dxa"/>
      </w:tblCellMar>
    </w:tblPr>
  </w:style>
  <w:style w:type="table" w:customStyle="1" w:styleId="TableCompany">
    <w:name w:val="Table_Company"/>
    <w:basedOn w:val="TableNormal"/>
    <w:uiPriority w:val="99"/>
    <w:rsid w:val="00FF3F5D"/>
    <w:rPr>
      <w:rFonts w:asciiTheme="minorHAnsi" w:hAnsiTheme="minorHAnsi"/>
    </w:rPr>
    <w:tblPr>
      <w:tblInd w:w="0" w:type="dxa"/>
      <w:tblBorders>
        <w:top w:val="single" w:sz="4" w:space="0" w:color="auto"/>
        <w:bottom w:val="single" w:sz="4" w:space="0" w:color="auto"/>
        <w:insideH w:val="single" w:sz="4" w:space="0" w:color="auto"/>
      </w:tblBorders>
      <w:tblCellMar>
        <w:top w:w="0" w:type="dxa"/>
        <w:left w:w="0" w:type="dxa"/>
        <w:bottom w:w="0" w:type="dxa"/>
        <w:right w:w="0" w:type="dxa"/>
      </w:tblCellMar>
    </w:tblPr>
  </w:style>
  <w:style w:type="character" w:customStyle="1" w:styleId="HeaderChar">
    <w:name w:val="Header Char"/>
    <w:basedOn w:val="DefaultParagraphFont"/>
    <w:link w:val="Header"/>
    <w:uiPriority w:val="9"/>
    <w:rsid w:val="00CE6F73"/>
    <w:rPr>
      <w:rFonts w:asciiTheme="minorHAnsi" w:hAnsiTheme="minorHAnsi" w:cstheme="minorHAnsi"/>
      <w:sz w:val="14"/>
      <w:szCs w:val="24"/>
      <w:lang w:val="en-AU" w:eastAsia="ja-JP"/>
    </w:rPr>
  </w:style>
  <w:style w:type="character" w:customStyle="1" w:styleId="FooterChar">
    <w:name w:val="Footer Char"/>
    <w:basedOn w:val="DefaultParagraphFont"/>
    <w:link w:val="Footer"/>
    <w:uiPriority w:val="9"/>
    <w:rsid w:val="00CE6F73"/>
    <w:rPr>
      <w:rFonts w:asciiTheme="minorHAnsi" w:hAnsiTheme="minorHAnsi" w:cstheme="minorHAnsi"/>
      <w:sz w:val="14"/>
      <w:szCs w:val="24"/>
      <w:lang w:val="en-AU" w:eastAsia="ja-JP"/>
    </w:rPr>
  </w:style>
  <w:style w:type="character" w:customStyle="1" w:styleId="apple-tab-span">
    <w:name w:val="apple-tab-span"/>
    <w:basedOn w:val="DefaultParagraphFont"/>
    <w:rsid w:val="00ED6446"/>
  </w:style>
  <w:style w:type="paragraph" w:styleId="Revision">
    <w:name w:val="Revision"/>
    <w:hidden/>
    <w:uiPriority w:val="99"/>
    <w:semiHidden/>
    <w:rsid w:val="00726F64"/>
    <w:rPr>
      <w:rFonts w:asciiTheme="minorHAnsi" w:hAnsiTheme="minorHAnsi" w:cstheme="minorHAnsi"/>
      <w:szCs w:val="24"/>
      <w:lang w:val="en-AU"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8"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97"/>
    <w:lsdException w:name="index 2" w:uiPriority="97"/>
    <w:lsdException w:name="index 3" w:uiPriority="97"/>
    <w:lsdException w:name="index 4" w:uiPriority="97"/>
    <w:lsdException w:name="index 5" w:uiPriority="97"/>
    <w:lsdException w:name="index 6" w:uiPriority="97"/>
    <w:lsdException w:name="index 7" w:uiPriority="97"/>
    <w:lsdException w:name="index 8" w:uiPriority="97"/>
    <w:lsdException w:name="index 9" w:uiPriority="97"/>
    <w:lsdException w:name="toc 1" w:uiPriority="39"/>
    <w:lsdException w:name="toc 2" w:uiPriority="39"/>
    <w:lsdException w:name="toc 3" w:uiPriority="39"/>
    <w:lsdException w:name="toc 4" w:uiPriority="97"/>
    <w:lsdException w:name="toc 5" w:uiPriority="97"/>
    <w:lsdException w:name="toc 6" w:uiPriority="97"/>
    <w:lsdException w:name="toc 7" w:uiPriority="97"/>
    <w:lsdException w:name="toc 8" w:uiPriority="97"/>
    <w:lsdException w:name="toc 9" w:uiPriority="97"/>
    <w:lsdException w:name="Normal Indent" w:uiPriority="0"/>
    <w:lsdException w:name="footnote text" w:uiPriority="97"/>
    <w:lsdException w:name="annotation text" w:uiPriority="97"/>
    <w:lsdException w:name="header" w:uiPriority="9"/>
    <w:lsdException w:name="footer" w:uiPriority="9"/>
    <w:lsdException w:name="index heading" w:uiPriority="97"/>
    <w:lsdException w:name="caption" w:uiPriority="97" w:qFormat="1"/>
    <w:lsdException w:name="table of figures" w:uiPriority="97"/>
    <w:lsdException w:name="envelope address" w:uiPriority="97"/>
    <w:lsdException w:name="envelope return" w:uiPriority="97"/>
    <w:lsdException w:name="footnote reference" w:uiPriority="97"/>
    <w:lsdException w:name="annotation reference" w:uiPriority="97"/>
    <w:lsdException w:name="line number" w:uiPriority="97"/>
    <w:lsdException w:name="page number" w:uiPriority="97"/>
    <w:lsdException w:name="endnote reference" w:uiPriority="97"/>
    <w:lsdException w:name="endnote text" w:uiPriority="97"/>
    <w:lsdException w:name="table of authorities" w:uiPriority="97"/>
    <w:lsdException w:name="macro" w:uiPriority="97"/>
    <w:lsdException w:name="toa heading" w:uiPriority="97"/>
    <w:lsdException w:name="List" w:uiPriority="4"/>
    <w:lsdException w:name="List Bullet" w:uiPriority="2"/>
    <w:lsdException w:name="List Number" w:semiHidden="0" w:uiPriority="3" w:unhideWhenUsed="0"/>
    <w:lsdException w:name="List 2" w:uiPriority="4"/>
    <w:lsdException w:name="List 3" w:uiPriority="4"/>
    <w:lsdException w:name="List 4" w:semiHidden="0" w:uiPriority="4" w:unhideWhenUsed="0"/>
    <w:lsdException w:name="List 5" w:semiHidden="0" w:uiPriority="4" w:unhideWhenUsed="0"/>
    <w:lsdException w:name="List Bullet 2" w:uiPriority="2"/>
    <w:lsdException w:name="List Bullet 3" w:uiPriority="2"/>
    <w:lsdException w:name="List Bullet 4" w:uiPriority="2"/>
    <w:lsdException w:name="List Bullet 5" w:uiPriority="2"/>
    <w:lsdException w:name="List Number 2" w:uiPriority="3"/>
    <w:lsdException w:name="List Number 3" w:uiPriority="3"/>
    <w:lsdException w:name="List Number 4" w:uiPriority="3"/>
    <w:lsdException w:name="List Number 5" w:uiPriority="3"/>
    <w:lsdException w:name="Title" w:semiHidden="0" w:uiPriority="97" w:unhideWhenUsed="0"/>
    <w:lsdException w:name="Closing" w:uiPriority="97"/>
    <w:lsdException w:name="Signature" w:uiPriority="97"/>
    <w:lsdException w:name="Default Paragraph Font" w:uiPriority="97"/>
    <w:lsdException w:name="Body Text" w:uiPriority="97"/>
    <w:lsdException w:name="Body Text Indent" w:uiPriority="97"/>
    <w:lsdException w:name="List Continue" w:uiPriority="10"/>
    <w:lsdException w:name="List Continue 2" w:uiPriority="10"/>
    <w:lsdException w:name="List Continue 3" w:uiPriority="10"/>
    <w:lsdException w:name="List Continue 4" w:uiPriority="10"/>
    <w:lsdException w:name="List Continue 5" w:uiPriority="10"/>
    <w:lsdException w:name="Message Header" w:uiPriority="97"/>
    <w:lsdException w:name="Subtitle" w:semiHidden="0" w:uiPriority="97" w:unhideWhenUsed="0"/>
    <w:lsdException w:name="Salutation" w:semiHidden="0" w:uiPriority="97" w:unhideWhenUsed="0"/>
    <w:lsdException w:name="Date" w:semiHidden="0" w:uiPriority="97" w:unhideWhenUsed="0"/>
    <w:lsdException w:name="Body Text First Indent" w:semiHidden="0" w:uiPriority="97" w:unhideWhenUsed="0"/>
    <w:lsdException w:name="Body Text First Indent 2" w:uiPriority="97"/>
    <w:lsdException w:name="Note Heading" w:uiPriority="97"/>
    <w:lsdException w:name="Body Text 2" w:uiPriority="97"/>
    <w:lsdException w:name="Body Text 3" w:uiPriority="97"/>
    <w:lsdException w:name="Body Text Indent 2" w:uiPriority="97"/>
    <w:lsdException w:name="Body Text Indent 3" w:uiPriority="97"/>
    <w:lsdException w:name="Block Text" w:uiPriority="97"/>
    <w:lsdException w:name="Hyperlink" w:uiPriority="99"/>
    <w:lsdException w:name="FollowedHyperlink" w:uiPriority="97"/>
    <w:lsdException w:name="Strong" w:semiHidden="0" w:uiPriority="97" w:unhideWhenUsed="0"/>
    <w:lsdException w:name="Emphasis" w:semiHidden="0" w:uiPriority="97" w:unhideWhenUsed="0"/>
    <w:lsdException w:name="Document Map" w:uiPriority="97"/>
    <w:lsdException w:name="Plain Text" w:uiPriority="97"/>
    <w:lsdException w:name="E-mail Signature" w:uiPriority="97"/>
    <w:lsdException w:name="HTML Top of Form" w:uiPriority="0"/>
    <w:lsdException w:name="HTML Bottom of Form" w:uiPriority="0"/>
    <w:lsdException w:name="Normal (Web)" w:uiPriority="99"/>
    <w:lsdException w:name="HTML Acronym" w:uiPriority="97"/>
    <w:lsdException w:name="HTML Address" w:uiPriority="97"/>
    <w:lsdException w:name="HTML Cite" w:uiPriority="97"/>
    <w:lsdException w:name="HTML Code" w:uiPriority="97"/>
    <w:lsdException w:name="HTML Definition" w:uiPriority="97"/>
    <w:lsdException w:name="HTML Keyboard" w:uiPriority="97"/>
    <w:lsdException w:name="HTML Preformatted" w:uiPriority="97"/>
    <w:lsdException w:name="HTML Sample" w:uiPriority="97"/>
    <w:lsdException w:name="HTML Typewriter" w:uiPriority="97"/>
    <w:lsdException w:name="HTML Variable" w:uiPriority="97"/>
    <w:lsdException w:name="annotation subject" w:uiPriority="97"/>
    <w:lsdException w:name="No List" w:uiPriority="97"/>
    <w:lsdException w:name="Outline List 1" w:uiPriority="97"/>
    <w:lsdException w:name="Outline List 2" w:uiPriority="97"/>
    <w:lsdException w:name="Outline List 3" w:uiPriority="97"/>
    <w:lsdException w:name="Balloon Text" w:uiPriority="97"/>
    <w:lsdException w:name="Table Grid" w:semiHidden="0" w:unhideWhenUsed="0"/>
    <w:lsdException w:name="Placeholder Text" w:uiPriority="97" w:unhideWhenUsed="0"/>
    <w:lsdException w:name="No Spacing" w:semiHidden="0" w:uiPriority="97"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4" w:unhideWhenUsed="0"/>
    <w:lsdException w:name="Quote" w:semiHidden="0" w:uiPriority="97" w:unhideWhenUsed="0"/>
    <w:lsdException w:name="Intense Quote" w:semiHidden="0" w:uiPriority="97"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97" w:unhideWhenUsed="0"/>
    <w:lsdException w:name="Intense Emphasis" w:semiHidden="0" w:uiPriority="97" w:unhideWhenUsed="0"/>
    <w:lsdException w:name="Subtle Reference" w:semiHidden="0" w:uiPriority="97" w:unhideWhenUsed="0"/>
    <w:lsdException w:name="Intense Reference" w:semiHidden="0" w:uiPriority="97" w:unhideWhenUsed="0"/>
    <w:lsdException w:name="Book Title" w:semiHidden="0" w:uiPriority="97" w:unhideWhenUsed="0"/>
    <w:lsdException w:name="Bibliography" w:uiPriority="97"/>
    <w:lsdException w:name="TOC Heading" w:uiPriority="39" w:qFormat="1"/>
  </w:latentStyles>
  <w:style w:type="paragraph" w:default="1" w:styleId="Normal">
    <w:name w:val="Normal"/>
    <w:qFormat/>
    <w:rsid w:val="00FF3F5D"/>
    <w:pPr>
      <w:spacing w:after="240" w:line="240" w:lineRule="atLeast"/>
    </w:pPr>
    <w:rPr>
      <w:rFonts w:asciiTheme="minorHAnsi" w:hAnsiTheme="minorHAnsi" w:cstheme="minorHAnsi"/>
      <w:szCs w:val="24"/>
      <w:lang w:val="en-AU" w:eastAsia="ja-JP"/>
    </w:rPr>
  </w:style>
  <w:style w:type="paragraph" w:styleId="Heading1">
    <w:name w:val="heading 1"/>
    <w:basedOn w:val="Normal"/>
    <w:next w:val="Normal"/>
    <w:uiPriority w:val="1"/>
    <w:qFormat/>
    <w:rsid w:val="007C0653"/>
    <w:pPr>
      <w:keepNext/>
      <w:pageBreakBefore/>
      <w:framePr w:w="14459" w:wrap="around" w:vAnchor="text" w:hAnchor="text" w:y="1"/>
      <w:spacing w:after="180" w:line="240" w:lineRule="auto"/>
      <w:outlineLvl w:val="0"/>
    </w:pPr>
    <w:rPr>
      <w:rFonts w:asciiTheme="majorHAnsi" w:hAnsiTheme="majorHAnsi" w:cstheme="majorHAnsi"/>
      <w:bCs/>
      <w:sz w:val="52"/>
      <w:szCs w:val="32"/>
    </w:rPr>
  </w:style>
  <w:style w:type="paragraph" w:styleId="Heading2">
    <w:name w:val="heading 2"/>
    <w:basedOn w:val="Normal"/>
    <w:next w:val="Normal"/>
    <w:uiPriority w:val="1"/>
    <w:qFormat/>
    <w:rsid w:val="007C0653"/>
    <w:pPr>
      <w:keepNext/>
      <w:framePr w:w="14459" w:wrap="around" w:vAnchor="text" w:hAnchor="text" w:y="1"/>
      <w:spacing w:before="60" w:after="570" w:line="240" w:lineRule="auto"/>
      <w:outlineLvl w:val="1"/>
    </w:pPr>
    <w:rPr>
      <w:rFonts w:asciiTheme="majorHAnsi" w:hAnsiTheme="majorHAnsi" w:cstheme="majorHAnsi"/>
      <w:bCs/>
      <w:iCs/>
      <w:sz w:val="40"/>
      <w:szCs w:val="28"/>
    </w:rPr>
  </w:style>
  <w:style w:type="paragraph" w:styleId="Heading3">
    <w:name w:val="heading 3"/>
    <w:basedOn w:val="Normal"/>
    <w:next w:val="Normal"/>
    <w:uiPriority w:val="1"/>
    <w:qFormat/>
    <w:rsid w:val="00104B01"/>
    <w:pPr>
      <w:keepNext/>
      <w:spacing w:before="60" w:after="118"/>
      <w:outlineLvl w:val="2"/>
    </w:pPr>
    <w:rPr>
      <w:rFonts w:asciiTheme="majorHAnsi" w:hAnsiTheme="majorHAnsi" w:cstheme="majorHAnsi"/>
      <w:b/>
      <w:bCs/>
      <w:sz w:val="26"/>
      <w:szCs w:val="26"/>
    </w:rPr>
  </w:style>
  <w:style w:type="paragraph" w:styleId="Heading4">
    <w:name w:val="heading 4"/>
    <w:next w:val="Normal"/>
    <w:uiPriority w:val="1"/>
    <w:qFormat/>
    <w:rsid w:val="002C2BF1"/>
    <w:pPr>
      <w:keepNext/>
      <w:spacing w:before="240" w:after="30"/>
      <w:outlineLvl w:val="3"/>
    </w:pPr>
    <w:rPr>
      <w:rFonts w:asciiTheme="majorHAnsi" w:hAnsiTheme="majorHAnsi" w:cstheme="majorHAnsi"/>
      <w:b/>
      <w:bCs/>
      <w:szCs w:val="28"/>
      <w:lang w:val="en-AU" w:eastAsia="ja-JP"/>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1A1E24"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1A1E24"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szCs w:val="20"/>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rFonts w:eastAsia="Times New Roman"/>
      <w:spacing w:val="-3"/>
      <w:sz w:val="22"/>
      <w:szCs w:val="19"/>
      <w:lang w:eastAsia="en-AU"/>
    </w:rPr>
  </w:style>
  <w:style w:type="paragraph" w:customStyle="1" w:styleId="TableBullet">
    <w:name w:val="Table Bullet"/>
    <w:basedOn w:val="TableText"/>
    <w:qFormat/>
    <w:rsid w:val="0051655B"/>
    <w:pPr>
      <w:numPr>
        <w:numId w:val="15"/>
      </w:numPr>
      <w:ind w:left="170" w:hanging="170"/>
    </w:pPr>
  </w:style>
  <w:style w:type="paragraph" w:styleId="ListBullet">
    <w:name w:val="List Bullet"/>
    <w:basedOn w:val="Normal"/>
    <w:uiPriority w:val="2"/>
    <w:rsid w:val="007B0CE5"/>
    <w:pPr>
      <w:numPr>
        <w:numId w:val="1"/>
      </w:numPr>
      <w:ind w:left="284" w:hanging="284"/>
      <w:contextualSpacing/>
    </w:pPr>
  </w:style>
  <w:style w:type="paragraph" w:styleId="ListBullet2">
    <w:name w:val="List Bullet 2"/>
    <w:basedOn w:val="Normal"/>
    <w:uiPriority w:val="2"/>
    <w:rsid w:val="007B0CE5"/>
    <w:pPr>
      <w:numPr>
        <w:numId w:val="2"/>
      </w:numPr>
      <w:ind w:left="568" w:hanging="284"/>
      <w:contextualSpacing/>
    </w:pPr>
  </w:style>
  <w:style w:type="paragraph" w:styleId="Footer">
    <w:name w:val="footer"/>
    <w:basedOn w:val="Normal"/>
    <w:link w:val="FooterChar"/>
    <w:uiPriority w:val="9"/>
    <w:rsid w:val="00706B41"/>
    <w:pPr>
      <w:tabs>
        <w:tab w:val="center" w:pos="4153"/>
        <w:tab w:val="right" w:pos="8306"/>
      </w:tabs>
      <w:spacing w:after="0" w:line="240" w:lineRule="auto"/>
    </w:pPr>
    <w:rPr>
      <w:sz w:val="14"/>
    </w:rPr>
  </w:style>
  <w:style w:type="paragraph" w:styleId="Header">
    <w:name w:val="header"/>
    <w:basedOn w:val="Normal"/>
    <w:link w:val="HeaderChar"/>
    <w:uiPriority w:val="9"/>
    <w:rsid w:val="00706B41"/>
    <w:pPr>
      <w:tabs>
        <w:tab w:val="center" w:pos="4153"/>
        <w:tab w:val="right" w:pos="8306"/>
      </w:tabs>
      <w:spacing w:after="0" w:line="240" w:lineRule="auto"/>
    </w:pPr>
    <w:rPr>
      <w:sz w:val="14"/>
    </w:rPr>
  </w:style>
  <w:style w:type="table" w:styleId="TableGrid">
    <w:name w:val="Table Grid"/>
    <w:basedOn w:val="TableNormal"/>
    <w:uiPriority w:val="98"/>
    <w:rsid w:val="00706B41"/>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39"/>
    <w:rsid w:val="00706B41"/>
    <w:pPr>
      <w:tabs>
        <w:tab w:val="right" w:pos="9979"/>
      </w:tabs>
      <w:spacing w:before="140" w:after="60"/>
    </w:pPr>
    <w:rPr>
      <w:b/>
      <w:color w:val="808080"/>
      <w:sz w:val="22"/>
    </w:rPr>
  </w:style>
  <w:style w:type="paragraph" w:styleId="TOC2">
    <w:name w:val="toc 2"/>
    <w:basedOn w:val="Normal"/>
    <w:next w:val="Normal"/>
    <w:uiPriority w:val="39"/>
    <w:rsid w:val="00706B41"/>
    <w:pPr>
      <w:tabs>
        <w:tab w:val="right" w:pos="9979"/>
      </w:tabs>
      <w:spacing w:before="140" w:after="60"/>
      <w:ind w:left="454"/>
    </w:pPr>
    <w:rPr>
      <w:color w:val="808080"/>
      <w:sz w:val="22"/>
      <w:szCs w:val="22"/>
    </w:rPr>
  </w:style>
  <w:style w:type="paragraph" w:customStyle="1" w:styleId="CoverDetails">
    <w:name w:val="Cover Details"/>
    <w:basedOn w:val="Normal"/>
    <w:uiPriority w:val="10"/>
    <w:rsid w:val="00680D64"/>
    <w:pPr>
      <w:spacing w:after="0" w:line="240" w:lineRule="auto"/>
    </w:pPr>
    <w:rPr>
      <w:rFonts w:eastAsia="Times New Roman"/>
      <w:spacing w:val="-3"/>
      <w:lang w:eastAsia="en-AU"/>
    </w:rPr>
  </w:style>
  <w:style w:type="paragraph" w:customStyle="1" w:styleId="CoverHeading">
    <w:name w:val="Cover Heading"/>
    <w:uiPriority w:val="10"/>
    <w:rsid w:val="008B0D58"/>
    <w:rPr>
      <w:rFonts w:asciiTheme="minorHAnsi" w:eastAsia="Times New Roman" w:hAnsiTheme="minorHAnsi" w:cstheme="minorHAnsi"/>
      <w:b/>
      <w:spacing w:val="-3"/>
      <w:sz w:val="26"/>
      <w:szCs w:val="28"/>
      <w:lang w:val="en-AU" w:eastAsia="en-AU"/>
    </w:rPr>
  </w:style>
  <w:style w:type="paragraph" w:customStyle="1" w:styleId="CoverTitle">
    <w:name w:val="Cover Title"/>
    <w:next w:val="Normal"/>
    <w:uiPriority w:val="10"/>
    <w:rsid w:val="00A268D7"/>
    <w:pPr>
      <w:spacing w:before="220" w:after="120" w:line="420" w:lineRule="atLeast"/>
      <w:ind w:left="312"/>
    </w:pPr>
    <w:rPr>
      <w:rFonts w:asciiTheme="majorHAnsi" w:eastAsia="Times New Roman" w:hAnsiTheme="majorHAnsi" w:cstheme="majorHAnsi"/>
      <w:bCs/>
      <w:color w:val="FFFFFF" w:themeColor="background1"/>
      <w:spacing w:val="-3"/>
      <w:sz w:val="54"/>
      <w:szCs w:val="38"/>
      <w:lang w:val="en-AU" w:eastAsia="en-US"/>
    </w:rPr>
  </w:style>
  <w:style w:type="paragraph" w:customStyle="1" w:styleId="CoverSubtitle">
    <w:name w:val="Cover Subtitle"/>
    <w:basedOn w:val="CoverTitle"/>
    <w:uiPriority w:val="10"/>
    <w:rsid w:val="008B0D58"/>
    <w:pPr>
      <w:spacing w:before="2" w:after="126" w:line="384" w:lineRule="atLeast"/>
    </w:pPr>
    <w:rPr>
      <w:rFonts w:asciiTheme="minorHAnsi" w:hAnsiTheme="minorHAnsi" w:cstheme="minorHAnsi"/>
      <w:sz w:val="40"/>
    </w:rPr>
  </w:style>
  <w:style w:type="paragraph" w:customStyle="1" w:styleId="TableText">
    <w:name w:val="Table Text"/>
    <w:basedOn w:val="Normal"/>
    <w:uiPriority w:val="9"/>
    <w:qFormat/>
    <w:rsid w:val="00FF3F5D"/>
    <w:pPr>
      <w:spacing w:before="80" w:after="60" w:line="184" w:lineRule="atLeast"/>
    </w:pPr>
    <w:rPr>
      <w:rFonts w:eastAsia="Times New Roman"/>
      <w:spacing w:val="-3"/>
      <w:szCs w:val="19"/>
      <w:lang w:eastAsia="en-AU"/>
    </w:rPr>
  </w:style>
  <w:style w:type="paragraph" w:styleId="FootnoteText">
    <w:name w:val="footnote text"/>
    <w:basedOn w:val="Normal"/>
    <w:link w:val="FootnoteTextChar"/>
    <w:uiPriority w:val="10"/>
    <w:rsid w:val="00706B41"/>
    <w:pPr>
      <w:tabs>
        <w:tab w:val="left" w:pos="320"/>
      </w:tabs>
      <w:spacing w:before="85" w:after="60" w:line="220" w:lineRule="atLeast"/>
      <w:ind w:left="318" w:hanging="318"/>
    </w:pPr>
    <w:rPr>
      <w:rFonts w:eastAsia="Times New Roman"/>
      <w:spacing w:val="-3"/>
      <w:sz w:val="16"/>
      <w:szCs w:val="16"/>
      <w:lang w:eastAsia="en-AU"/>
    </w:rPr>
  </w:style>
  <w:style w:type="character" w:customStyle="1" w:styleId="FootnoteTextChar">
    <w:name w:val="Footnote Text Char"/>
    <w:basedOn w:val="DefaultParagraphFont"/>
    <w:link w:val="FootnoteText"/>
    <w:uiPriority w:val="10"/>
    <w:rsid w:val="00706B41"/>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706B41"/>
    <w:pPr>
      <w:numPr>
        <w:numId w:val="4"/>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qFormat/>
    <w:rsid w:val="00706B41"/>
    <w:rPr>
      <w:rFonts w:asciiTheme="majorHAnsi" w:hAnsiTheme="majorHAnsi" w:cstheme="majorHAnsi"/>
      <w:b/>
    </w:rPr>
  </w:style>
  <w:style w:type="paragraph" w:styleId="ListNumber">
    <w:name w:val="List Number"/>
    <w:basedOn w:val="Normal"/>
    <w:uiPriority w:val="3"/>
    <w:rsid w:val="007B0CE5"/>
    <w:pPr>
      <w:numPr>
        <w:numId w:val="5"/>
      </w:numPr>
      <w:ind w:left="357" w:hanging="357"/>
      <w:contextualSpacing/>
    </w:pPr>
  </w:style>
  <w:style w:type="numbering" w:styleId="111111">
    <w:name w:val="Outline List 2"/>
    <w:basedOn w:val="NoList"/>
    <w:uiPriority w:val="97"/>
    <w:semiHidden/>
    <w:rsid w:val="00706B41"/>
    <w:pPr>
      <w:numPr>
        <w:numId w:val="6"/>
      </w:numPr>
    </w:pPr>
  </w:style>
  <w:style w:type="numbering" w:styleId="1ai">
    <w:name w:val="Outline List 1"/>
    <w:basedOn w:val="NoList"/>
    <w:uiPriority w:val="97"/>
    <w:semiHidden/>
    <w:rsid w:val="00706B41"/>
    <w:pPr>
      <w:numPr>
        <w:numId w:val="7"/>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1A1E24" w:themeColor="accent1" w:themeShade="7F"/>
      <w:szCs w:val="24"/>
      <w:lang w:val="en-AU" w:eastAsia="ja-JP"/>
    </w:rPr>
  </w:style>
  <w:style w:type="character" w:customStyle="1" w:styleId="Heading6Char">
    <w:name w:val="Heading 6 Char"/>
    <w:basedOn w:val="DefaultParagraphFont"/>
    <w:link w:val="Heading6"/>
    <w:uiPriority w:val="1"/>
    <w:semiHidden/>
    <w:rsid w:val="00706B41"/>
    <w:rPr>
      <w:rFonts w:asciiTheme="majorHAnsi" w:eastAsiaTheme="majorEastAsia" w:hAnsiTheme="majorHAnsi" w:cstheme="majorHAnsi"/>
      <w:i/>
      <w:iCs/>
      <w:color w:val="1A1E24"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8"/>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353E49" w:themeColor="accent1" w:shadow="1" w:frame="1"/>
        <w:left w:val="single" w:sz="2" w:space="10" w:color="353E49" w:themeColor="accent1" w:shadow="1" w:frame="1"/>
        <w:bottom w:val="single" w:sz="2" w:space="10" w:color="353E49" w:themeColor="accent1" w:shadow="1" w:frame="1"/>
        <w:right w:val="single" w:sz="2" w:space="10" w:color="353E49" w:themeColor="accent1" w:shadow="1" w:frame="1"/>
      </w:pBdr>
      <w:ind w:left="1152" w:right="1152"/>
    </w:pPr>
    <w:rPr>
      <w:rFonts w:eastAsiaTheme="minorEastAsia"/>
      <w:i/>
      <w:iCs/>
      <w:color w:val="353E49" w:themeColor="accent1"/>
    </w:rPr>
  </w:style>
  <w:style w:type="paragraph" w:styleId="BodyText">
    <w:name w:val="Body Text"/>
    <w:basedOn w:val="Normal"/>
    <w:link w:val="BodyTextChar"/>
    <w:uiPriority w:val="97"/>
    <w:semiHidden/>
    <w:rsid w:val="00706B41"/>
  </w:style>
  <w:style w:type="character" w:customStyle="1" w:styleId="BodyTextChar">
    <w:name w:val="Body Text Char"/>
    <w:basedOn w:val="DefaultParagraphFont"/>
    <w:link w:val="BodyText"/>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aption">
    <w:name w:val="caption"/>
    <w:basedOn w:val="Normal"/>
    <w:next w:val="Normal"/>
    <w:uiPriority w:val="10"/>
    <w:qFormat/>
    <w:rsid w:val="00FF3F5D"/>
    <w:pPr>
      <w:spacing w:before="240" w:after="80" w:line="240" w:lineRule="auto"/>
    </w:pPr>
    <w:rPr>
      <w:b/>
      <w:bCs/>
      <w:szCs w:val="18"/>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D7DE"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A6B0BE" w:themeFill="accent1" w:themeFillTint="66"/>
      </w:tcPr>
    </w:tblStylePr>
    <w:tblStylePr w:type="lastRow">
      <w:rPr>
        <w:b/>
        <w:bCs/>
        <w:color w:val="000000" w:themeColor="text1"/>
      </w:rPr>
      <w:tblPr/>
      <w:tcPr>
        <w:shd w:val="clear" w:color="auto" w:fill="A6B0BE" w:themeFill="accent1" w:themeFillTint="66"/>
      </w:tcPr>
    </w:tblStylePr>
    <w:tblStylePr w:type="firstCol">
      <w:rPr>
        <w:color w:val="FFFFFF" w:themeColor="background1"/>
      </w:rPr>
      <w:tblPr/>
      <w:tcPr>
        <w:shd w:val="clear" w:color="auto" w:fill="272E36" w:themeFill="accent1" w:themeFillShade="BF"/>
      </w:tcPr>
    </w:tblStylePr>
    <w:tblStylePr w:type="lastCol">
      <w:rPr>
        <w:color w:val="FFFFFF" w:themeColor="background1"/>
      </w:rPr>
      <w:tblPr/>
      <w:tcPr>
        <w:shd w:val="clear" w:color="auto" w:fill="272E36" w:themeFill="accent1" w:themeFillShade="BF"/>
      </w:tcPr>
    </w:tblStylePr>
    <w:tblStylePr w:type="band1Vert">
      <w:tblPr/>
      <w:tcPr>
        <w:shd w:val="clear" w:color="auto" w:fill="909DAE" w:themeFill="accent1" w:themeFillTint="7F"/>
      </w:tcPr>
    </w:tblStylePr>
    <w:tblStylePr w:type="band1Horz">
      <w:tblPr/>
      <w:tcPr>
        <w:shd w:val="clear" w:color="auto" w:fill="909DAE"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DE4"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FDBC9" w:themeFill="accent2" w:themeFillTint="66"/>
      </w:tcPr>
    </w:tblStylePr>
    <w:tblStylePr w:type="lastRow">
      <w:rPr>
        <w:b/>
        <w:bCs/>
        <w:color w:val="000000" w:themeColor="text1"/>
      </w:rPr>
      <w:tblPr/>
      <w:tcPr>
        <w:shd w:val="clear" w:color="auto" w:fill="DFDBC9" w:themeFill="accent2" w:themeFillTint="66"/>
      </w:tcPr>
    </w:tblStylePr>
    <w:tblStylePr w:type="firstCol">
      <w:rPr>
        <w:color w:val="FFFFFF" w:themeColor="background1"/>
      </w:rPr>
      <w:tblPr/>
      <w:tcPr>
        <w:shd w:val="clear" w:color="auto" w:fill="8A8252" w:themeFill="accent2" w:themeFillShade="BF"/>
      </w:tcPr>
    </w:tblStylePr>
    <w:tblStylePr w:type="lastCol">
      <w:rPr>
        <w:color w:val="FFFFFF" w:themeColor="background1"/>
      </w:rPr>
      <w:tblPr/>
      <w:tcPr>
        <w:shd w:val="clear" w:color="auto" w:fill="8A8252" w:themeFill="accent2" w:themeFillShade="BF"/>
      </w:tcPr>
    </w:tblStylePr>
    <w:tblStylePr w:type="band1Vert">
      <w:tblPr/>
      <w:tcPr>
        <w:shd w:val="clear" w:color="auto" w:fill="D7D3BB" w:themeFill="accent2" w:themeFillTint="7F"/>
      </w:tcPr>
    </w:tblStylePr>
    <w:tblStylePr w:type="band1Horz">
      <w:tblPr/>
      <w:tcPr>
        <w:shd w:val="clear" w:color="auto" w:fill="D7D3BB"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FE2EB"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A0C5D8" w:themeFill="accent3" w:themeFillTint="66"/>
      </w:tcPr>
    </w:tblStylePr>
    <w:tblStylePr w:type="lastRow">
      <w:rPr>
        <w:b/>
        <w:bCs/>
        <w:color w:val="000000" w:themeColor="text1"/>
      </w:rPr>
      <w:tblPr/>
      <w:tcPr>
        <w:shd w:val="clear" w:color="auto" w:fill="A0C5D8" w:themeFill="accent3" w:themeFillTint="66"/>
      </w:tcPr>
    </w:tblStylePr>
    <w:tblStylePr w:type="firstCol">
      <w:rPr>
        <w:color w:val="FFFFFF" w:themeColor="background1"/>
      </w:rPr>
      <w:tblPr/>
      <w:tcPr>
        <w:shd w:val="clear" w:color="auto" w:fill="274B5F" w:themeFill="accent3" w:themeFillShade="BF"/>
      </w:tcPr>
    </w:tblStylePr>
    <w:tblStylePr w:type="lastCol">
      <w:rPr>
        <w:color w:val="FFFFFF" w:themeColor="background1"/>
      </w:rPr>
      <w:tblPr/>
      <w:tcPr>
        <w:shd w:val="clear" w:color="auto" w:fill="274B5F" w:themeFill="accent3" w:themeFillShade="BF"/>
      </w:tcPr>
    </w:tblStylePr>
    <w:tblStylePr w:type="band1Vert">
      <w:tblPr/>
      <w:tcPr>
        <w:shd w:val="clear" w:color="auto" w:fill="89B6CF" w:themeFill="accent3" w:themeFillTint="7F"/>
      </w:tcPr>
    </w:tblStylePr>
    <w:tblStylePr w:type="band1Horz">
      <w:tblPr/>
      <w:tcPr>
        <w:shd w:val="clear" w:color="auto" w:fill="89B6CF"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1EADF"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4D6BF" w:themeFill="accent4" w:themeFillTint="66"/>
      </w:tcPr>
    </w:tblStylePr>
    <w:tblStylePr w:type="lastRow">
      <w:rPr>
        <w:b/>
        <w:bCs/>
        <w:color w:val="000000" w:themeColor="text1"/>
      </w:rPr>
      <w:tblPr/>
      <w:tcPr>
        <w:shd w:val="clear" w:color="auto" w:fill="E4D6BF" w:themeFill="accent4" w:themeFillTint="66"/>
      </w:tcPr>
    </w:tblStylePr>
    <w:tblStylePr w:type="firstCol">
      <w:rPr>
        <w:color w:val="FFFFFF" w:themeColor="background1"/>
      </w:rPr>
      <w:tblPr/>
      <w:tcPr>
        <w:shd w:val="clear" w:color="auto" w:fill="96763E" w:themeFill="accent4" w:themeFillShade="BF"/>
      </w:tcPr>
    </w:tblStylePr>
    <w:tblStylePr w:type="lastCol">
      <w:rPr>
        <w:color w:val="FFFFFF" w:themeColor="background1"/>
      </w:rPr>
      <w:tblPr/>
      <w:tcPr>
        <w:shd w:val="clear" w:color="auto" w:fill="96763E" w:themeFill="accent4" w:themeFillShade="BF"/>
      </w:tcPr>
    </w:tblStylePr>
    <w:tblStylePr w:type="band1Vert">
      <w:tblPr/>
      <w:tcPr>
        <w:shd w:val="clear" w:color="auto" w:fill="DECCAF" w:themeFill="accent4" w:themeFillTint="7F"/>
      </w:tcPr>
    </w:tblStylePr>
    <w:tblStylePr w:type="band1Horz">
      <w:tblPr/>
      <w:tcPr>
        <w:shd w:val="clear" w:color="auto" w:fill="DECCAF"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DF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5BFB9" w:themeFill="accent5" w:themeFillTint="66"/>
      </w:tcPr>
    </w:tblStylePr>
    <w:tblStylePr w:type="lastRow">
      <w:rPr>
        <w:b/>
        <w:bCs/>
        <w:color w:val="000000" w:themeColor="text1"/>
      </w:rPr>
      <w:tblPr/>
      <w:tcPr>
        <w:shd w:val="clear" w:color="auto" w:fill="C5BFB9" w:themeFill="accent5" w:themeFillTint="66"/>
      </w:tcPr>
    </w:tblStylePr>
    <w:tblStylePr w:type="firstCol">
      <w:rPr>
        <w:color w:val="FFFFFF" w:themeColor="background1"/>
      </w:rPr>
      <w:tblPr/>
      <w:tcPr>
        <w:shd w:val="clear" w:color="auto" w:fill="4E4842" w:themeFill="accent5" w:themeFillShade="BF"/>
      </w:tcPr>
    </w:tblStylePr>
    <w:tblStylePr w:type="lastCol">
      <w:rPr>
        <w:color w:val="FFFFFF" w:themeColor="background1"/>
      </w:rPr>
      <w:tblPr/>
      <w:tcPr>
        <w:shd w:val="clear" w:color="auto" w:fill="4E4842" w:themeFill="accent5" w:themeFillShade="BF"/>
      </w:tcPr>
    </w:tblStylePr>
    <w:tblStylePr w:type="band1Vert">
      <w:tblPr/>
      <w:tcPr>
        <w:shd w:val="clear" w:color="auto" w:fill="B7B0A9" w:themeFill="accent5" w:themeFillTint="7F"/>
      </w:tcPr>
    </w:tblStylePr>
    <w:tblStylePr w:type="band1Horz">
      <w:tblPr/>
      <w:tcPr>
        <w:shd w:val="clear" w:color="auto" w:fill="B7B0A9"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E8E8"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FD1D1" w:themeFill="accent6" w:themeFillTint="66"/>
      </w:tcPr>
    </w:tblStylePr>
    <w:tblStylePr w:type="lastRow">
      <w:rPr>
        <w:b/>
        <w:bCs/>
        <w:color w:val="000000" w:themeColor="text1"/>
      </w:rPr>
      <w:tblPr/>
      <w:tcPr>
        <w:shd w:val="clear" w:color="auto" w:fill="CFD1D1" w:themeFill="accent6" w:themeFillTint="66"/>
      </w:tcPr>
    </w:tblStylePr>
    <w:tblStylePr w:type="firstCol">
      <w:rPr>
        <w:color w:val="FFFFFF" w:themeColor="background1"/>
      </w:rPr>
      <w:tblPr/>
      <w:tcPr>
        <w:shd w:val="clear" w:color="auto" w:fill="666969" w:themeFill="accent6" w:themeFillShade="BF"/>
      </w:tcPr>
    </w:tblStylePr>
    <w:tblStylePr w:type="lastCol">
      <w:rPr>
        <w:color w:val="FFFFFF" w:themeColor="background1"/>
      </w:rPr>
      <w:tblPr/>
      <w:tcPr>
        <w:shd w:val="clear" w:color="auto" w:fill="666969" w:themeFill="accent6" w:themeFillShade="BF"/>
      </w:tcPr>
    </w:tblStylePr>
    <w:tblStylePr w:type="band1Vert">
      <w:tblPr/>
      <w:tcPr>
        <w:shd w:val="clear" w:color="auto" w:fill="C4C6C6" w:themeFill="accent6" w:themeFillTint="7F"/>
      </w:tcPr>
    </w:tblStylePr>
    <w:tblStylePr w:type="band1Horz">
      <w:tblPr/>
      <w:tcPr>
        <w:shd w:val="clear" w:color="auto" w:fill="C4C6C6"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48B58" w:themeFill="accent2" w:themeFillShade="CC"/>
      </w:tcPr>
    </w:tblStylePr>
    <w:tblStylePr w:type="lastRow">
      <w:rPr>
        <w:b/>
        <w:bCs/>
        <w:color w:val="948B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9EBE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48B58" w:themeFill="accent2" w:themeFillShade="CC"/>
      </w:tcPr>
    </w:tblStylePr>
    <w:tblStylePr w:type="lastRow">
      <w:rPr>
        <w:b/>
        <w:bCs/>
        <w:color w:val="948B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ED7" w:themeFill="accent1" w:themeFillTint="3F"/>
      </w:tcPr>
    </w:tblStylePr>
    <w:tblStylePr w:type="band1Horz">
      <w:tblPr/>
      <w:tcPr>
        <w:shd w:val="clear" w:color="auto" w:fill="D2D7DE"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6F1"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48B58" w:themeFill="accent2" w:themeFillShade="CC"/>
      </w:tcPr>
    </w:tblStylePr>
    <w:tblStylePr w:type="lastRow">
      <w:rPr>
        <w:b/>
        <w:bCs/>
        <w:color w:val="948B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9DD" w:themeFill="accent2" w:themeFillTint="3F"/>
      </w:tcPr>
    </w:tblStylePr>
    <w:tblStylePr w:type="band1Horz">
      <w:tblPr/>
      <w:tcPr>
        <w:shd w:val="clear" w:color="auto" w:fill="EFEDE4"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7F0F5"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A17E43" w:themeFill="accent4" w:themeFillShade="CC"/>
      </w:tcPr>
    </w:tblStylePr>
    <w:tblStylePr w:type="lastRow">
      <w:rPr>
        <w:b/>
        <w:bCs/>
        <w:color w:val="A17E4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4DBE7" w:themeFill="accent3" w:themeFillTint="3F"/>
      </w:tcPr>
    </w:tblStylePr>
    <w:tblStylePr w:type="band1Horz">
      <w:tblPr/>
      <w:tcPr>
        <w:shd w:val="clear" w:color="auto" w:fill="CFE2EB"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5EF"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95065" w:themeFill="accent3" w:themeFillShade="CC"/>
      </w:tcPr>
    </w:tblStylePr>
    <w:tblStylePr w:type="lastRow">
      <w:rPr>
        <w:b/>
        <w:bCs/>
        <w:color w:val="29506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6D7" w:themeFill="accent4" w:themeFillTint="3F"/>
      </w:tcPr>
    </w:tblStylePr>
    <w:tblStylePr w:type="band1Horz">
      <w:tblPr/>
      <w:tcPr>
        <w:shd w:val="clear" w:color="auto" w:fill="F1EADF"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EFED"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D7171" w:themeFill="accent6" w:themeFillShade="CC"/>
      </w:tcPr>
    </w:tblStylePr>
    <w:tblStylePr w:type="lastRow">
      <w:rPr>
        <w:b/>
        <w:bCs/>
        <w:color w:val="6D717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8D4" w:themeFill="accent5" w:themeFillTint="3F"/>
      </w:tcPr>
    </w:tblStylePr>
    <w:tblStylePr w:type="band1Horz">
      <w:tblPr/>
      <w:tcPr>
        <w:shd w:val="clear" w:color="auto" w:fill="E2DFDC"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3F3"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34D46" w:themeFill="accent5" w:themeFillShade="CC"/>
      </w:tcPr>
    </w:tblStylePr>
    <w:tblStylePr w:type="lastRow">
      <w:rPr>
        <w:b/>
        <w:bCs/>
        <w:color w:val="534D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2E2" w:themeFill="accent6" w:themeFillTint="3F"/>
      </w:tcPr>
    </w:tblStylePr>
    <w:tblStylePr w:type="band1Horz">
      <w:tblPr/>
      <w:tcPr>
        <w:shd w:val="clear" w:color="auto" w:fill="E7E8E8"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Ind w:w="0" w:type="dxa"/>
      <w:tblBorders>
        <w:top w:val="single" w:sz="24" w:space="0" w:color="AFA77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FA7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Ind w:w="0" w:type="dxa"/>
      <w:tblBorders>
        <w:top w:val="single" w:sz="24" w:space="0" w:color="AFA778" w:themeColor="accent2"/>
        <w:left w:val="single" w:sz="4" w:space="0" w:color="353E49" w:themeColor="accent1"/>
        <w:bottom w:val="single" w:sz="4" w:space="0" w:color="353E49" w:themeColor="accent1"/>
        <w:right w:val="single" w:sz="4" w:space="0" w:color="353E4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BE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FA7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252B" w:themeFill="accent1" w:themeFillShade="99"/>
      </w:tcPr>
    </w:tblStylePr>
    <w:tblStylePr w:type="firstCol">
      <w:rPr>
        <w:color w:val="FFFFFF" w:themeColor="background1"/>
      </w:rPr>
      <w:tblPr/>
      <w:tcPr>
        <w:tcBorders>
          <w:top w:val="nil"/>
          <w:left w:val="nil"/>
          <w:bottom w:val="nil"/>
          <w:right w:val="nil"/>
          <w:insideH w:val="single" w:sz="4" w:space="0" w:color="1F252B" w:themeColor="accent1" w:themeShade="99"/>
          <w:insideV w:val="nil"/>
        </w:tcBorders>
        <w:shd w:val="clear" w:color="auto" w:fill="1F25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252B" w:themeFill="accent1" w:themeFillShade="99"/>
      </w:tcPr>
    </w:tblStylePr>
    <w:tblStylePr w:type="band1Vert">
      <w:tblPr/>
      <w:tcPr>
        <w:shd w:val="clear" w:color="auto" w:fill="A6B0BE" w:themeFill="accent1" w:themeFillTint="66"/>
      </w:tcPr>
    </w:tblStylePr>
    <w:tblStylePr w:type="band1Horz">
      <w:tblPr/>
      <w:tcPr>
        <w:shd w:val="clear" w:color="auto" w:fill="909DA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Ind w:w="0" w:type="dxa"/>
      <w:tblBorders>
        <w:top w:val="single" w:sz="24" w:space="0" w:color="AFA778" w:themeColor="accent2"/>
        <w:left w:val="single" w:sz="4" w:space="0" w:color="AFA778" w:themeColor="accent2"/>
        <w:bottom w:val="single" w:sz="4" w:space="0" w:color="AFA778" w:themeColor="accent2"/>
        <w:right w:val="single" w:sz="4" w:space="0" w:color="AFA778"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6F1"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FA7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F6842" w:themeFill="accent2" w:themeFillShade="99"/>
      </w:tcPr>
    </w:tblStylePr>
    <w:tblStylePr w:type="firstCol">
      <w:rPr>
        <w:color w:val="FFFFFF" w:themeColor="background1"/>
      </w:rPr>
      <w:tblPr/>
      <w:tcPr>
        <w:tcBorders>
          <w:top w:val="nil"/>
          <w:left w:val="nil"/>
          <w:bottom w:val="nil"/>
          <w:right w:val="nil"/>
          <w:insideH w:val="single" w:sz="4" w:space="0" w:color="6F6842" w:themeColor="accent2" w:themeShade="99"/>
          <w:insideV w:val="nil"/>
        </w:tcBorders>
        <w:shd w:val="clear" w:color="auto" w:fill="6F68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F6842" w:themeFill="accent2" w:themeFillShade="99"/>
      </w:tcPr>
    </w:tblStylePr>
    <w:tblStylePr w:type="band1Vert">
      <w:tblPr/>
      <w:tcPr>
        <w:shd w:val="clear" w:color="auto" w:fill="DFDBC9" w:themeFill="accent2" w:themeFillTint="66"/>
      </w:tcPr>
    </w:tblStylePr>
    <w:tblStylePr w:type="band1Horz">
      <w:tblPr/>
      <w:tcPr>
        <w:shd w:val="clear" w:color="auto" w:fill="D7D3B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Ind w:w="0" w:type="dxa"/>
      <w:tblBorders>
        <w:top w:val="single" w:sz="24" w:space="0" w:color="BD9B60" w:themeColor="accent4"/>
        <w:left w:val="single" w:sz="4" w:space="0" w:color="34657F" w:themeColor="accent3"/>
        <w:bottom w:val="single" w:sz="4" w:space="0" w:color="34657F" w:themeColor="accent3"/>
        <w:right w:val="single" w:sz="4" w:space="0" w:color="34657F"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F0F5"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D9B6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3C4C" w:themeFill="accent3" w:themeFillShade="99"/>
      </w:tcPr>
    </w:tblStylePr>
    <w:tblStylePr w:type="firstCol">
      <w:rPr>
        <w:color w:val="FFFFFF" w:themeColor="background1"/>
      </w:rPr>
      <w:tblPr/>
      <w:tcPr>
        <w:tcBorders>
          <w:top w:val="nil"/>
          <w:left w:val="nil"/>
          <w:bottom w:val="nil"/>
          <w:right w:val="nil"/>
          <w:insideH w:val="single" w:sz="4" w:space="0" w:color="1F3C4C" w:themeColor="accent3" w:themeShade="99"/>
          <w:insideV w:val="nil"/>
        </w:tcBorders>
        <w:shd w:val="clear" w:color="auto" w:fill="1F3C4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3C4C" w:themeFill="accent3" w:themeFillShade="99"/>
      </w:tcPr>
    </w:tblStylePr>
    <w:tblStylePr w:type="band1Vert">
      <w:tblPr/>
      <w:tcPr>
        <w:shd w:val="clear" w:color="auto" w:fill="A0C5D8" w:themeFill="accent3" w:themeFillTint="66"/>
      </w:tcPr>
    </w:tblStylePr>
    <w:tblStylePr w:type="band1Horz">
      <w:tblPr/>
      <w:tcPr>
        <w:shd w:val="clear" w:color="auto" w:fill="89B6CF"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Ind w:w="0" w:type="dxa"/>
      <w:tblBorders>
        <w:top w:val="single" w:sz="24" w:space="0" w:color="34657F" w:themeColor="accent3"/>
        <w:left w:val="single" w:sz="4" w:space="0" w:color="BD9B60" w:themeColor="accent4"/>
        <w:bottom w:val="single" w:sz="4" w:space="0" w:color="BD9B60" w:themeColor="accent4"/>
        <w:right w:val="single" w:sz="4" w:space="0" w:color="BD9B6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5EF"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34657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5E32" w:themeFill="accent4" w:themeFillShade="99"/>
      </w:tcPr>
    </w:tblStylePr>
    <w:tblStylePr w:type="firstCol">
      <w:rPr>
        <w:color w:val="FFFFFF" w:themeColor="background1"/>
      </w:rPr>
      <w:tblPr/>
      <w:tcPr>
        <w:tcBorders>
          <w:top w:val="nil"/>
          <w:left w:val="nil"/>
          <w:bottom w:val="nil"/>
          <w:right w:val="nil"/>
          <w:insideH w:val="single" w:sz="4" w:space="0" w:color="785E32" w:themeColor="accent4" w:themeShade="99"/>
          <w:insideV w:val="nil"/>
        </w:tcBorders>
        <w:shd w:val="clear" w:color="auto" w:fill="785E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85E32" w:themeFill="accent4" w:themeFillShade="99"/>
      </w:tcPr>
    </w:tblStylePr>
    <w:tblStylePr w:type="band1Vert">
      <w:tblPr/>
      <w:tcPr>
        <w:shd w:val="clear" w:color="auto" w:fill="E4D6BF" w:themeFill="accent4" w:themeFillTint="66"/>
      </w:tcPr>
    </w:tblStylePr>
    <w:tblStylePr w:type="band1Horz">
      <w:tblPr/>
      <w:tcPr>
        <w:shd w:val="clear" w:color="auto" w:fill="DECCA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Ind w:w="0" w:type="dxa"/>
      <w:tblBorders>
        <w:top w:val="single" w:sz="24" w:space="0" w:color="898D8D" w:themeColor="accent6"/>
        <w:left w:val="single" w:sz="4" w:space="0" w:color="696158" w:themeColor="accent5"/>
        <w:bottom w:val="single" w:sz="4" w:space="0" w:color="696158" w:themeColor="accent5"/>
        <w:right w:val="single" w:sz="4" w:space="0" w:color="696158"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EFED"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98D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3A34" w:themeFill="accent5" w:themeFillShade="99"/>
      </w:tcPr>
    </w:tblStylePr>
    <w:tblStylePr w:type="firstCol">
      <w:rPr>
        <w:color w:val="FFFFFF" w:themeColor="background1"/>
      </w:rPr>
      <w:tblPr/>
      <w:tcPr>
        <w:tcBorders>
          <w:top w:val="nil"/>
          <w:left w:val="nil"/>
          <w:bottom w:val="nil"/>
          <w:right w:val="nil"/>
          <w:insideH w:val="single" w:sz="4" w:space="0" w:color="3E3A34" w:themeColor="accent5" w:themeShade="99"/>
          <w:insideV w:val="nil"/>
        </w:tcBorders>
        <w:shd w:val="clear" w:color="auto" w:fill="3E3A3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E3A34" w:themeFill="accent5" w:themeFillShade="99"/>
      </w:tcPr>
    </w:tblStylePr>
    <w:tblStylePr w:type="band1Vert">
      <w:tblPr/>
      <w:tcPr>
        <w:shd w:val="clear" w:color="auto" w:fill="C5BFB9" w:themeFill="accent5" w:themeFillTint="66"/>
      </w:tcPr>
    </w:tblStylePr>
    <w:tblStylePr w:type="band1Horz">
      <w:tblPr/>
      <w:tcPr>
        <w:shd w:val="clear" w:color="auto" w:fill="B7B0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Ind w:w="0" w:type="dxa"/>
      <w:tblBorders>
        <w:top w:val="single" w:sz="24" w:space="0" w:color="696158" w:themeColor="accent5"/>
        <w:left w:val="single" w:sz="4" w:space="0" w:color="898D8D" w:themeColor="accent6"/>
        <w:bottom w:val="single" w:sz="4" w:space="0" w:color="898D8D" w:themeColor="accent6"/>
        <w:right w:val="single" w:sz="4" w:space="0" w:color="898D8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3F3"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9615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5454" w:themeFill="accent6" w:themeFillShade="99"/>
      </w:tcPr>
    </w:tblStylePr>
    <w:tblStylePr w:type="firstCol">
      <w:rPr>
        <w:color w:val="FFFFFF" w:themeColor="background1"/>
      </w:rPr>
      <w:tblPr/>
      <w:tcPr>
        <w:tcBorders>
          <w:top w:val="nil"/>
          <w:left w:val="nil"/>
          <w:bottom w:val="nil"/>
          <w:right w:val="nil"/>
          <w:insideH w:val="single" w:sz="4" w:space="0" w:color="525454" w:themeColor="accent6" w:themeShade="99"/>
          <w:insideV w:val="nil"/>
        </w:tcBorders>
        <w:shd w:val="clear" w:color="auto" w:fill="52545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5454" w:themeFill="accent6" w:themeFillShade="99"/>
      </w:tcPr>
    </w:tblStylePr>
    <w:tblStylePr w:type="band1Vert">
      <w:tblPr/>
      <w:tcPr>
        <w:shd w:val="clear" w:color="auto" w:fill="CFD1D1" w:themeFill="accent6" w:themeFillTint="66"/>
      </w:tcPr>
    </w:tblStylePr>
    <w:tblStylePr w:type="band1Horz">
      <w:tblPr/>
      <w:tcPr>
        <w:shd w:val="clear" w:color="auto" w:fill="C4C6C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rPr>
      <w:szCs w:val="20"/>
    </w:r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3E49"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1E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2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2E36" w:themeFill="accent1" w:themeFillShade="BF"/>
      </w:tcPr>
    </w:tblStylePr>
    <w:tblStylePr w:type="band1Vert">
      <w:tblPr/>
      <w:tcPr>
        <w:tcBorders>
          <w:top w:val="nil"/>
          <w:left w:val="nil"/>
          <w:bottom w:val="nil"/>
          <w:right w:val="nil"/>
          <w:insideH w:val="nil"/>
          <w:insideV w:val="nil"/>
        </w:tcBorders>
        <w:shd w:val="clear" w:color="auto" w:fill="272E36" w:themeFill="accent1" w:themeFillShade="BF"/>
      </w:tcPr>
    </w:tblStylePr>
    <w:tblStylePr w:type="band1Horz">
      <w:tblPr/>
      <w:tcPr>
        <w:tcBorders>
          <w:top w:val="nil"/>
          <w:left w:val="nil"/>
          <w:bottom w:val="nil"/>
          <w:right w:val="nil"/>
          <w:insideH w:val="nil"/>
          <w:insideV w:val="nil"/>
        </w:tcBorders>
        <w:shd w:val="clear" w:color="auto" w:fill="272E36"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FA778"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C56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A825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A8252" w:themeFill="accent2" w:themeFillShade="BF"/>
      </w:tcPr>
    </w:tblStylePr>
    <w:tblStylePr w:type="band1Vert">
      <w:tblPr/>
      <w:tcPr>
        <w:tcBorders>
          <w:top w:val="nil"/>
          <w:left w:val="nil"/>
          <w:bottom w:val="nil"/>
          <w:right w:val="nil"/>
          <w:insideH w:val="nil"/>
          <w:insideV w:val="nil"/>
        </w:tcBorders>
        <w:shd w:val="clear" w:color="auto" w:fill="8A8252" w:themeFill="accent2" w:themeFillShade="BF"/>
      </w:tcPr>
    </w:tblStylePr>
    <w:tblStylePr w:type="band1Horz">
      <w:tblPr/>
      <w:tcPr>
        <w:tcBorders>
          <w:top w:val="nil"/>
          <w:left w:val="nil"/>
          <w:bottom w:val="nil"/>
          <w:right w:val="nil"/>
          <w:insideH w:val="nil"/>
          <w:insideV w:val="nil"/>
        </w:tcBorders>
        <w:shd w:val="clear" w:color="auto" w:fill="8A8252"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657F"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23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4B5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4B5F" w:themeFill="accent3" w:themeFillShade="BF"/>
      </w:tcPr>
    </w:tblStylePr>
    <w:tblStylePr w:type="band1Vert">
      <w:tblPr/>
      <w:tcPr>
        <w:tcBorders>
          <w:top w:val="nil"/>
          <w:left w:val="nil"/>
          <w:bottom w:val="nil"/>
          <w:right w:val="nil"/>
          <w:insideH w:val="nil"/>
          <w:insideV w:val="nil"/>
        </w:tcBorders>
        <w:shd w:val="clear" w:color="auto" w:fill="274B5F" w:themeFill="accent3" w:themeFillShade="BF"/>
      </w:tcPr>
    </w:tblStylePr>
    <w:tblStylePr w:type="band1Horz">
      <w:tblPr/>
      <w:tcPr>
        <w:tcBorders>
          <w:top w:val="nil"/>
          <w:left w:val="nil"/>
          <w:bottom w:val="nil"/>
          <w:right w:val="nil"/>
          <w:insideH w:val="nil"/>
          <w:insideV w:val="nil"/>
        </w:tcBorders>
        <w:shd w:val="clear" w:color="auto" w:fill="274B5F"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D9B6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44E2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6763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6763E" w:themeFill="accent4" w:themeFillShade="BF"/>
      </w:tcPr>
    </w:tblStylePr>
    <w:tblStylePr w:type="band1Vert">
      <w:tblPr/>
      <w:tcPr>
        <w:tcBorders>
          <w:top w:val="nil"/>
          <w:left w:val="nil"/>
          <w:bottom w:val="nil"/>
          <w:right w:val="nil"/>
          <w:insideH w:val="nil"/>
          <w:insideV w:val="nil"/>
        </w:tcBorders>
        <w:shd w:val="clear" w:color="auto" w:fill="96763E" w:themeFill="accent4" w:themeFillShade="BF"/>
      </w:tcPr>
    </w:tblStylePr>
    <w:tblStylePr w:type="band1Horz">
      <w:tblPr/>
      <w:tcPr>
        <w:tcBorders>
          <w:top w:val="nil"/>
          <w:left w:val="nil"/>
          <w:bottom w:val="nil"/>
          <w:right w:val="nil"/>
          <w:insideH w:val="nil"/>
          <w:insideV w:val="nil"/>
        </w:tcBorders>
        <w:shd w:val="clear" w:color="auto" w:fill="96763E"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96158"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302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E484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E4842" w:themeFill="accent5" w:themeFillShade="BF"/>
      </w:tcPr>
    </w:tblStylePr>
    <w:tblStylePr w:type="band1Vert">
      <w:tblPr/>
      <w:tcPr>
        <w:tcBorders>
          <w:top w:val="nil"/>
          <w:left w:val="nil"/>
          <w:bottom w:val="nil"/>
          <w:right w:val="nil"/>
          <w:insideH w:val="nil"/>
          <w:insideV w:val="nil"/>
        </w:tcBorders>
        <w:shd w:val="clear" w:color="auto" w:fill="4E4842" w:themeFill="accent5" w:themeFillShade="BF"/>
      </w:tcPr>
    </w:tblStylePr>
    <w:tblStylePr w:type="band1Horz">
      <w:tblPr/>
      <w:tcPr>
        <w:tcBorders>
          <w:top w:val="nil"/>
          <w:left w:val="nil"/>
          <w:bottom w:val="nil"/>
          <w:right w:val="nil"/>
          <w:insideH w:val="nil"/>
          <w:insideV w:val="nil"/>
        </w:tcBorders>
        <w:shd w:val="clear" w:color="auto" w:fill="4E4842"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98D8D"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464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6696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66969" w:themeFill="accent6" w:themeFillShade="BF"/>
      </w:tcPr>
    </w:tblStylePr>
    <w:tblStylePr w:type="band1Vert">
      <w:tblPr/>
      <w:tcPr>
        <w:tcBorders>
          <w:top w:val="nil"/>
          <w:left w:val="nil"/>
          <w:bottom w:val="nil"/>
          <w:right w:val="nil"/>
          <w:insideH w:val="nil"/>
          <w:insideV w:val="nil"/>
        </w:tcBorders>
        <w:shd w:val="clear" w:color="auto" w:fill="666969" w:themeFill="accent6" w:themeFillShade="BF"/>
      </w:tcPr>
    </w:tblStylePr>
    <w:tblStylePr w:type="band1Horz">
      <w:tblPr/>
      <w:tcPr>
        <w:tcBorders>
          <w:top w:val="nil"/>
          <w:left w:val="nil"/>
          <w:bottom w:val="nil"/>
          <w:right w:val="nil"/>
          <w:insideH w:val="nil"/>
          <w:insideV w:val="nil"/>
        </w:tcBorders>
        <w:shd w:val="clear" w:color="auto" w:fill="666969" w:themeFill="accent6" w:themeFillShade="BF"/>
      </w:tcPr>
    </w:tblStylePr>
  </w:style>
  <w:style w:type="paragraph" w:styleId="Date">
    <w:name w:val="Date"/>
    <w:basedOn w:val="Normal"/>
    <w:next w:val="Normal"/>
    <w:link w:val="DateChar"/>
    <w:uiPriority w:val="97"/>
    <w:semiHidden/>
    <w:rsid w:val="00706B41"/>
  </w:style>
  <w:style w:type="character" w:customStyle="1" w:styleId="DateChar">
    <w:name w:val="Date Char"/>
    <w:basedOn w:val="DefaultParagraphFont"/>
    <w:link w:val="Date"/>
    <w:rsid w:val="00706B41"/>
    <w:rPr>
      <w:rFonts w:asciiTheme="minorHAnsi" w:hAnsiTheme="minorHAnsi" w:cstheme="minorHAnsi"/>
      <w:color w:val="221E1F"/>
      <w:szCs w:val="24"/>
      <w:lang w:val="en-AU" w:eastAsia="ja-JP"/>
    </w:r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mphasis">
    <w:name w:val="Emphasis"/>
    <w:basedOn w:val="DefaultParagraphFont"/>
    <w:uiPriority w:val="97"/>
    <w:semiHidden/>
    <w:rsid w:val="00706B41"/>
    <w:rPr>
      <w:rFonts w:asciiTheme="minorHAnsi" w:hAnsiTheme="minorHAnsi" w:cstheme="minorHAnsi"/>
      <w:i/>
      <w:iCs/>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rPr>
      <w:szCs w:val="20"/>
    </w:r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szCs w:val="20"/>
    </w:rPr>
  </w:style>
  <w:style w:type="character" w:styleId="FollowedHyperlink">
    <w:name w:val="FollowedHyperlink"/>
    <w:basedOn w:val="DefaultParagraphFont"/>
    <w:uiPriority w:val="97"/>
    <w:semiHidden/>
    <w:rsid w:val="00706B41"/>
    <w:rPr>
      <w:rFonts w:asciiTheme="minorHAnsi" w:hAnsiTheme="minorHAnsi" w:cstheme="minorHAnsi"/>
      <w:color w:val="998542"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rPr>
      <w:szCs w:val="20"/>
    </w:r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9"/>
    <w:rsid w:val="00706B41"/>
    <w:rPr>
      <w:rFonts w:asciiTheme="minorHAnsi" w:hAnsiTheme="minorHAnsi" w:cstheme="minorHAnsi"/>
      <w:color w:val="6E5023" w:themeColor="hyperlink"/>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353E49" w:themeColor="accent1"/>
    </w:rPr>
  </w:style>
  <w:style w:type="paragraph" w:styleId="IntenseQuote">
    <w:name w:val="Intense Quote"/>
    <w:basedOn w:val="Normal"/>
    <w:next w:val="Normal"/>
    <w:link w:val="IntenseQuoteChar"/>
    <w:uiPriority w:val="97"/>
    <w:semiHidden/>
    <w:rsid w:val="00706B41"/>
    <w:pPr>
      <w:pBdr>
        <w:bottom w:val="single" w:sz="4" w:space="4" w:color="353E49" w:themeColor="accent1"/>
      </w:pBdr>
      <w:spacing w:before="200" w:after="280"/>
      <w:ind w:left="936" w:right="936"/>
    </w:pPr>
    <w:rPr>
      <w:b/>
      <w:bCs/>
      <w:i/>
      <w:iCs/>
      <w:color w:val="353E49"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353E49"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AFA778" w:themeColor="accent2"/>
      <w:spacing w:val="5"/>
      <w:u w:val="single"/>
    </w:rPr>
  </w:style>
  <w:style w:type="table" w:styleId="LightGrid">
    <w:name w:val="Light Grid"/>
    <w:basedOn w:val="TableNormal"/>
    <w:uiPriority w:val="98"/>
    <w:rsid w:val="00706B4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Ind w:w="0" w:type="dxa"/>
      <w:tblBorders>
        <w:top w:val="single" w:sz="8" w:space="0" w:color="353E49" w:themeColor="accent1"/>
        <w:left w:val="single" w:sz="8" w:space="0" w:color="353E49" w:themeColor="accent1"/>
        <w:bottom w:val="single" w:sz="8" w:space="0" w:color="353E49" w:themeColor="accent1"/>
        <w:right w:val="single" w:sz="8" w:space="0" w:color="353E49" w:themeColor="accent1"/>
        <w:insideH w:val="single" w:sz="8" w:space="0" w:color="353E49" w:themeColor="accent1"/>
        <w:insideV w:val="single" w:sz="8" w:space="0" w:color="353E49"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353E49" w:themeColor="accent1"/>
          <w:left w:val="single" w:sz="8" w:space="0" w:color="353E49" w:themeColor="accent1"/>
          <w:bottom w:val="single" w:sz="18" w:space="0" w:color="353E49" w:themeColor="accent1"/>
          <w:right w:val="single" w:sz="8" w:space="0" w:color="353E49" w:themeColor="accent1"/>
          <w:insideH w:val="nil"/>
          <w:insideV w:val="single" w:sz="8" w:space="0" w:color="353E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3E49" w:themeColor="accent1"/>
          <w:left w:val="single" w:sz="8" w:space="0" w:color="353E49" w:themeColor="accent1"/>
          <w:bottom w:val="single" w:sz="8" w:space="0" w:color="353E49" w:themeColor="accent1"/>
          <w:right w:val="single" w:sz="8" w:space="0" w:color="353E49" w:themeColor="accent1"/>
          <w:insideH w:val="nil"/>
          <w:insideV w:val="single" w:sz="8" w:space="0" w:color="353E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3E49" w:themeColor="accent1"/>
          <w:left w:val="single" w:sz="8" w:space="0" w:color="353E49" w:themeColor="accent1"/>
          <w:bottom w:val="single" w:sz="8" w:space="0" w:color="353E49" w:themeColor="accent1"/>
          <w:right w:val="single" w:sz="8" w:space="0" w:color="353E49" w:themeColor="accent1"/>
        </w:tcBorders>
      </w:tcPr>
    </w:tblStylePr>
    <w:tblStylePr w:type="band1Vert">
      <w:tblPr/>
      <w:tcPr>
        <w:tcBorders>
          <w:top w:val="single" w:sz="8" w:space="0" w:color="353E49" w:themeColor="accent1"/>
          <w:left w:val="single" w:sz="8" w:space="0" w:color="353E49" w:themeColor="accent1"/>
          <w:bottom w:val="single" w:sz="8" w:space="0" w:color="353E49" w:themeColor="accent1"/>
          <w:right w:val="single" w:sz="8" w:space="0" w:color="353E49" w:themeColor="accent1"/>
        </w:tcBorders>
        <w:shd w:val="clear" w:color="auto" w:fill="C7CED7" w:themeFill="accent1" w:themeFillTint="3F"/>
      </w:tcPr>
    </w:tblStylePr>
    <w:tblStylePr w:type="band1Horz">
      <w:tblPr/>
      <w:tcPr>
        <w:tcBorders>
          <w:top w:val="single" w:sz="8" w:space="0" w:color="353E49" w:themeColor="accent1"/>
          <w:left w:val="single" w:sz="8" w:space="0" w:color="353E49" w:themeColor="accent1"/>
          <w:bottom w:val="single" w:sz="8" w:space="0" w:color="353E49" w:themeColor="accent1"/>
          <w:right w:val="single" w:sz="8" w:space="0" w:color="353E49" w:themeColor="accent1"/>
          <w:insideV w:val="single" w:sz="8" w:space="0" w:color="353E49" w:themeColor="accent1"/>
        </w:tcBorders>
        <w:shd w:val="clear" w:color="auto" w:fill="C7CED7" w:themeFill="accent1" w:themeFillTint="3F"/>
      </w:tcPr>
    </w:tblStylePr>
    <w:tblStylePr w:type="band2Horz">
      <w:tblPr/>
      <w:tcPr>
        <w:tcBorders>
          <w:top w:val="single" w:sz="8" w:space="0" w:color="353E49" w:themeColor="accent1"/>
          <w:left w:val="single" w:sz="8" w:space="0" w:color="353E49" w:themeColor="accent1"/>
          <w:bottom w:val="single" w:sz="8" w:space="0" w:color="353E49" w:themeColor="accent1"/>
          <w:right w:val="single" w:sz="8" w:space="0" w:color="353E49" w:themeColor="accent1"/>
          <w:insideV w:val="single" w:sz="8" w:space="0" w:color="353E49" w:themeColor="accent1"/>
        </w:tcBorders>
      </w:tcPr>
    </w:tblStylePr>
  </w:style>
  <w:style w:type="table" w:styleId="LightGrid-Accent2">
    <w:name w:val="Light Grid Accent 2"/>
    <w:basedOn w:val="TableNormal"/>
    <w:uiPriority w:val="98"/>
    <w:rsid w:val="00706B41"/>
    <w:tblPr>
      <w:tblStyleRowBandSize w:val="1"/>
      <w:tblStyleColBandSize w:val="1"/>
      <w:tblInd w:w="0" w:type="dxa"/>
      <w:tblBorders>
        <w:top w:val="single" w:sz="8" w:space="0" w:color="AFA778" w:themeColor="accent2"/>
        <w:left w:val="single" w:sz="8" w:space="0" w:color="AFA778" w:themeColor="accent2"/>
        <w:bottom w:val="single" w:sz="8" w:space="0" w:color="AFA778" w:themeColor="accent2"/>
        <w:right w:val="single" w:sz="8" w:space="0" w:color="AFA778" w:themeColor="accent2"/>
        <w:insideH w:val="single" w:sz="8" w:space="0" w:color="AFA778" w:themeColor="accent2"/>
        <w:insideV w:val="single" w:sz="8" w:space="0" w:color="AFA778"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FA778" w:themeColor="accent2"/>
          <w:left w:val="single" w:sz="8" w:space="0" w:color="AFA778" w:themeColor="accent2"/>
          <w:bottom w:val="single" w:sz="18" w:space="0" w:color="AFA778" w:themeColor="accent2"/>
          <w:right w:val="single" w:sz="8" w:space="0" w:color="AFA778" w:themeColor="accent2"/>
          <w:insideH w:val="nil"/>
          <w:insideV w:val="single" w:sz="8" w:space="0" w:color="AFA77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A778" w:themeColor="accent2"/>
          <w:left w:val="single" w:sz="8" w:space="0" w:color="AFA778" w:themeColor="accent2"/>
          <w:bottom w:val="single" w:sz="8" w:space="0" w:color="AFA778" w:themeColor="accent2"/>
          <w:right w:val="single" w:sz="8" w:space="0" w:color="AFA778" w:themeColor="accent2"/>
          <w:insideH w:val="nil"/>
          <w:insideV w:val="single" w:sz="8" w:space="0" w:color="AFA77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A778" w:themeColor="accent2"/>
          <w:left w:val="single" w:sz="8" w:space="0" w:color="AFA778" w:themeColor="accent2"/>
          <w:bottom w:val="single" w:sz="8" w:space="0" w:color="AFA778" w:themeColor="accent2"/>
          <w:right w:val="single" w:sz="8" w:space="0" w:color="AFA778" w:themeColor="accent2"/>
        </w:tcBorders>
      </w:tcPr>
    </w:tblStylePr>
    <w:tblStylePr w:type="band1Vert">
      <w:tblPr/>
      <w:tcPr>
        <w:tcBorders>
          <w:top w:val="single" w:sz="8" w:space="0" w:color="AFA778" w:themeColor="accent2"/>
          <w:left w:val="single" w:sz="8" w:space="0" w:color="AFA778" w:themeColor="accent2"/>
          <w:bottom w:val="single" w:sz="8" w:space="0" w:color="AFA778" w:themeColor="accent2"/>
          <w:right w:val="single" w:sz="8" w:space="0" w:color="AFA778" w:themeColor="accent2"/>
        </w:tcBorders>
        <w:shd w:val="clear" w:color="auto" w:fill="EBE9DD" w:themeFill="accent2" w:themeFillTint="3F"/>
      </w:tcPr>
    </w:tblStylePr>
    <w:tblStylePr w:type="band1Horz">
      <w:tblPr/>
      <w:tcPr>
        <w:tcBorders>
          <w:top w:val="single" w:sz="8" w:space="0" w:color="AFA778" w:themeColor="accent2"/>
          <w:left w:val="single" w:sz="8" w:space="0" w:color="AFA778" w:themeColor="accent2"/>
          <w:bottom w:val="single" w:sz="8" w:space="0" w:color="AFA778" w:themeColor="accent2"/>
          <w:right w:val="single" w:sz="8" w:space="0" w:color="AFA778" w:themeColor="accent2"/>
          <w:insideV w:val="single" w:sz="8" w:space="0" w:color="AFA778" w:themeColor="accent2"/>
        </w:tcBorders>
        <w:shd w:val="clear" w:color="auto" w:fill="EBE9DD" w:themeFill="accent2" w:themeFillTint="3F"/>
      </w:tcPr>
    </w:tblStylePr>
    <w:tblStylePr w:type="band2Horz">
      <w:tblPr/>
      <w:tcPr>
        <w:tcBorders>
          <w:top w:val="single" w:sz="8" w:space="0" w:color="AFA778" w:themeColor="accent2"/>
          <w:left w:val="single" w:sz="8" w:space="0" w:color="AFA778" w:themeColor="accent2"/>
          <w:bottom w:val="single" w:sz="8" w:space="0" w:color="AFA778" w:themeColor="accent2"/>
          <w:right w:val="single" w:sz="8" w:space="0" w:color="AFA778" w:themeColor="accent2"/>
          <w:insideV w:val="single" w:sz="8" w:space="0" w:color="AFA778" w:themeColor="accent2"/>
        </w:tcBorders>
      </w:tcPr>
    </w:tblStylePr>
  </w:style>
  <w:style w:type="table" w:styleId="LightGrid-Accent3">
    <w:name w:val="Light Grid Accent 3"/>
    <w:basedOn w:val="TableNormal"/>
    <w:uiPriority w:val="98"/>
    <w:rsid w:val="00706B41"/>
    <w:tblPr>
      <w:tblStyleRowBandSize w:val="1"/>
      <w:tblStyleColBandSize w:val="1"/>
      <w:tblInd w:w="0" w:type="dxa"/>
      <w:tblBorders>
        <w:top w:val="single" w:sz="8" w:space="0" w:color="34657F" w:themeColor="accent3"/>
        <w:left w:val="single" w:sz="8" w:space="0" w:color="34657F" w:themeColor="accent3"/>
        <w:bottom w:val="single" w:sz="8" w:space="0" w:color="34657F" w:themeColor="accent3"/>
        <w:right w:val="single" w:sz="8" w:space="0" w:color="34657F" w:themeColor="accent3"/>
        <w:insideH w:val="single" w:sz="8" w:space="0" w:color="34657F" w:themeColor="accent3"/>
        <w:insideV w:val="single" w:sz="8" w:space="0" w:color="34657F"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34657F" w:themeColor="accent3"/>
          <w:left w:val="single" w:sz="8" w:space="0" w:color="34657F" w:themeColor="accent3"/>
          <w:bottom w:val="single" w:sz="18" w:space="0" w:color="34657F" w:themeColor="accent3"/>
          <w:right w:val="single" w:sz="8" w:space="0" w:color="34657F" w:themeColor="accent3"/>
          <w:insideH w:val="nil"/>
          <w:insideV w:val="single" w:sz="8" w:space="0" w:color="34657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657F" w:themeColor="accent3"/>
          <w:left w:val="single" w:sz="8" w:space="0" w:color="34657F" w:themeColor="accent3"/>
          <w:bottom w:val="single" w:sz="8" w:space="0" w:color="34657F" w:themeColor="accent3"/>
          <w:right w:val="single" w:sz="8" w:space="0" w:color="34657F" w:themeColor="accent3"/>
          <w:insideH w:val="nil"/>
          <w:insideV w:val="single" w:sz="8" w:space="0" w:color="34657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657F" w:themeColor="accent3"/>
          <w:left w:val="single" w:sz="8" w:space="0" w:color="34657F" w:themeColor="accent3"/>
          <w:bottom w:val="single" w:sz="8" w:space="0" w:color="34657F" w:themeColor="accent3"/>
          <w:right w:val="single" w:sz="8" w:space="0" w:color="34657F" w:themeColor="accent3"/>
        </w:tcBorders>
      </w:tcPr>
    </w:tblStylePr>
    <w:tblStylePr w:type="band1Vert">
      <w:tblPr/>
      <w:tcPr>
        <w:tcBorders>
          <w:top w:val="single" w:sz="8" w:space="0" w:color="34657F" w:themeColor="accent3"/>
          <w:left w:val="single" w:sz="8" w:space="0" w:color="34657F" w:themeColor="accent3"/>
          <w:bottom w:val="single" w:sz="8" w:space="0" w:color="34657F" w:themeColor="accent3"/>
          <w:right w:val="single" w:sz="8" w:space="0" w:color="34657F" w:themeColor="accent3"/>
        </w:tcBorders>
        <w:shd w:val="clear" w:color="auto" w:fill="C4DBE7" w:themeFill="accent3" w:themeFillTint="3F"/>
      </w:tcPr>
    </w:tblStylePr>
    <w:tblStylePr w:type="band1Horz">
      <w:tblPr/>
      <w:tcPr>
        <w:tcBorders>
          <w:top w:val="single" w:sz="8" w:space="0" w:color="34657F" w:themeColor="accent3"/>
          <w:left w:val="single" w:sz="8" w:space="0" w:color="34657F" w:themeColor="accent3"/>
          <w:bottom w:val="single" w:sz="8" w:space="0" w:color="34657F" w:themeColor="accent3"/>
          <w:right w:val="single" w:sz="8" w:space="0" w:color="34657F" w:themeColor="accent3"/>
          <w:insideV w:val="single" w:sz="8" w:space="0" w:color="34657F" w:themeColor="accent3"/>
        </w:tcBorders>
        <w:shd w:val="clear" w:color="auto" w:fill="C4DBE7" w:themeFill="accent3" w:themeFillTint="3F"/>
      </w:tcPr>
    </w:tblStylePr>
    <w:tblStylePr w:type="band2Horz">
      <w:tblPr/>
      <w:tcPr>
        <w:tcBorders>
          <w:top w:val="single" w:sz="8" w:space="0" w:color="34657F" w:themeColor="accent3"/>
          <w:left w:val="single" w:sz="8" w:space="0" w:color="34657F" w:themeColor="accent3"/>
          <w:bottom w:val="single" w:sz="8" w:space="0" w:color="34657F" w:themeColor="accent3"/>
          <w:right w:val="single" w:sz="8" w:space="0" w:color="34657F" w:themeColor="accent3"/>
          <w:insideV w:val="single" w:sz="8" w:space="0" w:color="34657F" w:themeColor="accent3"/>
        </w:tcBorders>
      </w:tcPr>
    </w:tblStylePr>
  </w:style>
  <w:style w:type="table" w:styleId="LightGrid-Accent4">
    <w:name w:val="Light Grid Accent 4"/>
    <w:basedOn w:val="TableNormal"/>
    <w:uiPriority w:val="98"/>
    <w:rsid w:val="00706B41"/>
    <w:tblPr>
      <w:tblStyleRowBandSize w:val="1"/>
      <w:tblStyleColBandSize w:val="1"/>
      <w:tblInd w:w="0" w:type="dxa"/>
      <w:tblBorders>
        <w:top w:val="single" w:sz="8" w:space="0" w:color="BD9B60" w:themeColor="accent4"/>
        <w:left w:val="single" w:sz="8" w:space="0" w:color="BD9B60" w:themeColor="accent4"/>
        <w:bottom w:val="single" w:sz="8" w:space="0" w:color="BD9B60" w:themeColor="accent4"/>
        <w:right w:val="single" w:sz="8" w:space="0" w:color="BD9B60" w:themeColor="accent4"/>
        <w:insideH w:val="single" w:sz="8" w:space="0" w:color="BD9B60" w:themeColor="accent4"/>
        <w:insideV w:val="single" w:sz="8" w:space="0" w:color="BD9B6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D9B60" w:themeColor="accent4"/>
          <w:left w:val="single" w:sz="8" w:space="0" w:color="BD9B60" w:themeColor="accent4"/>
          <w:bottom w:val="single" w:sz="18" w:space="0" w:color="BD9B60" w:themeColor="accent4"/>
          <w:right w:val="single" w:sz="8" w:space="0" w:color="BD9B60" w:themeColor="accent4"/>
          <w:insideH w:val="nil"/>
          <w:insideV w:val="single" w:sz="8" w:space="0" w:color="BD9B6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9B60" w:themeColor="accent4"/>
          <w:left w:val="single" w:sz="8" w:space="0" w:color="BD9B60" w:themeColor="accent4"/>
          <w:bottom w:val="single" w:sz="8" w:space="0" w:color="BD9B60" w:themeColor="accent4"/>
          <w:right w:val="single" w:sz="8" w:space="0" w:color="BD9B60" w:themeColor="accent4"/>
          <w:insideH w:val="nil"/>
          <w:insideV w:val="single" w:sz="8" w:space="0" w:color="BD9B6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9B60" w:themeColor="accent4"/>
          <w:left w:val="single" w:sz="8" w:space="0" w:color="BD9B60" w:themeColor="accent4"/>
          <w:bottom w:val="single" w:sz="8" w:space="0" w:color="BD9B60" w:themeColor="accent4"/>
          <w:right w:val="single" w:sz="8" w:space="0" w:color="BD9B60" w:themeColor="accent4"/>
        </w:tcBorders>
      </w:tcPr>
    </w:tblStylePr>
    <w:tblStylePr w:type="band1Vert">
      <w:tblPr/>
      <w:tcPr>
        <w:tcBorders>
          <w:top w:val="single" w:sz="8" w:space="0" w:color="BD9B60" w:themeColor="accent4"/>
          <w:left w:val="single" w:sz="8" w:space="0" w:color="BD9B60" w:themeColor="accent4"/>
          <w:bottom w:val="single" w:sz="8" w:space="0" w:color="BD9B60" w:themeColor="accent4"/>
          <w:right w:val="single" w:sz="8" w:space="0" w:color="BD9B60" w:themeColor="accent4"/>
        </w:tcBorders>
        <w:shd w:val="clear" w:color="auto" w:fill="EEE6D7" w:themeFill="accent4" w:themeFillTint="3F"/>
      </w:tcPr>
    </w:tblStylePr>
    <w:tblStylePr w:type="band1Horz">
      <w:tblPr/>
      <w:tcPr>
        <w:tcBorders>
          <w:top w:val="single" w:sz="8" w:space="0" w:color="BD9B60" w:themeColor="accent4"/>
          <w:left w:val="single" w:sz="8" w:space="0" w:color="BD9B60" w:themeColor="accent4"/>
          <w:bottom w:val="single" w:sz="8" w:space="0" w:color="BD9B60" w:themeColor="accent4"/>
          <w:right w:val="single" w:sz="8" w:space="0" w:color="BD9B60" w:themeColor="accent4"/>
          <w:insideV w:val="single" w:sz="8" w:space="0" w:color="BD9B60" w:themeColor="accent4"/>
        </w:tcBorders>
        <w:shd w:val="clear" w:color="auto" w:fill="EEE6D7" w:themeFill="accent4" w:themeFillTint="3F"/>
      </w:tcPr>
    </w:tblStylePr>
    <w:tblStylePr w:type="band2Horz">
      <w:tblPr/>
      <w:tcPr>
        <w:tcBorders>
          <w:top w:val="single" w:sz="8" w:space="0" w:color="BD9B60" w:themeColor="accent4"/>
          <w:left w:val="single" w:sz="8" w:space="0" w:color="BD9B60" w:themeColor="accent4"/>
          <w:bottom w:val="single" w:sz="8" w:space="0" w:color="BD9B60" w:themeColor="accent4"/>
          <w:right w:val="single" w:sz="8" w:space="0" w:color="BD9B60" w:themeColor="accent4"/>
          <w:insideV w:val="single" w:sz="8" w:space="0" w:color="BD9B60" w:themeColor="accent4"/>
        </w:tcBorders>
      </w:tcPr>
    </w:tblStylePr>
  </w:style>
  <w:style w:type="table" w:styleId="LightGrid-Accent5">
    <w:name w:val="Light Grid Accent 5"/>
    <w:basedOn w:val="TableNormal"/>
    <w:uiPriority w:val="98"/>
    <w:rsid w:val="00706B41"/>
    <w:tblPr>
      <w:tblStyleRowBandSize w:val="1"/>
      <w:tblStyleColBandSize w:val="1"/>
      <w:tblInd w:w="0" w:type="dxa"/>
      <w:tblBorders>
        <w:top w:val="single" w:sz="8" w:space="0" w:color="696158" w:themeColor="accent5"/>
        <w:left w:val="single" w:sz="8" w:space="0" w:color="696158" w:themeColor="accent5"/>
        <w:bottom w:val="single" w:sz="8" w:space="0" w:color="696158" w:themeColor="accent5"/>
        <w:right w:val="single" w:sz="8" w:space="0" w:color="696158" w:themeColor="accent5"/>
        <w:insideH w:val="single" w:sz="8" w:space="0" w:color="696158" w:themeColor="accent5"/>
        <w:insideV w:val="single" w:sz="8" w:space="0" w:color="696158"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96158" w:themeColor="accent5"/>
          <w:left w:val="single" w:sz="8" w:space="0" w:color="696158" w:themeColor="accent5"/>
          <w:bottom w:val="single" w:sz="18" w:space="0" w:color="696158" w:themeColor="accent5"/>
          <w:right w:val="single" w:sz="8" w:space="0" w:color="696158" w:themeColor="accent5"/>
          <w:insideH w:val="nil"/>
          <w:insideV w:val="single" w:sz="8" w:space="0" w:color="69615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6158" w:themeColor="accent5"/>
          <w:left w:val="single" w:sz="8" w:space="0" w:color="696158" w:themeColor="accent5"/>
          <w:bottom w:val="single" w:sz="8" w:space="0" w:color="696158" w:themeColor="accent5"/>
          <w:right w:val="single" w:sz="8" w:space="0" w:color="696158" w:themeColor="accent5"/>
          <w:insideH w:val="nil"/>
          <w:insideV w:val="single" w:sz="8" w:space="0" w:color="69615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6158" w:themeColor="accent5"/>
          <w:left w:val="single" w:sz="8" w:space="0" w:color="696158" w:themeColor="accent5"/>
          <w:bottom w:val="single" w:sz="8" w:space="0" w:color="696158" w:themeColor="accent5"/>
          <w:right w:val="single" w:sz="8" w:space="0" w:color="696158" w:themeColor="accent5"/>
        </w:tcBorders>
      </w:tcPr>
    </w:tblStylePr>
    <w:tblStylePr w:type="band1Vert">
      <w:tblPr/>
      <w:tcPr>
        <w:tcBorders>
          <w:top w:val="single" w:sz="8" w:space="0" w:color="696158" w:themeColor="accent5"/>
          <w:left w:val="single" w:sz="8" w:space="0" w:color="696158" w:themeColor="accent5"/>
          <w:bottom w:val="single" w:sz="8" w:space="0" w:color="696158" w:themeColor="accent5"/>
          <w:right w:val="single" w:sz="8" w:space="0" w:color="696158" w:themeColor="accent5"/>
        </w:tcBorders>
        <w:shd w:val="clear" w:color="auto" w:fill="DBD8D4" w:themeFill="accent5" w:themeFillTint="3F"/>
      </w:tcPr>
    </w:tblStylePr>
    <w:tblStylePr w:type="band1Horz">
      <w:tblPr/>
      <w:tcPr>
        <w:tcBorders>
          <w:top w:val="single" w:sz="8" w:space="0" w:color="696158" w:themeColor="accent5"/>
          <w:left w:val="single" w:sz="8" w:space="0" w:color="696158" w:themeColor="accent5"/>
          <w:bottom w:val="single" w:sz="8" w:space="0" w:color="696158" w:themeColor="accent5"/>
          <w:right w:val="single" w:sz="8" w:space="0" w:color="696158" w:themeColor="accent5"/>
          <w:insideV w:val="single" w:sz="8" w:space="0" w:color="696158" w:themeColor="accent5"/>
        </w:tcBorders>
        <w:shd w:val="clear" w:color="auto" w:fill="DBD8D4" w:themeFill="accent5" w:themeFillTint="3F"/>
      </w:tcPr>
    </w:tblStylePr>
    <w:tblStylePr w:type="band2Horz">
      <w:tblPr/>
      <w:tcPr>
        <w:tcBorders>
          <w:top w:val="single" w:sz="8" w:space="0" w:color="696158" w:themeColor="accent5"/>
          <w:left w:val="single" w:sz="8" w:space="0" w:color="696158" w:themeColor="accent5"/>
          <w:bottom w:val="single" w:sz="8" w:space="0" w:color="696158" w:themeColor="accent5"/>
          <w:right w:val="single" w:sz="8" w:space="0" w:color="696158" w:themeColor="accent5"/>
          <w:insideV w:val="single" w:sz="8" w:space="0" w:color="696158" w:themeColor="accent5"/>
        </w:tcBorders>
      </w:tcPr>
    </w:tblStylePr>
  </w:style>
  <w:style w:type="table" w:styleId="LightGrid-Accent6">
    <w:name w:val="Light Grid Accent 6"/>
    <w:basedOn w:val="TableNormal"/>
    <w:uiPriority w:val="98"/>
    <w:rsid w:val="00706B41"/>
    <w:tblPr>
      <w:tblStyleRowBandSize w:val="1"/>
      <w:tblStyleColBandSize w:val="1"/>
      <w:tblInd w:w="0" w:type="dxa"/>
      <w:tblBorders>
        <w:top w:val="single" w:sz="8" w:space="0" w:color="898D8D" w:themeColor="accent6"/>
        <w:left w:val="single" w:sz="8" w:space="0" w:color="898D8D" w:themeColor="accent6"/>
        <w:bottom w:val="single" w:sz="8" w:space="0" w:color="898D8D" w:themeColor="accent6"/>
        <w:right w:val="single" w:sz="8" w:space="0" w:color="898D8D" w:themeColor="accent6"/>
        <w:insideH w:val="single" w:sz="8" w:space="0" w:color="898D8D" w:themeColor="accent6"/>
        <w:insideV w:val="single" w:sz="8" w:space="0" w:color="898D8D"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98D8D" w:themeColor="accent6"/>
          <w:left w:val="single" w:sz="8" w:space="0" w:color="898D8D" w:themeColor="accent6"/>
          <w:bottom w:val="single" w:sz="18" w:space="0" w:color="898D8D" w:themeColor="accent6"/>
          <w:right w:val="single" w:sz="8" w:space="0" w:color="898D8D" w:themeColor="accent6"/>
          <w:insideH w:val="nil"/>
          <w:insideV w:val="single" w:sz="8" w:space="0" w:color="898D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8D8D" w:themeColor="accent6"/>
          <w:left w:val="single" w:sz="8" w:space="0" w:color="898D8D" w:themeColor="accent6"/>
          <w:bottom w:val="single" w:sz="8" w:space="0" w:color="898D8D" w:themeColor="accent6"/>
          <w:right w:val="single" w:sz="8" w:space="0" w:color="898D8D" w:themeColor="accent6"/>
          <w:insideH w:val="nil"/>
          <w:insideV w:val="single" w:sz="8" w:space="0" w:color="898D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8D8D" w:themeColor="accent6"/>
          <w:left w:val="single" w:sz="8" w:space="0" w:color="898D8D" w:themeColor="accent6"/>
          <w:bottom w:val="single" w:sz="8" w:space="0" w:color="898D8D" w:themeColor="accent6"/>
          <w:right w:val="single" w:sz="8" w:space="0" w:color="898D8D" w:themeColor="accent6"/>
        </w:tcBorders>
      </w:tcPr>
    </w:tblStylePr>
    <w:tblStylePr w:type="band1Vert">
      <w:tblPr/>
      <w:tcPr>
        <w:tcBorders>
          <w:top w:val="single" w:sz="8" w:space="0" w:color="898D8D" w:themeColor="accent6"/>
          <w:left w:val="single" w:sz="8" w:space="0" w:color="898D8D" w:themeColor="accent6"/>
          <w:bottom w:val="single" w:sz="8" w:space="0" w:color="898D8D" w:themeColor="accent6"/>
          <w:right w:val="single" w:sz="8" w:space="0" w:color="898D8D" w:themeColor="accent6"/>
        </w:tcBorders>
        <w:shd w:val="clear" w:color="auto" w:fill="E1E2E2" w:themeFill="accent6" w:themeFillTint="3F"/>
      </w:tcPr>
    </w:tblStylePr>
    <w:tblStylePr w:type="band1Horz">
      <w:tblPr/>
      <w:tcPr>
        <w:tcBorders>
          <w:top w:val="single" w:sz="8" w:space="0" w:color="898D8D" w:themeColor="accent6"/>
          <w:left w:val="single" w:sz="8" w:space="0" w:color="898D8D" w:themeColor="accent6"/>
          <w:bottom w:val="single" w:sz="8" w:space="0" w:color="898D8D" w:themeColor="accent6"/>
          <w:right w:val="single" w:sz="8" w:space="0" w:color="898D8D" w:themeColor="accent6"/>
          <w:insideV w:val="single" w:sz="8" w:space="0" w:color="898D8D" w:themeColor="accent6"/>
        </w:tcBorders>
        <w:shd w:val="clear" w:color="auto" w:fill="E1E2E2" w:themeFill="accent6" w:themeFillTint="3F"/>
      </w:tcPr>
    </w:tblStylePr>
    <w:tblStylePr w:type="band2Horz">
      <w:tblPr/>
      <w:tcPr>
        <w:tcBorders>
          <w:top w:val="single" w:sz="8" w:space="0" w:color="898D8D" w:themeColor="accent6"/>
          <w:left w:val="single" w:sz="8" w:space="0" w:color="898D8D" w:themeColor="accent6"/>
          <w:bottom w:val="single" w:sz="8" w:space="0" w:color="898D8D" w:themeColor="accent6"/>
          <w:right w:val="single" w:sz="8" w:space="0" w:color="898D8D" w:themeColor="accent6"/>
          <w:insideV w:val="single" w:sz="8" w:space="0" w:color="898D8D" w:themeColor="accent6"/>
        </w:tcBorders>
      </w:tcPr>
    </w:tblStylePr>
  </w:style>
  <w:style w:type="table" w:styleId="LightList">
    <w:name w:val="Light List"/>
    <w:basedOn w:val="TableNormal"/>
    <w:uiPriority w:val="98"/>
    <w:rsid w:val="00706B4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Ind w:w="0" w:type="dxa"/>
      <w:tblBorders>
        <w:top w:val="single" w:sz="8" w:space="0" w:color="353E49" w:themeColor="accent1"/>
        <w:left w:val="single" w:sz="8" w:space="0" w:color="353E49" w:themeColor="accent1"/>
        <w:bottom w:val="single" w:sz="8" w:space="0" w:color="353E49" w:themeColor="accent1"/>
        <w:right w:val="single" w:sz="8" w:space="0" w:color="353E49"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353E49" w:themeFill="accent1"/>
      </w:tcPr>
    </w:tblStylePr>
    <w:tblStylePr w:type="lastRow">
      <w:pPr>
        <w:spacing w:before="0" w:after="0" w:line="240" w:lineRule="auto"/>
      </w:pPr>
      <w:rPr>
        <w:b/>
        <w:bCs/>
      </w:rPr>
      <w:tblPr/>
      <w:tcPr>
        <w:tcBorders>
          <w:top w:val="double" w:sz="6" w:space="0" w:color="353E49" w:themeColor="accent1"/>
          <w:left w:val="single" w:sz="8" w:space="0" w:color="353E49" w:themeColor="accent1"/>
          <w:bottom w:val="single" w:sz="8" w:space="0" w:color="353E49" w:themeColor="accent1"/>
          <w:right w:val="single" w:sz="8" w:space="0" w:color="353E49" w:themeColor="accent1"/>
        </w:tcBorders>
      </w:tcPr>
    </w:tblStylePr>
    <w:tblStylePr w:type="firstCol">
      <w:rPr>
        <w:b/>
        <w:bCs/>
      </w:rPr>
    </w:tblStylePr>
    <w:tblStylePr w:type="lastCol">
      <w:rPr>
        <w:b/>
        <w:bCs/>
      </w:rPr>
    </w:tblStylePr>
    <w:tblStylePr w:type="band1Vert">
      <w:tblPr/>
      <w:tcPr>
        <w:tcBorders>
          <w:top w:val="single" w:sz="8" w:space="0" w:color="353E49" w:themeColor="accent1"/>
          <w:left w:val="single" w:sz="8" w:space="0" w:color="353E49" w:themeColor="accent1"/>
          <w:bottom w:val="single" w:sz="8" w:space="0" w:color="353E49" w:themeColor="accent1"/>
          <w:right w:val="single" w:sz="8" w:space="0" w:color="353E49" w:themeColor="accent1"/>
        </w:tcBorders>
      </w:tcPr>
    </w:tblStylePr>
    <w:tblStylePr w:type="band1Horz">
      <w:tblPr/>
      <w:tcPr>
        <w:tcBorders>
          <w:top w:val="single" w:sz="8" w:space="0" w:color="353E49" w:themeColor="accent1"/>
          <w:left w:val="single" w:sz="8" w:space="0" w:color="353E49" w:themeColor="accent1"/>
          <w:bottom w:val="single" w:sz="8" w:space="0" w:color="353E49" w:themeColor="accent1"/>
          <w:right w:val="single" w:sz="8" w:space="0" w:color="353E49" w:themeColor="accent1"/>
        </w:tcBorders>
      </w:tcPr>
    </w:tblStylePr>
  </w:style>
  <w:style w:type="table" w:styleId="LightList-Accent2">
    <w:name w:val="Light List Accent 2"/>
    <w:basedOn w:val="TableNormal"/>
    <w:uiPriority w:val="98"/>
    <w:rsid w:val="00706B41"/>
    <w:tblPr>
      <w:tblStyleRowBandSize w:val="1"/>
      <w:tblStyleColBandSize w:val="1"/>
      <w:tblInd w:w="0" w:type="dxa"/>
      <w:tblBorders>
        <w:top w:val="single" w:sz="8" w:space="0" w:color="AFA778" w:themeColor="accent2"/>
        <w:left w:val="single" w:sz="8" w:space="0" w:color="AFA778" w:themeColor="accent2"/>
        <w:bottom w:val="single" w:sz="8" w:space="0" w:color="AFA778" w:themeColor="accent2"/>
        <w:right w:val="single" w:sz="8" w:space="0" w:color="AFA778"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FA778" w:themeFill="accent2"/>
      </w:tcPr>
    </w:tblStylePr>
    <w:tblStylePr w:type="lastRow">
      <w:pPr>
        <w:spacing w:before="0" w:after="0" w:line="240" w:lineRule="auto"/>
      </w:pPr>
      <w:rPr>
        <w:b/>
        <w:bCs/>
      </w:rPr>
      <w:tblPr/>
      <w:tcPr>
        <w:tcBorders>
          <w:top w:val="double" w:sz="6" w:space="0" w:color="AFA778" w:themeColor="accent2"/>
          <w:left w:val="single" w:sz="8" w:space="0" w:color="AFA778" w:themeColor="accent2"/>
          <w:bottom w:val="single" w:sz="8" w:space="0" w:color="AFA778" w:themeColor="accent2"/>
          <w:right w:val="single" w:sz="8" w:space="0" w:color="AFA778" w:themeColor="accent2"/>
        </w:tcBorders>
      </w:tcPr>
    </w:tblStylePr>
    <w:tblStylePr w:type="firstCol">
      <w:rPr>
        <w:b/>
        <w:bCs/>
      </w:rPr>
    </w:tblStylePr>
    <w:tblStylePr w:type="lastCol">
      <w:rPr>
        <w:b/>
        <w:bCs/>
      </w:rPr>
    </w:tblStylePr>
    <w:tblStylePr w:type="band1Vert">
      <w:tblPr/>
      <w:tcPr>
        <w:tcBorders>
          <w:top w:val="single" w:sz="8" w:space="0" w:color="AFA778" w:themeColor="accent2"/>
          <w:left w:val="single" w:sz="8" w:space="0" w:color="AFA778" w:themeColor="accent2"/>
          <w:bottom w:val="single" w:sz="8" w:space="0" w:color="AFA778" w:themeColor="accent2"/>
          <w:right w:val="single" w:sz="8" w:space="0" w:color="AFA778" w:themeColor="accent2"/>
        </w:tcBorders>
      </w:tcPr>
    </w:tblStylePr>
    <w:tblStylePr w:type="band1Horz">
      <w:tblPr/>
      <w:tcPr>
        <w:tcBorders>
          <w:top w:val="single" w:sz="8" w:space="0" w:color="AFA778" w:themeColor="accent2"/>
          <w:left w:val="single" w:sz="8" w:space="0" w:color="AFA778" w:themeColor="accent2"/>
          <w:bottom w:val="single" w:sz="8" w:space="0" w:color="AFA778" w:themeColor="accent2"/>
          <w:right w:val="single" w:sz="8" w:space="0" w:color="AFA778" w:themeColor="accent2"/>
        </w:tcBorders>
      </w:tcPr>
    </w:tblStylePr>
  </w:style>
  <w:style w:type="table" w:styleId="LightList-Accent3">
    <w:name w:val="Light List Accent 3"/>
    <w:basedOn w:val="TableNormal"/>
    <w:uiPriority w:val="98"/>
    <w:rsid w:val="00706B41"/>
    <w:tblPr>
      <w:tblStyleRowBandSize w:val="1"/>
      <w:tblStyleColBandSize w:val="1"/>
      <w:tblInd w:w="0" w:type="dxa"/>
      <w:tblBorders>
        <w:top w:val="single" w:sz="8" w:space="0" w:color="34657F" w:themeColor="accent3"/>
        <w:left w:val="single" w:sz="8" w:space="0" w:color="34657F" w:themeColor="accent3"/>
        <w:bottom w:val="single" w:sz="8" w:space="0" w:color="34657F" w:themeColor="accent3"/>
        <w:right w:val="single" w:sz="8" w:space="0" w:color="34657F"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34657F" w:themeFill="accent3"/>
      </w:tcPr>
    </w:tblStylePr>
    <w:tblStylePr w:type="lastRow">
      <w:pPr>
        <w:spacing w:before="0" w:after="0" w:line="240" w:lineRule="auto"/>
      </w:pPr>
      <w:rPr>
        <w:b/>
        <w:bCs/>
      </w:rPr>
      <w:tblPr/>
      <w:tcPr>
        <w:tcBorders>
          <w:top w:val="double" w:sz="6" w:space="0" w:color="34657F" w:themeColor="accent3"/>
          <w:left w:val="single" w:sz="8" w:space="0" w:color="34657F" w:themeColor="accent3"/>
          <w:bottom w:val="single" w:sz="8" w:space="0" w:color="34657F" w:themeColor="accent3"/>
          <w:right w:val="single" w:sz="8" w:space="0" w:color="34657F" w:themeColor="accent3"/>
        </w:tcBorders>
      </w:tcPr>
    </w:tblStylePr>
    <w:tblStylePr w:type="firstCol">
      <w:rPr>
        <w:b/>
        <w:bCs/>
      </w:rPr>
    </w:tblStylePr>
    <w:tblStylePr w:type="lastCol">
      <w:rPr>
        <w:b/>
        <w:bCs/>
      </w:rPr>
    </w:tblStylePr>
    <w:tblStylePr w:type="band1Vert">
      <w:tblPr/>
      <w:tcPr>
        <w:tcBorders>
          <w:top w:val="single" w:sz="8" w:space="0" w:color="34657F" w:themeColor="accent3"/>
          <w:left w:val="single" w:sz="8" w:space="0" w:color="34657F" w:themeColor="accent3"/>
          <w:bottom w:val="single" w:sz="8" w:space="0" w:color="34657F" w:themeColor="accent3"/>
          <w:right w:val="single" w:sz="8" w:space="0" w:color="34657F" w:themeColor="accent3"/>
        </w:tcBorders>
      </w:tcPr>
    </w:tblStylePr>
    <w:tblStylePr w:type="band1Horz">
      <w:tblPr/>
      <w:tcPr>
        <w:tcBorders>
          <w:top w:val="single" w:sz="8" w:space="0" w:color="34657F" w:themeColor="accent3"/>
          <w:left w:val="single" w:sz="8" w:space="0" w:color="34657F" w:themeColor="accent3"/>
          <w:bottom w:val="single" w:sz="8" w:space="0" w:color="34657F" w:themeColor="accent3"/>
          <w:right w:val="single" w:sz="8" w:space="0" w:color="34657F" w:themeColor="accent3"/>
        </w:tcBorders>
      </w:tcPr>
    </w:tblStylePr>
  </w:style>
  <w:style w:type="table" w:styleId="LightList-Accent4">
    <w:name w:val="Light List Accent 4"/>
    <w:basedOn w:val="TableNormal"/>
    <w:uiPriority w:val="98"/>
    <w:rsid w:val="00706B41"/>
    <w:tblPr>
      <w:tblStyleRowBandSize w:val="1"/>
      <w:tblStyleColBandSize w:val="1"/>
      <w:tblInd w:w="0" w:type="dxa"/>
      <w:tblBorders>
        <w:top w:val="single" w:sz="8" w:space="0" w:color="BD9B60" w:themeColor="accent4"/>
        <w:left w:val="single" w:sz="8" w:space="0" w:color="BD9B60" w:themeColor="accent4"/>
        <w:bottom w:val="single" w:sz="8" w:space="0" w:color="BD9B60" w:themeColor="accent4"/>
        <w:right w:val="single" w:sz="8" w:space="0" w:color="BD9B6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D9B60" w:themeFill="accent4"/>
      </w:tcPr>
    </w:tblStylePr>
    <w:tblStylePr w:type="lastRow">
      <w:pPr>
        <w:spacing w:before="0" w:after="0" w:line="240" w:lineRule="auto"/>
      </w:pPr>
      <w:rPr>
        <w:b/>
        <w:bCs/>
      </w:rPr>
      <w:tblPr/>
      <w:tcPr>
        <w:tcBorders>
          <w:top w:val="double" w:sz="6" w:space="0" w:color="BD9B60" w:themeColor="accent4"/>
          <w:left w:val="single" w:sz="8" w:space="0" w:color="BD9B60" w:themeColor="accent4"/>
          <w:bottom w:val="single" w:sz="8" w:space="0" w:color="BD9B60" w:themeColor="accent4"/>
          <w:right w:val="single" w:sz="8" w:space="0" w:color="BD9B60" w:themeColor="accent4"/>
        </w:tcBorders>
      </w:tcPr>
    </w:tblStylePr>
    <w:tblStylePr w:type="firstCol">
      <w:rPr>
        <w:b/>
        <w:bCs/>
      </w:rPr>
    </w:tblStylePr>
    <w:tblStylePr w:type="lastCol">
      <w:rPr>
        <w:b/>
        <w:bCs/>
      </w:rPr>
    </w:tblStylePr>
    <w:tblStylePr w:type="band1Vert">
      <w:tblPr/>
      <w:tcPr>
        <w:tcBorders>
          <w:top w:val="single" w:sz="8" w:space="0" w:color="BD9B60" w:themeColor="accent4"/>
          <w:left w:val="single" w:sz="8" w:space="0" w:color="BD9B60" w:themeColor="accent4"/>
          <w:bottom w:val="single" w:sz="8" w:space="0" w:color="BD9B60" w:themeColor="accent4"/>
          <w:right w:val="single" w:sz="8" w:space="0" w:color="BD9B60" w:themeColor="accent4"/>
        </w:tcBorders>
      </w:tcPr>
    </w:tblStylePr>
    <w:tblStylePr w:type="band1Horz">
      <w:tblPr/>
      <w:tcPr>
        <w:tcBorders>
          <w:top w:val="single" w:sz="8" w:space="0" w:color="BD9B60" w:themeColor="accent4"/>
          <w:left w:val="single" w:sz="8" w:space="0" w:color="BD9B60" w:themeColor="accent4"/>
          <w:bottom w:val="single" w:sz="8" w:space="0" w:color="BD9B60" w:themeColor="accent4"/>
          <w:right w:val="single" w:sz="8" w:space="0" w:color="BD9B60" w:themeColor="accent4"/>
        </w:tcBorders>
      </w:tcPr>
    </w:tblStylePr>
  </w:style>
  <w:style w:type="table" w:styleId="LightList-Accent5">
    <w:name w:val="Light List Accent 5"/>
    <w:basedOn w:val="TableNormal"/>
    <w:uiPriority w:val="98"/>
    <w:rsid w:val="00706B41"/>
    <w:tblPr>
      <w:tblStyleRowBandSize w:val="1"/>
      <w:tblStyleColBandSize w:val="1"/>
      <w:tblInd w:w="0" w:type="dxa"/>
      <w:tblBorders>
        <w:top w:val="single" w:sz="8" w:space="0" w:color="696158" w:themeColor="accent5"/>
        <w:left w:val="single" w:sz="8" w:space="0" w:color="696158" w:themeColor="accent5"/>
        <w:bottom w:val="single" w:sz="8" w:space="0" w:color="696158" w:themeColor="accent5"/>
        <w:right w:val="single" w:sz="8" w:space="0" w:color="696158"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96158" w:themeFill="accent5"/>
      </w:tcPr>
    </w:tblStylePr>
    <w:tblStylePr w:type="lastRow">
      <w:pPr>
        <w:spacing w:before="0" w:after="0" w:line="240" w:lineRule="auto"/>
      </w:pPr>
      <w:rPr>
        <w:b/>
        <w:bCs/>
      </w:rPr>
      <w:tblPr/>
      <w:tcPr>
        <w:tcBorders>
          <w:top w:val="double" w:sz="6" w:space="0" w:color="696158" w:themeColor="accent5"/>
          <w:left w:val="single" w:sz="8" w:space="0" w:color="696158" w:themeColor="accent5"/>
          <w:bottom w:val="single" w:sz="8" w:space="0" w:color="696158" w:themeColor="accent5"/>
          <w:right w:val="single" w:sz="8" w:space="0" w:color="696158" w:themeColor="accent5"/>
        </w:tcBorders>
      </w:tcPr>
    </w:tblStylePr>
    <w:tblStylePr w:type="firstCol">
      <w:rPr>
        <w:b/>
        <w:bCs/>
      </w:rPr>
    </w:tblStylePr>
    <w:tblStylePr w:type="lastCol">
      <w:rPr>
        <w:b/>
        <w:bCs/>
      </w:rPr>
    </w:tblStylePr>
    <w:tblStylePr w:type="band1Vert">
      <w:tblPr/>
      <w:tcPr>
        <w:tcBorders>
          <w:top w:val="single" w:sz="8" w:space="0" w:color="696158" w:themeColor="accent5"/>
          <w:left w:val="single" w:sz="8" w:space="0" w:color="696158" w:themeColor="accent5"/>
          <w:bottom w:val="single" w:sz="8" w:space="0" w:color="696158" w:themeColor="accent5"/>
          <w:right w:val="single" w:sz="8" w:space="0" w:color="696158" w:themeColor="accent5"/>
        </w:tcBorders>
      </w:tcPr>
    </w:tblStylePr>
    <w:tblStylePr w:type="band1Horz">
      <w:tblPr/>
      <w:tcPr>
        <w:tcBorders>
          <w:top w:val="single" w:sz="8" w:space="0" w:color="696158" w:themeColor="accent5"/>
          <w:left w:val="single" w:sz="8" w:space="0" w:color="696158" w:themeColor="accent5"/>
          <w:bottom w:val="single" w:sz="8" w:space="0" w:color="696158" w:themeColor="accent5"/>
          <w:right w:val="single" w:sz="8" w:space="0" w:color="696158" w:themeColor="accent5"/>
        </w:tcBorders>
      </w:tcPr>
    </w:tblStylePr>
  </w:style>
  <w:style w:type="table" w:styleId="LightList-Accent6">
    <w:name w:val="Light List Accent 6"/>
    <w:basedOn w:val="TableNormal"/>
    <w:uiPriority w:val="98"/>
    <w:rsid w:val="00706B41"/>
    <w:tblPr>
      <w:tblStyleRowBandSize w:val="1"/>
      <w:tblStyleColBandSize w:val="1"/>
      <w:tblInd w:w="0" w:type="dxa"/>
      <w:tblBorders>
        <w:top w:val="single" w:sz="8" w:space="0" w:color="898D8D" w:themeColor="accent6"/>
        <w:left w:val="single" w:sz="8" w:space="0" w:color="898D8D" w:themeColor="accent6"/>
        <w:bottom w:val="single" w:sz="8" w:space="0" w:color="898D8D" w:themeColor="accent6"/>
        <w:right w:val="single" w:sz="8" w:space="0" w:color="898D8D"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98D8D" w:themeFill="accent6"/>
      </w:tcPr>
    </w:tblStylePr>
    <w:tblStylePr w:type="lastRow">
      <w:pPr>
        <w:spacing w:before="0" w:after="0" w:line="240" w:lineRule="auto"/>
      </w:pPr>
      <w:rPr>
        <w:b/>
        <w:bCs/>
      </w:rPr>
      <w:tblPr/>
      <w:tcPr>
        <w:tcBorders>
          <w:top w:val="double" w:sz="6" w:space="0" w:color="898D8D" w:themeColor="accent6"/>
          <w:left w:val="single" w:sz="8" w:space="0" w:color="898D8D" w:themeColor="accent6"/>
          <w:bottom w:val="single" w:sz="8" w:space="0" w:color="898D8D" w:themeColor="accent6"/>
          <w:right w:val="single" w:sz="8" w:space="0" w:color="898D8D" w:themeColor="accent6"/>
        </w:tcBorders>
      </w:tcPr>
    </w:tblStylePr>
    <w:tblStylePr w:type="firstCol">
      <w:rPr>
        <w:b/>
        <w:bCs/>
      </w:rPr>
    </w:tblStylePr>
    <w:tblStylePr w:type="lastCol">
      <w:rPr>
        <w:b/>
        <w:bCs/>
      </w:rPr>
    </w:tblStylePr>
    <w:tblStylePr w:type="band1Vert">
      <w:tblPr/>
      <w:tcPr>
        <w:tcBorders>
          <w:top w:val="single" w:sz="8" w:space="0" w:color="898D8D" w:themeColor="accent6"/>
          <w:left w:val="single" w:sz="8" w:space="0" w:color="898D8D" w:themeColor="accent6"/>
          <w:bottom w:val="single" w:sz="8" w:space="0" w:color="898D8D" w:themeColor="accent6"/>
          <w:right w:val="single" w:sz="8" w:space="0" w:color="898D8D" w:themeColor="accent6"/>
        </w:tcBorders>
      </w:tcPr>
    </w:tblStylePr>
    <w:tblStylePr w:type="band1Horz">
      <w:tblPr/>
      <w:tcPr>
        <w:tcBorders>
          <w:top w:val="single" w:sz="8" w:space="0" w:color="898D8D" w:themeColor="accent6"/>
          <w:left w:val="single" w:sz="8" w:space="0" w:color="898D8D" w:themeColor="accent6"/>
          <w:bottom w:val="single" w:sz="8" w:space="0" w:color="898D8D" w:themeColor="accent6"/>
          <w:right w:val="single" w:sz="8" w:space="0" w:color="898D8D"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272E36" w:themeColor="accent1" w:themeShade="BF"/>
    </w:rPr>
    <w:tblPr>
      <w:tblStyleRowBandSize w:val="1"/>
      <w:tblStyleColBandSize w:val="1"/>
      <w:tblInd w:w="0" w:type="dxa"/>
      <w:tblBorders>
        <w:top w:val="single" w:sz="8" w:space="0" w:color="353E49" w:themeColor="accent1"/>
        <w:bottom w:val="single" w:sz="8" w:space="0" w:color="353E49"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353E49" w:themeColor="accent1"/>
          <w:left w:val="nil"/>
          <w:bottom w:val="single" w:sz="8" w:space="0" w:color="353E49" w:themeColor="accent1"/>
          <w:right w:val="nil"/>
          <w:insideH w:val="nil"/>
          <w:insideV w:val="nil"/>
        </w:tcBorders>
      </w:tcPr>
    </w:tblStylePr>
    <w:tblStylePr w:type="lastRow">
      <w:pPr>
        <w:spacing w:before="0" w:after="0" w:line="240" w:lineRule="auto"/>
      </w:pPr>
      <w:rPr>
        <w:b/>
        <w:bCs/>
      </w:rPr>
      <w:tblPr/>
      <w:tcPr>
        <w:tcBorders>
          <w:top w:val="single" w:sz="8" w:space="0" w:color="353E49" w:themeColor="accent1"/>
          <w:left w:val="nil"/>
          <w:bottom w:val="single" w:sz="8" w:space="0" w:color="353E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ED7" w:themeFill="accent1" w:themeFillTint="3F"/>
      </w:tcPr>
    </w:tblStylePr>
    <w:tblStylePr w:type="band1Horz">
      <w:tblPr/>
      <w:tcPr>
        <w:tcBorders>
          <w:left w:val="nil"/>
          <w:right w:val="nil"/>
          <w:insideH w:val="nil"/>
          <w:insideV w:val="nil"/>
        </w:tcBorders>
        <w:shd w:val="clear" w:color="auto" w:fill="C7CED7" w:themeFill="accent1" w:themeFillTint="3F"/>
      </w:tcPr>
    </w:tblStylePr>
  </w:style>
  <w:style w:type="table" w:styleId="LightShading-Accent2">
    <w:name w:val="Light Shading Accent 2"/>
    <w:basedOn w:val="TableNormal"/>
    <w:uiPriority w:val="98"/>
    <w:rsid w:val="00706B41"/>
    <w:rPr>
      <w:color w:val="8A8252" w:themeColor="accent2" w:themeShade="BF"/>
    </w:rPr>
    <w:tblPr>
      <w:tblStyleRowBandSize w:val="1"/>
      <w:tblStyleColBandSize w:val="1"/>
      <w:tblInd w:w="0" w:type="dxa"/>
      <w:tblBorders>
        <w:top w:val="single" w:sz="8" w:space="0" w:color="AFA778" w:themeColor="accent2"/>
        <w:bottom w:val="single" w:sz="8" w:space="0" w:color="AFA778"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FA778" w:themeColor="accent2"/>
          <w:left w:val="nil"/>
          <w:bottom w:val="single" w:sz="8" w:space="0" w:color="AFA778" w:themeColor="accent2"/>
          <w:right w:val="nil"/>
          <w:insideH w:val="nil"/>
          <w:insideV w:val="nil"/>
        </w:tcBorders>
      </w:tcPr>
    </w:tblStylePr>
    <w:tblStylePr w:type="lastRow">
      <w:pPr>
        <w:spacing w:before="0" w:after="0" w:line="240" w:lineRule="auto"/>
      </w:pPr>
      <w:rPr>
        <w:b/>
        <w:bCs/>
      </w:rPr>
      <w:tblPr/>
      <w:tcPr>
        <w:tcBorders>
          <w:top w:val="single" w:sz="8" w:space="0" w:color="AFA778" w:themeColor="accent2"/>
          <w:left w:val="nil"/>
          <w:bottom w:val="single" w:sz="8" w:space="0" w:color="AFA77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9DD" w:themeFill="accent2" w:themeFillTint="3F"/>
      </w:tcPr>
    </w:tblStylePr>
    <w:tblStylePr w:type="band1Horz">
      <w:tblPr/>
      <w:tcPr>
        <w:tcBorders>
          <w:left w:val="nil"/>
          <w:right w:val="nil"/>
          <w:insideH w:val="nil"/>
          <w:insideV w:val="nil"/>
        </w:tcBorders>
        <w:shd w:val="clear" w:color="auto" w:fill="EBE9DD" w:themeFill="accent2" w:themeFillTint="3F"/>
      </w:tcPr>
    </w:tblStylePr>
  </w:style>
  <w:style w:type="table" w:styleId="LightShading-Accent3">
    <w:name w:val="Light Shading Accent 3"/>
    <w:basedOn w:val="TableNormal"/>
    <w:uiPriority w:val="98"/>
    <w:rsid w:val="00706B41"/>
    <w:rPr>
      <w:color w:val="274B5F" w:themeColor="accent3" w:themeShade="BF"/>
    </w:rPr>
    <w:tblPr>
      <w:tblStyleRowBandSize w:val="1"/>
      <w:tblStyleColBandSize w:val="1"/>
      <w:tblInd w:w="0" w:type="dxa"/>
      <w:tblBorders>
        <w:top w:val="single" w:sz="8" w:space="0" w:color="34657F" w:themeColor="accent3"/>
        <w:bottom w:val="single" w:sz="8" w:space="0" w:color="34657F"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34657F" w:themeColor="accent3"/>
          <w:left w:val="nil"/>
          <w:bottom w:val="single" w:sz="8" w:space="0" w:color="34657F" w:themeColor="accent3"/>
          <w:right w:val="nil"/>
          <w:insideH w:val="nil"/>
          <w:insideV w:val="nil"/>
        </w:tcBorders>
      </w:tcPr>
    </w:tblStylePr>
    <w:tblStylePr w:type="lastRow">
      <w:pPr>
        <w:spacing w:before="0" w:after="0" w:line="240" w:lineRule="auto"/>
      </w:pPr>
      <w:rPr>
        <w:b/>
        <w:bCs/>
      </w:rPr>
      <w:tblPr/>
      <w:tcPr>
        <w:tcBorders>
          <w:top w:val="single" w:sz="8" w:space="0" w:color="34657F" w:themeColor="accent3"/>
          <w:left w:val="nil"/>
          <w:bottom w:val="single" w:sz="8" w:space="0" w:color="34657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BE7" w:themeFill="accent3" w:themeFillTint="3F"/>
      </w:tcPr>
    </w:tblStylePr>
    <w:tblStylePr w:type="band1Horz">
      <w:tblPr/>
      <w:tcPr>
        <w:tcBorders>
          <w:left w:val="nil"/>
          <w:right w:val="nil"/>
          <w:insideH w:val="nil"/>
          <w:insideV w:val="nil"/>
        </w:tcBorders>
        <w:shd w:val="clear" w:color="auto" w:fill="C4DBE7" w:themeFill="accent3" w:themeFillTint="3F"/>
      </w:tcPr>
    </w:tblStylePr>
  </w:style>
  <w:style w:type="table" w:styleId="LightShading-Accent4">
    <w:name w:val="Light Shading Accent 4"/>
    <w:basedOn w:val="TableNormal"/>
    <w:uiPriority w:val="98"/>
    <w:rsid w:val="00706B41"/>
    <w:rPr>
      <w:color w:val="96763E" w:themeColor="accent4" w:themeShade="BF"/>
    </w:rPr>
    <w:tblPr>
      <w:tblStyleRowBandSize w:val="1"/>
      <w:tblStyleColBandSize w:val="1"/>
      <w:tblInd w:w="0" w:type="dxa"/>
      <w:tblBorders>
        <w:top w:val="single" w:sz="8" w:space="0" w:color="BD9B60" w:themeColor="accent4"/>
        <w:bottom w:val="single" w:sz="8" w:space="0" w:color="BD9B6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D9B60" w:themeColor="accent4"/>
          <w:left w:val="nil"/>
          <w:bottom w:val="single" w:sz="8" w:space="0" w:color="BD9B60" w:themeColor="accent4"/>
          <w:right w:val="nil"/>
          <w:insideH w:val="nil"/>
          <w:insideV w:val="nil"/>
        </w:tcBorders>
      </w:tcPr>
    </w:tblStylePr>
    <w:tblStylePr w:type="lastRow">
      <w:pPr>
        <w:spacing w:before="0" w:after="0" w:line="240" w:lineRule="auto"/>
      </w:pPr>
      <w:rPr>
        <w:b/>
        <w:bCs/>
      </w:rPr>
      <w:tblPr/>
      <w:tcPr>
        <w:tcBorders>
          <w:top w:val="single" w:sz="8" w:space="0" w:color="BD9B60" w:themeColor="accent4"/>
          <w:left w:val="nil"/>
          <w:bottom w:val="single" w:sz="8" w:space="0" w:color="BD9B6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6D7" w:themeFill="accent4" w:themeFillTint="3F"/>
      </w:tcPr>
    </w:tblStylePr>
    <w:tblStylePr w:type="band1Horz">
      <w:tblPr/>
      <w:tcPr>
        <w:tcBorders>
          <w:left w:val="nil"/>
          <w:right w:val="nil"/>
          <w:insideH w:val="nil"/>
          <w:insideV w:val="nil"/>
        </w:tcBorders>
        <w:shd w:val="clear" w:color="auto" w:fill="EEE6D7" w:themeFill="accent4" w:themeFillTint="3F"/>
      </w:tcPr>
    </w:tblStylePr>
  </w:style>
  <w:style w:type="table" w:styleId="LightShading-Accent5">
    <w:name w:val="Light Shading Accent 5"/>
    <w:basedOn w:val="TableNormal"/>
    <w:uiPriority w:val="98"/>
    <w:rsid w:val="00706B41"/>
    <w:rPr>
      <w:color w:val="4E4842" w:themeColor="accent5" w:themeShade="BF"/>
    </w:rPr>
    <w:tblPr>
      <w:tblStyleRowBandSize w:val="1"/>
      <w:tblStyleColBandSize w:val="1"/>
      <w:tblInd w:w="0" w:type="dxa"/>
      <w:tblBorders>
        <w:top w:val="single" w:sz="8" w:space="0" w:color="696158" w:themeColor="accent5"/>
        <w:bottom w:val="single" w:sz="8" w:space="0" w:color="696158"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96158" w:themeColor="accent5"/>
          <w:left w:val="nil"/>
          <w:bottom w:val="single" w:sz="8" w:space="0" w:color="696158" w:themeColor="accent5"/>
          <w:right w:val="nil"/>
          <w:insideH w:val="nil"/>
          <w:insideV w:val="nil"/>
        </w:tcBorders>
      </w:tcPr>
    </w:tblStylePr>
    <w:tblStylePr w:type="lastRow">
      <w:pPr>
        <w:spacing w:before="0" w:after="0" w:line="240" w:lineRule="auto"/>
      </w:pPr>
      <w:rPr>
        <w:b/>
        <w:bCs/>
      </w:rPr>
      <w:tblPr/>
      <w:tcPr>
        <w:tcBorders>
          <w:top w:val="single" w:sz="8" w:space="0" w:color="696158" w:themeColor="accent5"/>
          <w:left w:val="nil"/>
          <w:bottom w:val="single" w:sz="8" w:space="0" w:color="69615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8D4" w:themeFill="accent5" w:themeFillTint="3F"/>
      </w:tcPr>
    </w:tblStylePr>
    <w:tblStylePr w:type="band1Horz">
      <w:tblPr/>
      <w:tcPr>
        <w:tcBorders>
          <w:left w:val="nil"/>
          <w:right w:val="nil"/>
          <w:insideH w:val="nil"/>
          <w:insideV w:val="nil"/>
        </w:tcBorders>
        <w:shd w:val="clear" w:color="auto" w:fill="DBD8D4" w:themeFill="accent5" w:themeFillTint="3F"/>
      </w:tcPr>
    </w:tblStylePr>
  </w:style>
  <w:style w:type="table" w:styleId="LightShading-Accent6">
    <w:name w:val="Light Shading Accent 6"/>
    <w:basedOn w:val="TableNormal"/>
    <w:uiPriority w:val="98"/>
    <w:rsid w:val="00706B41"/>
    <w:rPr>
      <w:color w:val="666969" w:themeColor="accent6" w:themeShade="BF"/>
    </w:rPr>
    <w:tblPr>
      <w:tblStyleRowBandSize w:val="1"/>
      <w:tblStyleColBandSize w:val="1"/>
      <w:tblInd w:w="0" w:type="dxa"/>
      <w:tblBorders>
        <w:top w:val="single" w:sz="8" w:space="0" w:color="898D8D" w:themeColor="accent6"/>
        <w:bottom w:val="single" w:sz="8" w:space="0" w:color="898D8D"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98D8D" w:themeColor="accent6"/>
          <w:left w:val="nil"/>
          <w:bottom w:val="single" w:sz="8" w:space="0" w:color="898D8D" w:themeColor="accent6"/>
          <w:right w:val="nil"/>
          <w:insideH w:val="nil"/>
          <w:insideV w:val="nil"/>
        </w:tcBorders>
      </w:tcPr>
    </w:tblStylePr>
    <w:tblStylePr w:type="lastRow">
      <w:pPr>
        <w:spacing w:before="0" w:after="0" w:line="240" w:lineRule="auto"/>
      </w:pPr>
      <w:rPr>
        <w:b/>
        <w:bCs/>
      </w:rPr>
      <w:tblPr/>
      <w:tcPr>
        <w:tcBorders>
          <w:top w:val="single" w:sz="8" w:space="0" w:color="898D8D" w:themeColor="accent6"/>
          <w:left w:val="nil"/>
          <w:bottom w:val="single" w:sz="8" w:space="0" w:color="898D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2E2" w:themeFill="accent6" w:themeFillTint="3F"/>
      </w:tcPr>
    </w:tblStylePr>
    <w:tblStylePr w:type="band1Horz">
      <w:tblPr/>
      <w:tcPr>
        <w:tcBorders>
          <w:left w:val="nil"/>
          <w:right w:val="nil"/>
          <w:insideH w:val="nil"/>
          <w:insideV w:val="nil"/>
        </w:tcBorders>
        <w:shd w:val="clear" w:color="auto" w:fill="E1E2E2"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
    <w:name w:val="List"/>
    <w:basedOn w:val="Normal"/>
    <w:uiPriority w:val="4"/>
    <w:rsid w:val="00706B41"/>
    <w:pPr>
      <w:ind w:left="283" w:hanging="283"/>
    </w:pPr>
  </w:style>
  <w:style w:type="paragraph" w:styleId="List2">
    <w:name w:val="List 2"/>
    <w:basedOn w:val="Normal"/>
    <w:uiPriority w:val="4"/>
    <w:rsid w:val="00706B41"/>
    <w:pPr>
      <w:ind w:left="566" w:hanging="283"/>
    </w:pPr>
  </w:style>
  <w:style w:type="paragraph" w:styleId="List3">
    <w:name w:val="List 3"/>
    <w:basedOn w:val="Normal"/>
    <w:uiPriority w:val="4"/>
    <w:semiHidden/>
    <w:rsid w:val="00706B41"/>
    <w:pPr>
      <w:ind w:left="849" w:hanging="283"/>
    </w:pPr>
  </w:style>
  <w:style w:type="paragraph" w:styleId="List4">
    <w:name w:val="List 4"/>
    <w:basedOn w:val="Normal"/>
    <w:uiPriority w:val="4"/>
    <w:semiHidden/>
    <w:rsid w:val="00706B41"/>
    <w:pPr>
      <w:ind w:left="1132" w:hanging="283"/>
    </w:pPr>
  </w:style>
  <w:style w:type="paragraph" w:styleId="List5">
    <w:name w:val="List 5"/>
    <w:basedOn w:val="Normal"/>
    <w:uiPriority w:val="4"/>
    <w:semiHidden/>
    <w:rsid w:val="00706B41"/>
    <w:pPr>
      <w:ind w:left="1415" w:hanging="283"/>
    </w:pPr>
  </w:style>
  <w:style w:type="paragraph" w:styleId="ListBullet3">
    <w:name w:val="List Bullet 3"/>
    <w:basedOn w:val="Normal"/>
    <w:uiPriority w:val="2"/>
    <w:semiHidden/>
    <w:rsid w:val="00706B41"/>
    <w:pPr>
      <w:numPr>
        <w:numId w:val="3"/>
      </w:numPr>
    </w:pPr>
  </w:style>
  <w:style w:type="paragraph" w:styleId="ListBullet4">
    <w:name w:val="List Bullet 4"/>
    <w:basedOn w:val="Normal"/>
    <w:uiPriority w:val="2"/>
    <w:semiHidden/>
    <w:rsid w:val="00706B41"/>
    <w:pPr>
      <w:numPr>
        <w:numId w:val="9"/>
      </w:numPr>
    </w:pPr>
  </w:style>
  <w:style w:type="paragraph" w:styleId="ListBullet5">
    <w:name w:val="List Bullet 5"/>
    <w:basedOn w:val="Normal"/>
    <w:uiPriority w:val="2"/>
    <w:semiHidden/>
    <w:rsid w:val="00706B41"/>
    <w:pPr>
      <w:numPr>
        <w:numId w:val="10"/>
      </w:numPr>
    </w:pPr>
  </w:style>
  <w:style w:type="paragraph" w:styleId="ListContinue">
    <w:name w:val="List Continue"/>
    <w:basedOn w:val="Normal"/>
    <w:uiPriority w:val="10"/>
    <w:semiHidden/>
    <w:rsid w:val="00706B41"/>
    <w:pPr>
      <w:ind w:left="283"/>
    </w:pPr>
  </w:style>
  <w:style w:type="paragraph" w:styleId="ListContinue2">
    <w:name w:val="List Continue 2"/>
    <w:basedOn w:val="Normal"/>
    <w:uiPriority w:val="10"/>
    <w:semiHidden/>
    <w:rsid w:val="00706B41"/>
    <w:pPr>
      <w:ind w:left="566"/>
    </w:pPr>
  </w:style>
  <w:style w:type="paragraph" w:styleId="ListContinue3">
    <w:name w:val="List Continue 3"/>
    <w:basedOn w:val="Normal"/>
    <w:uiPriority w:val="10"/>
    <w:semiHidden/>
    <w:rsid w:val="00706B41"/>
    <w:pPr>
      <w:ind w:left="849"/>
    </w:pPr>
  </w:style>
  <w:style w:type="paragraph" w:styleId="ListContinue4">
    <w:name w:val="List Continue 4"/>
    <w:basedOn w:val="Normal"/>
    <w:uiPriority w:val="10"/>
    <w:semiHidden/>
    <w:rsid w:val="00706B41"/>
    <w:pPr>
      <w:ind w:left="1132"/>
    </w:pPr>
  </w:style>
  <w:style w:type="paragraph" w:styleId="ListContinue5">
    <w:name w:val="List Continue 5"/>
    <w:basedOn w:val="Normal"/>
    <w:uiPriority w:val="10"/>
    <w:semiHidden/>
    <w:rsid w:val="00706B41"/>
    <w:pPr>
      <w:ind w:left="1415"/>
    </w:pPr>
  </w:style>
  <w:style w:type="paragraph" w:styleId="ListNumber2">
    <w:name w:val="List Number 2"/>
    <w:basedOn w:val="Normal"/>
    <w:uiPriority w:val="3"/>
    <w:rsid w:val="007B0CE5"/>
    <w:pPr>
      <w:numPr>
        <w:numId w:val="11"/>
      </w:numPr>
      <w:ind w:left="714" w:hanging="357"/>
      <w:contextualSpacing/>
    </w:pPr>
  </w:style>
  <w:style w:type="paragraph" w:styleId="ListNumber3">
    <w:name w:val="List Number 3"/>
    <w:basedOn w:val="Normal"/>
    <w:uiPriority w:val="3"/>
    <w:semiHidden/>
    <w:rsid w:val="00706B41"/>
    <w:pPr>
      <w:numPr>
        <w:numId w:val="12"/>
      </w:numPr>
    </w:pPr>
  </w:style>
  <w:style w:type="paragraph" w:styleId="ListNumber4">
    <w:name w:val="List Number 4"/>
    <w:basedOn w:val="Normal"/>
    <w:uiPriority w:val="3"/>
    <w:semiHidden/>
    <w:rsid w:val="00706B41"/>
    <w:pPr>
      <w:numPr>
        <w:numId w:val="13"/>
      </w:numPr>
    </w:pPr>
  </w:style>
  <w:style w:type="paragraph" w:styleId="ListNumber5">
    <w:name w:val="List Number 5"/>
    <w:basedOn w:val="Normal"/>
    <w:uiPriority w:val="3"/>
    <w:semiHidden/>
    <w:rsid w:val="00706B41"/>
    <w:pPr>
      <w:numPr>
        <w:numId w:val="14"/>
      </w:numPr>
    </w:pPr>
  </w:style>
  <w:style w:type="paragraph" w:styleId="ListParagraph">
    <w:name w:val="List Paragraph"/>
    <w:basedOn w:val="Normal"/>
    <w:uiPriority w:val="4"/>
    <w:semiHidden/>
    <w:rsid w:val="00706B41"/>
    <w:pPr>
      <w:ind w:left="720"/>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Ind w:w="0" w:type="dxa"/>
      <w:tblBorders>
        <w:top w:val="single" w:sz="8" w:space="0" w:color="5D6D80" w:themeColor="accent1" w:themeTint="BF"/>
        <w:left w:val="single" w:sz="8" w:space="0" w:color="5D6D80" w:themeColor="accent1" w:themeTint="BF"/>
        <w:bottom w:val="single" w:sz="8" w:space="0" w:color="5D6D80" w:themeColor="accent1" w:themeTint="BF"/>
        <w:right w:val="single" w:sz="8" w:space="0" w:color="5D6D80" w:themeColor="accent1" w:themeTint="BF"/>
        <w:insideH w:val="single" w:sz="8" w:space="0" w:color="5D6D80" w:themeColor="accent1" w:themeTint="BF"/>
        <w:insideV w:val="single" w:sz="8" w:space="0" w:color="5D6D80" w:themeColor="accent1" w:themeTint="BF"/>
      </w:tblBorders>
      <w:tblCellMar>
        <w:top w:w="0" w:type="dxa"/>
        <w:left w:w="108" w:type="dxa"/>
        <w:bottom w:w="0" w:type="dxa"/>
        <w:right w:w="108" w:type="dxa"/>
      </w:tblCellMar>
    </w:tblPr>
    <w:tcPr>
      <w:shd w:val="clear" w:color="auto" w:fill="C7CED7"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5D6D80" w:themeColor="accent1" w:themeTint="BF"/>
        </w:tcBorders>
      </w:tcPr>
    </w:tblStylePr>
    <w:tblStylePr w:type="firstCol">
      <w:rPr>
        <w:b/>
        <w:bCs/>
      </w:rPr>
    </w:tblStylePr>
    <w:tblStylePr w:type="lastCol">
      <w:rPr>
        <w:b/>
        <w:bCs/>
      </w:rPr>
    </w:tblStylePr>
    <w:tblStylePr w:type="band1Vert">
      <w:tblPr/>
      <w:tcPr>
        <w:shd w:val="clear" w:color="auto" w:fill="909DAE" w:themeFill="accent1" w:themeFillTint="7F"/>
      </w:tcPr>
    </w:tblStylePr>
    <w:tblStylePr w:type="band1Horz">
      <w:tblPr/>
      <w:tcPr>
        <w:shd w:val="clear" w:color="auto" w:fill="909DAE" w:themeFill="accent1" w:themeFillTint="7F"/>
      </w:tcPr>
    </w:tblStylePr>
  </w:style>
  <w:style w:type="table" w:styleId="MediumGrid1-Accent2">
    <w:name w:val="Medium Grid 1 Accent 2"/>
    <w:basedOn w:val="TableNormal"/>
    <w:uiPriority w:val="98"/>
    <w:rsid w:val="00706B41"/>
    <w:tblPr>
      <w:tblStyleRowBandSize w:val="1"/>
      <w:tblStyleColBandSize w:val="1"/>
      <w:tblInd w:w="0" w:type="dxa"/>
      <w:tblBorders>
        <w:top w:val="single" w:sz="8" w:space="0" w:color="C3BC99" w:themeColor="accent2" w:themeTint="BF"/>
        <w:left w:val="single" w:sz="8" w:space="0" w:color="C3BC99" w:themeColor="accent2" w:themeTint="BF"/>
        <w:bottom w:val="single" w:sz="8" w:space="0" w:color="C3BC99" w:themeColor="accent2" w:themeTint="BF"/>
        <w:right w:val="single" w:sz="8" w:space="0" w:color="C3BC99" w:themeColor="accent2" w:themeTint="BF"/>
        <w:insideH w:val="single" w:sz="8" w:space="0" w:color="C3BC99" w:themeColor="accent2" w:themeTint="BF"/>
        <w:insideV w:val="single" w:sz="8" w:space="0" w:color="C3BC99" w:themeColor="accent2" w:themeTint="BF"/>
      </w:tblBorders>
      <w:tblCellMar>
        <w:top w:w="0" w:type="dxa"/>
        <w:left w:w="108" w:type="dxa"/>
        <w:bottom w:w="0" w:type="dxa"/>
        <w:right w:w="108" w:type="dxa"/>
      </w:tblCellMar>
    </w:tblPr>
    <w:tcPr>
      <w:shd w:val="clear" w:color="auto" w:fill="EBE9DD"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3BC99" w:themeColor="accent2" w:themeTint="BF"/>
        </w:tcBorders>
      </w:tcPr>
    </w:tblStylePr>
    <w:tblStylePr w:type="firstCol">
      <w:rPr>
        <w:b/>
        <w:bCs/>
      </w:rPr>
    </w:tblStylePr>
    <w:tblStylePr w:type="lastCol">
      <w:rPr>
        <w:b/>
        <w:bCs/>
      </w:rPr>
    </w:tblStylePr>
    <w:tblStylePr w:type="band1Vert">
      <w:tblPr/>
      <w:tcPr>
        <w:shd w:val="clear" w:color="auto" w:fill="D7D3BB" w:themeFill="accent2" w:themeFillTint="7F"/>
      </w:tcPr>
    </w:tblStylePr>
    <w:tblStylePr w:type="band1Horz">
      <w:tblPr/>
      <w:tcPr>
        <w:shd w:val="clear" w:color="auto" w:fill="D7D3BB" w:themeFill="accent2" w:themeFillTint="7F"/>
      </w:tcPr>
    </w:tblStylePr>
  </w:style>
  <w:style w:type="table" w:styleId="MediumGrid1-Accent3">
    <w:name w:val="Medium Grid 1 Accent 3"/>
    <w:basedOn w:val="TableNormal"/>
    <w:uiPriority w:val="98"/>
    <w:rsid w:val="00706B41"/>
    <w:tblPr>
      <w:tblStyleRowBandSize w:val="1"/>
      <w:tblStyleColBandSize w:val="1"/>
      <w:tblInd w:w="0" w:type="dxa"/>
      <w:tblBorders>
        <w:top w:val="single" w:sz="8" w:space="0" w:color="4F92B7" w:themeColor="accent3" w:themeTint="BF"/>
        <w:left w:val="single" w:sz="8" w:space="0" w:color="4F92B7" w:themeColor="accent3" w:themeTint="BF"/>
        <w:bottom w:val="single" w:sz="8" w:space="0" w:color="4F92B7" w:themeColor="accent3" w:themeTint="BF"/>
        <w:right w:val="single" w:sz="8" w:space="0" w:color="4F92B7" w:themeColor="accent3" w:themeTint="BF"/>
        <w:insideH w:val="single" w:sz="8" w:space="0" w:color="4F92B7" w:themeColor="accent3" w:themeTint="BF"/>
        <w:insideV w:val="single" w:sz="8" w:space="0" w:color="4F92B7" w:themeColor="accent3" w:themeTint="BF"/>
      </w:tblBorders>
      <w:tblCellMar>
        <w:top w:w="0" w:type="dxa"/>
        <w:left w:w="108" w:type="dxa"/>
        <w:bottom w:w="0" w:type="dxa"/>
        <w:right w:w="108" w:type="dxa"/>
      </w:tblCellMar>
    </w:tblPr>
    <w:tcPr>
      <w:shd w:val="clear" w:color="auto" w:fill="C4DBE7"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F92B7" w:themeColor="accent3" w:themeTint="BF"/>
        </w:tcBorders>
      </w:tcPr>
    </w:tblStylePr>
    <w:tblStylePr w:type="firstCol">
      <w:rPr>
        <w:b/>
        <w:bCs/>
      </w:rPr>
    </w:tblStylePr>
    <w:tblStylePr w:type="lastCol">
      <w:rPr>
        <w:b/>
        <w:bCs/>
      </w:rPr>
    </w:tblStylePr>
    <w:tblStylePr w:type="band1Vert">
      <w:tblPr/>
      <w:tcPr>
        <w:shd w:val="clear" w:color="auto" w:fill="89B6CF" w:themeFill="accent3" w:themeFillTint="7F"/>
      </w:tcPr>
    </w:tblStylePr>
    <w:tblStylePr w:type="band1Horz">
      <w:tblPr/>
      <w:tcPr>
        <w:shd w:val="clear" w:color="auto" w:fill="89B6CF" w:themeFill="accent3" w:themeFillTint="7F"/>
      </w:tcPr>
    </w:tblStylePr>
  </w:style>
  <w:style w:type="table" w:styleId="MediumGrid1-Accent4">
    <w:name w:val="Medium Grid 1 Accent 4"/>
    <w:basedOn w:val="TableNormal"/>
    <w:uiPriority w:val="98"/>
    <w:rsid w:val="00706B41"/>
    <w:tblPr>
      <w:tblStyleRowBandSize w:val="1"/>
      <w:tblStyleColBandSize w:val="1"/>
      <w:tblInd w:w="0" w:type="dxa"/>
      <w:tblBorders>
        <w:top w:val="single" w:sz="8" w:space="0" w:color="CDB387" w:themeColor="accent4" w:themeTint="BF"/>
        <w:left w:val="single" w:sz="8" w:space="0" w:color="CDB387" w:themeColor="accent4" w:themeTint="BF"/>
        <w:bottom w:val="single" w:sz="8" w:space="0" w:color="CDB387" w:themeColor="accent4" w:themeTint="BF"/>
        <w:right w:val="single" w:sz="8" w:space="0" w:color="CDB387" w:themeColor="accent4" w:themeTint="BF"/>
        <w:insideH w:val="single" w:sz="8" w:space="0" w:color="CDB387" w:themeColor="accent4" w:themeTint="BF"/>
        <w:insideV w:val="single" w:sz="8" w:space="0" w:color="CDB387" w:themeColor="accent4" w:themeTint="BF"/>
      </w:tblBorders>
      <w:tblCellMar>
        <w:top w:w="0" w:type="dxa"/>
        <w:left w:w="108" w:type="dxa"/>
        <w:bottom w:w="0" w:type="dxa"/>
        <w:right w:w="108" w:type="dxa"/>
      </w:tblCellMar>
    </w:tblPr>
    <w:tcPr>
      <w:shd w:val="clear" w:color="auto" w:fill="EEE6D7"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DB387" w:themeColor="accent4" w:themeTint="BF"/>
        </w:tcBorders>
      </w:tcPr>
    </w:tblStylePr>
    <w:tblStylePr w:type="firstCol">
      <w:rPr>
        <w:b/>
        <w:bCs/>
      </w:rPr>
    </w:tblStylePr>
    <w:tblStylePr w:type="lastCol">
      <w:rPr>
        <w:b/>
        <w:bCs/>
      </w:rPr>
    </w:tblStylePr>
    <w:tblStylePr w:type="band1Vert">
      <w:tblPr/>
      <w:tcPr>
        <w:shd w:val="clear" w:color="auto" w:fill="DECCAF" w:themeFill="accent4" w:themeFillTint="7F"/>
      </w:tcPr>
    </w:tblStylePr>
    <w:tblStylePr w:type="band1Horz">
      <w:tblPr/>
      <w:tcPr>
        <w:shd w:val="clear" w:color="auto" w:fill="DECCAF" w:themeFill="accent4" w:themeFillTint="7F"/>
      </w:tcPr>
    </w:tblStylePr>
  </w:style>
  <w:style w:type="table" w:styleId="MediumGrid1-Accent5">
    <w:name w:val="Medium Grid 1 Accent 5"/>
    <w:basedOn w:val="TableNormal"/>
    <w:uiPriority w:val="98"/>
    <w:rsid w:val="00706B41"/>
    <w:tblPr>
      <w:tblStyleRowBandSize w:val="1"/>
      <w:tblStyleColBandSize w:val="1"/>
      <w:tblInd w:w="0" w:type="dxa"/>
      <w:tblBorders>
        <w:top w:val="single" w:sz="8" w:space="0" w:color="92887D" w:themeColor="accent5" w:themeTint="BF"/>
        <w:left w:val="single" w:sz="8" w:space="0" w:color="92887D" w:themeColor="accent5" w:themeTint="BF"/>
        <w:bottom w:val="single" w:sz="8" w:space="0" w:color="92887D" w:themeColor="accent5" w:themeTint="BF"/>
        <w:right w:val="single" w:sz="8" w:space="0" w:color="92887D" w:themeColor="accent5" w:themeTint="BF"/>
        <w:insideH w:val="single" w:sz="8" w:space="0" w:color="92887D" w:themeColor="accent5" w:themeTint="BF"/>
        <w:insideV w:val="single" w:sz="8" w:space="0" w:color="92887D" w:themeColor="accent5" w:themeTint="BF"/>
      </w:tblBorders>
      <w:tblCellMar>
        <w:top w:w="0" w:type="dxa"/>
        <w:left w:w="108" w:type="dxa"/>
        <w:bottom w:w="0" w:type="dxa"/>
        <w:right w:w="108" w:type="dxa"/>
      </w:tblCellMar>
    </w:tblPr>
    <w:tcPr>
      <w:shd w:val="clear" w:color="auto" w:fill="DBD8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2887D" w:themeColor="accent5" w:themeTint="BF"/>
        </w:tcBorders>
      </w:tcPr>
    </w:tblStylePr>
    <w:tblStylePr w:type="firstCol">
      <w:rPr>
        <w:b/>
        <w:bCs/>
      </w:rPr>
    </w:tblStylePr>
    <w:tblStylePr w:type="lastCol">
      <w:rPr>
        <w:b/>
        <w:bCs/>
      </w:rPr>
    </w:tblStylePr>
    <w:tblStylePr w:type="band1Vert">
      <w:tblPr/>
      <w:tcPr>
        <w:shd w:val="clear" w:color="auto" w:fill="B7B0A9" w:themeFill="accent5" w:themeFillTint="7F"/>
      </w:tcPr>
    </w:tblStylePr>
    <w:tblStylePr w:type="band1Horz">
      <w:tblPr/>
      <w:tcPr>
        <w:shd w:val="clear" w:color="auto" w:fill="B7B0A9" w:themeFill="accent5" w:themeFillTint="7F"/>
      </w:tcPr>
    </w:tblStylePr>
  </w:style>
  <w:style w:type="table" w:styleId="MediumGrid1-Accent6">
    <w:name w:val="Medium Grid 1 Accent 6"/>
    <w:basedOn w:val="TableNormal"/>
    <w:uiPriority w:val="98"/>
    <w:rsid w:val="00706B41"/>
    <w:tblPr>
      <w:tblStyleRowBandSize w:val="1"/>
      <w:tblStyleColBandSize w:val="1"/>
      <w:tblInd w:w="0" w:type="dxa"/>
      <w:tblBorders>
        <w:top w:val="single" w:sz="8" w:space="0" w:color="A6A9A9" w:themeColor="accent6" w:themeTint="BF"/>
        <w:left w:val="single" w:sz="8" w:space="0" w:color="A6A9A9" w:themeColor="accent6" w:themeTint="BF"/>
        <w:bottom w:val="single" w:sz="8" w:space="0" w:color="A6A9A9" w:themeColor="accent6" w:themeTint="BF"/>
        <w:right w:val="single" w:sz="8" w:space="0" w:color="A6A9A9" w:themeColor="accent6" w:themeTint="BF"/>
        <w:insideH w:val="single" w:sz="8" w:space="0" w:color="A6A9A9" w:themeColor="accent6" w:themeTint="BF"/>
        <w:insideV w:val="single" w:sz="8" w:space="0" w:color="A6A9A9" w:themeColor="accent6" w:themeTint="BF"/>
      </w:tblBorders>
      <w:tblCellMar>
        <w:top w:w="0" w:type="dxa"/>
        <w:left w:w="108" w:type="dxa"/>
        <w:bottom w:w="0" w:type="dxa"/>
        <w:right w:w="108" w:type="dxa"/>
      </w:tblCellMar>
    </w:tblPr>
    <w:tcPr>
      <w:shd w:val="clear" w:color="auto" w:fill="E1E2E2"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6A9A9" w:themeColor="accent6" w:themeTint="BF"/>
        </w:tcBorders>
      </w:tcPr>
    </w:tblStylePr>
    <w:tblStylePr w:type="firstCol">
      <w:rPr>
        <w:b/>
        <w:bCs/>
      </w:rPr>
    </w:tblStylePr>
    <w:tblStylePr w:type="lastCol">
      <w:rPr>
        <w:b/>
        <w:bCs/>
      </w:rPr>
    </w:tblStylePr>
    <w:tblStylePr w:type="band1Vert">
      <w:tblPr/>
      <w:tcPr>
        <w:shd w:val="clear" w:color="auto" w:fill="C4C6C6" w:themeFill="accent6" w:themeFillTint="7F"/>
      </w:tcPr>
    </w:tblStylePr>
    <w:tblStylePr w:type="band1Horz">
      <w:tblPr/>
      <w:tcPr>
        <w:shd w:val="clear" w:color="auto" w:fill="C4C6C6"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Ind w:w="0" w:type="dxa"/>
      <w:tblBorders>
        <w:top w:val="single" w:sz="8" w:space="0" w:color="353E49" w:themeColor="accent1"/>
        <w:left w:val="single" w:sz="8" w:space="0" w:color="353E49" w:themeColor="accent1"/>
        <w:bottom w:val="single" w:sz="8" w:space="0" w:color="353E49" w:themeColor="accent1"/>
        <w:right w:val="single" w:sz="8" w:space="0" w:color="353E49" w:themeColor="accent1"/>
        <w:insideH w:val="single" w:sz="8" w:space="0" w:color="353E49" w:themeColor="accent1"/>
        <w:insideV w:val="single" w:sz="8" w:space="0" w:color="353E49" w:themeColor="accent1"/>
      </w:tblBorders>
      <w:tblCellMar>
        <w:top w:w="0" w:type="dxa"/>
        <w:left w:w="108" w:type="dxa"/>
        <w:bottom w:w="0" w:type="dxa"/>
        <w:right w:w="108" w:type="dxa"/>
      </w:tblCellMar>
    </w:tblPr>
    <w:tcPr>
      <w:shd w:val="clear" w:color="auto" w:fill="C7CED7"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9EB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7DE" w:themeFill="accent1" w:themeFillTint="33"/>
      </w:tcPr>
    </w:tblStylePr>
    <w:tblStylePr w:type="band1Vert">
      <w:tblPr/>
      <w:tcPr>
        <w:shd w:val="clear" w:color="auto" w:fill="909DAE" w:themeFill="accent1" w:themeFillTint="7F"/>
      </w:tcPr>
    </w:tblStylePr>
    <w:tblStylePr w:type="band1Horz">
      <w:tblPr/>
      <w:tcPr>
        <w:tcBorders>
          <w:insideH w:val="single" w:sz="6" w:space="0" w:color="353E49" w:themeColor="accent1"/>
          <w:insideV w:val="single" w:sz="6" w:space="0" w:color="353E49" w:themeColor="accent1"/>
        </w:tcBorders>
        <w:shd w:val="clear" w:color="auto" w:fill="909DA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Ind w:w="0" w:type="dxa"/>
      <w:tblBorders>
        <w:top w:val="single" w:sz="8" w:space="0" w:color="AFA778" w:themeColor="accent2"/>
        <w:left w:val="single" w:sz="8" w:space="0" w:color="AFA778" w:themeColor="accent2"/>
        <w:bottom w:val="single" w:sz="8" w:space="0" w:color="AFA778" w:themeColor="accent2"/>
        <w:right w:val="single" w:sz="8" w:space="0" w:color="AFA778" w:themeColor="accent2"/>
        <w:insideH w:val="single" w:sz="8" w:space="0" w:color="AFA778" w:themeColor="accent2"/>
        <w:insideV w:val="single" w:sz="8" w:space="0" w:color="AFA778" w:themeColor="accent2"/>
      </w:tblBorders>
      <w:tblCellMar>
        <w:top w:w="0" w:type="dxa"/>
        <w:left w:w="108" w:type="dxa"/>
        <w:bottom w:w="0" w:type="dxa"/>
        <w:right w:w="108" w:type="dxa"/>
      </w:tblCellMar>
    </w:tblPr>
    <w:tcPr>
      <w:shd w:val="clear" w:color="auto" w:fill="EBE9DD"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6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DE4" w:themeFill="accent2" w:themeFillTint="33"/>
      </w:tcPr>
    </w:tblStylePr>
    <w:tblStylePr w:type="band1Vert">
      <w:tblPr/>
      <w:tcPr>
        <w:shd w:val="clear" w:color="auto" w:fill="D7D3BB" w:themeFill="accent2" w:themeFillTint="7F"/>
      </w:tcPr>
    </w:tblStylePr>
    <w:tblStylePr w:type="band1Horz">
      <w:tblPr/>
      <w:tcPr>
        <w:tcBorders>
          <w:insideH w:val="single" w:sz="6" w:space="0" w:color="AFA778" w:themeColor="accent2"/>
          <w:insideV w:val="single" w:sz="6" w:space="0" w:color="AFA778" w:themeColor="accent2"/>
        </w:tcBorders>
        <w:shd w:val="clear" w:color="auto" w:fill="D7D3B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Ind w:w="0" w:type="dxa"/>
      <w:tblBorders>
        <w:top w:val="single" w:sz="8" w:space="0" w:color="34657F" w:themeColor="accent3"/>
        <w:left w:val="single" w:sz="8" w:space="0" w:color="34657F" w:themeColor="accent3"/>
        <w:bottom w:val="single" w:sz="8" w:space="0" w:color="34657F" w:themeColor="accent3"/>
        <w:right w:val="single" w:sz="8" w:space="0" w:color="34657F" w:themeColor="accent3"/>
        <w:insideH w:val="single" w:sz="8" w:space="0" w:color="34657F" w:themeColor="accent3"/>
        <w:insideV w:val="single" w:sz="8" w:space="0" w:color="34657F" w:themeColor="accent3"/>
      </w:tblBorders>
      <w:tblCellMar>
        <w:top w:w="0" w:type="dxa"/>
        <w:left w:w="108" w:type="dxa"/>
        <w:bottom w:w="0" w:type="dxa"/>
        <w:right w:w="108" w:type="dxa"/>
      </w:tblCellMar>
    </w:tblPr>
    <w:tcPr>
      <w:shd w:val="clear" w:color="auto" w:fill="C4DBE7"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7F0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FE2EB" w:themeFill="accent3" w:themeFillTint="33"/>
      </w:tcPr>
    </w:tblStylePr>
    <w:tblStylePr w:type="band1Vert">
      <w:tblPr/>
      <w:tcPr>
        <w:shd w:val="clear" w:color="auto" w:fill="89B6CF" w:themeFill="accent3" w:themeFillTint="7F"/>
      </w:tcPr>
    </w:tblStylePr>
    <w:tblStylePr w:type="band1Horz">
      <w:tblPr/>
      <w:tcPr>
        <w:tcBorders>
          <w:insideH w:val="single" w:sz="6" w:space="0" w:color="34657F" w:themeColor="accent3"/>
          <w:insideV w:val="single" w:sz="6" w:space="0" w:color="34657F" w:themeColor="accent3"/>
        </w:tcBorders>
        <w:shd w:val="clear" w:color="auto" w:fill="89B6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Ind w:w="0" w:type="dxa"/>
      <w:tblBorders>
        <w:top w:val="single" w:sz="8" w:space="0" w:color="BD9B60" w:themeColor="accent4"/>
        <w:left w:val="single" w:sz="8" w:space="0" w:color="BD9B60" w:themeColor="accent4"/>
        <w:bottom w:val="single" w:sz="8" w:space="0" w:color="BD9B60" w:themeColor="accent4"/>
        <w:right w:val="single" w:sz="8" w:space="0" w:color="BD9B60" w:themeColor="accent4"/>
        <w:insideH w:val="single" w:sz="8" w:space="0" w:color="BD9B60" w:themeColor="accent4"/>
        <w:insideV w:val="single" w:sz="8" w:space="0" w:color="BD9B60" w:themeColor="accent4"/>
      </w:tblBorders>
      <w:tblCellMar>
        <w:top w:w="0" w:type="dxa"/>
        <w:left w:w="108" w:type="dxa"/>
        <w:bottom w:w="0" w:type="dxa"/>
        <w:right w:w="108" w:type="dxa"/>
      </w:tblCellMar>
    </w:tblPr>
    <w:tcPr>
      <w:shd w:val="clear" w:color="auto" w:fill="EEE6D7"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8F5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EADF" w:themeFill="accent4" w:themeFillTint="33"/>
      </w:tcPr>
    </w:tblStylePr>
    <w:tblStylePr w:type="band1Vert">
      <w:tblPr/>
      <w:tcPr>
        <w:shd w:val="clear" w:color="auto" w:fill="DECCAF" w:themeFill="accent4" w:themeFillTint="7F"/>
      </w:tcPr>
    </w:tblStylePr>
    <w:tblStylePr w:type="band1Horz">
      <w:tblPr/>
      <w:tcPr>
        <w:tcBorders>
          <w:insideH w:val="single" w:sz="6" w:space="0" w:color="BD9B60" w:themeColor="accent4"/>
          <w:insideV w:val="single" w:sz="6" w:space="0" w:color="BD9B60" w:themeColor="accent4"/>
        </w:tcBorders>
        <w:shd w:val="clear" w:color="auto" w:fill="DECCA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Ind w:w="0" w:type="dxa"/>
      <w:tblBorders>
        <w:top w:val="single" w:sz="8" w:space="0" w:color="696158" w:themeColor="accent5"/>
        <w:left w:val="single" w:sz="8" w:space="0" w:color="696158" w:themeColor="accent5"/>
        <w:bottom w:val="single" w:sz="8" w:space="0" w:color="696158" w:themeColor="accent5"/>
        <w:right w:val="single" w:sz="8" w:space="0" w:color="696158" w:themeColor="accent5"/>
        <w:insideH w:val="single" w:sz="8" w:space="0" w:color="696158" w:themeColor="accent5"/>
        <w:insideV w:val="single" w:sz="8" w:space="0" w:color="696158" w:themeColor="accent5"/>
      </w:tblBorders>
      <w:tblCellMar>
        <w:top w:w="0" w:type="dxa"/>
        <w:left w:w="108" w:type="dxa"/>
        <w:bottom w:w="0" w:type="dxa"/>
        <w:right w:w="108" w:type="dxa"/>
      </w:tblCellMar>
    </w:tblPr>
    <w:tcPr>
      <w:shd w:val="clear" w:color="auto" w:fill="DBD8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0EF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FDC" w:themeFill="accent5" w:themeFillTint="33"/>
      </w:tcPr>
    </w:tblStylePr>
    <w:tblStylePr w:type="band1Vert">
      <w:tblPr/>
      <w:tcPr>
        <w:shd w:val="clear" w:color="auto" w:fill="B7B0A9" w:themeFill="accent5" w:themeFillTint="7F"/>
      </w:tcPr>
    </w:tblStylePr>
    <w:tblStylePr w:type="band1Horz">
      <w:tblPr/>
      <w:tcPr>
        <w:tcBorders>
          <w:insideH w:val="single" w:sz="6" w:space="0" w:color="696158" w:themeColor="accent5"/>
          <w:insideV w:val="single" w:sz="6" w:space="0" w:color="696158" w:themeColor="accent5"/>
        </w:tcBorders>
        <w:shd w:val="clear" w:color="auto" w:fill="B7B0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Ind w:w="0" w:type="dxa"/>
      <w:tblBorders>
        <w:top w:val="single" w:sz="8" w:space="0" w:color="898D8D" w:themeColor="accent6"/>
        <w:left w:val="single" w:sz="8" w:space="0" w:color="898D8D" w:themeColor="accent6"/>
        <w:bottom w:val="single" w:sz="8" w:space="0" w:color="898D8D" w:themeColor="accent6"/>
        <w:right w:val="single" w:sz="8" w:space="0" w:color="898D8D" w:themeColor="accent6"/>
        <w:insideH w:val="single" w:sz="8" w:space="0" w:color="898D8D" w:themeColor="accent6"/>
        <w:insideV w:val="single" w:sz="8" w:space="0" w:color="898D8D" w:themeColor="accent6"/>
      </w:tblBorders>
      <w:tblCellMar>
        <w:top w:w="0" w:type="dxa"/>
        <w:left w:w="108" w:type="dxa"/>
        <w:bottom w:w="0" w:type="dxa"/>
        <w:right w:w="108" w:type="dxa"/>
      </w:tblCellMar>
    </w:tblPr>
    <w:tcPr>
      <w:shd w:val="clear" w:color="auto" w:fill="E1E2E2"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3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8E8" w:themeFill="accent6" w:themeFillTint="33"/>
      </w:tcPr>
    </w:tblStylePr>
    <w:tblStylePr w:type="band1Vert">
      <w:tblPr/>
      <w:tcPr>
        <w:shd w:val="clear" w:color="auto" w:fill="C4C6C6" w:themeFill="accent6" w:themeFillTint="7F"/>
      </w:tcPr>
    </w:tblStylePr>
    <w:tblStylePr w:type="band1Horz">
      <w:tblPr/>
      <w:tcPr>
        <w:tcBorders>
          <w:insideH w:val="single" w:sz="6" w:space="0" w:color="898D8D" w:themeColor="accent6"/>
          <w:insideV w:val="single" w:sz="6" w:space="0" w:color="898D8D" w:themeColor="accent6"/>
        </w:tcBorders>
        <w:shd w:val="clear" w:color="auto" w:fill="C4C6C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7CED7"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3E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3E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3E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3E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9DA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9DAE" w:themeFill="accent1" w:themeFillTint="7F"/>
      </w:tcPr>
    </w:tblStylePr>
  </w:style>
  <w:style w:type="table" w:styleId="MediumGrid3-Accent2">
    <w:name w:val="Medium Grid 3 Accent 2"/>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E9DD"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A77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A77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A77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A77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D3B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D3BB" w:themeFill="accent2" w:themeFillTint="7F"/>
      </w:tcPr>
    </w:tblStylePr>
  </w:style>
  <w:style w:type="table" w:styleId="MediumGrid3-Accent3">
    <w:name w:val="Medium Grid 3 Accent 3"/>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4DBE7"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65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65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65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65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9B6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9B6CF" w:themeFill="accent3" w:themeFillTint="7F"/>
      </w:tcPr>
    </w:tblStylePr>
  </w:style>
  <w:style w:type="table" w:styleId="MediumGrid3-Accent4">
    <w:name w:val="Medium Grid 3 Accent 4"/>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EE6D7"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9B6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9B6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9B6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9B6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CCA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CCAF" w:themeFill="accent4" w:themeFillTint="7F"/>
      </w:tcPr>
    </w:tblStylePr>
  </w:style>
  <w:style w:type="table" w:styleId="MediumGrid3-Accent5">
    <w:name w:val="Medium Grid 3 Accent 5"/>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D8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615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615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615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615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0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0A9" w:themeFill="accent5" w:themeFillTint="7F"/>
      </w:tcPr>
    </w:tblStylePr>
  </w:style>
  <w:style w:type="table" w:styleId="MediumGrid3-Accent6">
    <w:name w:val="Medium Grid 3 Accent 6"/>
    <w:basedOn w:val="TableNormal"/>
    <w:uiPriority w:val="98"/>
    <w:rsid w:val="00706B4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1E2E2"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8D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8D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8D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8D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C6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C6C6"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D6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Ind w:w="0" w:type="dxa"/>
      <w:tblBorders>
        <w:top w:val="single" w:sz="8" w:space="0" w:color="353E49" w:themeColor="accent1"/>
        <w:bottom w:val="single" w:sz="8" w:space="0" w:color="353E49"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353E49" w:themeColor="accent1"/>
        </w:tcBorders>
      </w:tcPr>
    </w:tblStylePr>
    <w:tblStylePr w:type="lastRow">
      <w:rPr>
        <w:b/>
        <w:bCs/>
        <w:color w:val="002D62" w:themeColor="text2"/>
      </w:rPr>
      <w:tblPr/>
      <w:tcPr>
        <w:tcBorders>
          <w:top w:val="single" w:sz="8" w:space="0" w:color="353E49" w:themeColor="accent1"/>
          <w:bottom w:val="single" w:sz="8" w:space="0" w:color="353E49" w:themeColor="accent1"/>
        </w:tcBorders>
      </w:tcPr>
    </w:tblStylePr>
    <w:tblStylePr w:type="firstCol">
      <w:rPr>
        <w:b/>
        <w:bCs/>
      </w:rPr>
    </w:tblStylePr>
    <w:tblStylePr w:type="lastCol">
      <w:rPr>
        <w:b/>
        <w:bCs/>
      </w:rPr>
      <w:tblPr/>
      <w:tcPr>
        <w:tcBorders>
          <w:top w:val="single" w:sz="8" w:space="0" w:color="353E49" w:themeColor="accent1"/>
          <w:bottom w:val="single" w:sz="8" w:space="0" w:color="353E49" w:themeColor="accent1"/>
        </w:tcBorders>
      </w:tcPr>
    </w:tblStylePr>
    <w:tblStylePr w:type="band1Vert">
      <w:tblPr/>
      <w:tcPr>
        <w:shd w:val="clear" w:color="auto" w:fill="C7CED7" w:themeFill="accent1" w:themeFillTint="3F"/>
      </w:tcPr>
    </w:tblStylePr>
    <w:tblStylePr w:type="band1Horz">
      <w:tblPr/>
      <w:tcPr>
        <w:shd w:val="clear" w:color="auto" w:fill="C7CED7"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Ind w:w="0" w:type="dxa"/>
      <w:tblBorders>
        <w:top w:val="single" w:sz="8" w:space="0" w:color="AFA778" w:themeColor="accent2"/>
        <w:bottom w:val="single" w:sz="8" w:space="0" w:color="AFA778"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FA778" w:themeColor="accent2"/>
        </w:tcBorders>
      </w:tcPr>
    </w:tblStylePr>
    <w:tblStylePr w:type="lastRow">
      <w:rPr>
        <w:b/>
        <w:bCs/>
        <w:color w:val="002D62" w:themeColor="text2"/>
      </w:rPr>
      <w:tblPr/>
      <w:tcPr>
        <w:tcBorders>
          <w:top w:val="single" w:sz="8" w:space="0" w:color="AFA778" w:themeColor="accent2"/>
          <w:bottom w:val="single" w:sz="8" w:space="0" w:color="AFA778" w:themeColor="accent2"/>
        </w:tcBorders>
      </w:tcPr>
    </w:tblStylePr>
    <w:tblStylePr w:type="firstCol">
      <w:rPr>
        <w:b/>
        <w:bCs/>
      </w:rPr>
    </w:tblStylePr>
    <w:tblStylePr w:type="lastCol">
      <w:rPr>
        <w:b/>
        <w:bCs/>
      </w:rPr>
      <w:tblPr/>
      <w:tcPr>
        <w:tcBorders>
          <w:top w:val="single" w:sz="8" w:space="0" w:color="AFA778" w:themeColor="accent2"/>
          <w:bottom w:val="single" w:sz="8" w:space="0" w:color="AFA778" w:themeColor="accent2"/>
        </w:tcBorders>
      </w:tcPr>
    </w:tblStylePr>
    <w:tblStylePr w:type="band1Vert">
      <w:tblPr/>
      <w:tcPr>
        <w:shd w:val="clear" w:color="auto" w:fill="EBE9DD" w:themeFill="accent2" w:themeFillTint="3F"/>
      </w:tcPr>
    </w:tblStylePr>
    <w:tblStylePr w:type="band1Horz">
      <w:tblPr/>
      <w:tcPr>
        <w:shd w:val="clear" w:color="auto" w:fill="EBE9DD"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Ind w:w="0" w:type="dxa"/>
      <w:tblBorders>
        <w:top w:val="single" w:sz="8" w:space="0" w:color="34657F" w:themeColor="accent3"/>
        <w:bottom w:val="single" w:sz="8" w:space="0" w:color="34657F"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34657F" w:themeColor="accent3"/>
        </w:tcBorders>
      </w:tcPr>
    </w:tblStylePr>
    <w:tblStylePr w:type="lastRow">
      <w:rPr>
        <w:b/>
        <w:bCs/>
        <w:color w:val="002D62" w:themeColor="text2"/>
      </w:rPr>
      <w:tblPr/>
      <w:tcPr>
        <w:tcBorders>
          <w:top w:val="single" w:sz="8" w:space="0" w:color="34657F" w:themeColor="accent3"/>
          <w:bottom w:val="single" w:sz="8" w:space="0" w:color="34657F" w:themeColor="accent3"/>
        </w:tcBorders>
      </w:tcPr>
    </w:tblStylePr>
    <w:tblStylePr w:type="firstCol">
      <w:rPr>
        <w:b/>
        <w:bCs/>
      </w:rPr>
    </w:tblStylePr>
    <w:tblStylePr w:type="lastCol">
      <w:rPr>
        <w:b/>
        <w:bCs/>
      </w:rPr>
      <w:tblPr/>
      <w:tcPr>
        <w:tcBorders>
          <w:top w:val="single" w:sz="8" w:space="0" w:color="34657F" w:themeColor="accent3"/>
          <w:bottom w:val="single" w:sz="8" w:space="0" w:color="34657F" w:themeColor="accent3"/>
        </w:tcBorders>
      </w:tcPr>
    </w:tblStylePr>
    <w:tblStylePr w:type="band1Vert">
      <w:tblPr/>
      <w:tcPr>
        <w:shd w:val="clear" w:color="auto" w:fill="C4DBE7" w:themeFill="accent3" w:themeFillTint="3F"/>
      </w:tcPr>
    </w:tblStylePr>
    <w:tblStylePr w:type="band1Horz">
      <w:tblPr/>
      <w:tcPr>
        <w:shd w:val="clear" w:color="auto" w:fill="C4DBE7"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Ind w:w="0" w:type="dxa"/>
      <w:tblBorders>
        <w:top w:val="single" w:sz="8" w:space="0" w:color="BD9B60" w:themeColor="accent4"/>
        <w:bottom w:val="single" w:sz="8" w:space="0" w:color="BD9B6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D9B60" w:themeColor="accent4"/>
        </w:tcBorders>
      </w:tcPr>
    </w:tblStylePr>
    <w:tblStylePr w:type="lastRow">
      <w:rPr>
        <w:b/>
        <w:bCs/>
        <w:color w:val="002D62" w:themeColor="text2"/>
      </w:rPr>
      <w:tblPr/>
      <w:tcPr>
        <w:tcBorders>
          <w:top w:val="single" w:sz="8" w:space="0" w:color="BD9B60" w:themeColor="accent4"/>
          <w:bottom w:val="single" w:sz="8" w:space="0" w:color="BD9B60" w:themeColor="accent4"/>
        </w:tcBorders>
      </w:tcPr>
    </w:tblStylePr>
    <w:tblStylePr w:type="firstCol">
      <w:rPr>
        <w:b/>
        <w:bCs/>
      </w:rPr>
    </w:tblStylePr>
    <w:tblStylePr w:type="lastCol">
      <w:rPr>
        <w:b/>
        <w:bCs/>
      </w:rPr>
      <w:tblPr/>
      <w:tcPr>
        <w:tcBorders>
          <w:top w:val="single" w:sz="8" w:space="0" w:color="BD9B60" w:themeColor="accent4"/>
          <w:bottom w:val="single" w:sz="8" w:space="0" w:color="BD9B60" w:themeColor="accent4"/>
        </w:tcBorders>
      </w:tcPr>
    </w:tblStylePr>
    <w:tblStylePr w:type="band1Vert">
      <w:tblPr/>
      <w:tcPr>
        <w:shd w:val="clear" w:color="auto" w:fill="EEE6D7" w:themeFill="accent4" w:themeFillTint="3F"/>
      </w:tcPr>
    </w:tblStylePr>
    <w:tblStylePr w:type="band1Horz">
      <w:tblPr/>
      <w:tcPr>
        <w:shd w:val="clear" w:color="auto" w:fill="EEE6D7"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Ind w:w="0" w:type="dxa"/>
      <w:tblBorders>
        <w:top w:val="single" w:sz="8" w:space="0" w:color="696158" w:themeColor="accent5"/>
        <w:bottom w:val="single" w:sz="8" w:space="0" w:color="696158"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96158" w:themeColor="accent5"/>
        </w:tcBorders>
      </w:tcPr>
    </w:tblStylePr>
    <w:tblStylePr w:type="lastRow">
      <w:rPr>
        <w:b/>
        <w:bCs/>
        <w:color w:val="002D62" w:themeColor="text2"/>
      </w:rPr>
      <w:tblPr/>
      <w:tcPr>
        <w:tcBorders>
          <w:top w:val="single" w:sz="8" w:space="0" w:color="696158" w:themeColor="accent5"/>
          <w:bottom w:val="single" w:sz="8" w:space="0" w:color="696158" w:themeColor="accent5"/>
        </w:tcBorders>
      </w:tcPr>
    </w:tblStylePr>
    <w:tblStylePr w:type="firstCol">
      <w:rPr>
        <w:b/>
        <w:bCs/>
      </w:rPr>
    </w:tblStylePr>
    <w:tblStylePr w:type="lastCol">
      <w:rPr>
        <w:b/>
        <w:bCs/>
      </w:rPr>
      <w:tblPr/>
      <w:tcPr>
        <w:tcBorders>
          <w:top w:val="single" w:sz="8" w:space="0" w:color="696158" w:themeColor="accent5"/>
          <w:bottom w:val="single" w:sz="8" w:space="0" w:color="696158" w:themeColor="accent5"/>
        </w:tcBorders>
      </w:tcPr>
    </w:tblStylePr>
    <w:tblStylePr w:type="band1Vert">
      <w:tblPr/>
      <w:tcPr>
        <w:shd w:val="clear" w:color="auto" w:fill="DBD8D4" w:themeFill="accent5" w:themeFillTint="3F"/>
      </w:tcPr>
    </w:tblStylePr>
    <w:tblStylePr w:type="band1Horz">
      <w:tblPr/>
      <w:tcPr>
        <w:shd w:val="clear" w:color="auto" w:fill="DBD8D4"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Ind w:w="0" w:type="dxa"/>
      <w:tblBorders>
        <w:top w:val="single" w:sz="8" w:space="0" w:color="898D8D" w:themeColor="accent6"/>
        <w:bottom w:val="single" w:sz="8" w:space="0" w:color="898D8D"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98D8D" w:themeColor="accent6"/>
        </w:tcBorders>
      </w:tcPr>
    </w:tblStylePr>
    <w:tblStylePr w:type="lastRow">
      <w:rPr>
        <w:b/>
        <w:bCs/>
        <w:color w:val="002D62" w:themeColor="text2"/>
      </w:rPr>
      <w:tblPr/>
      <w:tcPr>
        <w:tcBorders>
          <w:top w:val="single" w:sz="8" w:space="0" w:color="898D8D" w:themeColor="accent6"/>
          <w:bottom w:val="single" w:sz="8" w:space="0" w:color="898D8D" w:themeColor="accent6"/>
        </w:tcBorders>
      </w:tcPr>
    </w:tblStylePr>
    <w:tblStylePr w:type="firstCol">
      <w:rPr>
        <w:b/>
        <w:bCs/>
      </w:rPr>
    </w:tblStylePr>
    <w:tblStylePr w:type="lastCol">
      <w:rPr>
        <w:b/>
        <w:bCs/>
      </w:rPr>
      <w:tblPr/>
      <w:tcPr>
        <w:tcBorders>
          <w:top w:val="single" w:sz="8" w:space="0" w:color="898D8D" w:themeColor="accent6"/>
          <w:bottom w:val="single" w:sz="8" w:space="0" w:color="898D8D" w:themeColor="accent6"/>
        </w:tcBorders>
      </w:tcPr>
    </w:tblStylePr>
    <w:tblStylePr w:type="band1Vert">
      <w:tblPr/>
      <w:tcPr>
        <w:shd w:val="clear" w:color="auto" w:fill="E1E2E2" w:themeFill="accent6" w:themeFillTint="3F"/>
      </w:tcPr>
    </w:tblStylePr>
    <w:tblStylePr w:type="band1Horz">
      <w:tblPr/>
      <w:tcPr>
        <w:shd w:val="clear" w:color="auto" w:fill="E1E2E2"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Ind w:w="0" w:type="dxa"/>
      <w:tblBorders>
        <w:top w:val="single" w:sz="8" w:space="0" w:color="353E49" w:themeColor="accent1"/>
        <w:left w:val="single" w:sz="8" w:space="0" w:color="353E49" w:themeColor="accent1"/>
        <w:bottom w:val="single" w:sz="8" w:space="0" w:color="353E49" w:themeColor="accent1"/>
        <w:right w:val="single" w:sz="8" w:space="0" w:color="353E49" w:themeColor="accent1"/>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353E49" w:themeColor="accent1"/>
          <w:right w:val="nil"/>
          <w:insideH w:val="nil"/>
          <w:insideV w:val="nil"/>
        </w:tcBorders>
        <w:shd w:val="clear" w:color="auto" w:fill="FFFFFF" w:themeFill="background1"/>
      </w:tcPr>
    </w:tblStylePr>
    <w:tblStylePr w:type="lastRow">
      <w:tblPr/>
      <w:tcPr>
        <w:tcBorders>
          <w:top w:val="single" w:sz="8" w:space="0" w:color="353E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3E49" w:themeColor="accent1"/>
          <w:insideH w:val="nil"/>
          <w:insideV w:val="nil"/>
        </w:tcBorders>
        <w:shd w:val="clear" w:color="auto" w:fill="FFFFFF" w:themeFill="background1"/>
      </w:tcPr>
    </w:tblStylePr>
    <w:tblStylePr w:type="lastCol">
      <w:tblPr/>
      <w:tcPr>
        <w:tcBorders>
          <w:top w:val="nil"/>
          <w:left w:val="single" w:sz="8" w:space="0" w:color="353E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ED7" w:themeFill="accent1" w:themeFillTint="3F"/>
      </w:tcPr>
    </w:tblStylePr>
    <w:tblStylePr w:type="band1Horz">
      <w:tblPr/>
      <w:tcPr>
        <w:tcBorders>
          <w:top w:val="nil"/>
          <w:bottom w:val="nil"/>
          <w:insideH w:val="nil"/>
          <w:insideV w:val="nil"/>
        </w:tcBorders>
        <w:shd w:val="clear" w:color="auto" w:fill="C7CE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Ind w:w="0" w:type="dxa"/>
      <w:tblBorders>
        <w:top w:val="single" w:sz="8" w:space="0" w:color="AFA778" w:themeColor="accent2"/>
        <w:left w:val="single" w:sz="8" w:space="0" w:color="AFA778" w:themeColor="accent2"/>
        <w:bottom w:val="single" w:sz="8" w:space="0" w:color="AFA778" w:themeColor="accent2"/>
        <w:right w:val="single" w:sz="8" w:space="0" w:color="AFA778" w:themeColor="accent2"/>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FA778" w:themeColor="accent2"/>
          <w:right w:val="nil"/>
          <w:insideH w:val="nil"/>
          <w:insideV w:val="nil"/>
        </w:tcBorders>
        <w:shd w:val="clear" w:color="auto" w:fill="FFFFFF" w:themeFill="background1"/>
      </w:tcPr>
    </w:tblStylePr>
    <w:tblStylePr w:type="lastRow">
      <w:tblPr/>
      <w:tcPr>
        <w:tcBorders>
          <w:top w:val="single" w:sz="8" w:space="0" w:color="AFA77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A778" w:themeColor="accent2"/>
          <w:insideH w:val="nil"/>
          <w:insideV w:val="nil"/>
        </w:tcBorders>
        <w:shd w:val="clear" w:color="auto" w:fill="FFFFFF" w:themeFill="background1"/>
      </w:tcPr>
    </w:tblStylePr>
    <w:tblStylePr w:type="lastCol">
      <w:tblPr/>
      <w:tcPr>
        <w:tcBorders>
          <w:top w:val="nil"/>
          <w:left w:val="single" w:sz="8" w:space="0" w:color="AFA77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9DD" w:themeFill="accent2" w:themeFillTint="3F"/>
      </w:tcPr>
    </w:tblStylePr>
    <w:tblStylePr w:type="band1Horz">
      <w:tblPr/>
      <w:tcPr>
        <w:tcBorders>
          <w:top w:val="nil"/>
          <w:bottom w:val="nil"/>
          <w:insideH w:val="nil"/>
          <w:insideV w:val="nil"/>
        </w:tcBorders>
        <w:shd w:val="clear" w:color="auto" w:fill="EBE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Ind w:w="0" w:type="dxa"/>
      <w:tblBorders>
        <w:top w:val="single" w:sz="8" w:space="0" w:color="34657F" w:themeColor="accent3"/>
        <w:left w:val="single" w:sz="8" w:space="0" w:color="34657F" w:themeColor="accent3"/>
        <w:bottom w:val="single" w:sz="8" w:space="0" w:color="34657F" w:themeColor="accent3"/>
        <w:right w:val="single" w:sz="8" w:space="0" w:color="34657F" w:themeColor="accent3"/>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34657F" w:themeColor="accent3"/>
          <w:right w:val="nil"/>
          <w:insideH w:val="nil"/>
          <w:insideV w:val="nil"/>
        </w:tcBorders>
        <w:shd w:val="clear" w:color="auto" w:fill="FFFFFF" w:themeFill="background1"/>
      </w:tcPr>
    </w:tblStylePr>
    <w:tblStylePr w:type="lastRow">
      <w:tblPr/>
      <w:tcPr>
        <w:tcBorders>
          <w:top w:val="single" w:sz="8" w:space="0" w:color="34657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657F" w:themeColor="accent3"/>
          <w:insideH w:val="nil"/>
          <w:insideV w:val="nil"/>
        </w:tcBorders>
        <w:shd w:val="clear" w:color="auto" w:fill="FFFFFF" w:themeFill="background1"/>
      </w:tcPr>
    </w:tblStylePr>
    <w:tblStylePr w:type="lastCol">
      <w:tblPr/>
      <w:tcPr>
        <w:tcBorders>
          <w:top w:val="nil"/>
          <w:left w:val="single" w:sz="8" w:space="0" w:color="34657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4DBE7" w:themeFill="accent3" w:themeFillTint="3F"/>
      </w:tcPr>
    </w:tblStylePr>
    <w:tblStylePr w:type="band1Horz">
      <w:tblPr/>
      <w:tcPr>
        <w:tcBorders>
          <w:top w:val="nil"/>
          <w:bottom w:val="nil"/>
          <w:insideH w:val="nil"/>
          <w:insideV w:val="nil"/>
        </w:tcBorders>
        <w:shd w:val="clear" w:color="auto" w:fill="C4DB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Ind w:w="0" w:type="dxa"/>
      <w:tblBorders>
        <w:top w:val="single" w:sz="8" w:space="0" w:color="BD9B60" w:themeColor="accent4"/>
        <w:left w:val="single" w:sz="8" w:space="0" w:color="BD9B60" w:themeColor="accent4"/>
        <w:bottom w:val="single" w:sz="8" w:space="0" w:color="BD9B60" w:themeColor="accent4"/>
        <w:right w:val="single" w:sz="8" w:space="0" w:color="BD9B60" w:themeColor="accent4"/>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D9B60" w:themeColor="accent4"/>
          <w:right w:val="nil"/>
          <w:insideH w:val="nil"/>
          <w:insideV w:val="nil"/>
        </w:tcBorders>
        <w:shd w:val="clear" w:color="auto" w:fill="FFFFFF" w:themeFill="background1"/>
      </w:tcPr>
    </w:tblStylePr>
    <w:tblStylePr w:type="lastRow">
      <w:tblPr/>
      <w:tcPr>
        <w:tcBorders>
          <w:top w:val="single" w:sz="8" w:space="0" w:color="BD9B6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D9B60" w:themeColor="accent4"/>
          <w:insideH w:val="nil"/>
          <w:insideV w:val="nil"/>
        </w:tcBorders>
        <w:shd w:val="clear" w:color="auto" w:fill="FFFFFF" w:themeFill="background1"/>
      </w:tcPr>
    </w:tblStylePr>
    <w:tblStylePr w:type="lastCol">
      <w:tblPr/>
      <w:tcPr>
        <w:tcBorders>
          <w:top w:val="nil"/>
          <w:left w:val="single" w:sz="8" w:space="0" w:color="BD9B6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6D7" w:themeFill="accent4" w:themeFillTint="3F"/>
      </w:tcPr>
    </w:tblStylePr>
    <w:tblStylePr w:type="band1Horz">
      <w:tblPr/>
      <w:tcPr>
        <w:tcBorders>
          <w:top w:val="nil"/>
          <w:bottom w:val="nil"/>
          <w:insideH w:val="nil"/>
          <w:insideV w:val="nil"/>
        </w:tcBorders>
        <w:shd w:val="clear" w:color="auto" w:fill="EEE6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Ind w:w="0" w:type="dxa"/>
      <w:tblBorders>
        <w:top w:val="single" w:sz="8" w:space="0" w:color="696158" w:themeColor="accent5"/>
        <w:left w:val="single" w:sz="8" w:space="0" w:color="696158" w:themeColor="accent5"/>
        <w:bottom w:val="single" w:sz="8" w:space="0" w:color="696158" w:themeColor="accent5"/>
        <w:right w:val="single" w:sz="8" w:space="0" w:color="696158" w:themeColor="accent5"/>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96158" w:themeColor="accent5"/>
          <w:right w:val="nil"/>
          <w:insideH w:val="nil"/>
          <w:insideV w:val="nil"/>
        </w:tcBorders>
        <w:shd w:val="clear" w:color="auto" w:fill="FFFFFF" w:themeFill="background1"/>
      </w:tcPr>
    </w:tblStylePr>
    <w:tblStylePr w:type="lastRow">
      <w:tblPr/>
      <w:tcPr>
        <w:tcBorders>
          <w:top w:val="single" w:sz="8" w:space="0" w:color="69615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6158" w:themeColor="accent5"/>
          <w:insideH w:val="nil"/>
          <w:insideV w:val="nil"/>
        </w:tcBorders>
        <w:shd w:val="clear" w:color="auto" w:fill="FFFFFF" w:themeFill="background1"/>
      </w:tcPr>
    </w:tblStylePr>
    <w:tblStylePr w:type="lastCol">
      <w:tblPr/>
      <w:tcPr>
        <w:tcBorders>
          <w:top w:val="nil"/>
          <w:left w:val="single" w:sz="8" w:space="0" w:color="69615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8D4" w:themeFill="accent5" w:themeFillTint="3F"/>
      </w:tcPr>
    </w:tblStylePr>
    <w:tblStylePr w:type="band1Horz">
      <w:tblPr/>
      <w:tcPr>
        <w:tcBorders>
          <w:top w:val="nil"/>
          <w:bottom w:val="nil"/>
          <w:insideH w:val="nil"/>
          <w:insideV w:val="nil"/>
        </w:tcBorders>
        <w:shd w:val="clear" w:color="auto" w:fill="DBD8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Ind w:w="0" w:type="dxa"/>
      <w:tblBorders>
        <w:top w:val="single" w:sz="8" w:space="0" w:color="898D8D" w:themeColor="accent6"/>
        <w:left w:val="single" w:sz="8" w:space="0" w:color="898D8D" w:themeColor="accent6"/>
        <w:bottom w:val="single" w:sz="8" w:space="0" w:color="898D8D" w:themeColor="accent6"/>
        <w:right w:val="single" w:sz="8" w:space="0" w:color="898D8D" w:themeColor="accent6"/>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98D8D" w:themeColor="accent6"/>
          <w:right w:val="nil"/>
          <w:insideH w:val="nil"/>
          <w:insideV w:val="nil"/>
        </w:tcBorders>
        <w:shd w:val="clear" w:color="auto" w:fill="FFFFFF" w:themeFill="background1"/>
      </w:tcPr>
    </w:tblStylePr>
    <w:tblStylePr w:type="lastRow">
      <w:tblPr/>
      <w:tcPr>
        <w:tcBorders>
          <w:top w:val="single" w:sz="8" w:space="0" w:color="898D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8D8D" w:themeColor="accent6"/>
          <w:insideH w:val="nil"/>
          <w:insideV w:val="nil"/>
        </w:tcBorders>
        <w:shd w:val="clear" w:color="auto" w:fill="FFFFFF" w:themeFill="background1"/>
      </w:tcPr>
    </w:tblStylePr>
    <w:tblStylePr w:type="lastCol">
      <w:tblPr/>
      <w:tcPr>
        <w:tcBorders>
          <w:top w:val="nil"/>
          <w:left w:val="single" w:sz="8" w:space="0" w:color="898D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2E2" w:themeFill="accent6" w:themeFillTint="3F"/>
      </w:tcPr>
    </w:tblStylePr>
    <w:tblStylePr w:type="band1Horz">
      <w:tblPr/>
      <w:tcPr>
        <w:tcBorders>
          <w:top w:val="nil"/>
          <w:bottom w:val="nil"/>
          <w:insideH w:val="nil"/>
          <w:insideV w:val="nil"/>
        </w:tcBorders>
        <w:shd w:val="clear" w:color="auto" w:fill="E1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Ind w:w="0" w:type="dxa"/>
      <w:tblBorders>
        <w:top w:val="single" w:sz="8" w:space="0" w:color="5D6D80" w:themeColor="accent1" w:themeTint="BF"/>
        <w:left w:val="single" w:sz="8" w:space="0" w:color="5D6D80" w:themeColor="accent1" w:themeTint="BF"/>
        <w:bottom w:val="single" w:sz="8" w:space="0" w:color="5D6D80" w:themeColor="accent1" w:themeTint="BF"/>
        <w:right w:val="single" w:sz="8" w:space="0" w:color="5D6D80" w:themeColor="accent1" w:themeTint="BF"/>
        <w:insideH w:val="single" w:sz="8" w:space="0" w:color="5D6D80" w:themeColor="accent1"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5D6D80" w:themeColor="accent1" w:themeTint="BF"/>
          <w:left w:val="single" w:sz="8" w:space="0" w:color="5D6D80" w:themeColor="accent1" w:themeTint="BF"/>
          <w:bottom w:val="single" w:sz="8" w:space="0" w:color="5D6D80" w:themeColor="accent1" w:themeTint="BF"/>
          <w:right w:val="single" w:sz="8" w:space="0" w:color="5D6D80" w:themeColor="accent1" w:themeTint="BF"/>
          <w:insideH w:val="nil"/>
          <w:insideV w:val="nil"/>
        </w:tcBorders>
        <w:shd w:val="clear" w:color="auto" w:fill="353E49" w:themeFill="accent1"/>
      </w:tcPr>
    </w:tblStylePr>
    <w:tblStylePr w:type="lastRow">
      <w:pPr>
        <w:spacing w:before="0" w:after="0" w:line="240" w:lineRule="auto"/>
      </w:pPr>
      <w:rPr>
        <w:b/>
        <w:bCs/>
      </w:rPr>
      <w:tblPr/>
      <w:tcPr>
        <w:tcBorders>
          <w:top w:val="double" w:sz="6" w:space="0" w:color="5D6D80" w:themeColor="accent1" w:themeTint="BF"/>
          <w:left w:val="single" w:sz="8" w:space="0" w:color="5D6D80" w:themeColor="accent1" w:themeTint="BF"/>
          <w:bottom w:val="single" w:sz="8" w:space="0" w:color="5D6D80" w:themeColor="accent1" w:themeTint="BF"/>
          <w:right w:val="single" w:sz="8" w:space="0" w:color="5D6D8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ED7" w:themeFill="accent1" w:themeFillTint="3F"/>
      </w:tcPr>
    </w:tblStylePr>
    <w:tblStylePr w:type="band1Horz">
      <w:tblPr/>
      <w:tcPr>
        <w:tcBorders>
          <w:insideH w:val="nil"/>
          <w:insideV w:val="nil"/>
        </w:tcBorders>
        <w:shd w:val="clear" w:color="auto" w:fill="C7CE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Ind w:w="0" w:type="dxa"/>
      <w:tblBorders>
        <w:top w:val="single" w:sz="8" w:space="0" w:color="C3BC99" w:themeColor="accent2" w:themeTint="BF"/>
        <w:left w:val="single" w:sz="8" w:space="0" w:color="C3BC99" w:themeColor="accent2" w:themeTint="BF"/>
        <w:bottom w:val="single" w:sz="8" w:space="0" w:color="C3BC99" w:themeColor="accent2" w:themeTint="BF"/>
        <w:right w:val="single" w:sz="8" w:space="0" w:color="C3BC99" w:themeColor="accent2" w:themeTint="BF"/>
        <w:insideH w:val="single" w:sz="8" w:space="0" w:color="C3BC99" w:themeColor="accent2"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3BC99" w:themeColor="accent2" w:themeTint="BF"/>
          <w:left w:val="single" w:sz="8" w:space="0" w:color="C3BC99" w:themeColor="accent2" w:themeTint="BF"/>
          <w:bottom w:val="single" w:sz="8" w:space="0" w:color="C3BC99" w:themeColor="accent2" w:themeTint="BF"/>
          <w:right w:val="single" w:sz="8" w:space="0" w:color="C3BC99" w:themeColor="accent2" w:themeTint="BF"/>
          <w:insideH w:val="nil"/>
          <w:insideV w:val="nil"/>
        </w:tcBorders>
        <w:shd w:val="clear" w:color="auto" w:fill="AFA778" w:themeFill="accent2"/>
      </w:tcPr>
    </w:tblStylePr>
    <w:tblStylePr w:type="lastRow">
      <w:pPr>
        <w:spacing w:before="0" w:after="0" w:line="240" w:lineRule="auto"/>
      </w:pPr>
      <w:rPr>
        <w:b/>
        <w:bCs/>
      </w:rPr>
      <w:tblPr/>
      <w:tcPr>
        <w:tcBorders>
          <w:top w:val="double" w:sz="6" w:space="0" w:color="C3BC99" w:themeColor="accent2" w:themeTint="BF"/>
          <w:left w:val="single" w:sz="8" w:space="0" w:color="C3BC99" w:themeColor="accent2" w:themeTint="BF"/>
          <w:bottom w:val="single" w:sz="8" w:space="0" w:color="C3BC99" w:themeColor="accent2" w:themeTint="BF"/>
          <w:right w:val="single" w:sz="8" w:space="0" w:color="C3BC9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9DD" w:themeFill="accent2" w:themeFillTint="3F"/>
      </w:tcPr>
    </w:tblStylePr>
    <w:tblStylePr w:type="band1Horz">
      <w:tblPr/>
      <w:tcPr>
        <w:tcBorders>
          <w:insideH w:val="nil"/>
          <w:insideV w:val="nil"/>
        </w:tcBorders>
        <w:shd w:val="clear" w:color="auto" w:fill="EBE9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Ind w:w="0" w:type="dxa"/>
      <w:tblBorders>
        <w:top w:val="single" w:sz="8" w:space="0" w:color="4F92B7" w:themeColor="accent3" w:themeTint="BF"/>
        <w:left w:val="single" w:sz="8" w:space="0" w:color="4F92B7" w:themeColor="accent3" w:themeTint="BF"/>
        <w:bottom w:val="single" w:sz="8" w:space="0" w:color="4F92B7" w:themeColor="accent3" w:themeTint="BF"/>
        <w:right w:val="single" w:sz="8" w:space="0" w:color="4F92B7" w:themeColor="accent3" w:themeTint="BF"/>
        <w:insideH w:val="single" w:sz="8" w:space="0" w:color="4F92B7" w:themeColor="accent3"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F92B7" w:themeColor="accent3" w:themeTint="BF"/>
          <w:left w:val="single" w:sz="8" w:space="0" w:color="4F92B7" w:themeColor="accent3" w:themeTint="BF"/>
          <w:bottom w:val="single" w:sz="8" w:space="0" w:color="4F92B7" w:themeColor="accent3" w:themeTint="BF"/>
          <w:right w:val="single" w:sz="8" w:space="0" w:color="4F92B7" w:themeColor="accent3" w:themeTint="BF"/>
          <w:insideH w:val="nil"/>
          <w:insideV w:val="nil"/>
        </w:tcBorders>
        <w:shd w:val="clear" w:color="auto" w:fill="34657F" w:themeFill="accent3"/>
      </w:tcPr>
    </w:tblStylePr>
    <w:tblStylePr w:type="lastRow">
      <w:pPr>
        <w:spacing w:before="0" w:after="0" w:line="240" w:lineRule="auto"/>
      </w:pPr>
      <w:rPr>
        <w:b/>
        <w:bCs/>
      </w:rPr>
      <w:tblPr/>
      <w:tcPr>
        <w:tcBorders>
          <w:top w:val="double" w:sz="6" w:space="0" w:color="4F92B7" w:themeColor="accent3" w:themeTint="BF"/>
          <w:left w:val="single" w:sz="8" w:space="0" w:color="4F92B7" w:themeColor="accent3" w:themeTint="BF"/>
          <w:bottom w:val="single" w:sz="8" w:space="0" w:color="4F92B7" w:themeColor="accent3" w:themeTint="BF"/>
          <w:right w:val="single" w:sz="8" w:space="0" w:color="4F92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C4DBE7" w:themeFill="accent3" w:themeFillTint="3F"/>
      </w:tcPr>
    </w:tblStylePr>
    <w:tblStylePr w:type="band1Horz">
      <w:tblPr/>
      <w:tcPr>
        <w:tcBorders>
          <w:insideH w:val="nil"/>
          <w:insideV w:val="nil"/>
        </w:tcBorders>
        <w:shd w:val="clear" w:color="auto" w:fill="C4DB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Ind w:w="0" w:type="dxa"/>
      <w:tblBorders>
        <w:top w:val="single" w:sz="8" w:space="0" w:color="CDB387" w:themeColor="accent4" w:themeTint="BF"/>
        <w:left w:val="single" w:sz="8" w:space="0" w:color="CDB387" w:themeColor="accent4" w:themeTint="BF"/>
        <w:bottom w:val="single" w:sz="8" w:space="0" w:color="CDB387" w:themeColor="accent4" w:themeTint="BF"/>
        <w:right w:val="single" w:sz="8" w:space="0" w:color="CDB387" w:themeColor="accent4" w:themeTint="BF"/>
        <w:insideH w:val="single" w:sz="8" w:space="0" w:color="CDB387" w:themeColor="accent4"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DB387" w:themeColor="accent4" w:themeTint="BF"/>
          <w:left w:val="single" w:sz="8" w:space="0" w:color="CDB387" w:themeColor="accent4" w:themeTint="BF"/>
          <w:bottom w:val="single" w:sz="8" w:space="0" w:color="CDB387" w:themeColor="accent4" w:themeTint="BF"/>
          <w:right w:val="single" w:sz="8" w:space="0" w:color="CDB387" w:themeColor="accent4" w:themeTint="BF"/>
          <w:insideH w:val="nil"/>
          <w:insideV w:val="nil"/>
        </w:tcBorders>
        <w:shd w:val="clear" w:color="auto" w:fill="BD9B60" w:themeFill="accent4"/>
      </w:tcPr>
    </w:tblStylePr>
    <w:tblStylePr w:type="lastRow">
      <w:pPr>
        <w:spacing w:before="0" w:after="0" w:line="240" w:lineRule="auto"/>
      </w:pPr>
      <w:rPr>
        <w:b/>
        <w:bCs/>
      </w:rPr>
      <w:tblPr/>
      <w:tcPr>
        <w:tcBorders>
          <w:top w:val="double" w:sz="6" w:space="0" w:color="CDB387" w:themeColor="accent4" w:themeTint="BF"/>
          <w:left w:val="single" w:sz="8" w:space="0" w:color="CDB387" w:themeColor="accent4" w:themeTint="BF"/>
          <w:bottom w:val="single" w:sz="8" w:space="0" w:color="CDB387" w:themeColor="accent4" w:themeTint="BF"/>
          <w:right w:val="single" w:sz="8" w:space="0" w:color="CDB38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EE6D7" w:themeFill="accent4" w:themeFillTint="3F"/>
      </w:tcPr>
    </w:tblStylePr>
    <w:tblStylePr w:type="band1Horz">
      <w:tblPr/>
      <w:tcPr>
        <w:tcBorders>
          <w:insideH w:val="nil"/>
          <w:insideV w:val="nil"/>
        </w:tcBorders>
        <w:shd w:val="clear" w:color="auto" w:fill="EEE6D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Ind w:w="0" w:type="dxa"/>
      <w:tblBorders>
        <w:top w:val="single" w:sz="8" w:space="0" w:color="92887D" w:themeColor="accent5" w:themeTint="BF"/>
        <w:left w:val="single" w:sz="8" w:space="0" w:color="92887D" w:themeColor="accent5" w:themeTint="BF"/>
        <w:bottom w:val="single" w:sz="8" w:space="0" w:color="92887D" w:themeColor="accent5" w:themeTint="BF"/>
        <w:right w:val="single" w:sz="8" w:space="0" w:color="92887D" w:themeColor="accent5" w:themeTint="BF"/>
        <w:insideH w:val="single" w:sz="8" w:space="0" w:color="92887D" w:themeColor="accent5"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2887D" w:themeColor="accent5" w:themeTint="BF"/>
          <w:left w:val="single" w:sz="8" w:space="0" w:color="92887D" w:themeColor="accent5" w:themeTint="BF"/>
          <w:bottom w:val="single" w:sz="8" w:space="0" w:color="92887D" w:themeColor="accent5" w:themeTint="BF"/>
          <w:right w:val="single" w:sz="8" w:space="0" w:color="92887D" w:themeColor="accent5" w:themeTint="BF"/>
          <w:insideH w:val="nil"/>
          <w:insideV w:val="nil"/>
        </w:tcBorders>
        <w:shd w:val="clear" w:color="auto" w:fill="696158" w:themeFill="accent5"/>
      </w:tcPr>
    </w:tblStylePr>
    <w:tblStylePr w:type="lastRow">
      <w:pPr>
        <w:spacing w:before="0" w:after="0" w:line="240" w:lineRule="auto"/>
      </w:pPr>
      <w:rPr>
        <w:b/>
        <w:bCs/>
      </w:rPr>
      <w:tblPr/>
      <w:tcPr>
        <w:tcBorders>
          <w:top w:val="double" w:sz="6" w:space="0" w:color="92887D" w:themeColor="accent5" w:themeTint="BF"/>
          <w:left w:val="single" w:sz="8" w:space="0" w:color="92887D" w:themeColor="accent5" w:themeTint="BF"/>
          <w:bottom w:val="single" w:sz="8" w:space="0" w:color="92887D" w:themeColor="accent5" w:themeTint="BF"/>
          <w:right w:val="single" w:sz="8" w:space="0" w:color="9288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D8D4" w:themeFill="accent5" w:themeFillTint="3F"/>
      </w:tcPr>
    </w:tblStylePr>
    <w:tblStylePr w:type="band1Horz">
      <w:tblPr/>
      <w:tcPr>
        <w:tcBorders>
          <w:insideH w:val="nil"/>
          <w:insideV w:val="nil"/>
        </w:tcBorders>
        <w:shd w:val="clear" w:color="auto" w:fill="DBD8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Ind w:w="0" w:type="dxa"/>
      <w:tblBorders>
        <w:top w:val="single" w:sz="8" w:space="0" w:color="A6A9A9" w:themeColor="accent6" w:themeTint="BF"/>
        <w:left w:val="single" w:sz="8" w:space="0" w:color="A6A9A9" w:themeColor="accent6" w:themeTint="BF"/>
        <w:bottom w:val="single" w:sz="8" w:space="0" w:color="A6A9A9" w:themeColor="accent6" w:themeTint="BF"/>
        <w:right w:val="single" w:sz="8" w:space="0" w:color="A6A9A9" w:themeColor="accent6" w:themeTint="BF"/>
        <w:insideH w:val="single" w:sz="8" w:space="0" w:color="A6A9A9" w:themeColor="accent6" w:themeTint="BF"/>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6A9A9" w:themeColor="accent6" w:themeTint="BF"/>
          <w:left w:val="single" w:sz="8" w:space="0" w:color="A6A9A9" w:themeColor="accent6" w:themeTint="BF"/>
          <w:bottom w:val="single" w:sz="8" w:space="0" w:color="A6A9A9" w:themeColor="accent6" w:themeTint="BF"/>
          <w:right w:val="single" w:sz="8" w:space="0" w:color="A6A9A9" w:themeColor="accent6" w:themeTint="BF"/>
          <w:insideH w:val="nil"/>
          <w:insideV w:val="nil"/>
        </w:tcBorders>
        <w:shd w:val="clear" w:color="auto" w:fill="898D8D" w:themeFill="accent6"/>
      </w:tcPr>
    </w:tblStylePr>
    <w:tblStylePr w:type="lastRow">
      <w:pPr>
        <w:spacing w:before="0" w:after="0" w:line="240" w:lineRule="auto"/>
      </w:pPr>
      <w:rPr>
        <w:b/>
        <w:bCs/>
      </w:rPr>
      <w:tblPr/>
      <w:tcPr>
        <w:tcBorders>
          <w:top w:val="double" w:sz="6" w:space="0" w:color="A6A9A9" w:themeColor="accent6" w:themeTint="BF"/>
          <w:left w:val="single" w:sz="8" w:space="0" w:color="A6A9A9" w:themeColor="accent6" w:themeTint="BF"/>
          <w:bottom w:val="single" w:sz="8" w:space="0" w:color="A6A9A9" w:themeColor="accent6" w:themeTint="BF"/>
          <w:right w:val="single" w:sz="8" w:space="0" w:color="A6A9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E1E2E2" w:themeFill="accent6" w:themeFillTint="3F"/>
      </w:tcPr>
    </w:tblStylePr>
    <w:tblStylePr w:type="band1Horz">
      <w:tblPr/>
      <w:tcPr>
        <w:tcBorders>
          <w:insideH w:val="nil"/>
          <w:insideV w:val="nil"/>
        </w:tcBorders>
        <w:shd w:val="clear" w:color="auto" w:fill="E1E2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53E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53E49" w:themeFill="accent1"/>
      </w:tcPr>
    </w:tblStylePr>
    <w:tblStylePr w:type="lastCol">
      <w:rPr>
        <w:b/>
        <w:bCs/>
        <w:color w:val="FFFFFF" w:themeColor="background1"/>
      </w:rPr>
      <w:tblPr/>
      <w:tcPr>
        <w:tcBorders>
          <w:left w:val="nil"/>
          <w:right w:val="nil"/>
          <w:insideH w:val="nil"/>
          <w:insideV w:val="nil"/>
        </w:tcBorders>
        <w:shd w:val="clear" w:color="auto" w:fill="353E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FA77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A778" w:themeFill="accent2"/>
      </w:tcPr>
    </w:tblStylePr>
    <w:tblStylePr w:type="lastCol">
      <w:rPr>
        <w:b/>
        <w:bCs/>
        <w:color w:val="FFFFFF" w:themeColor="background1"/>
      </w:rPr>
      <w:tblPr/>
      <w:tcPr>
        <w:tcBorders>
          <w:left w:val="nil"/>
          <w:right w:val="nil"/>
          <w:insideH w:val="nil"/>
          <w:insideV w:val="nil"/>
        </w:tcBorders>
        <w:shd w:val="clear" w:color="auto" w:fill="AFA77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4657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657F" w:themeFill="accent3"/>
      </w:tcPr>
    </w:tblStylePr>
    <w:tblStylePr w:type="lastCol">
      <w:rPr>
        <w:b/>
        <w:bCs/>
        <w:color w:val="FFFFFF" w:themeColor="background1"/>
      </w:rPr>
      <w:tblPr/>
      <w:tcPr>
        <w:tcBorders>
          <w:left w:val="nil"/>
          <w:right w:val="nil"/>
          <w:insideH w:val="nil"/>
          <w:insideV w:val="nil"/>
        </w:tcBorders>
        <w:shd w:val="clear" w:color="auto" w:fill="34657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D9B6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D9B60" w:themeFill="accent4"/>
      </w:tcPr>
    </w:tblStylePr>
    <w:tblStylePr w:type="lastCol">
      <w:rPr>
        <w:b/>
        <w:bCs/>
        <w:color w:val="FFFFFF" w:themeColor="background1"/>
      </w:rPr>
      <w:tblPr/>
      <w:tcPr>
        <w:tcBorders>
          <w:left w:val="nil"/>
          <w:right w:val="nil"/>
          <w:insideH w:val="nil"/>
          <w:insideV w:val="nil"/>
        </w:tcBorders>
        <w:shd w:val="clear" w:color="auto" w:fill="BD9B6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9615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96158" w:themeFill="accent5"/>
      </w:tcPr>
    </w:tblStylePr>
    <w:tblStylePr w:type="lastCol">
      <w:rPr>
        <w:b/>
        <w:bCs/>
        <w:color w:val="FFFFFF" w:themeColor="background1"/>
      </w:rPr>
      <w:tblPr/>
      <w:tcPr>
        <w:tcBorders>
          <w:left w:val="nil"/>
          <w:right w:val="nil"/>
          <w:insideH w:val="nil"/>
          <w:insideV w:val="nil"/>
        </w:tcBorders>
        <w:shd w:val="clear" w:color="auto" w:fill="69615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98D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98D8D" w:themeFill="accent6"/>
      </w:tcPr>
    </w:tblStylePr>
    <w:tblStylePr w:type="lastCol">
      <w:rPr>
        <w:b/>
        <w:bCs/>
        <w:color w:val="FFFFFF" w:themeColor="background1"/>
      </w:rPr>
      <w:tblPr/>
      <w:tcPr>
        <w:tcBorders>
          <w:left w:val="nil"/>
          <w:right w:val="nil"/>
          <w:insideH w:val="nil"/>
          <w:insideV w:val="nil"/>
        </w:tcBorders>
        <w:shd w:val="clear" w:color="auto" w:fill="898D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9"/>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DefaultParagraphFont"/>
    <w:uiPriority w:val="11"/>
    <w:semiHidden/>
    <w:rsid w:val="00706B41"/>
    <w:rPr>
      <w:rFonts w:asciiTheme="minorHAnsi" w:hAnsiTheme="minorHAnsi" w:cstheme="minorHAnsi"/>
      <w:color w:val="808080"/>
    </w:rPr>
  </w:style>
  <w:style w:type="paragraph" w:styleId="PlainText">
    <w:name w:val="Plain Text"/>
    <w:basedOn w:val="Normal"/>
    <w:link w:val="PlainTextChar"/>
    <w:uiPriority w:val="97"/>
    <w:semiHidden/>
    <w:rsid w:val="00706B41"/>
    <w:pPr>
      <w:spacing w:after="0" w:line="240" w:lineRule="auto"/>
    </w:pPr>
    <w:rPr>
      <w:sz w:val="21"/>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353E49"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353E49"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AFA778" w:themeColor="accent2"/>
      <w:u w:val="single"/>
    </w:rPr>
  </w:style>
  <w:style w:type="table" w:styleId="Table3Deffects1">
    <w:name w:val="Table 3D effects 1"/>
    <w:basedOn w:val="TableNormal"/>
    <w:uiPriority w:val="98"/>
    <w:semiHidden/>
    <w:rsid w:val="00706B41"/>
    <w:pPr>
      <w:spacing w:after="140" w:line="280" w:lineRule="atLeast"/>
    </w:pPr>
    <w:tblPr>
      <w:tblInd w:w="0" w:type="dxa"/>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Ind w:w="0" w:type="dxa"/>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semiHidden/>
    <w:rsid w:val="00706B41"/>
    <w:pPr>
      <w:spacing w:after="14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Ind w:w="0" w:type="dxa"/>
      <w:tblBorders>
        <w:bottom w:val="single" w:sz="12" w:space="0" w:color="80808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Ind w:w="0" w:type="dxa"/>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353E49" w:themeColor="accent1"/>
      </w:pBdr>
      <w:spacing w:after="300" w:line="240" w:lineRule="auto"/>
    </w:pPr>
    <w:rPr>
      <w:rFonts w:eastAsiaTheme="majorEastAsia"/>
      <w:color w:val="002149"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002149"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39"/>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39"/>
    <w:unhideWhenUsed/>
    <w:qFormat/>
    <w:rsid w:val="00706B41"/>
    <w:pPr>
      <w:keepLines/>
      <w:framePr w:wrap="around"/>
      <w:spacing w:before="480" w:after="0" w:line="280" w:lineRule="atLeast"/>
      <w:outlineLvl w:val="9"/>
    </w:pPr>
    <w:rPr>
      <w:rFonts w:eastAsiaTheme="majorEastAsia"/>
      <w:b/>
      <w:color w:val="272E36" w:themeColor="accent1" w:themeShade="BF"/>
      <w:sz w:val="28"/>
      <w:szCs w:val="28"/>
    </w:rPr>
  </w:style>
  <w:style w:type="table" w:customStyle="1" w:styleId="LayoutGrid">
    <w:name w:val="Layout Grid"/>
    <w:basedOn w:val="TableNormal"/>
    <w:uiPriority w:val="99"/>
    <w:rsid w:val="002A6F0E"/>
    <w:tblPr>
      <w:tblInd w:w="0" w:type="dxa"/>
      <w:tblCellMar>
        <w:top w:w="0" w:type="dxa"/>
        <w:left w:w="0" w:type="dxa"/>
        <w:bottom w:w="0" w:type="dxa"/>
        <w:right w:w="0" w:type="dxa"/>
      </w:tblCellMar>
    </w:tblPr>
  </w:style>
  <w:style w:type="paragraph" w:customStyle="1" w:styleId="PulloutQuote">
    <w:name w:val="PulloutQuote"/>
    <w:basedOn w:val="Normal"/>
    <w:qFormat/>
    <w:rsid w:val="002A6F0E"/>
    <w:pPr>
      <w:ind w:left="113" w:right="113"/>
    </w:pPr>
  </w:style>
  <w:style w:type="table" w:customStyle="1" w:styleId="Details">
    <w:name w:val="Details"/>
    <w:basedOn w:val="TableNormal"/>
    <w:uiPriority w:val="99"/>
    <w:rsid w:val="00112DBC"/>
    <w:rPr>
      <w:rFonts w:ascii="Arial" w:eastAsiaTheme="minorHAnsi" w:hAnsi="Arial"/>
      <w:lang w:val="en-AU" w:eastAsia="en-US"/>
    </w:rPr>
    <w:tblPr>
      <w:tblInd w:w="0" w:type="dxa"/>
      <w:tblCellMar>
        <w:top w:w="0" w:type="dxa"/>
        <w:left w:w="108" w:type="dxa"/>
        <w:bottom w:w="0" w:type="dxa"/>
        <w:right w:w="108" w:type="dxa"/>
      </w:tblCellMar>
    </w:tblPr>
  </w:style>
  <w:style w:type="table" w:customStyle="1" w:styleId="TableCompany">
    <w:name w:val="Table_Company"/>
    <w:basedOn w:val="TableNormal"/>
    <w:uiPriority w:val="99"/>
    <w:rsid w:val="00FF3F5D"/>
    <w:rPr>
      <w:rFonts w:asciiTheme="minorHAnsi" w:hAnsiTheme="minorHAnsi"/>
    </w:rPr>
    <w:tblPr>
      <w:tblInd w:w="0" w:type="dxa"/>
      <w:tblBorders>
        <w:top w:val="single" w:sz="4" w:space="0" w:color="auto"/>
        <w:bottom w:val="single" w:sz="4" w:space="0" w:color="auto"/>
        <w:insideH w:val="single" w:sz="4" w:space="0" w:color="auto"/>
      </w:tblBorders>
      <w:tblCellMar>
        <w:top w:w="0" w:type="dxa"/>
        <w:left w:w="0" w:type="dxa"/>
        <w:bottom w:w="0" w:type="dxa"/>
        <w:right w:w="0" w:type="dxa"/>
      </w:tblCellMar>
    </w:tblPr>
  </w:style>
  <w:style w:type="character" w:customStyle="1" w:styleId="HeaderChar">
    <w:name w:val="Header Char"/>
    <w:basedOn w:val="DefaultParagraphFont"/>
    <w:link w:val="Header"/>
    <w:uiPriority w:val="9"/>
    <w:rsid w:val="00CE6F73"/>
    <w:rPr>
      <w:rFonts w:asciiTheme="minorHAnsi" w:hAnsiTheme="minorHAnsi" w:cstheme="minorHAnsi"/>
      <w:sz w:val="14"/>
      <w:szCs w:val="24"/>
      <w:lang w:val="en-AU" w:eastAsia="ja-JP"/>
    </w:rPr>
  </w:style>
  <w:style w:type="character" w:customStyle="1" w:styleId="FooterChar">
    <w:name w:val="Footer Char"/>
    <w:basedOn w:val="DefaultParagraphFont"/>
    <w:link w:val="Footer"/>
    <w:uiPriority w:val="9"/>
    <w:rsid w:val="00CE6F73"/>
    <w:rPr>
      <w:rFonts w:asciiTheme="minorHAnsi" w:hAnsiTheme="minorHAnsi" w:cstheme="minorHAnsi"/>
      <w:sz w:val="14"/>
      <w:szCs w:val="24"/>
      <w:lang w:val="en-AU" w:eastAsia="ja-JP"/>
    </w:rPr>
  </w:style>
  <w:style w:type="character" w:customStyle="1" w:styleId="apple-tab-span">
    <w:name w:val="apple-tab-span"/>
    <w:basedOn w:val="DefaultParagraphFont"/>
    <w:rsid w:val="00ED6446"/>
  </w:style>
  <w:style w:type="paragraph" w:styleId="Revision">
    <w:name w:val="Revision"/>
    <w:hidden/>
    <w:uiPriority w:val="99"/>
    <w:semiHidden/>
    <w:rsid w:val="00726F64"/>
    <w:rPr>
      <w:rFonts w:asciiTheme="minorHAnsi" w:hAnsiTheme="minorHAnsi" w:cstheme="minorHAnsi"/>
      <w:szCs w:val="24"/>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1297">
      <w:bodyDiv w:val="1"/>
      <w:marLeft w:val="0"/>
      <w:marRight w:val="0"/>
      <w:marTop w:val="0"/>
      <w:marBottom w:val="0"/>
      <w:divBdr>
        <w:top w:val="none" w:sz="0" w:space="0" w:color="auto"/>
        <w:left w:val="none" w:sz="0" w:space="0" w:color="auto"/>
        <w:bottom w:val="none" w:sz="0" w:space="0" w:color="auto"/>
        <w:right w:val="none" w:sz="0" w:space="0" w:color="auto"/>
      </w:divBdr>
    </w:div>
    <w:div w:id="152839741">
      <w:bodyDiv w:val="1"/>
      <w:marLeft w:val="0"/>
      <w:marRight w:val="0"/>
      <w:marTop w:val="0"/>
      <w:marBottom w:val="0"/>
      <w:divBdr>
        <w:top w:val="none" w:sz="0" w:space="0" w:color="auto"/>
        <w:left w:val="none" w:sz="0" w:space="0" w:color="auto"/>
        <w:bottom w:val="none" w:sz="0" w:space="0" w:color="auto"/>
        <w:right w:val="none" w:sz="0" w:space="0" w:color="auto"/>
      </w:divBdr>
      <w:divsChild>
        <w:div w:id="1075011824">
          <w:marLeft w:val="360"/>
          <w:marRight w:val="0"/>
          <w:marTop w:val="0"/>
          <w:marBottom w:val="0"/>
          <w:divBdr>
            <w:top w:val="none" w:sz="0" w:space="0" w:color="auto"/>
            <w:left w:val="none" w:sz="0" w:space="0" w:color="auto"/>
            <w:bottom w:val="none" w:sz="0" w:space="0" w:color="auto"/>
            <w:right w:val="none" w:sz="0" w:space="0" w:color="auto"/>
          </w:divBdr>
        </w:div>
      </w:divsChild>
    </w:div>
    <w:div w:id="257294801">
      <w:bodyDiv w:val="1"/>
      <w:marLeft w:val="0"/>
      <w:marRight w:val="0"/>
      <w:marTop w:val="0"/>
      <w:marBottom w:val="0"/>
      <w:divBdr>
        <w:top w:val="none" w:sz="0" w:space="0" w:color="auto"/>
        <w:left w:val="none" w:sz="0" w:space="0" w:color="auto"/>
        <w:bottom w:val="none" w:sz="0" w:space="0" w:color="auto"/>
        <w:right w:val="none" w:sz="0" w:space="0" w:color="auto"/>
      </w:divBdr>
    </w:div>
    <w:div w:id="274287827">
      <w:bodyDiv w:val="1"/>
      <w:marLeft w:val="0"/>
      <w:marRight w:val="0"/>
      <w:marTop w:val="0"/>
      <w:marBottom w:val="0"/>
      <w:divBdr>
        <w:top w:val="none" w:sz="0" w:space="0" w:color="auto"/>
        <w:left w:val="none" w:sz="0" w:space="0" w:color="auto"/>
        <w:bottom w:val="none" w:sz="0" w:space="0" w:color="auto"/>
        <w:right w:val="none" w:sz="0" w:space="0" w:color="auto"/>
      </w:divBdr>
    </w:div>
    <w:div w:id="276261774">
      <w:bodyDiv w:val="1"/>
      <w:marLeft w:val="0"/>
      <w:marRight w:val="0"/>
      <w:marTop w:val="0"/>
      <w:marBottom w:val="0"/>
      <w:divBdr>
        <w:top w:val="none" w:sz="0" w:space="0" w:color="auto"/>
        <w:left w:val="none" w:sz="0" w:space="0" w:color="auto"/>
        <w:bottom w:val="none" w:sz="0" w:space="0" w:color="auto"/>
        <w:right w:val="none" w:sz="0" w:space="0" w:color="auto"/>
      </w:divBdr>
    </w:div>
    <w:div w:id="278806499">
      <w:bodyDiv w:val="1"/>
      <w:marLeft w:val="0"/>
      <w:marRight w:val="0"/>
      <w:marTop w:val="0"/>
      <w:marBottom w:val="0"/>
      <w:divBdr>
        <w:top w:val="none" w:sz="0" w:space="0" w:color="auto"/>
        <w:left w:val="none" w:sz="0" w:space="0" w:color="auto"/>
        <w:bottom w:val="none" w:sz="0" w:space="0" w:color="auto"/>
        <w:right w:val="none" w:sz="0" w:space="0" w:color="auto"/>
      </w:divBdr>
    </w:div>
    <w:div w:id="626354221">
      <w:bodyDiv w:val="1"/>
      <w:marLeft w:val="0"/>
      <w:marRight w:val="0"/>
      <w:marTop w:val="0"/>
      <w:marBottom w:val="0"/>
      <w:divBdr>
        <w:top w:val="none" w:sz="0" w:space="0" w:color="auto"/>
        <w:left w:val="none" w:sz="0" w:space="0" w:color="auto"/>
        <w:bottom w:val="none" w:sz="0" w:space="0" w:color="auto"/>
        <w:right w:val="none" w:sz="0" w:space="0" w:color="auto"/>
      </w:divBdr>
    </w:div>
    <w:div w:id="869728888">
      <w:bodyDiv w:val="1"/>
      <w:marLeft w:val="0"/>
      <w:marRight w:val="0"/>
      <w:marTop w:val="0"/>
      <w:marBottom w:val="0"/>
      <w:divBdr>
        <w:top w:val="none" w:sz="0" w:space="0" w:color="auto"/>
        <w:left w:val="none" w:sz="0" w:space="0" w:color="auto"/>
        <w:bottom w:val="none" w:sz="0" w:space="0" w:color="auto"/>
        <w:right w:val="none" w:sz="0" w:space="0" w:color="auto"/>
      </w:divBdr>
    </w:div>
    <w:div w:id="878005880">
      <w:bodyDiv w:val="1"/>
      <w:marLeft w:val="0"/>
      <w:marRight w:val="0"/>
      <w:marTop w:val="0"/>
      <w:marBottom w:val="0"/>
      <w:divBdr>
        <w:top w:val="none" w:sz="0" w:space="0" w:color="auto"/>
        <w:left w:val="none" w:sz="0" w:space="0" w:color="auto"/>
        <w:bottom w:val="none" w:sz="0" w:space="0" w:color="auto"/>
        <w:right w:val="none" w:sz="0" w:space="0" w:color="auto"/>
      </w:divBdr>
    </w:div>
    <w:div w:id="941642743">
      <w:bodyDiv w:val="1"/>
      <w:marLeft w:val="0"/>
      <w:marRight w:val="0"/>
      <w:marTop w:val="0"/>
      <w:marBottom w:val="0"/>
      <w:divBdr>
        <w:top w:val="none" w:sz="0" w:space="0" w:color="auto"/>
        <w:left w:val="none" w:sz="0" w:space="0" w:color="auto"/>
        <w:bottom w:val="none" w:sz="0" w:space="0" w:color="auto"/>
        <w:right w:val="none" w:sz="0" w:space="0" w:color="auto"/>
      </w:divBdr>
    </w:div>
    <w:div w:id="1198739513">
      <w:bodyDiv w:val="1"/>
      <w:marLeft w:val="0"/>
      <w:marRight w:val="0"/>
      <w:marTop w:val="0"/>
      <w:marBottom w:val="0"/>
      <w:divBdr>
        <w:top w:val="none" w:sz="0" w:space="0" w:color="auto"/>
        <w:left w:val="none" w:sz="0" w:space="0" w:color="auto"/>
        <w:bottom w:val="none" w:sz="0" w:space="0" w:color="auto"/>
        <w:right w:val="none" w:sz="0" w:space="0" w:color="auto"/>
      </w:divBdr>
    </w:div>
    <w:div w:id="1413771044">
      <w:bodyDiv w:val="1"/>
      <w:marLeft w:val="0"/>
      <w:marRight w:val="0"/>
      <w:marTop w:val="0"/>
      <w:marBottom w:val="0"/>
      <w:divBdr>
        <w:top w:val="none" w:sz="0" w:space="0" w:color="auto"/>
        <w:left w:val="none" w:sz="0" w:space="0" w:color="auto"/>
        <w:bottom w:val="none" w:sz="0" w:space="0" w:color="auto"/>
        <w:right w:val="none" w:sz="0" w:space="0" w:color="auto"/>
      </w:divBdr>
    </w:div>
    <w:div w:id="1512061943">
      <w:bodyDiv w:val="1"/>
      <w:marLeft w:val="0"/>
      <w:marRight w:val="0"/>
      <w:marTop w:val="0"/>
      <w:marBottom w:val="0"/>
      <w:divBdr>
        <w:top w:val="none" w:sz="0" w:space="0" w:color="auto"/>
        <w:left w:val="none" w:sz="0" w:space="0" w:color="auto"/>
        <w:bottom w:val="none" w:sz="0" w:space="0" w:color="auto"/>
        <w:right w:val="none" w:sz="0" w:space="0" w:color="auto"/>
      </w:divBdr>
    </w:div>
    <w:div w:id="1748913983">
      <w:bodyDiv w:val="1"/>
      <w:marLeft w:val="0"/>
      <w:marRight w:val="0"/>
      <w:marTop w:val="0"/>
      <w:marBottom w:val="0"/>
      <w:divBdr>
        <w:top w:val="none" w:sz="0" w:space="0" w:color="auto"/>
        <w:left w:val="none" w:sz="0" w:space="0" w:color="auto"/>
        <w:bottom w:val="none" w:sz="0" w:space="0" w:color="auto"/>
        <w:right w:val="none" w:sz="0" w:space="0" w:color="auto"/>
      </w:divBdr>
    </w:div>
    <w:div w:id="1970933094">
      <w:bodyDiv w:val="1"/>
      <w:marLeft w:val="0"/>
      <w:marRight w:val="0"/>
      <w:marTop w:val="0"/>
      <w:marBottom w:val="0"/>
      <w:divBdr>
        <w:top w:val="none" w:sz="0" w:space="0" w:color="auto"/>
        <w:left w:val="none" w:sz="0" w:space="0" w:color="auto"/>
        <w:bottom w:val="none" w:sz="0" w:space="0" w:color="auto"/>
        <w:right w:val="none" w:sz="0" w:space="0" w:color="auto"/>
      </w:divBdr>
    </w:div>
    <w:div w:id="1981955369">
      <w:bodyDiv w:val="1"/>
      <w:marLeft w:val="0"/>
      <w:marRight w:val="0"/>
      <w:marTop w:val="0"/>
      <w:marBottom w:val="0"/>
      <w:divBdr>
        <w:top w:val="none" w:sz="0" w:space="0" w:color="auto"/>
        <w:left w:val="none" w:sz="0" w:space="0" w:color="auto"/>
        <w:bottom w:val="none" w:sz="0" w:space="0" w:color="auto"/>
        <w:right w:val="none" w:sz="0" w:space="0" w:color="auto"/>
      </w:divBdr>
    </w:div>
    <w:div w:id="207450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www.evidenceforlearning.org.au/"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www.evidenceforlearning.org.au/"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tmp"/><Relationship Id="rId28" Type="http://schemas.openxmlformats.org/officeDocument/2006/relationships/header" Target="header2.xml"/><Relationship Id="rId10" Type="http://schemas.microsoft.com/office/2007/relationships/stylesWithEffects" Target="stylesWithEffects.xm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13" Type="http://schemas.openxmlformats.org/officeDocument/2006/relationships/hyperlink" Target="http://www.aedc.gov.au/resources/detail/national-report-2012" TargetMode="External"/><Relationship Id="rId18" Type="http://schemas.openxmlformats.org/officeDocument/2006/relationships/hyperlink" Target="http://www.atc21s.org" TargetMode="External"/><Relationship Id="rId26" Type="http://schemas.openxmlformats.org/officeDocument/2006/relationships/hyperlink" Target="https://educationendowmentfoundation.org.uk/evaluation/projects/research-learning-communities/" TargetMode="External"/><Relationship Id="rId39" Type="http://schemas.openxmlformats.org/officeDocument/2006/relationships/hyperlink" Target="https://www.gov.uk/government/uploads/system/uploads/attachment_data/file/62529/TLA-1906126.pdf" TargetMode="External"/><Relationship Id="rId21" Type="http://schemas.openxmlformats.org/officeDocument/2006/relationships/hyperlink" Target="http://www.fya.org.au/wp-content/uploads/2016/04/The-New-Basics_Update_Web.pdf" TargetMode="External"/><Relationship Id="rId34" Type="http://schemas.openxmlformats.org/officeDocument/2006/relationships/hyperlink" Target="http://www.oecd.org/education/EDUCATION%20POLICY%20OUTLOOK%20AUSTRALIA_EN.pdf" TargetMode="External"/><Relationship Id="rId42" Type="http://schemas.openxmlformats.org/officeDocument/2006/relationships/hyperlink" Target="http://coalition4evidence.org/wp-content/uploads/2014/02/Low-cost-RCT-competition-December-2013.pdf" TargetMode="External"/><Relationship Id="rId47" Type="http://schemas.openxmlformats.org/officeDocument/2006/relationships/hyperlink" Target="https://www.educationcounts.govt.nz/__data/assets/pdf_file/0017/16901/TPLandDBESentireWeb.pdf" TargetMode="External"/><Relationship Id="rId50" Type="http://schemas.openxmlformats.org/officeDocument/2006/relationships/hyperlink" Target="https://hal.archives-ouvertes.fr/halshs-00132531v1/document" TargetMode="External"/><Relationship Id="rId55" Type="http://schemas.openxmlformats.org/officeDocument/2006/relationships/hyperlink" Target="http://socialventures.com.au/assets/SVA-Education_Overcoming-Barriers-to-Spreading-Effective-Practice.pdf" TargetMode="External"/><Relationship Id="rId7" Type="http://schemas.openxmlformats.org/officeDocument/2006/relationships/hyperlink" Target="http://dx.doi.org/10.1787/9789264077485-en" TargetMode="External"/><Relationship Id="rId12" Type="http://schemas.openxmlformats.org/officeDocument/2006/relationships/hyperlink" Target="http://www.growingupinaustralia.gov.au/pubs/asr/2014/asr2014.pdf" TargetMode="External"/><Relationship Id="rId17" Type="http://schemas.openxmlformats.org/officeDocument/2006/relationships/hyperlink" Target="http://dx.doi.org/10.1787/9789264234833-en" TargetMode="External"/><Relationship Id="rId25" Type="http://schemas.openxmlformats.org/officeDocument/2006/relationships/hyperlink" Target="https://educationendowmentfoundation.org.uk/evaluation/projects/the-literacy-octopus-communicating-and-engaging-with-research/" TargetMode="External"/><Relationship Id="rId33" Type="http://schemas.openxmlformats.org/officeDocument/2006/relationships/hyperlink" Target="http://evidenceforlearning.org.au/toolkit/repeating-a-year/" TargetMode="External"/><Relationship Id="rId38" Type="http://schemas.openxmlformats.org/officeDocument/2006/relationships/hyperlink" Target="http://coalition4evidence.org/wp-content/uploads/2014/02/Low-cost-RCT-competition-December-2013.pdf" TargetMode="External"/><Relationship Id="rId46" Type="http://schemas.openxmlformats.org/officeDocument/2006/relationships/hyperlink" Target="https://www.educationcounts.govt.nz/__data/assets/pdf_file/0017/16901/TPLandDBESentireWeb.pdf" TargetMode="External"/><Relationship Id="rId59" Type="http://schemas.openxmlformats.org/officeDocument/2006/relationships/hyperlink" Target="http://www.jstor.org/stable/3594164" TargetMode="External"/><Relationship Id="rId2" Type="http://schemas.openxmlformats.org/officeDocument/2006/relationships/hyperlink" Target="https://www.studentsfirst.gov.au/independent-public-schools" TargetMode="External"/><Relationship Id="rId16" Type="http://schemas.openxmlformats.org/officeDocument/2006/relationships/hyperlink" Target="http://www.carnegiefoundation.org/our-ideas/six-core-principles-improvement/" TargetMode="External"/><Relationship Id="rId20" Type="http://schemas.openxmlformats.org/officeDocument/2006/relationships/hyperlink" Target="http://www.fya.org.au/wp-content/uploads/2015/08/fya-future-of-work-report-final-lr.pdf" TargetMode="External"/><Relationship Id="rId29" Type="http://schemas.openxmlformats.org/officeDocument/2006/relationships/hyperlink" Target="http://www.ncbi.nlm.nih.gov/pubmed/24731295" TargetMode="External"/><Relationship Id="rId41" Type="http://schemas.openxmlformats.org/officeDocument/2006/relationships/hyperlink" Target="http://www.nber.org/papers/w16850.pdf" TargetMode="External"/><Relationship Id="rId54" Type="http://schemas.openxmlformats.org/officeDocument/2006/relationships/hyperlink" Target="http://dx.doi.org/10.1787/9789264086319-en" TargetMode="External"/><Relationship Id="rId1" Type="http://schemas.openxmlformats.org/officeDocument/2006/relationships/hyperlink" Target="http://www.curriculum.edu.au/verve/_resources/National_Declaration_on_the_Educational_Goals_for_Young_Australians.pdf" TargetMode="External"/><Relationship Id="rId6" Type="http://schemas.openxmlformats.org/officeDocument/2006/relationships/hyperlink" Target="http://dx.doi.org/10.1787/9789264234833-en" TargetMode="External"/><Relationship Id="rId11" Type="http://schemas.openxmlformats.org/officeDocument/2006/relationships/hyperlink" Target="http://www.education.vic.gov.au/Documents/about/programs/partnerships/mckinsey.pdf" TargetMode="External"/><Relationship Id="rId24" Type="http://schemas.openxmlformats.org/officeDocument/2006/relationships/hyperlink" Target="https://educationendowmentfoundation.org.uk/funding/closed-rounds/" TargetMode="External"/><Relationship Id="rId32" Type="http://schemas.openxmlformats.org/officeDocument/2006/relationships/hyperlink" Target="http://evidenceforlearning.org.au/toolkit/peer-tutoring/" TargetMode="External"/><Relationship Id="rId37" Type="http://schemas.openxmlformats.org/officeDocument/2006/relationships/hyperlink" Target="https://www.gov.uk/government/uploads/system/uploads/attachment_data/file/62529/TLA-1906126.pdf" TargetMode="External"/><Relationship Id="rId40" Type="http://schemas.openxmlformats.org/officeDocument/2006/relationships/hyperlink" Target="http://coalition4evidence.org/wp-content/uploads/2014/02/Low-cost-RCT-competition-December-2013.pdf" TargetMode="External"/><Relationship Id="rId45" Type="http://schemas.openxmlformats.org/officeDocument/2006/relationships/hyperlink" Target="http://www.jstor.org/stable/3594164" TargetMode="External"/><Relationship Id="rId53" Type="http://schemas.openxmlformats.org/officeDocument/2006/relationships/hyperlink" Target="https://educationendowmentfoundation.org.uk/public/files/Publications/Campaigns/TA_RAG_SelfAssessmentGuide.pdf" TargetMode="External"/><Relationship Id="rId58" Type="http://schemas.openxmlformats.org/officeDocument/2006/relationships/hyperlink" Target="http://www.jstor.org/stable/3594164" TargetMode="External"/><Relationship Id="rId5" Type="http://schemas.openxmlformats.org/officeDocument/2006/relationships/hyperlink" Target="http://www.oecd.org/edu/school/44339174.pdf" TargetMode="External"/><Relationship Id="rId15" Type="http://schemas.openxmlformats.org/officeDocument/2006/relationships/hyperlink" Target="http://www.afr.com/technology/poor-use-of-publicsector-data-blocking-success-in-the-digital-economy-20151202-gld9tq" TargetMode="External"/><Relationship Id="rId23" Type="http://schemas.openxmlformats.org/officeDocument/2006/relationships/hyperlink" Target="http://research.acer.edu.au/cgi/viewcontent.cgi?article=1021&amp;context=aer" TargetMode="External"/><Relationship Id="rId28" Type="http://schemas.openxmlformats.org/officeDocument/2006/relationships/hyperlink" Target="http://www.cei.org.au/" TargetMode="External"/><Relationship Id="rId36" Type="http://schemas.openxmlformats.org/officeDocument/2006/relationships/hyperlink" Target="http://dx.doi.org/10.1787/9789264086319-en" TargetMode="External"/><Relationship Id="rId49" Type="http://schemas.openxmlformats.org/officeDocument/2006/relationships/hyperlink" Target="http://www.abs.gov.au/ausstats/abs@.nsf/Latestproducts/4221.0Main%20Features502015?opendocument&amp;tabname=Summary&amp;prodno=4221.0&amp;issue=2015&amp;num=&amp;view=" TargetMode="External"/><Relationship Id="rId57" Type="http://schemas.openxmlformats.org/officeDocument/2006/relationships/hyperlink" Target="https://www.educationcounts.govt.nz/__data/assets/pdf_file/0017/16901/TPLandDBESentireWeb.pdf" TargetMode="External"/><Relationship Id="rId10" Type="http://schemas.openxmlformats.org/officeDocument/2006/relationships/hyperlink" Target="http://heckmanequation.org/content/resource/heckman-curve" TargetMode="External"/><Relationship Id="rId19" Type="http://schemas.openxmlformats.org/officeDocument/2006/relationships/hyperlink" Target="http://www.oecd.org/edu/school/programmeforinternationalstudentassessmentpisa/48373847.pdf" TargetMode="External"/><Relationship Id="rId31" Type="http://schemas.openxmlformats.org/officeDocument/2006/relationships/hyperlink" Target="http://evidenceforlearning.org.au/toolkit/phonics/" TargetMode="External"/><Relationship Id="rId44" Type="http://schemas.openxmlformats.org/officeDocument/2006/relationships/hyperlink" Target="https://www.gov.uk/government/uploads/system/uploads/attachment_data/file/62529/TLA-1906126.pdf" TargetMode="External"/><Relationship Id="rId52" Type="http://schemas.openxmlformats.org/officeDocument/2006/relationships/hyperlink" Target="https://educationendowmentfoundation.org.uk/news/six-of-the-best-how-our-latest-reports-can-help-you-support-teaching-assist/" TargetMode="External"/><Relationship Id="rId60" Type="http://schemas.openxmlformats.org/officeDocument/2006/relationships/hyperlink" Target="https://www.det.nsw.edu.au/proflearn/docs/pdf/qt_hattie.pdf" TargetMode="External"/><Relationship Id="rId4" Type="http://schemas.openxmlformats.org/officeDocument/2006/relationships/hyperlink" Target="http://www.dec.nsw.gov.au/about-the-department/our-reforms/local-schools-local-decisions" TargetMode="External"/><Relationship Id="rId9" Type="http://schemas.openxmlformats.org/officeDocument/2006/relationships/hyperlink" Target="http://www.mitchellinstitute.org.au/wp-content/uploads/2015/11/Educational-opportunity-in-Australia-2015-Who-succeeds-and-who-misses-out-19Nov15.pdf" TargetMode="External"/><Relationship Id="rId14" Type="http://schemas.openxmlformats.org/officeDocument/2006/relationships/hyperlink" Target="http://research.acer.edu.au/cgi/viewcontent.cgi?article=1014&amp;context=ozpisa" TargetMode="External"/><Relationship Id="rId22" Type="http://schemas.openxmlformats.org/officeDocument/2006/relationships/hyperlink" Target="https://www.vichealth.vic.gov.au/media-and-resources/publications/youth-megatrends-report" TargetMode="External"/><Relationship Id="rId27" Type="http://schemas.openxmlformats.org/officeDocument/2006/relationships/hyperlink" Target="https://educationendowmentfoundation.org.uk/news/fidelity-vs.-flexibility/" TargetMode="External"/><Relationship Id="rId30" Type="http://schemas.openxmlformats.org/officeDocument/2006/relationships/hyperlink" Target="https://www.gov.uk/government/uploads/system/uploads/attachment_data/file/62529/TLA-1906126.pdf" TargetMode="External"/><Relationship Id="rId35" Type="http://schemas.openxmlformats.org/officeDocument/2006/relationships/hyperlink" Target="https://theconversation.com/grade-repetition-there-are-better-ways-to-move-kids-forward-than-by-holding-them-back-47269" TargetMode="External"/><Relationship Id="rId43" Type="http://schemas.openxmlformats.org/officeDocument/2006/relationships/hyperlink" Target="https://www.gov.uk/government/uploads/system/uploads/attachment_data/file/62529/TLA-1906126.pdf" TargetMode="External"/><Relationship Id="rId48" Type="http://schemas.openxmlformats.org/officeDocument/2006/relationships/hyperlink" Target="http://www.abs.gov.au/ausstats%5Cabs@.nsf/0/9448F2F814FA0311CA2579C700118E2D?Opendocument" TargetMode="External"/><Relationship Id="rId56" Type="http://schemas.openxmlformats.org/officeDocument/2006/relationships/hyperlink" Target="http://www.socialventures.com.au/sva-quarterly/spreading-what-works-in-education/" TargetMode="External"/><Relationship Id="rId8" Type="http://schemas.openxmlformats.org/officeDocument/2006/relationships/hyperlink" Target="http://www.pc.gov.au/research/ongoing/report-on-government-services/2015/childcare-education-and-training/download-the-volume/rogs-2015-volumeb-child-care-education-and-training.pdf" TargetMode="External"/><Relationship Id="rId51" Type="http://schemas.openxmlformats.org/officeDocument/2006/relationships/hyperlink" Target="https://educationendowmentfoundation.org.uk/evidence/teaching-learning-toolkit/teaching-assistants/" TargetMode="External"/><Relationship Id="rId3" Type="http://schemas.openxmlformats.org/officeDocument/2006/relationships/hyperlink" Target="http://www.dec.nsw.gov.au/about-the-department/our-reforms/local-schools-local-decis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flynn\AppData\Roaming\Microsoft\Templates\SVA-Report.dotm" TargetMode="External"/></Relationships>
</file>

<file path=word/theme/theme1.xml><?xml version="1.0" encoding="utf-8"?>
<a:theme xmlns:a="http://schemas.openxmlformats.org/drawingml/2006/main" name="Office Theme">
  <a:themeElements>
    <a:clrScheme name="SVA Colours">
      <a:dk1>
        <a:srgbClr val="000000"/>
      </a:dk1>
      <a:lt1>
        <a:srgbClr val="FFFFFF"/>
      </a:lt1>
      <a:dk2>
        <a:srgbClr val="002D62"/>
      </a:dk2>
      <a:lt2>
        <a:srgbClr val="B2BB1E"/>
      </a:lt2>
      <a:accent1>
        <a:srgbClr val="353E49"/>
      </a:accent1>
      <a:accent2>
        <a:srgbClr val="AFA778"/>
      </a:accent2>
      <a:accent3>
        <a:srgbClr val="34657F"/>
      </a:accent3>
      <a:accent4>
        <a:srgbClr val="BD9B60"/>
      </a:accent4>
      <a:accent5>
        <a:srgbClr val="696158"/>
      </a:accent5>
      <a:accent6>
        <a:srgbClr val="898D8D"/>
      </a:accent6>
      <a:hlink>
        <a:srgbClr val="6E5023"/>
      </a:hlink>
      <a:folHlink>
        <a:srgbClr val="998542"/>
      </a:folHlink>
    </a:clrScheme>
    <a:fontScheme name="_Defaul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rocessed xmlns="8044c801-d84b-4ee1-a77e-678f8dcdee17">true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Subs" ma:contentTypeID="0x0101007916246811615643A710C6FEAFF56A871105007B16309804912F4C836C9B00CB9F6860" ma:contentTypeVersion="0" ma:contentTypeDescription="" ma:contentTypeScope="" ma:versionID="3dabe0dfe58b8c3f0b9e68489cb398d4">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a35b44f1ff4d1223ad8b14363e9f2ba8"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0da5c63-8548-4ac8-9616-83b0f373280e" ContentTypeId="0x0101007916246811615643A710C6FEAFF56A871105"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mso-contentType ?>
<customXsn xmlns="http://schemas.microsoft.com/office/2006/metadata/customXsn">
  <xsnLocation/>
  <cached>True</cached>
  <openByDefault>False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822D9-3B86-49C8-A4C4-45F999832C22}">
  <ds:schemaRefs>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infopath/2007/PartnerControls"/>
    <ds:schemaRef ds:uri="http://purl.org/dc/elements/1.1/"/>
    <ds:schemaRef ds:uri="3f4bcce7-ac1a-4c9d-aa3e-7e77695652db"/>
    <ds:schemaRef ds:uri="http://purl.org/dc/dcmitype/"/>
    <ds:schemaRef ds:uri="8044c801-d84b-4ee1-a77e-678f8dcdee17"/>
    <ds:schemaRef ds:uri="http://schemas.microsoft.com/office/2006/metadata/properties"/>
  </ds:schemaRefs>
</ds:datastoreItem>
</file>

<file path=customXml/itemProps2.xml><?xml version="1.0" encoding="utf-8"?>
<ds:datastoreItem xmlns:ds="http://schemas.openxmlformats.org/officeDocument/2006/customXml" ds:itemID="{A27F1345-4D07-424E-A471-2823B7788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058520-7125-4E1D-9422-BFF924BDEDB9}">
  <ds:schemaRefs>
    <ds:schemaRef ds:uri="Microsoft.SharePoint.Taxonomy.ContentTypeSync"/>
  </ds:schemaRefs>
</ds:datastoreItem>
</file>

<file path=customXml/itemProps4.xml><?xml version="1.0" encoding="utf-8"?>
<ds:datastoreItem xmlns:ds="http://schemas.openxmlformats.org/officeDocument/2006/customXml" ds:itemID="{E986B99A-E58C-495C-A78A-461143D32B8D}">
  <ds:schemaRefs>
    <ds:schemaRef ds:uri="http://schemas.microsoft.com/sharepoint/v3/contenttype/forms"/>
  </ds:schemaRefs>
</ds:datastoreItem>
</file>

<file path=customXml/itemProps5.xml><?xml version="1.0" encoding="utf-8"?>
<ds:datastoreItem xmlns:ds="http://schemas.openxmlformats.org/officeDocument/2006/customXml" ds:itemID="{96E2B65C-6836-4A3E-9B26-282780F49A59}">
  <ds:schemaRefs>
    <ds:schemaRef ds:uri="http://schemas.microsoft.com/sharepoint/events"/>
  </ds:schemaRefs>
</ds:datastoreItem>
</file>

<file path=customXml/itemProps6.xml><?xml version="1.0" encoding="utf-8"?>
<ds:datastoreItem xmlns:ds="http://schemas.openxmlformats.org/officeDocument/2006/customXml" ds:itemID="{A48AD3BF-93F0-4693-8D55-790F1E0966D5}">
  <ds:schemaRefs>
    <ds:schemaRef ds:uri="http://schemas.microsoft.com/office/2006/metadata/customXsn"/>
  </ds:schemaRefs>
</ds:datastoreItem>
</file>

<file path=customXml/itemProps7.xml><?xml version="1.0" encoding="utf-8"?>
<ds:datastoreItem xmlns:ds="http://schemas.openxmlformats.org/officeDocument/2006/customXml" ds:itemID="{186E980F-7AEF-4CF7-93E5-2C9CFC38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SVA-Report.dotm</Template>
  <TotalTime>2</TotalTime>
  <Pages>50</Pages>
  <Words>15030</Words>
  <Characters>84835</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Submission 59 - Social Ventures Australia - Education Evidence Base - Public inquiry</vt:lpstr>
    </vt:vector>
  </TitlesOfParts>
  <Company>Social Ventures Australia</Company>
  <LinksUpToDate>false</LinksUpToDate>
  <CharactersWithSpaces>99666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59 - Social Ventures Australia - Education Evidence Base - Public inquiry</dc:title>
  <dc:subject/>
  <dc:creator>Social Ventures Australia</dc:creator>
  <cp:keywords/>
  <dc:description/>
  <cp:lastModifiedBy>Productivity Commission</cp:lastModifiedBy>
  <cp:revision>3</cp:revision>
  <cp:lastPrinted>2016-05-25T07:24:00Z</cp:lastPrinted>
  <dcterms:created xsi:type="dcterms:W3CDTF">2016-05-25T08:33:00Z</dcterms:created>
  <dcterms:modified xsi:type="dcterms:W3CDTF">2016-05-27T04:46:00Z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verTitle">
    <vt:lpwstr>Social Ventures Australia Submission to the Productivity Commission Inquiry into the National Education Evidence Base </vt:lpwstr>
  </property>
  <property fmtid="{D5CDD505-2E9C-101B-9397-08002B2CF9AE}" pid="4" name="CoverSubtitle">
    <vt:lpwstr>Cover Subtitle</vt:lpwstr>
  </property>
  <property fmtid="{D5CDD505-2E9C-101B-9397-08002B2CF9AE}" pid="5" name="CoverDate">
    <vt:lpwstr>23 May 2016</vt:lpwstr>
  </property>
  <property fmtid="{D5CDD505-2E9C-101B-9397-08002B2CF9AE}" pid="6" name="ContentTypeId">
    <vt:lpwstr>0x0101007916246811615643A710C6FEAFF56A871105007B16309804912F4C836C9B00CB9F6860</vt:lpwstr>
  </property>
  <property fmtid="{D5CDD505-2E9C-101B-9397-08002B2CF9AE}" pid="7" name="c401844703f64372bb0e85d87d761fe6">
    <vt:lpwstr>Reference Only|923c7a19-3b10-4b1a-aa53-490b73d512fc</vt:lpwstr>
  </property>
  <property fmtid="{D5CDD505-2E9C-101B-9397-08002B2CF9AE}" pid="8" name="Order">
    <vt:r8>6400</vt:r8>
  </property>
  <property fmtid="{D5CDD505-2E9C-101B-9397-08002B2CF9AE}" pid="9" name="TaxKeyword">
    <vt:lpwstr/>
  </property>
  <property fmtid="{D5CDD505-2E9C-101B-9397-08002B2CF9AE}" pid="10" name="Record Tag">
    <vt:lpwstr>139;#Submissions|c6e0dbf8-5444-433c-844d-d567dd519a05</vt:lpwstr>
  </property>
  <property fmtid="{D5CDD505-2E9C-101B-9397-08002B2CF9AE}" pid="11" name="Retain">
    <vt:lpwstr>138;#Reference Only|923c7a19-3b10-4b1a-aa53-490b73d512fc</vt:lpwstr>
  </property>
</Properties>
</file>