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40566508"/>
    <w:p w:rsidR="00267105" w:rsidRDefault="00B0631E" w:rsidP="00681923">
      <w:pPr>
        <w:pStyle w:val="CSQbody"/>
        <w:sectPr w:rsidR="00267105" w:rsidSect="00CF5957">
          <w:footerReference w:type="default" r:id="rId11"/>
          <w:headerReference w:type="first" r:id="rId12"/>
          <w:type w:val="continuous"/>
          <w:pgSz w:w="11906" w:h="16838" w:code="9"/>
          <w:pgMar w:top="1418" w:right="3119" w:bottom="1418" w:left="1134" w:header="1415" w:footer="510" w:gutter="0"/>
          <w:cols w:space="340"/>
          <w:titlePg/>
          <w:docGrid w:linePitch="360"/>
        </w:sectPr>
      </w:pPr>
      <w:r>
        <w:rPr>
          <w:noProof/>
          <w:lang w:eastAsia="en-AU"/>
        </w:rPr>
        <mc:AlternateContent>
          <mc:Choice Requires="wps">
            <w:drawing>
              <wp:anchor distT="0" distB="0" distL="114300" distR="114300" simplePos="0" relativeHeight="251679744" behindDoc="0" locked="0" layoutInCell="1" allowOverlap="1" wp14:anchorId="26530631" wp14:editId="5A2140D8">
                <wp:simplePos x="0" y="0"/>
                <wp:positionH relativeFrom="margin">
                  <wp:align>left</wp:align>
                </wp:positionH>
                <wp:positionV relativeFrom="paragraph">
                  <wp:posOffset>2666749</wp:posOffset>
                </wp:positionV>
                <wp:extent cx="6234430" cy="1452282"/>
                <wp:effectExtent l="0" t="0" r="0" b="0"/>
                <wp:wrapNone/>
                <wp:docPr id="44" name="Text Box 44"/>
                <wp:cNvGraphicFramePr/>
                <a:graphic xmlns:a="http://schemas.openxmlformats.org/drawingml/2006/main">
                  <a:graphicData uri="http://schemas.microsoft.com/office/word/2010/wordprocessingShape">
                    <wps:wsp>
                      <wps:cNvSpPr txBox="1"/>
                      <wps:spPr>
                        <a:xfrm>
                          <a:off x="0" y="0"/>
                          <a:ext cx="6234430" cy="1452282"/>
                        </a:xfrm>
                        <a:prstGeom prst="rect">
                          <a:avLst/>
                        </a:prstGeom>
                        <a:noFill/>
                        <a:ln w="6350">
                          <a:noFill/>
                        </a:ln>
                      </wps:spPr>
                      <wps:txbx>
                        <w:txbxContent>
                          <w:p w:rsidR="0081218A" w:rsidRDefault="0081218A" w:rsidP="00B0631E">
                            <w:pPr>
                              <w:rPr>
                                <w:rFonts w:ascii="Arial" w:hAnsi="Arial" w:cs="Arial"/>
                                <w:sz w:val="44"/>
                                <w:szCs w:val="44"/>
                              </w:rPr>
                            </w:pPr>
                            <w:r>
                              <w:rPr>
                                <w:rFonts w:ascii="Arial" w:hAnsi="Arial" w:cs="Arial"/>
                                <w:sz w:val="44"/>
                                <w:szCs w:val="44"/>
                              </w:rPr>
                              <w:t>STRENTHENING INDUSTRY LINKAGES AND GROWING APPRENTICESHIPS</w:t>
                            </w:r>
                          </w:p>
                          <w:p w:rsidR="0081218A" w:rsidRDefault="0081218A" w:rsidP="00B0631E">
                            <w:pPr>
                              <w:rPr>
                                <w:rFonts w:ascii="Arial" w:hAnsi="Arial" w:cs="Arial"/>
                                <w:sz w:val="44"/>
                                <w:szCs w:val="44"/>
                              </w:rPr>
                            </w:pPr>
                          </w:p>
                          <w:p w:rsidR="0081218A" w:rsidRPr="00B0631E" w:rsidRDefault="0081218A" w:rsidP="00B0631E">
                            <w:pPr>
                              <w:rPr>
                                <w:rFonts w:ascii="Arial" w:hAnsi="Arial" w:cs="Arial"/>
                                <w:sz w:val="44"/>
                                <w:szCs w:val="44"/>
                              </w:rPr>
                            </w:pPr>
                            <w:r>
                              <w:rPr>
                                <w:rFonts w:ascii="Arial" w:hAnsi="Arial" w:cs="Arial"/>
                                <w:sz w:val="44"/>
                                <w:szCs w:val="44"/>
                              </w:rPr>
                              <w:t>JULY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6530631" id="_x0000_t202" coordsize="21600,21600" o:spt="202" path="m,l,21600r21600,l21600,xe">
                <v:stroke joinstyle="miter"/>
                <v:path gradientshapeok="t" o:connecttype="rect"/>
              </v:shapetype>
              <v:shape id="Text Box 44" o:spid="_x0000_s1026" type="#_x0000_t202" style="position:absolute;margin-left:0;margin-top:210pt;width:490.9pt;height:114.35pt;z-index:251679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" filled="f" stroked="f" strokeweight=".5pt">
                <v:textbox>
                  <w:txbxContent>
                    <w:p w:rsidR="0081218A" w:rsidRDefault="0081218A" w:rsidP="00B0631E">
                      <w:pPr>
                        <w:rPr>
                          <w:rFonts w:ascii="Arial" w:hAnsi="Arial" w:cs="Arial"/>
                          <w:sz w:val="44"/>
                          <w:szCs w:val="44"/>
                        </w:rPr>
                      </w:pPr>
                      <w:r>
                        <w:rPr>
                          <w:rFonts w:ascii="Arial" w:hAnsi="Arial" w:cs="Arial"/>
                          <w:sz w:val="44"/>
                          <w:szCs w:val="44"/>
                        </w:rPr>
                        <w:t>STRENTHENING INDUSTRY LINKAGES AND GROWING APPRENTICESHIPS</w:t>
                      </w:r>
                    </w:p>
                    <w:p w:rsidR="0081218A" w:rsidRDefault="0081218A" w:rsidP="00B0631E">
                      <w:pPr>
                        <w:rPr>
                          <w:rFonts w:ascii="Arial" w:hAnsi="Arial" w:cs="Arial"/>
                          <w:sz w:val="44"/>
                          <w:szCs w:val="44"/>
                        </w:rPr>
                      </w:pPr>
                    </w:p>
                    <w:p w:rsidR="0081218A" w:rsidRPr="00B0631E" w:rsidRDefault="0081218A" w:rsidP="00B0631E">
                      <w:pPr>
                        <w:rPr>
                          <w:rFonts w:ascii="Arial" w:hAnsi="Arial" w:cs="Arial"/>
                          <w:sz w:val="44"/>
                          <w:szCs w:val="44"/>
                        </w:rPr>
                      </w:pPr>
                      <w:r>
                        <w:rPr>
                          <w:rFonts w:ascii="Arial" w:hAnsi="Arial" w:cs="Arial"/>
                          <w:sz w:val="44"/>
                          <w:szCs w:val="44"/>
                        </w:rPr>
                        <w:t>JULY 2020</w:t>
                      </w:r>
                    </w:p>
                  </w:txbxContent>
                </v:textbox>
                <w10:wrap anchorx="margin"/>
              </v:shape>
            </w:pict>
          </mc:Fallback>
        </mc:AlternateContent>
      </w:r>
      <w:r>
        <w:rPr>
          <w:noProof/>
          <w:lang w:eastAsia="en-AU"/>
        </w:rPr>
        <mc:AlternateContent>
          <mc:Choice Requires="wps">
            <w:drawing>
              <wp:inline distT="0" distB="0" distL="0" distR="0" wp14:anchorId="094A8D0D" wp14:editId="0C11EA37">
                <wp:extent cx="6428105" cy="1496060"/>
                <wp:effectExtent l="0" t="0" r="0" b="0"/>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1496060"/>
                        </a:xfrm>
                        <a:prstGeom prst="rect">
                          <a:avLst/>
                        </a:prstGeom>
                        <a:noFill/>
                        <a:ln w="9525">
                          <a:noFill/>
                          <a:miter lim="800000"/>
                          <a:headEnd/>
                          <a:tailEnd/>
                        </a:ln>
                      </wps:spPr>
                      <wps:txbx>
                        <w:txbxContent>
                          <w:p w:rsidR="0081218A" w:rsidRPr="002B7F9A" w:rsidRDefault="0081218A" w:rsidP="00B0631E">
                            <w:pPr>
                              <w:pStyle w:val="BasicParagraph"/>
                              <w:suppressAutoHyphens/>
                              <w:spacing w:line="240" w:lineRule="auto"/>
                              <w:rPr>
                                <w:rFonts w:ascii="Arial" w:hAnsi="Arial" w:cs="Arial"/>
                                <w:caps/>
                                <w:color w:val="000000" w:themeColor="text2"/>
                                <w:sz w:val="44"/>
                                <w:szCs w:val="44"/>
                              </w:rPr>
                            </w:pPr>
                            <w:r w:rsidRPr="002B7F9A">
                              <w:rPr>
                                <w:rFonts w:ascii="Arial" w:hAnsi="Arial" w:cs="Arial"/>
                                <w:caps/>
                                <w:color w:val="000000" w:themeColor="text2"/>
                                <w:sz w:val="44"/>
                                <w:szCs w:val="44"/>
                              </w:rPr>
                              <w:t xml:space="preserve">Strengthening industry linkages </w:t>
                            </w:r>
                            <w:r w:rsidRPr="002B7F9A">
                              <w:rPr>
                                <w:rFonts w:ascii="Arial" w:hAnsi="Arial" w:cs="Arial"/>
                                <w:caps/>
                                <w:color w:val="000000" w:themeColor="text2"/>
                                <w:sz w:val="44"/>
                                <w:szCs w:val="44"/>
                              </w:rPr>
                              <w:br/>
                              <w:t>and growing apprenticeships</w:t>
                            </w:r>
                          </w:p>
                          <w:p w:rsidR="0081218A" w:rsidRPr="002B7F9A" w:rsidRDefault="0081218A" w:rsidP="00B0631E">
                            <w:pPr>
                              <w:pStyle w:val="BasicParagraph"/>
                              <w:suppressAutoHyphens/>
                              <w:spacing w:before="240" w:line="240" w:lineRule="auto"/>
                              <w:rPr>
                                <w:rFonts w:ascii="Arial" w:hAnsi="Arial" w:cs="Arial"/>
                                <w:b/>
                                <w:caps/>
                                <w:color w:val="000000" w:themeColor="text2"/>
                                <w:sz w:val="44"/>
                                <w:szCs w:val="44"/>
                              </w:rPr>
                            </w:pPr>
                            <w:r w:rsidRPr="002B7F9A">
                              <w:rPr>
                                <w:rFonts w:ascii="Arial" w:hAnsi="Arial" w:cs="Arial"/>
                                <w:b/>
                                <w:caps/>
                                <w:color w:val="000000" w:themeColor="text2"/>
                                <w:sz w:val="44"/>
                                <w:szCs w:val="44"/>
                              </w:rPr>
                              <w:t>july 2020</w:t>
                            </w:r>
                          </w:p>
                        </w:txbxContent>
                      </wps:txbx>
                      <wps:bodyPr rot="0" vert="horz" wrap="square" lIns="91440" tIns="45720" rIns="91440" bIns="45720" anchor="t" anchorCtr="0">
                        <a:no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094A8D0D" id="Text Box 43" o:spid="_x0000_s1027" type="#_x0000_t202" style="width:506.1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" filled="f" stroked="f">
                <v:textbox>
                  <w:txbxContent>
                    <w:p w:rsidR="0081218A" w:rsidRPr="002B7F9A" w:rsidRDefault="0081218A" w:rsidP="00B0631E">
                      <w:pPr>
                        <w:pStyle w:val="BasicParagraph"/>
                        <w:suppressAutoHyphens/>
                        <w:spacing w:line="240" w:lineRule="auto"/>
                        <w:rPr>
                          <w:rFonts w:ascii="Arial" w:hAnsi="Arial" w:cs="Arial"/>
                          <w:caps/>
                          <w:color w:val="000000" w:themeColor="text2"/>
                          <w:sz w:val="44"/>
                          <w:szCs w:val="44"/>
                        </w:rPr>
                      </w:pPr>
                      <w:r w:rsidRPr="002B7F9A">
                        <w:rPr>
                          <w:rFonts w:ascii="Arial" w:hAnsi="Arial" w:cs="Arial"/>
                          <w:caps/>
                          <w:color w:val="000000" w:themeColor="text2"/>
                          <w:sz w:val="44"/>
                          <w:szCs w:val="44"/>
                        </w:rPr>
                        <w:t xml:space="preserve">Strengthening industry linkages </w:t>
                      </w:r>
                      <w:r w:rsidRPr="002B7F9A">
                        <w:rPr>
                          <w:rFonts w:ascii="Arial" w:hAnsi="Arial" w:cs="Arial"/>
                          <w:caps/>
                          <w:color w:val="000000" w:themeColor="text2"/>
                          <w:sz w:val="44"/>
                          <w:szCs w:val="44"/>
                        </w:rPr>
                        <w:br/>
                        <w:t>and growing apprenticeships</w:t>
                      </w:r>
                    </w:p>
                    <w:p w:rsidR="0081218A" w:rsidRPr="002B7F9A" w:rsidRDefault="0081218A" w:rsidP="00B0631E">
                      <w:pPr>
                        <w:pStyle w:val="BasicParagraph"/>
                        <w:suppressAutoHyphens/>
                        <w:spacing w:before="240" w:line="240" w:lineRule="auto"/>
                        <w:rPr>
                          <w:rFonts w:ascii="Arial" w:hAnsi="Arial" w:cs="Arial"/>
                          <w:b/>
                          <w:caps/>
                          <w:color w:val="000000" w:themeColor="text2"/>
                          <w:sz w:val="44"/>
                          <w:szCs w:val="44"/>
                        </w:rPr>
                      </w:pPr>
                      <w:r w:rsidRPr="002B7F9A">
                        <w:rPr>
                          <w:rFonts w:ascii="Arial" w:hAnsi="Arial" w:cs="Arial"/>
                          <w:b/>
                          <w:caps/>
                          <w:color w:val="000000" w:themeColor="text2"/>
                          <w:sz w:val="44"/>
                          <w:szCs w:val="44"/>
                        </w:rPr>
                        <w:t>july 2020</w:t>
                      </w:r>
                    </w:p>
                  </w:txbxContent>
                </v:textbox>
                <w10:anchorlock/>
              </v:shape>
            </w:pict>
          </mc:Fallback>
        </mc:AlternateContent>
      </w:r>
      <w:r w:rsidR="00D57456">
        <w:rPr>
          <w:noProof/>
          <w:lang w:eastAsia="en-AU"/>
        </w:rPr>
        <mc:AlternateContent>
          <mc:Choice Requires="wps">
            <w:drawing>
              <wp:anchor distT="0" distB="0" distL="114300" distR="114300" simplePos="0" relativeHeight="251677696" behindDoc="0" locked="0" layoutInCell="1" allowOverlap="1" wp14:anchorId="18D78648" wp14:editId="1F4731B4">
                <wp:simplePos x="0" y="0"/>
                <wp:positionH relativeFrom="column">
                  <wp:posOffset>-6173</wp:posOffset>
                </wp:positionH>
                <wp:positionV relativeFrom="paragraph">
                  <wp:posOffset>1297594</wp:posOffset>
                </wp:positionV>
                <wp:extent cx="6234545" cy="1139332"/>
                <wp:effectExtent l="0" t="0" r="0" b="3810"/>
                <wp:wrapNone/>
                <wp:docPr id="42" name="Text Box 42"/>
                <wp:cNvGraphicFramePr/>
                <a:graphic xmlns:a="http://schemas.openxmlformats.org/drawingml/2006/main">
                  <a:graphicData uri="http://schemas.microsoft.com/office/word/2010/wordprocessingShape">
                    <wps:wsp>
                      <wps:cNvSpPr txBox="1"/>
                      <wps:spPr>
                        <a:xfrm>
                          <a:off x="0" y="0"/>
                          <a:ext cx="6234545" cy="1139332"/>
                        </a:xfrm>
                        <a:prstGeom prst="rect">
                          <a:avLst/>
                        </a:prstGeom>
                        <a:noFill/>
                        <a:ln w="6350">
                          <a:noFill/>
                        </a:ln>
                      </wps:spPr>
                      <wps:txbx>
                        <w:txbxContent>
                          <w:p w:rsidR="0081218A" w:rsidRPr="00D57456" w:rsidRDefault="0081218A">
                            <w:pPr>
                              <w:rPr>
                                <w:rFonts w:ascii="Arial" w:hAnsi="Arial" w:cs="Arial"/>
                                <w:color w:val="FFFFFF" w:themeColor="background1"/>
                                <w:sz w:val="64"/>
                                <w:szCs w:val="64"/>
                              </w:rPr>
                            </w:pPr>
                            <w:r w:rsidRPr="00D57456">
                              <w:rPr>
                                <w:rFonts w:ascii="Arial" w:hAnsi="Arial" w:cs="Arial"/>
                                <w:color w:val="FFFFFF" w:themeColor="background1"/>
                                <w:sz w:val="64"/>
                                <w:szCs w:val="64"/>
                              </w:rPr>
                              <w:t>Response to the Interim Report of the Productivity 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D78648" id="Text Box 42" o:spid="_x0000_s1028" type="#_x0000_t202" style="position:absolute;margin-left:-.5pt;margin-top:102.15pt;width:490.9pt;height:89.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" filled="f" stroked="f" strokeweight=".5pt">
                <v:textbox>
                  <w:txbxContent>
                    <w:p w:rsidR="0081218A" w:rsidRPr="00D57456" w:rsidRDefault="0081218A">
                      <w:pPr>
                        <w:rPr>
                          <w:rFonts w:ascii="Arial" w:hAnsi="Arial" w:cs="Arial"/>
                          <w:color w:val="FFFFFF" w:themeColor="background1"/>
                          <w:sz w:val="64"/>
                          <w:szCs w:val="64"/>
                        </w:rPr>
                      </w:pPr>
                      <w:r w:rsidRPr="00D57456">
                        <w:rPr>
                          <w:rFonts w:ascii="Arial" w:hAnsi="Arial" w:cs="Arial"/>
                          <w:color w:val="FFFFFF" w:themeColor="background1"/>
                          <w:sz w:val="64"/>
                          <w:szCs w:val="64"/>
                        </w:rPr>
                        <w:t>Response to the Interim Report of the Productivity Commission</w:t>
                      </w:r>
                    </w:p>
                  </w:txbxContent>
                </v:textbox>
              </v:shape>
            </w:pict>
          </mc:Fallback>
        </mc:AlternateContent>
      </w:r>
      <w:r w:rsidR="007F4D2E">
        <w:rPr>
          <w:noProof/>
          <w:lang w:eastAsia="en-AU"/>
        </w:rPr>
        <w:drawing>
          <wp:anchor distT="0" distB="0" distL="114300" distR="114300" simplePos="0" relativeHeight="251676672" behindDoc="0" locked="0" layoutInCell="1" allowOverlap="1" wp14:anchorId="6ACC3F93" wp14:editId="38AFCE6F">
            <wp:simplePos x="0" y="0"/>
            <wp:positionH relativeFrom="column">
              <wp:posOffset>-20843</wp:posOffset>
            </wp:positionH>
            <wp:positionV relativeFrom="paragraph">
              <wp:posOffset>44</wp:posOffset>
            </wp:positionV>
            <wp:extent cx="2639060" cy="396875"/>
            <wp:effectExtent l="0" t="0" r="889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CSQ-Logo-Tagline-RGB.jpg"/>
                    <pic:cNvPicPr/>
                  </pic:nvPicPr>
                  <pic:blipFill>
                    <a:blip r:embed="rId13">
                      <a:extLst>
                        <a:ext uri="{28A0092B-C50C-407E-A947-70E740481C1C}">
                          <a14:useLocalDpi xmlns:a14="http://schemas.microsoft.com/office/drawing/2010/main" val="0"/>
                        </a:ext>
                      </a:extLst>
                    </a:blip>
                    <a:stretch>
                      <a:fillRect/>
                    </a:stretch>
                  </pic:blipFill>
                  <pic:spPr>
                    <a:xfrm>
                      <a:off x="0" y="0"/>
                      <a:ext cx="2639060" cy="396875"/>
                    </a:xfrm>
                    <a:prstGeom prst="rect">
                      <a:avLst/>
                    </a:prstGeom>
                  </pic:spPr>
                </pic:pic>
              </a:graphicData>
            </a:graphic>
            <wp14:sizeRelH relativeFrom="margin">
              <wp14:pctWidth>0</wp14:pctWidth>
            </wp14:sizeRelH>
            <wp14:sizeRelV relativeFrom="margin">
              <wp14:pctHeight>0</wp14:pctHeight>
            </wp14:sizeRelV>
          </wp:anchor>
        </w:drawing>
      </w:r>
      <w:r w:rsidR="007F4D2E">
        <w:rPr>
          <w:noProof/>
          <w:lang w:eastAsia="en-AU"/>
        </w:rPr>
        <w:drawing>
          <wp:anchor distT="0" distB="0" distL="114300" distR="114300" simplePos="0" relativeHeight="251674624" behindDoc="1" locked="0" layoutInCell="1" allowOverlap="1" wp14:anchorId="4B8F3EAE" wp14:editId="5164888E">
            <wp:simplePos x="0" y="0"/>
            <wp:positionH relativeFrom="page">
              <wp:align>left</wp:align>
            </wp:positionH>
            <wp:positionV relativeFrom="page">
              <wp:align>top</wp:align>
            </wp:positionV>
            <wp:extent cx="7649601" cy="10972620"/>
            <wp:effectExtent l="0" t="0" r="8890" b="635"/>
            <wp:wrapTight wrapText="bothSides">
              <wp:wrapPolygon edited="0">
                <wp:start x="0" y="0"/>
                <wp:lineTo x="0" y="21564"/>
                <wp:lineTo x="21571" y="21564"/>
                <wp:lineTo x="2157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template covers.jpg"/>
                    <pic:cNvPicPr/>
                  </pic:nvPicPr>
                  <pic:blipFill>
                    <a:blip r:embed="rId14">
                      <a:extLst>
                        <a:ext uri="{28A0092B-C50C-407E-A947-70E740481C1C}">
                          <a14:useLocalDpi xmlns:a14="http://schemas.microsoft.com/office/drawing/2010/main" val="0"/>
                        </a:ext>
                      </a:extLst>
                    </a:blip>
                    <a:stretch>
                      <a:fillRect/>
                    </a:stretch>
                  </pic:blipFill>
                  <pic:spPr>
                    <a:xfrm>
                      <a:off x="0" y="0"/>
                      <a:ext cx="7649601" cy="10972620"/>
                    </a:xfrm>
                    <a:prstGeom prst="rect">
                      <a:avLst/>
                    </a:prstGeom>
                  </pic:spPr>
                </pic:pic>
              </a:graphicData>
            </a:graphic>
            <wp14:sizeRelH relativeFrom="margin">
              <wp14:pctWidth>0</wp14:pctWidth>
            </wp14:sizeRelH>
            <wp14:sizeRelV relativeFrom="margin">
              <wp14:pctHeight>0</wp14:pctHeight>
            </wp14:sizeRelV>
          </wp:anchor>
        </w:drawing>
      </w:r>
      <w:r w:rsidR="002B7F9A">
        <w:rPr>
          <w:noProof/>
          <w:lang w:eastAsia="en-AU"/>
        </w:rPr>
        <mc:AlternateContent>
          <mc:Choice Requires="wps">
            <w:drawing>
              <wp:anchor distT="45720" distB="45720" distL="114300" distR="114300" simplePos="0" relativeHeight="251661312" behindDoc="1" locked="0" layoutInCell="1" allowOverlap="1" wp14:anchorId="58964EB9" wp14:editId="1956EF7E">
                <wp:simplePos x="0" y="0"/>
                <wp:positionH relativeFrom="column">
                  <wp:posOffset>-125845</wp:posOffset>
                </wp:positionH>
                <wp:positionV relativeFrom="paragraph">
                  <wp:posOffset>-8294370</wp:posOffset>
                </wp:positionV>
                <wp:extent cx="6428105" cy="1232535"/>
                <wp:effectExtent l="0" t="0" r="0" b="57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1232535"/>
                        </a:xfrm>
                        <a:prstGeom prst="rect">
                          <a:avLst/>
                        </a:prstGeom>
                        <a:noFill/>
                        <a:ln w="9525">
                          <a:noFill/>
                          <a:miter lim="800000"/>
                          <a:headEnd/>
                          <a:tailEnd/>
                        </a:ln>
                      </wps:spPr>
                      <wps:txbx>
                        <w:txbxContent>
                          <w:p w:rsidR="0081218A" w:rsidRPr="002B7F9A" w:rsidRDefault="0081218A">
                            <w:pPr>
                              <w:rPr>
                                <w:rFonts w:ascii="Arial" w:hAnsi="Arial" w:cs="Arial"/>
                                <w:b/>
                                <w:color w:val="FFFFFF" w:themeColor="background1"/>
                                <w:spacing w:val="-20"/>
                                <w:sz w:val="64"/>
                                <w:szCs w:val="64"/>
                              </w:rPr>
                            </w:pPr>
                            <w:r w:rsidRPr="002B7F9A">
                              <w:rPr>
                                <w:rFonts w:ascii="Arial" w:hAnsi="Arial" w:cs="Arial"/>
                                <w:b/>
                                <w:color w:val="FFFFFF" w:themeColor="background1"/>
                                <w:spacing w:val="-20"/>
                                <w:sz w:val="64"/>
                                <w:szCs w:val="64"/>
                              </w:rPr>
                              <w:t>Response to the Interim Report</w:t>
                            </w:r>
                            <w:r w:rsidRPr="002B7F9A">
                              <w:rPr>
                                <w:rFonts w:ascii="Arial" w:hAnsi="Arial" w:cs="Arial"/>
                                <w:b/>
                                <w:color w:val="FFFFFF" w:themeColor="background1"/>
                                <w:spacing w:val="-20"/>
                                <w:sz w:val="64"/>
                                <w:szCs w:val="64"/>
                              </w:rPr>
                              <w:br/>
                              <w:t>of the Productivity Commission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8964EB9" id="Text Box 2" o:spid="_x0000_s1029" type="#_x0000_t202" style="position:absolute;margin-left:-9.9pt;margin-top:-653.1pt;width:506.15pt;height:97.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" filled="f" stroked="f">
                <v:textbox>
                  <w:txbxContent>
                    <w:p w:rsidR="0081218A" w:rsidRPr="002B7F9A" w:rsidRDefault="0081218A">
                      <w:pPr>
                        <w:rPr>
                          <w:rFonts w:ascii="Arial" w:hAnsi="Arial" w:cs="Arial"/>
                          <w:b/>
                          <w:color w:val="FFFFFF" w:themeColor="background1"/>
                          <w:spacing w:val="-20"/>
                          <w:sz w:val="64"/>
                          <w:szCs w:val="64"/>
                        </w:rPr>
                      </w:pPr>
                      <w:r w:rsidRPr="002B7F9A">
                        <w:rPr>
                          <w:rFonts w:ascii="Arial" w:hAnsi="Arial" w:cs="Arial"/>
                          <w:b/>
                          <w:color w:val="FFFFFF" w:themeColor="background1"/>
                          <w:spacing w:val="-20"/>
                          <w:sz w:val="64"/>
                          <w:szCs w:val="64"/>
                        </w:rPr>
                        <w:t>Response to the Interim Report</w:t>
                      </w:r>
                      <w:r w:rsidRPr="002B7F9A">
                        <w:rPr>
                          <w:rFonts w:ascii="Arial" w:hAnsi="Arial" w:cs="Arial"/>
                          <w:b/>
                          <w:color w:val="FFFFFF" w:themeColor="background1"/>
                          <w:spacing w:val="-20"/>
                          <w:sz w:val="64"/>
                          <w:szCs w:val="64"/>
                        </w:rPr>
                        <w:br/>
                        <w:t>of the Productivity Commission</w:t>
                      </w:r>
                    </w:p>
                  </w:txbxContent>
                </v:textbox>
              </v:shape>
            </w:pict>
          </mc:Fallback>
        </mc:AlternateContent>
      </w:r>
      <w:r w:rsidR="002B7F9A">
        <w:rPr>
          <w:noProof/>
          <w:lang w:eastAsia="en-AU"/>
        </w:rPr>
        <mc:AlternateContent>
          <mc:Choice Requires="wps">
            <w:drawing>
              <wp:anchor distT="45720" distB="45720" distL="114300" distR="114300" simplePos="0" relativeHeight="251663360" behindDoc="1" locked="0" layoutInCell="1" allowOverlap="1" wp14:anchorId="372E77E9" wp14:editId="0CBAF5E5">
                <wp:simplePos x="0" y="0"/>
                <wp:positionH relativeFrom="column">
                  <wp:posOffset>-125730</wp:posOffset>
                </wp:positionH>
                <wp:positionV relativeFrom="paragraph">
                  <wp:posOffset>-6992620</wp:posOffset>
                </wp:positionV>
                <wp:extent cx="6428105" cy="14960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1496060"/>
                        </a:xfrm>
                        <a:prstGeom prst="rect">
                          <a:avLst/>
                        </a:prstGeom>
                        <a:noFill/>
                        <a:ln w="9525">
                          <a:noFill/>
                          <a:miter lim="800000"/>
                          <a:headEnd/>
                          <a:tailEnd/>
                        </a:ln>
                      </wps:spPr>
                      <wps:txbx>
                        <w:txbxContent>
                          <w:p w:rsidR="0081218A" w:rsidRPr="002B7F9A" w:rsidRDefault="0081218A" w:rsidP="00C702D9">
                            <w:pPr>
                              <w:pStyle w:val="BasicParagraph"/>
                              <w:suppressAutoHyphens/>
                              <w:spacing w:line="240" w:lineRule="auto"/>
                              <w:rPr>
                                <w:rFonts w:ascii="Arial" w:hAnsi="Arial" w:cs="Arial"/>
                                <w:caps/>
                                <w:color w:val="000000" w:themeColor="text2"/>
                                <w:sz w:val="44"/>
                                <w:szCs w:val="44"/>
                              </w:rPr>
                            </w:pPr>
                            <w:r w:rsidRPr="002B7F9A">
                              <w:rPr>
                                <w:rFonts w:ascii="Arial" w:hAnsi="Arial" w:cs="Arial"/>
                                <w:caps/>
                                <w:color w:val="000000" w:themeColor="text2"/>
                                <w:sz w:val="44"/>
                                <w:szCs w:val="44"/>
                              </w:rPr>
                              <w:t xml:space="preserve">Strengthening industry linkages </w:t>
                            </w:r>
                            <w:r w:rsidRPr="002B7F9A">
                              <w:rPr>
                                <w:rFonts w:ascii="Arial" w:hAnsi="Arial" w:cs="Arial"/>
                                <w:caps/>
                                <w:color w:val="000000" w:themeColor="text2"/>
                                <w:sz w:val="44"/>
                                <w:szCs w:val="44"/>
                              </w:rPr>
                              <w:br/>
                              <w:t>and growing apprenticeships</w:t>
                            </w:r>
                          </w:p>
                          <w:p w:rsidR="0081218A" w:rsidRPr="002B7F9A" w:rsidRDefault="0081218A" w:rsidP="002B7F9A">
                            <w:pPr>
                              <w:pStyle w:val="BasicParagraph"/>
                              <w:suppressAutoHyphens/>
                              <w:spacing w:before="240" w:line="240" w:lineRule="auto"/>
                              <w:rPr>
                                <w:rFonts w:ascii="Arial" w:hAnsi="Arial" w:cs="Arial"/>
                                <w:b/>
                                <w:caps/>
                                <w:color w:val="000000" w:themeColor="text2"/>
                                <w:sz w:val="44"/>
                                <w:szCs w:val="44"/>
                              </w:rPr>
                            </w:pPr>
                            <w:r w:rsidRPr="002B7F9A">
                              <w:rPr>
                                <w:rFonts w:ascii="Arial" w:hAnsi="Arial" w:cs="Arial"/>
                                <w:b/>
                                <w:caps/>
                                <w:color w:val="000000" w:themeColor="text2"/>
                                <w:sz w:val="44"/>
                                <w:szCs w:val="44"/>
                              </w:rPr>
                              <w:t>july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2E77E9" id="_x0000_s1030" type="#_x0000_t202" style="position:absolute;margin-left:-9.9pt;margin-top:-550.6pt;width:506.15pt;height:117.8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" filled="f" stroked="f">
                <v:textbox>
                  <w:txbxContent>
                    <w:p w:rsidR="0081218A" w:rsidRPr="002B7F9A" w:rsidRDefault="0081218A" w:rsidP="00C702D9">
                      <w:pPr>
                        <w:pStyle w:val="BasicParagraph"/>
                        <w:suppressAutoHyphens/>
                        <w:spacing w:line="240" w:lineRule="auto"/>
                        <w:rPr>
                          <w:rFonts w:ascii="Arial" w:hAnsi="Arial" w:cs="Arial"/>
                          <w:caps/>
                          <w:color w:val="000000" w:themeColor="text2"/>
                          <w:sz w:val="44"/>
                          <w:szCs w:val="44"/>
                        </w:rPr>
                      </w:pPr>
                      <w:r w:rsidRPr="002B7F9A">
                        <w:rPr>
                          <w:rFonts w:ascii="Arial" w:hAnsi="Arial" w:cs="Arial"/>
                          <w:caps/>
                          <w:color w:val="000000" w:themeColor="text2"/>
                          <w:sz w:val="44"/>
                          <w:szCs w:val="44"/>
                        </w:rPr>
                        <w:t xml:space="preserve">Strengthening industry linkages </w:t>
                      </w:r>
                      <w:r w:rsidRPr="002B7F9A">
                        <w:rPr>
                          <w:rFonts w:ascii="Arial" w:hAnsi="Arial" w:cs="Arial"/>
                          <w:caps/>
                          <w:color w:val="000000" w:themeColor="text2"/>
                          <w:sz w:val="44"/>
                          <w:szCs w:val="44"/>
                        </w:rPr>
                        <w:br/>
                        <w:t>and growing apprenticeships</w:t>
                      </w:r>
                    </w:p>
                    <w:p w:rsidR="0081218A" w:rsidRPr="002B7F9A" w:rsidRDefault="0081218A" w:rsidP="002B7F9A">
                      <w:pPr>
                        <w:pStyle w:val="BasicParagraph"/>
                        <w:suppressAutoHyphens/>
                        <w:spacing w:before="240" w:line="240" w:lineRule="auto"/>
                        <w:rPr>
                          <w:rFonts w:ascii="Arial" w:hAnsi="Arial" w:cs="Arial"/>
                          <w:b/>
                          <w:caps/>
                          <w:color w:val="000000" w:themeColor="text2"/>
                          <w:sz w:val="44"/>
                          <w:szCs w:val="44"/>
                        </w:rPr>
                      </w:pPr>
                      <w:r w:rsidRPr="002B7F9A">
                        <w:rPr>
                          <w:rFonts w:ascii="Arial" w:hAnsi="Arial" w:cs="Arial"/>
                          <w:b/>
                          <w:caps/>
                          <w:color w:val="000000" w:themeColor="text2"/>
                          <w:sz w:val="44"/>
                          <w:szCs w:val="44"/>
                        </w:rPr>
                        <w:t>july 2020</w:t>
                      </w:r>
                    </w:p>
                  </w:txbxContent>
                </v:textbox>
              </v:shape>
            </w:pict>
          </mc:Fallback>
        </mc:AlternateContent>
      </w:r>
    </w:p>
    <w:p w:rsidR="00C20798" w:rsidRPr="009503AF" w:rsidRDefault="00D07970" w:rsidP="003A2E89">
      <w:pPr>
        <w:pStyle w:val="CSQbody"/>
        <w:rPr>
          <w:rFonts w:ascii="Cambria" w:eastAsia="Times New Roman" w:hAnsi="Cambria"/>
          <w:b/>
        </w:rPr>
      </w:pPr>
      <w:r>
        <w:rPr>
          <w:rFonts w:cs="Arial"/>
          <w:noProof/>
          <w:lang w:eastAsia="en-AU"/>
        </w:rPr>
        <w:lastRenderedPageBreak/>
        <mc:AlternateContent>
          <mc:Choice Requires="wps">
            <w:drawing>
              <wp:anchor distT="0" distB="0" distL="114300" distR="114300" simplePos="0" relativeHeight="251660287" behindDoc="1" locked="0" layoutInCell="1" allowOverlap="1">
                <wp:simplePos x="0" y="0"/>
                <wp:positionH relativeFrom="column">
                  <wp:posOffset>-970280</wp:posOffset>
                </wp:positionH>
                <wp:positionV relativeFrom="paragraph">
                  <wp:posOffset>-1116965</wp:posOffset>
                </wp:positionV>
                <wp:extent cx="7747279" cy="11535508"/>
                <wp:effectExtent l="0" t="0" r="6350" b="8890"/>
                <wp:wrapNone/>
                <wp:docPr id="51" name="Rectangle 51"/>
                <wp:cNvGraphicFramePr/>
                <a:graphic xmlns:a="http://schemas.openxmlformats.org/drawingml/2006/main">
                  <a:graphicData uri="http://schemas.microsoft.com/office/word/2010/wordprocessingShape">
                    <wps:wsp>
                      <wps:cNvSpPr/>
                      <wps:spPr>
                        <a:xfrm>
                          <a:off x="0" y="0"/>
                          <a:ext cx="7747279" cy="1153550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9C4D6FA" id="Rectangle 51" o:spid="_x0000_s1026" style="position:absolute;margin-left:-76.4pt;margin-top:-87.95pt;width:610pt;height:908.3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" fillcolor="#d8d8d8 [2732]" stroked="f" strokeweight="1pt"/>
            </w:pict>
          </mc:Fallback>
        </mc:AlternateContent>
      </w:r>
      <w:r w:rsidR="00C20798" w:rsidRPr="009503AF">
        <w:rPr>
          <w:b/>
          <w:color w:val="FFFFFF" w:themeColor="background1"/>
          <w:sz w:val="28"/>
          <w:szCs w:val="28"/>
        </w:rPr>
        <w:t>About Construction Skills Queensland (CS</w:t>
      </w:r>
      <w:r w:rsidR="009503AF" w:rsidRPr="009503AF">
        <w:rPr>
          <w:b/>
          <w:color w:val="FFFFFF" w:themeColor="background1"/>
          <w:sz w:val="28"/>
          <w:szCs w:val="28"/>
        </w:rPr>
        <w:t>Q)</w:t>
      </w:r>
      <w:bookmarkStart w:id="1" w:name="_GoBack"/>
      <w:bookmarkEnd w:id="1"/>
    </w:p>
    <w:p w:rsidR="00C20798" w:rsidRPr="00AD01BE" w:rsidRDefault="00C20798" w:rsidP="00C20798">
      <w:pPr>
        <w:pStyle w:val="CSQbody"/>
      </w:pPr>
      <w:r w:rsidRPr="00F46ACF">
        <w:t>CS</w:t>
      </w:r>
      <w:r>
        <w:t xml:space="preserve">Q is the Building and Construction Industry Training Fund in Queensland. </w:t>
      </w:r>
      <w:r w:rsidR="00F155D6">
        <w:t xml:space="preserve">Our </w:t>
      </w:r>
      <w:r>
        <w:t>Annual Training Plan (ATP)</w:t>
      </w:r>
      <w:r w:rsidRPr="00F46ACF">
        <w:t xml:space="preserve"> invests in </w:t>
      </w:r>
      <w:r>
        <w:t xml:space="preserve">education, </w:t>
      </w:r>
      <w:r w:rsidRPr="00F46ACF">
        <w:t>training</w:t>
      </w:r>
      <w:r>
        <w:t xml:space="preserve"> and support programs</w:t>
      </w:r>
      <w:r w:rsidRPr="00F46ACF">
        <w:t xml:space="preserve"> for the Queensland </w:t>
      </w:r>
      <w:r w:rsidRPr="0032335D">
        <w:t>building and</w:t>
      </w:r>
      <w:r>
        <w:t xml:space="preserve"> construction industry</w:t>
      </w:r>
      <w:r w:rsidRPr="0032335D">
        <w:t>.</w:t>
      </w:r>
      <w:r w:rsidR="00233624">
        <w:t xml:space="preserve"> We have three pillars</w:t>
      </w:r>
      <w:r w:rsidRPr="00AD01BE">
        <w:t>:</w:t>
      </w:r>
      <w:r w:rsidRPr="00EA56D5">
        <w:rPr>
          <w:noProof/>
          <w:lang w:eastAsia="en-AU"/>
        </w:rPr>
        <w:t xml:space="preserve"> </w:t>
      </w:r>
    </w:p>
    <w:p w:rsidR="00C20798" w:rsidRPr="00A12124" w:rsidRDefault="00C20798" w:rsidP="00C20798">
      <w:pPr>
        <w:pStyle w:val="CSQbody"/>
      </w:pPr>
      <w:r w:rsidRPr="00EC51C9">
        <w:rPr>
          <w:b/>
        </w:rPr>
        <w:t>1.</w:t>
      </w:r>
      <w:r>
        <w:rPr>
          <w:b/>
        </w:rPr>
        <w:t xml:space="preserve"> </w:t>
      </w:r>
      <w:r w:rsidRPr="00A6634E">
        <w:rPr>
          <w:b/>
        </w:rPr>
        <w:t>Attract |</w:t>
      </w:r>
      <w:r>
        <w:t xml:space="preserve"> inform, </w:t>
      </w:r>
      <w:r w:rsidRPr="00A12124">
        <w:t>inspire and provide pathways for people to join the</w:t>
      </w:r>
      <w:r>
        <w:t xml:space="preserve"> </w:t>
      </w:r>
      <w:r w:rsidRPr="00A12124">
        <w:t>bui</w:t>
      </w:r>
      <w:r>
        <w:t>lding and construction industry</w:t>
      </w:r>
    </w:p>
    <w:p w:rsidR="00C20798" w:rsidRPr="00A12124" w:rsidRDefault="00C20798" w:rsidP="00C20798">
      <w:pPr>
        <w:pStyle w:val="CSQbody"/>
      </w:pPr>
      <w:r>
        <w:rPr>
          <w:b/>
        </w:rPr>
        <w:t xml:space="preserve">2. </w:t>
      </w:r>
      <w:r w:rsidRPr="00A6634E">
        <w:rPr>
          <w:b/>
        </w:rPr>
        <w:t>Develop |</w:t>
      </w:r>
      <w:r>
        <w:t xml:space="preserve"> </w:t>
      </w:r>
      <w:r w:rsidRPr="00A12124">
        <w:t>provide training solutions to increase the capab</w:t>
      </w:r>
      <w:r>
        <w:t>ility of the existing workforce</w:t>
      </w:r>
    </w:p>
    <w:p w:rsidR="00C20798" w:rsidRDefault="00C20798" w:rsidP="00C20798">
      <w:pPr>
        <w:pStyle w:val="CSQbody"/>
      </w:pPr>
      <w:r>
        <w:rPr>
          <w:b/>
        </w:rPr>
        <w:t xml:space="preserve">3. </w:t>
      </w:r>
      <w:r w:rsidRPr="00A6634E">
        <w:rPr>
          <w:b/>
        </w:rPr>
        <w:t>Retain |</w:t>
      </w:r>
      <w:r>
        <w:t xml:space="preserve"> </w:t>
      </w:r>
      <w:r w:rsidRPr="00A12124">
        <w:t>help the sector to develop strategies to keep talented people in the industry</w:t>
      </w:r>
      <w:r>
        <w:t>.</w:t>
      </w:r>
    </w:p>
    <w:p w:rsidR="00C20798" w:rsidRPr="00693BA8" w:rsidRDefault="00C20798" w:rsidP="005A06AD">
      <w:pPr>
        <w:pStyle w:val="Heading3"/>
      </w:pPr>
      <w:r w:rsidRPr="00693BA8">
        <w:t xml:space="preserve">Our </w:t>
      </w:r>
      <w:r w:rsidRPr="005A06AD">
        <w:t>approach</w:t>
      </w:r>
      <w:r w:rsidRPr="00693BA8">
        <w:t xml:space="preserve"> </w:t>
      </w:r>
    </w:p>
    <w:p w:rsidR="00C20798" w:rsidRDefault="00C20798" w:rsidP="00C20798">
      <w:pPr>
        <w:autoSpaceDE w:val="0"/>
        <w:autoSpaceDN w:val="0"/>
        <w:adjustRightInd w:val="0"/>
        <w:rPr>
          <w:rFonts w:ascii="Arial" w:hAnsi="Arial" w:cs="Arial"/>
        </w:rPr>
      </w:pPr>
      <w:r>
        <w:rPr>
          <w:rFonts w:ascii="Arial" w:hAnsi="Arial" w:cs="Arial"/>
        </w:rPr>
        <w:t>We aim to ensure our industry has access to a suitably skilled workforce. Our</w:t>
      </w:r>
      <w:r w:rsidRPr="00516BFD">
        <w:rPr>
          <w:rFonts w:ascii="Arial" w:hAnsi="Arial" w:cs="Arial"/>
        </w:rPr>
        <w:t xml:space="preserve"> method and approach to identifying industry issues and skills needs focuses on: </w:t>
      </w:r>
    </w:p>
    <w:p w:rsidR="00C20798" w:rsidRDefault="00C20798" w:rsidP="00C20798">
      <w:pPr>
        <w:autoSpaceDE w:val="0"/>
        <w:autoSpaceDN w:val="0"/>
        <w:adjustRightInd w:val="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single" w:sz="6" w:space="0" w:color="FFFFFF" w:themeColor="background1"/>
          <w:insideV w:val="none" w:sz="0" w:space="0" w:color="auto"/>
        </w:tblBorders>
        <w:tblLook w:val="04A0" w:firstRow="1" w:lastRow="0" w:firstColumn="1" w:lastColumn="0" w:noHBand="0" w:noVBand="1"/>
      </w:tblPr>
      <w:tblGrid>
        <w:gridCol w:w="1168"/>
        <w:gridCol w:w="7750"/>
      </w:tblGrid>
      <w:tr w:rsidR="00C20798" w:rsidRPr="004D1F32" w:rsidTr="00F424BD">
        <w:tc>
          <w:tcPr>
            <w:tcW w:w="1168" w:type="dxa"/>
            <w:vAlign w:val="center"/>
          </w:tcPr>
          <w:p w:rsidR="00C20798" w:rsidRPr="004D1F32" w:rsidRDefault="00C20798" w:rsidP="00F424BD">
            <w:pPr>
              <w:autoSpaceDE w:val="0"/>
              <w:autoSpaceDN w:val="0"/>
              <w:adjustRightInd w:val="0"/>
              <w:rPr>
                <w:rFonts w:ascii="Arial" w:hAnsi="Arial" w:cs="Arial"/>
              </w:rPr>
            </w:pPr>
            <w:r w:rsidRPr="00783CFD">
              <w:rPr>
                <w:rFonts w:ascii="Arial" w:hAnsi="Arial" w:cs="Arial"/>
                <w:noProof/>
                <w:lang w:eastAsia="en-AU"/>
              </w:rPr>
              <w:drawing>
                <wp:inline distT="0" distB="0" distL="0" distR="0" wp14:anchorId="6F3FE6ED" wp14:editId="018B10A8">
                  <wp:extent cx="468713" cy="468713"/>
                  <wp:effectExtent l="0" t="0" r="0" b="7620"/>
                  <wp:docPr id="499"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8"/>
                          <pic:cNvPicPr>
                            <a:picLocks noChangeAspect="1"/>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68713" cy="468713"/>
                          </a:xfrm>
                          <a:prstGeom prst="rect">
                            <a:avLst/>
                          </a:prstGeom>
                        </pic:spPr>
                      </pic:pic>
                    </a:graphicData>
                  </a:graphic>
                </wp:inline>
              </w:drawing>
            </w:r>
          </w:p>
        </w:tc>
        <w:tc>
          <w:tcPr>
            <w:tcW w:w="7750" w:type="dxa"/>
          </w:tcPr>
          <w:p w:rsidR="00C20798" w:rsidRPr="004D1F32" w:rsidRDefault="00C20798" w:rsidP="00F424BD">
            <w:pPr>
              <w:autoSpaceDE w:val="0"/>
              <w:autoSpaceDN w:val="0"/>
              <w:adjustRightInd w:val="0"/>
              <w:rPr>
                <w:rFonts w:ascii="Arial" w:hAnsi="Arial" w:cs="Arial"/>
              </w:rPr>
            </w:pPr>
            <w:r>
              <w:rPr>
                <w:rFonts w:ascii="Arial" w:hAnsi="Arial" w:cs="Arial"/>
              </w:rPr>
              <w:t xml:space="preserve">Procuring training through a network of RTOs and other partners across Queensland to deliver a range of accredited training, non-accredited training and health and safety focused wellbeing programs. </w:t>
            </w:r>
          </w:p>
        </w:tc>
      </w:tr>
      <w:tr w:rsidR="00C20798" w:rsidRPr="004D1F32" w:rsidTr="00F424BD">
        <w:tc>
          <w:tcPr>
            <w:tcW w:w="1168" w:type="dxa"/>
            <w:vAlign w:val="bottom"/>
          </w:tcPr>
          <w:p w:rsidR="00C20798" w:rsidRPr="004D1F32" w:rsidRDefault="00C20798" w:rsidP="00F424BD">
            <w:pPr>
              <w:autoSpaceDE w:val="0"/>
              <w:autoSpaceDN w:val="0"/>
              <w:adjustRightInd w:val="0"/>
              <w:rPr>
                <w:rFonts w:ascii="Arial" w:hAnsi="Arial" w:cs="Arial"/>
                <w:highlight w:val="yellow"/>
              </w:rPr>
            </w:pPr>
            <w:r w:rsidRPr="00693BA8">
              <w:rPr>
                <w:rFonts w:ascii="Arial" w:hAnsi="Arial" w:cs="Arial"/>
                <w:noProof/>
                <w:lang w:eastAsia="en-AU"/>
              </w:rPr>
              <w:drawing>
                <wp:inline distT="0" distB="0" distL="0" distR="0" wp14:anchorId="4F0AA890" wp14:editId="66F18A9B">
                  <wp:extent cx="499847" cy="499847"/>
                  <wp:effectExtent l="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7">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99847" cy="499847"/>
                          </a:xfrm>
                          <a:prstGeom prst="rect">
                            <a:avLst/>
                          </a:prstGeom>
                        </pic:spPr>
                      </pic:pic>
                    </a:graphicData>
                  </a:graphic>
                </wp:inline>
              </w:drawing>
            </w:r>
          </w:p>
        </w:tc>
        <w:tc>
          <w:tcPr>
            <w:tcW w:w="7750" w:type="dxa"/>
          </w:tcPr>
          <w:p w:rsidR="00C20798" w:rsidRPr="004D1F32" w:rsidRDefault="00C20798" w:rsidP="00F424BD">
            <w:pPr>
              <w:autoSpaceDE w:val="0"/>
              <w:autoSpaceDN w:val="0"/>
              <w:adjustRightInd w:val="0"/>
              <w:rPr>
                <w:rFonts w:ascii="Arial" w:hAnsi="Arial" w:cs="Arial"/>
              </w:rPr>
            </w:pPr>
            <w:r w:rsidRPr="004D1F32">
              <w:rPr>
                <w:rFonts w:ascii="Arial" w:hAnsi="Arial" w:cs="Arial"/>
              </w:rPr>
              <w:t>A place-based approach to engaging with industry stakeholders across regional Queensland to identify key local industry issues,</w:t>
            </w:r>
            <w:r>
              <w:rPr>
                <w:rFonts w:ascii="Arial" w:hAnsi="Arial" w:cs="Arial"/>
              </w:rPr>
              <w:t xml:space="preserve"> and</w:t>
            </w:r>
            <w:r w:rsidRPr="004D1F32">
              <w:rPr>
                <w:rFonts w:ascii="Arial" w:hAnsi="Arial" w:cs="Arial"/>
              </w:rPr>
              <w:t xml:space="preserve"> skills and training needs</w:t>
            </w:r>
            <w:r>
              <w:rPr>
                <w:rFonts w:ascii="Arial" w:hAnsi="Arial" w:cs="Arial"/>
              </w:rPr>
              <w:t>.</w:t>
            </w:r>
          </w:p>
        </w:tc>
      </w:tr>
      <w:tr w:rsidR="00C20798" w:rsidRPr="004D1F32" w:rsidTr="00F424BD">
        <w:tc>
          <w:tcPr>
            <w:tcW w:w="1168" w:type="dxa"/>
            <w:vAlign w:val="center"/>
          </w:tcPr>
          <w:p w:rsidR="00C20798" w:rsidRPr="004D1F32" w:rsidRDefault="00C20798" w:rsidP="00F424BD">
            <w:pPr>
              <w:autoSpaceDE w:val="0"/>
              <w:autoSpaceDN w:val="0"/>
              <w:adjustRightInd w:val="0"/>
              <w:rPr>
                <w:rFonts w:ascii="Arial" w:hAnsi="Arial" w:cs="Arial"/>
              </w:rPr>
            </w:pPr>
            <w:r w:rsidRPr="000921E3">
              <w:rPr>
                <w:rFonts w:ascii="Arial" w:hAnsi="Arial" w:cs="Arial"/>
                <w:noProof/>
                <w:lang w:eastAsia="en-AU"/>
              </w:rPr>
              <w:drawing>
                <wp:inline distT="0" distB="0" distL="0" distR="0" wp14:anchorId="5B5F4FFF" wp14:editId="728CD4DB">
                  <wp:extent cx="507819" cy="507819"/>
                  <wp:effectExtent l="0" t="0" r="0" b="0"/>
                  <wp:docPr id="497"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6"/>
                          <pic:cNvPicPr>
                            <a:picLocks noChangeAspect="1"/>
                          </pic:cNvPicPr>
                        </pic:nvPicPr>
                        <pic:blipFill>
                          <a:blip r:embed="rId19">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07819" cy="507819"/>
                          </a:xfrm>
                          <a:prstGeom prst="rect">
                            <a:avLst/>
                          </a:prstGeom>
                        </pic:spPr>
                      </pic:pic>
                    </a:graphicData>
                  </a:graphic>
                </wp:inline>
              </w:drawing>
            </w:r>
          </w:p>
        </w:tc>
        <w:tc>
          <w:tcPr>
            <w:tcW w:w="7750" w:type="dxa"/>
          </w:tcPr>
          <w:p w:rsidR="00C20798" w:rsidRPr="004D1F32" w:rsidRDefault="00C20798" w:rsidP="00F424BD">
            <w:pPr>
              <w:autoSpaceDE w:val="0"/>
              <w:autoSpaceDN w:val="0"/>
              <w:adjustRightInd w:val="0"/>
              <w:rPr>
                <w:rFonts w:ascii="Arial" w:hAnsi="Arial" w:cs="Arial"/>
              </w:rPr>
            </w:pPr>
            <w:r w:rsidRPr="004D1F32">
              <w:rPr>
                <w:rFonts w:ascii="Arial" w:hAnsi="Arial" w:cs="Arial"/>
              </w:rPr>
              <w:t xml:space="preserve">Analysis of the magnitude, frequency, distribution and cause of skills gaps in the industry. </w:t>
            </w:r>
            <w:r w:rsidR="00233624">
              <w:rPr>
                <w:rFonts w:ascii="Arial" w:hAnsi="Arial" w:cs="Arial"/>
              </w:rPr>
              <w:t xml:space="preserve">Using this insight we work </w:t>
            </w:r>
            <w:r>
              <w:rPr>
                <w:rFonts w:ascii="Arial" w:hAnsi="Arial" w:cs="Arial"/>
              </w:rPr>
              <w:t xml:space="preserve">directly with industry and employers to identify opportunities </w:t>
            </w:r>
            <w:r w:rsidR="00233624">
              <w:rPr>
                <w:rFonts w:ascii="Arial" w:hAnsi="Arial" w:cs="Arial"/>
              </w:rPr>
              <w:t xml:space="preserve">and </w:t>
            </w:r>
            <w:r w:rsidRPr="004D1F32">
              <w:rPr>
                <w:rFonts w:ascii="Arial" w:hAnsi="Arial" w:cs="Arial"/>
              </w:rPr>
              <w:t>offerings that respond to changing workforce needs.</w:t>
            </w:r>
          </w:p>
        </w:tc>
      </w:tr>
      <w:tr w:rsidR="00C20798" w:rsidRPr="004D1F32" w:rsidTr="00F424BD">
        <w:tc>
          <w:tcPr>
            <w:tcW w:w="1168" w:type="dxa"/>
            <w:vAlign w:val="center"/>
          </w:tcPr>
          <w:p w:rsidR="00C20798" w:rsidRPr="004D1F32" w:rsidRDefault="00C20798" w:rsidP="00F424BD">
            <w:pPr>
              <w:autoSpaceDE w:val="0"/>
              <w:autoSpaceDN w:val="0"/>
              <w:adjustRightInd w:val="0"/>
              <w:rPr>
                <w:rFonts w:ascii="Arial" w:hAnsi="Arial" w:cs="Arial"/>
              </w:rPr>
            </w:pPr>
            <w:r w:rsidRPr="00693BA8">
              <w:rPr>
                <w:rFonts w:ascii="Arial" w:hAnsi="Arial" w:cs="Arial"/>
                <w:noProof/>
                <w:lang w:eastAsia="en-AU"/>
              </w:rPr>
              <w:drawing>
                <wp:inline distT="0" distB="0" distL="0" distR="0" wp14:anchorId="1FCED2FE" wp14:editId="5C811072">
                  <wp:extent cx="557442" cy="557442"/>
                  <wp:effectExtent l="0" t="0" r="0" b="0"/>
                  <wp:docPr id="489"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8"/>
                          <pic:cNvPicPr>
                            <a:picLocks noChangeAspect="1"/>
                          </pic:cNvPicPr>
                        </pic:nvPicPr>
                        <pic:blipFill>
                          <a:blip r:embed="rId21">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57442" cy="557442"/>
                          </a:xfrm>
                          <a:prstGeom prst="rect">
                            <a:avLst/>
                          </a:prstGeom>
                        </pic:spPr>
                      </pic:pic>
                    </a:graphicData>
                  </a:graphic>
                </wp:inline>
              </w:drawing>
            </w:r>
          </w:p>
        </w:tc>
        <w:tc>
          <w:tcPr>
            <w:tcW w:w="7750" w:type="dxa"/>
          </w:tcPr>
          <w:p w:rsidR="00C20798" w:rsidRPr="004D1F32" w:rsidRDefault="00C20798" w:rsidP="00F424BD">
            <w:pPr>
              <w:autoSpaceDE w:val="0"/>
              <w:autoSpaceDN w:val="0"/>
              <w:adjustRightInd w:val="0"/>
              <w:rPr>
                <w:rFonts w:ascii="Arial" w:hAnsi="Arial" w:cs="Arial"/>
              </w:rPr>
            </w:pPr>
            <w:r w:rsidRPr="004D1F32">
              <w:rPr>
                <w:rFonts w:ascii="Arial" w:hAnsi="Arial" w:cs="Arial"/>
              </w:rPr>
              <w:t xml:space="preserve">Leading industry thinking via key research projects </w:t>
            </w:r>
            <w:r w:rsidR="00233624">
              <w:rPr>
                <w:rFonts w:ascii="Arial" w:hAnsi="Arial" w:cs="Arial"/>
              </w:rPr>
              <w:t>that explore</w:t>
            </w:r>
            <w:r w:rsidRPr="004D1F32">
              <w:rPr>
                <w:rFonts w:ascii="Arial" w:hAnsi="Arial" w:cs="Arial"/>
              </w:rPr>
              <w:t xml:space="preserve"> the future of work and skills. This ‘farsight’ research aims to future-proof the industry by equipping businesses and workers with</w:t>
            </w:r>
            <w:r w:rsidR="00233624">
              <w:rPr>
                <w:rFonts w:ascii="Arial" w:hAnsi="Arial" w:cs="Arial"/>
              </w:rPr>
              <w:t xml:space="preserve"> the</w:t>
            </w:r>
            <w:r w:rsidRPr="004D1F32">
              <w:rPr>
                <w:rFonts w:ascii="Arial" w:hAnsi="Arial" w:cs="Arial"/>
              </w:rPr>
              <w:t xml:space="preserve"> knowledge, skills and training needed to adapt to changes, adopt new technologies and improve innovation and competitiveness.</w:t>
            </w:r>
          </w:p>
        </w:tc>
      </w:tr>
    </w:tbl>
    <w:p w:rsidR="00C20798" w:rsidRDefault="00904234" w:rsidP="00201AFF">
      <w:pPr>
        <w:pStyle w:val="Heading3"/>
      </w:pPr>
      <w:r>
        <w:t xml:space="preserve">Activity highlights </w:t>
      </w:r>
    </w:p>
    <w:p w:rsidR="002763C9" w:rsidRPr="002763C9" w:rsidRDefault="002763C9" w:rsidP="002763C9">
      <w:pPr>
        <w:pStyle w:val="CSQbody"/>
      </w:pPr>
      <w:r>
        <w:rPr>
          <w:noProof/>
          <w:lang w:eastAsia="en-AU"/>
        </w:rPr>
        <w:drawing>
          <wp:inline distT="0" distB="0" distL="0" distR="0">
            <wp:extent cx="5731510" cy="185376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tivity-Highlights.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1853765"/>
                    </a:xfrm>
                    <a:prstGeom prst="rect">
                      <a:avLst/>
                    </a:prstGeom>
                  </pic:spPr>
                </pic:pic>
              </a:graphicData>
            </a:graphic>
          </wp:inline>
        </w:drawing>
      </w:r>
    </w:p>
    <w:p w:rsidR="00C20798" w:rsidRPr="00201AFF" w:rsidRDefault="00C20798" w:rsidP="00C20798">
      <w:pPr>
        <w:pStyle w:val="CSQbody"/>
        <w:rPr>
          <w:sz w:val="16"/>
          <w:szCs w:val="16"/>
        </w:rPr>
      </w:pPr>
      <w:r w:rsidRPr="00201AFF">
        <w:rPr>
          <w:sz w:val="16"/>
          <w:szCs w:val="16"/>
        </w:rPr>
        <w:t>*in partnership with the Queensland Government</w:t>
      </w:r>
      <w:r w:rsidRPr="00201AFF">
        <w:rPr>
          <w:sz w:val="16"/>
          <w:szCs w:val="16"/>
        </w:rPr>
        <w:tab/>
      </w:r>
    </w:p>
    <w:p w:rsidR="00C20798" w:rsidRPr="00693BA8" w:rsidRDefault="00C20798" w:rsidP="004B152D">
      <w:pPr>
        <w:pStyle w:val="Heading3"/>
      </w:pPr>
      <w:r w:rsidRPr="00693BA8">
        <w:t>The levy</w:t>
      </w:r>
    </w:p>
    <w:p w:rsidR="00C20798" w:rsidRDefault="00C20798" w:rsidP="00C20798">
      <w:pPr>
        <w:pStyle w:val="CSQbody"/>
      </w:pPr>
      <w:r>
        <w:t xml:space="preserve">The Building and Construction Industry Training Levy (the levy) is a statutory training levy established under the Building and Construction Industry (Portable Long Service Leave) Act 1991 (Qld). Effective 1 July 2020 a levy is </w:t>
      </w:r>
      <w:r w:rsidRPr="00485DBC">
        <w:t xml:space="preserve">imposed on the total cost, whether direct or indirect, of </w:t>
      </w:r>
      <w:r>
        <w:t xml:space="preserve">eligible </w:t>
      </w:r>
      <w:r w:rsidRPr="00485DBC">
        <w:t xml:space="preserve">building and construction work in Queensland costing $150,000 or more (excluding GST). </w:t>
      </w:r>
      <w:r>
        <w:t xml:space="preserve">CSQ </w:t>
      </w:r>
      <w:r w:rsidRPr="004B0CFD">
        <w:t>procure</w:t>
      </w:r>
      <w:r>
        <w:t>s training and support programs that are</w:t>
      </w:r>
      <w:r w:rsidRPr="004B0CFD">
        <w:t xml:space="preserve"> complementary </w:t>
      </w:r>
      <w:r>
        <w:t xml:space="preserve">to, and do not </w:t>
      </w:r>
      <w:r w:rsidRPr="004B0CFD">
        <w:t>duplicate</w:t>
      </w:r>
      <w:r>
        <w:t>,</w:t>
      </w:r>
      <w:r w:rsidRPr="004B0CFD">
        <w:t xml:space="preserve"> public VET investment</w:t>
      </w:r>
      <w:r>
        <w:t>.</w:t>
      </w:r>
    </w:p>
    <w:p w:rsidR="00C20798" w:rsidRDefault="00C20798" w:rsidP="00C20798">
      <w:pPr>
        <w:pStyle w:val="CSQbody"/>
      </w:pPr>
    </w:p>
    <w:p w:rsidR="00C20798" w:rsidRPr="008F71FD" w:rsidRDefault="00C20798" w:rsidP="00C20798">
      <w:pPr>
        <w:pStyle w:val="CSQbody"/>
        <w:sectPr w:rsidR="00C20798" w:rsidRPr="008F71FD" w:rsidSect="00F424BD">
          <w:headerReference w:type="first" r:id="rId24"/>
          <w:footerReference w:type="first" r:id="rId25"/>
          <w:type w:val="continuous"/>
          <w:pgSz w:w="11906" w:h="16838" w:code="9"/>
          <w:pgMar w:top="1702" w:right="1440" w:bottom="1440" w:left="1440" w:header="2269" w:footer="510" w:gutter="0"/>
          <w:cols w:space="340"/>
          <w:docGrid w:linePitch="360"/>
        </w:sectPr>
      </w:pPr>
    </w:p>
    <w:p w:rsidR="00C20798" w:rsidRPr="00681923" w:rsidRDefault="00C20798" w:rsidP="00C20798">
      <w:pPr>
        <w:pStyle w:val="Heading1"/>
      </w:pPr>
      <w:r>
        <w:lastRenderedPageBreak/>
        <w:t>Table of contents</w:t>
      </w:r>
    </w:p>
    <w:p w:rsidR="00C20798" w:rsidRDefault="00C20798" w:rsidP="00C20798">
      <w:pPr>
        <w:pStyle w:val="CSQbody"/>
      </w:pPr>
    </w:p>
    <w:p w:rsidR="009E5B3F" w:rsidRDefault="009E5B3F" w:rsidP="00C20798">
      <w:pPr>
        <w:pStyle w:val="CSQbody"/>
      </w:pPr>
    </w:p>
    <w:tbl>
      <w:tblPr>
        <w:tblStyle w:val="TableGrid"/>
        <w:tblW w:w="0" w:type="auto"/>
        <w:tblBorders>
          <w:top w:val="single" w:sz="12" w:space="0" w:color="FFCD1A" w:themeColor="accent1"/>
          <w:left w:val="none" w:sz="0" w:space="0" w:color="auto"/>
          <w:bottom w:val="single" w:sz="12" w:space="0" w:color="FFCD1A" w:themeColor="accent1"/>
          <w:right w:val="none" w:sz="0" w:space="0" w:color="auto"/>
          <w:insideH w:val="none" w:sz="0" w:space="0" w:color="auto"/>
          <w:insideV w:val="none" w:sz="0" w:space="0" w:color="auto"/>
        </w:tblBorders>
        <w:tblLook w:val="04A0" w:firstRow="1" w:lastRow="0" w:firstColumn="1" w:lastColumn="0" w:noHBand="0" w:noVBand="1"/>
      </w:tblPr>
      <w:tblGrid>
        <w:gridCol w:w="6550"/>
        <w:gridCol w:w="2358"/>
      </w:tblGrid>
      <w:tr w:rsidR="0037518F" w:rsidTr="009E5B3F">
        <w:tc>
          <w:tcPr>
            <w:tcW w:w="6550" w:type="dxa"/>
          </w:tcPr>
          <w:p w:rsidR="0037518F" w:rsidRDefault="009E5B3F" w:rsidP="00C20798">
            <w:pPr>
              <w:pStyle w:val="CSQbody"/>
            </w:pPr>
            <w:r>
              <w:t>Executive summary</w:t>
            </w:r>
          </w:p>
        </w:tc>
        <w:tc>
          <w:tcPr>
            <w:tcW w:w="2358" w:type="dxa"/>
          </w:tcPr>
          <w:p w:rsidR="0037518F" w:rsidRDefault="009E5B3F" w:rsidP="009E5B3F">
            <w:pPr>
              <w:pStyle w:val="CSQbody"/>
              <w:jc w:val="right"/>
            </w:pPr>
            <w:r>
              <w:t>4</w:t>
            </w:r>
          </w:p>
        </w:tc>
      </w:tr>
      <w:tr w:rsidR="0037518F" w:rsidTr="009E5B3F">
        <w:tc>
          <w:tcPr>
            <w:tcW w:w="6550" w:type="dxa"/>
          </w:tcPr>
          <w:p w:rsidR="0037518F" w:rsidRDefault="009E5B3F" w:rsidP="00C20798">
            <w:pPr>
              <w:pStyle w:val="CSQbody"/>
            </w:pPr>
            <w:r>
              <w:t>Linking VET to industry</w:t>
            </w:r>
          </w:p>
        </w:tc>
        <w:tc>
          <w:tcPr>
            <w:tcW w:w="2358" w:type="dxa"/>
          </w:tcPr>
          <w:p w:rsidR="0037518F" w:rsidRDefault="001C5CEC" w:rsidP="009E5B3F">
            <w:pPr>
              <w:pStyle w:val="CSQbody"/>
              <w:jc w:val="right"/>
            </w:pPr>
            <w:r>
              <w:t>5</w:t>
            </w:r>
          </w:p>
        </w:tc>
      </w:tr>
      <w:tr w:rsidR="0037518F" w:rsidTr="009E5B3F">
        <w:tc>
          <w:tcPr>
            <w:tcW w:w="6550" w:type="dxa"/>
          </w:tcPr>
          <w:p w:rsidR="0037518F" w:rsidRDefault="009E5B3F" w:rsidP="00C20798">
            <w:pPr>
              <w:pStyle w:val="CSQbody"/>
            </w:pPr>
            <w:r>
              <w:t>Supporting trade apprenticeships</w:t>
            </w:r>
          </w:p>
        </w:tc>
        <w:tc>
          <w:tcPr>
            <w:tcW w:w="2358" w:type="dxa"/>
          </w:tcPr>
          <w:p w:rsidR="0037518F" w:rsidRDefault="001C5CEC" w:rsidP="009E5B3F">
            <w:pPr>
              <w:pStyle w:val="CSQbody"/>
              <w:jc w:val="right"/>
            </w:pPr>
            <w:r>
              <w:t>9</w:t>
            </w:r>
          </w:p>
        </w:tc>
      </w:tr>
      <w:tr w:rsidR="0037518F" w:rsidTr="009E5B3F">
        <w:tc>
          <w:tcPr>
            <w:tcW w:w="6550" w:type="dxa"/>
          </w:tcPr>
          <w:p w:rsidR="009E5B3F" w:rsidRDefault="009E5B3F" w:rsidP="00C20798">
            <w:pPr>
              <w:pStyle w:val="CSQbody"/>
            </w:pPr>
            <w:r>
              <w:t>Barriers, incentives and support</w:t>
            </w:r>
          </w:p>
        </w:tc>
        <w:tc>
          <w:tcPr>
            <w:tcW w:w="2358" w:type="dxa"/>
          </w:tcPr>
          <w:p w:rsidR="0037518F" w:rsidRDefault="001C5CEC" w:rsidP="009E5B3F">
            <w:pPr>
              <w:pStyle w:val="CSQbody"/>
              <w:jc w:val="right"/>
            </w:pPr>
            <w:r>
              <w:t>17</w:t>
            </w:r>
          </w:p>
        </w:tc>
      </w:tr>
      <w:tr w:rsidR="0037518F" w:rsidTr="009E5B3F">
        <w:tc>
          <w:tcPr>
            <w:tcW w:w="6550" w:type="dxa"/>
          </w:tcPr>
          <w:p w:rsidR="0037518F" w:rsidRDefault="009E5B3F" w:rsidP="00C20798">
            <w:pPr>
              <w:pStyle w:val="CSQbody"/>
            </w:pPr>
            <w:r>
              <w:t xml:space="preserve">References </w:t>
            </w:r>
          </w:p>
        </w:tc>
        <w:tc>
          <w:tcPr>
            <w:tcW w:w="2358" w:type="dxa"/>
          </w:tcPr>
          <w:p w:rsidR="0037518F" w:rsidRDefault="001C5CEC" w:rsidP="009E5B3F">
            <w:pPr>
              <w:pStyle w:val="CSQbody"/>
              <w:jc w:val="right"/>
            </w:pPr>
            <w:r>
              <w:t>19</w:t>
            </w:r>
          </w:p>
        </w:tc>
      </w:tr>
    </w:tbl>
    <w:p w:rsidR="0037518F" w:rsidRDefault="0037518F" w:rsidP="00C20798">
      <w:pPr>
        <w:pStyle w:val="CSQbody"/>
      </w:pPr>
    </w:p>
    <w:p w:rsidR="00C20798" w:rsidRDefault="00C20798" w:rsidP="00C20798">
      <w:pPr>
        <w:pStyle w:val="CSQbody"/>
      </w:pPr>
    </w:p>
    <w:p w:rsidR="00C20798" w:rsidRDefault="00C20798" w:rsidP="00C20798">
      <w:pPr>
        <w:pStyle w:val="CSQbody"/>
      </w:pPr>
    </w:p>
    <w:p w:rsidR="00C20798" w:rsidRDefault="00C20798" w:rsidP="00C20798">
      <w:pPr>
        <w:pStyle w:val="CSQbody"/>
      </w:pPr>
    </w:p>
    <w:p w:rsidR="00C20798" w:rsidRDefault="00C20798" w:rsidP="00C20798">
      <w:pPr>
        <w:pStyle w:val="CSQbody"/>
      </w:pPr>
    </w:p>
    <w:p w:rsidR="00C20798" w:rsidRDefault="00C20798" w:rsidP="00C20798">
      <w:pPr>
        <w:rPr>
          <w:rFonts w:ascii="Arial" w:eastAsia="MS Gothic" w:hAnsi="Arial" w:cs="Arial"/>
          <w:b/>
          <w:bCs/>
          <w:color w:val="FFCD1A" w:themeColor="accent1"/>
          <w:kern w:val="32"/>
          <w:sz w:val="28"/>
          <w:szCs w:val="40"/>
        </w:rPr>
      </w:pPr>
      <w:r>
        <w:br w:type="page"/>
      </w:r>
    </w:p>
    <w:p w:rsidR="00C20798" w:rsidRDefault="00C20798" w:rsidP="00C20798">
      <w:pPr>
        <w:pStyle w:val="Heading1"/>
      </w:pPr>
      <w:r>
        <w:lastRenderedPageBreak/>
        <w:t>Executive summary</w:t>
      </w:r>
    </w:p>
    <w:p w:rsidR="00C20798" w:rsidRDefault="00F155D6" w:rsidP="00F155D6">
      <w:pPr>
        <w:pStyle w:val="CSQbody"/>
      </w:pPr>
      <w:r>
        <w:t>The Productivity Commission’s Interim Report on the National Agreement for Skills and Workforce Development (NASWD) is a welcome addit</w:t>
      </w:r>
      <w:r w:rsidR="00345D27">
        <w:t xml:space="preserve">ion to the body of knowledge for </w:t>
      </w:r>
      <w:r>
        <w:t>the vocational education and training (VET) sector. The report demonstrates the complexity of the sector</w:t>
      </w:r>
      <w:r w:rsidR="008C2855">
        <w:t xml:space="preserve"> and the many issues faced</w:t>
      </w:r>
      <w:r>
        <w:t xml:space="preserve">. </w:t>
      </w:r>
      <w:r w:rsidR="008C2855">
        <w:t>W</w:t>
      </w:r>
      <w:r w:rsidR="008C2855" w:rsidRPr="00F155D6">
        <w:t xml:space="preserve">e have limited our comments to </w:t>
      </w:r>
      <w:r w:rsidR="008C2855">
        <w:t>three</w:t>
      </w:r>
      <w:r w:rsidR="008C2855" w:rsidRPr="00F155D6">
        <w:t xml:space="preserve"> areas where we believe we can add value and perspective, that may a warrant more direct treatment in the final report</w:t>
      </w:r>
      <w:r w:rsidR="00D136FB">
        <w:t>,</w:t>
      </w:r>
      <w:r w:rsidR="008C2855" w:rsidRPr="00F155D6">
        <w:t xml:space="preserve"> and that represent key issues for the building and construction industry.</w:t>
      </w:r>
    </w:p>
    <w:p w:rsidR="004A04FC" w:rsidRDefault="008C2855" w:rsidP="00F155D6">
      <w:pPr>
        <w:pStyle w:val="CSQbody"/>
      </w:pPr>
      <w:r>
        <w:t>First amongst</w:t>
      </w:r>
      <w:r w:rsidR="00F155D6">
        <w:t xml:space="preserve"> is the issue of VET linkages with industry. VET straddles AQF levels from school to higher education. Similarly it endeavours to cover a range of</w:t>
      </w:r>
      <w:r w:rsidR="002309C1">
        <w:t xml:space="preserve"> policy outcomes</w:t>
      </w:r>
      <w:r w:rsidR="004A04FC">
        <w:t xml:space="preserve"> from engagement, participation,</w:t>
      </w:r>
      <w:r w:rsidR="004819DD">
        <w:t xml:space="preserve"> pathways through to attainment and</w:t>
      </w:r>
      <w:r w:rsidR="004A04FC">
        <w:t xml:space="preserve"> frequently with an industry overlay</w:t>
      </w:r>
      <w:r w:rsidR="00C46A21">
        <w:t xml:space="preserve">. Some agreed tenets may help the system define clear roles and corresponding measures. </w:t>
      </w:r>
    </w:p>
    <w:p w:rsidR="008C2855" w:rsidRPr="009E5DA0" w:rsidRDefault="00C46A21" w:rsidP="00F155D6">
      <w:pPr>
        <w:pStyle w:val="CSQbody"/>
      </w:pPr>
      <w:r>
        <w:t xml:space="preserve">In our response we see the link </w:t>
      </w:r>
      <w:r w:rsidRPr="009E5DA0">
        <w:t xml:space="preserve">with industry as indispensable and an area that could be expanded. </w:t>
      </w:r>
      <w:r w:rsidR="008C2855" w:rsidRPr="005A0373">
        <w:t xml:space="preserve">Government plays a critical role in supporting a robust and </w:t>
      </w:r>
      <w:r w:rsidR="004819DD">
        <w:t>responsive quality VET system, h</w:t>
      </w:r>
      <w:r w:rsidR="008C2855" w:rsidRPr="005A0373">
        <w:t>owever workforce development and training is, and should be, largely the responsibility of industry</w:t>
      </w:r>
      <w:r w:rsidR="0028183A" w:rsidRPr="005A0373">
        <w:t xml:space="preserve"> with </w:t>
      </w:r>
      <w:r w:rsidR="008C2855" w:rsidRPr="005A0373">
        <w:t>a greater focus on placing industry at the centre of the system.</w:t>
      </w:r>
      <w:r w:rsidR="008C2855">
        <w:t xml:space="preserve"> </w:t>
      </w:r>
    </w:p>
    <w:p w:rsidR="006C7FE5" w:rsidRPr="009E5DA0" w:rsidRDefault="00345D27" w:rsidP="006C7FE5">
      <w:pPr>
        <w:pStyle w:val="CSQbody"/>
      </w:pPr>
      <w:r>
        <w:t>Rather than chasing skills shortages</w:t>
      </w:r>
      <w:r w:rsidR="004819DD">
        <w:t>,</w:t>
      </w:r>
      <w:r>
        <w:t xml:space="preserve"> the </w:t>
      </w:r>
      <w:r w:rsidR="006C7FE5" w:rsidRPr="009E5DA0">
        <w:t xml:space="preserve">VET </w:t>
      </w:r>
      <w:r w:rsidR="00D136FB">
        <w:t xml:space="preserve">sector </w:t>
      </w:r>
      <w:r w:rsidR="006C7FE5" w:rsidRPr="009E5DA0">
        <w:t>has the capacity to prepare the workforce for the future. T</w:t>
      </w:r>
      <w:r w:rsidR="009E5DA0" w:rsidRPr="009E5DA0">
        <w:t xml:space="preserve">he nature </w:t>
      </w:r>
      <w:r w:rsidR="006C7FE5" w:rsidRPr="009E5DA0">
        <w:t>and speed of change demonstrates that skilling, reskilling a</w:t>
      </w:r>
      <w:r w:rsidR="004A04FC">
        <w:t>nd upskilling relies on the cul</w:t>
      </w:r>
      <w:r w:rsidR="006C7FE5" w:rsidRPr="009E5DA0">
        <w:t xml:space="preserve">mination of a partnership between industry, government, employers and training providers working together. </w:t>
      </w:r>
    </w:p>
    <w:p w:rsidR="00345D27" w:rsidRDefault="003A01C1" w:rsidP="009E5DA0">
      <w:pPr>
        <w:pStyle w:val="CSQbody"/>
      </w:pPr>
      <w:r>
        <w:t>This leads to our second</w:t>
      </w:r>
      <w:r w:rsidR="006C7FE5">
        <w:t xml:space="preserve"> response</w:t>
      </w:r>
      <w:r>
        <w:t xml:space="preserve"> issue, apprenticeships. </w:t>
      </w:r>
      <w:r w:rsidR="00C46A21">
        <w:t xml:space="preserve">The apprenticeship system is strong in building construction with on-the-job training a critical element. </w:t>
      </w:r>
      <w:r>
        <w:t xml:space="preserve">There is not a crisis as such in apprenticeships in our sector, however there is room for improvement in both commencements and completions. </w:t>
      </w:r>
    </w:p>
    <w:p w:rsidR="009E5DA0" w:rsidRPr="001B5F4C" w:rsidRDefault="003A01C1" w:rsidP="009E5DA0">
      <w:pPr>
        <w:pStyle w:val="CSQbody"/>
      </w:pPr>
      <w:r>
        <w:t>The developi</w:t>
      </w:r>
      <w:r w:rsidR="00345D27">
        <w:t>ng economic impacts of COVID is</w:t>
      </w:r>
      <w:r>
        <w:t xml:space="preserve"> creating </w:t>
      </w:r>
      <w:r w:rsidR="00345D27">
        <w:t xml:space="preserve">new </w:t>
      </w:r>
      <w:r>
        <w:t xml:space="preserve">threats and opportunities. The threat to employment and businesses may open opportunities to trial new approaches to apprenticeships. </w:t>
      </w:r>
      <w:r w:rsidR="009E5DA0" w:rsidRPr="001B5F4C">
        <w:t xml:space="preserve">Unemployment impacts apprentices deeply as it also breaks their education, removing the established pathway to qualification, licensing and the ability to trade. </w:t>
      </w:r>
      <w:r w:rsidR="00345D27">
        <w:t>We</w:t>
      </w:r>
      <w:r w:rsidR="004819DD">
        <w:t xml:space="preserve"> highlight</w:t>
      </w:r>
      <w:r w:rsidR="00345D27">
        <w:t xml:space="preserve"> four programmatic approaches suitable for scaling-up. This includes</w:t>
      </w:r>
      <w:r w:rsidR="004819DD">
        <w:t xml:space="preserve">: prevocational- </w:t>
      </w:r>
      <w:r w:rsidR="00345D27">
        <w:t>incorporating soft and technical skills as well as work experience</w:t>
      </w:r>
      <w:r w:rsidR="004819DD">
        <w:t>;</w:t>
      </w:r>
      <w:r w:rsidR="00345D27">
        <w:t xml:space="preserve"> and a trade pathway program for individuals unable to access a traditional apprenticeship. We also highlight Apprentice Advance+, a program that recognises an apprenticeship frequently does end at qualification attainment – that there are additional steps and supports need to gain licens</w:t>
      </w:r>
      <w:r w:rsidR="004819DD">
        <w:t>ing or registration</w:t>
      </w:r>
      <w:r w:rsidR="00345D27">
        <w:t xml:space="preserve">. Lastly employer support via dedicated workforce planning is outlined. This explicitly links skills and employment. </w:t>
      </w:r>
    </w:p>
    <w:p w:rsidR="006B645A" w:rsidRDefault="006B645A" w:rsidP="00C20798">
      <w:pPr>
        <w:pStyle w:val="CSQbody"/>
      </w:pPr>
      <w:r>
        <w:t xml:space="preserve">The last area our submission covers is the issue of barriers, incentives and support. We concur with the view of the Productivity Commission that the current incentive </w:t>
      </w:r>
      <w:r w:rsidR="008C2855">
        <w:t xml:space="preserve">model has muted impact, we </w:t>
      </w:r>
      <w:r>
        <w:t xml:space="preserve">also note difficulties with time release, scheduling and paid time for the off-the-job training. Meanwhile apprentices, especially in their first and second year, struggle with extremely low wages. </w:t>
      </w:r>
      <w:r w:rsidR="004819DD">
        <w:t>W</w:t>
      </w:r>
      <w:r>
        <w:t xml:space="preserve">e explore whether the COVID experience presents an opportunity to reset traditional supports in this area. We believe opportunity exists for living wage assistance to be provided to apprentices, and employers to be more directly compensated for the </w:t>
      </w:r>
      <w:r w:rsidR="008C2855">
        <w:t>administrative,</w:t>
      </w:r>
      <w:r>
        <w:t xml:space="preserve"> educational</w:t>
      </w:r>
      <w:r w:rsidR="008C2855">
        <w:t xml:space="preserve"> requirements</w:t>
      </w:r>
      <w:r>
        <w:t xml:space="preserve"> and mentoring aspects of the apprentice relationship. </w:t>
      </w:r>
    </w:p>
    <w:p w:rsidR="00C20798" w:rsidRDefault="00B70F8F" w:rsidP="00C20798">
      <w:pPr>
        <w:pStyle w:val="CSQbody"/>
      </w:pPr>
      <w:r>
        <w:t xml:space="preserve">We are heading into a time of great uncertainty. At CSQ we envisage a strong role for the VET sector in skilling and reskilling Australians, boosting employment prospects and helping industry develop and deliver the skills and qualifications needed. A renewed and reshaped NASWD can help this process.  </w:t>
      </w:r>
    </w:p>
    <w:p w:rsidR="00F155D6" w:rsidRDefault="008C2855" w:rsidP="00345D27">
      <w:pPr>
        <w:pStyle w:val="CSQbody"/>
      </w:pPr>
      <w:r>
        <w:t>Construction Skills Queensland (CSQ) provides this response in good faith and to provide additional evidence, data and a building and construction industry perspective on three areas of the VET sector.</w:t>
      </w:r>
    </w:p>
    <w:p w:rsidR="00C20798" w:rsidRDefault="00C20798" w:rsidP="006D078B">
      <w:pPr>
        <w:pStyle w:val="Numberedheadinglevel1"/>
      </w:pPr>
      <w:r>
        <w:lastRenderedPageBreak/>
        <w:t>Linking VET to industry</w:t>
      </w:r>
    </w:p>
    <w:p w:rsidR="00D830BD" w:rsidRDefault="00D830BD" w:rsidP="00C20798">
      <w:pPr>
        <w:pStyle w:val="CSQbody"/>
      </w:pPr>
      <w:r>
        <w:t>The PC has sought</w:t>
      </w:r>
      <w:r w:rsidR="00025F6C">
        <w:t xml:space="preserve"> information on</w:t>
      </w:r>
      <w:r>
        <w:t>:</w:t>
      </w:r>
    </w:p>
    <w:p w:rsidR="00306E99" w:rsidRDefault="00306E99" w:rsidP="00306E99">
      <w:pPr>
        <w:pStyle w:val="CSQbullet1"/>
      </w:pPr>
      <w:r>
        <w:t>What are useful ways of defining and measuring the skills shortages (and surpluses) relevant to the VET sector?</w:t>
      </w:r>
    </w:p>
    <w:p w:rsidR="00306E99" w:rsidRDefault="00306E99" w:rsidP="00306E99">
      <w:pPr>
        <w:pStyle w:val="CSQbullet1"/>
      </w:pPr>
      <w:r>
        <w:t>To what extent are skills forecasts based on future industry growth a useful and reliable basis for providing course subsidies?</w:t>
      </w:r>
    </w:p>
    <w:p w:rsidR="00D830BD" w:rsidRDefault="00145FC9" w:rsidP="00306E99">
      <w:pPr>
        <w:pStyle w:val="CSQbullet1"/>
        <w:numPr>
          <w:ilvl w:val="0"/>
          <w:numId w:val="0"/>
        </w:numPr>
      </w:pPr>
      <w:r>
        <w:t>This submission considers issues around s</w:t>
      </w:r>
      <w:r w:rsidR="008E3E60">
        <w:t>kills shortages and</w:t>
      </w:r>
      <w:r>
        <w:t xml:space="preserve"> the role of industry. This section includes information on:</w:t>
      </w:r>
    </w:p>
    <w:p w:rsidR="00145FC9" w:rsidRDefault="00145FC9" w:rsidP="00145FC9">
      <w:pPr>
        <w:pStyle w:val="CSQbullet1"/>
      </w:pPr>
      <w:r>
        <w:t>A longer term view of movements between trades and non-trades in the VET sector</w:t>
      </w:r>
    </w:p>
    <w:p w:rsidR="00145FC9" w:rsidRDefault="00145FC9" w:rsidP="00145FC9">
      <w:pPr>
        <w:pStyle w:val="CSQbullet1"/>
      </w:pPr>
      <w:r>
        <w:t>Skills shortages and the associated role in setting direction</w:t>
      </w:r>
    </w:p>
    <w:p w:rsidR="00145FC9" w:rsidRDefault="00145FC9" w:rsidP="00145FC9">
      <w:pPr>
        <w:pStyle w:val="CSQbullet1"/>
      </w:pPr>
      <w:r>
        <w:t>Student choice, demand and supply</w:t>
      </w:r>
    </w:p>
    <w:p w:rsidR="00D830BD" w:rsidRDefault="00BE0489" w:rsidP="00D830BD">
      <w:pPr>
        <w:pStyle w:val="CSQbullet1"/>
        <w:numPr>
          <w:ilvl w:val="0"/>
          <w:numId w:val="0"/>
        </w:numPr>
        <w:ind w:left="284" w:hanging="284"/>
      </w:pPr>
      <w:r>
        <w:rPr>
          <w:noProof/>
          <w:lang w:eastAsia="en-AU"/>
        </w:rPr>
        <mc:AlternateContent>
          <mc:Choice Requires="wps">
            <w:drawing>
              <wp:anchor distT="0" distB="0" distL="114300" distR="114300" simplePos="0" relativeHeight="251703296" behindDoc="0" locked="0" layoutInCell="1" allowOverlap="1" wp14:anchorId="0BF0B4C7" wp14:editId="2ABA23F3">
                <wp:simplePos x="0" y="0"/>
                <wp:positionH relativeFrom="margin">
                  <wp:posOffset>-72390</wp:posOffset>
                </wp:positionH>
                <wp:positionV relativeFrom="paragraph">
                  <wp:posOffset>281305</wp:posOffset>
                </wp:positionV>
                <wp:extent cx="5720080" cy="2912110"/>
                <wp:effectExtent l="0" t="0" r="0" b="2540"/>
                <wp:wrapTopAndBottom/>
                <wp:docPr id="45" name="Text Box 45"/>
                <wp:cNvGraphicFramePr/>
                <a:graphic xmlns:a="http://schemas.openxmlformats.org/drawingml/2006/main">
                  <a:graphicData uri="http://schemas.microsoft.com/office/word/2010/wordprocessingShape">
                    <wps:wsp>
                      <wps:cNvSpPr txBox="1"/>
                      <wps:spPr>
                        <a:xfrm>
                          <a:off x="0" y="0"/>
                          <a:ext cx="5720080" cy="2912110"/>
                        </a:xfrm>
                        <a:prstGeom prst="rect">
                          <a:avLst/>
                        </a:prstGeom>
                        <a:solidFill>
                          <a:schemeClr val="bg1">
                            <a:lumMod val="85000"/>
                          </a:schemeClr>
                        </a:solidFill>
                        <a:ln w="6350">
                          <a:noFill/>
                        </a:ln>
                      </wps:spPr>
                      <wps:txbx>
                        <w:txbxContent>
                          <w:p w:rsidR="0081218A" w:rsidRDefault="0081218A" w:rsidP="00BE0489">
                            <w:pPr>
                              <w:pStyle w:val="Heading2"/>
                            </w:pPr>
                            <w:r>
                              <w:t xml:space="preserve">Key points | </w:t>
                            </w:r>
                            <w:r w:rsidR="00E30D26">
                              <w:t>an</w:t>
                            </w:r>
                            <w:r>
                              <w:t xml:space="preserve"> overview</w:t>
                            </w:r>
                          </w:p>
                          <w:p w:rsidR="0081218A" w:rsidRDefault="0081218A" w:rsidP="00BE0489">
                            <w:pPr>
                              <w:pStyle w:val="CSQbody"/>
                              <w:numPr>
                                <w:ilvl w:val="0"/>
                                <w:numId w:val="25"/>
                              </w:numPr>
                            </w:pPr>
                            <w:r>
                              <w:t xml:space="preserve">VET sector enrolments have grown significantly over the past three decades. </w:t>
                            </w:r>
                          </w:p>
                          <w:p w:rsidR="0081218A" w:rsidRDefault="0081218A" w:rsidP="00BE0489">
                            <w:pPr>
                              <w:pStyle w:val="CSQbody"/>
                              <w:numPr>
                                <w:ilvl w:val="0"/>
                                <w:numId w:val="25"/>
                              </w:numPr>
                            </w:pPr>
                            <w:r>
                              <w:t xml:space="preserve">The sector has a wide remit. Clearly defining the roles and expectations of the sector may help set suitable performance measures and provide a set of guiding principles. </w:t>
                            </w:r>
                          </w:p>
                          <w:p w:rsidR="0081218A" w:rsidRDefault="0081218A" w:rsidP="00BE0489">
                            <w:pPr>
                              <w:pStyle w:val="CSQbody"/>
                              <w:numPr>
                                <w:ilvl w:val="0"/>
                                <w:numId w:val="25"/>
                              </w:numPr>
                            </w:pPr>
                            <w:r>
                              <w:t xml:space="preserve">It is important that VET continues to provide a range options, however evidence indicates that employment-linked programs provide improved income and jobs prospects for participants. </w:t>
                            </w:r>
                          </w:p>
                          <w:p w:rsidR="0081218A" w:rsidRDefault="0081218A" w:rsidP="00BE0489">
                            <w:pPr>
                              <w:pStyle w:val="CSQbody"/>
                              <w:numPr>
                                <w:ilvl w:val="0"/>
                                <w:numId w:val="25"/>
                              </w:numPr>
                            </w:pPr>
                            <w:r>
                              <w:t xml:space="preserve">The focus of the sector should focus more strongly on the needs of industry and employers, along with coupling to industry policy (and investment). This would represent a resetting of the current focus on skills shortages. </w:t>
                            </w:r>
                          </w:p>
                          <w:p w:rsidR="0081218A" w:rsidRDefault="0081218A" w:rsidP="00BE0489">
                            <w:pPr>
                              <w:pStyle w:val="CSQbody"/>
                              <w:numPr>
                                <w:ilvl w:val="0"/>
                                <w:numId w:val="25"/>
                              </w:numPr>
                            </w:pPr>
                            <w:r>
                              <w:t xml:space="preserve">Linkages to industry, whether </w:t>
                            </w:r>
                            <w:r w:rsidR="008E3E60">
                              <w:t xml:space="preserve">it </w:t>
                            </w:r>
                            <w:r>
                              <w:t>be through course or training package development, or student communications</w:t>
                            </w:r>
                            <w:r w:rsidR="00D136FB">
                              <w:t>,</w:t>
                            </w:r>
                            <w:r>
                              <w:t xml:space="preserve"> need</w:t>
                            </w:r>
                            <w:r w:rsidR="00D136FB">
                              <w:t>s</w:t>
                            </w:r>
                            <w:r>
                              <w:t xml:space="preserve"> to actively involve RTOs, trainers / teachers and, where applicable</w:t>
                            </w:r>
                            <w:r w:rsidR="00D136FB">
                              <w:t>,</w:t>
                            </w:r>
                            <w:r>
                              <w:t xml:space="preserve"> licensing bodies.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BF0B4C7" id="Text Box 45" o:spid="_x0000_s1031" type="#_x0000_t202" style="position:absolute;left:0;text-align:left;margin-left:-5.7pt;margin-top:22.15pt;width:450.4pt;height:22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" fillcolor="#d8d8d8 [2732]" stroked="f" strokeweight=".5pt">
                <v:textbox>
                  <w:txbxContent>
                    <w:p w:rsidR="0081218A" w:rsidRDefault="0081218A" w:rsidP="00BE0489">
                      <w:pPr>
                        <w:pStyle w:val="Heading2"/>
                      </w:pPr>
                      <w:r>
                        <w:t xml:space="preserve">Key points | </w:t>
                      </w:r>
                      <w:r w:rsidR="00E30D26">
                        <w:t>an</w:t>
                      </w:r>
                      <w:r>
                        <w:t xml:space="preserve"> overview</w:t>
                      </w:r>
                    </w:p>
                    <w:p w:rsidR="0081218A" w:rsidRDefault="0081218A" w:rsidP="00BE0489">
                      <w:pPr>
                        <w:pStyle w:val="CSQbody"/>
                        <w:numPr>
                          <w:ilvl w:val="0"/>
                          <w:numId w:val="25"/>
                        </w:numPr>
                      </w:pPr>
                      <w:r>
                        <w:t xml:space="preserve">VET sector enrolments have grown significantly over the past three decades. </w:t>
                      </w:r>
                    </w:p>
                    <w:p w:rsidR="0081218A" w:rsidRDefault="0081218A" w:rsidP="00BE0489">
                      <w:pPr>
                        <w:pStyle w:val="CSQbody"/>
                        <w:numPr>
                          <w:ilvl w:val="0"/>
                          <w:numId w:val="25"/>
                        </w:numPr>
                      </w:pPr>
                      <w:r>
                        <w:t xml:space="preserve">The sector has a wide remit. Clearly defining the roles and expectations of the sector may help set suitable performance measures and provide a set of guiding principles. </w:t>
                      </w:r>
                    </w:p>
                    <w:p w:rsidR="0081218A" w:rsidRDefault="0081218A" w:rsidP="00BE0489">
                      <w:pPr>
                        <w:pStyle w:val="CSQbody"/>
                        <w:numPr>
                          <w:ilvl w:val="0"/>
                          <w:numId w:val="25"/>
                        </w:numPr>
                      </w:pPr>
                      <w:r>
                        <w:t xml:space="preserve">It is important that VET continues to provide a range options, however evidence indicates that employment-linked programs provide improved income and jobs prospects for participants. </w:t>
                      </w:r>
                    </w:p>
                    <w:p w:rsidR="0081218A" w:rsidRDefault="0081218A" w:rsidP="00BE0489">
                      <w:pPr>
                        <w:pStyle w:val="CSQbody"/>
                        <w:numPr>
                          <w:ilvl w:val="0"/>
                          <w:numId w:val="25"/>
                        </w:numPr>
                      </w:pPr>
                      <w:r>
                        <w:t xml:space="preserve">The focus of the sector should focus more strongly on the needs of industry and employers, along with coupling to industry policy (and investment). This would represent a resetting of the current focus on skills shortages. </w:t>
                      </w:r>
                    </w:p>
                    <w:p w:rsidR="0081218A" w:rsidRDefault="0081218A" w:rsidP="00BE0489">
                      <w:pPr>
                        <w:pStyle w:val="CSQbody"/>
                        <w:numPr>
                          <w:ilvl w:val="0"/>
                          <w:numId w:val="25"/>
                        </w:numPr>
                      </w:pPr>
                      <w:r>
                        <w:t xml:space="preserve">Linkages to industry, whether </w:t>
                      </w:r>
                      <w:r w:rsidR="008E3E60">
                        <w:t xml:space="preserve">it </w:t>
                      </w:r>
                      <w:r>
                        <w:t>be through course or training package development, or student communications</w:t>
                      </w:r>
                      <w:r w:rsidR="00D136FB">
                        <w:t>,</w:t>
                      </w:r>
                      <w:r>
                        <w:t xml:space="preserve"> need</w:t>
                      </w:r>
                      <w:r w:rsidR="00D136FB">
                        <w:t>s</w:t>
                      </w:r>
                      <w:r>
                        <w:t xml:space="preserve"> to actively involve RTOs, trainers / teachers and, where applicable</w:t>
                      </w:r>
                      <w:r w:rsidR="00D136FB">
                        <w:t>,</w:t>
                      </w:r>
                      <w:r>
                        <w:t xml:space="preserve"> licensing bodies. </w:t>
                      </w:r>
                    </w:p>
                  </w:txbxContent>
                </v:textbox>
                <w10:wrap type="topAndBottom" anchorx="margin"/>
              </v:shape>
            </w:pict>
          </mc:Fallback>
        </mc:AlternateContent>
      </w:r>
    </w:p>
    <w:p w:rsidR="00BE0489" w:rsidRDefault="00BE0489" w:rsidP="00D830BD">
      <w:pPr>
        <w:pStyle w:val="CSQbullet1"/>
        <w:numPr>
          <w:ilvl w:val="0"/>
          <w:numId w:val="0"/>
        </w:numPr>
        <w:ind w:left="284" w:hanging="284"/>
      </w:pPr>
    </w:p>
    <w:p w:rsidR="008E3E60" w:rsidRDefault="008E3E60" w:rsidP="00D830BD">
      <w:pPr>
        <w:pStyle w:val="CSQbullet1"/>
        <w:numPr>
          <w:ilvl w:val="0"/>
          <w:numId w:val="0"/>
        </w:numPr>
        <w:ind w:left="284" w:hanging="284"/>
      </w:pPr>
    </w:p>
    <w:p w:rsidR="00493AA8" w:rsidRDefault="00306E99" w:rsidP="00306E99">
      <w:pPr>
        <w:pStyle w:val="Numeredheadinglevel11"/>
      </w:pPr>
      <w:r>
        <w:t>Australia’s training boom</w:t>
      </w:r>
    </w:p>
    <w:p w:rsidR="00493AA8" w:rsidRDefault="008E3E60" w:rsidP="00493AA8">
      <w:pPr>
        <w:pStyle w:val="CSQbody"/>
      </w:pPr>
      <w:r>
        <w:t xml:space="preserve">Over recent decades </w:t>
      </w:r>
      <w:r w:rsidR="00493AA8">
        <w:t>VET</w:t>
      </w:r>
      <w:r w:rsidR="00C61481">
        <w:t xml:space="preserve"> activity</w:t>
      </w:r>
      <w:r w:rsidR="00493AA8">
        <w:t xml:space="preserve"> has grown</w:t>
      </w:r>
      <w:r>
        <w:t xml:space="preserve"> significantly</w:t>
      </w:r>
      <w:r w:rsidR="00C61481">
        <w:t xml:space="preserve"> (figure 1)</w:t>
      </w:r>
      <w:r>
        <w:t xml:space="preserve">. The growth has been accompanied </w:t>
      </w:r>
      <w:r w:rsidR="000312BC">
        <w:t>a proportionate shift</w:t>
      </w:r>
      <w:r>
        <w:t xml:space="preserve"> </w:t>
      </w:r>
      <w:r w:rsidR="00493AA8">
        <w:t>away from employment-based training</w:t>
      </w:r>
      <w:r w:rsidR="000312BC">
        <w:t xml:space="preserve"> and</w:t>
      </w:r>
      <w:r w:rsidR="00493AA8">
        <w:t xml:space="preserve"> toward</w:t>
      </w:r>
      <w:r w:rsidR="000312BC">
        <w:t>s</w:t>
      </w:r>
      <w:r w:rsidR="00493AA8">
        <w:t xml:space="preserve"> boosting numbers in an</w:t>
      </w:r>
      <w:r>
        <w:t>d achievement of:</w:t>
      </w:r>
      <w:r w:rsidR="00493AA8">
        <w:t xml:space="preserve"> year 12 or equivalent (Certificate</w:t>
      </w:r>
      <w:r>
        <w:t xml:space="preserve"> II), general Certificate III</w:t>
      </w:r>
      <w:r w:rsidR="000312BC">
        <w:t>/IV</w:t>
      </w:r>
      <w:r>
        <w:t xml:space="preserve"> attainment or higher qualifications. </w:t>
      </w:r>
      <w:r w:rsidR="000312BC">
        <w:t>A side effect of this shift is dilution of the role of industry. A</w:t>
      </w:r>
      <w:r w:rsidR="00493AA8" w:rsidRPr="00C46712">
        <w:t>pprenticeships</w:t>
      </w:r>
      <w:r w:rsidR="000312BC">
        <w:t xml:space="preserve"> are</w:t>
      </w:r>
      <w:r w:rsidR="005E7062">
        <w:t xml:space="preserve"> the cornerstone of delivery-level</w:t>
      </w:r>
      <w:r w:rsidR="000312BC">
        <w:t xml:space="preserve"> industry involvement. Apprenticeships </w:t>
      </w:r>
      <w:r w:rsidR="00493AA8" w:rsidRPr="00C46712">
        <w:t>continue to form an impo</w:t>
      </w:r>
      <w:r w:rsidR="000312BC">
        <w:t>rtant part of the VET landscape but</w:t>
      </w:r>
      <w:r w:rsidR="00493AA8" w:rsidRPr="00C46712">
        <w:t xml:space="preserve"> enrolments without an employment contract have come to dominate the VET landscape</w:t>
      </w:r>
      <w:r w:rsidR="00EF59A0">
        <w:t xml:space="preserve"> (f</w:t>
      </w:r>
      <w:r w:rsidR="00493AA8">
        <w:t>igure 1)</w:t>
      </w:r>
      <w:r w:rsidR="00493AA8" w:rsidRPr="00C46712">
        <w:t>.</w:t>
      </w:r>
      <w:r w:rsidR="000312BC">
        <w:t xml:space="preserve"> </w:t>
      </w:r>
    </w:p>
    <w:p w:rsidR="008E3E60" w:rsidRDefault="008E3E60" w:rsidP="008E3E60">
      <w:pPr>
        <w:pStyle w:val="CSQbody"/>
        <w:tabs>
          <w:tab w:val="left" w:pos="5507"/>
        </w:tabs>
      </w:pPr>
    </w:p>
    <w:p w:rsidR="00493AA8" w:rsidRDefault="00493AA8" w:rsidP="00493AA8">
      <w:pPr>
        <w:pStyle w:val="CSQbody"/>
      </w:pPr>
    </w:p>
    <w:p w:rsidR="00493AA8" w:rsidRDefault="00B84823" w:rsidP="00666C85">
      <w:pPr>
        <w:pStyle w:val="Caption"/>
      </w:pPr>
      <w:r>
        <w:rPr>
          <w:noProof/>
          <w:lang w:eastAsia="en-AU"/>
        </w:rPr>
        <mc:AlternateContent>
          <mc:Choice Requires="wps">
            <w:drawing>
              <wp:anchor distT="228600" distB="228600" distL="228600" distR="228600" simplePos="0" relativeHeight="251681792" behindDoc="1" locked="0" layoutInCell="1" allowOverlap="1" wp14:anchorId="7AEE4262" wp14:editId="79F42F77">
                <wp:simplePos x="0" y="0"/>
                <wp:positionH relativeFrom="margin">
                  <wp:posOffset>4194175</wp:posOffset>
                </wp:positionH>
                <wp:positionV relativeFrom="margin">
                  <wp:posOffset>247650</wp:posOffset>
                </wp:positionV>
                <wp:extent cx="1678940" cy="3001010"/>
                <wp:effectExtent l="0" t="0" r="16510" b="27940"/>
                <wp:wrapSquare wrapText="bothSides"/>
                <wp:docPr id="134" name="Text Box 134"/>
                <wp:cNvGraphicFramePr/>
                <a:graphic xmlns:a="http://schemas.openxmlformats.org/drawingml/2006/main">
                  <a:graphicData uri="http://schemas.microsoft.com/office/word/2010/wordprocessingShape">
                    <wps:wsp>
                      <wps:cNvSpPr txBox="1"/>
                      <wps:spPr>
                        <a:xfrm>
                          <a:off x="0" y="0"/>
                          <a:ext cx="1678940" cy="3001010"/>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81218A" w:rsidRPr="008B105E" w:rsidRDefault="0081218A" w:rsidP="008B105E">
                            <w:pPr>
                              <w:jc w:val="center"/>
                              <w:rPr>
                                <w:rFonts w:ascii="Arial" w:hAnsi="Arial" w:cs="Arial"/>
                                <w:b/>
                              </w:rPr>
                            </w:pPr>
                            <w:r w:rsidRPr="008B105E">
                              <w:rPr>
                                <w:rFonts w:ascii="Arial" w:hAnsi="Arial" w:cs="Arial"/>
                                <w:b/>
                              </w:rPr>
                              <w:t>VET: a long term perspective</w:t>
                            </w:r>
                          </w:p>
                          <w:p w:rsidR="0081218A" w:rsidRDefault="0081218A" w:rsidP="008B105E">
                            <w:pPr>
                              <w:jc w:val="center"/>
                              <w:rPr>
                                <w:rFonts w:ascii="Arial" w:hAnsi="Arial" w:cs="Arial"/>
                              </w:rPr>
                            </w:pPr>
                            <w:r>
                              <w:rPr>
                                <w:rFonts w:ascii="Arial" w:hAnsi="Arial" w:cs="Arial"/>
                              </w:rPr>
                              <w:t xml:space="preserve">The long term enrolment profile </w:t>
                            </w:r>
                            <w:r w:rsidRPr="00EC27F7">
                              <w:rPr>
                                <w:rFonts w:ascii="Arial" w:hAnsi="Arial" w:cs="Arial"/>
                              </w:rPr>
                              <w:t xml:space="preserve">supports views of VET sector that the system, while infinitely more accessible than in the past, is driven by a supply chain of public and private players </w:t>
                            </w:r>
                            <w:r>
                              <w:rPr>
                                <w:rFonts w:ascii="Arial" w:hAnsi="Arial" w:cs="Arial"/>
                              </w:rPr>
                              <w:t>with</w:t>
                            </w:r>
                            <w:r w:rsidRPr="00EC27F7">
                              <w:rPr>
                                <w:rFonts w:ascii="Arial" w:hAnsi="Arial" w:cs="Arial"/>
                              </w:rPr>
                              <w:t xml:space="preserve"> incentive</w:t>
                            </w:r>
                            <w:r>
                              <w:rPr>
                                <w:rFonts w:ascii="Arial" w:hAnsi="Arial" w:cs="Arial"/>
                              </w:rPr>
                              <w:t>s</w:t>
                            </w:r>
                            <w:r w:rsidRPr="00EC27F7">
                              <w:rPr>
                                <w:rFonts w:ascii="Arial" w:hAnsi="Arial" w:cs="Arial"/>
                              </w:rPr>
                              <w:t xml:space="preserve"> to push enrolments ever higher, rather than promote employment.</w:t>
                            </w:r>
                          </w:p>
                          <w:p w:rsidR="0081218A" w:rsidRDefault="0081218A" w:rsidP="008B105E">
                            <w:pPr>
                              <w:pStyle w:val="CSQbody"/>
                              <w:jc w:val="center"/>
                              <w:rPr>
                                <w:noProof/>
                                <w:sz w:val="16"/>
                                <w:szCs w:val="16"/>
                                <w:lang w:eastAsia="en-AU"/>
                              </w:rPr>
                            </w:pPr>
                            <w:r w:rsidRPr="008B105E">
                              <w:rPr>
                                <w:sz w:val="16"/>
                                <w:szCs w:val="16"/>
                              </w:rPr>
                              <w:t>(</w:t>
                            </w:r>
                            <w:r w:rsidRPr="008B105E">
                              <w:rPr>
                                <w:i/>
                                <w:sz w:val="16"/>
                                <w:szCs w:val="16"/>
                              </w:rPr>
                              <w:t>ACIL Allen, 2015, Review of the National Partnership Agreement on Skills Reform).</w:t>
                            </w:r>
                            <w:r w:rsidRPr="008B105E">
                              <w:rPr>
                                <w:noProof/>
                                <w:sz w:val="16"/>
                                <w:szCs w:val="16"/>
                                <w:lang w:eastAsia="en-AU"/>
                              </w:rPr>
                              <w:t xml:space="preserve"> </w:t>
                            </w:r>
                          </w:p>
                          <w:p w:rsidR="0081218A" w:rsidRPr="008B105E" w:rsidRDefault="0081218A" w:rsidP="008B105E">
                            <w:pPr>
                              <w:pStyle w:val="CSQbody"/>
                              <w:jc w:val="center"/>
                              <w:rPr>
                                <w:sz w:val="16"/>
                                <w:szCs w:val="16"/>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EE4262" id="Text Box 134" o:spid="_x0000_s1032" type="#_x0000_t202" style="position:absolute;margin-left:330.25pt;margin-top:19.5pt;width:132.2pt;height:236.3pt;z-index:-25163468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" fillcolor="#ffcd1a [3204]" strokecolor="white [3201]" strokeweight="1.5pt">
                <v:textbox inset="14.4pt,7.2pt,14.4pt,7.2pt">
                  <w:txbxContent>
                    <w:p w:rsidR="0081218A" w:rsidRPr="008B105E" w:rsidRDefault="0081218A" w:rsidP="008B105E">
                      <w:pPr>
                        <w:jc w:val="center"/>
                        <w:rPr>
                          <w:rFonts w:ascii="Arial" w:hAnsi="Arial" w:cs="Arial"/>
                          <w:b/>
                        </w:rPr>
                      </w:pPr>
                      <w:r w:rsidRPr="008B105E">
                        <w:rPr>
                          <w:rFonts w:ascii="Arial" w:hAnsi="Arial" w:cs="Arial"/>
                          <w:b/>
                        </w:rPr>
                        <w:t>VET: a long term perspective</w:t>
                      </w:r>
                    </w:p>
                    <w:p w:rsidR="0081218A" w:rsidRDefault="0081218A" w:rsidP="008B105E">
                      <w:pPr>
                        <w:jc w:val="center"/>
                        <w:rPr>
                          <w:rFonts w:ascii="Arial" w:hAnsi="Arial" w:cs="Arial"/>
                        </w:rPr>
                      </w:pPr>
                      <w:r>
                        <w:rPr>
                          <w:rFonts w:ascii="Arial" w:hAnsi="Arial" w:cs="Arial"/>
                        </w:rPr>
                        <w:t xml:space="preserve">The long term enrolment profile </w:t>
                      </w:r>
                      <w:r w:rsidRPr="00EC27F7">
                        <w:rPr>
                          <w:rFonts w:ascii="Arial" w:hAnsi="Arial" w:cs="Arial"/>
                        </w:rPr>
                        <w:t xml:space="preserve">supports views of VET sector that the system, while infinitely more accessible than in the past, is driven by a supply chain of public and private players </w:t>
                      </w:r>
                      <w:r>
                        <w:rPr>
                          <w:rFonts w:ascii="Arial" w:hAnsi="Arial" w:cs="Arial"/>
                        </w:rPr>
                        <w:t>with</w:t>
                      </w:r>
                      <w:r w:rsidRPr="00EC27F7">
                        <w:rPr>
                          <w:rFonts w:ascii="Arial" w:hAnsi="Arial" w:cs="Arial"/>
                        </w:rPr>
                        <w:t xml:space="preserve"> incentive</w:t>
                      </w:r>
                      <w:r>
                        <w:rPr>
                          <w:rFonts w:ascii="Arial" w:hAnsi="Arial" w:cs="Arial"/>
                        </w:rPr>
                        <w:t>s</w:t>
                      </w:r>
                      <w:r w:rsidRPr="00EC27F7">
                        <w:rPr>
                          <w:rFonts w:ascii="Arial" w:hAnsi="Arial" w:cs="Arial"/>
                        </w:rPr>
                        <w:t xml:space="preserve"> to push enrolments ever higher, rather than promote employment.</w:t>
                      </w:r>
                    </w:p>
                    <w:p w:rsidR="0081218A" w:rsidRDefault="0081218A" w:rsidP="008B105E">
                      <w:pPr>
                        <w:pStyle w:val="CSQbody"/>
                        <w:jc w:val="center"/>
                        <w:rPr>
                          <w:noProof/>
                          <w:sz w:val="16"/>
                          <w:szCs w:val="16"/>
                          <w:lang w:eastAsia="en-AU"/>
                        </w:rPr>
                      </w:pPr>
                      <w:r w:rsidRPr="008B105E">
                        <w:rPr>
                          <w:sz w:val="16"/>
                          <w:szCs w:val="16"/>
                        </w:rPr>
                        <w:t>(</w:t>
                      </w:r>
                      <w:r w:rsidRPr="008B105E">
                        <w:rPr>
                          <w:i/>
                          <w:sz w:val="16"/>
                          <w:szCs w:val="16"/>
                        </w:rPr>
                        <w:t>ACIL Allen, 2015, Review of the National Partnership Agreement on Skills Reform).</w:t>
                      </w:r>
                      <w:r w:rsidRPr="008B105E">
                        <w:rPr>
                          <w:noProof/>
                          <w:sz w:val="16"/>
                          <w:szCs w:val="16"/>
                          <w:lang w:eastAsia="en-AU"/>
                        </w:rPr>
                        <w:t xml:space="preserve"> </w:t>
                      </w:r>
                    </w:p>
                    <w:p w:rsidR="0081218A" w:rsidRPr="008B105E" w:rsidRDefault="0081218A" w:rsidP="008B105E">
                      <w:pPr>
                        <w:pStyle w:val="CSQbody"/>
                        <w:jc w:val="center"/>
                        <w:rPr>
                          <w:sz w:val="16"/>
                          <w:szCs w:val="16"/>
                        </w:rPr>
                      </w:pPr>
                    </w:p>
                  </w:txbxContent>
                </v:textbox>
                <w10:wrap type="square" anchorx="margin" anchory="margin"/>
              </v:shape>
            </w:pict>
          </mc:Fallback>
        </mc:AlternateContent>
      </w:r>
      <w:r w:rsidR="00493AA8">
        <w:t xml:space="preserve">Figure </w:t>
      </w:r>
      <w:r w:rsidR="009269F5">
        <w:fldChar w:fldCharType="begin"/>
      </w:r>
      <w:r w:rsidR="009269F5">
        <w:instrText xml:space="preserve"> SEQ Figure \* ARABIC </w:instrText>
      </w:r>
      <w:r w:rsidR="009269F5">
        <w:fldChar w:fldCharType="separate"/>
      </w:r>
      <w:r w:rsidR="002F3308">
        <w:rPr>
          <w:noProof/>
        </w:rPr>
        <w:t>1</w:t>
      </w:r>
      <w:r w:rsidR="009269F5">
        <w:fldChar w:fldCharType="end"/>
      </w:r>
      <w:r w:rsidR="00493AA8">
        <w:t xml:space="preserve"> | Australia’s training boom | number of VET enrolments, Australia</w:t>
      </w:r>
    </w:p>
    <w:p w:rsidR="00493AA8" w:rsidRDefault="00493AA8" w:rsidP="00493AA8">
      <w:pPr>
        <w:pStyle w:val="CSQbody"/>
      </w:pPr>
      <w:r w:rsidRPr="00ED2291">
        <w:rPr>
          <w:noProof/>
          <w:lang w:eastAsia="en-AU"/>
        </w:rPr>
        <w:drawing>
          <wp:inline distT="0" distB="0" distL="0" distR="0" wp14:anchorId="7F51D80C" wp14:editId="58A0818A">
            <wp:extent cx="3955855" cy="1975495"/>
            <wp:effectExtent l="0" t="0" r="698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3081" cy="1979103"/>
                    </a:xfrm>
                    <a:prstGeom prst="rect">
                      <a:avLst/>
                    </a:prstGeom>
                    <a:noFill/>
                  </pic:spPr>
                </pic:pic>
              </a:graphicData>
            </a:graphic>
          </wp:inline>
        </w:drawing>
      </w:r>
      <w:r w:rsidR="002131F9" w:rsidRPr="002131F9">
        <w:rPr>
          <w:noProof/>
          <w:lang w:eastAsia="en-AU"/>
        </w:rPr>
        <w:t xml:space="preserve"> </w:t>
      </w:r>
    </w:p>
    <w:p w:rsidR="00493AA8" w:rsidRDefault="00493AA8" w:rsidP="00025F6C">
      <w:pPr>
        <w:pStyle w:val="CSQbullet1"/>
        <w:numPr>
          <w:ilvl w:val="0"/>
          <w:numId w:val="0"/>
        </w:numPr>
      </w:pPr>
      <w:r w:rsidRPr="00246457">
        <w:rPr>
          <w:rFonts w:cs="Arial"/>
          <w:noProof/>
          <w:color w:val="979A9C" w:themeColor="text1" w:themeTint="99"/>
          <w:sz w:val="18"/>
          <w:lang w:eastAsia="en-AU"/>
        </w:rPr>
        <w:t xml:space="preserve">Source: </w:t>
      </w:r>
      <w:r>
        <w:rPr>
          <w:rFonts w:cs="Arial"/>
          <w:noProof/>
          <w:color w:val="979A9C" w:themeColor="text1" w:themeTint="99"/>
          <w:sz w:val="18"/>
          <w:lang w:eastAsia="en-AU"/>
        </w:rPr>
        <w:t xml:space="preserve">CSQ, using </w:t>
      </w:r>
      <w:r w:rsidRPr="00246457">
        <w:rPr>
          <w:rFonts w:cs="Arial"/>
          <w:noProof/>
          <w:color w:val="979A9C" w:themeColor="text1" w:themeTint="99"/>
          <w:sz w:val="18"/>
          <w:lang w:eastAsia="en-AU"/>
        </w:rPr>
        <w:t>NCVER</w:t>
      </w:r>
      <w:r>
        <w:rPr>
          <w:rFonts w:cs="Arial"/>
          <w:noProof/>
          <w:color w:val="979A9C" w:themeColor="text1" w:themeTint="99"/>
          <w:sz w:val="18"/>
          <w:lang w:eastAsia="en-AU"/>
        </w:rPr>
        <w:t xml:space="preserve"> data. </w:t>
      </w:r>
      <w:r w:rsidRPr="00246457">
        <w:rPr>
          <w:rFonts w:cs="Arial"/>
          <w:noProof/>
          <w:color w:val="979A9C" w:themeColor="text1" w:themeTint="99"/>
          <w:sz w:val="18"/>
          <w:lang w:eastAsia="en-AU"/>
        </w:rPr>
        <w:t>Note: there is a data gap between 2003 and 2015 due to privately-funded VET enrolments being excluded from national training statisitics. Accurate estimates of total VET acitvity are unavailable for this period.</w:t>
      </w:r>
    </w:p>
    <w:p w:rsidR="005E7062" w:rsidRDefault="005E7062" w:rsidP="008B2CF2">
      <w:pPr>
        <w:pStyle w:val="CSQbody"/>
      </w:pPr>
      <w:r>
        <w:rPr>
          <w:noProof/>
          <w:lang w:eastAsia="en-AU"/>
        </w:rPr>
        <mc:AlternateContent>
          <mc:Choice Requires="wps">
            <w:drawing>
              <wp:anchor distT="0" distB="0" distL="114300" distR="114300" simplePos="0" relativeHeight="251709440" behindDoc="1" locked="0" layoutInCell="1" allowOverlap="1" wp14:anchorId="23DF4D96" wp14:editId="187B44DC">
                <wp:simplePos x="0" y="0"/>
                <wp:positionH relativeFrom="column">
                  <wp:posOffset>8559</wp:posOffset>
                </wp:positionH>
                <wp:positionV relativeFrom="paragraph">
                  <wp:posOffset>962025</wp:posOffset>
                </wp:positionV>
                <wp:extent cx="3305810" cy="1625600"/>
                <wp:effectExtent l="0" t="0" r="27940" b="12700"/>
                <wp:wrapTight wrapText="bothSides">
                  <wp:wrapPolygon edited="0">
                    <wp:start x="0" y="0"/>
                    <wp:lineTo x="0" y="21516"/>
                    <wp:lineTo x="21658" y="21516"/>
                    <wp:lineTo x="21658"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305810" cy="1625600"/>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5E7062" w:rsidRDefault="005E7062" w:rsidP="005E7062">
                            <w:pPr>
                              <w:pStyle w:val="CSQbody"/>
                            </w:pPr>
                            <w:r>
                              <w:t>VET fulfils a range of roles and delivers a relatively wide spectrum of AQF qualifications – covering school to higher education. The sector also delivers workforce skills, strives for employment outcomes, maintains industry relationships and provides pathways to higher education. A set of guiding principles or tenets for the VET sector that align</w:t>
                            </w:r>
                            <w:r w:rsidR="000312BC">
                              <w:t>s</w:t>
                            </w:r>
                            <w:r>
                              <w:t xml:space="preserve"> to</w:t>
                            </w:r>
                            <w:r w:rsidR="000312BC">
                              <w:t xml:space="preserve"> and</w:t>
                            </w:r>
                            <w:r>
                              <w:t xml:space="preserve"> recognise</w:t>
                            </w:r>
                            <w:r w:rsidR="000312BC">
                              <w:t>s</w:t>
                            </w:r>
                            <w:r>
                              <w:t xml:space="preserve"> the variety of roles are needed. The guiding thread should be a link to employment and deep industry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3DF4D96" id="Text Box 31" o:spid="_x0000_s1033" type="#_x0000_t202" style="position:absolute;margin-left:.65pt;margin-top:75.75pt;width:260.3pt;height:12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" fillcolor="#ffcd1a [3204]" strokecolor="white [3201]" strokeweight="1.5pt">
                <v:textbox>
                  <w:txbxContent>
                    <w:p w:rsidR="005E7062" w:rsidRDefault="005E7062" w:rsidP="005E7062">
                      <w:pPr>
                        <w:pStyle w:val="CSQbody"/>
                      </w:pPr>
                      <w:r>
                        <w:t>VET fulfils a range of roles and delivers a relatively wide spectrum of AQF qualifications – covering school to higher education. The sector also delivers workforce skills, strives for employment outcomes, maintains industry relationships and provides pathways to higher education. A set of guiding principles or tenets for the VET sector that align</w:t>
                      </w:r>
                      <w:r w:rsidR="000312BC">
                        <w:t>s</w:t>
                      </w:r>
                      <w:r>
                        <w:t xml:space="preserve"> to</w:t>
                      </w:r>
                      <w:r w:rsidR="000312BC">
                        <w:t xml:space="preserve"> and</w:t>
                      </w:r>
                      <w:r>
                        <w:t xml:space="preserve"> recognise</w:t>
                      </w:r>
                      <w:r w:rsidR="000312BC">
                        <w:t>s</w:t>
                      </w:r>
                      <w:r>
                        <w:t xml:space="preserve"> the variety of roles are needed. The guiding thread should be a link to employment and deep industry engagement.</w:t>
                      </w:r>
                    </w:p>
                  </w:txbxContent>
                </v:textbox>
                <w10:wrap type="tight"/>
              </v:shape>
            </w:pict>
          </mc:Fallback>
        </mc:AlternateContent>
      </w:r>
      <w:r w:rsidR="006F5CEB">
        <w:t>T</w:t>
      </w:r>
      <w:r w:rsidR="00493AA8">
        <w:t>he rece</w:t>
      </w:r>
      <w:r w:rsidR="000312BC">
        <w:t>nt boom</w:t>
      </w:r>
      <w:r w:rsidR="006F5CEB">
        <w:t xml:space="preserve"> (figure 1)</w:t>
      </w:r>
      <w:r w:rsidR="0046023C">
        <w:t xml:space="preserve"> in institution-based activity</w:t>
      </w:r>
      <w:r w:rsidR="00493AA8">
        <w:t xml:space="preserve"> has not improved part</w:t>
      </w:r>
      <w:r w:rsidR="006F5CEB">
        <w:t>icipants’ job prospects, no</w:t>
      </w:r>
      <w:r>
        <w:t>r</w:t>
      </w:r>
      <w:r w:rsidR="006F5CEB">
        <w:t xml:space="preserve"> </w:t>
      </w:r>
      <w:r w:rsidR="0046023C">
        <w:t xml:space="preserve">arguably, </w:t>
      </w:r>
      <w:r w:rsidR="000312BC">
        <w:t>has</w:t>
      </w:r>
      <w:r w:rsidR="00493AA8">
        <w:t xml:space="preserve"> it served to deepen the human capital of the workforce</w:t>
      </w:r>
      <w:r w:rsidR="004B09E4">
        <w:rPr>
          <w:rStyle w:val="FootnoteReference"/>
        </w:rPr>
        <w:footnoteReference w:id="1"/>
      </w:r>
      <w:r w:rsidR="00493AA8">
        <w:t xml:space="preserve">. </w:t>
      </w:r>
      <w:r w:rsidR="006F5CEB">
        <w:t>The</w:t>
      </w:r>
      <w:r w:rsidR="008B2CF2">
        <w:t xml:space="preserve"> Interim R</w:t>
      </w:r>
      <w:r w:rsidR="0046023C">
        <w:t>eport outlines minimal financial or income returns for VET level study</w:t>
      </w:r>
      <w:r w:rsidR="00D33B79">
        <w:rPr>
          <w:rStyle w:val="FootnoteReference"/>
        </w:rPr>
        <w:footnoteReference w:id="2"/>
      </w:r>
      <w:r w:rsidR="004B152D">
        <w:t xml:space="preserve">. </w:t>
      </w:r>
      <w:r w:rsidR="00493AA8">
        <w:t>Unlike higher education qualifications, VET courses generally do little to improve young people’s labour market prospects.</w:t>
      </w:r>
      <w:r w:rsidR="00493AA8" w:rsidRPr="00540446">
        <w:t xml:space="preserve"> </w:t>
      </w:r>
      <w:r w:rsidR="009F1A7F">
        <w:t>M</w:t>
      </w:r>
      <w:r w:rsidR="00493AA8">
        <w:t>ore than a quarter of Certificate I and II completers believed they gained no benefit from their qualification.</w:t>
      </w:r>
      <w:r w:rsidR="00493AA8">
        <w:rPr>
          <w:rStyle w:val="FootnoteReference"/>
        </w:rPr>
        <w:footnoteReference w:id="3"/>
      </w:r>
      <w:r w:rsidR="00493AA8">
        <w:t xml:space="preserve"> Other studies have shown VET participation yields few advantages over emplo</w:t>
      </w:r>
      <w:r w:rsidR="008832A4">
        <w:t>yment without post-school study,</w:t>
      </w:r>
      <w:r w:rsidR="00493AA8">
        <w:rPr>
          <w:rStyle w:val="FootnoteReference"/>
        </w:rPr>
        <w:footnoteReference w:id="4"/>
      </w:r>
      <w:r w:rsidR="00493AA8">
        <w:t xml:space="preserve"> </w:t>
      </w:r>
      <w:r w:rsidR="008832A4">
        <w:t>and o</w:t>
      </w:r>
      <w:r w:rsidR="00493AA8" w:rsidRPr="00540446">
        <w:t xml:space="preserve">ur </w:t>
      </w:r>
      <w:r w:rsidR="00493AA8">
        <w:t xml:space="preserve">own analysis of LSAY data </w:t>
      </w:r>
      <w:r w:rsidR="00493AA8" w:rsidRPr="00540446">
        <w:t>confirm the</w:t>
      </w:r>
      <w:r w:rsidR="00493AA8">
        <w:t>se findings.</w:t>
      </w:r>
      <w:r w:rsidR="00493AA8">
        <w:rPr>
          <w:rStyle w:val="FootnoteReference"/>
        </w:rPr>
        <w:footnoteReference w:id="5"/>
      </w:r>
      <w:r w:rsidR="0046023C">
        <w:t xml:space="preserve"> Additionally n</w:t>
      </w:r>
      <w:r w:rsidR="00493AA8" w:rsidRPr="005B2702">
        <w:t>early half of all employed Australians hold a non-school qualification that is not relevant to their job, while 40% believe their skills exceed the requirements of their jobs.</w:t>
      </w:r>
      <w:r w:rsidR="00493AA8" w:rsidRPr="005B2702">
        <w:rPr>
          <w:vertAlign w:val="superscript"/>
        </w:rPr>
        <w:footnoteReference w:id="6"/>
      </w:r>
      <w:r w:rsidR="00493AA8" w:rsidRPr="005B2702">
        <w:rPr>
          <w:vertAlign w:val="superscript"/>
        </w:rPr>
        <w:t>,</w:t>
      </w:r>
      <w:r w:rsidR="00493AA8" w:rsidRPr="005B2702">
        <w:rPr>
          <w:vertAlign w:val="superscript"/>
        </w:rPr>
        <w:footnoteReference w:id="7"/>
      </w:r>
      <w:r w:rsidR="00493AA8" w:rsidRPr="005B2702">
        <w:t xml:space="preserve"> </w:t>
      </w:r>
    </w:p>
    <w:p w:rsidR="005E7062" w:rsidRDefault="00D136FB" w:rsidP="008B2CF2">
      <w:pPr>
        <w:pStyle w:val="CSQbody"/>
      </w:pPr>
      <w:r>
        <w:lastRenderedPageBreak/>
        <w:t>It is importance</w:t>
      </w:r>
      <w:r w:rsidR="0046023C">
        <w:t xml:space="preserve"> that moving forward VET students, providers and industry can improve on these perceptions and outcomes</w:t>
      </w:r>
      <w:r w:rsidR="008B2CF2">
        <w:t>.</w:t>
      </w:r>
      <w:r w:rsidR="006F5CEB">
        <w:t xml:space="preserve"> </w:t>
      </w:r>
    </w:p>
    <w:p w:rsidR="004B152D" w:rsidRDefault="006F5CEB" w:rsidP="000312BC">
      <w:pPr>
        <w:pStyle w:val="CSQbody"/>
      </w:pPr>
      <w:r>
        <w:t>Clarity on p</w:t>
      </w:r>
      <w:r w:rsidR="005E7062">
        <w:t>urpose and function may assist along with renewed focus on increasing the role of industry and industry requirements, particularly in</w:t>
      </w:r>
      <w:r w:rsidR="000312BC">
        <w:t xml:space="preserve"> priority and</w:t>
      </w:r>
      <w:r w:rsidR="005E7062">
        <w:t xml:space="preserve"> course development</w:t>
      </w:r>
      <w:r w:rsidR="000312BC">
        <w:t xml:space="preserve"> (discussed below)</w:t>
      </w:r>
      <w:r w:rsidR="005E7062">
        <w:t xml:space="preserve">. </w:t>
      </w:r>
    </w:p>
    <w:p w:rsidR="004B152D" w:rsidRDefault="004B152D" w:rsidP="007630D2">
      <w:pPr>
        <w:pStyle w:val="CSQbody"/>
      </w:pPr>
    </w:p>
    <w:p w:rsidR="00C20798" w:rsidRDefault="003909B8" w:rsidP="004B152D">
      <w:pPr>
        <w:pStyle w:val="Heading3"/>
      </w:pPr>
      <w:r>
        <w:t>Skills shortages</w:t>
      </w:r>
    </w:p>
    <w:p w:rsidR="00CD59F1" w:rsidRDefault="003A022D" w:rsidP="00CD59F1">
      <w:pPr>
        <w:pStyle w:val="CSQbody"/>
      </w:pPr>
      <w:r>
        <w:t>T</w:t>
      </w:r>
      <w:r w:rsidR="00C20798">
        <w:t xml:space="preserve">he most important priority for the VET system is to re-anchor itself to industry. </w:t>
      </w:r>
      <w:r w:rsidR="00D57F9E">
        <w:t xml:space="preserve">A </w:t>
      </w:r>
      <w:r w:rsidR="00D57F9E" w:rsidRPr="00D57F9E">
        <w:t xml:space="preserve">strong focus and priority is currently attached to skills shortages. </w:t>
      </w:r>
      <w:r w:rsidR="00CD59F1">
        <w:t>While important</w:t>
      </w:r>
      <w:r>
        <w:t>,</w:t>
      </w:r>
      <w:r w:rsidR="00CD59F1">
        <w:t xml:space="preserve"> t</w:t>
      </w:r>
      <w:r w:rsidR="00C61481">
        <w:t>his can be</w:t>
      </w:r>
      <w:r w:rsidR="00D57F9E" w:rsidRPr="00D57F9E">
        <w:t xml:space="preserve"> a narrow and reactive lens. </w:t>
      </w:r>
      <w:r w:rsidR="00CD59F1">
        <w:t xml:space="preserve">The Interim Report makes frequent reference to the Department of Education, Skills and Employment’s skill shortage survey (SERA). Perhaps illustrative of the fraught nature of skills shortages, this survey is according to the Department, ‘not based on a statistically valid sample and does not enable the compilation of quantitative estimates of skill shortages.’  </w:t>
      </w:r>
    </w:p>
    <w:p w:rsidR="00C20798" w:rsidRDefault="00D57F9E" w:rsidP="00C20798">
      <w:pPr>
        <w:pStyle w:val="CSQbody"/>
      </w:pPr>
      <w:r w:rsidRPr="00D57F9E">
        <w:t>Rat</w:t>
      </w:r>
      <w:r w:rsidR="003A022D">
        <w:t>her than chasing indeterminate skill shortages,</w:t>
      </w:r>
      <w:r w:rsidRPr="00D57F9E">
        <w:t xml:space="preserve"> the VET system </w:t>
      </w:r>
      <w:r w:rsidR="003A022D">
        <w:t xml:space="preserve">needs to </w:t>
      </w:r>
      <w:r w:rsidRPr="00D57F9E">
        <w:t xml:space="preserve">be tightly coupled to industry policy. </w:t>
      </w:r>
      <w:r w:rsidR="00CD59F1">
        <w:t>Calibrating the VET sector</w:t>
      </w:r>
      <w:r w:rsidRPr="00D57F9E">
        <w:t xml:space="preserve"> to support expected or desired economic restructuring</w:t>
      </w:r>
      <w:r w:rsidR="00CD59F1">
        <w:t xml:space="preserve"> is needed. This involves identifying</w:t>
      </w:r>
      <w:r w:rsidRPr="00D57F9E">
        <w:t xml:space="preserve"> the sectors that the nation intends to grow and use the VET system as a mechanism for producing the human capital to support this restructuring. This should occur at the level of national strategic pr</w:t>
      </w:r>
      <w:r>
        <w:t>iorities as well as at the regional</w:t>
      </w:r>
      <w:r w:rsidRPr="00D57F9E">
        <w:t xml:space="preserve"> level</w:t>
      </w:r>
      <w:r>
        <w:t xml:space="preserve">. </w:t>
      </w:r>
    </w:p>
    <w:p w:rsidR="003A022D" w:rsidRDefault="003A022D" w:rsidP="003A022D">
      <w:pPr>
        <w:pStyle w:val="CSQbody"/>
      </w:pPr>
      <w:r>
        <w:t xml:space="preserve">One possible touchstone in this regard may be the outcomes of the National COVID-19 Coordination Commission. To the extent that this Commission’s work leads to a renewed national industrial strategy, the VET sector should be leveraged to fulfil its human capital requirements. </w:t>
      </w:r>
    </w:p>
    <w:p w:rsidR="003A022D" w:rsidRDefault="003A022D" w:rsidP="00C20798">
      <w:pPr>
        <w:pStyle w:val="CSQbody"/>
      </w:pPr>
    </w:p>
    <w:p w:rsidR="003909B8" w:rsidRDefault="003909B8" w:rsidP="004B152D">
      <w:pPr>
        <w:pStyle w:val="Heading3"/>
      </w:pPr>
      <w:r>
        <w:t>Student choice, demand and supply</w:t>
      </w:r>
    </w:p>
    <w:p w:rsidR="00CD59F1" w:rsidRDefault="00CD59F1" w:rsidP="00C20798">
      <w:pPr>
        <w:pStyle w:val="CSQbody"/>
      </w:pPr>
      <w:r>
        <w:t>S</w:t>
      </w:r>
      <w:r w:rsidR="00C20798">
        <w:t xml:space="preserve">tudent choice (alone) should not guide course allocation. </w:t>
      </w:r>
      <w:r w:rsidR="003909B8">
        <w:t>The VET-FEE HELP experience demonstrates the risks</w:t>
      </w:r>
      <w:r w:rsidR="00C20798">
        <w:t xml:space="preserve"> of a ‘demand-led’ system. The </w:t>
      </w:r>
      <w:r w:rsidR="003909B8">
        <w:t xml:space="preserve">information </w:t>
      </w:r>
      <w:r w:rsidR="00C20798">
        <w:t xml:space="preserve">asymmetry between students and RTOs </w:t>
      </w:r>
      <w:r>
        <w:t>creates an environment that</w:t>
      </w:r>
      <w:r w:rsidR="00C20798">
        <w:t xml:space="preserve"> prioritise</w:t>
      </w:r>
      <w:r>
        <w:t>s</w:t>
      </w:r>
      <w:r w:rsidR="00C20798">
        <w:t xml:space="preserve"> the highest-profit courses – not the most economically, or even privately, useful. </w:t>
      </w:r>
      <w:r w:rsidR="0088766C">
        <w:t>We support a moderated market. Controls or price signals are needed to ensure that good value for money is achieved. For students this may ap</w:t>
      </w:r>
      <w:r w:rsidR="00F46AFC">
        <w:t>p</w:t>
      </w:r>
      <w:r w:rsidR="0088766C">
        <w:t xml:space="preserve">ly across course, materials other student fees and for government, across allocation and pricing methodology. </w:t>
      </w:r>
    </w:p>
    <w:p w:rsidR="000312BC" w:rsidRDefault="000312BC" w:rsidP="000312BC">
      <w:pPr>
        <w:pStyle w:val="CSQbody"/>
      </w:pPr>
    </w:p>
    <w:p w:rsidR="000312BC" w:rsidRDefault="000312BC" w:rsidP="000312BC">
      <w:pPr>
        <w:pStyle w:val="Heading3"/>
      </w:pPr>
      <w:r>
        <w:t>Integrating with industry in course development</w:t>
      </w:r>
    </w:p>
    <w:p w:rsidR="00C61481" w:rsidRDefault="000312BC" w:rsidP="000312BC">
      <w:pPr>
        <w:pStyle w:val="CSQbody"/>
      </w:pPr>
      <w:r>
        <w:t xml:space="preserve">One way to improve industry linkages is to consider the end-to-end outcomes and relationship to skills development (figure 2). Improved integration of those charged with delivering VET (leading RTOs and trainers / teachers) with the development process will help bring together the educational necessities and industry needs. A stronger focus on the full pathway, whether it be to higher education or to licensing or registration will help students make informed choices and also strengthen and embed industry needs in the VET sector. </w:t>
      </w:r>
      <w:r w:rsidR="00C61481">
        <w:t>Currently only 16 per cent of secondary students understand the VET pathway</w:t>
      </w:r>
      <w:r w:rsidR="00C61481">
        <w:rPr>
          <w:rStyle w:val="FootnoteReference"/>
        </w:rPr>
        <w:footnoteReference w:id="8"/>
      </w:r>
      <w:r w:rsidR="00C61481">
        <w:t xml:space="preserve">, it can reasonably be expected that fewer would understand the full pathway to licensing. </w:t>
      </w:r>
    </w:p>
    <w:p w:rsidR="000312BC" w:rsidRDefault="000312BC" w:rsidP="000312BC">
      <w:pPr>
        <w:pStyle w:val="CSQbody"/>
      </w:pPr>
      <w:r>
        <w:lastRenderedPageBreak/>
        <w:t>We recognise the important of foundational skills and in particular literacy and numeracy for both education and employment. The OECD PISA literacy and numeracy measures show that VET students are increasingly less well-prepared</w:t>
      </w:r>
      <w:r>
        <w:rPr>
          <w:rStyle w:val="FootnoteReference"/>
        </w:rPr>
        <w:footnoteReference w:id="9"/>
      </w:r>
      <w:r>
        <w:t xml:space="preserve">, creating added pressure for the sector. Research into the rates of adult illiteracy in the community and an assessment of the impact on and role of the VET sector in this area is needed. </w:t>
      </w:r>
    </w:p>
    <w:p w:rsidR="000312BC" w:rsidRDefault="000312BC" w:rsidP="000312BC">
      <w:pPr>
        <w:pStyle w:val="CSQbody"/>
      </w:pPr>
    </w:p>
    <w:p w:rsidR="000312BC" w:rsidRDefault="000312BC" w:rsidP="000312BC">
      <w:pPr>
        <w:pStyle w:val="Caption"/>
      </w:pPr>
      <w:r>
        <w:t xml:space="preserve">Figure </w:t>
      </w:r>
      <w:r>
        <w:fldChar w:fldCharType="begin"/>
      </w:r>
      <w:r>
        <w:instrText xml:space="preserve"> SEQ Figure \* ARABIC </w:instrText>
      </w:r>
      <w:r>
        <w:fldChar w:fldCharType="separate"/>
      </w:r>
      <w:r w:rsidR="002F3308">
        <w:rPr>
          <w:noProof/>
        </w:rPr>
        <w:t>2</w:t>
      </w:r>
      <w:r>
        <w:fldChar w:fldCharType="end"/>
      </w:r>
      <w:r>
        <w:t xml:space="preserve"> | Industry linkages: bringing together VET and other industries</w:t>
      </w:r>
    </w:p>
    <w:p w:rsidR="000312BC" w:rsidRDefault="00B44C5F" w:rsidP="000312BC">
      <w:pPr>
        <w:pStyle w:val="CSQbody"/>
      </w:pPr>
      <w:r>
        <w:rPr>
          <w:noProof/>
          <w:lang w:eastAsia="en-AU"/>
        </w:rPr>
        <w:drawing>
          <wp:inline distT="0" distB="0" distL="0" distR="0">
            <wp:extent cx="5731510" cy="375666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2-table.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3756660"/>
                    </a:xfrm>
                    <a:prstGeom prst="rect">
                      <a:avLst/>
                    </a:prstGeom>
                  </pic:spPr>
                </pic:pic>
              </a:graphicData>
            </a:graphic>
          </wp:inline>
        </w:drawing>
      </w:r>
    </w:p>
    <w:p w:rsidR="000312BC" w:rsidRDefault="000312BC" w:rsidP="000312BC">
      <w:pPr>
        <w:pStyle w:val="CSQbody"/>
      </w:pPr>
    </w:p>
    <w:p w:rsidR="00FD6474" w:rsidRPr="0044576A" w:rsidRDefault="00FD6474" w:rsidP="00FD6474">
      <w:pPr>
        <w:pStyle w:val="CSQbody"/>
      </w:pPr>
    </w:p>
    <w:p w:rsidR="00FD6474" w:rsidRDefault="00FD6474">
      <w:pPr>
        <w:rPr>
          <w:rFonts w:ascii="Arial" w:eastAsia="MS Gothic" w:hAnsi="Arial" w:cs="Arial"/>
          <w:b/>
          <w:bCs/>
          <w:color w:val="FFCD1A" w:themeColor="accent1"/>
          <w:kern w:val="32"/>
          <w:sz w:val="36"/>
          <w:szCs w:val="36"/>
        </w:rPr>
      </w:pPr>
      <w:r>
        <w:br w:type="page"/>
      </w:r>
    </w:p>
    <w:p w:rsidR="00C20798" w:rsidRPr="006D078B" w:rsidRDefault="00C20798" w:rsidP="006D078B">
      <w:pPr>
        <w:pStyle w:val="Numberedheadinglevel1"/>
      </w:pPr>
      <w:r w:rsidRPr="006D078B">
        <w:lastRenderedPageBreak/>
        <w:t>Supporting trade apprenticeships</w:t>
      </w:r>
    </w:p>
    <w:p w:rsidR="00C20798" w:rsidRDefault="00C20798" w:rsidP="00C20798">
      <w:pPr>
        <w:pStyle w:val="CSQbody"/>
      </w:pPr>
      <w:r>
        <w:t>The Productivity Commission has sought information on ‘Su</w:t>
      </w:r>
      <w:r w:rsidR="00757D93">
        <w:t>pporting trade apprenticeships’</w:t>
      </w:r>
      <w:r>
        <w:t xml:space="preserve"> </w:t>
      </w:r>
      <w:r w:rsidR="00757D93">
        <w:t>including</w:t>
      </w:r>
      <w:r>
        <w:t>:</w:t>
      </w:r>
    </w:p>
    <w:p w:rsidR="007E1D4F" w:rsidRDefault="007E1D4F" w:rsidP="007E1D4F">
      <w:pPr>
        <w:pStyle w:val="CSQbullet1"/>
        <w:rPr>
          <w:rFonts w:eastAsia="Times New Roman"/>
        </w:rPr>
      </w:pPr>
      <w:r>
        <w:rPr>
          <w:lang w:val="en-US"/>
        </w:rPr>
        <w:t>does the nature and size of the ‘apprenticeship problem’ merit new policy measures?</w:t>
      </w:r>
    </w:p>
    <w:p w:rsidR="007E1D4F" w:rsidRDefault="007E1D4F" w:rsidP="007E1D4F">
      <w:pPr>
        <w:pStyle w:val="CSQbullet1"/>
        <w:rPr>
          <w:rFonts w:eastAsia="Times New Roman"/>
        </w:rPr>
      </w:pPr>
      <w:r>
        <w:rPr>
          <w:lang w:val="en-US"/>
        </w:rPr>
        <w:t>how effective are levies in increasing apprenticeships?</w:t>
      </w:r>
    </w:p>
    <w:p w:rsidR="00C20798" w:rsidRPr="00E96A65" w:rsidRDefault="007E1D4F" w:rsidP="00C20798">
      <w:pPr>
        <w:pStyle w:val="CSQbullet1"/>
        <w:rPr>
          <w:rFonts w:eastAsia="Times New Roman"/>
        </w:rPr>
      </w:pPr>
      <w:r>
        <w:rPr>
          <w:lang w:val="en-US"/>
        </w:rPr>
        <w:t>are there other reasons for using industry levies?</w:t>
      </w:r>
    </w:p>
    <w:p w:rsidR="00194F5D" w:rsidRDefault="00194F5D" w:rsidP="00C20798">
      <w:pPr>
        <w:pStyle w:val="CSQbody"/>
      </w:pPr>
      <w:r>
        <w:t>Our response considers:</w:t>
      </w:r>
    </w:p>
    <w:p w:rsidR="00194F5D" w:rsidRDefault="00194F5D" w:rsidP="00F424BD">
      <w:pPr>
        <w:pStyle w:val="CSQbullet1"/>
      </w:pPr>
      <w:r>
        <w:t xml:space="preserve">Apprenticeships and traineeships (trade and non-trade) and the interplay between educational and employment policy. We seek to highlight data relating to building and construction apprenticeships. </w:t>
      </w:r>
    </w:p>
    <w:p w:rsidR="00194F5D" w:rsidRDefault="00194F5D" w:rsidP="00F424BD">
      <w:pPr>
        <w:pStyle w:val="CSQbullet1"/>
      </w:pPr>
      <w:r>
        <w:t>Alternative models</w:t>
      </w:r>
      <w:r w:rsidR="00757D93">
        <w:t>.</w:t>
      </w:r>
      <w:r>
        <w:t xml:space="preserve"> </w:t>
      </w:r>
    </w:p>
    <w:p w:rsidR="00194F5D" w:rsidRDefault="00194F5D" w:rsidP="00F424BD">
      <w:pPr>
        <w:pStyle w:val="CSQbullet1"/>
      </w:pPr>
      <w:r>
        <w:t>Policy levers and levies</w:t>
      </w:r>
      <w:r w:rsidR="00757D93">
        <w:t>.</w:t>
      </w:r>
    </w:p>
    <w:p w:rsidR="00F424BD" w:rsidRDefault="00F424BD" w:rsidP="00F424BD">
      <w:pPr>
        <w:pStyle w:val="CSQbody"/>
      </w:pPr>
      <w:r>
        <w:rPr>
          <w:noProof/>
          <w:lang w:eastAsia="en-AU"/>
        </w:rPr>
        <mc:AlternateContent>
          <mc:Choice Requires="wps">
            <w:drawing>
              <wp:anchor distT="0" distB="0" distL="114300" distR="114300" simplePos="0" relativeHeight="251696128" behindDoc="0" locked="0" layoutInCell="1" allowOverlap="1" wp14:anchorId="15012C08" wp14:editId="064D92CC">
                <wp:simplePos x="0" y="0"/>
                <wp:positionH relativeFrom="margin">
                  <wp:align>right</wp:align>
                </wp:positionH>
                <wp:positionV relativeFrom="paragraph">
                  <wp:posOffset>272415</wp:posOffset>
                </wp:positionV>
                <wp:extent cx="5720080" cy="4375785"/>
                <wp:effectExtent l="0" t="0" r="0" b="5715"/>
                <wp:wrapTopAndBottom/>
                <wp:docPr id="36" name="Text Box 36"/>
                <wp:cNvGraphicFramePr/>
                <a:graphic xmlns:a="http://schemas.openxmlformats.org/drawingml/2006/main">
                  <a:graphicData uri="http://schemas.microsoft.com/office/word/2010/wordprocessingShape">
                    <wps:wsp>
                      <wps:cNvSpPr txBox="1"/>
                      <wps:spPr>
                        <a:xfrm>
                          <a:off x="0" y="0"/>
                          <a:ext cx="5720080" cy="4375785"/>
                        </a:xfrm>
                        <a:prstGeom prst="rect">
                          <a:avLst/>
                        </a:prstGeom>
                        <a:solidFill>
                          <a:schemeClr val="bg1">
                            <a:lumMod val="85000"/>
                          </a:schemeClr>
                        </a:solidFill>
                        <a:ln w="6350">
                          <a:noFill/>
                        </a:ln>
                      </wps:spPr>
                      <wps:txbx>
                        <w:txbxContent>
                          <w:p w:rsidR="0081218A" w:rsidRDefault="0081218A" w:rsidP="00F424BD">
                            <w:pPr>
                              <w:pStyle w:val="Heading2"/>
                            </w:pPr>
                            <w:r>
                              <w:t xml:space="preserve">Key points | </w:t>
                            </w:r>
                            <w:r w:rsidR="00E30D26">
                              <w:t>an</w:t>
                            </w:r>
                            <w:r>
                              <w:t xml:space="preserve"> overview</w:t>
                            </w:r>
                          </w:p>
                          <w:p w:rsidR="0081218A" w:rsidRDefault="0081218A" w:rsidP="00F424BD">
                            <w:pPr>
                              <w:pStyle w:val="CSQbody"/>
                              <w:numPr>
                                <w:ilvl w:val="0"/>
                                <w:numId w:val="25"/>
                              </w:numPr>
                            </w:pPr>
                            <w:r>
                              <w:t xml:space="preserve">The apprenticeship system has served employers and apprentices well over an extended period. Any changes to the system need to be undertaken carefully and on an industry-by-industry basis. </w:t>
                            </w:r>
                          </w:p>
                          <w:p w:rsidR="0081218A" w:rsidRDefault="0081218A" w:rsidP="00F424BD">
                            <w:pPr>
                              <w:pStyle w:val="CSQbody"/>
                              <w:numPr>
                                <w:ilvl w:val="0"/>
                                <w:numId w:val="25"/>
                              </w:numPr>
                            </w:pPr>
                            <w:r>
                              <w:t xml:space="preserve">The apprentice completion rate has remained stable for building and construction in Queensland. </w:t>
                            </w:r>
                          </w:p>
                          <w:p w:rsidR="0081218A" w:rsidRDefault="0081218A" w:rsidP="00F424BD">
                            <w:pPr>
                              <w:pStyle w:val="CSQbody"/>
                              <w:numPr>
                                <w:ilvl w:val="0"/>
                                <w:numId w:val="25"/>
                              </w:numPr>
                            </w:pPr>
                            <w:r>
                              <w:t xml:space="preserve">Recent declines in commencements, and to a lesser extent, in-training figures suggest that steps may need to be taken to shore up new apprentices. The economic challenges presented by COVID-19 will likely intensify this need. </w:t>
                            </w:r>
                          </w:p>
                          <w:p w:rsidR="0081218A" w:rsidRDefault="0081218A" w:rsidP="00F424BD">
                            <w:pPr>
                              <w:pStyle w:val="CSQbody"/>
                              <w:numPr>
                                <w:ilvl w:val="0"/>
                                <w:numId w:val="25"/>
                              </w:numPr>
                            </w:pPr>
                            <w:r>
                              <w:t>Alternative models that focus on:</w:t>
                            </w:r>
                          </w:p>
                          <w:p w:rsidR="0081218A" w:rsidRDefault="0081218A" w:rsidP="00F424BD">
                            <w:pPr>
                              <w:pStyle w:val="CSQbody"/>
                              <w:numPr>
                                <w:ilvl w:val="2"/>
                                <w:numId w:val="25"/>
                              </w:numPr>
                            </w:pPr>
                            <w:r>
                              <w:t xml:space="preserve">Prevocational exposure: soft skills, accredited training and work experience may assist employers and potential workers alike test industry suitability. </w:t>
                            </w:r>
                          </w:p>
                          <w:p w:rsidR="0081218A" w:rsidRDefault="0081218A" w:rsidP="00F424BD">
                            <w:pPr>
                              <w:pStyle w:val="CSQbody"/>
                              <w:numPr>
                                <w:ilvl w:val="2"/>
                                <w:numId w:val="25"/>
                              </w:numPr>
                            </w:pPr>
                            <w:r>
                              <w:t>Recognition of existing skills and gap training that deliver apprentice qualification</w:t>
                            </w:r>
                            <w:r w:rsidR="003A022D">
                              <w:t>s</w:t>
                            </w:r>
                            <w:r>
                              <w:t xml:space="preserve"> without an apprenticeship per se may help improve supply and alleviate the need for a four year commitment. Suitable protections and controls must be in place. </w:t>
                            </w:r>
                          </w:p>
                          <w:p w:rsidR="0081218A" w:rsidRDefault="0081218A" w:rsidP="00F424BD">
                            <w:pPr>
                              <w:pStyle w:val="CSQbody"/>
                              <w:numPr>
                                <w:ilvl w:val="2"/>
                                <w:numId w:val="25"/>
                              </w:numPr>
                            </w:pPr>
                            <w:r>
                              <w:t xml:space="preserve">Supporting existing apprentices with additional skills and taking the next step to licensing or business establishment are essential. </w:t>
                            </w:r>
                          </w:p>
                          <w:p w:rsidR="0081218A" w:rsidRDefault="0081218A" w:rsidP="00F424BD">
                            <w:pPr>
                              <w:pStyle w:val="CSQbody"/>
                              <w:numPr>
                                <w:ilvl w:val="2"/>
                                <w:numId w:val="25"/>
                              </w:numPr>
                            </w:pPr>
                            <w:r>
                              <w:t xml:space="preserve">Workforce planning to ensure jobs are available and needed. </w:t>
                            </w:r>
                          </w:p>
                          <w:p w:rsidR="0081218A" w:rsidRDefault="0081218A" w:rsidP="00F424BD">
                            <w:pPr>
                              <w:pStyle w:val="CSQbody"/>
                              <w:numPr>
                                <w:ilvl w:val="0"/>
                                <w:numId w:val="25"/>
                              </w:numPr>
                            </w:pPr>
                            <w:r>
                              <w:t>Industry levies and government policy have a role to play in ensuring an adequately skilled workforce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012C08" id="Text Box 36" o:spid="_x0000_s1034" type="#_x0000_t202" style="position:absolute;margin-left:399.2pt;margin-top:21.45pt;width:450.4pt;height:344.5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" fillcolor="#d8d8d8 [2732]" stroked="f" strokeweight=".5pt">
                <v:textbox>
                  <w:txbxContent>
                    <w:p w:rsidR="0081218A" w:rsidRDefault="0081218A" w:rsidP="00F424BD">
                      <w:pPr>
                        <w:pStyle w:val="Heading2"/>
                      </w:pPr>
                      <w:r>
                        <w:t xml:space="preserve">Key points | </w:t>
                      </w:r>
                      <w:r w:rsidR="00E30D26">
                        <w:t>an</w:t>
                      </w:r>
                      <w:r>
                        <w:t xml:space="preserve"> overview</w:t>
                      </w:r>
                    </w:p>
                    <w:p w:rsidR="0081218A" w:rsidRDefault="0081218A" w:rsidP="00F424BD">
                      <w:pPr>
                        <w:pStyle w:val="CSQbody"/>
                        <w:numPr>
                          <w:ilvl w:val="0"/>
                          <w:numId w:val="25"/>
                        </w:numPr>
                      </w:pPr>
                      <w:r>
                        <w:t xml:space="preserve">The apprenticeship system has served employers and apprentices well over an extended period. Any changes to the system need to be undertaken carefully and on an industry-by-industry basis. </w:t>
                      </w:r>
                    </w:p>
                    <w:p w:rsidR="0081218A" w:rsidRDefault="0081218A" w:rsidP="00F424BD">
                      <w:pPr>
                        <w:pStyle w:val="CSQbody"/>
                        <w:numPr>
                          <w:ilvl w:val="0"/>
                          <w:numId w:val="25"/>
                        </w:numPr>
                      </w:pPr>
                      <w:r>
                        <w:t xml:space="preserve">The apprentice completion rate has remained stable for building and construction in Queensland. </w:t>
                      </w:r>
                    </w:p>
                    <w:p w:rsidR="0081218A" w:rsidRDefault="0081218A" w:rsidP="00F424BD">
                      <w:pPr>
                        <w:pStyle w:val="CSQbody"/>
                        <w:numPr>
                          <w:ilvl w:val="0"/>
                          <w:numId w:val="25"/>
                        </w:numPr>
                      </w:pPr>
                      <w:r>
                        <w:t xml:space="preserve">Recent declines in commencements, and to a lesser extent, in-training figures suggest that steps may need to be taken to shore up new apprentices. The economic challenges presented by COVID-19 will likely intensify this need. </w:t>
                      </w:r>
                    </w:p>
                    <w:p w:rsidR="0081218A" w:rsidRDefault="0081218A" w:rsidP="00F424BD">
                      <w:pPr>
                        <w:pStyle w:val="CSQbody"/>
                        <w:numPr>
                          <w:ilvl w:val="0"/>
                          <w:numId w:val="25"/>
                        </w:numPr>
                      </w:pPr>
                      <w:r>
                        <w:t>Alternative models that focus on:</w:t>
                      </w:r>
                    </w:p>
                    <w:p w:rsidR="0081218A" w:rsidRDefault="0081218A" w:rsidP="00F424BD">
                      <w:pPr>
                        <w:pStyle w:val="CSQbody"/>
                        <w:numPr>
                          <w:ilvl w:val="2"/>
                          <w:numId w:val="25"/>
                        </w:numPr>
                      </w:pPr>
                      <w:r>
                        <w:t xml:space="preserve">Prevocational exposure: soft skills, accredited training and work experience may assist employers and potential workers alike test industry suitability. </w:t>
                      </w:r>
                    </w:p>
                    <w:p w:rsidR="0081218A" w:rsidRDefault="0081218A" w:rsidP="00F424BD">
                      <w:pPr>
                        <w:pStyle w:val="CSQbody"/>
                        <w:numPr>
                          <w:ilvl w:val="2"/>
                          <w:numId w:val="25"/>
                        </w:numPr>
                      </w:pPr>
                      <w:r>
                        <w:t>Recognition of existing skills and gap training that deliver apprentice qualification</w:t>
                      </w:r>
                      <w:r w:rsidR="003A022D">
                        <w:t>s</w:t>
                      </w:r>
                      <w:r>
                        <w:t xml:space="preserve"> without an apprenticeship per se may help improve supply and alleviate the need for a four year commitment. Suitable protections and controls must be in place. </w:t>
                      </w:r>
                    </w:p>
                    <w:p w:rsidR="0081218A" w:rsidRDefault="0081218A" w:rsidP="00F424BD">
                      <w:pPr>
                        <w:pStyle w:val="CSQbody"/>
                        <w:numPr>
                          <w:ilvl w:val="2"/>
                          <w:numId w:val="25"/>
                        </w:numPr>
                      </w:pPr>
                      <w:r>
                        <w:t xml:space="preserve">Supporting existing apprentices with additional skills and taking the next step to licensing or business establishment are essential. </w:t>
                      </w:r>
                    </w:p>
                    <w:p w:rsidR="0081218A" w:rsidRDefault="0081218A" w:rsidP="00F424BD">
                      <w:pPr>
                        <w:pStyle w:val="CSQbody"/>
                        <w:numPr>
                          <w:ilvl w:val="2"/>
                          <w:numId w:val="25"/>
                        </w:numPr>
                      </w:pPr>
                      <w:r>
                        <w:t xml:space="preserve">Workforce planning to ensure jobs are available and needed. </w:t>
                      </w:r>
                    </w:p>
                    <w:p w:rsidR="0081218A" w:rsidRDefault="0081218A" w:rsidP="00F424BD">
                      <w:pPr>
                        <w:pStyle w:val="CSQbody"/>
                        <w:numPr>
                          <w:ilvl w:val="0"/>
                          <w:numId w:val="25"/>
                        </w:numPr>
                      </w:pPr>
                      <w:r>
                        <w:t>Industry levies and government policy have a role to play in ensuring an adequately skilled workforce</w:t>
                      </w:r>
                    </w:p>
                  </w:txbxContent>
                </v:textbox>
                <w10:wrap type="topAndBottom" anchorx="margin"/>
              </v:shape>
            </w:pict>
          </mc:Fallback>
        </mc:AlternateContent>
      </w:r>
    </w:p>
    <w:p w:rsidR="00F424BD" w:rsidRDefault="00F424BD" w:rsidP="00F424BD">
      <w:pPr>
        <w:pStyle w:val="CSQbody"/>
      </w:pPr>
    </w:p>
    <w:p w:rsidR="00F424BD" w:rsidRDefault="00F424BD" w:rsidP="00F424BD">
      <w:pPr>
        <w:pStyle w:val="CSQbody"/>
      </w:pPr>
    </w:p>
    <w:p w:rsidR="00F424BD" w:rsidRDefault="00F424BD" w:rsidP="00F424BD">
      <w:pPr>
        <w:pStyle w:val="CSQbody"/>
      </w:pPr>
    </w:p>
    <w:p w:rsidR="00D830BD" w:rsidRPr="006D078B" w:rsidRDefault="00975F65" w:rsidP="006D078B">
      <w:pPr>
        <w:pStyle w:val="Numeredheadinglevel11"/>
      </w:pPr>
      <w:r w:rsidRPr="006D078B">
        <w:lastRenderedPageBreak/>
        <w:t>Apprenticeships | e</w:t>
      </w:r>
      <w:r w:rsidR="00D830BD" w:rsidRPr="006D078B">
        <w:t>ducational and employment policy</w:t>
      </w:r>
    </w:p>
    <w:p w:rsidR="00415B45" w:rsidRDefault="00D830BD" w:rsidP="00D830BD">
      <w:pPr>
        <w:pStyle w:val="CSQbody"/>
      </w:pPr>
      <w:r>
        <w:t xml:space="preserve">VET’s core value proposition </w:t>
      </w:r>
      <w:r w:rsidR="003A022D">
        <w:t>lies in</w:t>
      </w:r>
      <w:r>
        <w:t xml:space="preserve"> tight coupling to industry. For centuries, the apprenticeship model has delivered reliable outcomes for both participants and industry. In recent decades this has expanded to includ</w:t>
      </w:r>
      <w:r w:rsidR="00415B45">
        <w:t xml:space="preserve">e </w:t>
      </w:r>
      <w:r w:rsidRPr="00C46712">
        <w:t>a new suite of ‘non-trade’ programs</w:t>
      </w:r>
      <w:r>
        <w:t xml:space="preserve"> or traineeships</w:t>
      </w:r>
      <w:r w:rsidR="00757D93">
        <w:t>, in response to a variety of needs including the 1980s/1990s recession, early childhood minimum qualification regulations and the NDIS</w:t>
      </w:r>
      <w:r>
        <w:t>. It is movements in non-trade trainees and apprentices that has dri</w:t>
      </w:r>
      <w:r w:rsidR="00415B45">
        <w:t>ven recent declines in apprenticeship headline figures</w:t>
      </w:r>
      <w:r w:rsidRPr="00C46712">
        <w:t xml:space="preserve"> (Figure </w:t>
      </w:r>
      <w:r w:rsidR="00F46AFC">
        <w:t>3</w:t>
      </w:r>
      <w:r w:rsidRPr="00C46712">
        <w:t>)</w:t>
      </w:r>
      <w:r>
        <w:t xml:space="preserve">. </w:t>
      </w:r>
    </w:p>
    <w:p w:rsidR="002534DC" w:rsidRPr="00666C85" w:rsidRDefault="002534DC" w:rsidP="00666C85">
      <w:pPr>
        <w:pStyle w:val="Caption"/>
      </w:pPr>
      <w:r w:rsidRPr="00666C85">
        <w:t xml:space="preserve">Figure </w:t>
      </w:r>
      <w:r w:rsidRPr="00666C85">
        <w:fldChar w:fldCharType="begin"/>
      </w:r>
      <w:r w:rsidRPr="00666C85">
        <w:instrText xml:space="preserve"> SEQ Figure \* ARABIC </w:instrText>
      </w:r>
      <w:r w:rsidRPr="00666C85">
        <w:fldChar w:fldCharType="separate"/>
      </w:r>
      <w:r w:rsidR="002F3308">
        <w:rPr>
          <w:noProof/>
        </w:rPr>
        <w:t>3</w:t>
      </w:r>
      <w:r w:rsidRPr="00666C85">
        <w:fldChar w:fldCharType="end"/>
      </w:r>
      <w:r w:rsidRPr="00666C85">
        <w:t xml:space="preserve"> | Growth in apprenticeships driven by non-trade occupations | number of apprentices and trainees, Australia</w:t>
      </w:r>
    </w:p>
    <w:p w:rsidR="00D830BD" w:rsidRDefault="000E1A0F" w:rsidP="00666C85">
      <w:pPr>
        <w:pStyle w:val="Caption"/>
      </w:pPr>
      <w:r>
        <w:rPr>
          <w:noProof/>
          <w:lang w:eastAsia="en-AU"/>
        </w:rPr>
        <mc:AlternateContent>
          <mc:Choice Requires="wps">
            <w:drawing>
              <wp:anchor distT="0" distB="0" distL="114300" distR="114300" simplePos="0" relativeHeight="251705344" behindDoc="0" locked="0" layoutInCell="1" allowOverlap="1" wp14:anchorId="0F7A940F" wp14:editId="43B6607F">
                <wp:simplePos x="0" y="0"/>
                <wp:positionH relativeFrom="column">
                  <wp:posOffset>4412311</wp:posOffset>
                </wp:positionH>
                <wp:positionV relativeFrom="paragraph">
                  <wp:posOffset>67310</wp:posOffset>
                </wp:positionV>
                <wp:extent cx="1272209" cy="2297927"/>
                <wp:effectExtent l="0" t="0" r="23495" b="26670"/>
                <wp:wrapNone/>
                <wp:docPr id="5" name="Text Box 5"/>
                <wp:cNvGraphicFramePr/>
                <a:graphic xmlns:a="http://schemas.openxmlformats.org/drawingml/2006/main">
                  <a:graphicData uri="http://schemas.microsoft.com/office/word/2010/wordprocessingShape">
                    <wps:wsp>
                      <wps:cNvSpPr txBox="1"/>
                      <wps:spPr>
                        <a:xfrm>
                          <a:off x="0" y="0"/>
                          <a:ext cx="1272209" cy="2297927"/>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81218A" w:rsidRPr="00C00204" w:rsidRDefault="0081218A" w:rsidP="000E1A0F">
                            <w:pPr>
                              <w:pStyle w:val="CSQbody"/>
                              <w:jc w:val="center"/>
                              <w:rPr>
                                <w:b/>
                              </w:rPr>
                            </w:pPr>
                            <w:r>
                              <w:rPr>
                                <w:b/>
                              </w:rPr>
                              <w:t>Trades history</w:t>
                            </w:r>
                          </w:p>
                          <w:p w:rsidR="0081218A" w:rsidRPr="003F298E" w:rsidRDefault="0081218A" w:rsidP="000E1A0F">
                            <w:pPr>
                              <w:pStyle w:val="CSQbody"/>
                              <w:jc w:val="center"/>
                            </w:pPr>
                            <w:r>
                              <w:t xml:space="preserve">Trade-related delivery in the </w:t>
                            </w:r>
                            <w:r w:rsidR="008031B9">
                              <w:br/>
                            </w:r>
                            <w:r>
                              <w:t xml:space="preserve">VET sector </w:t>
                            </w:r>
                            <w:r w:rsidR="008031B9">
                              <w:br/>
                            </w:r>
                            <w:r>
                              <w:t xml:space="preserve">has a relatively </w:t>
                            </w:r>
                            <w:r w:rsidR="008031B9">
                              <w:br/>
                            </w:r>
                            <w:r>
                              <w:t>stable history</w:t>
                            </w:r>
                          </w:p>
                          <w:p w:rsidR="0081218A" w:rsidRDefault="0081218A" w:rsidP="000E1A0F">
                            <w:pPr>
                              <w:jc w:val="center"/>
                            </w:pPr>
                            <w:r w:rsidRPr="000E1A0F">
                              <w:rPr>
                                <w:noProof/>
                                <w:lang w:eastAsia="en-AU"/>
                              </w:rPr>
                              <w:drawing>
                                <wp:inline distT="0" distB="0" distL="0" distR="0" wp14:anchorId="24A8DD91" wp14:editId="5F8115F1">
                                  <wp:extent cx="1033531" cy="10335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61877" cy="10618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7A940F" id="Text Box 5" o:spid="_x0000_s1035" type="#_x0000_t202" style="position:absolute;margin-left:347.45pt;margin-top:5.3pt;width:100.15pt;height:180.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" fillcolor="#ffcd1a [3204]" strokecolor="white [3201]" strokeweight="1.5pt">
                <v:textbox>
                  <w:txbxContent>
                    <w:p w:rsidR="0081218A" w:rsidRPr="00C00204" w:rsidRDefault="0081218A" w:rsidP="000E1A0F">
                      <w:pPr>
                        <w:pStyle w:val="CSQbody"/>
                        <w:jc w:val="center"/>
                        <w:rPr>
                          <w:b/>
                        </w:rPr>
                      </w:pPr>
                      <w:r>
                        <w:rPr>
                          <w:b/>
                        </w:rPr>
                        <w:t>Trades history</w:t>
                      </w:r>
                    </w:p>
                    <w:p w:rsidR="0081218A" w:rsidRPr="003F298E" w:rsidRDefault="0081218A" w:rsidP="000E1A0F">
                      <w:pPr>
                        <w:pStyle w:val="CSQbody"/>
                        <w:jc w:val="center"/>
                      </w:pPr>
                      <w:r>
                        <w:t xml:space="preserve">Trade-related delivery in the </w:t>
                      </w:r>
                      <w:r w:rsidR="008031B9">
                        <w:br/>
                      </w:r>
                      <w:r>
                        <w:t xml:space="preserve">VET sector </w:t>
                      </w:r>
                      <w:r w:rsidR="008031B9">
                        <w:br/>
                      </w:r>
                      <w:r>
                        <w:t xml:space="preserve">has a relatively </w:t>
                      </w:r>
                      <w:r w:rsidR="008031B9">
                        <w:br/>
                      </w:r>
                      <w:r>
                        <w:t>stable history</w:t>
                      </w:r>
                    </w:p>
                    <w:p w:rsidR="0081218A" w:rsidRDefault="0081218A" w:rsidP="000E1A0F">
                      <w:pPr>
                        <w:jc w:val="center"/>
                      </w:pPr>
                      <w:r w:rsidRPr="000E1A0F">
                        <w:rPr>
                          <w:noProof/>
                          <w:lang w:eastAsia="en-AU"/>
                        </w:rPr>
                        <w:drawing>
                          <wp:inline distT="0" distB="0" distL="0" distR="0" wp14:anchorId="24A8DD91" wp14:editId="5F8115F1">
                            <wp:extent cx="1033531" cy="10335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61877" cy="1061877"/>
                                    </a:xfrm>
                                    <a:prstGeom prst="rect">
                                      <a:avLst/>
                                    </a:prstGeom>
                                  </pic:spPr>
                                </pic:pic>
                              </a:graphicData>
                            </a:graphic>
                          </wp:inline>
                        </w:drawing>
                      </w:r>
                    </w:p>
                  </w:txbxContent>
                </v:textbox>
              </v:shape>
            </w:pict>
          </mc:Fallback>
        </mc:AlternateContent>
      </w:r>
      <w:r w:rsidR="002534DC" w:rsidRPr="005A6FFA">
        <w:rPr>
          <w:noProof/>
          <w:lang w:eastAsia="en-AU"/>
        </w:rPr>
        <w:drawing>
          <wp:inline distT="0" distB="0" distL="0" distR="0" wp14:anchorId="09D01AE3" wp14:editId="3D5E54A6">
            <wp:extent cx="4276881" cy="26356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9895" cy="2637481"/>
                    </a:xfrm>
                    <a:prstGeom prst="rect">
                      <a:avLst/>
                    </a:prstGeom>
                    <a:noFill/>
                  </pic:spPr>
                </pic:pic>
              </a:graphicData>
            </a:graphic>
          </wp:inline>
        </w:drawing>
      </w:r>
    </w:p>
    <w:p w:rsidR="00D830BD" w:rsidRDefault="00D830BD" w:rsidP="00D830BD">
      <w:pPr>
        <w:rPr>
          <w:rFonts w:ascii="Arial" w:hAnsi="Arial" w:cs="Arial"/>
          <w:noProof/>
          <w:color w:val="979A9C" w:themeColor="text1" w:themeTint="99"/>
          <w:sz w:val="18"/>
          <w:lang w:eastAsia="en-AU"/>
        </w:rPr>
      </w:pPr>
      <w:r w:rsidRPr="00604523">
        <w:rPr>
          <w:rFonts w:ascii="Arial" w:hAnsi="Arial" w:cs="Arial"/>
          <w:noProof/>
          <w:color w:val="979A9C" w:themeColor="text1" w:themeTint="99"/>
          <w:sz w:val="18"/>
          <w:lang w:eastAsia="en-AU"/>
        </w:rPr>
        <w:t>Source: NCVER</w:t>
      </w:r>
    </w:p>
    <w:p w:rsidR="00415B45" w:rsidRPr="00415B45" w:rsidRDefault="00415B45" w:rsidP="00415B45">
      <w:pPr>
        <w:pStyle w:val="CSQbody"/>
      </w:pPr>
      <w:r>
        <w:t>Given this longer term perspective on movements between trade and non-trade areas, C</w:t>
      </w:r>
      <w:r w:rsidR="003A022D">
        <w:t>SQ does not believe there is a crisis or sizeable problem</w:t>
      </w:r>
      <w:r>
        <w:t xml:space="preserve"> in apprenticeships. There are however emerging indicators and shifts in program delivery that suggest that there may be opportunity trial different approaches to employment-based training and seek ways to overcome long held concerns expressed by both employers and apprentices. This is discussed in more detail in the sections </w:t>
      </w:r>
      <w:r w:rsidR="003C169F">
        <w:t xml:space="preserve">2.3 and 2.4. </w:t>
      </w:r>
      <w:r>
        <w:t xml:space="preserve">  </w:t>
      </w:r>
    </w:p>
    <w:p w:rsidR="00C20798" w:rsidRDefault="009269F5" w:rsidP="006D078B">
      <w:pPr>
        <w:pStyle w:val="Numeredheadinglevel11"/>
      </w:pPr>
      <w:bookmarkStart w:id="2" w:name="_Ref45098330"/>
      <w:r>
        <w:t>B</w:t>
      </w:r>
      <w:r w:rsidR="00C20798">
        <w:t>uilding and construction apprenticeships</w:t>
      </w:r>
      <w:bookmarkEnd w:id="2"/>
    </w:p>
    <w:p w:rsidR="00024FC8" w:rsidRDefault="00024FC8" w:rsidP="004B152D">
      <w:pPr>
        <w:pStyle w:val="Heading3"/>
      </w:pPr>
      <w:r>
        <w:t>A brief overview</w:t>
      </w:r>
    </w:p>
    <w:p w:rsidR="009269F5" w:rsidRDefault="00BF5BE2" w:rsidP="00C20798">
      <w:pPr>
        <w:pStyle w:val="CSQbody"/>
      </w:pPr>
      <w:r>
        <w:t>The building and construction industry is a key e</w:t>
      </w:r>
      <w:r w:rsidR="009E1E1E">
        <w:t>mployer of apprentices. Figure 4</w:t>
      </w:r>
      <w:r>
        <w:t xml:space="preserve"> illustrates the prominence of building and construction in the apprentice pathway in Queensland. </w:t>
      </w:r>
      <w:r w:rsidR="004E21F5">
        <w:t>Overall the apprenticeship system works well for the building and construction industry in Queensland. The apprenticeship and traineeship pathway is valued and the restricted calling and licensing regimes mean that this pathway remains a key entry point into a construction career.</w:t>
      </w:r>
    </w:p>
    <w:p w:rsidR="00C20798" w:rsidRDefault="004E21F5" w:rsidP="00666C85">
      <w:pPr>
        <w:pStyle w:val="Caption"/>
      </w:pPr>
      <w:r>
        <w:rPr>
          <w:noProof/>
          <w:lang w:eastAsia="en-AU"/>
        </w:rPr>
        <w:lastRenderedPageBreak/>
        <mc:AlternateContent>
          <mc:Choice Requires="wps">
            <w:drawing>
              <wp:anchor distT="0" distB="0" distL="114300" distR="114300" simplePos="0" relativeHeight="251689984" behindDoc="0" locked="0" layoutInCell="1" allowOverlap="1" wp14:anchorId="2497AF78" wp14:editId="117AB9EA">
                <wp:simplePos x="0" y="0"/>
                <wp:positionH relativeFrom="column">
                  <wp:posOffset>4055164</wp:posOffset>
                </wp:positionH>
                <wp:positionV relativeFrom="page">
                  <wp:posOffset>1630017</wp:posOffset>
                </wp:positionV>
                <wp:extent cx="1637969" cy="2311649"/>
                <wp:effectExtent l="0" t="0" r="19685" b="12700"/>
                <wp:wrapNone/>
                <wp:docPr id="4" name="Text Box 4"/>
                <wp:cNvGraphicFramePr/>
                <a:graphic xmlns:a="http://schemas.openxmlformats.org/drawingml/2006/main">
                  <a:graphicData uri="http://schemas.microsoft.com/office/word/2010/wordprocessingShape">
                    <wps:wsp>
                      <wps:cNvSpPr txBox="1"/>
                      <wps:spPr>
                        <a:xfrm>
                          <a:off x="0" y="0"/>
                          <a:ext cx="1637969" cy="2311649"/>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81218A" w:rsidRPr="00C00204" w:rsidRDefault="0081218A" w:rsidP="00C00204">
                            <w:pPr>
                              <w:pStyle w:val="CSQbody"/>
                              <w:jc w:val="center"/>
                              <w:rPr>
                                <w:b/>
                              </w:rPr>
                            </w:pPr>
                            <w:r w:rsidRPr="00C00204">
                              <w:rPr>
                                <w:b/>
                              </w:rPr>
                              <w:t>Strong linkage with industry</w:t>
                            </w:r>
                          </w:p>
                          <w:p w:rsidR="0081218A" w:rsidRDefault="0081218A" w:rsidP="008031B9">
                            <w:pPr>
                              <w:pStyle w:val="CSQbody"/>
                              <w:jc w:val="center"/>
                            </w:pPr>
                            <w:r>
                              <w:t>Any potential reforms to the apprenticeship model need to take an industry centric approach. Changes or flexibility that may work in one industry may create unintended industrial or regulatory issues in another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97AF78" id="Text Box 4" o:spid="_x0000_s1036" type="#_x0000_t202" style="position:absolute;margin-left:319.3pt;margin-top:128.35pt;width:128.95pt;height:1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" fillcolor="#ffcd1a [3204]" strokecolor="white [3201]" strokeweight="1.5pt">
                <v:textbox>
                  <w:txbxContent>
                    <w:p w:rsidR="0081218A" w:rsidRPr="00C00204" w:rsidRDefault="0081218A" w:rsidP="00C00204">
                      <w:pPr>
                        <w:pStyle w:val="CSQbody"/>
                        <w:jc w:val="center"/>
                        <w:rPr>
                          <w:b/>
                        </w:rPr>
                      </w:pPr>
                      <w:r w:rsidRPr="00C00204">
                        <w:rPr>
                          <w:b/>
                        </w:rPr>
                        <w:t>Strong linkage with industry</w:t>
                      </w:r>
                    </w:p>
                    <w:p w:rsidR="0081218A" w:rsidRDefault="0081218A" w:rsidP="008031B9">
                      <w:pPr>
                        <w:pStyle w:val="CSQbody"/>
                        <w:jc w:val="center"/>
                      </w:pPr>
                      <w:r>
                        <w:t>Any potential reforms to the apprenticeship model need to take an industry centric approach. Changes or flexibility that may work in one industry may create unintended industrial or regulatory issues in another industry.</w:t>
                      </w:r>
                    </w:p>
                  </w:txbxContent>
                </v:textbox>
                <w10:wrap anchory="page"/>
              </v:shape>
            </w:pict>
          </mc:Fallback>
        </mc:AlternateContent>
      </w:r>
      <w:r w:rsidR="007E3D0D">
        <w:rPr>
          <w:noProof/>
          <w:lang w:eastAsia="en-AU"/>
        </w:rPr>
        <w:drawing>
          <wp:anchor distT="0" distB="0" distL="114300" distR="114300" simplePos="0" relativeHeight="251686912" behindDoc="0" locked="0" layoutInCell="1" allowOverlap="1" wp14:anchorId="2A5FCEA9" wp14:editId="29CF0388">
            <wp:simplePos x="0" y="0"/>
            <wp:positionH relativeFrom="column">
              <wp:posOffset>-29845</wp:posOffset>
            </wp:positionH>
            <wp:positionV relativeFrom="paragraph">
              <wp:posOffset>330835</wp:posOffset>
            </wp:positionV>
            <wp:extent cx="3862705" cy="2112010"/>
            <wp:effectExtent l="0" t="0" r="4445" b="2540"/>
            <wp:wrapTopAndBottom/>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24785C">
        <w:t xml:space="preserve">Figure </w:t>
      </w:r>
      <w:r w:rsidR="0024785C">
        <w:fldChar w:fldCharType="begin"/>
      </w:r>
      <w:r w:rsidR="0024785C">
        <w:instrText xml:space="preserve"> SEQ Figure \* ARABIC </w:instrText>
      </w:r>
      <w:r w:rsidR="0024785C">
        <w:fldChar w:fldCharType="separate"/>
      </w:r>
      <w:r w:rsidR="002F3308">
        <w:rPr>
          <w:noProof/>
        </w:rPr>
        <w:t>4</w:t>
      </w:r>
      <w:r w:rsidR="0024785C">
        <w:fldChar w:fldCharType="end"/>
      </w:r>
      <w:r w:rsidR="0024785C">
        <w:t xml:space="preserve"> | Apprentice in-training by industry, Queensland, Sept 2019</w:t>
      </w:r>
    </w:p>
    <w:p w:rsidR="00C20798" w:rsidRPr="00985B90" w:rsidRDefault="0032625F" w:rsidP="00985B90">
      <w:pPr>
        <w:rPr>
          <w:rFonts w:ascii="Arial" w:hAnsi="Arial" w:cs="Arial"/>
          <w:noProof/>
          <w:color w:val="979A9C" w:themeColor="text1" w:themeTint="99"/>
          <w:sz w:val="18"/>
          <w:lang w:eastAsia="en-AU"/>
        </w:rPr>
      </w:pPr>
      <w:r w:rsidRPr="00985B90">
        <w:rPr>
          <w:rFonts w:ascii="Arial" w:hAnsi="Arial" w:cs="Arial"/>
          <w:noProof/>
          <w:color w:val="979A9C" w:themeColor="text1" w:themeTint="99"/>
          <w:sz w:val="18"/>
          <w:lang w:eastAsia="en-AU"/>
        </w:rPr>
        <w:t>Source: CSQ, 2020, Building Skills for Prosperity</w:t>
      </w:r>
      <w:r w:rsidR="00985B90" w:rsidRPr="00985B90">
        <w:rPr>
          <w:rFonts w:ascii="Arial" w:hAnsi="Arial" w:cs="Arial"/>
          <w:noProof/>
          <w:color w:val="979A9C" w:themeColor="text1" w:themeTint="99"/>
          <w:sz w:val="18"/>
          <w:lang w:eastAsia="en-AU"/>
        </w:rPr>
        <w:t xml:space="preserve">. Please note that </w:t>
      </w:r>
      <w:r w:rsidR="00E6787F">
        <w:rPr>
          <w:rFonts w:ascii="Arial" w:hAnsi="Arial" w:cs="Arial"/>
          <w:noProof/>
          <w:color w:val="979A9C" w:themeColor="text1" w:themeTint="99"/>
          <w:sz w:val="18"/>
          <w:lang w:eastAsia="en-AU"/>
        </w:rPr>
        <w:t xml:space="preserve">CSQ </w:t>
      </w:r>
      <w:r w:rsidR="00985B90">
        <w:rPr>
          <w:rFonts w:ascii="Arial" w:hAnsi="Arial" w:cs="Arial"/>
          <w:noProof/>
          <w:color w:val="979A9C" w:themeColor="text1" w:themeTint="99"/>
          <w:sz w:val="18"/>
          <w:lang w:eastAsia="en-AU"/>
        </w:rPr>
        <w:t>define</w:t>
      </w:r>
      <w:r w:rsidR="00E6787F">
        <w:rPr>
          <w:rFonts w:ascii="Arial" w:hAnsi="Arial" w:cs="Arial"/>
          <w:noProof/>
          <w:color w:val="979A9C" w:themeColor="text1" w:themeTint="99"/>
          <w:sz w:val="18"/>
          <w:lang w:eastAsia="en-AU"/>
        </w:rPr>
        <w:t>s</w:t>
      </w:r>
      <w:r w:rsidR="00985B90">
        <w:rPr>
          <w:rFonts w:ascii="Arial" w:hAnsi="Arial" w:cs="Arial"/>
          <w:noProof/>
          <w:color w:val="979A9C" w:themeColor="text1" w:themeTint="99"/>
          <w:sz w:val="18"/>
          <w:lang w:eastAsia="en-AU"/>
        </w:rPr>
        <w:t xml:space="preserve"> building and construction and </w:t>
      </w:r>
      <w:r w:rsidR="003A022D">
        <w:rPr>
          <w:rFonts w:ascii="Arial" w:hAnsi="Arial" w:cs="Arial"/>
          <w:noProof/>
          <w:color w:val="979A9C" w:themeColor="text1" w:themeTint="99"/>
          <w:sz w:val="18"/>
          <w:lang w:eastAsia="en-AU"/>
        </w:rPr>
        <w:t>associated qualifications to</w:t>
      </w:r>
      <w:r w:rsidR="00985B90">
        <w:rPr>
          <w:rFonts w:ascii="Arial" w:hAnsi="Arial" w:cs="Arial"/>
          <w:noProof/>
          <w:color w:val="979A9C" w:themeColor="text1" w:themeTint="99"/>
          <w:sz w:val="18"/>
          <w:lang w:eastAsia="en-AU"/>
        </w:rPr>
        <w:t xml:space="preserve"> align with the Queensland legislative definitition. </w:t>
      </w:r>
    </w:p>
    <w:p w:rsidR="00F424BD" w:rsidRDefault="00F424BD" w:rsidP="00975F65">
      <w:pPr>
        <w:pStyle w:val="CSQbody"/>
      </w:pPr>
    </w:p>
    <w:p w:rsidR="00BF5BE2" w:rsidRDefault="00BF5BE2" w:rsidP="00975F65">
      <w:pPr>
        <w:pStyle w:val="CSQbody"/>
      </w:pPr>
      <w:r>
        <w:t>T</w:t>
      </w:r>
      <w:r w:rsidR="00975F65">
        <w:t>raditional trade-based apprenticeships</w:t>
      </w:r>
      <w:r>
        <w:t xml:space="preserve"> continue to provide sound outcomes</w:t>
      </w:r>
      <w:r w:rsidR="00975F65">
        <w:t xml:space="preserve">. </w:t>
      </w:r>
      <w:r>
        <w:t>Young people who complete an apprenticeship are more likely to be employed at age 25</w:t>
      </w:r>
      <w:r w:rsidR="00654255">
        <w:t xml:space="preserve"> (figure 5)</w:t>
      </w:r>
      <w:r>
        <w:t>, and enjoy almost 20 per cent higher earning than those who complete an institution-based VET pr</w:t>
      </w:r>
      <w:r w:rsidR="009E1E1E">
        <w:t>ogram (figure 6</w:t>
      </w:r>
      <w:r>
        <w:t>). VET programs combined with employment deliver significant benefits</w:t>
      </w:r>
      <w:r w:rsidR="00F424BD">
        <w:t>.</w:t>
      </w:r>
    </w:p>
    <w:p w:rsidR="00F424BD" w:rsidRDefault="00F424BD" w:rsidP="00975F65">
      <w:pPr>
        <w:pStyle w:val="CSQbody"/>
      </w:pPr>
    </w:p>
    <w:p w:rsidR="007E3D0D" w:rsidRDefault="007E3D0D" w:rsidP="00666C85">
      <w:pPr>
        <w:pStyle w:val="Caption"/>
      </w:pPr>
      <w:r>
        <w:rPr>
          <w:noProof/>
          <w:lang w:eastAsia="en-AU"/>
        </w:rPr>
        <w:drawing>
          <wp:anchor distT="0" distB="0" distL="114300" distR="114300" simplePos="0" relativeHeight="251688960" behindDoc="0" locked="0" layoutInCell="1" allowOverlap="1" wp14:anchorId="103610D7" wp14:editId="6B7B7D80">
            <wp:simplePos x="0" y="0"/>
            <wp:positionH relativeFrom="margin">
              <wp:align>left</wp:align>
            </wp:positionH>
            <wp:positionV relativeFrom="paragraph">
              <wp:posOffset>204147</wp:posOffset>
            </wp:positionV>
            <wp:extent cx="4572000" cy="2634615"/>
            <wp:effectExtent l="0" t="0" r="0" b="0"/>
            <wp:wrapTopAndBottom/>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634615"/>
                    </a:xfrm>
                    <a:prstGeom prst="rect">
                      <a:avLst/>
                    </a:prstGeom>
                    <a:noFill/>
                  </pic:spPr>
                </pic:pic>
              </a:graphicData>
            </a:graphic>
          </wp:anchor>
        </w:drawing>
      </w:r>
      <w:r>
        <w:t xml:space="preserve">Figure </w:t>
      </w:r>
      <w:r>
        <w:fldChar w:fldCharType="begin"/>
      </w:r>
      <w:r>
        <w:instrText xml:space="preserve"> SEQ Figure \* ARABIC </w:instrText>
      </w:r>
      <w:r>
        <w:fldChar w:fldCharType="separate"/>
      </w:r>
      <w:r w:rsidR="002F3308">
        <w:rPr>
          <w:noProof/>
        </w:rPr>
        <w:t>5</w:t>
      </w:r>
      <w:r>
        <w:fldChar w:fldCharType="end"/>
      </w:r>
      <w:r>
        <w:t xml:space="preserve"> | More job certainty for apprentices | Likelihood of being employed full-time at age 25</w:t>
      </w:r>
    </w:p>
    <w:p w:rsidR="007E3D0D" w:rsidRDefault="007E3D0D" w:rsidP="007E3D0D">
      <w:r w:rsidRPr="00246457">
        <w:rPr>
          <w:rFonts w:ascii="Arial" w:hAnsi="Arial" w:cs="Arial"/>
          <w:noProof/>
          <w:color w:val="979A9C" w:themeColor="text1" w:themeTint="99"/>
          <w:sz w:val="18"/>
          <w:lang w:eastAsia="en-AU"/>
        </w:rPr>
        <w:t>Source: CSQ</w:t>
      </w:r>
      <w:r w:rsidR="00985B90">
        <w:rPr>
          <w:rFonts w:ascii="Arial" w:hAnsi="Arial" w:cs="Arial"/>
          <w:noProof/>
          <w:color w:val="979A9C" w:themeColor="text1" w:themeTint="99"/>
          <w:sz w:val="18"/>
          <w:lang w:eastAsia="en-AU"/>
        </w:rPr>
        <w:t xml:space="preserve">. </w:t>
      </w:r>
    </w:p>
    <w:p w:rsidR="00F424BD" w:rsidRDefault="00F424BD" w:rsidP="00666C85">
      <w:pPr>
        <w:pStyle w:val="Caption"/>
      </w:pPr>
    </w:p>
    <w:p w:rsidR="00F424BD" w:rsidRDefault="00F424BD" w:rsidP="00666C85">
      <w:pPr>
        <w:pStyle w:val="Caption"/>
      </w:pPr>
    </w:p>
    <w:p w:rsidR="00F424BD" w:rsidRDefault="00F424BD" w:rsidP="00666C85">
      <w:pPr>
        <w:pStyle w:val="Caption"/>
      </w:pPr>
    </w:p>
    <w:p w:rsidR="00F424BD" w:rsidRDefault="00F424BD" w:rsidP="00666C85">
      <w:pPr>
        <w:pStyle w:val="Caption"/>
      </w:pPr>
    </w:p>
    <w:p w:rsidR="00975F65" w:rsidRDefault="00975F65" w:rsidP="00666C85">
      <w:pPr>
        <w:pStyle w:val="Caption"/>
      </w:pPr>
      <w:r>
        <w:lastRenderedPageBreak/>
        <w:t xml:space="preserve">Figure </w:t>
      </w:r>
      <w:r w:rsidR="009269F5">
        <w:fldChar w:fldCharType="begin"/>
      </w:r>
      <w:r w:rsidR="009269F5">
        <w:instrText xml:space="preserve"> SEQ Figure \* ARABIC </w:instrText>
      </w:r>
      <w:r w:rsidR="009269F5">
        <w:fldChar w:fldCharType="separate"/>
      </w:r>
      <w:r w:rsidR="002F3308">
        <w:rPr>
          <w:noProof/>
        </w:rPr>
        <w:t>6</w:t>
      </w:r>
      <w:r w:rsidR="009269F5">
        <w:fldChar w:fldCharType="end"/>
      </w:r>
      <w:r>
        <w:t xml:space="preserve"> | Apprentices enjoy early career pay outcomes | Weekly earnings at age 25 (annualised), Australia</w:t>
      </w:r>
    </w:p>
    <w:p w:rsidR="00654255" w:rsidRDefault="009179EF" w:rsidP="00654255">
      <w:pPr>
        <w:rPr>
          <w:rFonts w:ascii="Arial" w:hAnsi="Arial" w:cs="Arial"/>
          <w:noProof/>
          <w:color w:val="979A9C" w:themeColor="text1" w:themeTint="99"/>
          <w:sz w:val="18"/>
          <w:lang w:eastAsia="en-AU"/>
        </w:rPr>
      </w:pPr>
      <w:r>
        <w:rPr>
          <w:noProof/>
          <w:lang w:eastAsia="en-AU"/>
        </w:rPr>
        <w:drawing>
          <wp:inline distT="0" distB="0" distL="0" distR="0" wp14:anchorId="01E72D16" wp14:editId="7BA27BB6">
            <wp:extent cx="3990109" cy="255447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8653" cy="2559943"/>
                    </a:xfrm>
                    <a:prstGeom prst="rect">
                      <a:avLst/>
                    </a:prstGeom>
                    <a:noFill/>
                  </pic:spPr>
                </pic:pic>
              </a:graphicData>
            </a:graphic>
          </wp:inline>
        </w:drawing>
      </w:r>
    </w:p>
    <w:p w:rsidR="00975F65" w:rsidRPr="004B550D" w:rsidRDefault="00654255" w:rsidP="00654255">
      <w:pPr>
        <w:rPr>
          <w:rFonts w:ascii="Arial" w:hAnsi="Arial" w:cs="Arial"/>
          <w:noProof/>
          <w:color w:val="979A9C" w:themeColor="text1" w:themeTint="99"/>
          <w:sz w:val="18"/>
          <w:lang w:eastAsia="en-AU"/>
        </w:rPr>
      </w:pPr>
      <w:r>
        <w:rPr>
          <w:rFonts w:ascii="Arial" w:hAnsi="Arial" w:cs="Arial"/>
          <w:noProof/>
          <w:color w:val="979A9C" w:themeColor="text1" w:themeTint="99"/>
          <w:sz w:val="18"/>
          <w:lang w:eastAsia="en-AU"/>
        </w:rPr>
        <w:t>Source: CSQ</w:t>
      </w:r>
    </w:p>
    <w:p w:rsidR="00975F65" w:rsidRDefault="00975F65" w:rsidP="00975F65">
      <w:pPr>
        <w:pStyle w:val="CSQbody"/>
      </w:pPr>
    </w:p>
    <w:p w:rsidR="005E0A21" w:rsidRDefault="004E21F5" w:rsidP="007E3D0D">
      <w:pPr>
        <w:pStyle w:val="CSQbody"/>
        <w:rPr>
          <w:rFonts w:cs="Arial"/>
        </w:rPr>
      </w:pPr>
      <w:r>
        <w:t>Despite these positive fundamental</w:t>
      </w:r>
      <w:r w:rsidR="00024FC8">
        <w:t>s</w:t>
      </w:r>
      <w:r>
        <w:t>, there is emerging data</w:t>
      </w:r>
      <w:r w:rsidR="007E3D0D">
        <w:t>, that co</w:t>
      </w:r>
      <w:r>
        <w:t xml:space="preserve">mmencements are an issue. </w:t>
      </w:r>
      <w:r w:rsidR="007C4321">
        <w:t xml:space="preserve">Additionally, </w:t>
      </w:r>
      <w:r w:rsidR="007C4321">
        <w:rPr>
          <w:rFonts w:cs="Arial"/>
        </w:rPr>
        <w:t>t</w:t>
      </w:r>
      <w:r w:rsidR="005E0A21">
        <w:rPr>
          <w:rFonts w:cs="Arial"/>
        </w:rPr>
        <w:t xml:space="preserve">here is a strong relationship between market conditions and construction apprentice </w:t>
      </w:r>
      <w:r w:rsidR="005E0A21" w:rsidRPr="00140424">
        <w:rPr>
          <w:rFonts w:cs="Arial"/>
        </w:rPr>
        <w:t>entrants.</w:t>
      </w:r>
      <w:r w:rsidR="005E0A21">
        <w:rPr>
          <w:rFonts w:cs="Arial"/>
        </w:rPr>
        <w:t xml:space="preserve"> </w:t>
      </w:r>
      <w:r w:rsidR="005E0A21" w:rsidRPr="00487CAF">
        <w:rPr>
          <w:rFonts w:cs="Arial"/>
        </w:rPr>
        <w:t xml:space="preserve">This view is </w:t>
      </w:r>
      <w:r w:rsidR="005E0A21">
        <w:rPr>
          <w:rFonts w:cs="Arial"/>
        </w:rPr>
        <w:t>supported by</w:t>
      </w:r>
      <w:r w:rsidR="005E0A21" w:rsidRPr="00487CAF">
        <w:rPr>
          <w:rFonts w:cs="Arial"/>
        </w:rPr>
        <w:t xml:space="preserve"> the experience of </w:t>
      </w:r>
      <w:r w:rsidR="005E0A21">
        <w:rPr>
          <w:rFonts w:cs="Arial"/>
        </w:rPr>
        <w:t xml:space="preserve">apprentices during </w:t>
      </w:r>
      <w:r w:rsidR="005E0A21" w:rsidRPr="00487CAF">
        <w:rPr>
          <w:rFonts w:cs="Arial"/>
        </w:rPr>
        <w:t>the Glo</w:t>
      </w:r>
      <w:r w:rsidR="005E0A21">
        <w:rPr>
          <w:rFonts w:cs="Arial"/>
        </w:rPr>
        <w:t xml:space="preserve">bal Financial Crisis 2007-08 (GFC) which saw new entrant construction apprentices fall sharply. After prolonged and strong growth in commencements 2001 – 2008, the environment has since has been variable in commencements and declining since 2015. </w:t>
      </w:r>
    </w:p>
    <w:p w:rsidR="007E3D0D" w:rsidRPr="005E0A21" w:rsidRDefault="005E0A21" w:rsidP="007E3D0D">
      <w:pPr>
        <w:pStyle w:val="CSQbody"/>
        <w:rPr>
          <w:rFonts w:cs="Arial"/>
        </w:rPr>
      </w:pPr>
      <w:r>
        <w:rPr>
          <w:rFonts w:cs="Arial"/>
        </w:rPr>
        <w:t>Building and construction apprentices in-training has been more stable and similarly a</w:t>
      </w:r>
      <w:r w:rsidR="007E3D0D">
        <w:t>pprenticeship and traineeship completion rates are at satisfactory levels (approximately 65 per cent apprenticeship completion rate in building and construction</w:t>
      </w:r>
      <w:r>
        <w:t xml:space="preserve"> in Queensland</w:t>
      </w:r>
      <w:r w:rsidR="00F85104">
        <w:rPr>
          <w:rStyle w:val="FootnoteReference"/>
        </w:rPr>
        <w:footnoteReference w:id="10"/>
      </w:r>
      <w:r>
        <w:t xml:space="preserve">). This </w:t>
      </w:r>
      <w:r w:rsidR="003A022D">
        <w:t xml:space="preserve">is </w:t>
      </w:r>
      <w:r w:rsidR="007E3D0D">
        <w:t>comparable to higher education completion (six-year cohort completion 63.2% with 11.8% still enrolled)</w:t>
      </w:r>
      <w:sdt>
        <w:sdtPr>
          <w:id w:val="1924150340"/>
          <w:citation/>
        </w:sdtPr>
        <w:sdtEndPr/>
        <w:sdtContent>
          <w:r w:rsidR="007E3D0D">
            <w:fldChar w:fldCharType="begin"/>
          </w:r>
          <w:r w:rsidR="007E3D0D">
            <w:instrText xml:space="preserve"> CITATION Dep19 \l 3081 </w:instrText>
          </w:r>
          <w:r w:rsidR="007E3D0D">
            <w:fldChar w:fldCharType="separate"/>
          </w:r>
          <w:r w:rsidR="007E3D0D">
            <w:rPr>
              <w:noProof/>
            </w:rPr>
            <w:t xml:space="preserve"> (Department of Education, 2019)</w:t>
          </w:r>
          <w:r w:rsidR="007E3D0D">
            <w:fldChar w:fldCharType="end"/>
          </w:r>
        </w:sdtContent>
      </w:sdt>
      <w:r w:rsidR="007E3D0D">
        <w:t xml:space="preserve">. </w:t>
      </w:r>
    </w:p>
    <w:p w:rsidR="00975F65" w:rsidRDefault="005E0A21" w:rsidP="00C20798">
      <w:pPr>
        <w:pStyle w:val="CSQbody"/>
      </w:pPr>
      <w:r>
        <w:t xml:space="preserve">Against the backdrop of potential further falls in apprentice commencements CSQ is keen to explore ways to make the apprentice pathway clearer, more accessible and to provide certainty to both apprentices and employers alike. </w:t>
      </w:r>
    </w:p>
    <w:p w:rsidR="00C20798" w:rsidRDefault="00C20798" w:rsidP="006D078B">
      <w:pPr>
        <w:pStyle w:val="Numeredheadinglevel11"/>
      </w:pPr>
      <w:r>
        <w:t xml:space="preserve">Alternative </w:t>
      </w:r>
      <w:r w:rsidR="00B11297">
        <w:t xml:space="preserve">and wrap around </w:t>
      </w:r>
      <w:r>
        <w:t xml:space="preserve">models </w:t>
      </w:r>
    </w:p>
    <w:p w:rsidR="00C20798" w:rsidRDefault="005E0A21" w:rsidP="00C20798">
      <w:pPr>
        <w:pStyle w:val="CSQbody"/>
      </w:pPr>
      <w:r>
        <w:t xml:space="preserve">While the apprenticeship system has and continues to serve our industry, like any </w:t>
      </w:r>
      <w:r w:rsidR="009E1E1E">
        <w:t>government-funded program</w:t>
      </w:r>
      <w:r>
        <w:t>, periodic review and consideration is needed</w:t>
      </w:r>
      <w:r w:rsidR="00C20798">
        <w:t xml:space="preserve">. </w:t>
      </w:r>
      <w:r>
        <w:t>It is fundamental that the link between employment and training is maintained in the apprenticeshi</w:t>
      </w:r>
      <w:r w:rsidR="00D02605">
        <w:t xml:space="preserve">p system. </w:t>
      </w:r>
      <w:r w:rsidR="009E1E1E">
        <w:t xml:space="preserve">There can be flexibility in how this is achieved. </w:t>
      </w:r>
    </w:p>
    <w:p w:rsidR="0059671D" w:rsidRDefault="00D02605" w:rsidP="00C20798">
      <w:pPr>
        <w:pStyle w:val="CSQbody"/>
      </w:pPr>
      <w:r>
        <w:t xml:space="preserve">CSQ sees the apprenticeship model working on a spectrum with associated programs and wraparound services essential to provide end-to-end solutions for employers and apprentices. The following paragraphs outline some of the CSQ </w:t>
      </w:r>
      <w:r w:rsidR="00E30D26">
        <w:t>programs that</w:t>
      </w:r>
      <w:r>
        <w:t xml:space="preserve"> illustrate potential ways to approach the </w:t>
      </w:r>
      <w:r w:rsidR="009E1E1E">
        <w:lastRenderedPageBreak/>
        <w:t>apprentice skills challenge. Figures 7</w:t>
      </w:r>
      <w:r>
        <w:t xml:space="preserve"> illustrates these add-on services and alternatives to the traditional apprenticeship model. </w:t>
      </w:r>
    </w:p>
    <w:p w:rsidR="00D63A0C" w:rsidRDefault="00D63A0C" w:rsidP="00C20798">
      <w:pPr>
        <w:pStyle w:val="CSQbody"/>
      </w:pPr>
    </w:p>
    <w:p w:rsidR="00DE64BB" w:rsidRDefault="00DE64BB" w:rsidP="00DE64BB">
      <w:pPr>
        <w:pStyle w:val="Caption"/>
      </w:pPr>
      <w:r>
        <w:t xml:space="preserve">Figure </w:t>
      </w:r>
      <w:r>
        <w:fldChar w:fldCharType="begin"/>
      </w:r>
      <w:r>
        <w:instrText xml:space="preserve"> SEQ Figure \* ARABIC </w:instrText>
      </w:r>
      <w:r>
        <w:fldChar w:fldCharType="separate"/>
      </w:r>
      <w:r w:rsidR="002F3308">
        <w:rPr>
          <w:noProof/>
        </w:rPr>
        <w:t>7</w:t>
      </w:r>
      <w:r>
        <w:fldChar w:fldCharType="end"/>
      </w:r>
      <w:r>
        <w:t xml:space="preserve"> | Summary of apprentice spectrum and services</w:t>
      </w:r>
    </w:p>
    <w:p w:rsidR="00DE64BB" w:rsidRDefault="00B44C5F" w:rsidP="00C20798">
      <w:pPr>
        <w:pStyle w:val="CSQbody"/>
      </w:pPr>
      <w:r>
        <w:rPr>
          <w:noProof/>
          <w:lang w:eastAsia="en-AU"/>
        </w:rPr>
        <w:drawing>
          <wp:inline distT="0" distB="0" distL="0" distR="0">
            <wp:extent cx="5731510" cy="290893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2-table.jpg"/>
                    <pic:cNvPicPr/>
                  </pic:nvPicPr>
                  <pic:blipFill>
                    <a:blip r:embed="rId34">
                      <a:extLst>
                        <a:ext uri="{28A0092B-C50C-407E-A947-70E740481C1C}">
                          <a14:useLocalDpi xmlns:a14="http://schemas.microsoft.com/office/drawing/2010/main" val="0"/>
                        </a:ext>
                      </a:extLst>
                    </a:blip>
                    <a:stretch>
                      <a:fillRect/>
                    </a:stretch>
                  </pic:blipFill>
                  <pic:spPr>
                    <a:xfrm>
                      <a:off x="0" y="0"/>
                      <a:ext cx="5731510" cy="2908935"/>
                    </a:xfrm>
                    <a:prstGeom prst="rect">
                      <a:avLst/>
                    </a:prstGeom>
                  </pic:spPr>
                </pic:pic>
              </a:graphicData>
            </a:graphic>
          </wp:inline>
        </w:drawing>
      </w:r>
    </w:p>
    <w:p w:rsidR="00C20798" w:rsidRDefault="00687990" w:rsidP="004B152D">
      <w:pPr>
        <w:pStyle w:val="Heading3"/>
      </w:pPr>
      <w:r>
        <w:t>Pre-vocational program (under development)</w:t>
      </w:r>
      <w:r w:rsidR="00E26E12">
        <w:t xml:space="preserve"> </w:t>
      </w:r>
    </w:p>
    <w:p w:rsidR="00C20798" w:rsidRPr="001B5F4C" w:rsidRDefault="00C20798" w:rsidP="00C20798">
      <w:pPr>
        <w:pStyle w:val="CSQbody"/>
      </w:pPr>
      <w:r>
        <w:t>We are developing a</w:t>
      </w:r>
      <w:r w:rsidRPr="001B5F4C">
        <w:t xml:space="preserve"> new program to shore-up the supply of construction apprentices into next year, and if needed due to economic conditions, subsequent years. </w:t>
      </w:r>
    </w:p>
    <w:p w:rsidR="00C20798" w:rsidRPr="001B5F4C" w:rsidRDefault="00A85077" w:rsidP="00C20798">
      <w:pPr>
        <w:pStyle w:val="CSQbody"/>
      </w:pPr>
      <w:r>
        <w:rPr>
          <w:noProof/>
          <w:lang w:eastAsia="en-AU"/>
        </w:rPr>
        <mc:AlternateContent>
          <mc:Choice Requires="wps">
            <w:drawing>
              <wp:anchor distT="0" distB="0" distL="114300" distR="114300" simplePos="0" relativeHeight="251707392" behindDoc="1" locked="0" layoutInCell="1" allowOverlap="1" wp14:anchorId="20F71EFA" wp14:editId="5BF93367">
                <wp:simplePos x="0" y="0"/>
                <wp:positionH relativeFrom="column">
                  <wp:posOffset>4023360</wp:posOffset>
                </wp:positionH>
                <wp:positionV relativeFrom="paragraph">
                  <wp:posOffset>38100</wp:posOffset>
                </wp:positionV>
                <wp:extent cx="1685290" cy="2059305"/>
                <wp:effectExtent l="0" t="0" r="10160" b="17145"/>
                <wp:wrapTight wrapText="bothSides">
                  <wp:wrapPolygon edited="0">
                    <wp:start x="0" y="0"/>
                    <wp:lineTo x="0" y="21580"/>
                    <wp:lineTo x="21486" y="21580"/>
                    <wp:lineTo x="21486"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1685290" cy="2059305"/>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81218A" w:rsidRPr="00C00204" w:rsidRDefault="0081218A" w:rsidP="009E1E1E">
                            <w:pPr>
                              <w:pStyle w:val="CSQbody"/>
                              <w:jc w:val="center"/>
                              <w:rPr>
                                <w:b/>
                              </w:rPr>
                            </w:pPr>
                            <w:r>
                              <w:rPr>
                                <w:b/>
                              </w:rPr>
                              <w:t>Why prevocational?</w:t>
                            </w:r>
                          </w:p>
                          <w:p w:rsidR="0081218A" w:rsidRPr="003F298E" w:rsidRDefault="0081218A" w:rsidP="009E1E1E">
                            <w:pPr>
                              <w:pStyle w:val="CSQbody"/>
                              <w:jc w:val="center"/>
                            </w:pPr>
                            <w:r>
                              <w:t xml:space="preserve">Our experience with prevocational programs that are embedded with industry and employment can help reduce employer costs and help aspiring young apprentices make a smooth transition from school to work </w:t>
                            </w:r>
                          </w:p>
                          <w:p w:rsidR="0081218A" w:rsidRDefault="0081218A" w:rsidP="009E1E1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F71EFA" id="Text Box 24" o:spid="_x0000_s1037" type="#_x0000_t202" style="position:absolute;margin-left:316.8pt;margin-top:3pt;width:132.7pt;height:162.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" fillcolor="#ffcd1a [3204]" strokecolor="white [3201]" strokeweight="1.5pt">
                <v:textbox>
                  <w:txbxContent>
                    <w:p w:rsidR="0081218A" w:rsidRPr="00C00204" w:rsidRDefault="0081218A" w:rsidP="009E1E1E">
                      <w:pPr>
                        <w:pStyle w:val="CSQbody"/>
                        <w:jc w:val="center"/>
                        <w:rPr>
                          <w:b/>
                        </w:rPr>
                      </w:pPr>
                      <w:r>
                        <w:rPr>
                          <w:b/>
                        </w:rPr>
                        <w:t>Why prevocational?</w:t>
                      </w:r>
                    </w:p>
                    <w:p w:rsidR="0081218A" w:rsidRPr="003F298E" w:rsidRDefault="0081218A" w:rsidP="009E1E1E">
                      <w:pPr>
                        <w:pStyle w:val="CSQbody"/>
                        <w:jc w:val="center"/>
                      </w:pPr>
                      <w:r>
                        <w:t xml:space="preserve">Our experience with prevocational programs that are embedded with industry and employment can help reduce employer costs and help aspiring young apprentices make a smooth transition from school to work </w:t>
                      </w:r>
                    </w:p>
                    <w:p w:rsidR="0081218A" w:rsidRDefault="0081218A" w:rsidP="009E1E1E">
                      <w:pPr>
                        <w:jc w:val="center"/>
                      </w:pPr>
                    </w:p>
                  </w:txbxContent>
                </v:textbox>
                <w10:wrap type="tight"/>
              </v:shape>
            </w:pict>
          </mc:Fallback>
        </mc:AlternateContent>
      </w:r>
      <w:r w:rsidR="00C20798">
        <w:t>T</w:t>
      </w:r>
      <w:r w:rsidR="00C20798" w:rsidRPr="001B5F4C">
        <w:t>his program will help provide an apprenticeship-ready, work-ready workforce</w:t>
      </w:r>
      <w:r w:rsidR="00C20798">
        <w:t xml:space="preserve"> and </w:t>
      </w:r>
      <w:r w:rsidR="00C20798" w:rsidRPr="001B5F4C">
        <w:t>help reduce employment uncertainty through the:</w:t>
      </w:r>
    </w:p>
    <w:p w:rsidR="00C20798" w:rsidRPr="001B5F4C" w:rsidRDefault="00C20798" w:rsidP="00C20798">
      <w:pPr>
        <w:pStyle w:val="CSQbody"/>
        <w:numPr>
          <w:ilvl w:val="0"/>
          <w:numId w:val="16"/>
        </w:numPr>
      </w:pPr>
      <w:r w:rsidRPr="001B5F4C">
        <w:t xml:space="preserve">provision of accredited training at Certificate I – III level </w:t>
      </w:r>
    </w:p>
    <w:p w:rsidR="00C20798" w:rsidRDefault="00C20798" w:rsidP="00C20798">
      <w:pPr>
        <w:pStyle w:val="CSQbody"/>
        <w:numPr>
          <w:ilvl w:val="0"/>
          <w:numId w:val="16"/>
        </w:numPr>
      </w:pPr>
      <w:r w:rsidRPr="001B5F4C">
        <w:t>delivery of work experience</w:t>
      </w:r>
    </w:p>
    <w:p w:rsidR="00C20798" w:rsidRPr="001B5F4C" w:rsidRDefault="00C20798" w:rsidP="00C20798">
      <w:pPr>
        <w:pStyle w:val="CSQbody"/>
        <w:numPr>
          <w:ilvl w:val="0"/>
          <w:numId w:val="16"/>
        </w:numPr>
      </w:pPr>
      <w:r>
        <w:t xml:space="preserve">provision of life skills training (for example budgeting, </w:t>
      </w:r>
      <w:r w:rsidR="00A85077">
        <w:br/>
      </w:r>
      <w:r>
        <w:t>health and resilience)</w:t>
      </w:r>
    </w:p>
    <w:p w:rsidR="00C20798" w:rsidRPr="001B5F4C" w:rsidRDefault="00C20798" w:rsidP="00C20798">
      <w:pPr>
        <w:pStyle w:val="CSQbody"/>
        <w:numPr>
          <w:ilvl w:val="0"/>
          <w:numId w:val="16"/>
        </w:numPr>
      </w:pPr>
      <w:r w:rsidRPr="001B5F4C">
        <w:t>eligibility</w:t>
      </w:r>
      <w:r w:rsidR="00D136FB">
        <w:t xml:space="preserve"> for</w:t>
      </w:r>
      <w:r w:rsidRPr="001B5F4C">
        <w:t xml:space="preserve"> transitioning workers from other industries</w:t>
      </w:r>
    </w:p>
    <w:p w:rsidR="00C20798" w:rsidRDefault="00C20798" w:rsidP="00D02605">
      <w:pPr>
        <w:pStyle w:val="CSQbody"/>
      </w:pPr>
      <w:r>
        <w:t xml:space="preserve">Delivered over 16 weeks the program </w:t>
      </w:r>
      <w:r w:rsidR="00D136FB">
        <w:t>will provide</w:t>
      </w:r>
      <w:r w:rsidR="00D02605">
        <w:t xml:space="preserve"> training to get an individual started in the industry,</w:t>
      </w:r>
      <w:r>
        <w:t xml:space="preserve"> Certificate III training that can be recog</w:t>
      </w:r>
      <w:r w:rsidR="00D02605">
        <w:t xml:space="preserve">nised towards an apprenticeship, training to develop soft skills and direct work experience. </w:t>
      </w:r>
    </w:p>
    <w:p w:rsidR="003A022D" w:rsidRDefault="003A022D" w:rsidP="003A022D">
      <w:pPr>
        <w:pStyle w:val="CSQbody"/>
      </w:pPr>
    </w:p>
    <w:p w:rsidR="009B427A" w:rsidRDefault="009B427A">
      <w:pPr>
        <w:rPr>
          <w:rFonts w:ascii="Arial" w:eastAsia="MS Gothic" w:hAnsi="Arial"/>
          <w:b/>
          <w:bCs/>
          <w:sz w:val="24"/>
          <w:szCs w:val="26"/>
        </w:rPr>
      </w:pPr>
      <w:r>
        <w:br w:type="page"/>
      </w:r>
    </w:p>
    <w:p w:rsidR="00C20798" w:rsidRDefault="00C20798" w:rsidP="004B152D">
      <w:pPr>
        <w:pStyle w:val="Heading3"/>
      </w:pPr>
      <w:r>
        <w:lastRenderedPageBreak/>
        <w:t>Registered Trade Skills Pathways (RTSP)</w:t>
      </w:r>
    </w:p>
    <w:p w:rsidR="00C00204" w:rsidRDefault="00C00204" w:rsidP="00C20798">
      <w:pPr>
        <w:pStyle w:val="CSQbody"/>
      </w:pPr>
    </w:p>
    <w:p w:rsidR="00C20798" w:rsidRDefault="00A848D0" w:rsidP="00C20798">
      <w:pPr>
        <w:pStyle w:val="CSQbody"/>
      </w:pPr>
      <w:r>
        <w:t xml:space="preserve">This program produces qualified tradespeople outside of the traditional apprenticeship pathway. </w:t>
      </w:r>
      <w:r w:rsidR="00C20798">
        <w:t xml:space="preserve">Since introduction </w:t>
      </w:r>
      <w:r w:rsidR="00CF188D">
        <w:t xml:space="preserve">as a trial </w:t>
      </w:r>
      <w:r w:rsidR="00C20798">
        <w:t xml:space="preserve">in 2013 the program </w:t>
      </w:r>
      <w:r w:rsidR="00CF188D">
        <w:t xml:space="preserve">has become embedded in our operations and offerings to industry. </w:t>
      </w:r>
    </w:p>
    <w:p w:rsidR="00C20798" w:rsidRDefault="00A85077" w:rsidP="00C20798">
      <w:pPr>
        <w:pStyle w:val="CSQbody"/>
      </w:pPr>
      <w:r>
        <w:rPr>
          <w:noProof/>
          <w:lang w:eastAsia="en-AU"/>
        </w:rPr>
        <mc:AlternateContent>
          <mc:Choice Requires="wps">
            <w:drawing>
              <wp:anchor distT="0" distB="0" distL="114300" distR="114300" simplePos="0" relativeHeight="251669504" behindDoc="0" locked="0" layoutInCell="1" allowOverlap="1" wp14:anchorId="3C9123C5" wp14:editId="2B0D198A">
                <wp:simplePos x="0" y="0"/>
                <wp:positionH relativeFrom="page">
                  <wp:posOffset>4945684</wp:posOffset>
                </wp:positionH>
                <wp:positionV relativeFrom="paragraph">
                  <wp:posOffset>28575</wp:posOffset>
                </wp:positionV>
                <wp:extent cx="1612900" cy="2583815"/>
                <wp:effectExtent l="0" t="0" r="25400" b="26035"/>
                <wp:wrapSquare wrapText="bothSides"/>
                <wp:docPr id="11" name="Text Box 11"/>
                <wp:cNvGraphicFramePr/>
                <a:graphic xmlns:a="http://schemas.openxmlformats.org/drawingml/2006/main">
                  <a:graphicData uri="http://schemas.microsoft.com/office/word/2010/wordprocessingShape">
                    <wps:wsp>
                      <wps:cNvSpPr txBox="1"/>
                      <wps:spPr>
                        <a:xfrm>
                          <a:off x="0" y="0"/>
                          <a:ext cx="1612900" cy="2583815"/>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81218A" w:rsidRPr="00322E7C" w:rsidRDefault="0081218A" w:rsidP="00C00204">
                            <w:pPr>
                              <w:pStyle w:val="CSQbody"/>
                              <w:jc w:val="center"/>
                              <w:rPr>
                                <w:b/>
                              </w:rPr>
                            </w:pPr>
                            <w:r w:rsidRPr="00322E7C">
                              <w:rPr>
                                <w:b/>
                              </w:rPr>
                              <w:t>Improving access to trade qualifications</w:t>
                            </w:r>
                          </w:p>
                          <w:p w:rsidR="0081218A" w:rsidRDefault="0081218A" w:rsidP="00C00204">
                            <w:pPr>
                              <w:pStyle w:val="CSQbody"/>
                              <w:jc w:val="center"/>
                            </w:pPr>
                            <w:r>
                              <w:t xml:space="preserve">This program produces qualified tradespeople via a flexible delivery mode. It provides opportunities for unqualified workers, or workers aspiring to a trade-level qualification, to build on existing skills, knowledge and experience to gain a trade qualification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C9123C5" id="Text Box 11" o:spid="_x0000_s1038" type="#_x0000_t202" style="position:absolute;margin-left:389.4pt;margin-top:2.25pt;width:127pt;height:203.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" fillcolor="#ffcd1a [3204]" strokecolor="white [3201]" strokeweight="1.5pt">
                <v:textbox>
                  <w:txbxContent>
                    <w:p w:rsidR="0081218A" w:rsidRPr="00322E7C" w:rsidRDefault="0081218A" w:rsidP="00C00204">
                      <w:pPr>
                        <w:pStyle w:val="CSQbody"/>
                        <w:jc w:val="center"/>
                        <w:rPr>
                          <w:b/>
                        </w:rPr>
                      </w:pPr>
                      <w:r w:rsidRPr="00322E7C">
                        <w:rPr>
                          <w:b/>
                        </w:rPr>
                        <w:t>Improving access to trade qualifications</w:t>
                      </w:r>
                    </w:p>
                    <w:p w:rsidR="0081218A" w:rsidRDefault="0081218A" w:rsidP="00C00204">
                      <w:pPr>
                        <w:pStyle w:val="CSQbody"/>
                        <w:jc w:val="center"/>
                      </w:pPr>
                      <w:r>
                        <w:t xml:space="preserve">This program produces qualified tradespeople via a flexible delivery mode. It provides opportunities for unqualified workers, or workers aspiring to a trade-level qualification, to build on existing skills, knowledge and experience to gain a trade qualification </w:t>
                      </w:r>
                    </w:p>
                  </w:txbxContent>
                </v:textbox>
                <w10:wrap type="square" anchorx="page"/>
              </v:shape>
            </w:pict>
          </mc:Fallback>
        </mc:AlternateContent>
      </w:r>
      <w:r w:rsidR="00C20798">
        <w:t>RTSP produces qualified trades people flexibly</w:t>
      </w:r>
      <w:r w:rsidR="00E11848">
        <w:t>, creating opportunities for those unable to participate in or access a traditional apprenticeship</w:t>
      </w:r>
      <w:r w:rsidR="00C20798">
        <w:t>. It provides:</w:t>
      </w:r>
    </w:p>
    <w:p w:rsidR="00C20798" w:rsidRDefault="00C20798" w:rsidP="00C20798">
      <w:pPr>
        <w:pStyle w:val="CSQbullet1"/>
      </w:pPr>
      <w:r>
        <w:t>Training and work based skill formation in selected traditional trade occupations</w:t>
      </w:r>
      <w:r w:rsidR="00E11848">
        <w:t>.</w:t>
      </w:r>
      <w:r>
        <w:rPr>
          <w:rStyle w:val="FootnoteReference"/>
        </w:rPr>
        <w:footnoteReference w:id="11"/>
      </w:r>
      <w:r>
        <w:t xml:space="preserve"> </w:t>
      </w:r>
    </w:p>
    <w:p w:rsidR="00C20798" w:rsidRDefault="0081218A" w:rsidP="00C20798">
      <w:pPr>
        <w:pStyle w:val="CSQbullet1"/>
      </w:pPr>
      <w:r>
        <w:t>Delivery that is flexible</w:t>
      </w:r>
      <w:r w:rsidR="00E11848">
        <w:t xml:space="preserve"> and can work around differing individual circumstance </w:t>
      </w:r>
      <w:r w:rsidR="00C20798">
        <w:t>(e.g. casual employment arrangements/ remote locality)</w:t>
      </w:r>
      <w:r>
        <w:t>.</w:t>
      </w:r>
    </w:p>
    <w:p w:rsidR="00C20798" w:rsidRDefault="00A848D0" w:rsidP="00C20798">
      <w:pPr>
        <w:pStyle w:val="CSQbody"/>
      </w:pPr>
      <w:r>
        <w:t xml:space="preserve">We deliver the RTSP in partnership with the Queensland Department of Employment, Small Business and Training (DESBT). </w:t>
      </w:r>
      <w:r w:rsidR="00C20798">
        <w:t>Administratively, participants complete and submit an RSTP application for approval and registration to DESBT. The RTO is p</w:t>
      </w:r>
      <w:r>
        <w:t>art of the application process.</w:t>
      </w:r>
      <w:r w:rsidR="00C20798">
        <w:t xml:space="preserve"> Approval of registration is sent by DESBT to the participant, the contracted RTO and CSQ – to notify that training can commence.</w:t>
      </w:r>
      <w:r w:rsidR="00E11848">
        <w:t xml:space="preserve"> Licensed trades are not part of the program. </w:t>
      </w:r>
    </w:p>
    <w:p w:rsidR="00C00204" w:rsidRDefault="00C00204" w:rsidP="00C20798">
      <w:pPr>
        <w:pStyle w:val="CSQbody"/>
      </w:pPr>
    </w:p>
    <w:p w:rsidR="00C00204" w:rsidRDefault="00C00204" w:rsidP="00C00204">
      <w:pPr>
        <w:pStyle w:val="Caption"/>
      </w:pPr>
      <w:r>
        <w:t xml:space="preserve">Table </w:t>
      </w:r>
      <w:r>
        <w:fldChar w:fldCharType="begin"/>
      </w:r>
      <w:r>
        <w:instrText xml:space="preserve"> SEQ Table \* ARABIC </w:instrText>
      </w:r>
      <w:r>
        <w:fldChar w:fldCharType="separate"/>
      </w:r>
      <w:r w:rsidR="002F3308">
        <w:rPr>
          <w:noProof/>
        </w:rPr>
        <w:t>1</w:t>
      </w:r>
      <w:r>
        <w:fldChar w:fldCharType="end"/>
      </w:r>
      <w:r>
        <w:t xml:space="preserve"> | RTSP | Differences from and similarities to an apprenticeship</w:t>
      </w:r>
    </w:p>
    <w:tbl>
      <w:tblPr>
        <w:tblStyle w:val="ListTable3-Accent1"/>
        <w:tblW w:w="0" w:type="auto"/>
        <w:tblLook w:val="04A0" w:firstRow="1" w:lastRow="0" w:firstColumn="1" w:lastColumn="0" w:noHBand="0" w:noVBand="1"/>
      </w:tblPr>
      <w:tblGrid>
        <w:gridCol w:w="4454"/>
        <w:gridCol w:w="4454"/>
      </w:tblGrid>
      <w:tr w:rsidR="00C20798" w:rsidTr="00F424B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454" w:type="dxa"/>
          </w:tcPr>
          <w:p w:rsidR="00C20798" w:rsidRPr="00DF4EBC" w:rsidRDefault="00C20798" w:rsidP="00F424BD">
            <w:pPr>
              <w:pStyle w:val="CSQbody"/>
            </w:pPr>
            <w:r w:rsidRPr="00DF4EBC">
              <w:t>Differences from an apprenticeship</w:t>
            </w:r>
          </w:p>
        </w:tc>
        <w:tc>
          <w:tcPr>
            <w:tcW w:w="4454" w:type="dxa"/>
          </w:tcPr>
          <w:p w:rsidR="00C20798" w:rsidRPr="00DF4EBC" w:rsidRDefault="00C20798" w:rsidP="00F424BD">
            <w:pPr>
              <w:pStyle w:val="CSQbody"/>
              <w:cnfStyle w:val="100000000000" w:firstRow="1" w:lastRow="0" w:firstColumn="0" w:lastColumn="0" w:oddVBand="0" w:evenVBand="0" w:oddHBand="0" w:evenHBand="0" w:firstRowFirstColumn="0" w:firstRowLastColumn="0" w:lastRowFirstColumn="0" w:lastRowLastColumn="0"/>
            </w:pPr>
            <w:r w:rsidRPr="00DF4EBC">
              <w:t>Similarities to an apprenticeship</w:t>
            </w:r>
          </w:p>
        </w:tc>
      </w:tr>
      <w:tr w:rsidR="00C20798" w:rsidTr="00F42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4" w:type="dxa"/>
          </w:tcPr>
          <w:p w:rsidR="00C20798" w:rsidRPr="00F47FE8" w:rsidRDefault="00C20798" w:rsidP="00F424BD">
            <w:pPr>
              <w:pStyle w:val="CSQbody"/>
              <w:rPr>
                <w:b w:val="0"/>
              </w:rPr>
            </w:pPr>
            <w:r w:rsidRPr="00F47FE8">
              <w:rPr>
                <w:b w:val="0"/>
              </w:rPr>
              <w:t>There is</w:t>
            </w:r>
            <w:r>
              <w:rPr>
                <w:b w:val="0"/>
              </w:rPr>
              <w:t xml:space="preserve"> no ‘Training Contract’ (</w:t>
            </w:r>
            <w:r w:rsidRPr="00F47FE8">
              <w:rPr>
                <w:b w:val="0"/>
              </w:rPr>
              <w:t xml:space="preserve">the agreement that is signed by an employer and an apprentice and then registered with </w:t>
            </w:r>
            <w:r>
              <w:rPr>
                <w:b w:val="0"/>
              </w:rPr>
              <w:t>the Department</w:t>
            </w:r>
            <w:r w:rsidRPr="00F47FE8">
              <w:rPr>
                <w:b w:val="0"/>
              </w:rPr>
              <w:t>)</w:t>
            </w:r>
            <w:r>
              <w:rPr>
                <w:b w:val="0"/>
              </w:rPr>
              <w:t>.</w:t>
            </w:r>
          </w:p>
          <w:p w:rsidR="00C20798" w:rsidRPr="005767C4" w:rsidRDefault="00C20798" w:rsidP="00F424BD">
            <w:pPr>
              <w:pStyle w:val="CSQbody"/>
              <w:rPr>
                <w:b w:val="0"/>
              </w:rPr>
            </w:pPr>
            <w:r w:rsidRPr="005767C4">
              <w:rPr>
                <w:b w:val="0"/>
              </w:rPr>
              <w:t xml:space="preserve">The participant undertakes </w:t>
            </w:r>
            <w:r>
              <w:rPr>
                <w:b w:val="0"/>
              </w:rPr>
              <w:t>the training in their own time.</w:t>
            </w:r>
          </w:p>
          <w:p w:rsidR="00C20798" w:rsidRDefault="00C20798" w:rsidP="00F424BD">
            <w:pPr>
              <w:pStyle w:val="CSQbody"/>
            </w:pPr>
          </w:p>
        </w:tc>
        <w:tc>
          <w:tcPr>
            <w:tcW w:w="4454" w:type="dxa"/>
          </w:tcPr>
          <w:p w:rsidR="00C20798" w:rsidRDefault="00C20798" w:rsidP="00F424BD">
            <w:pPr>
              <w:pStyle w:val="CSQbody"/>
              <w:cnfStyle w:val="000000100000" w:firstRow="0" w:lastRow="0" w:firstColumn="0" w:lastColumn="0" w:oddVBand="0" w:evenVBand="0" w:oddHBand="1" w:evenHBand="0" w:firstRowFirstColumn="0" w:firstRowLastColumn="0" w:lastRowFirstColumn="0" w:lastRowLastColumn="0"/>
            </w:pPr>
            <w:r>
              <w:t>The program incorporates 3 important elements of the apprenticeship system:</w:t>
            </w:r>
          </w:p>
          <w:p w:rsidR="00C20798" w:rsidRDefault="00DE64BB" w:rsidP="00F424BD">
            <w:pPr>
              <w:pStyle w:val="CSQbullet1"/>
              <w:cnfStyle w:val="000000100000" w:firstRow="0" w:lastRow="0" w:firstColumn="0" w:lastColumn="0" w:oddVBand="0" w:evenVBand="0" w:oddHBand="1" w:evenHBand="0" w:firstRowFirstColumn="0" w:firstRowLastColumn="0" w:lastRowFirstColumn="0" w:lastRowLastColumn="0"/>
            </w:pPr>
            <w:r>
              <w:t>T</w:t>
            </w:r>
            <w:r w:rsidR="00C20798">
              <w:t xml:space="preserve">he RTSP requires approval from and registration with DESBT </w:t>
            </w:r>
          </w:p>
          <w:p w:rsidR="00C20798" w:rsidRDefault="00B84823" w:rsidP="00C00204">
            <w:pPr>
              <w:pStyle w:val="CSQbullet1"/>
              <w:numPr>
                <w:ilvl w:val="0"/>
                <w:numId w:val="7"/>
              </w:numPr>
              <w:cnfStyle w:val="000000100000" w:firstRow="0" w:lastRow="0" w:firstColumn="0" w:lastColumn="0" w:oddVBand="0" w:evenVBand="0" w:oddHBand="1" w:evenHBand="0" w:firstRowFirstColumn="0" w:firstRowLastColumn="0" w:lastRowFirstColumn="0" w:lastRowLastColumn="0"/>
            </w:pPr>
            <w:r>
              <w:t>A</w:t>
            </w:r>
            <w:r w:rsidR="00C20798">
              <w:t xml:space="preserve"> Training Plan</w:t>
            </w:r>
            <w:r w:rsidR="00C00204">
              <w:t xml:space="preserve"> and Training Record book</w:t>
            </w:r>
            <w:r w:rsidR="00C20798">
              <w:t>, (responsibility of the RTO), i</w:t>
            </w:r>
            <w:r w:rsidR="00C00204">
              <w:t>s developed and maintained.</w:t>
            </w:r>
          </w:p>
        </w:tc>
      </w:tr>
    </w:tbl>
    <w:p w:rsidR="00776D9C" w:rsidRDefault="00776D9C" w:rsidP="00C20798">
      <w:pPr>
        <w:pStyle w:val="CSQbody"/>
      </w:pPr>
    </w:p>
    <w:p w:rsidR="00A85077" w:rsidRDefault="00A85077">
      <w:pPr>
        <w:rPr>
          <w:rFonts w:ascii="Arial" w:eastAsia="Times" w:hAnsi="Arial"/>
        </w:rPr>
      </w:pPr>
      <w:r>
        <w:br w:type="page"/>
      </w:r>
    </w:p>
    <w:p w:rsidR="00D02605" w:rsidRDefault="00A85077" w:rsidP="004B152D">
      <w:pPr>
        <w:pStyle w:val="Heading3"/>
      </w:pPr>
      <w:r>
        <w:rPr>
          <w:noProof/>
          <w:lang w:eastAsia="en-AU"/>
        </w:rPr>
        <w:lastRenderedPageBreak/>
        <mc:AlternateContent>
          <mc:Choice Requires="wps">
            <w:drawing>
              <wp:anchor distT="0" distB="0" distL="114300" distR="114300" simplePos="0" relativeHeight="251692032" behindDoc="0" locked="0" layoutInCell="1" allowOverlap="1" wp14:anchorId="37EAE4A7" wp14:editId="3C0949D9">
                <wp:simplePos x="0" y="0"/>
                <wp:positionH relativeFrom="page">
                  <wp:posOffset>4793311</wp:posOffset>
                </wp:positionH>
                <wp:positionV relativeFrom="paragraph">
                  <wp:posOffset>71120</wp:posOffset>
                </wp:positionV>
                <wp:extent cx="1889760" cy="2615565"/>
                <wp:effectExtent l="0" t="0" r="15240" b="13335"/>
                <wp:wrapSquare wrapText="bothSides"/>
                <wp:docPr id="20" name="Text Box 20"/>
                <wp:cNvGraphicFramePr/>
                <a:graphic xmlns:a="http://schemas.openxmlformats.org/drawingml/2006/main">
                  <a:graphicData uri="http://schemas.microsoft.com/office/word/2010/wordprocessingShape">
                    <wps:wsp>
                      <wps:cNvSpPr txBox="1"/>
                      <wps:spPr>
                        <a:xfrm>
                          <a:off x="0" y="0"/>
                          <a:ext cx="1889760" cy="2615565"/>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81218A" w:rsidRPr="00322E7C" w:rsidRDefault="0081218A" w:rsidP="00D63A0C">
                            <w:pPr>
                              <w:pStyle w:val="CSQbody"/>
                              <w:jc w:val="center"/>
                              <w:rPr>
                                <w:b/>
                              </w:rPr>
                            </w:pPr>
                            <w:r>
                              <w:rPr>
                                <w:b/>
                              </w:rPr>
                              <w:t>Supporting apprentices to take the next step</w:t>
                            </w:r>
                          </w:p>
                          <w:p w:rsidR="0081218A" w:rsidRDefault="0081218A" w:rsidP="00A85077">
                            <w:pPr>
                              <w:pStyle w:val="CSQbody"/>
                              <w:jc w:val="center"/>
                            </w:pPr>
                            <w:r>
                              <w:t>This program provides critical support to apprentices who may need additional short course training across the duration of their apprenticeship. This program creates a line of sight to, and actively supports the next steps needed to establish a foothold in the industry and, where needed to gain licensing or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EAE4A7" id="Text Box 20" o:spid="_x0000_s1039" type="#_x0000_t202" style="position:absolute;margin-left:377.45pt;margin-top:5.6pt;width:148.8pt;height:205.9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" fillcolor="#ffcd1a [3204]" strokecolor="white [3201]" strokeweight="1.5pt">
                <v:textbox>
                  <w:txbxContent>
                    <w:p w:rsidR="0081218A" w:rsidRPr="00322E7C" w:rsidRDefault="0081218A" w:rsidP="00D63A0C">
                      <w:pPr>
                        <w:pStyle w:val="CSQbody"/>
                        <w:jc w:val="center"/>
                        <w:rPr>
                          <w:b/>
                        </w:rPr>
                      </w:pPr>
                      <w:r>
                        <w:rPr>
                          <w:b/>
                        </w:rPr>
                        <w:t>Supporting apprentices to take the next step</w:t>
                      </w:r>
                    </w:p>
                    <w:p w:rsidR="0081218A" w:rsidRDefault="0081218A" w:rsidP="00A85077">
                      <w:pPr>
                        <w:pStyle w:val="CSQbody"/>
                        <w:jc w:val="center"/>
                      </w:pPr>
                      <w:r>
                        <w:t>This program provides critical support to apprentices who may need additional short course training across the duration of their apprenticeship. This program creates a line of sight to, and actively supports the next steps needed to establish a foothold in the industry and, where needed to gain licensing or registration.</w:t>
                      </w:r>
                    </w:p>
                  </w:txbxContent>
                </v:textbox>
                <w10:wrap type="square" anchorx="page"/>
              </v:shape>
            </w:pict>
          </mc:Fallback>
        </mc:AlternateContent>
      </w:r>
      <w:r w:rsidR="00DE64BB">
        <w:t>Apprentice Advance</w:t>
      </w:r>
      <w:r w:rsidR="00D02605">
        <w:t>+</w:t>
      </w:r>
    </w:p>
    <w:p w:rsidR="00D02605" w:rsidRDefault="00E11848" w:rsidP="00D02605">
      <w:pPr>
        <w:pStyle w:val="CSQbody"/>
      </w:pPr>
      <w:r>
        <w:t>T</w:t>
      </w:r>
      <w:r w:rsidR="00D02605">
        <w:t xml:space="preserve">he </w:t>
      </w:r>
      <w:r>
        <w:t xml:space="preserve">CSQ </w:t>
      </w:r>
      <w:r w:rsidR="00D02605">
        <w:t>Apprentice Advance+ program, provides eligible apprentices with:</w:t>
      </w:r>
      <w:r w:rsidR="00D63A0C" w:rsidRPr="00D63A0C">
        <w:rPr>
          <w:noProof/>
          <w:lang w:eastAsia="en-AU"/>
        </w:rPr>
        <w:t xml:space="preserve"> </w:t>
      </w:r>
    </w:p>
    <w:p w:rsidR="00D02605" w:rsidRDefault="00D02605" w:rsidP="00D02605">
      <w:pPr>
        <w:pStyle w:val="CSQbody"/>
        <w:numPr>
          <w:ilvl w:val="0"/>
          <w:numId w:val="13"/>
        </w:numPr>
      </w:pPr>
      <w:r>
        <w:t>Access to fully subsidised short courses</w:t>
      </w:r>
      <w:r w:rsidR="00E11848">
        <w:rPr>
          <w:rStyle w:val="FootnoteReference"/>
        </w:rPr>
        <w:footnoteReference w:id="12"/>
      </w:r>
    </w:p>
    <w:p w:rsidR="00D02605" w:rsidRDefault="00D02605" w:rsidP="00D02605">
      <w:pPr>
        <w:pStyle w:val="CSQbody"/>
        <w:numPr>
          <w:ilvl w:val="0"/>
          <w:numId w:val="13"/>
        </w:numPr>
      </w:pPr>
      <w:r>
        <w:t xml:space="preserve">Higher level skills training, for third and fourth year </w:t>
      </w:r>
      <w:r w:rsidR="00D63A0C">
        <w:t>apprentices</w:t>
      </w:r>
    </w:p>
    <w:p w:rsidR="00CF188D" w:rsidRDefault="00CF188D" w:rsidP="00D02605">
      <w:pPr>
        <w:pStyle w:val="CSQbody"/>
      </w:pPr>
      <w:r>
        <w:t>Apprenticeship qualification attainment in our industry is frequently followed by licensing or registration requirements</w:t>
      </w:r>
      <w:r w:rsidR="00904234">
        <w:t xml:space="preserve"> -</w:t>
      </w:r>
      <w:r>
        <w:t xml:space="preserve"> 2/3 of building and construction apprentices are in the electrical, plumbing and carpentry</w:t>
      </w:r>
      <w:r w:rsidR="00D136FB">
        <w:t xml:space="preserve"> trades</w:t>
      </w:r>
      <w:r>
        <w:t>. Introduced this year this initiative helps apprentices access additional training, gain licensing and ability to trade</w:t>
      </w:r>
      <w:r w:rsidR="00904234">
        <w:t xml:space="preserve">. </w:t>
      </w:r>
    </w:p>
    <w:p w:rsidR="00D02605" w:rsidRDefault="00CF188D" w:rsidP="00D02605">
      <w:pPr>
        <w:pStyle w:val="CSQbody"/>
      </w:pPr>
      <w:r>
        <w:t>CSQ provides a full subsidy to the RTO</w:t>
      </w:r>
      <w:r w:rsidR="00D02605">
        <w:t xml:space="preserve">. No additional fees are charged however students may incur non-training related costs such as PPE, resource costs, and travel and accommodation </w:t>
      </w:r>
      <w:r w:rsidR="00A85077">
        <w:br/>
      </w:r>
      <w:r w:rsidR="00D02605">
        <w:t xml:space="preserve">costs to attend training. </w:t>
      </w:r>
    </w:p>
    <w:p w:rsidR="00D63A0C" w:rsidRDefault="00D63A0C" w:rsidP="004B152D">
      <w:pPr>
        <w:pStyle w:val="Heading3"/>
      </w:pPr>
      <w:r>
        <w:t>Workforce planning</w:t>
      </w:r>
    </w:p>
    <w:p w:rsidR="00D63A0C" w:rsidRDefault="00687990" w:rsidP="00C20798">
      <w:pPr>
        <w:pStyle w:val="CSQbody"/>
      </w:pPr>
      <w:r>
        <w:t xml:space="preserve">Working directly with industry and employers </w:t>
      </w:r>
      <w:r w:rsidR="00521C24">
        <w:t>this approach links training, jobs and workflow</w:t>
      </w:r>
      <w:r>
        <w:t xml:space="preserve">. Through our Major Projects and Industry Skills Coordination Program, CSQ works directly with employers to provide the link between building and construction stages, required occupations and community or workforce skills profiles. </w:t>
      </w:r>
      <w:r w:rsidR="00521C24">
        <w:t xml:space="preserve">We establish training plans to deliver the right training and right skills. </w:t>
      </w:r>
    </w:p>
    <w:p w:rsidR="006528A6" w:rsidRDefault="006528A6" w:rsidP="006528A6">
      <w:pPr>
        <w:pStyle w:val="Caption"/>
      </w:pPr>
      <w:r>
        <w:t xml:space="preserve">Figure </w:t>
      </w:r>
      <w:r>
        <w:fldChar w:fldCharType="begin"/>
      </w:r>
      <w:r>
        <w:instrText xml:space="preserve"> SEQ Figure \* ARABIC </w:instrText>
      </w:r>
      <w:r>
        <w:fldChar w:fldCharType="separate"/>
      </w:r>
      <w:r w:rsidR="002F3308">
        <w:rPr>
          <w:noProof/>
        </w:rPr>
        <w:t>8</w:t>
      </w:r>
      <w:r>
        <w:fldChar w:fldCharType="end"/>
      </w:r>
      <w:r w:rsidR="00F424BD">
        <w:t xml:space="preserve"> </w:t>
      </w:r>
      <w:r>
        <w:t>| Key components of workforce planning in Queensland building and construction</w:t>
      </w:r>
    </w:p>
    <w:p w:rsidR="00687990" w:rsidRDefault="00A85077" w:rsidP="00C20798">
      <w:pPr>
        <w:pStyle w:val="CSQbody"/>
      </w:pPr>
      <w:r>
        <w:rPr>
          <w:noProof/>
          <w:lang w:eastAsia="en-AU"/>
        </w:rPr>
        <mc:AlternateContent>
          <mc:Choice Requires="wps">
            <w:drawing>
              <wp:anchor distT="0" distB="0" distL="114300" distR="114300" simplePos="0" relativeHeight="251698176" behindDoc="0" locked="0" layoutInCell="1" allowOverlap="1" wp14:anchorId="637E9737" wp14:editId="0A753C8D">
                <wp:simplePos x="0" y="0"/>
                <wp:positionH relativeFrom="page">
                  <wp:posOffset>4794250</wp:posOffset>
                </wp:positionH>
                <wp:positionV relativeFrom="paragraph">
                  <wp:posOffset>21066</wp:posOffset>
                </wp:positionV>
                <wp:extent cx="1891665" cy="2797810"/>
                <wp:effectExtent l="0" t="0" r="13335" b="21590"/>
                <wp:wrapSquare wrapText="bothSides"/>
                <wp:docPr id="30" name="Text Box 30"/>
                <wp:cNvGraphicFramePr/>
                <a:graphic xmlns:a="http://schemas.openxmlformats.org/drawingml/2006/main">
                  <a:graphicData uri="http://schemas.microsoft.com/office/word/2010/wordprocessingShape">
                    <wps:wsp>
                      <wps:cNvSpPr txBox="1"/>
                      <wps:spPr>
                        <a:xfrm>
                          <a:off x="0" y="0"/>
                          <a:ext cx="1891665" cy="2797810"/>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81218A" w:rsidRPr="00322E7C" w:rsidRDefault="0081218A" w:rsidP="00A85077">
                            <w:pPr>
                              <w:pStyle w:val="CSQbody"/>
                              <w:rPr>
                                <w:b/>
                              </w:rPr>
                            </w:pPr>
                            <w:r>
                              <w:rPr>
                                <w:b/>
                              </w:rPr>
                              <w:t>Why workforce planning?</w:t>
                            </w:r>
                          </w:p>
                          <w:p w:rsidR="0081218A" w:rsidRDefault="0081218A" w:rsidP="00F424BD">
                            <w:pPr>
                              <w:pStyle w:val="CSQbody"/>
                            </w:pPr>
                            <w:r>
                              <w:t>CSQ’s workforce planning model works by:</w:t>
                            </w:r>
                          </w:p>
                          <w:p w:rsidR="0081218A" w:rsidRDefault="0081218A" w:rsidP="00F424BD">
                            <w:pPr>
                              <w:pStyle w:val="CSQbullet1"/>
                              <w:spacing w:line="270" w:lineRule="atLeast"/>
                            </w:pPr>
                            <w:r>
                              <w:t xml:space="preserve">Providing a direct and tangible link between employment and education </w:t>
                            </w:r>
                          </w:p>
                          <w:p w:rsidR="0081218A" w:rsidRDefault="0081218A" w:rsidP="00F424BD">
                            <w:pPr>
                              <w:pStyle w:val="CSQbullet1"/>
                              <w:spacing w:line="270" w:lineRule="atLeast"/>
                            </w:pPr>
                            <w:r>
                              <w:t xml:space="preserve">Considering the needs of the project and the supply of skills of the local workforce </w:t>
                            </w:r>
                          </w:p>
                          <w:p w:rsidR="0081218A" w:rsidRDefault="0081218A" w:rsidP="00F424BD">
                            <w:pPr>
                              <w:pStyle w:val="CSQbullet1"/>
                              <w:spacing w:line="270" w:lineRule="atLeast"/>
                            </w:pPr>
                            <w:r>
                              <w:t xml:space="preserve">Identifying and filling </w:t>
                            </w:r>
                            <w:r w:rsidR="00A85077">
                              <w:br/>
                            </w:r>
                            <w:r>
                              <w:t>skill gaps.</w:t>
                            </w:r>
                          </w:p>
                          <w:p w:rsidR="0081218A" w:rsidRDefault="0081218A" w:rsidP="00F424BD">
                            <w:pPr>
                              <w:pStyle w:val="CSQbody"/>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37E9737" id="Text Box 30" o:spid="_x0000_s1040" type="#_x0000_t202" style="position:absolute;margin-left:377.5pt;margin-top:1.65pt;width:148.95pt;height:220.3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" fillcolor="#ffcd1a [3204]" strokecolor="white [3201]" strokeweight="1.5pt">
                <v:textbox>
                  <w:txbxContent>
                    <w:p w:rsidR="0081218A" w:rsidRPr="00322E7C" w:rsidRDefault="0081218A" w:rsidP="00A85077">
                      <w:pPr>
                        <w:pStyle w:val="CSQbody"/>
                        <w:rPr>
                          <w:b/>
                        </w:rPr>
                      </w:pPr>
                      <w:r>
                        <w:rPr>
                          <w:b/>
                        </w:rPr>
                        <w:t>Why workforce planning?</w:t>
                      </w:r>
                    </w:p>
                    <w:p w:rsidR="0081218A" w:rsidRDefault="0081218A" w:rsidP="00F424BD">
                      <w:pPr>
                        <w:pStyle w:val="CSQbody"/>
                      </w:pPr>
                      <w:r>
                        <w:t>CSQ’s workforce planning model works by:</w:t>
                      </w:r>
                    </w:p>
                    <w:p w:rsidR="0081218A" w:rsidRDefault="0081218A" w:rsidP="00F424BD">
                      <w:pPr>
                        <w:pStyle w:val="CSQbullet1"/>
                        <w:spacing w:line="270" w:lineRule="atLeast"/>
                      </w:pPr>
                      <w:r>
                        <w:t xml:space="preserve">Providing a direct and tangible link between employment and education </w:t>
                      </w:r>
                    </w:p>
                    <w:p w:rsidR="0081218A" w:rsidRDefault="0081218A" w:rsidP="00F424BD">
                      <w:pPr>
                        <w:pStyle w:val="CSQbullet1"/>
                        <w:spacing w:line="270" w:lineRule="atLeast"/>
                      </w:pPr>
                      <w:r>
                        <w:t xml:space="preserve">Considering the needs of the project and the supply of skills of the local workforce </w:t>
                      </w:r>
                    </w:p>
                    <w:p w:rsidR="0081218A" w:rsidRDefault="0081218A" w:rsidP="00F424BD">
                      <w:pPr>
                        <w:pStyle w:val="CSQbullet1"/>
                        <w:spacing w:line="270" w:lineRule="atLeast"/>
                      </w:pPr>
                      <w:r>
                        <w:t xml:space="preserve">Identifying and filling </w:t>
                      </w:r>
                      <w:r w:rsidR="00A85077">
                        <w:br/>
                      </w:r>
                      <w:r>
                        <w:t>skill gaps.</w:t>
                      </w:r>
                    </w:p>
                    <w:p w:rsidR="0081218A" w:rsidRDefault="0081218A" w:rsidP="00F424BD">
                      <w:pPr>
                        <w:pStyle w:val="CSQbody"/>
                        <w:jc w:val="center"/>
                      </w:pPr>
                    </w:p>
                  </w:txbxContent>
                </v:textbox>
                <w10:wrap type="square" anchorx="page"/>
              </v:shape>
            </w:pict>
          </mc:Fallback>
        </mc:AlternateContent>
      </w:r>
      <w:r w:rsidR="00F424BD" w:rsidRPr="00F424BD">
        <w:rPr>
          <w:noProof/>
          <w:lang w:eastAsia="en-AU"/>
        </w:rPr>
        <w:drawing>
          <wp:inline distT="0" distB="0" distL="0" distR="0" wp14:anchorId="27C382E6" wp14:editId="6508A7E8">
            <wp:extent cx="3036570" cy="2982802"/>
            <wp:effectExtent l="0" t="0" r="0" b="8255"/>
            <wp:docPr id="37" name="Picture 37" descr="C:\Users\MichelleC\AppData\Local\Microsoft\Windows\INetCache\Content.Outlook\2NYZ5YJZ\p9-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C\AppData\Local\Microsoft\Windows\INetCache\Content.Outlook\2NYZ5YJZ\p9-graphic.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6570" cy="2982802"/>
                    </a:xfrm>
                    <a:prstGeom prst="rect">
                      <a:avLst/>
                    </a:prstGeom>
                    <a:noFill/>
                    <a:ln>
                      <a:noFill/>
                    </a:ln>
                  </pic:spPr>
                </pic:pic>
              </a:graphicData>
            </a:graphic>
          </wp:inline>
        </w:drawing>
      </w:r>
      <w:r w:rsidR="00F424BD" w:rsidRPr="00F424BD">
        <w:rPr>
          <w:noProof/>
          <w:lang w:eastAsia="en-AU"/>
        </w:rPr>
        <w:t xml:space="preserve"> </w:t>
      </w:r>
    </w:p>
    <w:p w:rsidR="000C7961" w:rsidRDefault="000C7961" w:rsidP="000C7961">
      <w:pPr>
        <w:pStyle w:val="CSQbody"/>
      </w:pPr>
      <w:r>
        <w:lastRenderedPageBreak/>
        <w:t>Workforce planning requires wraparound support. This includes staff dedicated to working with industry on specific outcomes, expertise in occupational analysis, VET competencies and the capacity to deliver education and training solutions.</w:t>
      </w:r>
    </w:p>
    <w:p w:rsidR="00FB7072" w:rsidRPr="00636247" w:rsidRDefault="00521C24" w:rsidP="00C20798">
      <w:pPr>
        <w:pStyle w:val="CSQbody"/>
      </w:pPr>
      <w:r>
        <w:t>In undertaking this task w</w:t>
      </w:r>
      <w:r w:rsidR="000C7961">
        <w:t xml:space="preserve">e also map to the Queensland Training </w:t>
      </w:r>
      <w:r w:rsidR="000C7961" w:rsidRPr="00521C24">
        <w:t>Policy (</w:t>
      </w:r>
      <w:r w:rsidRPr="00521C24">
        <w:t>see 2.4</w:t>
      </w:r>
      <w:r w:rsidR="000C7961" w:rsidRPr="00521C24">
        <w:t xml:space="preserve"> next section</w:t>
      </w:r>
      <w:r w:rsidR="000C7961">
        <w:t>) to help government building and construction providers ensure they meet or exceed required apprentices, indigenous and other targets.</w:t>
      </w:r>
    </w:p>
    <w:p w:rsidR="00C20798" w:rsidRDefault="00C20798" w:rsidP="006D078B">
      <w:pPr>
        <w:pStyle w:val="Numeredheadinglevel11"/>
      </w:pPr>
      <w:r>
        <w:t>Policy levers</w:t>
      </w:r>
    </w:p>
    <w:p w:rsidR="00C20798" w:rsidRDefault="00C20798" w:rsidP="00C20798">
      <w:pPr>
        <w:pStyle w:val="CSQbody"/>
      </w:pPr>
      <w:r>
        <w:t xml:space="preserve">The Queensland Government Building and Construction Training Policy helps to optimise employment and skills development in building and construction. The policy mandates that contractors meet employment targets and undertake other workforce training as a component of being awarded work on eligible Queensland Government projects. </w:t>
      </w:r>
    </w:p>
    <w:p w:rsidR="00C20798" w:rsidRDefault="00555B98" w:rsidP="00C20798">
      <w:pPr>
        <w:pStyle w:val="CSQbody"/>
      </w:pPr>
      <w:r>
        <w:t>These policies</w:t>
      </w:r>
      <w:r w:rsidR="00C20798">
        <w:t xml:space="preserve"> </w:t>
      </w:r>
      <w:r>
        <w:t>support</w:t>
      </w:r>
      <w:r w:rsidR="00C20798">
        <w:t xml:space="preserve"> </w:t>
      </w:r>
      <w:r>
        <w:t>local</w:t>
      </w:r>
      <w:r w:rsidR="00C20798">
        <w:t xml:space="preserve"> skills development </w:t>
      </w:r>
      <w:r>
        <w:t>and employment. These policies</w:t>
      </w:r>
      <w:r w:rsidR="00C20798">
        <w:t xml:space="preserve"> are particularly effective </w:t>
      </w:r>
      <w:r w:rsidR="00164A6E">
        <w:t>in</w:t>
      </w:r>
      <w:r w:rsidR="00C20798">
        <w:t xml:space="preserve"> regional areas where employment and skilling opportunities can be more limited. </w:t>
      </w:r>
    </w:p>
    <w:p w:rsidR="00C20798" w:rsidRDefault="00C20798" w:rsidP="00C20798">
      <w:pPr>
        <w:pStyle w:val="CSQbody"/>
      </w:pPr>
      <w:r>
        <w:t xml:space="preserve">CSQ is engaged in a </w:t>
      </w:r>
      <w:r w:rsidR="00E30D26">
        <w:t>long term</w:t>
      </w:r>
      <w:r>
        <w:t xml:space="preserve"> campaign to encourage both </w:t>
      </w:r>
      <w:r w:rsidR="00C727CF">
        <w:t>construction companies and</w:t>
      </w:r>
      <w:r>
        <w:t xml:space="preserve"> workers to invest in skills. This involves industry awareness campaigns, targeted engagement and co-investment with companies with a willingness and ability to driv</w:t>
      </w:r>
      <w:r w:rsidR="00C727CF">
        <w:t>e training behaviour among</w:t>
      </w:r>
      <w:r>
        <w:t xml:space="preserve"> employers and suppliers</w:t>
      </w:r>
      <w:r w:rsidR="00555B98">
        <w:t xml:space="preserve">. </w:t>
      </w:r>
    </w:p>
    <w:p w:rsidR="00975F65" w:rsidRPr="00681923" w:rsidRDefault="00975F65" w:rsidP="006D078B">
      <w:pPr>
        <w:pStyle w:val="Numeredheadinglevel11"/>
      </w:pPr>
      <w:r>
        <w:t>Industry levies</w:t>
      </w:r>
    </w:p>
    <w:p w:rsidR="00975F65" w:rsidRDefault="00975F65" w:rsidP="00975F65">
      <w:pPr>
        <w:pStyle w:val="CSQbody"/>
      </w:pPr>
      <w:r>
        <w:t>We work</w:t>
      </w:r>
      <w:r w:rsidRPr="004B0CFD">
        <w:t xml:space="preserve"> collaboratively with the Queenslan</w:t>
      </w:r>
      <w:r>
        <w:t xml:space="preserve">d Government to ensure that training </w:t>
      </w:r>
      <w:r w:rsidRPr="004B0CFD">
        <w:t>procure</w:t>
      </w:r>
      <w:r>
        <w:t>d by CSQ</w:t>
      </w:r>
      <w:r w:rsidRPr="004B0CFD">
        <w:t xml:space="preserve"> is complementary </w:t>
      </w:r>
      <w:r>
        <w:t>to</w:t>
      </w:r>
      <w:r w:rsidR="00687990">
        <w:t>,</w:t>
      </w:r>
      <w:r>
        <w:t xml:space="preserve"> </w:t>
      </w:r>
      <w:r w:rsidRPr="004B0CFD">
        <w:t>and does not dupl</w:t>
      </w:r>
      <w:r>
        <w:t>icate</w:t>
      </w:r>
      <w:r w:rsidR="00687990">
        <w:t>,</w:t>
      </w:r>
      <w:r>
        <w:t xml:space="preserve"> public VET investment. We do</w:t>
      </w:r>
      <w:r w:rsidRPr="004B0CFD">
        <w:t xml:space="preserve"> not fund qualifications available to the market through alternative mechanisms</w:t>
      </w:r>
      <w:r>
        <w:t>, such as Queensland’s user choice funding for apprenticeships</w:t>
      </w:r>
      <w:r w:rsidRPr="004B0CFD">
        <w:t xml:space="preserve">. </w:t>
      </w:r>
    </w:p>
    <w:p w:rsidR="009269F5" w:rsidRDefault="00975F65" w:rsidP="00975F65">
      <w:pPr>
        <w:pStyle w:val="CSQbody"/>
      </w:pPr>
      <w:r>
        <w:t>Industry funds are targeted into higher level qualification and pathways, competencies, skill sets</w:t>
      </w:r>
      <w:r w:rsidR="00FB7072">
        <w:t>, wraparound services</w:t>
      </w:r>
      <w:r>
        <w:t xml:space="preserve"> and unaccredited training. This approach provides workers and industry with a ready source of training needed for safety, compliance, upskilling and reskilling. </w:t>
      </w:r>
    </w:p>
    <w:p w:rsidR="009269F5" w:rsidRDefault="009269F5" w:rsidP="00164A6E">
      <w:pPr>
        <w:pStyle w:val="CSQbody"/>
      </w:pPr>
      <w:r>
        <w:t xml:space="preserve">CSQ pays location loadings for </w:t>
      </w:r>
      <w:r w:rsidR="00164A6E">
        <w:t xml:space="preserve">RTO delivered training: </w:t>
      </w:r>
      <w:r>
        <w:t>+25% for delivery in regional locations</w:t>
      </w:r>
      <w:r w:rsidR="00164A6E">
        <w:t xml:space="preserve">; and </w:t>
      </w:r>
      <w:r>
        <w:t>+50% for delivery in remote locations</w:t>
      </w:r>
      <w:r w:rsidR="00164A6E">
        <w:t>.</w:t>
      </w:r>
    </w:p>
    <w:p w:rsidR="00DD6E5C" w:rsidRDefault="00975F65" w:rsidP="00273229">
      <w:pPr>
        <w:pStyle w:val="Caption"/>
        <w:rPr>
          <w:color w:val="auto"/>
        </w:rPr>
      </w:pPr>
      <w:r w:rsidRPr="00273229">
        <w:rPr>
          <w:rStyle w:val="CSQbodyChar"/>
          <w:i w:val="0"/>
          <w:color w:val="auto"/>
        </w:rPr>
        <w:t>Workers in our industry participate in training at relatively high rates, as illustrated</w:t>
      </w:r>
      <w:r w:rsidR="00291EC8" w:rsidRPr="00273229">
        <w:rPr>
          <w:rStyle w:val="CSQbodyChar"/>
          <w:i w:val="0"/>
          <w:color w:val="auto"/>
        </w:rPr>
        <w:t xml:space="preserve"> in </w:t>
      </w:r>
      <w:r w:rsidR="00DD6E5C" w:rsidRPr="00DD6E5C">
        <w:rPr>
          <w:rStyle w:val="CSQbodyChar"/>
          <w:i w:val="0"/>
          <w:color w:val="auto"/>
        </w:rPr>
        <w:t>figure 9</w:t>
      </w:r>
      <w:r w:rsidR="00291EC8" w:rsidRPr="00DD6E5C">
        <w:rPr>
          <w:rStyle w:val="CSQbodyChar"/>
          <w:i w:val="0"/>
          <w:color w:val="auto"/>
        </w:rPr>
        <w:t>.</w:t>
      </w:r>
      <w:r w:rsidR="00291EC8" w:rsidRPr="00273229">
        <w:rPr>
          <w:color w:val="auto"/>
        </w:rPr>
        <w:t xml:space="preserve"> </w:t>
      </w:r>
      <w:r w:rsidR="00273229" w:rsidRPr="00273229">
        <w:rPr>
          <w:color w:val="auto"/>
        </w:rPr>
        <w:t xml:space="preserve">     </w:t>
      </w:r>
    </w:p>
    <w:p w:rsidR="00273229" w:rsidRDefault="00DD6E5C" w:rsidP="00273229">
      <w:pPr>
        <w:pStyle w:val="Caption"/>
      </w:pPr>
      <w:r w:rsidRPr="00273229">
        <w:rPr>
          <w:rStyle w:val="CSQbodyChar"/>
          <w:i w:val="0"/>
          <w:noProof/>
          <w:color w:val="auto"/>
          <w:lang w:eastAsia="en-AU"/>
        </w:rPr>
        <w:drawing>
          <wp:anchor distT="0" distB="0" distL="114300" distR="114300" simplePos="0" relativeHeight="251699200" behindDoc="0" locked="0" layoutInCell="1" allowOverlap="1" wp14:anchorId="2A755A88" wp14:editId="5E599179">
            <wp:simplePos x="0" y="0"/>
            <wp:positionH relativeFrom="margin">
              <wp:posOffset>-12700</wp:posOffset>
            </wp:positionH>
            <wp:positionV relativeFrom="paragraph">
              <wp:posOffset>260985</wp:posOffset>
            </wp:positionV>
            <wp:extent cx="4244340" cy="2146300"/>
            <wp:effectExtent l="0" t="0" r="3810" b="6350"/>
            <wp:wrapTopAndBottom/>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273229">
        <w:t xml:space="preserve">Figure </w:t>
      </w:r>
      <w:r w:rsidR="00273229">
        <w:fldChar w:fldCharType="begin"/>
      </w:r>
      <w:r w:rsidR="00273229">
        <w:instrText xml:space="preserve"> SEQ Figure \* ARABIC </w:instrText>
      </w:r>
      <w:r w:rsidR="00273229">
        <w:fldChar w:fldCharType="separate"/>
      </w:r>
      <w:r w:rsidR="002F3308">
        <w:rPr>
          <w:noProof/>
        </w:rPr>
        <w:t>9</w:t>
      </w:r>
      <w:r w:rsidR="00273229">
        <w:fldChar w:fldCharType="end"/>
      </w:r>
      <w:r w:rsidR="00273229">
        <w:t xml:space="preserve"> | Apprentices in-training, Qld, Sept 2019</w:t>
      </w:r>
    </w:p>
    <w:p w:rsidR="00C20798" w:rsidRPr="0080446C" w:rsidRDefault="00C20798" w:rsidP="006D078B">
      <w:pPr>
        <w:pStyle w:val="Numberedheadinglevel1"/>
      </w:pPr>
      <w:r>
        <w:lastRenderedPageBreak/>
        <w:t>Barriers, incentives and support</w:t>
      </w:r>
    </w:p>
    <w:p w:rsidR="00C20798" w:rsidRDefault="00096F3C" w:rsidP="00C20798">
      <w:pPr>
        <w:pStyle w:val="CSQbody"/>
      </w:pPr>
      <w:r>
        <w:t>The Productivity Commission has sough</w:t>
      </w:r>
      <w:r w:rsidR="00FA0DAB">
        <w:t>t</w:t>
      </w:r>
      <w:r>
        <w:t xml:space="preserve"> information on:</w:t>
      </w:r>
    </w:p>
    <w:p w:rsidR="00096F3C" w:rsidRDefault="00096F3C" w:rsidP="00096F3C">
      <w:pPr>
        <w:pStyle w:val="CSQbullet1"/>
      </w:pPr>
      <w:r>
        <w:t>The relative costs and benefits of incentives</w:t>
      </w:r>
    </w:p>
    <w:p w:rsidR="00096F3C" w:rsidRDefault="00096F3C" w:rsidP="00096F3C">
      <w:pPr>
        <w:pStyle w:val="CSQbullet1"/>
      </w:pPr>
      <w:r>
        <w:t>Alternative ways to encourage governments to coordinate or streamline their employer incentive programs</w:t>
      </w:r>
    </w:p>
    <w:p w:rsidR="00096F3C" w:rsidRDefault="00096F3C" w:rsidP="00C20798">
      <w:pPr>
        <w:pStyle w:val="CSQbody"/>
        <w:rPr>
          <w:lang w:val="en-US"/>
        </w:rPr>
      </w:pPr>
      <w:r>
        <w:rPr>
          <w:lang w:val="en-US"/>
        </w:rPr>
        <w:t xml:space="preserve">We also note that the Commission has commented on apprentice wages and the need to be paid when undertaking training. </w:t>
      </w:r>
    </w:p>
    <w:p w:rsidR="00DC0E01" w:rsidRPr="00096F3C" w:rsidRDefault="00CB753B" w:rsidP="00C20798">
      <w:pPr>
        <w:pStyle w:val="CSQbody"/>
        <w:rPr>
          <w:lang w:val="en-US"/>
        </w:rPr>
      </w:pPr>
      <w:r>
        <w:rPr>
          <w:noProof/>
          <w:lang w:eastAsia="en-AU"/>
        </w:rPr>
        <mc:AlternateContent>
          <mc:Choice Requires="wps">
            <w:drawing>
              <wp:anchor distT="0" distB="0" distL="114300" distR="114300" simplePos="0" relativeHeight="251701248" behindDoc="0" locked="0" layoutInCell="1" allowOverlap="1" wp14:anchorId="7AFA7A67" wp14:editId="64F3CB56">
                <wp:simplePos x="0" y="0"/>
                <wp:positionH relativeFrom="margin">
                  <wp:posOffset>9525</wp:posOffset>
                </wp:positionH>
                <wp:positionV relativeFrom="paragraph">
                  <wp:posOffset>566420</wp:posOffset>
                </wp:positionV>
                <wp:extent cx="5625465" cy="1341755"/>
                <wp:effectExtent l="0" t="0" r="0" b="0"/>
                <wp:wrapTopAndBottom/>
                <wp:docPr id="41" name="Text Box 41"/>
                <wp:cNvGraphicFramePr/>
                <a:graphic xmlns:a="http://schemas.openxmlformats.org/drawingml/2006/main">
                  <a:graphicData uri="http://schemas.microsoft.com/office/word/2010/wordprocessingShape">
                    <wps:wsp>
                      <wps:cNvSpPr txBox="1"/>
                      <wps:spPr>
                        <a:xfrm>
                          <a:off x="0" y="0"/>
                          <a:ext cx="5625465" cy="1341755"/>
                        </a:xfrm>
                        <a:prstGeom prst="rect">
                          <a:avLst/>
                        </a:prstGeom>
                        <a:solidFill>
                          <a:schemeClr val="bg1">
                            <a:lumMod val="85000"/>
                          </a:schemeClr>
                        </a:solidFill>
                        <a:ln w="6350">
                          <a:noFill/>
                        </a:ln>
                      </wps:spPr>
                      <wps:txbx>
                        <w:txbxContent>
                          <w:p w:rsidR="0081218A" w:rsidRDefault="0081218A" w:rsidP="00DC0E01">
                            <w:pPr>
                              <w:pStyle w:val="Heading2"/>
                            </w:pPr>
                            <w:r>
                              <w:t xml:space="preserve">Key points | </w:t>
                            </w:r>
                            <w:r w:rsidR="00E30D26">
                              <w:t>an</w:t>
                            </w:r>
                            <w:r>
                              <w:t xml:space="preserve"> overview</w:t>
                            </w:r>
                          </w:p>
                          <w:p w:rsidR="0081218A" w:rsidRDefault="0081218A" w:rsidP="00DC0E01">
                            <w:pPr>
                              <w:pStyle w:val="CSQbody"/>
                              <w:numPr>
                                <w:ilvl w:val="0"/>
                                <w:numId w:val="25"/>
                              </w:numPr>
                            </w:pPr>
                            <w:r>
                              <w:t>Apprentices and employers both need support, particularly as economic conditions worsen</w:t>
                            </w:r>
                          </w:p>
                          <w:p w:rsidR="0081218A" w:rsidRDefault="00DD6E5C" w:rsidP="0081218A">
                            <w:pPr>
                              <w:pStyle w:val="CSQbody"/>
                              <w:numPr>
                                <w:ilvl w:val="0"/>
                                <w:numId w:val="25"/>
                              </w:numPr>
                            </w:pPr>
                            <w:r>
                              <w:t>A</w:t>
                            </w:r>
                            <w:r w:rsidR="0081218A">
                              <w:t xml:space="preserve"> living wage</w:t>
                            </w:r>
                            <w:r>
                              <w:t xml:space="preserve"> for apprentices requires consideration</w:t>
                            </w:r>
                          </w:p>
                          <w:p w:rsidR="0081218A" w:rsidRDefault="0081218A" w:rsidP="0081218A">
                            <w:pPr>
                              <w:pStyle w:val="CSQbody"/>
                              <w:numPr>
                                <w:ilvl w:val="0"/>
                                <w:numId w:val="25"/>
                              </w:numPr>
                            </w:pPr>
                            <w:r>
                              <w:t>Regular payments to employers should be considered</w:t>
                            </w:r>
                          </w:p>
                          <w:p w:rsidR="0081218A" w:rsidRDefault="0081218A" w:rsidP="003646F7">
                            <w:pPr>
                              <w:pStyle w:val="CSQ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FA7A67" id="Text Box 41" o:spid="_x0000_s1041" type="#_x0000_t202" style="position:absolute;margin-left:.75pt;margin-top:44.6pt;width:442.95pt;height:105.6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" fillcolor="#d8d8d8 [2732]" stroked="f" strokeweight=".5pt">
                <v:textbox>
                  <w:txbxContent>
                    <w:p w:rsidR="0081218A" w:rsidRDefault="0081218A" w:rsidP="00DC0E01">
                      <w:pPr>
                        <w:pStyle w:val="Heading2"/>
                      </w:pPr>
                      <w:r>
                        <w:t xml:space="preserve">Key points | </w:t>
                      </w:r>
                      <w:r w:rsidR="00E30D26">
                        <w:t>an</w:t>
                      </w:r>
                      <w:r>
                        <w:t xml:space="preserve"> overview</w:t>
                      </w:r>
                    </w:p>
                    <w:p w:rsidR="0081218A" w:rsidRDefault="0081218A" w:rsidP="00DC0E01">
                      <w:pPr>
                        <w:pStyle w:val="CSQbody"/>
                        <w:numPr>
                          <w:ilvl w:val="0"/>
                          <w:numId w:val="25"/>
                        </w:numPr>
                      </w:pPr>
                      <w:r>
                        <w:t>Apprentices and employers both need support, particularly as economic conditions worsen</w:t>
                      </w:r>
                    </w:p>
                    <w:p w:rsidR="0081218A" w:rsidRDefault="00DD6E5C" w:rsidP="0081218A">
                      <w:pPr>
                        <w:pStyle w:val="CSQbody"/>
                        <w:numPr>
                          <w:ilvl w:val="0"/>
                          <w:numId w:val="25"/>
                        </w:numPr>
                      </w:pPr>
                      <w:r>
                        <w:t>A</w:t>
                      </w:r>
                      <w:r w:rsidR="0081218A">
                        <w:t xml:space="preserve"> living wage</w:t>
                      </w:r>
                      <w:r>
                        <w:t xml:space="preserve"> for apprentices requires consideration</w:t>
                      </w:r>
                    </w:p>
                    <w:p w:rsidR="0081218A" w:rsidRDefault="0081218A" w:rsidP="0081218A">
                      <w:pPr>
                        <w:pStyle w:val="CSQbody"/>
                        <w:numPr>
                          <w:ilvl w:val="0"/>
                          <w:numId w:val="25"/>
                        </w:numPr>
                      </w:pPr>
                      <w:r>
                        <w:t>Regular payments to employers should be considered</w:t>
                      </w:r>
                    </w:p>
                    <w:p w:rsidR="0081218A" w:rsidRDefault="0081218A" w:rsidP="003646F7">
                      <w:pPr>
                        <w:pStyle w:val="CSQbody"/>
                      </w:pPr>
                    </w:p>
                  </w:txbxContent>
                </v:textbox>
                <w10:wrap type="topAndBottom" anchorx="margin"/>
              </v:shape>
            </w:pict>
          </mc:Fallback>
        </mc:AlternateContent>
      </w:r>
      <w:r w:rsidR="00096F3C">
        <w:rPr>
          <w:lang w:val="en-US"/>
        </w:rPr>
        <w:t xml:space="preserve">This section considers the need for a living wage for apprentices and alternative models for incentives. </w:t>
      </w:r>
    </w:p>
    <w:p w:rsidR="00C20798" w:rsidRDefault="00C20798" w:rsidP="006D078B">
      <w:pPr>
        <w:pStyle w:val="Numeredheadinglevel11"/>
      </w:pPr>
      <w:r>
        <w:t>Living wage and wage assistance</w:t>
      </w:r>
    </w:p>
    <w:p w:rsidR="00FA0DAB" w:rsidRDefault="00D7702E" w:rsidP="00096F3C">
      <w:pPr>
        <w:pStyle w:val="CSQbody"/>
      </w:pPr>
      <w:r w:rsidRPr="001B5F4C">
        <w:t>The Productivity Commission has identified that incentives are not particularly effective for trade apprenticeships. A fresh look at support is timely</w:t>
      </w:r>
      <w:r w:rsidR="00DC0E01">
        <w:t xml:space="preserve">. </w:t>
      </w:r>
      <w:r w:rsidR="00FA0DAB">
        <w:t>As economic headwinds increase</w:t>
      </w:r>
      <w:r w:rsidR="00DC0E01">
        <w:t xml:space="preserve"> we anticipate</w:t>
      </w:r>
      <w:r w:rsidR="00FA0DAB">
        <w:t xml:space="preserve"> the need to support both employers and apprentices will increase. </w:t>
      </w:r>
    </w:p>
    <w:p w:rsidR="00C20798" w:rsidRPr="001B5F4C" w:rsidRDefault="00C20798" w:rsidP="00FA0DAB">
      <w:pPr>
        <w:pStyle w:val="CSQbody"/>
      </w:pPr>
      <w:r w:rsidRPr="001B5F4C">
        <w:t>There are</w:t>
      </w:r>
      <w:r w:rsidR="00FA0DAB">
        <w:t xml:space="preserve"> essentially</w:t>
      </w:r>
      <w:r w:rsidRPr="001B5F4C">
        <w:t xml:space="preserve"> two related issues:</w:t>
      </w:r>
    </w:p>
    <w:p w:rsidR="00C20798" w:rsidRPr="001B5F4C" w:rsidRDefault="00C20798" w:rsidP="00FA0DAB">
      <w:pPr>
        <w:pStyle w:val="CSQbullet1"/>
      </w:pPr>
      <w:r w:rsidRPr="001B5F4C">
        <w:t>Ensuring monetary support for apprentices is sufficient</w:t>
      </w:r>
    </w:p>
    <w:p w:rsidR="00C20798" w:rsidRPr="001B5F4C" w:rsidRDefault="00C20798" w:rsidP="00FA0DAB">
      <w:pPr>
        <w:pStyle w:val="CSQbullet1"/>
      </w:pPr>
      <w:r w:rsidRPr="001B5F4C">
        <w:t xml:space="preserve">Helping employers maintain apprentices </w:t>
      </w:r>
      <w:r w:rsidR="00DC0E01">
        <w:t>for the duration of the four year apprenticeship</w:t>
      </w:r>
    </w:p>
    <w:p w:rsidR="00D7702E" w:rsidRDefault="00FA0DAB" w:rsidP="00C20798">
      <w:pPr>
        <w:pStyle w:val="CSQbody"/>
      </w:pPr>
      <w:r>
        <w:t>The COVID Apprentice Subsidy and JobKeeper provide potential models and ways to conceptualise employer and apprentice support</w:t>
      </w:r>
      <w:r w:rsidR="00C752F9">
        <w:t xml:space="preserve"> that b</w:t>
      </w:r>
      <w:r w:rsidR="00DC0E01">
        <w:t xml:space="preserve">oth incentivises employers, and also </w:t>
      </w:r>
      <w:r w:rsidR="00C752F9">
        <w:t>supports cashflow, ongoing employment and explicitly recognises the role of off-the-job training</w:t>
      </w:r>
      <w:r>
        <w:t xml:space="preserve">. </w:t>
      </w:r>
    </w:p>
    <w:p w:rsidR="00C20798" w:rsidRPr="001B5F4C" w:rsidRDefault="00C20798" w:rsidP="00C20798">
      <w:pPr>
        <w:pStyle w:val="CSQbody"/>
      </w:pPr>
      <w:r w:rsidRPr="001B5F4C">
        <w:t>Options for further exploration could include:</w:t>
      </w:r>
    </w:p>
    <w:p w:rsidR="00C20798" w:rsidRPr="001B5F4C" w:rsidRDefault="00C20798" w:rsidP="00FA0DAB">
      <w:pPr>
        <w:pStyle w:val="CSQbullet1"/>
      </w:pPr>
      <w:r w:rsidRPr="001B5F4C">
        <w:t>an Austudy or JobKeeper-style payment for apprentices that provides a living wage</w:t>
      </w:r>
    </w:p>
    <w:p w:rsidR="00C20798" w:rsidRPr="001B5F4C" w:rsidRDefault="00C20798" w:rsidP="00FA0DAB">
      <w:pPr>
        <w:pStyle w:val="CSQbullet1"/>
      </w:pPr>
      <w:r w:rsidRPr="001B5F4C">
        <w:t>a subsidy to apprentice employers paid on a regular basis that assists with off-the-job training time</w:t>
      </w:r>
    </w:p>
    <w:p w:rsidR="00DC0E01" w:rsidRDefault="00DC0E01" w:rsidP="00DC0E01">
      <w:pPr>
        <w:pStyle w:val="CSQbody"/>
      </w:pPr>
      <w:r w:rsidRPr="001B5F4C">
        <w:t>Apprentice wages are below the minimum wage, and for a first-year building and construction apprentice vary by trade at approximately $515 - $550 per week (below JobKeeper</w:t>
      </w:r>
      <w:r>
        <w:t xml:space="preserve"> and JobSeeker</w:t>
      </w:r>
      <w:r w:rsidRPr="001B5F4C">
        <w:t xml:space="preserve">). </w:t>
      </w:r>
      <w:r>
        <w:t>Monetary reward is important. In the context of falling commencements it is critical that apprentices are paid a rate that re</w:t>
      </w:r>
      <w:r w:rsidR="00DD6E5C">
        <w:t>wards work</w:t>
      </w:r>
      <w:r>
        <w:t xml:space="preserve">; and that apprentices are able to afford tools; travel to work; and other employment-related costs and stay above the poverty line (2020 Australian poverty line is $457 per week for a single adult). </w:t>
      </w:r>
    </w:p>
    <w:p w:rsidR="00C20798" w:rsidRDefault="00DC0E01" w:rsidP="00C20798">
      <w:pPr>
        <w:pStyle w:val="CSQbody"/>
      </w:pPr>
      <w:r>
        <w:t xml:space="preserve">Equally, apprentice wages reflect the lower productivity of apprentices and additional support needed. Trade school, formal institutional learning or off-the-job training varies by trade, typically averaging approximately one day a week for 40 weeks of the year. A potential arrangement could see </w:t>
      </w:r>
      <w:r>
        <w:lastRenderedPageBreak/>
        <w:t xml:space="preserve">employers paid an ongoing subsidy of 20 per cent of the apprentice award wage. While additional research, and with industry by industry impact assessment needed, the arrangement could replace existing incentives. </w:t>
      </w:r>
    </w:p>
    <w:p w:rsidR="00DD6E5C" w:rsidRDefault="00DD6E5C" w:rsidP="00C20798">
      <w:pPr>
        <w:pStyle w:val="CSQbody"/>
      </w:pPr>
      <w:r>
        <w:t xml:space="preserve">This approach would assist business with cash flow and support ongoing apprentice employment. Economic recessions disproportionately impact young people. This type of support will help maintain a sound, employment-linked pathway. </w:t>
      </w:r>
    </w:p>
    <w:sdt>
      <w:sdtPr>
        <w:rPr>
          <w:rFonts w:eastAsia="MS Gothic" w:cs="Arial"/>
          <w:b/>
          <w:bCs/>
          <w:color w:val="FFCD1A" w:themeColor="accent1"/>
          <w:kern w:val="32"/>
          <w:sz w:val="28"/>
          <w:szCs w:val="40"/>
        </w:rPr>
        <w:id w:val="-1406537463"/>
        <w:docPartObj>
          <w:docPartGallery w:val="Bibliographies"/>
          <w:docPartUnique/>
        </w:docPartObj>
      </w:sdtPr>
      <w:sdtEndPr>
        <w:rPr>
          <w:rFonts w:eastAsia="Times" w:cs="Times New Roman"/>
          <w:b w:val="0"/>
          <w:bCs w:val="0"/>
          <w:color w:val="auto"/>
          <w:kern w:val="0"/>
          <w:sz w:val="20"/>
          <w:szCs w:val="20"/>
        </w:rPr>
      </w:sdtEndPr>
      <w:sdtContent>
        <w:p w:rsidR="00C20798" w:rsidRDefault="00C20798" w:rsidP="00C20798">
          <w:pPr>
            <w:pStyle w:val="CSQbody"/>
          </w:pPr>
        </w:p>
        <w:p w:rsidR="00C20798" w:rsidRDefault="00C20798" w:rsidP="00C20798">
          <w:pPr>
            <w:rPr>
              <w:rFonts w:ascii="Arial" w:eastAsia="MS Gothic" w:hAnsi="Arial" w:cs="Arial"/>
              <w:b/>
              <w:bCs/>
              <w:color w:val="FFCD1A" w:themeColor="accent1"/>
              <w:kern w:val="32"/>
              <w:sz w:val="28"/>
              <w:szCs w:val="40"/>
            </w:rPr>
          </w:pPr>
          <w:r>
            <w:br w:type="page"/>
          </w:r>
        </w:p>
        <w:p w:rsidR="00C20798" w:rsidRDefault="00C20798" w:rsidP="00C20798">
          <w:pPr>
            <w:pStyle w:val="Heading1"/>
          </w:pPr>
          <w:r>
            <w:lastRenderedPageBreak/>
            <w:t>References</w:t>
          </w:r>
        </w:p>
        <w:p w:rsidR="00C20798" w:rsidRPr="00032695" w:rsidRDefault="002F3308" w:rsidP="00547B2C">
          <w:pPr>
            <w:pStyle w:val="CSQbody"/>
          </w:pPr>
        </w:p>
      </w:sdtContent>
    </w:sdt>
    <w:p w:rsidR="00331996" w:rsidRPr="00F5551D" w:rsidRDefault="00331996" w:rsidP="00F5551D">
      <w:pPr>
        <w:pStyle w:val="CSQbody"/>
      </w:pPr>
      <w:r w:rsidRPr="00F5551D">
        <w:t>ABS (2015) cat no. 4235.0 - Qualifications and Work, Australia, 2015</w:t>
      </w:r>
    </w:p>
    <w:p w:rsidR="00F5551D" w:rsidRPr="00F5551D" w:rsidRDefault="00F5551D" w:rsidP="00F5551D">
      <w:pPr>
        <w:pStyle w:val="CSQbody"/>
      </w:pPr>
    </w:p>
    <w:p w:rsidR="00F5551D" w:rsidRPr="00F5551D" w:rsidRDefault="00350703" w:rsidP="00F5551D">
      <w:pPr>
        <w:pStyle w:val="CSQbody"/>
      </w:pPr>
      <w:r w:rsidRPr="00F5551D">
        <w:t xml:space="preserve">ACIL Allen Consulting (2015) Review of </w:t>
      </w:r>
      <w:r w:rsidR="00E30D26" w:rsidRPr="00F5551D">
        <w:t>the</w:t>
      </w:r>
      <w:r w:rsidRPr="00F5551D">
        <w:t xml:space="preserve"> National Partnership Agreement on Skills Reform, Final </w:t>
      </w:r>
    </w:p>
    <w:p w:rsidR="00547B2C" w:rsidRPr="00F5551D" w:rsidRDefault="00350703" w:rsidP="00F5551D">
      <w:pPr>
        <w:pStyle w:val="CSQbody"/>
      </w:pPr>
      <w:r w:rsidRPr="00F5551D">
        <w:t>Report, https://docs.education.gov.au/system/files/doc/other/final_report_npa_review.pdf</w:t>
      </w:r>
    </w:p>
    <w:p w:rsidR="00F85104" w:rsidRDefault="00F85104" w:rsidP="00F5551D">
      <w:pPr>
        <w:pStyle w:val="CSQbody"/>
      </w:pPr>
    </w:p>
    <w:p w:rsidR="00F85104" w:rsidRDefault="00F85104" w:rsidP="00F5551D">
      <w:pPr>
        <w:pStyle w:val="CSQbody"/>
      </w:pPr>
      <w:r w:rsidRPr="00F5551D">
        <w:t>Cons</w:t>
      </w:r>
      <w:r>
        <w:t>truction Skills Queensland (2019) Apprentice Annual 2019</w:t>
      </w:r>
      <w:r w:rsidRPr="00F5551D">
        <w:t xml:space="preserve">, available at </w:t>
      </w:r>
      <w:hyperlink r:id="rId37" w:history="1">
        <w:r w:rsidRPr="006E332C">
          <w:t>https://www.csq.org.au/wp-content/uploads/2019/11/CSQ-2019_Apprentice Annual_A4_Final_Reduced.pdf</w:t>
        </w:r>
      </w:hyperlink>
    </w:p>
    <w:p w:rsidR="00F85104" w:rsidRDefault="00F85104" w:rsidP="00F5551D">
      <w:pPr>
        <w:pStyle w:val="CSQbody"/>
      </w:pPr>
    </w:p>
    <w:p w:rsidR="00547B2C" w:rsidRPr="00F5551D" w:rsidRDefault="00350703" w:rsidP="00F5551D">
      <w:pPr>
        <w:pStyle w:val="CSQbody"/>
      </w:pPr>
      <w:r w:rsidRPr="00F5551D">
        <w:t xml:space="preserve">Construction Skills Queensland (2018) Apprentice Annual 2018, available at </w:t>
      </w:r>
      <w:r w:rsidR="00547B2C" w:rsidRPr="00F5551D">
        <w:t>https://www.csq.org.au/wp-content/uploads/2019/02/CSQ-Apprentice-Annual-2018.pdf</w:t>
      </w:r>
    </w:p>
    <w:p w:rsidR="00547B2C" w:rsidRPr="00F5551D" w:rsidRDefault="00547B2C" w:rsidP="00F5551D">
      <w:pPr>
        <w:pStyle w:val="CSQbody"/>
      </w:pPr>
    </w:p>
    <w:sdt>
      <w:sdtPr>
        <w:id w:val="-573587230"/>
        <w:bibliography/>
      </w:sdtPr>
      <w:sdtEndPr/>
      <w:sdtContent>
        <w:p w:rsidR="00547B2C" w:rsidRPr="00F5551D" w:rsidRDefault="00547B2C" w:rsidP="00F5551D">
          <w:pPr>
            <w:pStyle w:val="CSQbody"/>
          </w:pPr>
          <w:r w:rsidRPr="00F5551D">
            <w:fldChar w:fldCharType="begin"/>
          </w:r>
          <w:r w:rsidRPr="00F5551D">
            <w:instrText xml:space="preserve"> BIBLIOGRAPHY </w:instrText>
          </w:r>
          <w:r w:rsidRPr="00F5551D">
            <w:fldChar w:fldCharType="separate"/>
          </w:r>
          <w:r w:rsidR="00F5551D" w:rsidRPr="00F5551D">
            <w:t xml:space="preserve">Department of Education (2019) Completion rates of higher education students </w:t>
          </w:r>
          <w:r w:rsidRPr="00F5551D">
            <w:t>https://app.powerbi.com/view?r=eyJrIjoiM2MwMWQ2ZDMtNGViNy00Mjc5LThkOTgtNzJhMmM5ZDQwYWUxIiwidCI6ImRkMGNmZDE1LTQ1NTgtNGIxMi04YmFkLWVhMjY5ODRmYzQxNyJ9</w:t>
          </w:r>
          <w:r w:rsidR="00F5551D" w:rsidRPr="00F5551D">
            <w:t xml:space="preserve"> accesed 22 June, 2020</w:t>
          </w:r>
        </w:p>
        <w:p w:rsidR="00547B2C" w:rsidRPr="00F5551D" w:rsidRDefault="00547B2C" w:rsidP="00F5551D">
          <w:pPr>
            <w:pStyle w:val="CSQbody"/>
          </w:pPr>
          <w:r w:rsidRPr="00F5551D">
            <w:fldChar w:fldCharType="end"/>
          </w:r>
        </w:p>
        <w:p w:rsidR="00350703" w:rsidRPr="00F5551D" w:rsidRDefault="00350703" w:rsidP="00F5551D">
          <w:pPr>
            <w:pStyle w:val="CSQbody"/>
          </w:pPr>
          <w:r w:rsidRPr="00F5551D">
            <w:t xml:space="preserve">Department of Employment (2017) </w:t>
          </w:r>
          <w:r w:rsidR="00F5551D" w:rsidRPr="00F5551D">
            <w:t>Skill shortage research methodology</w:t>
          </w:r>
          <w:r w:rsidRPr="00F5551D">
            <w:t xml:space="preserve"> https://docs.employment.gov.au/documents/skill-shortage-research-methodology-0</w:t>
          </w:r>
          <w:r w:rsidR="00F5551D" w:rsidRPr="00F5551D">
            <w:rPr>
              <w:rStyle w:val="Hyperlink"/>
              <w:color w:val="auto"/>
              <w:u w:val="none"/>
            </w:rPr>
            <w:t xml:space="preserve"> accessed 7 July 2020</w:t>
          </w:r>
        </w:p>
        <w:p w:rsidR="00350703" w:rsidRPr="00F5551D" w:rsidRDefault="00350703" w:rsidP="00F5551D">
          <w:pPr>
            <w:pStyle w:val="CSQbody"/>
          </w:pPr>
        </w:p>
        <w:p w:rsidR="00547B2C" w:rsidRPr="00F5551D" w:rsidRDefault="00547B2C" w:rsidP="00F5551D">
          <w:pPr>
            <w:pStyle w:val="CSQbody"/>
          </w:pPr>
          <w:r w:rsidRPr="00F5551D">
            <w:t>Lee, W. and Coelli, M. (2010) The Labour Market Effects of Vocational Education and Training in Australia, Australian Economic Review, 43(4), pp. 389–408</w:t>
          </w:r>
        </w:p>
        <w:p w:rsidR="00547B2C" w:rsidRPr="00F5551D" w:rsidRDefault="002F3308" w:rsidP="00F5551D">
          <w:pPr>
            <w:pStyle w:val="CSQbody"/>
          </w:pPr>
        </w:p>
      </w:sdtContent>
    </w:sdt>
    <w:p w:rsidR="00547B2C" w:rsidRPr="00F5551D" w:rsidRDefault="00547B2C" w:rsidP="00F5551D">
      <w:pPr>
        <w:pStyle w:val="CSQbody"/>
      </w:pPr>
      <w:r w:rsidRPr="00F5551D">
        <w:t>Linsley, I. (2005) Causes of Overeducation in the Australian Labour Market, Australian Journal of Labour Economics, 8(2), pp. 121-43</w:t>
      </w:r>
    </w:p>
    <w:p w:rsidR="00547B2C" w:rsidRPr="00F5551D" w:rsidRDefault="00547B2C" w:rsidP="00F5551D">
      <w:pPr>
        <w:pStyle w:val="CSQbody"/>
      </w:pPr>
    </w:p>
    <w:p w:rsidR="00350703" w:rsidRDefault="00350703" w:rsidP="00F5551D">
      <w:pPr>
        <w:pStyle w:val="CSQbody"/>
      </w:pPr>
      <w:r w:rsidRPr="00F5551D">
        <w:t>Marks, G. (2017). University and vocational education, and youth labour market outcomes in Australia, Journal of Education and Work, 30(8), pp. 868-80</w:t>
      </w:r>
    </w:p>
    <w:p w:rsidR="009A2832" w:rsidRPr="00F5551D" w:rsidRDefault="009A2832" w:rsidP="00F5551D">
      <w:pPr>
        <w:pStyle w:val="CSQbody"/>
      </w:pPr>
    </w:p>
    <w:p w:rsidR="00331996" w:rsidRPr="00F5551D" w:rsidRDefault="00331996" w:rsidP="00F5551D">
      <w:pPr>
        <w:pStyle w:val="CSQbody"/>
      </w:pPr>
      <w:r w:rsidRPr="00F5551D">
        <w:t>Mavromaras, K. et al. (2010) The Problem of Overskilling in Australia and Britain, The Manchester School, 78(3), pp. 219-241</w:t>
      </w:r>
    </w:p>
    <w:p w:rsidR="00331996" w:rsidRDefault="00331996" w:rsidP="00F5551D">
      <w:pPr>
        <w:pStyle w:val="CSQbody"/>
      </w:pPr>
    </w:p>
    <w:p w:rsidR="009A2832" w:rsidRDefault="009A2832" w:rsidP="00F5551D">
      <w:pPr>
        <w:pStyle w:val="CSQbody"/>
      </w:pPr>
      <w:r>
        <w:t xml:space="preserve">Misko, J. and Wibrow, B.(2020) Traditional trade apprenticeships: learnings from the field, NCVER available at </w:t>
      </w:r>
      <w:r w:rsidRPr="009A2832">
        <w:t>https://www.ncver.edu.au/research-and-statistics/publications/all-publications/traditional-trade-apprenticeships-learnings-from-the-field</w:t>
      </w:r>
    </w:p>
    <w:p w:rsidR="009A2832" w:rsidRPr="00F5551D" w:rsidRDefault="009A2832" w:rsidP="00F5551D">
      <w:pPr>
        <w:pStyle w:val="CSQbody"/>
      </w:pPr>
    </w:p>
    <w:p w:rsidR="00547B2C" w:rsidRDefault="00547B2C" w:rsidP="00F5551D">
      <w:pPr>
        <w:pStyle w:val="CSQbody"/>
      </w:pPr>
      <w:r w:rsidRPr="00F5551D">
        <w:lastRenderedPageBreak/>
        <w:t>Marks, G. (2017). University and vocational education, and youth labour market outcomes in Australia, Journal of Education and Work, 30(8), pp. 868-80</w:t>
      </w:r>
    </w:p>
    <w:p w:rsidR="00D33B79" w:rsidRDefault="00D33B79" w:rsidP="00F5551D">
      <w:pPr>
        <w:pStyle w:val="CSQbody"/>
      </w:pPr>
    </w:p>
    <w:p w:rsidR="00D33B79" w:rsidRDefault="00D33B79" w:rsidP="00F5551D">
      <w:pPr>
        <w:pStyle w:val="CSQbody"/>
      </w:pPr>
      <w:r>
        <w:t>Productivity Commission (2020) Interim report, National Agreement for Skills and Workforce Development Review, May 2020</w:t>
      </w:r>
    </w:p>
    <w:p w:rsidR="00D33B79" w:rsidRDefault="00D33B79" w:rsidP="00F5551D">
      <w:pPr>
        <w:pStyle w:val="CSQbody"/>
      </w:pPr>
    </w:p>
    <w:p w:rsidR="00331996" w:rsidRDefault="00337586" w:rsidP="00F5551D">
      <w:pPr>
        <w:pStyle w:val="CSQbody"/>
      </w:pPr>
      <w:r>
        <w:t xml:space="preserve">Roberts, M. (2020) Lifting Australia’s Productivity, </w:t>
      </w:r>
      <w:r w:rsidRPr="00337586">
        <w:rPr>
          <w:i/>
        </w:rPr>
        <w:t>Productivity Commission</w:t>
      </w:r>
      <w:r>
        <w:t xml:space="preserve"> p. 28</w:t>
      </w:r>
    </w:p>
    <w:p w:rsidR="00F85104" w:rsidRPr="00F5551D" w:rsidRDefault="00F85104" w:rsidP="00F5551D">
      <w:pPr>
        <w:pStyle w:val="CSQbody"/>
      </w:pPr>
    </w:p>
    <w:p w:rsidR="00331996" w:rsidRDefault="00331996" w:rsidP="00331996">
      <w:pPr>
        <w:pStyle w:val="CSQbody"/>
        <w:sectPr w:rsidR="00331996" w:rsidSect="00273229">
          <w:headerReference w:type="default" r:id="rId38"/>
          <w:headerReference w:type="first" r:id="rId39"/>
          <w:footerReference w:type="first" r:id="rId40"/>
          <w:type w:val="continuous"/>
          <w:pgSz w:w="11906" w:h="16838" w:code="9"/>
          <w:pgMar w:top="2552" w:right="1440" w:bottom="1440" w:left="1440" w:header="2269" w:footer="510" w:gutter="0"/>
          <w:cols w:space="340"/>
          <w:docGrid w:linePitch="360"/>
          <w15:footnoteColumns w:val="1"/>
        </w:sectPr>
      </w:pPr>
    </w:p>
    <w:bookmarkEnd w:id="0"/>
    <w:p w:rsidR="007E78D1" w:rsidRDefault="00C44BBE" w:rsidP="00C20798">
      <w:pPr>
        <w:pStyle w:val="CSQbody"/>
      </w:pPr>
      <w:r>
        <w:rPr>
          <w:noProof/>
          <w:lang w:eastAsia="en-AU"/>
        </w:rPr>
        <w:lastRenderedPageBreak/>
        <mc:AlternateContent>
          <mc:Choice Requires="wps">
            <w:drawing>
              <wp:anchor distT="45720" distB="45720" distL="114300" distR="114300" simplePos="0" relativeHeight="251715584" behindDoc="0" locked="0" layoutInCell="1" allowOverlap="1" wp14:anchorId="007F9847" wp14:editId="3A018BF9">
                <wp:simplePos x="0" y="0"/>
                <wp:positionH relativeFrom="column">
                  <wp:posOffset>-248478</wp:posOffset>
                </wp:positionH>
                <wp:positionV relativeFrom="paragraph">
                  <wp:posOffset>139148</wp:posOffset>
                </wp:positionV>
                <wp:extent cx="4015408" cy="430911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408" cy="4309110"/>
                        </a:xfrm>
                        <a:prstGeom prst="rect">
                          <a:avLst/>
                        </a:prstGeom>
                        <a:noFill/>
                        <a:ln w="9525">
                          <a:noFill/>
                          <a:miter lim="800000"/>
                          <a:headEnd/>
                          <a:tailEnd/>
                        </a:ln>
                      </wps:spPr>
                      <wps:txbx>
                        <w:txbxContent>
                          <w:p w:rsidR="00C44BBE" w:rsidRDefault="00C44BBE" w:rsidP="00C44BBE">
                            <w:pPr>
                              <w:jc w:val="right"/>
                              <w:rPr>
                                <w:rFonts w:ascii="Arial" w:hAnsi="Arial" w:cs="Arial"/>
                                <w:b/>
                                <w:color w:val="FFFFFF" w:themeColor="background1"/>
                                <w:sz w:val="24"/>
                                <w:szCs w:val="24"/>
                                <w:lang w:val="en-US"/>
                              </w:rPr>
                            </w:pPr>
                          </w:p>
                          <w:p w:rsidR="00C44BBE" w:rsidRPr="00964EDD" w:rsidRDefault="00C44BBE" w:rsidP="00C44BBE">
                            <w:pPr>
                              <w:rPr>
                                <w:rFonts w:ascii="Arial" w:hAnsi="Arial" w:cs="Arial"/>
                                <w:b/>
                                <w:color w:val="FFFFFF" w:themeColor="background1"/>
                                <w:sz w:val="32"/>
                                <w:szCs w:val="32"/>
                                <w:lang w:val="en-US"/>
                              </w:rPr>
                            </w:pPr>
                            <w:r w:rsidRPr="00964EDD">
                              <w:rPr>
                                <w:rFonts w:ascii="Arial" w:hAnsi="Arial" w:cs="Arial"/>
                                <w:b/>
                                <w:color w:val="FFFFFF" w:themeColor="background1"/>
                                <w:sz w:val="32"/>
                                <w:szCs w:val="32"/>
                                <w:lang w:val="en-US"/>
                              </w:rPr>
                              <w:t>CSQ understands:</w:t>
                            </w:r>
                          </w:p>
                          <w:p w:rsidR="00C44BBE" w:rsidRPr="00D45C79" w:rsidRDefault="00C44BBE" w:rsidP="00C44BBE">
                            <w:pPr>
                              <w:rPr>
                                <w:rFonts w:ascii="Arial" w:hAnsi="Arial" w:cs="Arial"/>
                                <w:b/>
                                <w:color w:val="FFFFFF" w:themeColor="background1"/>
                                <w:sz w:val="24"/>
                                <w:szCs w:val="24"/>
                                <w:lang w:val="en-US"/>
                              </w:rPr>
                            </w:pPr>
                          </w:p>
                          <w:p w:rsidR="00C44BBE" w:rsidRPr="00964EDD" w:rsidRDefault="00C44BBE" w:rsidP="00C44BBE">
                            <w:pPr>
                              <w:pStyle w:val="ListParagraph"/>
                              <w:numPr>
                                <w:ilvl w:val="0"/>
                                <w:numId w:val="19"/>
                              </w:numPr>
                              <w:rPr>
                                <w:rFonts w:ascii="Arial" w:hAnsi="Arial" w:cs="Arial"/>
                                <w:color w:val="FFFFFF" w:themeColor="background1"/>
                                <w:lang w:val="en-US"/>
                              </w:rPr>
                            </w:pPr>
                            <w:r w:rsidRPr="00964EDD">
                              <w:rPr>
                                <w:rFonts w:ascii="Arial" w:hAnsi="Arial" w:cs="Arial"/>
                                <w:color w:val="FFFFFF" w:themeColor="background1"/>
                                <w:lang w:val="en-US"/>
                              </w:rPr>
                              <w:t>Construction and skills</w:t>
                            </w:r>
                          </w:p>
                          <w:p w:rsidR="00C44BBE" w:rsidRPr="00964EDD" w:rsidRDefault="00C44BBE" w:rsidP="00C44BBE">
                            <w:pPr>
                              <w:pStyle w:val="ListParagraph"/>
                              <w:numPr>
                                <w:ilvl w:val="0"/>
                                <w:numId w:val="19"/>
                              </w:numPr>
                              <w:rPr>
                                <w:rFonts w:ascii="Arial" w:hAnsi="Arial" w:cs="Arial"/>
                                <w:color w:val="FFFFFF" w:themeColor="background1"/>
                                <w:lang w:val="en-US"/>
                              </w:rPr>
                            </w:pPr>
                            <w:r w:rsidRPr="00964EDD">
                              <w:rPr>
                                <w:rFonts w:ascii="Arial" w:hAnsi="Arial" w:cs="Arial"/>
                                <w:color w:val="FFFFFF" w:themeColor="background1"/>
                                <w:lang w:val="en-US"/>
                              </w:rPr>
                              <w:t>The policy and legislative environment for building and construction</w:t>
                            </w:r>
                          </w:p>
                          <w:p w:rsidR="00C44BBE" w:rsidRPr="00964EDD" w:rsidRDefault="00C44BBE" w:rsidP="00C44BBE">
                            <w:pPr>
                              <w:pStyle w:val="ListParagraph"/>
                              <w:numPr>
                                <w:ilvl w:val="0"/>
                                <w:numId w:val="19"/>
                              </w:numPr>
                              <w:rPr>
                                <w:rFonts w:ascii="Arial" w:hAnsi="Arial" w:cs="Arial"/>
                                <w:color w:val="FFFFFF" w:themeColor="background1"/>
                                <w:lang w:val="en-US"/>
                              </w:rPr>
                            </w:pPr>
                            <w:r w:rsidRPr="00964EDD">
                              <w:rPr>
                                <w:rFonts w:ascii="Arial" w:hAnsi="Arial" w:cs="Arial"/>
                                <w:color w:val="FFFFFF" w:themeColor="background1"/>
                                <w:lang w:val="en-US"/>
                              </w:rPr>
                              <w:t>Industry stakeholder</w:t>
                            </w:r>
                            <w:r>
                              <w:rPr>
                                <w:rFonts w:ascii="Arial" w:hAnsi="Arial" w:cs="Arial"/>
                                <w:color w:val="FFFFFF" w:themeColor="background1"/>
                                <w:lang w:val="en-US"/>
                              </w:rPr>
                              <w:t>s</w:t>
                            </w:r>
                            <w:r w:rsidRPr="00964EDD">
                              <w:rPr>
                                <w:rFonts w:ascii="Arial" w:hAnsi="Arial" w:cs="Arial"/>
                                <w:color w:val="FFFFFF" w:themeColor="background1"/>
                                <w:lang w:val="en-US"/>
                              </w:rPr>
                              <w:t>, their goals and objectives</w:t>
                            </w:r>
                          </w:p>
                          <w:p w:rsidR="00C44BBE" w:rsidRPr="00964EDD" w:rsidRDefault="00C44BBE" w:rsidP="00C44BBE">
                            <w:pPr>
                              <w:pStyle w:val="ListParagraph"/>
                              <w:numPr>
                                <w:ilvl w:val="0"/>
                                <w:numId w:val="19"/>
                              </w:numPr>
                              <w:rPr>
                                <w:rFonts w:ascii="Arial" w:hAnsi="Arial" w:cs="Arial"/>
                                <w:color w:val="FFFFFF" w:themeColor="background1"/>
                                <w:lang w:val="en-US"/>
                              </w:rPr>
                            </w:pPr>
                            <w:r w:rsidRPr="00964EDD">
                              <w:rPr>
                                <w:rFonts w:ascii="Arial" w:hAnsi="Arial" w:cs="Arial"/>
                                <w:color w:val="FFFFFF" w:themeColor="background1"/>
                                <w:lang w:val="en-US"/>
                              </w:rPr>
                              <w:t>The economic and social value of the industry</w:t>
                            </w:r>
                          </w:p>
                          <w:p w:rsidR="00C44BBE" w:rsidRPr="00964EDD" w:rsidRDefault="00C44BBE" w:rsidP="00C44BBE">
                            <w:pPr>
                              <w:pStyle w:val="ListParagraph"/>
                              <w:numPr>
                                <w:ilvl w:val="0"/>
                                <w:numId w:val="19"/>
                              </w:numPr>
                              <w:rPr>
                                <w:rFonts w:ascii="Arial" w:hAnsi="Arial" w:cs="Arial"/>
                                <w:color w:val="FFFFFF" w:themeColor="background1"/>
                                <w:lang w:val="en-US"/>
                              </w:rPr>
                            </w:pPr>
                            <w:r w:rsidRPr="00964EDD">
                              <w:rPr>
                                <w:rFonts w:ascii="Arial" w:hAnsi="Arial" w:cs="Arial"/>
                                <w:color w:val="FFFFFF" w:themeColor="background1"/>
                                <w:lang w:val="en-US"/>
                              </w:rPr>
                              <w:t>The occupation</w:t>
                            </w:r>
                            <w:r>
                              <w:rPr>
                                <w:rFonts w:ascii="Arial" w:hAnsi="Arial" w:cs="Arial"/>
                                <w:color w:val="FFFFFF" w:themeColor="background1"/>
                                <w:lang w:val="en-US"/>
                              </w:rPr>
                              <w:t>al</w:t>
                            </w:r>
                            <w:r w:rsidRPr="00964EDD">
                              <w:rPr>
                                <w:rFonts w:ascii="Arial" w:hAnsi="Arial" w:cs="Arial"/>
                                <w:color w:val="FFFFFF" w:themeColor="background1"/>
                                <w:lang w:val="en-US"/>
                              </w:rPr>
                              <w:t xml:space="preserve"> profiles and different skills required in the construction of infrastructure, buildings and houses</w:t>
                            </w:r>
                          </w:p>
                          <w:p w:rsidR="00C44BBE" w:rsidRPr="00964EDD" w:rsidRDefault="00C44BBE" w:rsidP="00C44BBE">
                            <w:pPr>
                              <w:pStyle w:val="ListParagraph"/>
                              <w:numPr>
                                <w:ilvl w:val="0"/>
                                <w:numId w:val="19"/>
                              </w:numPr>
                              <w:rPr>
                                <w:rFonts w:ascii="Arial" w:hAnsi="Arial" w:cs="Arial"/>
                                <w:color w:val="FFFFFF" w:themeColor="background1"/>
                                <w:lang w:val="en-US"/>
                              </w:rPr>
                            </w:pPr>
                            <w:r w:rsidRPr="00964EDD">
                              <w:rPr>
                                <w:rFonts w:ascii="Arial" w:hAnsi="Arial" w:cs="Arial"/>
                                <w:color w:val="FFFFFF" w:themeColor="background1"/>
                                <w:lang w:val="en-US"/>
                              </w:rPr>
                              <w:t>The supply of workers and existing skills in Queensland’s regions, cities and towns</w:t>
                            </w:r>
                          </w:p>
                          <w:p w:rsidR="00C44BBE" w:rsidRPr="00964EDD" w:rsidRDefault="00C44BBE" w:rsidP="00C44BBE">
                            <w:pPr>
                              <w:pStyle w:val="ListParagraph"/>
                              <w:numPr>
                                <w:ilvl w:val="0"/>
                                <w:numId w:val="19"/>
                              </w:numPr>
                              <w:rPr>
                                <w:rFonts w:ascii="Arial" w:hAnsi="Arial" w:cs="Arial"/>
                                <w:color w:val="FFFFFF" w:themeColor="background1"/>
                                <w:lang w:val="en-US"/>
                              </w:rPr>
                            </w:pPr>
                            <w:r w:rsidRPr="00964EDD">
                              <w:rPr>
                                <w:rFonts w:ascii="Arial" w:hAnsi="Arial" w:cs="Arial"/>
                                <w:color w:val="FFFFFF" w:themeColor="background1"/>
                                <w:lang w:val="en-US"/>
                              </w:rPr>
                              <w:t>The baseline skills required to successfully enter each industry sector</w:t>
                            </w:r>
                          </w:p>
                          <w:p w:rsidR="00C44BBE" w:rsidRPr="00964EDD" w:rsidRDefault="00C44BBE" w:rsidP="00C44BBE">
                            <w:pPr>
                              <w:pStyle w:val="ListParagraph"/>
                              <w:numPr>
                                <w:ilvl w:val="0"/>
                                <w:numId w:val="19"/>
                              </w:numPr>
                              <w:rPr>
                                <w:rFonts w:ascii="Arial" w:hAnsi="Arial" w:cs="Arial"/>
                                <w:color w:val="FFFFFF" w:themeColor="background1"/>
                                <w:lang w:val="en-US"/>
                              </w:rPr>
                            </w:pPr>
                            <w:r w:rsidRPr="00964EDD">
                              <w:rPr>
                                <w:rFonts w:ascii="Arial" w:hAnsi="Arial" w:cs="Arial"/>
                                <w:color w:val="FFFFFF" w:themeColor="background1"/>
                                <w:lang w:val="en-US"/>
                              </w:rPr>
                              <w:t>The best training pathways to guide workers through the industry</w:t>
                            </w:r>
                          </w:p>
                          <w:p w:rsidR="00C44BBE" w:rsidRPr="00964EDD" w:rsidRDefault="00C44BBE" w:rsidP="00C44BBE">
                            <w:pPr>
                              <w:pStyle w:val="ListParagraph"/>
                              <w:numPr>
                                <w:ilvl w:val="0"/>
                                <w:numId w:val="19"/>
                              </w:numPr>
                              <w:rPr>
                                <w:rFonts w:ascii="Arial" w:hAnsi="Arial" w:cs="Arial"/>
                                <w:color w:val="FFFFFF" w:themeColor="background1"/>
                                <w:lang w:val="en-US"/>
                              </w:rPr>
                            </w:pPr>
                            <w:r w:rsidRPr="00964EDD">
                              <w:rPr>
                                <w:rFonts w:ascii="Arial" w:hAnsi="Arial" w:cs="Arial"/>
                                <w:color w:val="FFFFFF" w:themeColor="background1"/>
                                <w:lang w:val="en-US"/>
                              </w:rPr>
                              <w:t>How innovation and technology is shaping the industry</w:t>
                            </w:r>
                          </w:p>
                          <w:p w:rsidR="00C44BBE" w:rsidRPr="00D45C79" w:rsidRDefault="00C44BBE" w:rsidP="00C44BBE">
                            <w:pPr>
                              <w:rPr>
                                <w:rFonts w:ascii="Arial" w:hAnsi="Arial" w:cs="Arial"/>
                                <w:b/>
                                <w:color w:val="FFFFFF" w:themeColor="background1"/>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07F9847" id="_x0000_s1042" type="#_x0000_t202" style="position:absolute;margin-left:-19.55pt;margin-top:10.95pt;width:316.15pt;height:339.3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" filled="f" stroked="f">
                <v:textbox>
                  <w:txbxContent>
                    <w:p w:rsidR="00C44BBE" w:rsidRDefault="00C44BBE" w:rsidP="00C44BBE">
                      <w:pPr>
                        <w:jc w:val="right"/>
                        <w:rPr>
                          <w:rFonts w:ascii="Arial" w:hAnsi="Arial" w:cs="Arial"/>
                          <w:b/>
                          <w:color w:val="FFFFFF" w:themeColor="background1"/>
                          <w:sz w:val="24"/>
                          <w:szCs w:val="24"/>
                          <w:lang w:val="en-US"/>
                        </w:rPr>
                      </w:pPr>
                    </w:p>
                    <w:p w:rsidR="00C44BBE" w:rsidRPr="00964EDD" w:rsidRDefault="00C44BBE" w:rsidP="00C44BBE">
                      <w:pPr>
                        <w:rPr>
                          <w:rFonts w:ascii="Arial" w:hAnsi="Arial" w:cs="Arial"/>
                          <w:b/>
                          <w:color w:val="FFFFFF" w:themeColor="background1"/>
                          <w:sz w:val="32"/>
                          <w:szCs w:val="32"/>
                          <w:lang w:val="en-US"/>
                        </w:rPr>
                      </w:pPr>
                      <w:r w:rsidRPr="00964EDD">
                        <w:rPr>
                          <w:rFonts w:ascii="Arial" w:hAnsi="Arial" w:cs="Arial"/>
                          <w:b/>
                          <w:color w:val="FFFFFF" w:themeColor="background1"/>
                          <w:sz w:val="32"/>
                          <w:szCs w:val="32"/>
                          <w:lang w:val="en-US"/>
                        </w:rPr>
                        <w:t>CSQ understands:</w:t>
                      </w:r>
                    </w:p>
                    <w:p w:rsidR="00C44BBE" w:rsidRPr="00D45C79" w:rsidRDefault="00C44BBE" w:rsidP="00C44BBE">
                      <w:pPr>
                        <w:rPr>
                          <w:rFonts w:ascii="Arial" w:hAnsi="Arial" w:cs="Arial"/>
                          <w:b/>
                          <w:color w:val="FFFFFF" w:themeColor="background1"/>
                          <w:sz w:val="24"/>
                          <w:szCs w:val="24"/>
                          <w:lang w:val="en-US"/>
                        </w:rPr>
                      </w:pPr>
                    </w:p>
                    <w:p w:rsidR="00C44BBE" w:rsidRPr="00964EDD" w:rsidRDefault="00C44BBE" w:rsidP="00C44BBE">
                      <w:pPr>
                        <w:pStyle w:val="ListParagraph"/>
                        <w:numPr>
                          <w:ilvl w:val="0"/>
                          <w:numId w:val="19"/>
                        </w:numPr>
                        <w:rPr>
                          <w:rFonts w:ascii="Arial" w:hAnsi="Arial" w:cs="Arial"/>
                          <w:color w:val="FFFFFF" w:themeColor="background1"/>
                          <w:lang w:val="en-US"/>
                        </w:rPr>
                      </w:pPr>
                      <w:r w:rsidRPr="00964EDD">
                        <w:rPr>
                          <w:rFonts w:ascii="Arial" w:hAnsi="Arial" w:cs="Arial"/>
                          <w:color w:val="FFFFFF" w:themeColor="background1"/>
                          <w:lang w:val="en-US"/>
                        </w:rPr>
                        <w:t>Construction and skills</w:t>
                      </w:r>
                    </w:p>
                    <w:p w:rsidR="00C44BBE" w:rsidRPr="00964EDD" w:rsidRDefault="00C44BBE" w:rsidP="00C44BBE">
                      <w:pPr>
                        <w:pStyle w:val="ListParagraph"/>
                        <w:numPr>
                          <w:ilvl w:val="0"/>
                          <w:numId w:val="19"/>
                        </w:numPr>
                        <w:rPr>
                          <w:rFonts w:ascii="Arial" w:hAnsi="Arial" w:cs="Arial"/>
                          <w:color w:val="FFFFFF" w:themeColor="background1"/>
                          <w:lang w:val="en-US"/>
                        </w:rPr>
                      </w:pPr>
                      <w:r w:rsidRPr="00964EDD">
                        <w:rPr>
                          <w:rFonts w:ascii="Arial" w:hAnsi="Arial" w:cs="Arial"/>
                          <w:color w:val="FFFFFF" w:themeColor="background1"/>
                          <w:lang w:val="en-US"/>
                        </w:rPr>
                        <w:t>The policy and legislative environment for building and construction</w:t>
                      </w:r>
                    </w:p>
                    <w:p w:rsidR="00C44BBE" w:rsidRPr="00964EDD" w:rsidRDefault="00C44BBE" w:rsidP="00C44BBE">
                      <w:pPr>
                        <w:pStyle w:val="ListParagraph"/>
                        <w:numPr>
                          <w:ilvl w:val="0"/>
                          <w:numId w:val="19"/>
                        </w:numPr>
                        <w:rPr>
                          <w:rFonts w:ascii="Arial" w:hAnsi="Arial" w:cs="Arial"/>
                          <w:color w:val="FFFFFF" w:themeColor="background1"/>
                          <w:lang w:val="en-US"/>
                        </w:rPr>
                      </w:pPr>
                      <w:r w:rsidRPr="00964EDD">
                        <w:rPr>
                          <w:rFonts w:ascii="Arial" w:hAnsi="Arial" w:cs="Arial"/>
                          <w:color w:val="FFFFFF" w:themeColor="background1"/>
                          <w:lang w:val="en-US"/>
                        </w:rPr>
                        <w:t>Industry stakeholder</w:t>
                      </w:r>
                      <w:r>
                        <w:rPr>
                          <w:rFonts w:ascii="Arial" w:hAnsi="Arial" w:cs="Arial"/>
                          <w:color w:val="FFFFFF" w:themeColor="background1"/>
                          <w:lang w:val="en-US"/>
                        </w:rPr>
                        <w:t>s</w:t>
                      </w:r>
                      <w:r w:rsidRPr="00964EDD">
                        <w:rPr>
                          <w:rFonts w:ascii="Arial" w:hAnsi="Arial" w:cs="Arial"/>
                          <w:color w:val="FFFFFF" w:themeColor="background1"/>
                          <w:lang w:val="en-US"/>
                        </w:rPr>
                        <w:t>, their goals and objectives</w:t>
                      </w:r>
                    </w:p>
                    <w:p w:rsidR="00C44BBE" w:rsidRPr="00964EDD" w:rsidRDefault="00C44BBE" w:rsidP="00C44BBE">
                      <w:pPr>
                        <w:pStyle w:val="ListParagraph"/>
                        <w:numPr>
                          <w:ilvl w:val="0"/>
                          <w:numId w:val="19"/>
                        </w:numPr>
                        <w:rPr>
                          <w:rFonts w:ascii="Arial" w:hAnsi="Arial" w:cs="Arial"/>
                          <w:color w:val="FFFFFF" w:themeColor="background1"/>
                          <w:lang w:val="en-US"/>
                        </w:rPr>
                      </w:pPr>
                      <w:r w:rsidRPr="00964EDD">
                        <w:rPr>
                          <w:rFonts w:ascii="Arial" w:hAnsi="Arial" w:cs="Arial"/>
                          <w:color w:val="FFFFFF" w:themeColor="background1"/>
                          <w:lang w:val="en-US"/>
                        </w:rPr>
                        <w:t>The economic and social value of the industry</w:t>
                      </w:r>
                    </w:p>
                    <w:p w:rsidR="00C44BBE" w:rsidRPr="00964EDD" w:rsidRDefault="00C44BBE" w:rsidP="00C44BBE">
                      <w:pPr>
                        <w:pStyle w:val="ListParagraph"/>
                        <w:numPr>
                          <w:ilvl w:val="0"/>
                          <w:numId w:val="19"/>
                        </w:numPr>
                        <w:rPr>
                          <w:rFonts w:ascii="Arial" w:hAnsi="Arial" w:cs="Arial"/>
                          <w:color w:val="FFFFFF" w:themeColor="background1"/>
                          <w:lang w:val="en-US"/>
                        </w:rPr>
                      </w:pPr>
                      <w:r w:rsidRPr="00964EDD">
                        <w:rPr>
                          <w:rFonts w:ascii="Arial" w:hAnsi="Arial" w:cs="Arial"/>
                          <w:color w:val="FFFFFF" w:themeColor="background1"/>
                          <w:lang w:val="en-US"/>
                        </w:rPr>
                        <w:t>The occupation</w:t>
                      </w:r>
                      <w:r>
                        <w:rPr>
                          <w:rFonts w:ascii="Arial" w:hAnsi="Arial" w:cs="Arial"/>
                          <w:color w:val="FFFFFF" w:themeColor="background1"/>
                          <w:lang w:val="en-US"/>
                        </w:rPr>
                        <w:t>al</w:t>
                      </w:r>
                      <w:r w:rsidRPr="00964EDD">
                        <w:rPr>
                          <w:rFonts w:ascii="Arial" w:hAnsi="Arial" w:cs="Arial"/>
                          <w:color w:val="FFFFFF" w:themeColor="background1"/>
                          <w:lang w:val="en-US"/>
                        </w:rPr>
                        <w:t xml:space="preserve"> profiles and different skills required in the construction of infrastructure, buildings and houses</w:t>
                      </w:r>
                    </w:p>
                    <w:p w:rsidR="00C44BBE" w:rsidRPr="00964EDD" w:rsidRDefault="00C44BBE" w:rsidP="00C44BBE">
                      <w:pPr>
                        <w:pStyle w:val="ListParagraph"/>
                        <w:numPr>
                          <w:ilvl w:val="0"/>
                          <w:numId w:val="19"/>
                        </w:numPr>
                        <w:rPr>
                          <w:rFonts w:ascii="Arial" w:hAnsi="Arial" w:cs="Arial"/>
                          <w:color w:val="FFFFFF" w:themeColor="background1"/>
                          <w:lang w:val="en-US"/>
                        </w:rPr>
                      </w:pPr>
                      <w:r w:rsidRPr="00964EDD">
                        <w:rPr>
                          <w:rFonts w:ascii="Arial" w:hAnsi="Arial" w:cs="Arial"/>
                          <w:color w:val="FFFFFF" w:themeColor="background1"/>
                          <w:lang w:val="en-US"/>
                        </w:rPr>
                        <w:t>The supply of workers and existing skills in Queensland’s regions, cities and towns</w:t>
                      </w:r>
                    </w:p>
                    <w:p w:rsidR="00C44BBE" w:rsidRPr="00964EDD" w:rsidRDefault="00C44BBE" w:rsidP="00C44BBE">
                      <w:pPr>
                        <w:pStyle w:val="ListParagraph"/>
                        <w:numPr>
                          <w:ilvl w:val="0"/>
                          <w:numId w:val="19"/>
                        </w:numPr>
                        <w:rPr>
                          <w:rFonts w:ascii="Arial" w:hAnsi="Arial" w:cs="Arial"/>
                          <w:color w:val="FFFFFF" w:themeColor="background1"/>
                          <w:lang w:val="en-US"/>
                        </w:rPr>
                      </w:pPr>
                      <w:r w:rsidRPr="00964EDD">
                        <w:rPr>
                          <w:rFonts w:ascii="Arial" w:hAnsi="Arial" w:cs="Arial"/>
                          <w:color w:val="FFFFFF" w:themeColor="background1"/>
                          <w:lang w:val="en-US"/>
                        </w:rPr>
                        <w:t>The baseline skills required to successfully enter each industry sector</w:t>
                      </w:r>
                    </w:p>
                    <w:p w:rsidR="00C44BBE" w:rsidRPr="00964EDD" w:rsidRDefault="00C44BBE" w:rsidP="00C44BBE">
                      <w:pPr>
                        <w:pStyle w:val="ListParagraph"/>
                        <w:numPr>
                          <w:ilvl w:val="0"/>
                          <w:numId w:val="19"/>
                        </w:numPr>
                        <w:rPr>
                          <w:rFonts w:ascii="Arial" w:hAnsi="Arial" w:cs="Arial"/>
                          <w:color w:val="FFFFFF" w:themeColor="background1"/>
                          <w:lang w:val="en-US"/>
                        </w:rPr>
                      </w:pPr>
                      <w:r w:rsidRPr="00964EDD">
                        <w:rPr>
                          <w:rFonts w:ascii="Arial" w:hAnsi="Arial" w:cs="Arial"/>
                          <w:color w:val="FFFFFF" w:themeColor="background1"/>
                          <w:lang w:val="en-US"/>
                        </w:rPr>
                        <w:t>The best training pathways to guide workers through the industry</w:t>
                      </w:r>
                    </w:p>
                    <w:p w:rsidR="00C44BBE" w:rsidRPr="00964EDD" w:rsidRDefault="00C44BBE" w:rsidP="00C44BBE">
                      <w:pPr>
                        <w:pStyle w:val="ListParagraph"/>
                        <w:numPr>
                          <w:ilvl w:val="0"/>
                          <w:numId w:val="19"/>
                        </w:numPr>
                        <w:rPr>
                          <w:rFonts w:ascii="Arial" w:hAnsi="Arial" w:cs="Arial"/>
                          <w:color w:val="FFFFFF" w:themeColor="background1"/>
                          <w:lang w:val="en-US"/>
                        </w:rPr>
                      </w:pPr>
                      <w:r w:rsidRPr="00964EDD">
                        <w:rPr>
                          <w:rFonts w:ascii="Arial" w:hAnsi="Arial" w:cs="Arial"/>
                          <w:color w:val="FFFFFF" w:themeColor="background1"/>
                          <w:lang w:val="en-US"/>
                        </w:rPr>
                        <w:t>How innovation and technology is shaping the industry</w:t>
                      </w:r>
                    </w:p>
                    <w:p w:rsidR="00C44BBE" w:rsidRPr="00D45C79" w:rsidRDefault="00C44BBE" w:rsidP="00C44BBE">
                      <w:pPr>
                        <w:rPr>
                          <w:rFonts w:ascii="Arial" w:hAnsi="Arial" w:cs="Arial"/>
                          <w:b/>
                          <w:color w:val="FFFFFF" w:themeColor="background1"/>
                          <w:sz w:val="24"/>
                          <w:szCs w:val="24"/>
                          <w:lang w:val="en-US"/>
                        </w:rPr>
                      </w:pPr>
                    </w:p>
                  </w:txbxContent>
                </v:textbox>
              </v:shape>
            </w:pict>
          </mc:Fallback>
        </mc:AlternateContent>
      </w:r>
    </w:p>
    <w:sectPr w:rsidR="007E78D1" w:rsidSect="007E78D1">
      <w:headerReference w:type="first" r:id="rId41"/>
      <w:pgSz w:w="11906" w:h="16838" w:code="9"/>
      <w:pgMar w:top="1440" w:right="1440" w:bottom="1440" w:left="1440" w:header="1134" w:footer="510" w:gutter="0"/>
      <w:cols w:space="34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9BC" w:rsidRDefault="00D369BC">
      <w:r>
        <w:separator/>
      </w:r>
    </w:p>
    <w:p w:rsidR="00D369BC" w:rsidRDefault="00D369BC"/>
    <w:p w:rsidR="00D369BC" w:rsidRDefault="00D369BC"/>
  </w:endnote>
  <w:endnote w:type="continuationSeparator" w:id="0">
    <w:p w:rsidR="00D369BC" w:rsidRDefault="00D369BC">
      <w:r>
        <w:continuationSeparator/>
      </w:r>
    </w:p>
    <w:p w:rsidR="00D369BC" w:rsidRDefault="00D369BC"/>
    <w:p w:rsidR="00D369BC" w:rsidRDefault="00D369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Gotham Book">
    <w:altName w:val="Times New Roman"/>
    <w:charset w:val="00"/>
    <w:family w:val="auto"/>
    <w:pitch w:val="variable"/>
    <w:sig w:usb0="00000001" w:usb1="40000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720228"/>
      <w:docPartObj>
        <w:docPartGallery w:val="Page Numbers (Bottom of Page)"/>
        <w:docPartUnique/>
      </w:docPartObj>
    </w:sdtPr>
    <w:sdtEndPr>
      <w:rPr>
        <w:noProof/>
      </w:rPr>
    </w:sdtEndPr>
    <w:sdtContent>
      <w:p w:rsidR="0081218A" w:rsidRDefault="0081218A" w:rsidP="00F1094F">
        <w:pPr>
          <w:pStyle w:val="Footer"/>
        </w:pPr>
        <w:r>
          <w:fldChar w:fldCharType="begin"/>
        </w:r>
        <w:r>
          <w:instrText xml:space="preserve"> PAGE   \* MERGEFORMAT </w:instrText>
        </w:r>
        <w:r>
          <w:fldChar w:fldCharType="separate"/>
        </w:r>
        <w:r w:rsidR="002F3308">
          <w:rPr>
            <w:noProof/>
          </w:rPr>
          <w:t>20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2789932"/>
      <w:docPartObj>
        <w:docPartGallery w:val="Page Numbers (Bottom of Page)"/>
        <w:docPartUnique/>
      </w:docPartObj>
    </w:sdtPr>
    <w:sdtEndPr>
      <w:rPr>
        <w:noProof/>
      </w:rPr>
    </w:sdtEndPr>
    <w:sdtContent>
      <w:p w:rsidR="0081218A" w:rsidRDefault="0081218A">
        <w:pPr>
          <w:pStyle w:val="Footer"/>
        </w:pPr>
        <w:r>
          <w:fldChar w:fldCharType="begin"/>
        </w:r>
        <w:r>
          <w:instrText xml:space="preserve"> PAGE   \* MERGEFORMAT </w:instrText>
        </w:r>
        <w:r>
          <w:fldChar w:fldCharType="separate"/>
        </w:r>
        <w:r>
          <w:rPr>
            <w:noProof/>
          </w:rPr>
          <w:t>2</w:t>
        </w:r>
        <w:r>
          <w:rPr>
            <w:noProof/>
          </w:rPr>
          <w:fldChar w:fldCharType="end"/>
        </w:r>
      </w:p>
    </w:sdtContent>
  </w:sdt>
  <w:p w:rsidR="0081218A" w:rsidRDefault="0081218A">
    <w:pPr>
      <w:pStyle w:val="Footer"/>
    </w:pPr>
  </w:p>
  <w:p w:rsidR="0081218A" w:rsidRDefault="0081218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18A" w:rsidRDefault="0081218A">
    <w:pPr>
      <w:pStyle w:val="Footer"/>
    </w:pPr>
  </w:p>
  <w:p w:rsidR="0081218A" w:rsidRDefault="008121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9BC" w:rsidRDefault="00D369BC" w:rsidP="00FC7B26">
      <w:pPr>
        <w:spacing w:before="120"/>
      </w:pPr>
      <w:r>
        <w:separator/>
      </w:r>
    </w:p>
  </w:footnote>
  <w:footnote w:type="continuationSeparator" w:id="0">
    <w:p w:rsidR="00D369BC" w:rsidRDefault="00D369BC">
      <w:r>
        <w:continuationSeparator/>
      </w:r>
    </w:p>
    <w:p w:rsidR="00D369BC" w:rsidRDefault="00D369BC"/>
    <w:p w:rsidR="00D369BC" w:rsidRDefault="00D369BC"/>
  </w:footnote>
  <w:footnote w:id="1">
    <w:p w:rsidR="0081218A" w:rsidRDefault="0081218A">
      <w:pPr>
        <w:pStyle w:val="FootnoteText"/>
      </w:pPr>
      <w:r>
        <w:rPr>
          <w:rStyle w:val="FootnoteReference"/>
        </w:rPr>
        <w:footnoteRef/>
      </w:r>
      <w:r>
        <w:t xml:space="preserve"> CSQ (2018) Apprentice Annual 2018, includes special feature: linking training to industry, </w:t>
      </w:r>
      <w:r w:rsidRPr="00540446">
        <w:t>https://www.csq.org.au/wp-content/uploads/2019/02/CSQ-Apprentice-Annual-2018.pdf</w:t>
      </w:r>
    </w:p>
  </w:footnote>
  <w:footnote w:id="2">
    <w:p w:rsidR="0081218A" w:rsidRDefault="0081218A">
      <w:pPr>
        <w:pStyle w:val="FootnoteText"/>
      </w:pPr>
      <w:r>
        <w:rPr>
          <w:rStyle w:val="FootnoteReference"/>
        </w:rPr>
        <w:footnoteRef/>
      </w:r>
      <w:r>
        <w:t xml:space="preserve"> Productivity Commission (2020) Interim report, National Agreement for Skills and Workforce Development Review, May 2020 p.126</w:t>
      </w:r>
    </w:p>
  </w:footnote>
  <w:footnote w:id="3">
    <w:p w:rsidR="0081218A" w:rsidRDefault="0081218A" w:rsidP="00493AA8">
      <w:pPr>
        <w:pStyle w:val="FootnoteText"/>
      </w:pPr>
      <w:r>
        <w:rPr>
          <w:rStyle w:val="FootnoteReference"/>
        </w:rPr>
        <w:footnoteRef/>
      </w:r>
      <w:r>
        <w:t xml:space="preserve"> ABS (2011) cat no. 4</w:t>
      </w:r>
      <w:r w:rsidRPr="005A1952">
        <w:t>235.0 - Learning And Work, Australia, 2010-11</w:t>
      </w:r>
    </w:p>
  </w:footnote>
  <w:footnote w:id="4">
    <w:p w:rsidR="0081218A" w:rsidRDefault="0081218A" w:rsidP="00493AA8">
      <w:pPr>
        <w:pStyle w:val="FootnoteText"/>
      </w:pPr>
      <w:r>
        <w:rPr>
          <w:rStyle w:val="FootnoteReference"/>
        </w:rPr>
        <w:footnoteRef/>
      </w:r>
      <w:r>
        <w:t xml:space="preserve"> Marks, G. (2017). </w:t>
      </w:r>
      <w:r w:rsidRPr="005F08BE">
        <w:t>University and vocational education, and youth labour market outcomes in Australia</w:t>
      </w:r>
      <w:r>
        <w:t xml:space="preserve">, </w:t>
      </w:r>
      <w:r w:rsidRPr="006E2983">
        <w:rPr>
          <w:i/>
        </w:rPr>
        <w:t>Journal of Education and Work</w:t>
      </w:r>
      <w:r>
        <w:t>, 30(8), pp. 868-80</w:t>
      </w:r>
    </w:p>
    <w:p w:rsidR="0081218A" w:rsidRDefault="0081218A" w:rsidP="00493AA8">
      <w:pPr>
        <w:pStyle w:val="FootnoteText"/>
      </w:pPr>
      <w:r>
        <w:t xml:space="preserve">Lee, W. and Coelli, M. (2010) The Labour Market Effects of Vocational Education and Training in Australia, </w:t>
      </w:r>
      <w:r w:rsidRPr="005F08BE">
        <w:rPr>
          <w:i/>
        </w:rPr>
        <w:t>Australian Economic Review</w:t>
      </w:r>
      <w:r w:rsidRPr="005F08BE">
        <w:t>, 43</w:t>
      </w:r>
      <w:r>
        <w:t>(</w:t>
      </w:r>
      <w:r w:rsidRPr="005F08BE">
        <w:t>4</w:t>
      </w:r>
      <w:r>
        <w:t>)</w:t>
      </w:r>
      <w:r w:rsidRPr="005F08BE">
        <w:t>, pp. 389–408</w:t>
      </w:r>
    </w:p>
  </w:footnote>
  <w:footnote w:id="5">
    <w:p w:rsidR="0081218A" w:rsidRDefault="0081218A" w:rsidP="00493AA8">
      <w:pPr>
        <w:pStyle w:val="FootnoteText"/>
      </w:pPr>
      <w:r>
        <w:rPr>
          <w:rStyle w:val="FootnoteReference"/>
        </w:rPr>
        <w:footnoteRef/>
      </w:r>
      <w:r>
        <w:t xml:space="preserve"> CSQ, op cit</w:t>
      </w:r>
    </w:p>
  </w:footnote>
  <w:footnote w:id="6">
    <w:p w:rsidR="0081218A" w:rsidRDefault="0081218A" w:rsidP="00493AA8">
      <w:pPr>
        <w:pStyle w:val="FootnoteText"/>
      </w:pPr>
      <w:r>
        <w:rPr>
          <w:rStyle w:val="FootnoteReference"/>
        </w:rPr>
        <w:footnoteRef/>
      </w:r>
      <w:r>
        <w:t xml:space="preserve"> ABS (2015) cat no. </w:t>
      </w:r>
      <w:r w:rsidRPr="000E389B">
        <w:t>4235.0 - Qualifications and Work, Australia, 2015</w:t>
      </w:r>
    </w:p>
  </w:footnote>
  <w:footnote w:id="7">
    <w:p w:rsidR="0081218A" w:rsidRDefault="0081218A" w:rsidP="00493AA8">
      <w:pPr>
        <w:pStyle w:val="FootnoteText"/>
      </w:pPr>
      <w:r>
        <w:rPr>
          <w:rStyle w:val="FootnoteReference"/>
        </w:rPr>
        <w:footnoteRef/>
      </w:r>
      <w:r>
        <w:t xml:space="preserve"> </w:t>
      </w:r>
      <w:r w:rsidRPr="007B393B">
        <w:t>Mavromaras</w:t>
      </w:r>
      <w:r>
        <w:t>, K. et al. (2010)</w:t>
      </w:r>
      <w:r w:rsidRPr="007B393B">
        <w:t xml:space="preserve"> The Problem </w:t>
      </w:r>
      <w:r>
        <w:t>o</w:t>
      </w:r>
      <w:r w:rsidRPr="007B393B">
        <w:t xml:space="preserve">f Overskilling </w:t>
      </w:r>
      <w:r>
        <w:t>i</w:t>
      </w:r>
      <w:r w:rsidRPr="007B393B">
        <w:t xml:space="preserve">n Australia </w:t>
      </w:r>
      <w:r>
        <w:t>a</w:t>
      </w:r>
      <w:r w:rsidRPr="007B393B">
        <w:t>nd Britain</w:t>
      </w:r>
      <w:r>
        <w:t xml:space="preserve">, </w:t>
      </w:r>
      <w:r w:rsidRPr="007B393B">
        <w:rPr>
          <w:i/>
        </w:rPr>
        <w:t>The Manchester School</w:t>
      </w:r>
      <w:r>
        <w:t>, 78(3), pp. 219-241</w:t>
      </w:r>
    </w:p>
    <w:p w:rsidR="0081218A" w:rsidRDefault="0081218A" w:rsidP="00493AA8">
      <w:pPr>
        <w:pStyle w:val="FootnoteText"/>
      </w:pPr>
      <w:r w:rsidRPr="00DB1633">
        <w:t xml:space="preserve">Linsley, I. </w:t>
      </w:r>
      <w:r>
        <w:t xml:space="preserve">(2005) </w:t>
      </w:r>
      <w:r w:rsidRPr="00DB1633">
        <w:t>Causes of Overeducation i</w:t>
      </w:r>
      <w:r>
        <w:t>n the Australian Labour Market,</w:t>
      </w:r>
      <w:r w:rsidRPr="00DB1633">
        <w:t xml:space="preserve"> </w:t>
      </w:r>
      <w:r w:rsidRPr="00DB1633">
        <w:rPr>
          <w:i/>
        </w:rPr>
        <w:t>Australian Journal of Labour Economics</w:t>
      </w:r>
      <w:r w:rsidRPr="00DB1633">
        <w:t>, 8</w:t>
      </w:r>
      <w:r>
        <w:t>(</w:t>
      </w:r>
      <w:r w:rsidRPr="00DB1633">
        <w:t>2</w:t>
      </w:r>
      <w:r>
        <w:t>)</w:t>
      </w:r>
      <w:r w:rsidRPr="00DB1633">
        <w:t xml:space="preserve">, </w:t>
      </w:r>
      <w:r>
        <w:t>pp. 121-</w:t>
      </w:r>
      <w:r w:rsidRPr="00DB1633">
        <w:t>43</w:t>
      </w:r>
    </w:p>
  </w:footnote>
  <w:footnote w:id="8">
    <w:p w:rsidR="00C61481" w:rsidRDefault="00C61481">
      <w:pPr>
        <w:pStyle w:val="FootnoteText"/>
      </w:pPr>
      <w:r>
        <w:rPr>
          <w:rStyle w:val="FootnoteReference"/>
        </w:rPr>
        <w:footnoteRef/>
      </w:r>
      <w:r>
        <w:t xml:space="preserve"> Education Council (2019) Discussion paper: Review of senior secondary pathways</w:t>
      </w:r>
    </w:p>
  </w:footnote>
  <w:footnote w:id="9">
    <w:p w:rsidR="000312BC" w:rsidRDefault="000312BC" w:rsidP="000312BC">
      <w:pPr>
        <w:pStyle w:val="FootnoteText"/>
      </w:pPr>
      <w:r>
        <w:rPr>
          <w:rStyle w:val="FootnoteReference"/>
        </w:rPr>
        <w:footnoteRef/>
      </w:r>
      <w:r>
        <w:t xml:space="preserve"> Roberts, M. (2020) Lifting Australia’s Productivity, </w:t>
      </w:r>
      <w:r w:rsidRPr="00337586">
        <w:rPr>
          <w:i/>
        </w:rPr>
        <w:t>Productivity Commission</w:t>
      </w:r>
      <w:r>
        <w:t xml:space="preserve"> p. 28</w:t>
      </w:r>
    </w:p>
  </w:footnote>
  <w:footnote w:id="10">
    <w:p w:rsidR="0081218A" w:rsidRPr="00F85104" w:rsidRDefault="0081218A">
      <w:pPr>
        <w:pStyle w:val="FootnoteText"/>
        <w:rPr>
          <w:lang w:val="en-US"/>
        </w:rPr>
      </w:pPr>
      <w:r>
        <w:rPr>
          <w:rStyle w:val="FootnoteReference"/>
        </w:rPr>
        <w:footnoteRef/>
      </w:r>
      <w:r>
        <w:t xml:space="preserve"> </w:t>
      </w:r>
      <w:r>
        <w:rPr>
          <w:lang w:val="en-US"/>
        </w:rPr>
        <w:t>CSQ (2019) Apprentice Annual 2019 page 9</w:t>
      </w:r>
    </w:p>
  </w:footnote>
  <w:footnote w:id="11">
    <w:p w:rsidR="0081218A" w:rsidRDefault="0081218A" w:rsidP="00C20798">
      <w:pPr>
        <w:pStyle w:val="FootnoteText"/>
      </w:pPr>
      <w:r>
        <w:rPr>
          <w:rStyle w:val="FootnoteReference"/>
        </w:rPr>
        <w:footnoteRef/>
      </w:r>
      <w:r>
        <w:t xml:space="preserve"> Qualifications currently offered Certificate III in Carpentry; Painting and Decorating; Solid Plastering; Wall and Ceiling Lining; Wall and Floor Tiling; Construction Waterproofing; Civil Construction Plant Operations; and Civil Construction. </w:t>
      </w:r>
    </w:p>
  </w:footnote>
  <w:footnote w:id="12">
    <w:p w:rsidR="0081218A" w:rsidRDefault="0081218A">
      <w:pPr>
        <w:pStyle w:val="FootnoteText"/>
      </w:pPr>
      <w:r>
        <w:rPr>
          <w:rStyle w:val="FootnoteReference"/>
        </w:rPr>
        <w:footnoteRef/>
      </w:r>
      <w:r>
        <w:t xml:space="preserve"> Access to full subsidies is available during the apprenticeship and within one year of completion; and is also open to </w:t>
      </w:r>
      <w:r w:rsidR="00E30D26">
        <w:t>cancelled</w:t>
      </w:r>
      <w:r>
        <w:t xml:space="preserve"> apprentices accessing state government funding to complete their institution based training.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18A" w:rsidRDefault="0081218A">
    <w:pPr>
      <w:pStyle w:val="Header"/>
    </w:pPr>
    <w:r>
      <w:rPr>
        <w:noProof/>
        <w:lang w:eastAsia="en-AU"/>
      </w:rPr>
      <w:drawing>
        <wp:anchor distT="0" distB="0" distL="114300" distR="114300" simplePos="0" relativeHeight="251664384" behindDoc="0" locked="0" layoutInCell="1" allowOverlap="1" wp14:anchorId="590FF89A" wp14:editId="54C10CE7">
          <wp:simplePos x="0" y="0"/>
          <wp:positionH relativeFrom="column">
            <wp:posOffset>27190</wp:posOffset>
          </wp:positionH>
          <wp:positionV relativeFrom="paragraph">
            <wp:posOffset>-177165</wp:posOffset>
          </wp:positionV>
          <wp:extent cx="2639060" cy="396875"/>
          <wp:effectExtent l="0" t="0" r="8890" b="31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CSQ-Logo-Tagline-RGB.jpg"/>
                  <pic:cNvPicPr/>
                </pic:nvPicPr>
                <pic:blipFill>
                  <a:blip r:embed="rId1">
                    <a:extLst>
                      <a:ext uri="{28A0092B-C50C-407E-A947-70E740481C1C}">
                        <a14:useLocalDpi xmlns:a14="http://schemas.microsoft.com/office/drawing/2010/main" val="0"/>
                      </a:ext>
                    </a:extLst>
                  </a:blip>
                  <a:stretch>
                    <a:fillRect/>
                  </a:stretch>
                </pic:blipFill>
                <pic:spPr>
                  <a:xfrm>
                    <a:off x="0" y="0"/>
                    <a:ext cx="2639060" cy="396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18A" w:rsidRDefault="0081218A">
    <w:pPr>
      <w:pStyle w:val="Header"/>
    </w:pPr>
    <w:r>
      <w:rPr>
        <w:noProof/>
        <w:lang w:eastAsia="en-AU"/>
      </w:rPr>
      <w:drawing>
        <wp:anchor distT="0" distB="0" distL="114300" distR="114300" simplePos="0" relativeHeight="251666432" behindDoc="0" locked="0" layoutInCell="1" allowOverlap="1" wp14:anchorId="1F8A345D" wp14:editId="14078FBB">
          <wp:simplePos x="0" y="0"/>
          <wp:positionH relativeFrom="column">
            <wp:posOffset>0</wp:posOffset>
          </wp:positionH>
          <wp:positionV relativeFrom="paragraph">
            <wp:posOffset>-783590</wp:posOffset>
          </wp:positionV>
          <wp:extent cx="2825750" cy="4286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SQ-Logo-Tagline-RGB.jpg"/>
                  <pic:cNvPicPr/>
                </pic:nvPicPr>
                <pic:blipFill>
                  <a:blip r:embed="rId1">
                    <a:extLst>
                      <a:ext uri="{28A0092B-C50C-407E-A947-70E740481C1C}">
                        <a14:useLocalDpi xmlns:a14="http://schemas.microsoft.com/office/drawing/2010/main" val="0"/>
                      </a:ext>
                    </a:extLst>
                  </a:blip>
                  <a:stretch>
                    <a:fillRect/>
                  </a:stretch>
                </pic:blipFill>
                <pic:spPr>
                  <a:xfrm>
                    <a:off x="0" y="0"/>
                    <a:ext cx="2825750" cy="428625"/>
                  </a:xfrm>
                  <a:prstGeom prst="rect">
                    <a:avLst/>
                  </a:prstGeom>
                </pic:spPr>
              </pic:pic>
            </a:graphicData>
          </a:graphic>
          <wp14:sizeRelH relativeFrom="margin">
            <wp14:pctWidth>0</wp14:pctWidth>
          </wp14:sizeRelH>
          <wp14:sizeRelV relativeFrom="margin">
            <wp14:pctHeight>0</wp14:pctHeight>
          </wp14:sizeRelV>
        </wp:anchor>
      </w:drawing>
    </w:r>
  </w:p>
  <w:p w:rsidR="0081218A" w:rsidRDefault="0081218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18A" w:rsidRDefault="0081218A">
    <w:pPr>
      <w:pStyle w:val="Header"/>
    </w:pPr>
    <w:r>
      <w:rPr>
        <w:noProof/>
        <w:lang w:eastAsia="en-AU"/>
      </w:rPr>
      <w:drawing>
        <wp:anchor distT="0" distB="0" distL="114300" distR="114300" simplePos="0" relativeHeight="251669504" behindDoc="0" locked="0" layoutInCell="1" allowOverlap="1" wp14:anchorId="0121B867" wp14:editId="05ABF521">
          <wp:simplePos x="0" y="0"/>
          <wp:positionH relativeFrom="column">
            <wp:posOffset>-47625</wp:posOffset>
          </wp:positionH>
          <wp:positionV relativeFrom="paragraph">
            <wp:posOffset>-735965</wp:posOffset>
          </wp:positionV>
          <wp:extent cx="2639060" cy="400050"/>
          <wp:effectExtent l="0" t="0" r="889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CSQ-Logo-Tagline-RGB.jpg"/>
                  <pic:cNvPicPr/>
                </pic:nvPicPr>
                <pic:blipFill>
                  <a:blip r:embed="rId1">
                    <a:extLst>
                      <a:ext uri="{28A0092B-C50C-407E-A947-70E740481C1C}">
                        <a14:useLocalDpi xmlns:a14="http://schemas.microsoft.com/office/drawing/2010/main" val="0"/>
                      </a:ext>
                    </a:extLst>
                  </a:blip>
                  <a:stretch>
                    <a:fillRect/>
                  </a:stretch>
                </pic:blipFill>
                <pic:spPr>
                  <a:xfrm>
                    <a:off x="0" y="0"/>
                    <a:ext cx="2639060" cy="40005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18A" w:rsidRDefault="0081218A">
    <w:pPr>
      <w:pStyle w:val="Header"/>
    </w:pPr>
    <w:r>
      <w:rPr>
        <w:noProof/>
        <w:lang w:eastAsia="en-AU"/>
      </w:rPr>
      <w:drawing>
        <wp:anchor distT="0" distB="0" distL="114300" distR="114300" simplePos="0" relativeHeight="251668480" behindDoc="0" locked="0" layoutInCell="1" allowOverlap="1" wp14:anchorId="30E79ED3" wp14:editId="40C4CD97">
          <wp:simplePos x="0" y="0"/>
          <wp:positionH relativeFrom="column">
            <wp:posOffset>0</wp:posOffset>
          </wp:positionH>
          <wp:positionV relativeFrom="paragraph">
            <wp:posOffset>-783590</wp:posOffset>
          </wp:positionV>
          <wp:extent cx="2825750" cy="42862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SQ-Logo-Tagline-RGB.jpg"/>
                  <pic:cNvPicPr/>
                </pic:nvPicPr>
                <pic:blipFill>
                  <a:blip r:embed="rId1">
                    <a:extLst>
                      <a:ext uri="{28A0092B-C50C-407E-A947-70E740481C1C}">
                        <a14:useLocalDpi xmlns:a14="http://schemas.microsoft.com/office/drawing/2010/main" val="0"/>
                      </a:ext>
                    </a:extLst>
                  </a:blip>
                  <a:stretch>
                    <a:fillRect/>
                  </a:stretch>
                </pic:blipFill>
                <pic:spPr>
                  <a:xfrm>
                    <a:off x="0" y="0"/>
                    <a:ext cx="2825750" cy="42862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18A" w:rsidRDefault="0081218A">
    <w:pPr>
      <w:pStyle w:val="Header"/>
    </w:pPr>
    <w:r>
      <w:rPr>
        <w:noProof/>
        <w:lang w:eastAsia="en-AU"/>
      </w:rPr>
      <w:drawing>
        <wp:anchor distT="0" distB="0" distL="114300" distR="114300" simplePos="0" relativeHeight="251660288" behindDoc="1" locked="0" layoutInCell="1" allowOverlap="1" wp14:anchorId="7C89BCBC" wp14:editId="4B1A82C4">
          <wp:simplePos x="0" y="0"/>
          <wp:positionH relativeFrom="column">
            <wp:posOffset>-942975</wp:posOffset>
          </wp:positionH>
          <wp:positionV relativeFrom="paragraph">
            <wp:posOffset>-748665</wp:posOffset>
          </wp:positionV>
          <wp:extent cx="7620000" cy="10777855"/>
          <wp:effectExtent l="0" t="0" r="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rd template cover - back.jpg"/>
                  <pic:cNvPicPr/>
                </pic:nvPicPr>
                <pic:blipFill>
                  <a:blip r:embed="rId1">
                    <a:extLst>
                      <a:ext uri="{28A0092B-C50C-407E-A947-70E740481C1C}">
                        <a14:useLocalDpi xmlns:a14="http://schemas.microsoft.com/office/drawing/2010/main" val="0"/>
                      </a:ext>
                    </a:extLst>
                  </a:blip>
                  <a:stretch>
                    <a:fillRect/>
                  </a:stretch>
                </pic:blipFill>
                <pic:spPr>
                  <a:xfrm>
                    <a:off x="0" y="0"/>
                    <a:ext cx="7620000" cy="107778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06715"/>
    <w:multiLevelType w:val="multilevel"/>
    <w:tmpl w:val="D8724C56"/>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Text w:val=""/>
      <w:lvlJc w:val="left"/>
      <w:pPr>
        <w:ind w:left="680" w:hanging="283"/>
      </w:pPr>
      <w:rPr>
        <w:rFonts w:ascii="Symbol" w:hAnsi="Symbol" w:hint="default"/>
        <w:color w:val="FFCC00"/>
      </w:rPr>
    </w:lvl>
    <w:lvl w:ilvl="5">
      <w:start w:val="1"/>
      <w:numFmt w:val="bullet"/>
      <w:lvlText w:val=""/>
      <w:lvlJc w:val="left"/>
      <w:pPr>
        <w:ind w:left="680" w:hanging="283"/>
      </w:pPr>
      <w:rPr>
        <w:rFonts w:ascii="Symbol" w:hAnsi="Symbol" w:hint="default"/>
        <w:color w:val="FFCC00"/>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09EE152B"/>
    <w:multiLevelType w:val="hybridMultilevel"/>
    <w:tmpl w:val="AA4A7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8D43DB"/>
    <w:multiLevelType w:val="multilevel"/>
    <w:tmpl w:val="4B4E7622"/>
    <w:numStyleLink w:val="ZZNumbers"/>
  </w:abstractNum>
  <w:abstractNum w:abstractNumId="4" w15:restartNumberingAfterBreak="0">
    <w:nsid w:val="0D9C584F"/>
    <w:multiLevelType w:val="hybridMultilevel"/>
    <w:tmpl w:val="45A2B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BA0F39"/>
    <w:multiLevelType w:val="hybridMultilevel"/>
    <w:tmpl w:val="59DA659C"/>
    <w:lvl w:ilvl="0" w:tplc="80220F14">
      <w:start w:val="1"/>
      <w:numFmt w:val="bullet"/>
      <w:lvlText w:val="•"/>
      <w:lvlJc w:val="left"/>
      <w:pPr>
        <w:tabs>
          <w:tab w:val="num" w:pos="720"/>
        </w:tabs>
        <w:ind w:left="720" w:hanging="360"/>
      </w:pPr>
      <w:rPr>
        <w:rFonts w:ascii="Arial" w:hAnsi="Arial" w:hint="default"/>
      </w:rPr>
    </w:lvl>
    <w:lvl w:ilvl="1" w:tplc="AE6A9512" w:tentative="1">
      <w:start w:val="1"/>
      <w:numFmt w:val="bullet"/>
      <w:lvlText w:val="•"/>
      <w:lvlJc w:val="left"/>
      <w:pPr>
        <w:tabs>
          <w:tab w:val="num" w:pos="1440"/>
        </w:tabs>
        <w:ind w:left="1440" w:hanging="360"/>
      </w:pPr>
      <w:rPr>
        <w:rFonts w:ascii="Arial" w:hAnsi="Arial" w:hint="default"/>
      </w:rPr>
    </w:lvl>
    <w:lvl w:ilvl="2" w:tplc="5E984F6E" w:tentative="1">
      <w:start w:val="1"/>
      <w:numFmt w:val="bullet"/>
      <w:lvlText w:val="•"/>
      <w:lvlJc w:val="left"/>
      <w:pPr>
        <w:tabs>
          <w:tab w:val="num" w:pos="2160"/>
        </w:tabs>
        <w:ind w:left="2160" w:hanging="360"/>
      </w:pPr>
      <w:rPr>
        <w:rFonts w:ascii="Arial" w:hAnsi="Arial" w:hint="default"/>
      </w:rPr>
    </w:lvl>
    <w:lvl w:ilvl="3" w:tplc="A9E8D01E" w:tentative="1">
      <w:start w:val="1"/>
      <w:numFmt w:val="bullet"/>
      <w:lvlText w:val="•"/>
      <w:lvlJc w:val="left"/>
      <w:pPr>
        <w:tabs>
          <w:tab w:val="num" w:pos="2880"/>
        </w:tabs>
        <w:ind w:left="2880" w:hanging="360"/>
      </w:pPr>
      <w:rPr>
        <w:rFonts w:ascii="Arial" w:hAnsi="Arial" w:hint="default"/>
      </w:rPr>
    </w:lvl>
    <w:lvl w:ilvl="4" w:tplc="99DAAD44" w:tentative="1">
      <w:start w:val="1"/>
      <w:numFmt w:val="bullet"/>
      <w:lvlText w:val="•"/>
      <w:lvlJc w:val="left"/>
      <w:pPr>
        <w:tabs>
          <w:tab w:val="num" w:pos="3600"/>
        </w:tabs>
        <w:ind w:left="3600" w:hanging="360"/>
      </w:pPr>
      <w:rPr>
        <w:rFonts w:ascii="Arial" w:hAnsi="Arial" w:hint="default"/>
      </w:rPr>
    </w:lvl>
    <w:lvl w:ilvl="5" w:tplc="B9DCE0C2" w:tentative="1">
      <w:start w:val="1"/>
      <w:numFmt w:val="bullet"/>
      <w:lvlText w:val="•"/>
      <w:lvlJc w:val="left"/>
      <w:pPr>
        <w:tabs>
          <w:tab w:val="num" w:pos="4320"/>
        </w:tabs>
        <w:ind w:left="4320" w:hanging="360"/>
      </w:pPr>
      <w:rPr>
        <w:rFonts w:ascii="Arial" w:hAnsi="Arial" w:hint="default"/>
      </w:rPr>
    </w:lvl>
    <w:lvl w:ilvl="6" w:tplc="2038576E" w:tentative="1">
      <w:start w:val="1"/>
      <w:numFmt w:val="bullet"/>
      <w:lvlText w:val="•"/>
      <w:lvlJc w:val="left"/>
      <w:pPr>
        <w:tabs>
          <w:tab w:val="num" w:pos="5040"/>
        </w:tabs>
        <w:ind w:left="5040" w:hanging="360"/>
      </w:pPr>
      <w:rPr>
        <w:rFonts w:ascii="Arial" w:hAnsi="Arial" w:hint="default"/>
      </w:rPr>
    </w:lvl>
    <w:lvl w:ilvl="7" w:tplc="8BE093BE" w:tentative="1">
      <w:start w:val="1"/>
      <w:numFmt w:val="bullet"/>
      <w:lvlText w:val="•"/>
      <w:lvlJc w:val="left"/>
      <w:pPr>
        <w:tabs>
          <w:tab w:val="num" w:pos="5760"/>
        </w:tabs>
        <w:ind w:left="5760" w:hanging="360"/>
      </w:pPr>
      <w:rPr>
        <w:rFonts w:ascii="Arial" w:hAnsi="Arial" w:hint="default"/>
      </w:rPr>
    </w:lvl>
    <w:lvl w:ilvl="8" w:tplc="4F74A99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0920CD7"/>
    <w:multiLevelType w:val="hybridMultilevel"/>
    <w:tmpl w:val="7A56D3E0"/>
    <w:lvl w:ilvl="0" w:tplc="D7463342">
      <w:start w:val="1"/>
      <w:numFmt w:val="bullet"/>
      <w:lvlText w:val="•"/>
      <w:lvlJc w:val="left"/>
      <w:pPr>
        <w:tabs>
          <w:tab w:val="num" w:pos="720"/>
        </w:tabs>
        <w:ind w:left="720" w:hanging="360"/>
      </w:pPr>
      <w:rPr>
        <w:rFonts w:ascii="Arial" w:hAnsi="Arial" w:hint="default"/>
      </w:rPr>
    </w:lvl>
    <w:lvl w:ilvl="1" w:tplc="E1F4F872" w:tentative="1">
      <w:start w:val="1"/>
      <w:numFmt w:val="bullet"/>
      <w:lvlText w:val="•"/>
      <w:lvlJc w:val="left"/>
      <w:pPr>
        <w:tabs>
          <w:tab w:val="num" w:pos="1440"/>
        </w:tabs>
        <w:ind w:left="1440" w:hanging="360"/>
      </w:pPr>
      <w:rPr>
        <w:rFonts w:ascii="Arial" w:hAnsi="Arial" w:hint="default"/>
      </w:rPr>
    </w:lvl>
    <w:lvl w:ilvl="2" w:tplc="EF5086B4" w:tentative="1">
      <w:start w:val="1"/>
      <w:numFmt w:val="bullet"/>
      <w:lvlText w:val="•"/>
      <w:lvlJc w:val="left"/>
      <w:pPr>
        <w:tabs>
          <w:tab w:val="num" w:pos="2160"/>
        </w:tabs>
        <w:ind w:left="2160" w:hanging="360"/>
      </w:pPr>
      <w:rPr>
        <w:rFonts w:ascii="Arial" w:hAnsi="Arial" w:hint="default"/>
      </w:rPr>
    </w:lvl>
    <w:lvl w:ilvl="3" w:tplc="17E6553E" w:tentative="1">
      <w:start w:val="1"/>
      <w:numFmt w:val="bullet"/>
      <w:lvlText w:val="•"/>
      <w:lvlJc w:val="left"/>
      <w:pPr>
        <w:tabs>
          <w:tab w:val="num" w:pos="2880"/>
        </w:tabs>
        <w:ind w:left="2880" w:hanging="360"/>
      </w:pPr>
      <w:rPr>
        <w:rFonts w:ascii="Arial" w:hAnsi="Arial" w:hint="default"/>
      </w:rPr>
    </w:lvl>
    <w:lvl w:ilvl="4" w:tplc="7C66C11E" w:tentative="1">
      <w:start w:val="1"/>
      <w:numFmt w:val="bullet"/>
      <w:lvlText w:val="•"/>
      <w:lvlJc w:val="left"/>
      <w:pPr>
        <w:tabs>
          <w:tab w:val="num" w:pos="3600"/>
        </w:tabs>
        <w:ind w:left="3600" w:hanging="360"/>
      </w:pPr>
      <w:rPr>
        <w:rFonts w:ascii="Arial" w:hAnsi="Arial" w:hint="default"/>
      </w:rPr>
    </w:lvl>
    <w:lvl w:ilvl="5" w:tplc="2B386230" w:tentative="1">
      <w:start w:val="1"/>
      <w:numFmt w:val="bullet"/>
      <w:lvlText w:val="•"/>
      <w:lvlJc w:val="left"/>
      <w:pPr>
        <w:tabs>
          <w:tab w:val="num" w:pos="4320"/>
        </w:tabs>
        <w:ind w:left="4320" w:hanging="360"/>
      </w:pPr>
      <w:rPr>
        <w:rFonts w:ascii="Arial" w:hAnsi="Arial" w:hint="default"/>
      </w:rPr>
    </w:lvl>
    <w:lvl w:ilvl="6" w:tplc="678C05A4" w:tentative="1">
      <w:start w:val="1"/>
      <w:numFmt w:val="bullet"/>
      <w:lvlText w:val="•"/>
      <w:lvlJc w:val="left"/>
      <w:pPr>
        <w:tabs>
          <w:tab w:val="num" w:pos="5040"/>
        </w:tabs>
        <w:ind w:left="5040" w:hanging="360"/>
      </w:pPr>
      <w:rPr>
        <w:rFonts w:ascii="Arial" w:hAnsi="Arial" w:hint="default"/>
      </w:rPr>
    </w:lvl>
    <w:lvl w:ilvl="7" w:tplc="A750112E" w:tentative="1">
      <w:start w:val="1"/>
      <w:numFmt w:val="bullet"/>
      <w:lvlText w:val="•"/>
      <w:lvlJc w:val="left"/>
      <w:pPr>
        <w:tabs>
          <w:tab w:val="num" w:pos="5760"/>
        </w:tabs>
        <w:ind w:left="5760" w:hanging="360"/>
      </w:pPr>
      <w:rPr>
        <w:rFonts w:ascii="Arial" w:hAnsi="Arial" w:hint="default"/>
      </w:rPr>
    </w:lvl>
    <w:lvl w:ilvl="8" w:tplc="70887A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1BB7FE2"/>
    <w:multiLevelType w:val="multilevel"/>
    <w:tmpl w:val="5C9E7B8A"/>
    <w:lvl w:ilvl="0">
      <w:start w:val="1"/>
      <w:numFmt w:val="decimal"/>
      <w:pStyle w:val="Numberedheadinglevel1"/>
      <w:lvlText w:val="%1."/>
      <w:lvlJc w:val="left"/>
      <w:pPr>
        <w:ind w:left="360" w:hanging="360"/>
      </w:pPr>
    </w:lvl>
    <w:lvl w:ilvl="1">
      <w:start w:val="1"/>
      <w:numFmt w:val="decimal"/>
      <w:pStyle w:val="Numeredheadinglevel11"/>
      <w:lvlText w:val="%1.%2."/>
      <w:lvlJc w:val="left"/>
      <w:pPr>
        <w:ind w:left="792" w:hanging="432"/>
      </w:pPr>
    </w:lvl>
    <w:lvl w:ilvl="2">
      <w:start w:val="1"/>
      <w:numFmt w:val="decimal"/>
      <w:pStyle w:val="Numberedheadinglevel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C4303A5"/>
    <w:multiLevelType w:val="multilevel"/>
    <w:tmpl w:val="4B4E7622"/>
    <w:styleLink w:val="ZZNumbers"/>
    <w:lvl w:ilvl="0">
      <w:start w:val="1"/>
      <w:numFmt w:val="decimal"/>
      <w:pStyle w:val="CSQnumberdigit"/>
      <w:lvlText w:val="%1."/>
      <w:lvlJc w:val="left"/>
      <w:pPr>
        <w:tabs>
          <w:tab w:val="num" w:pos="397"/>
        </w:tabs>
        <w:ind w:left="397" w:hanging="397"/>
      </w:pPr>
      <w:rPr>
        <w:rFonts w:hint="default"/>
      </w:rPr>
    </w:lvl>
    <w:lvl w:ilvl="1">
      <w:start w:val="1"/>
      <w:numFmt w:val="decimal"/>
      <w:lvlRestart w:val="0"/>
      <w:pStyle w:val="CSQnumberdigitindent"/>
      <w:lvlText w:val="%2."/>
      <w:lvlJc w:val="left"/>
      <w:pPr>
        <w:tabs>
          <w:tab w:val="num" w:pos="794"/>
        </w:tabs>
        <w:ind w:left="794" w:hanging="397"/>
      </w:pPr>
      <w:rPr>
        <w:rFonts w:hint="default"/>
      </w:rPr>
    </w:lvl>
    <w:lvl w:ilvl="2">
      <w:start w:val="1"/>
      <w:numFmt w:val="lowerLetter"/>
      <w:lvlRestart w:val="0"/>
      <w:pStyle w:val="CSQnumberloweralpha"/>
      <w:lvlText w:val="(%3)"/>
      <w:lvlJc w:val="left"/>
      <w:pPr>
        <w:tabs>
          <w:tab w:val="num" w:pos="397"/>
        </w:tabs>
        <w:ind w:left="397" w:hanging="397"/>
      </w:pPr>
      <w:rPr>
        <w:rFonts w:hint="default"/>
      </w:rPr>
    </w:lvl>
    <w:lvl w:ilvl="3">
      <w:start w:val="1"/>
      <w:numFmt w:val="lowerLetter"/>
      <w:lvlRestart w:val="0"/>
      <w:pStyle w:val="CSQnumberloweralphaindent"/>
      <w:lvlText w:val="(%4)"/>
      <w:lvlJc w:val="left"/>
      <w:pPr>
        <w:tabs>
          <w:tab w:val="num" w:pos="794"/>
        </w:tabs>
        <w:ind w:left="794" w:hanging="397"/>
      </w:pPr>
      <w:rPr>
        <w:rFonts w:hint="default"/>
      </w:rPr>
    </w:lvl>
    <w:lvl w:ilvl="4">
      <w:start w:val="1"/>
      <w:numFmt w:val="lowerRoman"/>
      <w:lvlRestart w:val="0"/>
      <w:pStyle w:val="CSQnumberlowerroman"/>
      <w:lvlText w:val="(%5)"/>
      <w:lvlJc w:val="left"/>
      <w:pPr>
        <w:tabs>
          <w:tab w:val="num" w:pos="397"/>
        </w:tabs>
        <w:ind w:left="397" w:hanging="397"/>
      </w:pPr>
      <w:rPr>
        <w:rFonts w:hint="default"/>
      </w:rPr>
    </w:lvl>
    <w:lvl w:ilvl="5">
      <w:start w:val="1"/>
      <w:numFmt w:val="lowerRoman"/>
      <w:lvlRestart w:val="0"/>
      <w:pStyle w:val="CSQ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407507CE"/>
    <w:multiLevelType w:val="multilevel"/>
    <w:tmpl w:val="24C856D8"/>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46BC53E2"/>
    <w:multiLevelType w:val="hybridMultilevel"/>
    <w:tmpl w:val="973EB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BA1E5A"/>
    <w:multiLevelType w:val="multilevel"/>
    <w:tmpl w:val="764840E8"/>
    <w:styleLink w:val="ZZBullets"/>
    <w:lvl w:ilvl="0">
      <w:start w:val="1"/>
      <w:numFmt w:val="bullet"/>
      <w:lvlText w:val=""/>
      <w:lvlJc w:val="left"/>
      <w:pPr>
        <w:ind w:left="284" w:hanging="284"/>
      </w:pPr>
      <w:rPr>
        <w:rFonts w:ascii="Symbol" w:hAnsi="Symbol" w:hint="default"/>
        <w:color w:val="FFCC00"/>
      </w:rPr>
    </w:lvl>
    <w:lvl w:ilvl="1">
      <w:start w:val="1"/>
      <w:numFmt w:val="bullet"/>
      <w:lvlText w:val=""/>
      <w:lvlJc w:val="left"/>
      <w:pPr>
        <w:ind w:left="284" w:hanging="284"/>
      </w:pPr>
      <w:rPr>
        <w:rFonts w:ascii="Symbol" w:hAnsi="Symbol" w:hint="default"/>
        <w:color w:val="FFCC00"/>
      </w:rPr>
    </w:lvl>
    <w:lvl w:ilvl="2">
      <w:start w:val="1"/>
      <w:numFmt w:val="bullet"/>
      <w:lvlRestart w:val="0"/>
      <w:pStyle w:val="CSQbullet2"/>
      <w:lvlText w:val="–"/>
      <w:lvlJc w:val="left"/>
      <w:pPr>
        <w:ind w:left="567" w:hanging="283"/>
      </w:pPr>
      <w:rPr>
        <w:rFonts w:ascii="Arial" w:hAnsi="Arial" w:hint="default"/>
      </w:rPr>
    </w:lvl>
    <w:lvl w:ilvl="3">
      <w:start w:val="1"/>
      <w:numFmt w:val="bullet"/>
      <w:lvlRestart w:val="0"/>
      <w:pStyle w:val="CSQbullet2lastline"/>
      <w:lvlText w:val="–"/>
      <w:lvlJc w:val="left"/>
      <w:pPr>
        <w:ind w:left="567" w:hanging="283"/>
      </w:pPr>
      <w:rPr>
        <w:rFonts w:ascii="Arial" w:hAnsi="Arial" w:hint="default"/>
      </w:rPr>
    </w:lvl>
    <w:lvl w:ilvl="4">
      <w:start w:val="1"/>
      <w:numFmt w:val="bullet"/>
      <w:pStyle w:val="CSQbulletindent"/>
      <w:lvlText w:val=""/>
      <w:lvlJc w:val="left"/>
      <w:pPr>
        <w:ind w:left="680" w:hanging="283"/>
      </w:pPr>
      <w:rPr>
        <w:rFonts w:ascii="Symbol" w:hAnsi="Symbol" w:hint="default"/>
        <w:color w:val="FFCC00"/>
      </w:rPr>
    </w:lvl>
    <w:lvl w:ilvl="5">
      <w:start w:val="1"/>
      <w:numFmt w:val="bullet"/>
      <w:lvlRestart w:val="0"/>
      <w:pStyle w:val="CSQbulletindentlastline"/>
      <w:lvlText w:val="•"/>
      <w:lvlJc w:val="left"/>
      <w:pPr>
        <w:ind w:left="680" w:hanging="283"/>
      </w:pPr>
      <w:rPr>
        <w:rFonts w:ascii="Calibri" w:hAnsi="Calibri" w:hint="default"/>
      </w:rPr>
    </w:lvl>
    <w:lvl w:ilvl="6">
      <w:start w:val="1"/>
      <w:numFmt w:val="bullet"/>
      <w:lvlRestart w:val="0"/>
      <w:pStyle w:val="CSQ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71E5193"/>
    <w:multiLevelType w:val="hybridMultilevel"/>
    <w:tmpl w:val="8EE0B3CE"/>
    <w:lvl w:ilvl="0" w:tplc="654691C8">
      <w:start w:val="1"/>
      <w:numFmt w:val="bullet"/>
      <w:lvlText w:val="•"/>
      <w:lvlJc w:val="left"/>
      <w:pPr>
        <w:tabs>
          <w:tab w:val="num" w:pos="720"/>
        </w:tabs>
        <w:ind w:left="720" w:hanging="360"/>
      </w:pPr>
      <w:rPr>
        <w:rFonts w:ascii="Arial" w:hAnsi="Arial" w:hint="default"/>
      </w:rPr>
    </w:lvl>
    <w:lvl w:ilvl="1" w:tplc="0FB01114" w:tentative="1">
      <w:start w:val="1"/>
      <w:numFmt w:val="bullet"/>
      <w:lvlText w:val="•"/>
      <w:lvlJc w:val="left"/>
      <w:pPr>
        <w:tabs>
          <w:tab w:val="num" w:pos="1440"/>
        </w:tabs>
        <w:ind w:left="1440" w:hanging="360"/>
      </w:pPr>
      <w:rPr>
        <w:rFonts w:ascii="Arial" w:hAnsi="Arial" w:hint="default"/>
      </w:rPr>
    </w:lvl>
    <w:lvl w:ilvl="2" w:tplc="880A7172" w:tentative="1">
      <w:start w:val="1"/>
      <w:numFmt w:val="bullet"/>
      <w:lvlText w:val="•"/>
      <w:lvlJc w:val="left"/>
      <w:pPr>
        <w:tabs>
          <w:tab w:val="num" w:pos="2160"/>
        </w:tabs>
        <w:ind w:left="2160" w:hanging="360"/>
      </w:pPr>
      <w:rPr>
        <w:rFonts w:ascii="Arial" w:hAnsi="Arial" w:hint="default"/>
      </w:rPr>
    </w:lvl>
    <w:lvl w:ilvl="3" w:tplc="7D5CAB32" w:tentative="1">
      <w:start w:val="1"/>
      <w:numFmt w:val="bullet"/>
      <w:lvlText w:val="•"/>
      <w:lvlJc w:val="left"/>
      <w:pPr>
        <w:tabs>
          <w:tab w:val="num" w:pos="2880"/>
        </w:tabs>
        <w:ind w:left="2880" w:hanging="360"/>
      </w:pPr>
      <w:rPr>
        <w:rFonts w:ascii="Arial" w:hAnsi="Arial" w:hint="default"/>
      </w:rPr>
    </w:lvl>
    <w:lvl w:ilvl="4" w:tplc="4BA2131C" w:tentative="1">
      <w:start w:val="1"/>
      <w:numFmt w:val="bullet"/>
      <w:lvlText w:val="•"/>
      <w:lvlJc w:val="left"/>
      <w:pPr>
        <w:tabs>
          <w:tab w:val="num" w:pos="3600"/>
        </w:tabs>
        <w:ind w:left="3600" w:hanging="360"/>
      </w:pPr>
      <w:rPr>
        <w:rFonts w:ascii="Arial" w:hAnsi="Arial" w:hint="default"/>
      </w:rPr>
    </w:lvl>
    <w:lvl w:ilvl="5" w:tplc="61DEE6FC" w:tentative="1">
      <w:start w:val="1"/>
      <w:numFmt w:val="bullet"/>
      <w:lvlText w:val="•"/>
      <w:lvlJc w:val="left"/>
      <w:pPr>
        <w:tabs>
          <w:tab w:val="num" w:pos="4320"/>
        </w:tabs>
        <w:ind w:left="4320" w:hanging="360"/>
      </w:pPr>
      <w:rPr>
        <w:rFonts w:ascii="Arial" w:hAnsi="Arial" w:hint="default"/>
      </w:rPr>
    </w:lvl>
    <w:lvl w:ilvl="6" w:tplc="F574F176" w:tentative="1">
      <w:start w:val="1"/>
      <w:numFmt w:val="bullet"/>
      <w:lvlText w:val="•"/>
      <w:lvlJc w:val="left"/>
      <w:pPr>
        <w:tabs>
          <w:tab w:val="num" w:pos="5040"/>
        </w:tabs>
        <w:ind w:left="5040" w:hanging="360"/>
      </w:pPr>
      <w:rPr>
        <w:rFonts w:ascii="Arial" w:hAnsi="Arial" w:hint="default"/>
      </w:rPr>
    </w:lvl>
    <w:lvl w:ilvl="7" w:tplc="D2F6CFEE" w:tentative="1">
      <w:start w:val="1"/>
      <w:numFmt w:val="bullet"/>
      <w:lvlText w:val="•"/>
      <w:lvlJc w:val="left"/>
      <w:pPr>
        <w:tabs>
          <w:tab w:val="num" w:pos="5760"/>
        </w:tabs>
        <w:ind w:left="5760" w:hanging="360"/>
      </w:pPr>
      <w:rPr>
        <w:rFonts w:ascii="Arial" w:hAnsi="Arial" w:hint="default"/>
      </w:rPr>
    </w:lvl>
    <w:lvl w:ilvl="8" w:tplc="77C8A73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F88203F"/>
    <w:multiLevelType w:val="hybridMultilevel"/>
    <w:tmpl w:val="A7923A3A"/>
    <w:lvl w:ilvl="0" w:tplc="187EDA2C">
      <w:start w:val="1"/>
      <w:numFmt w:val="bullet"/>
      <w:lvlText w:val="•"/>
      <w:lvlJc w:val="left"/>
      <w:pPr>
        <w:tabs>
          <w:tab w:val="num" w:pos="720"/>
        </w:tabs>
        <w:ind w:left="720" w:hanging="360"/>
      </w:pPr>
      <w:rPr>
        <w:rFonts w:ascii="Arial" w:hAnsi="Arial" w:hint="default"/>
      </w:rPr>
    </w:lvl>
    <w:lvl w:ilvl="1" w:tplc="4C1A1A96" w:tentative="1">
      <w:start w:val="1"/>
      <w:numFmt w:val="bullet"/>
      <w:lvlText w:val="•"/>
      <w:lvlJc w:val="left"/>
      <w:pPr>
        <w:tabs>
          <w:tab w:val="num" w:pos="1440"/>
        </w:tabs>
        <w:ind w:left="1440" w:hanging="360"/>
      </w:pPr>
      <w:rPr>
        <w:rFonts w:ascii="Arial" w:hAnsi="Arial" w:hint="default"/>
      </w:rPr>
    </w:lvl>
    <w:lvl w:ilvl="2" w:tplc="3B906818" w:tentative="1">
      <w:start w:val="1"/>
      <w:numFmt w:val="bullet"/>
      <w:lvlText w:val="•"/>
      <w:lvlJc w:val="left"/>
      <w:pPr>
        <w:tabs>
          <w:tab w:val="num" w:pos="2160"/>
        </w:tabs>
        <w:ind w:left="2160" w:hanging="360"/>
      </w:pPr>
      <w:rPr>
        <w:rFonts w:ascii="Arial" w:hAnsi="Arial" w:hint="default"/>
      </w:rPr>
    </w:lvl>
    <w:lvl w:ilvl="3" w:tplc="DC60CFDA" w:tentative="1">
      <w:start w:val="1"/>
      <w:numFmt w:val="bullet"/>
      <w:lvlText w:val="•"/>
      <w:lvlJc w:val="left"/>
      <w:pPr>
        <w:tabs>
          <w:tab w:val="num" w:pos="2880"/>
        </w:tabs>
        <w:ind w:left="2880" w:hanging="360"/>
      </w:pPr>
      <w:rPr>
        <w:rFonts w:ascii="Arial" w:hAnsi="Arial" w:hint="default"/>
      </w:rPr>
    </w:lvl>
    <w:lvl w:ilvl="4" w:tplc="9BDCD348" w:tentative="1">
      <w:start w:val="1"/>
      <w:numFmt w:val="bullet"/>
      <w:lvlText w:val="•"/>
      <w:lvlJc w:val="left"/>
      <w:pPr>
        <w:tabs>
          <w:tab w:val="num" w:pos="3600"/>
        </w:tabs>
        <w:ind w:left="3600" w:hanging="360"/>
      </w:pPr>
      <w:rPr>
        <w:rFonts w:ascii="Arial" w:hAnsi="Arial" w:hint="default"/>
      </w:rPr>
    </w:lvl>
    <w:lvl w:ilvl="5" w:tplc="03728504" w:tentative="1">
      <w:start w:val="1"/>
      <w:numFmt w:val="bullet"/>
      <w:lvlText w:val="•"/>
      <w:lvlJc w:val="left"/>
      <w:pPr>
        <w:tabs>
          <w:tab w:val="num" w:pos="4320"/>
        </w:tabs>
        <w:ind w:left="4320" w:hanging="360"/>
      </w:pPr>
      <w:rPr>
        <w:rFonts w:ascii="Arial" w:hAnsi="Arial" w:hint="default"/>
      </w:rPr>
    </w:lvl>
    <w:lvl w:ilvl="6" w:tplc="61264E4A" w:tentative="1">
      <w:start w:val="1"/>
      <w:numFmt w:val="bullet"/>
      <w:lvlText w:val="•"/>
      <w:lvlJc w:val="left"/>
      <w:pPr>
        <w:tabs>
          <w:tab w:val="num" w:pos="5040"/>
        </w:tabs>
        <w:ind w:left="5040" w:hanging="360"/>
      </w:pPr>
      <w:rPr>
        <w:rFonts w:ascii="Arial" w:hAnsi="Arial" w:hint="default"/>
      </w:rPr>
    </w:lvl>
    <w:lvl w:ilvl="7" w:tplc="DBF02E2A" w:tentative="1">
      <w:start w:val="1"/>
      <w:numFmt w:val="bullet"/>
      <w:lvlText w:val="•"/>
      <w:lvlJc w:val="left"/>
      <w:pPr>
        <w:tabs>
          <w:tab w:val="num" w:pos="5760"/>
        </w:tabs>
        <w:ind w:left="5760" w:hanging="360"/>
      </w:pPr>
      <w:rPr>
        <w:rFonts w:ascii="Arial" w:hAnsi="Arial" w:hint="default"/>
      </w:rPr>
    </w:lvl>
    <w:lvl w:ilvl="8" w:tplc="7DF49C7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140727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3653740"/>
    <w:multiLevelType w:val="multilevel"/>
    <w:tmpl w:val="7EB44498"/>
    <w:lvl w:ilvl="0">
      <w:start w:val="1"/>
      <w:numFmt w:val="bullet"/>
      <w:pStyle w:val="CSQbullet1"/>
      <w:lvlText w:val=""/>
      <w:lvlJc w:val="left"/>
      <w:pPr>
        <w:ind w:left="284" w:hanging="284"/>
      </w:pPr>
      <w:rPr>
        <w:rFonts w:ascii="Symbol" w:hAnsi="Symbol" w:hint="default"/>
        <w:color w:val="auto"/>
      </w:rPr>
    </w:lvl>
    <w:lvl w:ilvl="1">
      <w:start w:val="1"/>
      <w:numFmt w:val="bullet"/>
      <w:lvlRestart w:val="0"/>
      <w:pStyle w:val="CSQbullet1lastline"/>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779E2BB1"/>
    <w:multiLevelType w:val="hybridMultilevel"/>
    <w:tmpl w:val="B0146616"/>
    <w:lvl w:ilvl="0" w:tplc="C76E3E1A">
      <w:start w:val="1"/>
      <w:numFmt w:val="bullet"/>
      <w:lvlText w:val="•"/>
      <w:lvlJc w:val="left"/>
      <w:pPr>
        <w:tabs>
          <w:tab w:val="num" w:pos="720"/>
        </w:tabs>
        <w:ind w:left="720" w:hanging="360"/>
      </w:pPr>
      <w:rPr>
        <w:rFonts w:ascii="Arial" w:hAnsi="Arial" w:hint="default"/>
      </w:rPr>
    </w:lvl>
    <w:lvl w:ilvl="1" w:tplc="D55226DE" w:tentative="1">
      <w:start w:val="1"/>
      <w:numFmt w:val="bullet"/>
      <w:lvlText w:val="•"/>
      <w:lvlJc w:val="left"/>
      <w:pPr>
        <w:tabs>
          <w:tab w:val="num" w:pos="1440"/>
        </w:tabs>
        <w:ind w:left="1440" w:hanging="360"/>
      </w:pPr>
      <w:rPr>
        <w:rFonts w:ascii="Arial" w:hAnsi="Arial" w:hint="default"/>
      </w:rPr>
    </w:lvl>
    <w:lvl w:ilvl="2" w:tplc="64F48354" w:tentative="1">
      <w:start w:val="1"/>
      <w:numFmt w:val="bullet"/>
      <w:lvlText w:val="•"/>
      <w:lvlJc w:val="left"/>
      <w:pPr>
        <w:tabs>
          <w:tab w:val="num" w:pos="2160"/>
        </w:tabs>
        <w:ind w:left="2160" w:hanging="360"/>
      </w:pPr>
      <w:rPr>
        <w:rFonts w:ascii="Arial" w:hAnsi="Arial" w:hint="default"/>
      </w:rPr>
    </w:lvl>
    <w:lvl w:ilvl="3" w:tplc="96C81B0A" w:tentative="1">
      <w:start w:val="1"/>
      <w:numFmt w:val="bullet"/>
      <w:lvlText w:val="•"/>
      <w:lvlJc w:val="left"/>
      <w:pPr>
        <w:tabs>
          <w:tab w:val="num" w:pos="2880"/>
        </w:tabs>
        <w:ind w:left="2880" w:hanging="360"/>
      </w:pPr>
      <w:rPr>
        <w:rFonts w:ascii="Arial" w:hAnsi="Arial" w:hint="default"/>
      </w:rPr>
    </w:lvl>
    <w:lvl w:ilvl="4" w:tplc="B1E4002E" w:tentative="1">
      <w:start w:val="1"/>
      <w:numFmt w:val="bullet"/>
      <w:lvlText w:val="•"/>
      <w:lvlJc w:val="left"/>
      <w:pPr>
        <w:tabs>
          <w:tab w:val="num" w:pos="3600"/>
        </w:tabs>
        <w:ind w:left="3600" w:hanging="360"/>
      </w:pPr>
      <w:rPr>
        <w:rFonts w:ascii="Arial" w:hAnsi="Arial" w:hint="default"/>
      </w:rPr>
    </w:lvl>
    <w:lvl w:ilvl="5" w:tplc="2EBC2C6C" w:tentative="1">
      <w:start w:val="1"/>
      <w:numFmt w:val="bullet"/>
      <w:lvlText w:val="•"/>
      <w:lvlJc w:val="left"/>
      <w:pPr>
        <w:tabs>
          <w:tab w:val="num" w:pos="4320"/>
        </w:tabs>
        <w:ind w:left="4320" w:hanging="360"/>
      </w:pPr>
      <w:rPr>
        <w:rFonts w:ascii="Arial" w:hAnsi="Arial" w:hint="default"/>
      </w:rPr>
    </w:lvl>
    <w:lvl w:ilvl="6" w:tplc="7E0C3558" w:tentative="1">
      <w:start w:val="1"/>
      <w:numFmt w:val="bullet"/>
      <w:lvlText w:val="•"/>
      <w:lvlJc w:val="left"/>
      <w:pPr>
        <w:tabs>
          <w:tab w:val="num" w:pos="5040"/>
        </w:tabs>
        <w:ind w:left="5040" w:hanging="360"/>
      </w:pPr>
      <w:rPr>
        <w:rFonts w:ascii="Arial" w:hAnsi="Arial" w:hint="default"/>
      </w:rPr>
    </w:lvl>
    <w:lvl w:ilvl="7" w:tplc="C1E02074" w:tentative="1">
      <w:start w:val="1"/>
      <w:numFmt w:val="bullet"/>
      <w:lvlText w:val="•"/>
      <w:lvlJc w:val="left"/>
      <w:pPr>
        <w:tabs>
          <w:tab w:val="num" w:pos="5760"/>
        </w:tabs>
        <w:ind w:left="5760" w:hanging="360"/>
      </w:pPr>
      <w:rPr>
        <w:rFonts w:ascii="Arial" w:hAnsi="Arial" w:hint="default"/>
      </w:rPr>
    </w:lvl>
    <w:lvl w:ilvl="8" w:tplc="54E8D4D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 w:ilvl="0">
        <w:start w:val="1"/>
        <w:numFmt w:val="bullet"/>
        <w:lvlText w:val=""/>
        <w:lvlJc w:val="left"/>
        <w:pPr>
          <w:ind w:left="284" w:hanging="284"/>
        </w:pPr>
        <w:rPr>
          <w:rFonts w:ascii="Symbol" w:hAnsi="Symbol" w:hint="default"/>
          <w:color w:val="auto"/>
        </w:rPr>
      </w:lvl>
    </w:lvlOverride>
  </w:num>
  <w:num w:numId="8">
    <w:abstractNumId w:val="8"/>
  </w:num>
  <w:num w:numId="9">
    <w:abstractNumId w:val="14"/>
  </w:num>
  <w:num w:numId="10">
    <w:abstractNumId w:val="7"/>
  </w:num>
  <w:num w:numId="11">
    <w:abstractNumId w:val="9"/>
  </w:num>
  <w:num w:numId="12">
    <w:abstractNumId w:val="13"/>
  </w:num>
  <w:num w:numId="13">
    <w:abstractNumId w:val="4"/>
  </w:num>
  <w:num w:numId="14">
    <w:abstractNumId w:val="12"/>
  </w:num>
  <w:num w:numId="15">
    <w:abstractNumId w:val="6"/>
  </w:num>
  <w:num w:numId="16">
    <w:abstractNumId w:val="16"/>
  </w:num>
  <w:num w:numId="17">
    <w:abstractNumId w:val="5"/>
  </w:num>
  <w:num w:numId="18">
    <w:abstractNumId w:val="2"/>
  </w:num>
  <w:num w:numId="19">
    <w:abstractNumId w:val="10"/>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2D9"/>
    <w:rsid w:val="000031F3"/>
    <w:rsid w:val="000072B6"/>
    <w:rsid w:val="0001021B"/>
    <w:rsid w:val="00011D89"/>
    <w:rsid w:val="00020A62"/>
    <w:rsid w:val="00024D89"/>
    <w:rsid w:val="00024FC8"/>
    <w:rsid w:val="000250B6"/>
    <w:rsid w:val="00025F6C"/>
    <w:rsid w:val="000311BD"/>
    <w:rsid w:val="000312BC"/>
    <w:rsid w:val="00032695"/>
    <w:rsid w:val="00033D81"/>
    <w:rsid w:val="00041897"/>
    <w:rsid w:val="00041BF0"/>
    <w:rsid w:val="00042EFB"/>
    <w:rsid w:val="00043BEE"/>
    <w:rsid w:val="0004536B"/>
    <w:rsid w:val="00046B68"/>
    <w:rsid w:val="00046E6C"/>
    <w:rsid w:val="000527DD"/>
    <w:rsid w:val="000578B2"/>
    <w:rsid w:val="00060959"/>
    <w:rsid w:val="00065CC3"/>
    <w:rsid w:val="0006613A"/>
    <w:rsid w:val="000663CD"/>
    <w:rsid w:val="000733FE"/>
    <w:rsid w:val="00073F77"/>
    <w:rsid w:val="00074219"/>
    <w:rsid w:val="000744AB"/>
    <w:rsid w:val="00074ED5"/>
    <w:rsid w:val="00090691"/>
    <w:rsid w:val="0009113B"/>
    <w:rsid w:val="00094DA3"/>
    <w:rsid w:val="00096CD1"/>
    <w:rsid w:val="00096F3C"/>
    <w:rsid w:val="000A012C"/>
    <w:rsid w:val="000A0EB9"/>
    <w:rsid w:val="000A186C"/>
    <w:rsid w:val="000A3914"/>
    <w:rsid w:val="000A6666"/>
    <w:rsid w:val="000B078A"/>
    <w:rsid w:val="000B543D"/>
    <w:rsid w:val="000B5BF7"/>
    <w:rsid w:val="000B6BC8"/>
    <w:rsid w:val="000C2E42"/>
    <w:rsid w:val="000C42EA"/>
    <w:rsid w:val="000C4546"/>
    <w:rsid w:val="000C7961"/>
    <w:rsid w:val="000D1242"/>
    <w:rsid w:val="000D3C03"/>
    <w:rsid w:val="000E1A0F"/>
    <w:rsid w:val="000E3CC7"/>
    <w:rsid w:val="000E6BD4"/>
    <w:rsid w:val="000F1F1E"/>
    <w:rsid w:val="000F2259"/>
    <w:rsid w:val="0010392D"/>
    <w:rsid w:val="0010447F"/>
    <w:rsid w:val="00104FE3"/>
    <w:rsid w:val="00120BD3"/>
    <w:rsid w:val="00121F43"/>
    <w:rsid w:val="00122FEA"/>
    <w:rsid w:val="001232BD"/>
    <w:rsid w:val="00124C50"/>
    <w:rsid w:val="00124ED5"/>
    <w:rsid w:val="00132F88"/>
    <w:rsid w:val="00134114"/>
    <w:rsid w:val="001447B3"/>
    <w:rsid w:val="00145FC9"/>
    <w:rsid w:val="00152073"/>
    <w:rsid w:val="00152CA0"/>
    <w:rsid w:val="00153512"/>
    <w:rsid w:val="0015783C"/>
    <w:rsid w:val="00161939"/>
    <w:rsid w:val="00161AA0"/>
    <w:rsid w:val="00162093"/>
    <w:rsid w:val="00164A6E"/>
    <w:rsid w:val="00172322"/>
    <w:rsid w:val="001771DD"/>
    <w:rsid w:val="00177995"/>
    <w:rsid w:val="00177A8C"/>
    <w:rsid w:val="00186B33"/>
    <w:rsid w:val="00192F9D"/>
    <w:rsid w:val="00194F5D"/>
    <w:rsid w:val="00196EB8"/>
    <w:rsid w:val="00196EFB"/>
    <w:rsid w:val="001979FF"/>
    <w:rsid w:val="00197B17"/>
    <w:rsid w:val="001A0B53"/>
    <w:rsid w:val="001A3ACE"/>
    <w:rsid w:val="001B21AF"/>
    <w:rsid w:val="001C277E"/>
    <w:rsid w:val="001C2A72"/>
    <w:rsid w:val="001C5CEC"/>
    <w:rsid w:val="001D0B75"/>
    <w:rsid w:val="001D3C09"/>
    <w:rsid w:val="001D44E8"/>
    <w:rsid w:val="001D60EC"/>
    <w:rsid w:val="001E44DF"/>
    <w:rsid w:val="001E68A5"/>
    <w:rsid w:val="001E6BB0"/>
    <w:rsid w:val="001F3826"/>
    <w:rsid w:val="001F6E46"/>
    <w:rsid w:val="001F7C91"/>
    <w:rsid w:val="00201AFF"/>
    <w:rsid w:val="00206463"/>
    <w:rsid w:val="00206F2F"/>
    <w:rsid w:val="0021053D"/>
    <w:rsid w:val="00210A92"/>
    <w:rsid w:val="002131F9"/>
    <w:rsid w:val="00216C03"/>
    <w:rsid w:val="00220C04"/>
    <w:rsid w:val="0022278D"/>
    <w:rsid w:val="0022701F"/>
    <w:rsid w:val="002309C1"/>
    <w:rsid w:val="002333F5"/>
    <w:rsid w:val="00233624"/>
    <w:rsid w:val="00233724"/>
    <w:rsid w:val="00234E6F"/>
    <w:rsid w:val="002432E1"/>
    <w:rsid w:val="00246207"/>
    <w:rsid w:val="00246C5E"/>
    <w:rsid w:val="0024785C"/>
    <w:rsid w:val="00247F2F"/>
    <w:rsid w:val="00251343"/>
    <w:rsid w:val="002534DC"/>
    <w:rsid w:val="00254F58"/>
    <w:rsid w:val="002575B8"/>
    <w:rsid w:val="002620BC"/>
    <w:rsid w:val="00262802"/>
    <w:rsid w:val="00263A90"/>
    <w:rsid w:val="0026408B"/>
    <w:rsid w:val="00266C00"/>
    <w:rsid w:val="00267105"/>
    <w:rsid w:val="00267C3E"/>
    <w:rsid w:val="002709BB"/>
    <w:rsid w:val="00273229"/>
    <w:rsid w:val="002763B3"/>
    <w:rsid w:val="002763C9"/>
    <w:rsid w:val="002802E3"/>
    <w:rsid w:val="0028183A"/>
    <w:rsid w:val="0028213D"/>
    <w:rsid w:val="002862F1"/>
    <w:rsid w:val="00291373"/>
    <w:rsid w:val="00291EC8"/>
    <w:rsid w:val="0029597D"/>
    <w:rsid w:val="002962C3"/>
    <w:rsid w:val="0029752B"/>
    <w:rsid w:val="002A454A"/>
    <w:rsid w:val="002A483C"/>
    <w:rsid w:val="002B1729"/>
    <w:rsid w:val="002B36C7"/>
    <w:rsid w:val="002B4DD4"/>
    <w:rsid w:val="002B5277"/>
    <w:rsid w:val="002B5375"/>
    <w:rsid w:val="002B77C1"/>
    <w:rsid w:val="002B7F9A"/>
    <w:rsid w:val="002C2728"/>
    <w:rsid w:val="002D5006"/>
    <w:rsid w:val="002E01D0"/>
    <w:rsid w:val="002E161D"/>
    <w:rsid w:val="002E16AD"/>
    <w:rsid w:val="002E3100"/>
    <w:rsid w:val="002E6C95"/>
    <w:rsid w:val="002E7C36"/>
    <w:rsid w:val="002F3308"/>
    <w:rsid w:val="002F5F31"/>
    <w:rsid w:val="002F5F46"/>
    <w:rsid w:val="00302216"/>
    <w:rsid w:val="00303E53"/>
    <w:rsid w:val="00306E5F"/>
    <w:rsid w:val="00306E99"/>
    <w:rsid w:val="00307E14"/>
    <w:rsid w:val="00314054"/>
    <w:rsid w:val="00316F27"/>
    <w:rsid w:val="003234E9"/>
    <w:rsid w:val="0032625F"/>
    <w:rsid w:val="00327870"/>
    <w:rsid w:val="00331996"/>
    <w:rsid w:val="0033259D"/>
    <w:rsid w:val="00335204"/>
    <w:rsid w:val="00337586"/>
    <w:rsid w:val="003406C6"/>
    <w:rsid w:val="003418CC"/>
    <w:rsid w:val="003459BD"/>
    <w:rsid w:val="00345D27"/>
    <w:rsid w:val="00350703"/>
    <w:rsid w:val="00350D38"/>
    <w:rsid w:val="00351541"/>
    <w:rsid w:val="00351B36"/>
    <w:rsid w:val="00357B4E"/>
    <w:rsid w:val="003646F7"/>
    <w:rsid w:val="003647F6"/>
    <w:rsid w:val="00373B8E"/>
    <w:rsid w:val="003744CF"/>
    <w:rsid w:val="00374717"/>
    <w:rsid w:val="0037518F"/>
    <w:rsid w:val="0037676C"/>
    <w:rsid w:val="003804AB"/>
    <w:rsid w:val="0038211D"/>
    <w:rsid w:val="003829E5"/>
    <w:rsid w:val="003909B8"/>
    <w:rsid w:val="003956CC"/>
    <w:rsid w:val="00395C9A"/>
    <w:rsid w:val="003A01C1"/>
    <w:rsid w:val="003A022D"/>
    <w:rsid w:val="003A2E89"/>
    <w:rsid w:val="003A4906"/>
    <w:rsid w:val="003A51AA"/>
    <w:rsid w:val="003A53DE"/>
    <w:rsid w:val="003A6B67"/>
    <w:rsid w:val="003B15E6"/>
    <w:rsid w:val="003C12C8"/>
    <w:rsid w:val="003C169F"/>
    <w:rsid w:val="003C2045"/>
    <w:rsid w:val="003C3290"/>
    <w:rsid w:val="003C43A1"/>
    <w:rsid w:val="003C4D65"/>
    <w:rsid w:val="003C4FC0"/>
    <w:rsid w:val="003C55F4"/>
    <w:rsid w:val="003C7A3F"/>
    <w:rsid w:val="003D2766"/>
    <w:rsid w:val="003D3E8F"/>
    <w:rsid w:val="003D6475"/>
    <w:rsid w:val="003E3385"/>
    <w:rsid w:val="003E375C"/>
    <w:rsid w:val="003F0445"/>
    <w:rsid w:val="003F05CE"/>
    <w:rsid w:val="003F0CF0"/>
    <w:rsid w:val="003F14B1"/>
    <w:rsid w:val="003F3289"/>
    <w:rsid w:val="00400237"/>
    <w:rsid w:val="00401FCF"/>
    <w:rsid w:val="00406285"/>
    <w:rsid w:val="004148F9"/>
    <w:rsid w:val="00415B45"/>
    <w:rsid w:val="0042084E"/>
    <w:rsid w:val="00421EEF"/>
    <w:rsid w:val="00424D65"/>
    <w:rsid w:val="00442C6C"/>
    <w:rsid w:val="00443CBE"/>
    <w:rsid w:val="00443E8A"/>
    <w:rsid w:val="004441BC"/>
    <w:rsid w:val="004468B4"/>
    <w:rsid w:val="0045230A"/>
    <w:rsid w:val="00457337"/>
    <w:rsid w:val="004577BF"/>
    <w:rsid w:val="0046023C"/>
    <w:rsid w:val="0047372D"/>
    <w:rsid w:val="00473798"/>
    <w:rsid w:val="004743DD"/>
    <w:rsid w:val="00474CEA"/>
    <w:rsid w:val="00481832"/>
    <w:rsid w:val="004819DD"/>
    <w:rsid w:val="00483968"/>
    <w:rsid w:val="00484438"/>
    <w:rsid w:val="00484F86"/>
    <w:rsid w:val="0048555A"/>
    <w:rsid w:val="00490746"/>
    <w:rsid w:val="00490852"/>
    <w:rsid w:val="00492F30"/>
    <w:rsid w:val="00493AA8"/>
    <w:rsid w:val="004946F4"/>
    <w:rsid w:val="0049487E"/>
    <w:rsid w:val="00494F54"/>
    <w:rsid w:val="004A04FC"/>
    <w:rsid w:val="004A160D"/>
    <w:rsid w:val="004A3E81"/>
    <w:rsid w:val="004A5C62"/>
    <w:rsid w:val="004A707D"/>
    <w:rsid w:val="004B09E4"/>
    <w:rsid w:val="004B1199"/>
    <w:rsid w:val="004B152D"/>
    <w:rsid w:val="004B3994"/>
    <w:rsid w:val="004B550D"/>
    <w:rsid w:val="004C5B39"/>
    <w:rsid w:val="004C60CC"/>
    <w:rsid w:val="004C6EEE"/>
    <w:rsid w:val="004C702B"/>
    <w:rsid w:val="004D016B"/>
    <w:rsid w:val="004D1B22"/>
    <w:rsid w:val="004D36F2"/>
    <w:rsid w:val="004E138F"/>
    <w:rsid w:val="004E21F5"/>
    <w:rsid w:val="004E42E1"/>
    <w:rsid w:val="004E4649"/>
    <w:rsid w:val="004E5C2B"/>
    <w:rsid w:val="004F00DD"/>
    <w:rsid w:val="004F2133"/>
    <w:rsid w:val="004F55F1"/>
    <w:rsid w:val="004F6936"/>
    <w:rsid w:val="00503DC6"/>
    <w:rsid w:val="00506F5D"/>
    <w:rsid w:val="005126D0"/>
    <w:rsid w:val="0051568D"/>
    <w:rsid w:val="00521C24"/>
    <w:rsid w:val="00526C15"/>
    <w:rsid w:val="00536499"/>
    <w:rsid w:val="00543903"/>
    <w:rsid w:val="00543F11"/>
    <w:rsid w:val="00547A95"/>
    <w:rsid w:val="00547B2C"/>
    <w:rsid w:val="00555B98"/>
    <w:rsid w:val="005611F2"/>
    <w:rsid w:val="00572031"/>
    <w:rsid w:val="005724C8"/>
    <w:rsid w:val="0057507C"/>
    <w:rsid w:val="00576E84"/>
    <w:rsid w:val="00582B8C"/>
    <w:rsid w:val="0058757E"/>
    <w:rsid w:val="00592597"/>
    <w:rsid w:val="0059671D"/>
    <w:rsid w:val="00596A4B"/>
    <w:rsid w:val="00597507"/>
    <w:rsid w:val="005A012E"/>
    <w:rsid w:val="005A0373"/>
    <w:rsid w:val="005A06AD"/>
    <w:rsid w:val="005A1BDC"/>
    <w:rsid w:val="005B21B6"/>
    <w:rsid w:val="005B3A08"/>
    <w:rsid w:val="005B3BC6"/>
    <w:rsid w:val="005B7A63"/>
    <w:rsid w:val="005C0955"/>
    <w:rsid w:val="005C1076"/>
    <w:rsid w:val="005C49DA"/>
    <w:rsid w:val="005C50F3"/>
    <w:rsid w:val="005C5D91"/>
    <w:rsid w:val="005D07B8"/>
    <w:rsid w:val="005D16AC"/>
    <w:rsid w:val="005D4032"/>
    <w:rsid w:val="005D5ABC"/>
    <w:rsid w:val="005D6597"/>
    <w:rsid w:val="005E0A21"/>
    <w:rsid w:val="005E0B3A"/>
    <w:rsid w:val="005E14E7"/>
    <w:rsid w:val="005E26A3"/>
    <w:rsid w:val="005E447E"/>
    <w:rsid w:val="005E7062"/>
    <w:rsid w:val="005F0775"/>
    <w:rsid w:val="005F0CF5"/>
    <w:rsid w:val="005F21EB"/>
    <w:rsid w:val="00605908"/>
    <w:rsid w:val="00610D7C"/>
    <w:rsid w:val="00613414"/>
    <w:rsid w:val="0062408D"/>
    <w:rsid w:val="006240CC"/>
    <w:rsid w:val="00627DA7"/>
    <w:rsid w:val="0063497C"/>
    <w:rsid w:val="006358B4"/>
    <w:rsid w:val="0063678F"/>
    <w:rsid w:val="00640DD3"/>
    <w:rsid w:val="006419AA"/>
    <w:rsid w:val="00644B7E"/>
    <w:rsid w:val="006454E6"/>
    <w:rsid w:val="00646A68"/>
    <w:rsid w:val="0065057F"/>
    <w:rsid w:val="0065092E"/>
    <w:rsid w:val="006528A6"/>
    <w:rsid w:val="00654255"/>
    <w:rsid w:val="006557A7"/>
    <w:rsid w:val="00656290"/>
    <w:rsid w:val="00660068"/>
    <w:rsid w:val="006600AD"/>
    <w:rsid w:val="006621D7"/>
    <w:rsid w:val="0066302A"/>
    <w:rsid w:val="00666C85"/>
    <w:rsid w:val="00670597"/>
    <w:rsid w:val="006706D0"/>
    <w:rsid w:val="00677574"/>
    <w:rsid w:val="00681923"/>
    <w:rsid w:val="0068454C"/>
    <w:rsid w:val="006847DA"/>
    <w:rsid w:val="00687990"/>
    <w:rsid w:val="00691B62"/>
    <w:rsid w:val="006933B5"/>
    <w:rsid w:val="00693D14"/>
    <w:rsid w:val="00694A26"/>
    <w:rsid w:val="00695E23"/>
    <w:rsid w:val="006A18C2"/>
    <w:rsid w:val="006A1BED"/>
    <w:rsid w:val="006A6A9E"/>
    <w:rsid w:val="006A7014"/>
    <w:rsid w:val="006B077C"/>
    <w:rsid w:val="006B645A"/>
    <w:rsid w:val="006B6803"/>
    <w:rsid w:val="006C7FE5"/>
    <w:rsid w:val="006D078B"/>
    <w:rsid w:val="006D2303"/>
    <w:rsid w:val="006D2A3F"/>
    <w:rsid w:val="006D2FBC"/>
    <w:rsid w:val="006D6699"/>
    <w:rsid w:val="006E138B"/>
    <w:rsid w:val="006E332C"/>
    <w:rsid w:val="006F1FDC"/>
    <w:rsid w:val="006F5CEB"/>
    <w:rsid w:val="006F744A"/>
    <w:rsid w:val="00700104"/>
    <w:rsid w:val="007013EF"/>
    <w:rsid w:val="007173CA"/>
    <w:rsid w:val="007216AA"/>
    <w:rsid w:val="00721AB5"/>
    <w:rsid w:val="00721DEF"/>
    <w:rsid w:val="00724A43"/>
    <w:rsid w:val="00724F73"/>
    <w:rsid w:val="0072629E"/>
    <w:rsid w:val="007346E4"/>
    <w:rsid w:val="007356C0"/>
    <w:rsid w:val="00740F22"/>
    <w:rsid w:val="00741F1A"/>
    <w:rsid w:val="007450F8"/>
    <w:rsid w:val="0074696E"/>
    <w:rsid w:val="00750135"/>
    <w:rsid w:val="00750EC2"/>
    <w:rsid w:val="007524E9"/>
    <w:rsid w:val="00752B28"/>
    <w:rsid w:val="00754E36"/>
    <w:rsid w:val="00757D93"/>
    <w:rsid w:val="007630D2"/>
    <w:rsid w:val="00763139"/>
    <w:rsid w:val="00770F37"/>
    <w:rsid w:val="007711A0"/>
    <w:rsid w:val="00772D5E"/>
    <w:rsid w:val="00776928"/>
    <w:rsid w:val="00776D9C"/>
    <w:rsid w:val="00785677"/>
    <w:rsid w:val="00786F16"/>
    <w:rsid w:val="00796E20"/>
    <w:rsid w:val="00797C32"/>
    <w:rsid w:val="007B0914"/>
    <w:rsid w:val="007B1374"/>
    <w:rsid w:val="007B589F"/>
    <w:rsid w:val="007B6186"/>
    <w:rsid w:val="007B73BC"/>
    <w:rsid w:val="007C20B9"/>
    <w:rsid w:val="007C4321"/>
    <w:rsid w:val="007C7301"/>
    <w:rsid w:val="007C7859"/>
    <w:rsid w:val="007D2BDE"/>
    <w:rsid w:val="007D2FB6"/>
    <w:rsid w:val="007D4491"/>
    <w:rsid w:val="007D6E2D"/>
    <w:rsid w:val="007E0DE2"/>
    <w:rsid w:val="007E1D4F"/>
    <w:rsid w:val="007E2B40"/>
    <w:rsid w:val="007E3B98"/>
    <w:rsid w:val="007E3D0D"/>
    <w:rsid w:val="007E78D1"/>
    <w:rsid w:val="007F31B6"/>
    <w:rsid w:val="007F4D2E"/>
    <w:rsid w:val="007F546C"/>
    <w:rsid w:val="007F625F"/>
    <w:rsid w:val="007F665E"/>
    <w:rsid w:val="00800412"/>
    <w:rsid w:val="008031B9"/>
    <w:rsid w:val="0080587B"/>
    <w:rsid w:val="00806468"/>
    <w:rsid w:val="0081218A"/>
    <w:rsid w:val="008155F0"/>
    <w:rsid w:val="00816735"/>
    <w:rsid w:val="00820141"/>
    <w:rsid w:val="00820E0C"/>
    <w:rsid w:val="00825361"/>
    <w:rsid w:val="008338A2"/>
    <w:rsid w:val="00841AA9"/>
    <w:rsid w:val="00843AEA"/>
    <w:rsid w:val="008507C0"/>
    <w:rsid w:val="0085333B"/>
    <w:rsid w:val="00853EE4"/>
    <w:rsid w:val="00855535"/>
    <w:rsid w:val="0086255E"/>
    <w:rsid w:val="008633F0"/>
    <w:rsid w:val="00867D9D"/>
    <w:rsid w:val="00872E0A"/>
    <w:rsid w:val="00874C29"/>
    <w:rsid w:val="00875285"/>
    <w:rsid w:val="0088275C"/>
    <w:rsid w:val="008832A4"/>
    <w:rsid w:val="00884B62"/>
    <w:rsid w:val="0088529C"/>
    <w:rsid w:val="0088766C"/>
    <w:rsid w:val="00887743"/>
    <w:rsid w:val="00887903"/>
    <w:rsid w:val="0089270A"/>
    <w:rsid w:val="00893AF6"/>
    <w:rsid w:val="00894BC4"/>
    <w:rsid w:val="00894E3F"/>
    <w:rsid w:val="008A0E3E"/>
    <w:rsid w:val="008A5B32"/>
    <w:rsid w:val="008A6DB5"/>
    <w:rsid w:val="008B105E"/>
    <w:rsid w:val="008B2CF2"/>
    <w:rsid w:val="008B2EE4"/>
    <w:rsid w:val="008B4D3D"/>
    <w:rsid w:val="008B57C7"/>
    <w:rsid w:val="008C1B2E"/>
    <w:rsid w:val="008C2855"/>
    <w:rsid w:val="008C2F92"/>
    <w:rsid w:val="008D04AF"/>
    <w:rsid w:val="008D2846"/>
    <w:rsid w:val="008D4236"/>
    <w:rsid w:val="008D462F"/>
    <w:rsid w:val="008D6DCF"/>
    <w:rsid w:val="008E2956"/>
    <w:rsid w:val="008E3E60"/>
    <w:rsid w:val="008E4376"/>
    <w:rsid w:val="008E7A0A"/>
    <w:rsid w:val="00900719"/>
    <w:rsid w:val="009012DF"/>
    <w:rsid w:val="009017AC"/>
    <w:rsid w:val="00902C64"/>
    <w:rsid w:val="009036EE"/>
    <w:rsid w:val="00904234"/>
    <w:rsid w:val="00904A1C"/>
    <w:rsid w:val="00905030"/>
    <w:rsid w:val="00905D2B"/>
    <w:rsid w:val="00906490"/>
    <w:rsid w:val="009111B2"/>
    <w:rsid w:val="009179EF"/>
    <w:rsid w:val="00924AE1"/>
    <w:rsid w:val="009269B1"/>
    <w:rsid w:val="009269F5"/>
    <w:rsid w:val="0092724D"/>
    <w:rsid w:val="00933333"/>
    <w:rsid w:val="00937BD9"/>
    <w:rsid w:val="009503AF"/>
    <w:rsid w:val="00950E2C"/>
    <w:rsid w:val="00951D50"/>
    <w:rsid w:val="009525EB"/>
    <w:rsid w:val="00954874"/>
    <w:rsid w:val="00961400"/>
    <w:rsid w:val="00963646"/>
    <w:rsid w:val="00972173"/>
    <w:rsid w:val="00975F65"/>
    <w:rsid w:val="009853E1"/>
    <w:rsid w:val="00985B90"/>
    <w:rsid w:val="00986E6B"/>
    <w:rsid w:val="00991769"/>
    <w:rsid w:val="00994386"/>
    <w:rsid w:val="009A13D8"/>
    <w:rsid w:val="009A279E"/>
    <w:rsid w:val="009A2832"/>
    <w:rsid w:val="009B0A6F"/>
    <w:rsid w:val="009B0A94"/>
    <w:rsid w:val="009B0BD6"/>
    <w:rsid w:val="009B427A"/>
    <w:rsid w:val="009B59E9"/>
    <w:rsid w:val="009B5DF1"/>
    <w:rsid w:val="009B70AA"/>
    <w:rsid w:val="009C08A7"/>
    <w:rsid w:val="009C7A7E"/>
    <w:rsid w:val="009D02E8"/>
    <w:rsid w:val="009D51D0"/>
    <w:rsid w:val="009D70A4"/>
    <w:rsid w:val="009E08D1"/>
    <w:rsid w:val="009E1B95"/>
    <w:rsid w:val="009E1E1E"/>
    <w:rsid w:val="009E496F"/>
    <w:rsid w:val="009E4B0D"/>
    <w:rsid w:val="009E52A9"/>
    <w:rsid w:val="009E5B3F"/>
    <w:rsid w:val="009E5DA0"/>
    <w:rsid w:val="009E7F92"/>
    <w:rsid w:val="009F02A3"/>
    <w:rsid w:val="009F1A7F"/>
    <w:rsid w:val="009F2F27"/>
    <w:rsid w:val="009F34AA"/>
    <w:rsid w:val="009F6BCB"/>
    <w:rsid w:val="009F7B78"/>
    <w:rsid w:val="00A0057A"/>
    <w:rsid w:val="00A03D3A"/>
    <w:rsid w:val="00A11421"/>
    <w:rsid w:val="00A13343"/>
    <w:rsid w:val="00A14932"/>
    <w:rsid w:val="00A157B1"/>
    <w:rsid w:val="00A22229"/>
    <w:rsid w:val="00A43CA2"/>
    <w:rsid w:val="00A44882"/>
    <w:rsid w:val="00A45778"/>
    <w:rsid w:val="00A532B3"/>
    <w:rsid w:val="00A54715"/>
    <w:rsid w:val="00A6061C"/>
    <w:rsid w:val="00A62D44"/>
    <w:rsid w:val="00A632AB"/>
    <w:rsid w:val="00A67173"/>
    <w:rsid w:val="00A67263"/>
    <w:rsid w:val="00A7161C"/>
    <w:rsid w:val="00A77AA3"/>
    <w:rsid w:val="00A848D0"/>
    <w:rsid w:val="00A85077"/>
    <w:rsid w:val="00A854EB"/>
    <w:rsid w:val="00A872E5"/>
    <w:rsid w:val="00A90F6F"/>
    <w:rsid w:val="00A91406"/>
    <w:rsid w:val="00A953E4"/>
    <w:rsid w:val="00A95A2E"/>
    <w:rsid w:val="00A96E65"/>
    <w:rsid w:val="00A97C72"/>
    <w:rsid w:val="00AA5E05"/>
    <w:rsid w:val="00AA63D4"/>
    <w:rsid w:val="00AB06E8"/>
    <w:rsid w:val="00AB1CD3"/>
    <w:rsid w:val="00AB3202"/>
    <w:rsid w:val="00AB352F"/>
    <w:rsid w:val="00AB4B9F"/>
    <w:rsid w:val="00AB6C19"/>
    <w:rsid w:val="00AB74EE"/>
    <w:rsid w:val="00AC2097"/>
    <w:rsid w:val="00AC274B"/>
    <w:rsid w:val="00AC4764"/>
    <w:rsid w:val="00AC6D36"/>
    <w:rsid w:val="00AD0CBA"/>
    <w:rsid w:val="00AD26E2"/>
    <w:rsid w:val="00AD53D6"/>
    <w:rsid w:val="00AD784C"/>
    <w:rsid w:val="00AE126A"/>
    <w:rsid w:val="00AE3005"/>
    <w:rsid w:val="00AE3BD5"/>
    <w:rsid w:val="00AE59A0"/>
    <w:rsid w:val="00AF0C57"/>
    <w:rsid w:val="00AF26F3"/>
    <w:rsid w:val="00AF5F04"/>
    <w:rsid w:val="00B00672"/>
    <w:rsid w:val="00B01B4D"/>
    <w:rsid w:val="00B0631E"/>
    <w:rsid w:val="00B06571"/>
    <w:rsid w:val="00B068BA"/>
    <w:rsid w:val="00B11297"/>
    <w:rsid w:val="00B13851"/>
    <w:rsid w:val="00B13B1C"/>
    <w:rsid w:val="00B1783A"/>
    <w:rsid w:val="00B22291"/>
    <w:rsid w:val="00B23F9A"/>
    <w:rsid w:val="00B2417B"/>
    <w:rsid w:val="00B24E6F"/>
    <w:rsid w:val="00B25D8D"/>
    <w:rsid w:val="00B26CB5"/>
    <w:rsid w:val="00B2752E"/>
    <w:rsid w:val="00B307CC"/>
    <w:rsid w:val="00B326B7"/>
    <w:rsid w:val="00B431E8"/>
    <w:rsid w:val="00B44C5F"/>
    <w:rsid w:val="00B45141"/>
    <w:rsid w:val="00B50733"/>
    <w:rsid w:val="00B5273A"/>
    <w:rsid w:val="00B57329"/>
    <w:rsid w:val="00B62B50"/>
    <w:rsid w:val="00B635B7"/>
    <w:rsid w:val="00B63937"/>
    <w:rsid w:val="00B63AE8"/>
    <w:rsid w:val="00B651ED"/>
    <w:rsid w:val="00B65950"/>
    <w:rsid w:val="00B66D83"/>
    <w:rsid w:val="00B672C0"/>
    <w:rsid w:val="00B70F8F"/>
    <w:rsid w:val="00B75646"/>
    <w:rsid w:val="00B802A0"/>
    <w:rsid w:val="00B84823"/>
    <w:rsid w:val="00B90729"/>
    <w:rsid w:val="00B907DA"/>
    <w:rsid w:val="00B950BC"/>
    <w:rsid w:val="00B95F79"/>
    <w:rsid w:val="00B9714C"/>
    <w:rsid w:val="00BA3F8D"/>
    <w:rsid w:val="00BA55BE"/>
    <w:rsid w:val="00BB10F7"/>
    <w:rsid w:val="00BB1D9D"/>
    <w:rsid w:val="00BB7A10"/>
    <w:rsid w:val="00BC4A4D"/>
    <w:rsid w:val="00BC7468"/>
    <w:rsid w:val="00BC7D4F"/>
    <w:rsid w:val="00BC7ED7"/>
    <w:rsid w:val="00BD2850"/>
    <w:rsid w:val="00BE0489"/>
    <w:rsid w:val="00BE28D2"/>
    <w:rsid w:val="00BE2E07"/>
    <w:rsid w:val="00BE4A64"/>
    <w:rsid w:val="00BF5BE2"/>
    <w:rsid w:val="00BF7F37"/>
    <w:rsid w:val="00BF7F58"/>
    <w:rsid w:val="00C00204"/>
    <w:rsid w:val="00C01381"/>
    <w:rsid w:val="00C02E7C"/>
    <w:rsid w:val="00C03B9F"/>
    <w:rsid w:val="00C079B8"/>
    <w:rsid w:val="00C123EA"/>
    <w:rsid w:val="00C12A49"/>
    <w:rsid w:val="00C133EE"/>
    <w:rsid w:val="00C20798"/>
    <w:rsid w:val="00C27DE9"/>
    <w:rsid w:val="00C33388"/>
    <w:rsid w:val="00C35484"/>
    <w:rsid w:val="00C379F3"/>
    <w:rsid w:val="00C4173A"/>
    <w:rsid w:val="00C44BBE"/>
    <w:rsid w:val="00C46A21"/>
    <w:rsid w:val="00C50A25"/>
    <w:rsid w:val="00C602FF"/>
    <w:rsid w:val="00C61174"/>
    <w:rsid w:val="00C61481"/>
    <w:rsid w:val="00C6148F"/>
    <w:rsid w:val="00C62F7A"/>
    <w:rsid w:val="00C63B9C"/>
    <w:rsid w:val="00C6682F"/>
    <w:rsid w:val="00C702D9"/>
    <w:rsid w:val="00C7275E"/>
    <w:rsid w:val="00C727CF"/>
    <w:rsid w:val="00C748B5"/>
    <w:rsid w:val="00C74C5D"/>
    <w:rsid w:val="00C752F9"/>
    <w:rsid w:val="00C756F8"/>
    <w:rsid w:val="00C8637D"/>
    <w:rsid w:val="00C863C4"/>
    <w:rsid w:val="00C93C3E"/>
    <w:rsid w:val="00C94723"/>
    <w:rsid w:val="00C95D97"/>
    <w:rsid w:val="00CA12E3"/>
    <w:rsid w:val="00CA33AF"/>
    <w:rsid w:val="00CA6611"/>
    <w:rsid w:val="00CA6AE6"/>
    <w:rsid w:val="00CA782F"/>
    <w:rsid w:val="00CB3285"/>
    <w:rsid w:val="00CB753B"/>
    <w:rsid w:val="00CC0C72"/>
    <w:rsid w:val="00CC2BFD"/>
    <w:rsid w:val="00CC5104"/>
    <w:rsid w:val="00CD3476"/>
    <w:rsid w:val="00CD59F1"/>
    <w:rsid w:val="00CD64DF"/>
    <w:rsid w:val="00CD7FA1"/>
    <w:rsid w:val="00CE0E21"/>
    <w:rsid w:val="00CF188D"/>
    <w:rsid w:val="00CF2F50"/>
    <w:rsid w:val="00CF3E2A"/>
    <w:rsid w:val="00CF5957"/>
    <w:rsid w:val="00D0191F"/>
    <w:rsid w:val="00D02605"/>
    <w:rsid w:val="00D02919"/>
    <w:rsid w:val="00D04C61"/>
    <w:rsid w:val="00D05B8D"/>
    <w:rsid w:val="00D065A2"/>
    <w:rsid w:val="00D07970"/>
    <w:rsid w:val="00D07F00"/>
    <w:rsid w:val="00D136FB"/>
    <w:rsid w:val="00D1666D"/>
    <w:rsid w:val="00D17B72"/>
    <w:rsid w:val="00D31383"/>
    <w:rsid w:val="00D3185C"/>
    <w:rsid w:val="00D33B79"/>
    <w:rsid w:val="00D33E72"/>
    <w:rsid w:val="00D340D1"/>
    <w:rsid w:val="00D35BD6"/>
    <w:rsid w:val="00D361B5"/>
    <w:rsid w:val="00D369BC"/>
    <w:rsid w:val="00D411A2"/>
    <w:rsid w:val="00D4606D"/>
    <w:rsid w:val="00D50B9C"/>
    <w:rsid w:val="00D52D73"/>
    <w:rsid w:val="00D52E58"/>
    <w:rsid w:val="00D57456"/>
    <w:rsid w:val="00D578E4"/>
    <w:rsid w:val="00D57F9E"/>
    <w:rsid w:val="00D6271D"/>
    <w:rsid w:val="00D63A0C"/>
    <w:rsid w:val="00D70E56"/>
    <w:rsid w:val="00D714CC"/>
    <w:rsid w:val="00D75EA7"/>
    <w:rsid w:val="00D7702E"/>
    <w:rsid w:val="00D81351"/>
    <w:rsid w:val="00D81F21"/>
    <w:rsid w:val="00D830BD"/>
    <w:rsid w:val="00D95470"/>
    <w:rsid w:val="00D954F0"/>
    <w:rsid w:val="00DA0AEC"/>
    <w:rsid w:val="00DA2619"/>
    <w:rsid w:val="00DA4239"/>
    <w:rsid w:val="00DB0B61"/>
    <w:rsid w:val="00DC090B"/>
    <w:rsid w:val="00DC0E01"/>
    <w:rsid w:val="00DC1679"/>
    <w:rsid w:val="00DC2CF1"/>
    <w:rsid w:val="00DC4FCF"/>
    <w:rsid w:val="00DC50E0"/>
    <w:rsid w:val="00DC54FF"/>
    <w:rsid w:val="00DC6386"/>
    <w:rsid w:val="00DD0859"/>
    <w:rsid w:val="00DD092A"/>
    <w:rsid w:val="00DD1130"/>
    <w:rsid w:val="00DD1951"/>
    <w:rsid w:val="00DD3377"/>
    <w:rsid w:val="00DD54D8"/>
    <w:rsid w:val="00DD6628"/>
    <w:rsid w:val="00DD6E5C"/>
    <w:rsid w:val="00DD715F"/>
    <w:rsid w:val="00DE16F5"/>
    <w:rsid w:val="00DE3250"/>
    <w:rsid w:val="00DE6028"/>
    <w:rsid w:val="00DE64BB"/>
    <w:rsid w:val="00DE78A3"/>
    <w:rsid w:val="00DF1A71"/>
    <w:rsid w:val="00DF35C3"/>
    <w:rsid w:val="00DF3A5C"/>
    <w:rsid w:val="00DF68C7"/>
    <w:rsid w:val="00DF731A"/>
    <w:rsid w:val="00E05557"/>
    <w:rsid w:val="00E11848"/>
    <w:rsid w:val="00E170DC"/>
    <w:rsid w:val="00E26818"/>
    <w:rsid w:val="00E26E12"/>
    <w:rsid w:val="00E27FFC"/>
    <w:rsid w:val="00E30B15"/>
    <w:rsid w:val="00E30D26"/>
    <w:rsid w:val="00E30D6A"/>
    <w:rsid w:val="00E3464C"/>
    <w:rsid w:val="00E36981"/>
    <w:rsid w:val="00E40181"/>
    <w:rsid w:val="00E42CCD"/>
    <w:rsid w:val="00E56A01"/>
    <w:rsid w:val="00E57526"/>
    <w:rsid w:val="00E627EF"/>
    <w:rsid w:val="00E629A1"/>
    <w:rsid w:val="00E6787F"/>
    <w:rsid w:val="00E6794C"/>
    <w:rsid w:val="00E71591"/>
    <w:rsid w:val="00E82C55"/>
    <w:rsid w:val="00E92AC3"/>
    <w:rsid w:val="00E93BBB"/>
    <w:rsid w:val="00E96A65"/>
    <w:rsid w:val="00EB00E0"/>
    <w:rsid w:val="00EC0388"/>
    <w:rsid w:val="00EC059F"/>
    <w:rsid w:val="00EC1506"/>
    <w:rsid w:val="00EC1F24"/>
    <w:rsid w:val="00EC22F6"/>
    <w:rsid w:val="00EC27F7"/>
    <w:rsid w:val="00EC2BB4"/>
    <w:rsid w:val="00ED4641"/>
    <w:rsid w:val="00ED5B9B"/>
    <w:rsid w:val="00ED6BAD"/>
    <w:rsid w:val="00ED7447"/>
    <w:rsid w:val="00EE1488"/>
    <w:rsid w:val="00EE4D5D"/>
    <w:rsid w:val="00EE5131"/>
    <w:rsid w:val="00EF109B"/>
    <w:rsid w:val="00EF36AF"/>
    <w:rsid w:val="00EF59A0"/>
    <w:rsid w:val="00F00F9C"/>
    <w:rsid w:val="00F01E5F"/>
    <w:rsid w:val="00F02ABA"/>
    <w:rsid w:val="00F0437A"/>
    <w:rsid w:val="00F1094F"/>
    <w:rsid w:val="00F11037"/>
    <w:rsid w:val="00F155D6"/>
    <w:rsid w:val="00F16F1B"/>
    <w:rsid w:val="00F250A9"/>
    <w:rsid w:val="00F30FF4"/>
    <w:rsid w:val="00F3122E"/>
    <w:rsid w:val="00F331AD"/>
    <w:rsid w:val="00F35287"/>
    <w:rsid w:val="00F36719"/>
    <w:rsid w:val="00F424BD"/>
    <w:rsid w:val="00F43A37"/>
    <w:rsid w:val="00F4641B"/>
    <w:rsid w:val="00F46AFC"/>
    <w:rsid w:val="00F46EB8"/>
    <w:rsid w:val="00F47838"/>
    <w:rsid w:val="00F511E4"/>
    <w:rsid w:val="00F52D09"/>
    <w:rsid w:val="00F52E08"/>
    <w:rsid w:val="00F5551D"/>
    <w:rsid w:val="00F55B21"/>
    <w:rsid w:val="00F56EF6"/>
    <w:rsid w:val="00F61A9F"/>
    <w:rsid w:val="00F64696"/>
    <w:rsid w:val="00F65AA9"/>
    <w:rsid w:val="00F6768F"/>
    <w:rsid w:val="00F72C2C"/>
    <w:rsid w:val="00F76CAB"/>
    <w:rsid w:val="00F772C6"/>
    <w:rsid w:val="00F815B5"/>
    <w:rsid w:val="00F85104"/>
    <w:rsid w:val="00F85195"/>
    <w:rsid w:val="00F86D09"/>
    <w:rsid w:val="00F938BA"/>
    <w:rsid w:val="00FA0DAB"/>
    <w:rsid w:val="00FA2C46"/>
    <w:rsid w:val="00FA3525"/>
    <w:rsid w:val="00FA7873"/>
    <w:rsid w:val="00FB4769"/>
    <w:rsid w:val="00FB4CDA"/>
    <w:rsid w:val="00FB7072"/>
    <w:rsid w:val="00FC0F81"/>
    <w:rsid w:val="00FC17B6"/>
    <w:rsid w:val="00FC395C"/>
    <w:rsid w:val="00FC438B"/>
    <w:rsid w:val="00FC7B26"/>
    <w:rsid w:val="00FD3766"/>
    <w:rsid w:val="00FD47C4"/>
    <w:rsid w:val="00FD6474"/>
    <w:rsid w:val="00FE2DCF"/>
    <w:rsid w:val="00FF2FCE"/>
    <w:rsid w:val="00FF4F7D"/>
    <w:rsid w:val="00FF546C"/>
    <w:rsid w:val="00FF6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chartTrackingRefBased/>
  <w15:docId w15:val="{E8310341-4957-4489-93F0-03068086C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1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19"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rsid w:val="00C702D9"/>
    <w:rPr>
      <w:rFonts w:ascii="Cambria" w:hAnsi="Cambria"/>
      <w:lang w:val="en-AU"/>
    </w:rPr>
  </w:style>
  <w:style w:type="paragraph" w:styleId="Heading1">
    <w:name w:val="heading 1"/>
    <w:next w:val="CSQbody"/>
    <w:link w:val="Heading1Char"/>
    <w:uiPriority w:val="9"/>
    <w:qFormat/>
    <w:rsid w:val="00681923"/>
    <w:pPr>
      <w:keepNext/>
      <w:keepLines/>
      <w:spacing w:after="90" w:line="440" w:lineRule="atLeast"/>
      <w:outlineLvl w:val="0"/>
    </w:pPr>
    <w:rPr>
      <w:rFonts w:ascii="Arial" w:eastAsia="MS Gothic" w:hAnsi="Arial" w:cs="Arial"/>
      <w:b/>
      <w:bCs/>
      <w:color w:val="FFCD1A" w:themeColor="accent1"/>
      <w:kern w:val="32"/>
      <w:sz w:val="28"/>
      <w:szCs w:val="40"/>
      <w:lang w:val="en-AU"/>
    </w:rPr>
  </w:style>
  <w:style w:type="paragraph" w:styleId="Heading2">
    <w:name w:val="heading 2"/>
    <w:next w:val="CSQbody"/>
    <w:link w:val="Heading2Char"/>
    <w:uiPriority w:val="1"/>
    <w:qFormat/>
    <w:rsid w:val="00681923"/>
    <w:pPr>
      <w:keepNext/>
      <w:keepLines/>
      <w:spacing w:before="240" w:after="90" w:line="320" w:lineRule="atLeast"/>
      <w:outlineLvl w:val="1"/>
    </w:pPr>
    <w:rPr>
      <w:rFonts w:ascii="Arial" w:hAnsi="Arial"/>
      <w:b/>
      <w:color w:val="979A9C" w:themeColor="text1" w:themeTint="99"/>
      <w:sz w:val="26"/>
      <w:szCs w:val="28"/>
      <w:lang w:val="en-AU"/>
    </w:rPr>
  </w:style>
  <w:style w:type="paragraph" w:styleId="Heading3">
    <w:name w:val="heading 3"/>
    <w:next w:val="CSQbody"/>
    <w:link w:val="Heading3Char"/>
    <w:uiPriority w:val="1"/>
    <w:qFormat/>
    <w:rsid w:val="005A06AD"/>
    <w:pPr>
      <w:keepNext/>
      <w:keepLines/>
      <w:spacing w:before="280" w:after="120" w:line="280" w:lineRule="atLeast"/>
      <w:outlineLvl w:val="2"/>
    </w:pPr>
    <w:rPr>
      <w:rFonts w:ascii="Arial" w:eastAsia="MS Gothic" w:hAnsi="Arial"/>
      <w:b/>
      <w:bCs/>
      <w:sz w:val="24"/>
      <w:szCs w:val="26"/>
      <w:lang w:val="en-AU"/>
    </w:rPr>
  </w:style>
  <w:style w:type="paragraph" w:styleId="Heading4">
    <w:name w:val="heading 4"/>
    <w:next w:val="CSQbody"/>
    <w:link w:val="Heading4Char"/>
    <w:uiPriority w:val="1"/>
    <w:qFormat/>
    <w:rsid w:val="0015783C"/>
    <w:pPr>
      <w:keepNext/>
      <w:keepLines/>
      <w:spacing w:before="240" w:after="120" w:line="240" w:lineRule="atLeast"/>
      <w:outlineLvl w:val="3"/>
    </w:pPr>
    <w:rPr>
      <w:rFonts w:ascii="Arial" w:eastAsia="MS Mincho" w:hAnsi="Arial"/>
      <w:b/>
      <w:bCs/>
      <w:sz w:val="22"/>
      <w:lang w:val="en-AU"/>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Qbody">
    <w:name w:val="CSQ body"/>
    <w:link w:val="CSQbodyChar"/>
    <w:qFormat/>
    <w:rsid w:val="00681923"/>
    <w:pPr>
      <w:spacing w:before="120" w:after="120" w:line="259" w:lineRule="auto"/>
    </w:pPr>
    <w:rPr>
      <w:rFonts w:ascii="Arial" w:eastAsia="Times" w:hAnsi="Arial"/>
      <w:lang w:val="en-AU"/>
    </w:rPr>
  </w:style>
  <w:style w:type="character" w:customStyle="1" w:styleId="Heading1Char">
    <w:name w:val="Heading 1 Char"/>
    <w:link w:val="Heading1"/>
    <w:uiPriority w:val="9"/>
    <w:rsid w:val="00681923"/>
    <w:rPr>
      <w:rFonts w:ascii="Arial" w:eastAsia="MS Gothic" w:hAnsi="Arial" w:cs="Arial"/>
      <w:b/>
      <w:bCs/>
      <w:color w:val="FFCD1A" w:themeColor="accent1"/>
      <w:kern w:val="32"/>
      <w:sz w:val="28"/>
      <w:szCs w:val="40"/>
      <w:lang w:val="en-AU"/>
    </w:rPr>
  </w:style>
  <w:style w:type="character" w:customStyle="1" w:styleId="Heading2Char">
    <w:name w:val="Heading 2 Char"/>
    <w:link w:val="Heading2"/>
    <w:uiPriority w:val="1"/>
    <w:rsid w:val="00681923"/>
    <w:rPr>
      <w:rFonts w:ascii="Arial" w:hAnsi="Arial"/>
      <w:b/>
      <w:color w:val="979A9C" w:themeColor="text1" w:themeTint="99"/>
      <w:sz w:val="26"/>
      <w:szCs w:val="28"/>
      <w:lang w:val="en-AU"/>
    </w:rPr>
  </w:style>
  <w:style w:type="character" w:customStyle="1" w:styleId="Heading3Char">
    <w:name w:val="Heading 3 Char"/>
    <w:link w:val="Heading3"/>
    <w:uiPriority w:val="1"/>
    <w:rsid w:val="005A06AD"/>
    <w:rPr>
      <w:rFonts w:ascii="Arial" w:eastAsia="MS Gothic" w:hAnsi="Arial"/>
      <w:b/>
      <w:bCs/>
      <w:sz w:val="24"/>
      <w:szCs w:val="26"/>
      <w:lang w:val="en-AU"/>
    </w:rPr>
  </w:style>
  <w:style w:type="character" w:customStyle="1" w:styleId="Heading4Char">
    <w:name w:val="Heading 4 Char"/>
    <w:link w:val="Heading4"/>
    <w:uiPriority w:val="1"/>
    <w:rsid w:val="0015783C"/>
    <w:rPr>
      <w:rFonts w:ascii="Arial" w:eastAsia="MS Mincho" w:hAnsi="Arial"/>
      <w:b/>
      <w:bCs/>
      <w:sz w:val="22"/>
      <w:lang w:val="en-AU"/>
    </w:rPr>
  </w:style>
  <w:style w:type="paragraph" w:styleId="Header">
    <w:name w:val="header"/>
    <w:basedOn w:val="CSQheader"/>
    <w:link w:val="HeaderChar"/>
    <w:uiPriority w:val="10"/>
    <w:rsid w:val="00262802"/>
  </w:style>
  <w:style w:type="paragraph" w:styleId="Footer">
    <w:name w:val="footer"/>
    <w:basedOn w:val="CSQfooter"/>
    <w:link w:val="FooterChar"/>
    <w:uiPriority w:val="99"/>
    <w:rsid w:val="00AC2097"/>
    <w:pPr>
      <w:jc w:val="right"/>
    </w:pPr>
  </w:style>
  <w:style w:type="character" w:styleId="FollowedHyperlink">
    <w:name w:val="FollowedHyperlink"/>
    <w:uiPriority w:val="99"/>
    <w:rsid w:val="00152073"/>
    <w:rPr>
      <w:color w:val="6633CC"/>
      <w:u w:val="dotted"/>
    </w:rPr>
  </w:style>
  <w:style w:type="paragraph" w:customStyle="1" w:styleId="CSQtabletext6pt">
    <w:name w:val="CSQ table text + 6pt"/>
    <w:basedOn w:val="CSQ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aliases w:val="Table CSQ"/>
    <w:basedOn w:val="TableNormal"/>
    <w:uiPriority w:val="39"/>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Qbodynospace">
    <w:name w:val="CSQ body no space"/>
    <w:basedOn w:val="CSQbody"/>
    <w:uiPriority w:val="1"/>
    <w:rsid w:val="00F772C6"/>
    <w:pPr>
      <w:spacing w:after="0"/>
    </w:pPr>
  </w:style>
  <w:style w:type="paragraph" w:customStyle="1" w:styleId="CSQbullet1">
    <w:name w:val="CSQ bullet 1"/>
    <w:basedOn w:val="CSQbody"/>
    <w:qFormat/>
    <w:rsid w:val="0051568D"/>
    <w:pPr>
      <w:numPr>
        <w:numId w:val="25"/>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spacing w:before="240" w:after="120"/>
    </w:pPr>
    <w:rPr>
      <w:rFonts w:asciiTheme="minorHAnsi" w:hAnsiTheme="minorHAnsi" w:cstheme="minorHAnsi"/>
      <w:b/>
      <w:bCs/>
      <w:lang w:val="en-AU"/>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CSQTOCheading">
    <w:name w:val="CSQ TOC heading"/>
    <w:basedOn w:val="Heading2"/>
    <w:next w:val="CSQbody"/>
    <w:link w:val="CSQTOCheadingChar"/>
    <w:uiPriority w:val="4"/>
    <w:rsid w:val="00C03B9F"/>
    <w:pPr>
      <w:spacing w:before="0" w:after="200"/>
      <w:outlineLvl w:val="9"/>
    </w:pPr>
    <w:rPr>
      <w:color w:val="53565A"/>
      <w14:textFill>
        <w14:solidFill>
          <w14:srgbClr w14:val="53565A">
            <w14:lumMod w14:val="60000"/>
            <w14:lumOff w14:val="40000"/>
          </w14:srgbClr>
        </w14:solidFill>
      </w14:textFill>
    </w:rPr>
  </w:style>
  <w:style w:type="character" w:customStyle="1" w:styleId="CSQTOCheadingChar">
    <w:name w:val="CSQ TOC heading Char"/>
    <w:link w:val="CSQTOCheading"/>
    <w:uiPriority w:val="4"/>
    <w:rsid w:val="00C03B9F"/>
    <w:rPr>
      <w:rFonts w:ascii="Arial" w:hAnsi="Arial"/>
      <w:b/>
      <w:color w:val="53565A"/>
      <w:sz w:val="28"/>
      <w:szCs w:val="28"/>
      <w:lang w:eastAsia="en-US"/>
    </w:rPr>
  </w:style>
  <w:style w:type="paragraph" w:styleId="TOC2">
    <w:name w:val="toc 2"/>
    <w:uiPriority w:val="39"/>
    <w:rsid w:val="000F2259"/>
    <w:pPr>
      <w:spacing w:before="120"/>
      <w:ind w:left="200"/>
    </w:pPr>
    <w:rPr>
      <w:rFonts w:asciiTheme="minorHAnsi" w:hAnsiTheme="minorHAnsi" w:cstheme="minorHAnsi"/>
      <w:i/>
      <w:iCs/>
      <w:lang w:val="en-AU"/>
    </w:rPr>
  </w:style>
  <w:style w:type="paragraph" w:styleId="TOC3">
    <w:name w:val="toc 3"/>
    <w:basedOn w:val="TOC2"/>
    <w:next w:val="CSQbody"/>
    <w:uiPriority w:val="39"/>
    <w:rsid w:val="005E447E"/>
    <w:pPr>
      <w:spacing w:before="0"/>
      <w:ind w:left="400"/>
    </w:pPr>
    <w:rPr>
      <w:i w:val="0"/>
      <w:iCs w:val="0"/>
    </w:rPr>
  </w:style>
  <w:style w:type="paragraph" w:styleId="TOC4">
    <w:name w:val="toc 4"/>
    <w:basedOn w:val="TOC3"/>
    <w:autoRedefine/>
    <w:uiPriority w:val="5"/>
    <w:semiHidden/>
    <w:rsid w:val="00024D89"/>
    <w:pPr>
      <w:ind w:left="600"/>
    </w:pPr>
  </w:style>
  <w:style w:type="paragraph" w:styleId="TOC5">
    <w:name w:val="toc 5"/>
    <w:basedOn w:val="Normal"/>
    <w:next w:val="Normal"/>
    <w:autoRedefine/>
    <w:uiPriority w:val="39"/>
    <w:semiHidden/>
    <w:rsid w:val="0021053D"/>
    <w:pPr>
      <w:ind w:left="800"/>
    </w:pPr>
    <w:rPr>
      <w:rFonts w:asciiTheme="minorHAnsi" w:hAnsiTheme="minorHAnsi" w:cstheme="minorHAnsi"/>
    </w:rPr>
  </w:style>
  <w:style w:type="paragraph" w:styleId="TOC6">
    <w:name w:val="toc 6"/>
    <w:basedOn w:val="Normal"/>
    <w:next w:val="Normal"/>
    <w:autoRedefine/>
    <w:uiPriority w:val="39"/>
    <w:semiHidden/>
    <w:rsid w:val="0021053D"/>
    <w:pPr>
      <w:ind w:left="1000"/>
    </w:pPr>
    <w:rPr>
      <w:rFonts w:asciiTheme="minorHAnsi" w:hAnsiTheme="minorHAnsi" w:cstheme="minorHAnsi"/>
    </w:rPr>
  </w:style>
  <w:style w:type="paragraph" w:styleId="TOC7">
    <w:name w:val="toc 7"/>
    <w:basedOn w:val="Normal"/>
    <w:next w:val="Normal"/>
    <w:autoRedefine/>
    <w:uiPriority w:val="39"/>
    <w:semiHidden/>
    <w:rsid w:val="0021053D"/>
    <w:pPr>
      <w:ind w:left="1200"/>
    </w:pPr>
    <w:rPr>
      <w:rFonts w:asciiTheme="minorHAnsi" w:hAnsiTheme="minorHAnsi" w:cstheme="minorHAnsi"/>
    </w:rPr>
  </w:style>
  <w:style w:type="paragraph" w:styleId="TOC8">
    <w:name w:val="toc 8"/>
    <w:basedOn w:val="Normal"/>
    <w:next w:val="Normal"/>
    <w:autoRedefine/>
    <w:uiPriority w:val="39"/>
    <w:semiHidden/>
    <w:rsid w:val="0021053D"/>
    <w:pPr>
      <w:ind w:left="1400"/>
    </w:pPr>
    <w:rPr>
      <w:rFonts w:asciiTheme="minorHAnsi" w:hAnsiTheme="minorHAnsi" w:cstheme="minorHAnsi"/>
    </w:rPr>
  </w:style>
  <w:style w:type="paragraph" w:styleId="TOC9">
    <w:name w:val="toc 9"/>
    <w:basedOn w:val="Normal"/>
    <w:next w:val="Normal"/>
    <w:autoRedefine/>
    <w:uiPriority w:val="39"/>
    <w:semiHidden/>
    <w:rsid w:val="0021053D"/>
    <w:pPr>
      <w:ind w:left="1600"/>
    </w:pPr>
    <w:rPr>
      <w:rFonts w:asciiTheme="minorHAnsi" w:hAnsiTheme="minorHAnsi" w:cstheme="minorHAnsi"/>
    </w:r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val="en-AU"/>
    </w:rPr>
  </w:style>
  <w:style w:type="paragraph" w:customStyle="1" w:styleId="CSQtabletext">
    <w:name w:val="CSQ table text"/>
    <w:uiPriority w:val="3"/>
    <w:qFormat/>
    <w:rsid w:val="00DA2619"/>
    <w:pPr>
      <w:spacing w:before="80" w:after="60"/>
    </w:pPr>
    <w:rPr>
      <w:rFonts w:ascii="Arial" w:hAnsi="Arial"/>
      <w:lang w:val="en-AU"/>
    </w:rPr>
  </w:style>
  <w:style w:type="paragraph" w:customStyle="1" w:styleId="CSQtablecaption">
    <w:name w:val="CSQ table caption"/>
    <w:next w:val="CSQbody"/>
    <w:uiPriority w:val="3"/>
    <w:qFormat/>
    <w:rsid w:val="00233724"/>
    <w:pPr>
      <w:keepNext/>
      <w:keepLines/>
      <w:spacing w:before="240" w:after="120" w:line="240" w:lineRule="atLeast"/>
    </w:pPr>
    <w:rPr>
      <w:rFonts w:ascii="Arial" w:hAnsi="Arial"/>
      <w:b/>
      <w:lang w:val="en-AU"/>
    </w:rPr>
  </w:style>
  <w:style w:type="paragraph" w:customStyle="1" w:styleId="CSQmainheading">
    <w:name w:val="CSQ main heading"/>
    <w:uiPriority w:val="8"/>
    <w:rsid w:val="00C03B9F"/>
    <w:pPr>
      <w:spacing w:line="560" w:lineRule="atLeast"/>
    </w:pPr>
    <w:rPr>
      <w:rFonts w:ascii="Arial" w:hAnsi="Arial"/>
      <w:color w:val="53565A"/>
      <w:sz w:val="50"/>
      <w:szCs w:val="50"/>
      <w:lang w:val="en-AU"/>
    </w:rPr>
  </w:style>
  <w:style w:type="character" w:customStyle="1" w:styleId="FooterChar">
    <w:name w:val="Footer Char"/>
    <w:basedOn w:val="DefaultParagraphFont"/>
    <w:link w:val="Footer"/>
    <w:uiPriority w:val="99"/>
    <w:rsid w:val="00AC2097"/>
    <w:rPr>
      <w:rFonts w:ascii="Arial" w:hAnsi="Arial" w:cs="Arial"/>
      <w:sz w:val="18"/>
      <w:szCs w:val="18"/>
      <w:lang w:val="en-AU"/>
    </w:rPr>
  </w:style>
  <w:style w:type="paragraph" w:customStyle="1" w:styleId="CSQDayMonthYearLine">
    <w:name w:val="CSQ Day Month Year Line"/>
    <w:basedOn w:val="CSQbody"/>
    <w:next w:val="CSQReceipientcontactdetailsline"/>
    <w:uiPriority w:val="11"/>
    <w:rsid w:val="00DF35C3"/>
    <w:pPr>
      <w:spacing w:after="600"/>
    </w:pPr>
  </w:style>
  <w:style w:type="paragraph" w:customStyle="1" w:styleId="CSQfigurecaption">
    <w:name w:val="CSQ figure caption"/>
    <w:next w:val="CSQbody"/>
    <w:rsid w:val="00770F37"/>
    <w:pPr>
      <w:keepNext/>
      <w:keepLines/>
      <w:spacing w:before="240" w:after="120"/>
    </w:pPr>
    <w:rPr>
      <w:rFonts w:ascii="Arial" w:hAnsi="Arial"/>
      <w:b/>
      <w:lang w:val="en-AU"/>
    </w:rPr>
  </w:style>
  <w:style w:type="paragraph" w:customStyle="1" w:styleId="CSQbullet2">
    <w:name w:val="CSQ bullet 2"/>
    <w:basedOn w:val="CSQbody"/>
    <w:uiPriority w:val="2"/>
    <w:qFormat/>
    <w:rsid w:val="0051568D"/>
    <w:pPr>
      <w:numPr>
        <w:ilvl w:val="2"/>
        <w:numId w:val="7"/>
      </w:numPr>
      <w:spacing w:after="40"/>
    </w:pPr>
  </w:style>
  <w:style w:type="paragraph" w:customStyle="1" w:styleId="CSQReceipientcontactdetailsline">
    <w:name w:val="CSQ Receipient contact details line"/>
    <w:basedOn w:val="CSQDayMonthYearLine"/>
    <w:uiPriority w:val="11"/>
    <w:rsid w:val="005A1BDC"/>
    <w:pPr>
      <w:spacing w:after="120"/>
    </w:pPr>
  </w:style>
  <w:style w:type="paragraph" w:customStyle="1" w:styleId="CSQrecipientcontactdetailslastline">
    <w:name w:val="CSQ recipient contact details last line"/>
    <w:basedOn w:val="CSQRegardingsubjectline"/>
    <w:next w:val="CSQbody"/>
    <w:uiPriority w:val="11"/>
    <w:rsid w:val="00A90F6F"/>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CSQtablebullet">
    <w:name w:val="CSQ table bullet"/>
    <w:basedOn w:val="CSQtabletext"/>
    <w:uiPriority w:val="3"/>
    <w:qFormat/>
    <w:rsid w:val="0051568D"/>
    <w:pPr>
      <w:numPr>
        <w:ilvl w:val="6"/>
        <w:numId w:val="7"/>
      </w:numPr>
    </w:pPr>
  </w:style>
  <w:style w:type="paragraph" w:customStyle="1" w:styleId="CSQRegardingsubjectline">
    <w:name w:val="CSQ Regarding subject line"/>
    <w:basedOn w:val="CSQbody"/>
    <w:uiPriority w:val="11"/>
    <w:rsid w:val="00A90F6F"/>
    <w:pPr>
      <w:spacing w:after="720"/>
    </w:pPr>
  </w:style>
  <w:style w:type="paragraph" w:customStyle="1" w:styleId="CSQtablecolhead">
    <w:name w:val="CSQ table col head"/>
    <w:uiPriority w:val="3"/>
    <w:qFormat/>
    <w:rsid w:val="00F47838"/>
    <w:pPr>
      <w:spacing w:before="80" w:after="60"/>
    </w:pPr>
    <w:rPr>
      <w:rFonts w:ascii="Arial" w:hAnsi="Arial"/>
      <w:b/>
      <w:color w:val="4D4D4F"/>
      <w:lang w:val="en-AU"/>
    </w:rPr>
  </w:style>
  <w:style w:type="paragraph" w:customStyle="1" w:styleId="CSQbulletindent">
    <w:name w:val="CSQ bullet indent"/>
    <w:basedOn w:val="CSQbody"/>
    <w:uiPriority w:val="4"/>
    <w:rsid w:val="0051568D"/>
    <w:pPr>
      <w:numPr>
        <w:ilvl w:val="4"/>
        <w:numId w:val="7"/>
      </w:numPr>
      <w:spacing w:after="40"/>
    </w:pPr>
  </w:style>
  <w:style w:type="character" w:styleId="Hyperlink">
    <w:name w:val="Hyperlink"/>
    <w:uiPriority w:val="99"/>
    <w:rsid w:val="004743DD"/>
    <w:rPr>
      <w:color w:val="3366FF"/>
      <w:u w:val="dotted"/>
    </w:rPr>
  </w:style>
  <w:style w:type="paragraph" w:customStyle="1" w:styleId="CSQbullet1lastline">
    <w:name w:val="CSQ bullet 1 last line"/>
    <w:basedOn w:val="CSQbullet1"/>
    <w:qFormat/>
    <w:rsid w:val="0051568D"/>
    <w:pPr>
      <w:numPr>
        <w:ilvl w:val="1"/>
      </w:numPr>
      <w:spacing w:after="120"/>
    </w:pPr>
  </w:style>
  <w:style w:type="paragraph" w:customStyle="1" w:styleId="CSQbullet2lastline">
    <w:name w:val="CSQ bullet 2 last line"/>
    <w:basedOn w:val="CSQbullet2"/>
    <w:uiPriority w:val="2"/>
    <w:qFormat/>
    <w:rsid w:val="0051568D"/>
    <w:pPr>
      <w:numPr>
        <w:ilvl w:val="3"/>
      </w:numPr>
      <w:spacing w:after="120"/>
    </w:pPr>
  </w:style>
  <w:style w:type="paragraph" w:styleId="FootnoteText">
    <w:name w:val="footnote text"/>
    <w:basedOn w:val="Normal"/>
    <w:link w:val="FootnoteTextChar"/>
    <w:uiPriority w:val="99"/>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99"/>
    <w:rsid w:val="003F0445"/>
    <w:rPr>
      <w:rFonts w:ascii="Arial" w:eastAsia="MS Gothic" w:hAnsi="Arial" w:cs="Arial"/>
      <w:sz w:val="16"/>
      <w:szCs w:val="16"/>
      <w:lang w:eastAsia="en-US"/>
    </w:rPr>
  </w:style>
  <w:style w:type="paragraph" w:customStyle="1" w:styleId="Spacerparatopoffirstpage">
    <w:name w:val="Spacer para top of first page"/>
    <w:basedOn w:val="CSQ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1568D"/>
    <w:pPr>
      <w:numPr>
        <w:numId w:val="26"/>
      </w:numPr>
    </w:pPr>
  </w:style>
  <w:style w:type="numbering" w:customStyle="1" w:styleId="ZZNumbers">
    <w:name w:val="ZZ Numbers"/>
    <w:rsid w:val="00152073"/>
    <w:pPr>
      <w:numPr>
        <w:numId w:val="8"/>
      </w:numPr>
    </w:pPr>
  </w:style>
  <w:style w:type="paragraph" w:customStyle="1" w:styleId="CSQbulletindentlastline">
    <w:name w:val="CSQ bullet indent last line"/>
    <w:basedOn w:val="CSQbody"/>
    <w:uiPriority w:val="4"/>
    <w:rsid w:val="0051568D"/>
    <w:pPr>
      <w:numPr>
        <w:ilvl w:val="5"/>
        <w:numId w:val="7"/>
      </w:numPr>
    </w:pPr>
  </w:style>
  <w:style w:type="paragraph" w:customStyle="1" w:styleId="CSQnumberdigit">
    <w:name w:val="CSQ number digit"/>
    <w:basedOn w:val="CSQbody"/>
    <w:uiPriority w:val="2"/>
    <w:rsid w:val="00152073"/>
    <w:pPr>
      <w:numPr>
        <w:numId w:val="8"/>
      </w:numPr>
    </w:pPr>
  </w:style>
  <w:style w:type="paragraph" w:customStyle="1" w:styleId="CSQnumberloweralphaindent">
    <w:name w:val="CSQ number lower alpha indent"/>
    <w:basedOn w:val="CSQbody"/>
    <w:uiPriority w:val="3"/>
    <w:rsid w:val="00152073"/>
    <w:pPr>
      <w:numPr>
        <w:ilvl w:val="3"/>
        <w:numId w:val="8"/>
      </w:numPr>
    </w:pPr>
  </w:style>
  <w:style w:type="paragraph" w:customStyle="1" w:styleId="CSQnumberdigitindent">
    <w:name w:val="CSQ number digit indent"/>
    <w:basedOn w:val="CSQnumberloweralphaindent"/>
    <w:uiPriority w:val="3"/>
    <w:rsid w:val="00152073"/>
    <w:pPr>
      <w:numPr>
        <w:ilvl w:val="1"/>
      </w:numPr>
    </w:pPr>
  </w:style>
  <w:style w:type="paragraph" w:customStyle="1" w:styleId="CSQnumberloweralpha">
    <w:name w:val="CSQ number lower alpha"/>
    <w:basedOn w:val="CSQbody"/>
    <w:uiPriority w:val="3"/>
    <w:rsid w:val="00152073"/>
    <w:pPr>
      <w:numPr>
        <w:ilvl w:val="2"/>
        <w:numId w:val="8"/>
      </w:numPr>
    </w:pPr>
  </w:style>
  <w:style w:type="paragraph" w:customStyle="1" w:styleId="CSQnumberlowerroman">
    <w:name w:val="CSQ number lower roman"/>
    <w:basedOn w:val="CSQbody"/>
    <w:uiPriority w:val="3"/>
    <w:rsid w:val="00152073"/>
    <w:pPr>
      <w:numPr>
        <w:ilvl w:val="4"/>
        <w:numId w:val="8"/>
      </w:numPr>
    </w:pPr>
  </w:style>
  <w:style w:type="paragraph" w:customStyle="1" w:styleId="CSQnumberlowerromanindent">
    <w:name w:val="CSQ number lower roman indent"/>
    <w:basedOn w:val="CSQbody"/>
    <w:uiPriority w:val="3"/>
    <w:rsid w:val="00152073"/>
    <w:pPr>
      <w:numPr>
        <w:ilvl w:val="5"/>
        <w:numId w:val="8"/>
      </w:numPr>
    </w:pPr>
  </w:style>
  <w:style w:type="paragraph" w:customStyle="1" w:styleId="CSQquote">
    <w:name w:val="CSQ quote"/>
    <w:basedOn w:val="CSQbody"/>
    <w:uiPriority w:val="4"/>
    <w:rsid w:val="003C3290"/>
    <w:pPr>
      <w:ind w:left="397"/>
    </w:pPr>
    <w:rPr>
      <w:szCs w:val="18"/>
    </w:rPr>
  </w:style>
  <w:style w:type="paragraph" w:customStyle="1" w:styleId="CSQtablefigurenote">
    <w:name w:val="CSQ table/figure note"/>
    <w:uiPriority w:val="4"/>
    <w:rsid w:val="00F47838"/>
    <w:pPr>
      <w:spacing w:before="60" w:after="60" w:line="240" w:lineRule="exact"/>
    </w:pPr>
    <w:rPr>
      <w:rFonts w:ascii="Arial" w:hAnsi="Arial"/>
      <w:i/>
      <w:sz w:val="16"/>
      <w:lang w:val="en-AU"/>
    </w:rPr>
  </w:style>
  <w:style w:type="paragraph" w:customStyle="1" w:styleId="CSQbodyextrareturnlength">
    <w:name w:val="CSQ body extra return length"/>
    <w:basedOn w:val="CSQbody"/>
    <w:next w:val="CSQbody"/>
    <w:uiPriority w:val="1"/>
    <w:rsid w:val="00951D50"/>
    <w:pPr>
      <w:spacing w:before="240"/>
    </w:pPr>
  </w:style>
  <w:style w:type="paragraph" w:customStyle="1" w:styleId="CSQfooter">
    <w:name w:val="CSQ footer"/>
    <w:uiPriority w:val="11"/>
    <w:rsid w:val="0051568D"/>
    <w:pPr>
      <w:tabs>
        <w:tab w:val="right" w:pos="10206"/>
      </w:tabs>
    </w:pPr>
    <w:rPr>
      <w:rFonts w:ascii="Arial" w:hAnsi="Arial" w:cs="Arial"/>
      <w:sz w:val="18"/>
      <w:szCs w:val="18"/>
      <w:lang w:val="en-AU"/>
    </w:rPr>
  </w:style>
  <w:style w:type="paragraph" w:customStyle="1" w:styleId="CSQheader">
    <w:name w:val="CSQ header"/>
    <w:basedOn w:val="CSQfooter"/>
    <w:uiPriority w:val="11"/>
    <w:rsid w:val="0051568D"/>
  </w:style>
  <w:style w:type="paragraph" w:customStyle="1" w:styleId="Numberedheadinglevel1">
    <w:name w:val="Numbered heading_level 1"/>
    <w:basedOn w:val="Heading1"/>
    <w:link w:val="Numberedheadinglevel1Char"/>
    <w:uiPriority w:val="11"/>
    <w:qFormat/>
    <w:rsid w:val="006D078B"/>
    <w:pPr>
      <w:numPr>
        <w:numId w:val="10"/>
      </w:numPr>
      <w:spacing w:after="240"/>
      <w:ind w:left="357" w:hanging="357"/>
    </w:pPr>
    <w:rPr>
      <w:sz w:val="36"/>
      <w:szCs w:val="36"/>
    </w:rPr>
  </w:style>
  <w:style w:type="paragraph" w:customStyle="1" w:styleId="Numeredheadinglevel11">
    <w:name w:val="Numered heading_level 1.1"/>
    <w:basedOn w:val="Heading1"/>
    <w:link w:val="Numeredheadinglevel11Char"/>
    <w:uiPriority w:val="11"/>
    <w:qFormat/>
    <w:rsid w:val="005A06AD"/>
    <w:pPr>
      <w:numPr>
        <w:ilvl w:val="1"/>
        <w:numId w:val="10"/>
      </w:numPr>
      <w:spacing w:before="240" w:after="160"/>
      <w:ind w:left="432"/>
    </w:pPr>
    <w:rPr>
      <w:color w:val="979A9C" w:themeColor="text1" w:themeTint="99"/>
      <w:sz w:val="26"/>
      <w:szCs w:val="26"/>
    </w:rPr>
  </w:style>
  <w:style w:type="character" w:customStyle="1" w:styleId="Numberedheadinglevel1Char">
    <w:name w:val="Numbered heading_level 1 Char"/>
    <w:basedOn w:val="Heading1Char"/>
    <w:link w:val="Numberedheadinglevel1"/>
    <w:uiPriority w:val="11"/>
    <w:rsid w:val="006D078B"/>
    <w:rPr>
      <w:rFonts w:ascii="Arial" w:eastAsia="MS Gothic" w:hAnsi="Arial" w:cs="Arial"/>
      <w:b/>
      <w:bCs/>
      <w:color w:val="FFCD1A" w:themeColor="accent1"/>
      <w:kern w:val="32"/>
      <w:sz w:val="36"/>
      <w:szCs w:val="36"/>
      <w:lang w:val="en-AU"/>
    </w:rPr>
  </w:style>
  <w:style w:type="paragraph" w:customStyle="1" w:styleId="Numberedheadinglevel111">
    <w:name w:val="Numbered heading_level 1.1.1"/>
    <w:basedOn w:val="Heading3"/>
    <w:link w:val="Numberedheadinglevel111Char"/>
    <w:uiPriority w:val="11"/>
    <w:qFormat/>
    <w:rsid w:val="00032695"/>
    <w:pPr>
      <w:numPr>
        <w:ilvl w:val="2"/>
        <w:numId w:val="10"/>
      </w:numPr>
      <w:ind w:hanging="720"/>
    </w:pPr>
    <w:rPr>
      <w:color w:val="555759" w:themeColor="text1"/>
      <w:szCs w:val="22"/>
    </w:rPr>
  </w:style>
  <w:style w:type="character" w:customStyle="1" w:styleId="Numeredheadinglevel11Char">
    <w:name w:val="Numered heading_level 1.1 Char"/>
    <w:basedOn w:val="Heading1Char"/>
    <w:link w:val="Numeredheadinglevel11"/>
    <w:uiPriority w:val="11"/>
    <w:rsid w:val="005A06AD"/>
    <w:rPr>
      <w:rFonts w:ascii="Arial" w:eastAsia="MS Gothic" w:hAnsi="Arial" w:cs="Arial"/>
      <w:b/>
      <w:bCs/>
      <w:color w:val="979A9C" w:themeColor="text1" w:themeTint="99"/>
      <w:kern w:val="32"/>
      <w:sz w:val="26"/>
      <w:szCs w:val="26"/>
      <w:lang w:val="en-AU"/>
    </w:rPr>
  </w:style>
  <w:style w:type="paragraph" w:customStyle="1" w:styleId="Numberedheading112">
    <w:name w:val="Numbered heading 1.1.2"/>
    <w:basedOn w:val="Numberedheadinglevel111"/>
    <w:link w:val="Numberedheading112Char"/>
    <w:uiPriority w:val="11"/>
    <w:qFormat/>
    <w:rsid w:val="00E627EF"/>
    <w:pPr>
      <w:ind w:left="1638" w:hanging="602"/>
    </w:pPr>
  </w:style>
  <w:style w:type="character" w:customStyle="1" w:styleId="Numberedheadinglevel111Char">
    <w:name w:val="Numbered heading_level 1.1.1 Char"/>
    <w:basedOn w:val="Heading3Char"/>
    <w:link w:val="Numberedheadinglevel111"/>
    <w:uiPriority w:val="11"/>
    <w:rsid w:val="00032695"/>
    <w:rPr>
      <w:rFonts w:ascii="Arial" w:eastAsia="MS Gothic" w:hAnsi="Arial"/>
      <w:b/>
      <w:bCs/>
      <w:color w:val="555759" w:themeColor="text1"/>
      <w:sz w:val="24"/>
      <w:szCs w:val="22"/>
      <w:lang w:val="en-AU"/>
    </w:rPr>
  </w:style>
  <w:style w:type="paragraph" w:styleId="BalloonText">
    <w:name w:val="Balloon Text"/>
    <w:basedOn w:val="Normal"/>
    <w:link w:val="BalloonTextChar"/>
    <w:uiPriority w:val="99"/>
    <w:semiHidden/>
    <w:unhideWhenUsed/>
    <w:rsid w:val="00F1094F"/>
    <w:rPr>
      <w:rFonts w:ascii="Segoe UI" w:hAnsi="Segoe UI" w:cs="Segoe UI"/>
      <w:sz w:val="18"/>
      <w:szCs w:val="18"/>
    </w:rPr>
  </w:style>
  <w:style w:type="character" w:customStyle="1" w:styleId="Numberedheading112Char">
    <w:name w:val="Numbered heading 1.1.2 Char"/>
    <w:basedOn w:val="Heading4Char"/>
    <w:link w:val="Numberedheading112"/>
    <w:uiPriority w:val="11"/>
    <w:rsid w:val="00E627EF"/>
    <w:rPr>
      <w:rFonts w:ascii="Arial" w:eastAsia="MS Gothic" w:hAnsi="Arial"/>
      <w:b/>
      <w:bCs/>
      <w:color w:val="555759" w:themeColor="text1"/>
      <w:sz w:val="24"/>
      <w:szCs w:val="22"/>
      <w:lang w:val="en-AU"/>
    </w:rPr>
  </w:style>
  <w:style w:type="character" w:customStyle="1" w:styleId="BalloonTextChar">
    <w:name w:val="Balloon Text Char"/>
    <w:basedOn w:val="DefaultParagraphFont"/>
    <w:link w:val="BalloonText"/>
    <w:uiPriority w:val="99"/>
    <w:semiHidden/>
    <w:rsid w:val="00F1094F"/>
    <w:rPr>
      <w:rFonts w:ascii="Segoe UI" w:hAnsi="Segoe UI" w:cs="Segoe UI"/>
      <w:sz w:val="18"/>
      <w:szCs w:val="18"/>
      <w:lang w:val="en-AU"/>
    </w:rPr>
  </w:style>
  <w:style w:type="paragraph" w:customStyle="1" w:styleId="BasicParagraph">
    <w:name w:val="[Basic Paragraph]"/>
    <w:basedOn w:val="Normal"/>
    <w:uiPriority w:val="99"/>
    <w:rsid w:val="00C702D9"/>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character" w:customStyle="1" w:styleId="HeaderChar">
    <w:name w:val="Header Char"/>
    <w:basedOn w:val="DefaultParagraphFont"/>
    <w:link w:val="Header"/>
    <w:uiPriority w:val="99"/>
    <w:rsid w:val="00C20798"/>
    <w:rPr>
      <w:rFonts w:ascii="Arial" w:hAnsi="Arial" w:cs="Arial"/>
      <w:sz w:val="18"/>
      <w:szCs w:val="18"/>
      <w:lang w:val="en-AU"/>
    </w:rPr>
  </w:style>
  <w:style w:type="paragraph" w:styleId="ListParagraph">
    <w:name w:val="List Paragraph"/>
    <w:basedOn w:val="Normal"/>
    <w:uiPriority w:val="34"/>
    <w:qFormat/>
    <w:rsid w:val="00C20798"/>
    <w:pPr>
      <w:ind w:left="720"/>
      <w:contextualSpacing/>
    </w:pPr>
    <w:rPr>
      <w:rFonts w:ascii="Times New Roman" w:eastAsiaTheme="minorEastAsia" w:hAnsi="Times New Roman"/>
      <w:sz w:val="24"/>
      <w:szCs w:val="24"/>
      <w:lang w:eastAsia="en-AU"/>
    </w:rPr>
  </w:style>
  <w:style w:type="character" w:styleId="FootnoteReference">
    <w:name w:val="footnote reference"/>
    <w:basedOn w:val="DefaultParagraphFont"/>
    <w:uiPriority w:val="99"/>
    <w:semiHidden/>
    <w:unhideWhenUsed/>
    <w:rsid w:val="00C20798"/>
    <w:rPr>
      <w:vertAlign w:val="superscript"/>
    </w:rPr>
  </w:style>
  <w:style w:type="table" w:styleId="ListTable3-Accent1">
    <w:name w:val="List Table 3 Accent 1"/>
    <w:basedOn w:val="TableNormal"/>
    <w:uiPriority w:val="48"/>
    <w:rsid w:val="00C20798"/>
    <w:tblPr>
      <w:tblStyleRowBandSize w:val="1"/>
      <w:tblStyleColBandSize w:val="1"/>
      <w:tblBorders>
        <w:top w:val="single" w:sz="4" w:space="0" w:color="FFCD1A" w:themeColor="accent1"/>
        <w:left w:val="single" w:sz="4" w:space="0" w:color="FFCD1A" w:themeColor="accent1"/>
        <w:bottom w:val="single" w:sz="4" w:space="0" w:color="FFCD1A" w:themeColor="accent1"/>
        <w:right w:val="single" w:sz="4" w:space="0" w:color="FFCD1A" w:themeColor="accent1"/>
      </w:tblBorders>
    </w:tblPr>
    <w:tblStylePr w:type="firstRow">
      <w:rPr>
        <w:b/>
        <w:bCs/>
        <w:color w:val="FFFFFF" w:themeColor="background1"/>
      </w:rPr>
      <w:tblPr/>
      <w:tcPr>
        <w:shd w:val="clear" w:color="auto" w:fill="FFCD1A" w:themeFill="accent1"/>
      </w:tcPr>
    </w:tblStylePr>
    <w:tblStylePr w:type="lastRow">
      <w:rPr>
        <w:b/>
        <w:bCs/>
      </w:rPr>
      <w:tblPr/>
      <w:tcPr>
        <w:tcBorders>
          <w:top w:val="double" w:sz="4" w:space="0" w:color="FFCD1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D1A" w:themeColor="accent1"/>
          <w:right w:val="single" w:sz="4" w:space="0" w:color="FFCD1A" w:themeColor="accent1"/>
        </w:tcBorders>
      </w:tcPr>
    </w:tblStylePr>
    <w:tblStylePr w:type="band1Horz">
      <w:tblPr/>
      <w:tcPr>
        <w:tcBorders>
          <w:top w:val="single" w:sz="4" w:space="0" w:color="FFCD1A" w:themeColor="accent1"/>
          <w:bottom w:val="single" w:sz="4" w:space="0" w:color="FFCD1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D1A" w:themeColor="accent1"/>
          <w:left w:val="nil"/>
        </w:tcBorders>
      </w:tcPr>
    </w:tblStylePr>
    <w:tblStylePr w:type="swCell">
      <w:tblPr/>
      <w:tcPr>
        <w:tcBorders>
          <w:top w:val="double" w:sz="4" w:space="0" w:color="FFCD1A" w:themeColor="accent1"/>
          <w:right w:val="nil"/>
        </w:tcBorders>
      </w:tcPr>
    </w:tblStylePr>
  </w:style>
  <w:style w:type="table" w:customStyle="1" w:styleId="TableGrid1">
    <w:name w:val="Table Grid1"/>
    <w:basedOn w:val="TableNormal"/>
    <w:next w:val="TableGrid"/>
    <w:uiPriority w:val="39"/>
    <w:rsid w:val="00C20798"/>
    <w:rPr>
      <w:rFonts w:asciiTheme="minorHAnsi" w:eastAsiaTheme="minorHAnsi" w:hAnsiTheme="minorHAnsi" w:cstheme="minorBid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C20798"/>
    <w:rPr>
      <w:i/>
      <w:iCs/>
      <w:color w:val="7E8084" w:themeColor="text1" w:themeTint="BF"/>
    </w:rPr>
  </w:style>
  <w:style w:type="paragraph" w:styleId="Caption">
    <w:name w:val="caption"/>
    <w:basedOn w:val="CSQbody"/>
    <w:next w:val="Normal"/>
    <w:uiPriority w:val="35"/>
    <w:unhideWhenUsed/>
    <w:qFormat/>
    <w:rsid w:val="00666C85"/>
    <w:rPr>
      <w:i/>
      <w:color w:val="555759" w:themeColor="text1"/>
    </w:rPr>
  </w:style>
  <w:style w:type="character" w:styleId="CommentReference">
    <w:name w:val="annotation reference"/>
    <w:basedOn w:val="DefaultParagraphFont"/>
    <w:uiPriority w:val="99"/>
    <w:semiHidden/>
    <w:unhideWhenUsed/>
    <w:rsid w:val="008A6DB5"/>
    <w:rPr>
      <w:sz w:val="16"/>
      <w:szCs w:val="16"/>
    </w:rPr>
  </w:style>
  <w:style w:type="paragraph" w:styleId="CommentText">
    <w:name w:val="annotation text"/>
    <w:basedOn w:val="Normal"/>
    <w:link w:val="CommentTextChar"/>
    <w:uiPriority w:val="99"/>
    <w:semiHidden/>
    <w:unhideWhenUsed/>
    <w:rsid w:val="008A6DB5"/>
  </w:style>
  <w:style w:type="character" w:customStyle="1" w:styleId="CommentTextChar">
    <w:name w:val="Comment Text Char"/>
    <w:basedOn w:val="DefaultParagraphFont"/>
    <w:link w:val="CommentText"/>
    <w:uiPriority w:val="99"/>
    <w:semiHidden/>
    <w:rsid w:val="008A6DB5"/>
    <w:rPr>
      <w:rFonts w:ascii="Cambria" w:hAnsi="Cambria"/>
      <w:lang w:val="en-AU"/>
    </w:rPr>
  </w:style>
  <w:style w:type="paragraph" w:styleId="CommentSubject">
    <w:name w:val="annotation subject"/>
    <w:basedOn w:val="CommentText"/>
    <w:next w:val="CommentText"/>
    <w:link w:val="CommentSubjectChar"/>
    <w:uiPriority w:val="99"/>
    <w:semiHidden/>
    <w:unhideWhenUsed/>
    <w:rsid w:val="008A6DB5"/>
    <w:rPr>
      <w:b/>
      <w:bCs/>
    </w:rPr>
  </w:style>
  <w:style w:type="character" w:customStyle="1" w:styleId="CommentSubjectChar">
    <w:name w:val="Comment Subject Char"/>
    <w:basedOn w:val="CommentTextChar"/>
    <w:link w:val="CommentSubject"/>
    <w:uiPriority w:val="99"/>
    <w:semiHidden/>
    <w:rsid w:val="008A6DB5"/>
    <w:rPr>
      <w:rFonts w:ascii="Cambria" w:hAnsi="Cambria"/>
      <w:b/>
      <w:bCs/>
      <w:lang w:val="en-AU"/>
    </w:rPr>
  </w:style>
  <w:style w:type="paragraph" w:styleId="TOCHeading">
    <w:name w:val="TOC Heading"/>
    <w:basedOn w:val="Heading1"/>
    <w:next w:val="Normal"/>
    <w:uiPriority w:val="39"/>
    <w:unhideWhenUsed/>
    <w:qFormat/>
    <w:rsid w:val="00EC27F7"/>
    <w:pPr>
      <w:spacing w:before="240" w:after="0" w:line="259" w:lineRule="auto"/>
      <w:outlineLvl w:val="9"/>
    </w:pPr>
    <w:rPr>
      <w:rFonts w:asciiTheme="majorHAnsi" w:eastAsiaTheme="majorEastAsia" w:hAnsiTheme="majorHAnsi" w:cstheme="majorBidi"/>
      <w:b w:val="0"/>
      <w:bCs w:val="0"/>
      <w:color w:val="D2A400" w:themeColor="accent1" w:themeShade="BF"/>
      <w:kern w:val="0"/>
      <w:sz w:val="32"/>
      <w:szCs w:val="32"/>
      <w:lang w:val="en-US"/>
    </w:rPr>
  </w:style>
  <w:style w:type="paragraph" w:styleId="NoSpacing">
    <w:name w:val="No Spacing"/>
    <w:link w:val="NoSpacingChar"/>
    <w:uiPriority w:val="1"/>
    <w:qFormat/>
    <w:rsid w:val="00EC27F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EC27F7"/>
    <w:rPr>
      <w:rFonts w:asciiTheme="minorHAnsi" w:eastAsiaTheme="minorEastAsia" w:hAnsiTheme="minorHAnsi" w:cstheme="minorBidi"/>
      <w:sz w:val="22"/>
      <w:szCs w:val="22"/>
    </w:rPr>
  </w:style>
  <w:style w:type="paragraph" w:styleId="Bibliography">
    <w:name w:val="Bibliography"/>
    <w:basedOn w:val="Normal"/>
    <w:next w:val="Normal"/>
    <w:uiPriority w:val="70"/>
    <w:semiHidden/>
    <w:rsid w:val="00331996"/>
  </w:style>
  <w:style w:type="character" w:customStyle="1" w:styleId="CSQbodyChar">
    <w:name w:val="CSQ body Char"/>
    <w:basedOn w:val="DefaultParagraphFont"/>
    <w:link w:val="CSQbody"/>
    <w:rsid w:val="00687990"/>
    <w:rPr>
      <w:rFonts w:ascii="Arial" w:eastAsia="Times" w:hAnsi="Arial"/>
      <w:lang w:val="en-AU"/>
    </w:rPr>
  </w:style>
  <w:style w:type="paragraph" w:styleId="BodyText">
    <w:name w:val="Body Text"/>
    <w:link w:val="BodyTextChar"/>
    <w:uiPriority w:val="1"/>
    <w:qFormat/>
    <w:rsid w:val="00687990"/>
    <w:pPr>
      <w:widowControl w:val="0"/>
      <w:spacing w:after="227" w:line="272" w:lineRule="auto"/>
      <w:ind w:right="304"/>
    </w:pPr>
    <w:rPr>
      <w:rFonts w:ascii="Arial" w:eastAsia="Gotham Book" w:hAnsi="Arial" w:cs="Arial"/>
      <w:color w:val="231F20"/>
      <w:spacing w:val="-2"/>
      <w:sz w:val="22"/>
      <w:szCs w:val="22"/>
    </w:rPr>
  </w:style>
  <w:style w:type="character" w:customStyle="1" w:styleId="BodyTextChar">
    <w:name w:val="Body Text Char"/>
    <w:basedOn w:val="DefaultParagraphFont"/>
    <w:link w:val="BodyText"/>
    <w:uiPriority w:val="1"/>
    <w:rsid w:val="00687990"/>
    <w:rPr>
      <w:rFonts w:ascii="Arial" w:eastAsia="Gotham Book" w:hAnsi="Arial" w:cs="Arial"/>
      <w:color w:val="231F20"/>
      <w:spacing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206637">
      <w:bodyDiv w:val="1"/>
      <w:marLeft w:val="0"/>
      <w:marRight w:val="0"/>
      <w:marTop w:val="0"/>
      <w:marBottom w:val="0"/>
      <w:divBdr>
        <w:top w:val="none" w:sz="0" w:space="0" w:color="auto"/>
        <w:left w:val="none" w:sz="0" w:space="0" w:color="auto"/>
        <w:bottom w:val="none" w:sz="0" w:space="0" w:color="auto"/>
        <w:right w:val="none" w:sz="0" w:space="0" w:color="auto"/>
      </w:divBdr>
    </w:div>
    <w:div w:id="1005985513">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826387625">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microsoft.com/office/2007/relationships/hdphoto" Target="media/hdphoto2.wdp"/><Relationship Id="rId26" Type="http://schemas.openxmlformats.org/officeDocument/2006/relationships/image" Target="media/image9.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5.jp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image" Target="media/image14.png"/><Relationship Id="rId38" Type="http://schemas.openxmlformats.org/officeDocument/2006/relationships/header" Target="header3.xml"/><Relationship Id="rId2" Type="http://schemas.openxmlformats.org/officeDocument/2006/relationships/customXml" Target="../customXml/item2.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10.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hyperlink" Target="https://www.csq.org.au/wp-content/uploads/2019/11/CSQ-2019_Apprentice%20Annual_A4_Final_Reduced.pdf" TargetMode="Externa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microsoft.com/office/2007/relationships/hdphoto" Target="media/hdphoto4.wdp"/><Relationship Id="rId27" Type="http://schemas.openxmlformats.org/officeDocument/2006/relationships/image" Target="media/image10.jpg"/><Relationship Id="rId30" Type="http://schemas.openxmlformats.org/officeDocument/2006/relationships/image" Target="media/image12.png"/><Relationship Id="rId35" Type="http://schemas.openxmlformats.org/officeDocument/2006/relationships/image" Target="media/image16.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1" Type="http://schemas.openxmlformats.org/officeDocument/2006/relationships/image" Target="media/image8.jpg"/></Relationships>
</file>

<file path=word/_rels/header5.xml.rels><?xml version="1.0" encoding="UTF-8" standalone="yes"?>
<Relationships xmlns="http://schemas.openxmlformats.org/package/2006/relationships"><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C\Desktop\Productivity%20commission%20response_draft.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1-22D2-42B6-8333-B82E39646EED}"/>
              </c:ext>
            </c:extLst>
          </c:dPt>
          <c:dPt>
            <c:idx val="1"/>
            <c:invertIfNegative val="0"/>
            <c:bubble3D val="0"/>
            <c:spPr>
              <a:solidFill>
                <a:schemeClr val="bg2">
                  <a:lumMod val="90000"/>
                </a:schemeClr>
              </a:solidFill>
              <a:ln>
                <a:noFill/>
              </a:ln>
              <a:effectLst/>
            </c:spPr>
            <c:extLst xmlns:c16r2="http://schemas.microsoft.com/office/drawing/2015/06/chart">
              <c:ext xmlns:c16="http://schemas.microsoft.com/office/drawing/2014/chart" uri="{C3380CC4-5D6E-409C-BE32-E72D297353CC}">
                <c16:uniqueId val="{00000003-22D2-42B6-8333-B82E39646EED}"/>
              </c:ext>
            </c:extLst>
          </c:dPt>
          <c:dPt>
            <c:idx val="2"/>
            <c:invertIfNegative val="0"/>
            <c:bubble3D val="0"/>
            <c:spPr>
              <a:solidFill>
                <a:schemeClr val="bg2">
                  <a:lumMod val="75000"/>
                </a:schemeClr>
              </a:solidFill>
              <a:ln>
                <a:noFill/>
              </a:ln>
              <a:effectLst/>
            </c:spPr>
            <c:extLst xmlns:c16r2="http://schemas.microsoft.com/office/drawing/2015/06/chart">
              <c:ext xmlns:c16="http://schemas.microsoft.com/office/drawing/2014/chart" uri="{C3380CC4-5D6E-409C-BE32-E72D297353CC}">
                <c16:uniqueId val="{00000005-22D2-42B6-8333-B82E39646EED}"/>
              </c:ext>
            </c:extLst>
          </c:dPt>
          <c:dPt>
            <c:idx val="3"/>
            <c:invertIfNegative val="0"/>
            <c:bubble3D val="0"/>
            <c:spPr>
              <a:solidFill>
                <a:schemeClr val="bg2">
                  <a:lumMod val="50000"/>
                </a:schemeClr>
              </a:solidFill>
              <a:ln>
                <a:noFill/>
              </a:ln>
              <a:effectLst/>
            </c:spPr>
            <c:extLst xmlns:c16r2="http://schemas.microsoft.com/office/drawing/2015/06/chart">
              <c:ext xmlns:c16="http://schemas.microsoft.com/office/drawing/2014/chart" uri="{C3380CC4-5D6E-409C-BE32-E72D297353CC}">
                <c16:uniqueId val="{00000007-22D2-42B6-8333-B82E39646EED}"/>
              </c:ext>
            </c:extLst>
          </c:dPt>
          <c:dPt>
            <c:idx val="4"/>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9-22D2-42B6-8333-B82E39646EED}"/>
              </c:ext>
            </c:extLst>
          </c:dPt>
          <c:cat>
            <c:strRef>
              <c:f>Sheet1!$D$13:$D$17</c:f>
              <c:strCache>
                <c:ptCount val="5"/>
                <c:pt idx="0">
                  <c:v>Construction</c:v>
                </c:pt>
                <c:pt idx="1">
                  <c:v>Manufacturing</c:v>
                </c:pt>
                <c:pt idx="2">
                  <c:v>Mining</c:v>
                </c:pt>
                <c:pt idx="3">
                  <c:v>Education and training</c:v>
                </c:pt>
                <c:pt idx="4">
                  <c:v>Health care and social assistance </c:v>
                </c:pt>
              </c:strCache>
            </c:strRef>
          </c:cat>
          <c:val>
            <c:numRef>
              <c:f>Sheet1!$E$13:$E$17</c:f>
              <c:numCache>
                <c:formatCode>General</c:formatCode>
                <c:ptCount val="5"/>
                <c:pt idx="0" formatCode="#,##0">
                  <c:v>16660</c:v>
                </c:pt>
                <c:pt idx="1">
                  <c:v>6311</c:v>
                </c:pt>
                <c:pt idx="2">
                  <c:v>2103</c:v>
                </c:pt>
                <c:pt idx="3">
                  <c:v>990</c:v>
                </c:pt>
                <c:pt idx="4">
                  <c:v>2792</c:v>
                </c:pt>
              </c:numCache>
            </c:numRef>
          </c:val>
          <c:extLst xmlns:c16r2="http://schemas.microsoft.com/office/drawing/2015/06/chart">
            <c:ext xmlns:c16="http://schemas.microsoft.com/office/drawing/2014/chart" uri="{C3380CC4-5D6E-409C-BE32-E72D297353CC}">
              <c16:uniqueId val="{0000000A-22D2-42B6-8333-B82E39646EED}"/>
            </c:ext>
          </c:extLst>
        </c:ser>
        <c:dLbls>
          <c:showLegendKey val="0"/>
          <c:showVal val="0"/>
          <c:showCatName val="0"/>
          <c:showSerName val="0"/>
          <c:showPercent val="0"/>
          <c:showBubbleSize val="0"/>
        </c:dLbls>
        <c:gapWidth val="182"/>
        <c:axId val="349307040"/>
        <c:axId val="349307432"/>
      </c:barChart>
      <c:catAx>
        <c:axId val="349307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9307432"/>
        <c:crosses val="autoZero"/>
        <c:auto val="1"/>
        <c:lblAlgn val="ctr"/>
        <c:lblOffset val="100"/>
        <c:noMultiLvlLbl val="0"/>
      </c:catAx>
      <c:valAx>
        <c:axId val="3493074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9307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1-6B0C-4A08-8653-870782F7F0D8}"/>
              </c:ext>
            </c:extLst>
          </c:dPt>
          <c:dPt>
            <c:idx val="1"/>
            <c:invertIfNegative val="0"/>
            <c:bubble3D val="0"/>
            <c:spPr>
              <a:solidFill>
                <a:schemeClr val="bg2">
                  <a:lumMod val="90000"/>
                </a:schemeClr>
              </a:solidFill>
              <a:ln>
                <a:noFill/>
              </a:ln>
              <a:effectLst/>
            </c:spPr>
            <c:extLst xmlns:c16r2="http://schemas.microsoft.com/office/drawing/2015/06/chart">
              <c:ext xmlns:c16="http://schemas.microsoft.com/office/drawing/2014/chart" uri="{C3380CC4-5D6E-409C-BE32-E72D297353CC}">
                <c16:uniqueId val="{00000003-6B0C-4A08-8653-870782F7F0D8}"/>
              </c:ext>
            </c:extLst>
          </c:dPt>
          <c:dPt>
            <c:idx val="2"/>
            <c:invertIfNegative val="0"/>
            <c:bubble3D val="0"/>
            <c:spPr>
              <a:solidFill>
                <a:schemeClr val="bg2">
                  <a:lumMod val="75000"/>
                </a:schemeClr>
              </a:solidFill>
              <a:ln>
                <a:noFill/>
              </a:ln>
              <a:effectLst/>
            </c:spPr>
            <c:extLst xmlns:c16r2="http://schemas.microsoft.com/office/drawing/2015/06/chart">
              <c:ext xmlns:c16="http://schemas.microsoft.com/office/drawing/2014/chart" uri="{C3380CC4-5D6E-409C-BE32-E72D297353CC}">
                <c16:uniqueId val="{00000005-6B0C-4A08-8653-870782F7F0D8}"/>
              </c:ext>
            </c:extLst>
          </c:dPt>
          <c:dPt>
            <c:idx val="3"/>
            <c:invertIfNegative val="0"/>
            <c:bubble3D val="0"/>
            <c:spPr>
              <a:solidFill>
                <a:schemeClr val="bg1">
                  <a:lumMod val="65000"/>
                </a:schemeClr>
              </a:solidFill>
              <a:ln>
                <a:noFill/>
              </a:ln>
              <a:effectLst/>
            </c:spPr>
            <c:extLst xmlns:c16r2="http://schemas.microsoft.com/office/drawing/2015/06/chart">
              <c:ext xmlns:c16="http://schemas.microsoft.com/office/drawing/2014/chart" uri="{C3380CC4-5D6E-409C-BE32-E72D297353CC}">
                <c16:uniqueId val="{00000007-6B0C-4A08-8653-870782F7F0D8}"/>
              </c:ext>
            </c:extLst>
          </c:dPt>
          <c:dPt>
            <c:idx val="4"/>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9-6B0C-4A08-8653-870782F7F0D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Sheet1!$D$4:$D$8</c:f>
              <c:strCache>
                <c:ptCount val="5"/>
                <c:pt idx="0">
                  <c:v>Construction</c:v>
                </c:pt>
                <c:pt idx="1">
                  <c:v>Manufacturing</c:v>
                </c:pt>
                <c:pt idx="2">
                  <c:v>Mining</c:v>
                </c:pt>
                <c:pt idx="3">
                  <c:v>Education and training</c:v>
                </c:pt>
                <c:pt idx="4">
                  <c:v>Health care and social assistance </c:v>
                </c:pt>
              </c:strCache>
            </c:strRef>
          </c:cat>
          <c:val>
            <c:numRef>
              <c:f>Sheet1!$E$4:$E$8</c:f>
              <c:numCache>
                <c:formatCode>General</c:formatCode>
                <c:ptCount val="5"/>
                <c:pt idx="0">
                  <c:v>7.3</c:v>
                </c:pt>
                <c:pt idx="1">
                  <c:v>3.8</c:v>
                </c:pt>
                <c:pt idx="2">
                  <c:v>3.3</c:v>
                </c:pt>
                <c:pt idx="3">
                  <c:v>0.4</c:v>
                </c:pt>
                <c:pt idx="4">
                  <c:v>0.8</c:v>
                </c:pt>
              </c:numCache>
            </c:numRef>
          </c:val>
          <c:extLst xmlns:c16r2="http://schemas.microsoft.com/office/drawing/2015/06/chart">
            <c:ext xmlns:c16="http://schemas.microsoft.com/office/drawing/2014/chart" uri="{C3380CC4-5D6E-409C-BE32-E72D297353CC}">
              <c16:uniqueId val="{0000000A-6B0C-4A08-8653-870782F7F0D8}"/>
            </c:ext>
          </c:extLst>
        </c:ser>
        <c:dLbls>
          <c:dLblPos val="outEnd"/>
          <c:showLegendKey val="0"/>
          <c:showVal val="1"/>
          <c:showCatName val="0"/>
          <c:showSerName val="0"/>
          <c:showPercent val="0"/>
          <c:showBubbleSize val="0"/>
        </c:dLbls>
        <c:gapWidth val="182"/>
        <c:axId val="349304688"/>
        <c:axId val="349305080"/>
      </c:barChart>
      <c:catAx>
        <c:axId val="349304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9305080"/>
        <c:crosses val="autoZero"/>
        <c:auto val="1"/>
        <c:lblAlgn val="ctr"/>
        <c:lblOffset val="100"/>
        <c:noMultiLvlLbl val="0"/>
      </c:catAx>
      <c:valAx>
        <c:axId val="349305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9304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SQ">
      <a:dk1>
        <a:srgbClr val="555759"/>
      </a:dk1>
      <a:lt1>
        <a:sysClr val="window" lastClr="FFFFFF"/>
      </a:lt1>
      <a:dk2>
        <a:srgbClr val="000000"/>
      </a:dk2>
      <a:lt2>
        <a:srgbClr val="EEECE1"/>
      </a:lt2>
      <a:accent1>
        <a:srgbClr val="FFCD1A"/>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40F732621E0E4B97D898F54D10C62C" ma:contentTypeVersion="0" ma:contentTypeDescription="Create a new document." ma:contentTypeScope="" ma:versionID="aaaa2e39fb46c5befb6ec2b98d90697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Dep19</b:Tag>
    <b:SourceType>InternetSite</b:SourceType>
    <b:Guid>{2252577B-6154-4135-B732-36A34A319B3F}</b:Guid>
    <b:Title>Department of Education</b:Title>
    <b:Year>2019</b:Year>
    <b:Author>
      <b:Author>
        <b:Corporate>Department of Education</b:Corporate>
      </b:Author>
    </b:Author>
    <b:InternetSiteTitle>Completion rates of higher education students</b:InternetSiteTitle>
    <b:URL>https://app.powerbi.com/view?r=eyJrIjoiM2MwMWQ2ZDMtNGViNy00Mjc5LThkOTgtNzJhMmM5ZDQwYWUxIiwidCI6ImRkMGNmZDE1LTQ1NTgtNGIxMi04YmFkLWVhMjY5ODRmYzQxNyJ9</b:URL>
    <b:YearAccessed>2020</b:YearAccessed>
    <b:MonthAccessed>June</b:MonthAccessed>
    <b:DayAccessed>22</b:DayAccessed>
    <b:RefOrder>1</b:RefOrder>
  </b:Source>
</b:Sources>
</file>

<file path=customXml/itemProps1.xml><?xml version="1.0" encoding="utf-8"?>
<ds:datastoreItem xmlns:ds="http://schemas.openxmlformats.org/officeDocument/2006/customXml" ds:itemID="{23B264AB-5FE7-4E8C-98D9-345950A4A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E043C9-9B56-439E-ADAE-3797E0E9FD90}">
  <ds:schemaRefs>
    <ds:schemaRef ds:uri="http://schemas.microsoft.com/sharepoint/v3/contenttype/forms"/>
  </ds:schemaRefs>
</ds:datastoreItem>
</file>

<file path=customXml/itemProps3.xml><?xml version="1.0" encoding="utf-8"?>
<ds:datastoreItem xmlns:ds="http://schemas.openxmlformats.org/officeDocument/2006/customXml" ds:itemID="{AE206195-56B8-4D5B-B8DE-53D9CED68FD4}">
  <ds:schemaRefs>
    <ds:schemaRef ds:uri="http://www.w3.org/XML/1998/namespace"/>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5BA19596-B7B7-4396-B390-05988F1C3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Productivity commission response_draft.dotx</Template>
  <TotalTime>9</TotalTime>
  <Pages>21</Pages>
  <Words>4038</Words>
  <Characters>24897</Characters>
  <Application>Microsoft Office Word</Application>
  <DocSecurity>0</DocSecurity>
  <Lines>207</Lines>
  <Paragraphs>57</Paragraphs>
  <ScaleCrop>false</ScaleCrop>
  <HeadingPairs>
    <vt:vector size="2" baseType="variant">
      <vt:variant>
        <vt:lpstr>Title</vt:lpstr>
      </vt:variant>
      <vt:variant>
        <vt:i4>1</vt:i4>
      </vt:variant>
    </vt:vector>
  </HeadingPairs>
  <TitlesOfParts>
    <vt:vector size="1" baseType="lpstr">
      <vt:lpstr>Submission IR124 - Construction Skills Queensland (CSQ) - Skills and Workforce Agreement - Commissioned study</vt:lpstr>
    </vt:vector>
  </TitlesOfParts>
  <Company>Construction Skills Queensland (CSQ)</Company>
  <LinksUpToDate>false</LinksUpToDate>
  <CharactersWithSpaces>28878</CharactersWithSpaces>
  <SharedDoc>false</SharedDoc>
  <HyperlinkBase/>
  <HLinks>
    <vt:vector size="48" baseType="variant">
      <vt:variant>
        <vt:i4>2555941</vt:i4>
      </vt:variant>
      <vt:variant>
        <vt:i4>36</vt:i4>
      </vt:variant>
      <vt:variant>
        <vt:i4>0</vt:i4>
      </vt:variant>
      <vt:variant>
        <vt:i4>5</vt:i4>
      </vt:variant>
      <vt:variant>
        <vt:lpwstr>http://survey.tool.tempdomain.info/TakeSurveycss.asp?SurveyID=3K33p3LIm66MG</vt:lpwstr>
      </vt:variant>
      <vt:variant>
        <vt:lpwstr/>
      </vt:variant>
      <vt:variant>
        <vt:i4>3145752</vt:i4>
      </vt:variant>
      <vt:variant>
        <vt:i4>33</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6291573</vt:i4>
      </vt:variant>
      <vt:variant>
        <vt:i4>30</vt:i4>
      </vt:variant>
      <vt:variant>
        <vt:i4>0</vt:i4>
      </vt:variant>
      <vt:variant>
        <vt:i4>5</vt:i4>
      </vt:variant>
      <vt:variant>
        <vt:lpwstr>http://intranet.health.vic.gov.au/resources-and-tools/forms-and-templates/microsoft-word-templates</vt:lpwstr>
      </vt:variant>
      <vt:variant>
        <vt:lpwstr/>
      </vt:variant>
      <vt:variant>
        <vt:i4>7536758</vt:i4>
      </vt:variant>
      <vt:variant>
        <vt:i4>27</vt:i4>
      </vt:variant>
      <vt:variant>
        <vt:i4>0</vt:i4>
      </vt:variant>
      <vt:variant>
        <vt:i4>5</vt:i4>
      </vt:variant>
      <vt:variant>
        <vt:lpwstr>http://intranet.dhs.vic.gov.au/resources-and-tools/forms-and-templates/microsoft-word-templates</vt:lpwstr>
      </vt:variant>
      <vt:variant>
        <vt:lpwstr/>
      </vt:variant>
      <vt:variant>
        <vt:i4>1114167</vt:i4>
      </vt:variant>
      <vt:variant>
        <vt:i4>20</vt:i4>
      </vt:variant>
      <vt:variant>
        <vt:i4>0</vt:i4>
      </vt:variant>
      <vt:variant>
        <vt:i4>5</vt:i4>
      </vt:variant>
      <vt:variant>
        <vt:lpwstr/>
      </vt:variant>
      <vt:variant>
        <vt:lpwstr>_Toc440566511</vt:lpwstr>
      </vt:variant>
      <vt:variant>
        <vt:i4>1114167</vt:i4>
      </vt:variant>
      <vt:variant>
        <vt:i4>14</vt:i4>
      </vt:variant>
      <vt:variant>
        <vt:i4>0</vt:i4>
      </vt:variant>
      <vt:variant>
        <vt:i4>5</vt:i4>
      </vt:variant>
      <vt:variant>
        <vt:lpwstr/>
      </vt:variant>
      <vt:variant>
        <vt:lpwstr>_Toc440566510</vt:lpwstr>
      </vt:variant>
      <vt:variant>
        <vt:i4>1048631</vt:i4>
      </vt:variant>
      <vt:variant>
        <vt:i4>8</vt:i4>
      </vt:variant>
      <vt:variant>
        <vt:i4>0</vt:i4>
      </vt:variant>
      <vt:variant>
        <vt:i4>5</vt:i4>
      </vt:variant>
      <vt:variant>
        <vt:lpwstr/>
      </vt:variant>
      <vt:variant>
        <vt:lpwstr>_Toc440566509</vt:lpwstr>
      </vt:variant>
      <vt:variant>
        <vt:i4>1048631</vt:i4>
      </vt:variant>
      <vt:variant>
        <vt:i4>2</vt:i4>
      </vt:variant>
      <vt:variant>
        <vt:i4>0</vt:i4>
      </vt:variant>
      <vt:variant>
        <vt:i4>5</vt:i4>
      </vt:variant>
      <vt:variant>
        <vt:lpwstr/>
      </vt:variant>
      <vt:variant>
        <vt:lpwstr>_Toc440566508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IR124 - Construction Skills Queensland (CSQ) - Skills and Workforce Agreement - Commissioned study</dc:title>
  <dc:subject/>
  <dc:creator>Construction Skills Queensland (CSQ)</dc:creator>
  <cp:keywords>CSQ Letterhead template</cp:keywords>
  <cp:lastModifiedBy>Productivity Commission</cp:lastModifiedBy>
  <cp:revision>4</cp:revision>
  <cp:lastPrinted>2020-07-27T05:46:00Z</cp:lastPrinted>
  <dcterms:created xsi:type="dcterms:W3CDTF">2020-07-17T04:41:00Z</dcterms:created>
  <dcterms:modified xsi:type="dcterms:W3CDTF">2020-07-27T05:47:00Z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0x0101002440F732621E0E4B97D898F54D10C62C</vt:lpwstr>
  </property>
</Properties>
</file>