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F069D" w:rsidRDefault="00AF069D">
      <w:pPr>
        <w:widowControl w:val="0"/>
        <w:spacing w:line="276" w:lineRule="auto"/>
      </w:pPr>
      <w:bookmarkStart w:id="0" w:name="_GoBack"/>
      <w:bookmarkEnd w:id="0"/>
    </w:p>
    <w:tbl>
      <w:tblPr>
        <w:tblStyle w:val="a"/>
        <w:tblW w:w="9752" w:type="dxa"/>
        <w:tblBorders>
          <w:top w:val="nil"/>
          <w:left w:val="nil"/>
          <w:bottom w:val="nil"/>
          <w:right w:val="nil"/>
          <w:insideH w:val="nil"/>
          <w:insideV w:val="nil"/>
        </w:tblBorders>
        <w:tblLayout w:type="fixed"/>
        <w:tblLook w:val="0000" w:firstRow="0" w:lastRow="0" w:firstColumn="0" w:lastColumn="0" w:noHBand="0" w:noVBand="0"/>
      </w:tblPr>
      <w:tblGrid>
        <w:gridCol w:w="7271"/>
        <w:gridCol w:w="2481"/>
      </w:tblGrid>
      <w:tr w:rsidR="00AF069D">
        <w:trPr>
          <w:trHeight w:val="220"/>
        </w:trPr>
        <w:tc>
          <w:tcPr>
            <w:tcW w:w="7271" w:type="dxa"/>
          </w:tcPr>
          <w:p w:rsidR="00AF069D" w:rsidRDefault="00AF069D">
            <w:pPr>
              <w:contextualSpacing w:val="0"/>
            </w:pPr>
          </w:p>
        </w:tc>
        <w:tc>
          <w:tcPr>
            <w:tcW w:w="2481" w:type="dxa"/>
          </w:tcPr>
          <w:p w:rsidR="00AF069D" w:rsidRDefault="00DE38C8">
            <w:pPr>
              <w:spacing w:after="80"/>
              <w:contextualSpacing w:val="0"/>
            </w:pPr>
            <w:r>
              <w:rPr>
                <w:b/>
                <w:smallCaps/>
                <w:color w:val="364395"/>
                <w:sz w:val="16"/>
                <w:szCs w:val="16"/>
              </w:rPr>
              <w:t>Pearson Australia</w:t>
            </w:r>
          </w:p>
        </w:tc>
      </w:tr>
      <w:tr w:rsidR="00AF069D">
        <w:tc>
          <w:tcPr>
            <w:tcW w:w="7271" w:type="dxa"/>
          </w:tcPr>
          <w:p w:rsidR="00AF069D" w:rsidRDefault="00AF069D">
            <w:pPr>
              <w:contextualSpacing w:val="0"/>
            </w:pPr>
            <w:bookmarkStart w:id="1" w:name="h.gjdgxs" w:colFirst="0" w:colLast="0"/>
            <w:bookmarkEnd w:id="1"/>
          </w:p>
        </w:tc>
        <w:tc>
          <w:tcPr>
            <w:tcW w:w="2481" w:type="dxa"/>
          </w:tcPr>
          <w:p w:rsidR="00AF069D" w:rsidRDefault="00DE38C8">
            <w:pPr>
              <w:contextualSpacing w:val="0"/>
            </w:pPr>
            <w:r>
              <w:rPr>
                <w:sz w:val="16"/>
                <w:szCs w:val="16"/>
              </w:rPr>
              <w:t>Level 10</w:t>
            </w:r>
          </w:p>
          <w:p w:rsidR="00AF069D" w:rsidRDefault="00DE38C8">
            <w:pPr>
              <w:contextualSpacing w:val="0"/>
            </w:pPr>
            <w:r>
              <w:rPr>
                <w:sz w:val="16"/>
                <w:szCs w:val="16"/>
              </w:rPr>
              <w:t>151 Castlereagh Street</w:t>
            </w:r>
          </w:p>
          <w:p w:rsidR="00AF069D" w:rsidRDefault="00DE38C8">
            <w:pPr>
              <w:contextualSpacing w:val="0"/>
            </w:pPr>
            <w:r>
              <w:rPr>
                <w:sz w:val="16"/>
                <w:szCs w:val="16"/>
              </w:rPr>
              <w:t>Sydney NSW 2000</w:t>
            </w:r>
          </w:p>
          <w:p w:rsidR="00AF069D" w:rsidRDefault="00DE38C8">
            <w:pPr>
              <w:contextualSpacing w:val="0"/>
            </w:pPr>
            <w:r>
              <w:rPr>
                <w:sz w:val="16"/>
                <w:szCs w:val="16"/>
              </w:rPr>
              <w:t>Australia</w:t>
            </w:r>
          </w:p>
          <w:p w:rsidR="00AF069D" w:rsidRDefault="00DE38C8">
            <w:pPr>
              <w:contextualSpacing w:val="0"/>
            </w:pPr>
            <w:r>
              <w:rPr>
                <w:sz w:val="16"/>
                <w:szCs w:val="16"/>
              </w:rPr>
              <w:t>T: +61 () 2 9454 2200</w:t>
            </w:r>
          </w:p>
          <w:p w:rsidR="00AF069D" w:rsidRDefault="00DE38C8">
            <w:pPr>
              <w:spacing w:before="80"/>
              <w:contextualSpacing w:val="0"/>
            </w:pPr>
            <w:hyperlink r:id="rId7">
              <w:proofErr w:type="spellStart"/>
              <w:r>
                <w:rPr>
                  <w:sz w:val="16"/>
                  <w:szCs w:val="16"/>
                </w:rPr>
                <w:t>www.pearson.com</w:t>
              </w:r>
            </w:hyperlink>
            <w:r>
              <w:rPr>
                <w:sz w:val="16"/>
                <w:szCs w:val="16"/>
              </w:rPr>
              <w:t>.au</w:t>
            </w:r>
            <w:proofErr w:type="spellEnd"/>
          </w:p>
        </w:tc>
      </w:tr>
      <w:tr w:rsidR="00AF069D">
        <w:trPr>
          <w:trHeight w:val="440"/>
        </w:trPr>
        <w:tc>
          <w:tcPr>
            <w:tcW w:w="7271" w:type="dxa"/>
          </w:tcPr>
          <w:p w:rsidR="00AF069D" w:rsidRDefault="00AF069D">
            <w:pPr>
              <w:contextualSpacing w:val="0"/>
            </w:pPr>
          </w:p>
        </w:tc>
        <w:tc>
          <w:tcPr>
            <w:tcW w:w="2481" w:type="dxa"/>
          </w:tcPr>
          <w:p w:rsidR="00AF069D" w:rsidRDefault="00AF069D">
            <w:pPr>
              <w:contextualSpacing w:val="0"/>
            </w:pPr>
          </w:p>
        </w:tc>
      </w:tr>
    </w:tbl>
    <w:p w:rsidR="00AF069D" w:rsidRDefault="00DE38C8">
      <w:r>
        <w:rPr>
          <w:sz w:val="21"/>
          <w:szCs w:val="21"/>
        </w:rPr>
        <w:t>Friday</w:t>
      </w:r>
      <w:r>
        <w:rPr>
          <w:rFonts w:ascii="Arial" w:eastAsia="Arial" w:hAnsi="Arial" w:cs="Arial"/>
          <w:sz w:val="22"/>
          <w:szCs w:val="22"/>
        </w:rPr>
        <w:t xml:space="preserve"> 3 June 2016</w:t>
      </w:r>
    </w:p>
    <w:p w:rsidR="00AF069D" w:rsidRDefault="00AF069D">
      <w:pPr>
        <w:spacing w:line="276" w:lineRule="auto"/>
      </w:pPr>
    </w:p>
    <w:p w:rsidR="00AF069D" w:rsidRDefault="00DE38C8">
      <w:pPr>
        <w:spacing w:line="276" w:lineRule="auto"/>
      </w:pPr>
      <w:r>
        <w:rPr>
          <w:rFonts w:ascii="Arial" w:eastAsia="Arial" w:hAnsi="Arial" w:cs="Arial"/>
          <w:sz w:val="22"/>
          <w:szCs w:val="22"/>
        </w:rPr>
        <w:t xml:space="preserve">By email to: </w:t>
      </w:r>
      <w:hyperlink r:id="rId8">
        <w:proofErr w:type="spellStart"/>
        <w:r>
          <w:rPr>
            <w:rFonts w:ascii="Arial" w:eastAsia="Arial" w:hAnsi="Arial" w:cs="Arial"/>
            <w:color w:val="1155CC"/>
            <w:sz w:val="22"/>
            <w:szCs w:val="22"/>
            <w:u w:val="single"/>
          </w:rPr>
          <w:t>intellectualproperty@pc.gov.au</w:t>
        </w:r>
        <w:proofErr w:type="spellEnd"/>
      </w:hyperlink>
    </w:p>
    <w:p w:rsidR="00AF069D" w:rsidRDefault="00AF069D">
      <w:pPr>
        <w:spacing w:line="276" w:lineRule="auto"/>
      </w:pPr>
    </w:p>
    <w:p w:rsidR="00AF069D" w:rsidRDefault="00AF069D">
      <w:pPr>
        <w:spacing w:line="276" w:lineRule="auto"/>
      </w:pPr>
    </w:p>
    <w:p w:rsidR="00AF069D" w:rsidRDefault="00DE38C8">
      <w:pPr>
        <w:spacing w:line="276" w:lineRule="auto"/>
        <w:jc w:val="center"/>
      </w:pPr>
      <w:r>
        <w:rPr>
          <w:rFonts w:ascii="Arial" w:eastAsia="Arial" w:hAnsi="Arial" w:cs="Arial"/>
          <w:b/>
          <w:sz w:val="22"/>
          <w:szCs w:val="22"/>
        </w:rPr>
        <w:t xml:space="preserve">Pearson Response to the Intellectual Property Arrangements </w:t>
      </w:r>
    </w:p>
    <w:p w:rsidR="00AF069D" w:rsidRDefault="00DE38C8">
      <w:pPr>
        <w:spacing w:line="276" w:lineRule="auto"/>
        <w:jc w:val="center"/>
      </w:pPr>
      <w:r>
        <w:rPr>
          <w:rFonts w:ascii="Arial" w:eastAsia="Arial" w:hAnsi="Arial" w:cs="Arial"/>
          <w:b/>
          <w:sz w:val="22"/>
          <w:szCs w:val="22"/>
        </w:rPr>
        <w:t>Productivity Commission Draft Report</w:t>
      </w:r>
    </w:p>
    <w:p w:rsidR="00AF069D" w:rsidRDefault="00AF069D">
      <w:pPr>
        <w:spacing w:line="276" w:lineRule="auto"/>
      </w:pPr>
    </w:p>
    <w:p w:rsidR="00AF069D" w:rsidRDefault="00AF069D">
      <w:pPr>
        <w:spacing w:line="276" w:lineRule="auto"/>
      </w:pPr>
    </w:p>
    <w:p w:rsidR="00AF069D" w:rsidRDefault="00AF069D">
      <w:pPr>
        <w:spacing w:line="276" w:lineRule="auto"/>
      </w:pPr>
    </w:p>
    <w:p w:rsidR="00AF069D" w:rsidRDefault="00AF069D">
      <w:pPr>
        <w:spacing w:line="276" w:lineRule="auto"/>
      </w:pPr>
    </w:p>
    <w:p w:rsidR="00AF069D" w:rsidRDefault="00DE38C8">
      <w:pPr>
        <w:spacing w:line="276" w:lineRule="auto"/>
      </w:pPr>
      <w:r>
        <w:rPr>
          <w:rFonts w:ascii="Arial" w:eastAsia="Arial" w:hAnsi="Arial" w:cs="Arial"/>
          <w:sz w:val="22"/>
          <w:szCs w:val="22"/>
          <w:u w:val="single"/>
        </w:rPr>
        <w:t>Executive Summary</w:t>
      </w:r>
    </w:p>
    <w:p w:rsidR="00AF069D" w:rsidRDefault="00AF069D">
      <w:pPr>
        <w:spacing w:line="276" w:lineRule="auto"/>
      </w:pPr>
    </w:p>
    <w:p w:rsidR="00AF069D" w:rsidRDefault="00DE38C8">
      <w:pPr>
        <w:spacing w:line="276" w:lineRule="auto"/>
      </w:pPr>
      <w:r>
        <w:rPr>
          <w:rFonts w:ascii="Arial" w:eastAsia="Arial" w:hAnsi="Arial" w:cs="Arial"/>
          <w:sz w:val="22"/>
          <w:szCs w:val="22"/>
        </w:rPr>
        <w:t xml:space="preserve">Pearson welcomes the opportunity to respond to the Draft Report on Intellectual Property (IP) Arrangements from the Productivity Commission. </w:t>
      </w:r>
    </w:p>
    <w:p w:rsidR="00AF069D" w:rsidRDefault="00AF069D">
      <w:pPr>
        <w:spacing w:line="276" w:lineRule="auto"/>
      </w:pPr>
    </w:p>
    <w:p w:rsidR="00AF069D" w:rsidRDefault="00DE38C8">
      <w:pPr>
        <w:spacing w:line="276" w:lineRule="auto"/>
      </w:pPr>
      <w:r>
        <w:rPr>
          <w:rFonts w:ascii="Arial" w:eastAsia="Arial" w:hAnsi="Arial" w:cs="Arial"/>
          <w:sz w:val="22"/>
          <w:szCs w:val="22"/>
        </w:rPr>
        <w:t>Pearson is Australia and the world’s leading education company. We agree with the premise of this paper that IP l</w:t>
      </w:r>
      <w:r>
        <w:rPr>
          <w:rFonts w:ascii="Arial" w:eastAsia="Arial" w:hAnsi="Arial" w:cs="Arial"/>
          <w:sz w:val="22"/>
          <w:szCs w:val="22"/>
        </w:rPr>
        <w:t xml:space="preserve">aws exist to empower rights holders to create, invest and innovate in content, as well as the public to enjoy fair and meaningful access to that content. </w:t>
      </w:r>
    </w:p>
    <w:p w:rsidR="00AF069D" w:rsidRDefault="00AF069D">
      <w:pPr>
        <w:spacing w:line="276" w:lineRule="auto"/>
      </w:pPr>
    </w:p>
    <w:p w:rsidR="00AF069D" w:rsidRDefault="00DE38C8">
      <w:pPr>
        <w:spacing w:line="276" w:lineRule="auto"/>
      </w:pPr>
      <w:r>
        <w:rPr>
          <w:rFonts w:ascii="Arial" w:eastAsia="Arial" w:hAnsi="Arial" w:cs="Arial"/>
          <w:sz w:val="22"/>
          <w:szCs w:val="22"/>
        </w:rPr>
        <w:t>However:</w:t>
      </w:r>
    </w:p>
    <w:p w:rsidR="00AF069D" w:rsidRDefault="00AF069D">
      <w:pPr>
        <w:spacing w:line="276" w:lineRule="auto"/>
      </w:pPr>
    </w:p>
    <w:p w:rsidR="00AF069D" w:rsidRDefault="00DE38C8">
      <w:pPr>
        <w:spacing w:line="276" w:lineRule="auto"/>
      </w:pPr>
      <w:r>
        <w:rPr>
          <w:rFonts w:ascii="Arial" w:eastAsia="Arial" w:hAnsi="Arial" w:cs="Arial"/>
          <w:b/>
          <w:i/>
          <w:sz w:val="22"/>
          <w:szCs w:val="22"/>
        </w:rPr>
        <w:t>If the threats to our rights of communication and distribution as stated in the draft repo</w:t>
      </w:r>
      <w:r>
        <w:rPr>
          <w:rFonts w:ascii="Arial" w:eastAsia="Arial" w:hAnsi="Arial" w:cs="Arial"/>
          <w:b/>
          <w:i/>
          <w:sz w:val="22"/>
          <w:szCs w:val="22"/>
        </w:rPr>
        <w:t>rt are realised, our ability to operate in Australia, and our presence here, comes into question.</w:t>
      </w:r>
    </w:p>
    <w:p w:rsidR="00AF069D" w:rsidRDefault="00AF069D">
      <w:pPr>
        <w:spacing w:line="276" w:lineRule="auto"/>
      </w:pPr>
    </w:p>
    <w:p w:rsidR="00AF069D" w:rsidRDefault="00DE38C8">
      <w:pPr>
        <w:spacing w:line="276" w:lineRule="auto"/>
      </w:pPr>
      <w:r>
        <w:rPr>
          <w:rFonts w:ascii="Arial" w:eastAsia="Arial" w:hAnsi="Arial" w:cs="Arial"/>
          <w:sz w:val="22"/>
          <w:szCs w:val="22"/>
        </w:rPr>
        <w:t xml:space="preserve">The draft paper proposes an imbalance between respecting rights holders’ need to protect their investments in order to re-invest in content and new products and services, and the rights of the public to enjoy these outputs. </w:t>
      </w:r>
    </w:p>
    <w:p w:rsidR="00AF069D" w:rsidRDefault="00AF069D">
      <w:pPr>
        <w:spacing w:line="276" w:lineRule="auto"/>
      </w:pPr>
    </w:p>
    <w:p w:rsidR="00AF069D" w:rsidRDefault="00DE38C8">
      <w:pPr>
        <w:spacing w:line="276" w:lineRule="auto"/>
      </w:pPr>
      <w:r>
        <w:rPr>
          <w:rFonts w:ascii="Arial" w:eastAsia="Arial" w:hAnsi="Arial" w:cs="Arial"/>
          <w:sz w:val="22"/>
          <w:szCs w:val="22"/>
        </w:rPr>
        <w:t xml:space="preserve">As one of Australia’s largest </w:t>
      </w:r>
      <w:r>
        <w:rPr>
          <w:rFonts w:ascii="Arial" w:eastAsia="Arial" w:hAnsi="Arial" w:cs="Arial"/>
          <w:sz w:val="22"/>
          <w:szCs w:val="22"/>
        </w:rPr>
        <w:t>publishers of Australian educational content, if the draft report recommendations are enacted, a commercial decision to stop production may occur, and the Australian public will no longer enjoy our local content.</w:t>
      </w:r>
    </w:p>
    <w:p w:rsidR="00AF069D" w:rsidRDefault="00AF069D">
      <w:pPr>
        <w:spacing w:line="276" w:lineRule="auto"/>
      </w:pPr>
    </w:p>
    <w:p w:rsidR="00AF069D" w:rsidRDefault="00AF069D">
      <w:pPr>
        <w:spacing w:line="276" w:lineRule="auto"/>
      </w:pPr>
    </w:p>
    <w:p w:rsidR="00AF069D" w:rsidRDefault="00AF069D">
      <w:pPr>
        <w:spacing w:line="276" w:lineRule="auto"/>
      </w:pPr>
    </w:p>
    <w:p w:rsidR="00AF069D" w:rsidRDefault="00AF069D">
      <w:pPr>
        <w:spacing w:line="276" w:lineRule="auto"/>
      </w:pPr>
    </w:p>
    <w:p w:rsidR="00AF069D" w:rsidRDefault="00DE38C8">
      <w:pPr>
        <w:spacing w:line="276" w:lineRule="auto"/>
      </w:pPr>
      <w:r>
        <w:rPr>
          <w:rFonts w:ascii="Arial" w:eastAsia="Arial" w:hAnsi="Arial" w:cs="Arial"/>
          <w:sz w:val="22"/>
          <w:szCs w:val="22"/>
          <w:u w:val="single"/>
        </w:rPr>
        <w:t>About Pearson</w:t>
      </w:r>
    </w:p>
    <w:p w:rsidR="00AF069D" w:rsidRDefault="00AF069D">
      <w:pPr>
        <w:spacing w:line="276" w:lineRule="auto"/>
      </w:pPr>
    </w:p>
    <w:p w:rsidR="00AF069D" w:rsidRDefault="00DE38C8">
      <w:pPr>
        <w:spacing w:line="276" w:lineRule="auto"/>
      </w:pPr>
      <w:r>
        <w:rPr>
          <w:rFonts w:ascii="Arial" w:eastAsia="Arial" w:hAnsi="Arial" w:cs="Arial"/>
          <w:sz w:val="22"/>
          <w:szCs w:val="22"/>
        </w:rPr>
        <w:t>Pearson is the world’s l</w:t>
      </w:r>
      <w:r>
        <w:rPr>
          <w:rFonts w:ascii="Arial" w:eastAsia="Arial" w:hAnsi="Arial" w:cs="Arial"/>
          <w:sz w:val="22"/>
          <w:szCs w:val="22"/>
        </w:rPr>
        <w:t xml:space="preserve">eading education company. </w:t>
      </w:r>
      <w:r>
        <w:rPr>
          <w:rFonts w:ascii="Arial" w:eastAsia="Arial" w:hAnsi="Arial" w:cs="Arial"/>
          <w:sz w:val="22"/>
          <w:szCs w:val="22"/>
          <w:shd w:val="clear" w:color="auto" w:fill="F7F7F7"/>
        </w:rPr>
        <w:t>We help people of all ages to make measurable progress in their lives. We provide a range of education products and services to institutions, governments and direct to individual learners, that help people everywhere aim higher an</w:t>
      </w:r>
      <w:r>
        <w:rPr>
          <w:rFonts w:ascii="Arial" w:eastAsia="Arial" w:hAnsi="Arial" w:cs="Arial"/>
          <w:sz w:val="22"/>
          <w:szCs w:val="22"/>
          <w:shd w:val="clear" w:color="auto" w:fill="F7F7F7"/>
        </w:rPr>
        <w:t xml:space="preserve">d fulfil their true potential. </w:t>
      </w:r>
    </w:p>
    <w:p w:rsidR="00AF069D" w:rsidRDefault="00AF069D">
      <w:pPr>
        <w:spacing w:line="276" w:lineRule="auto"/>
      </w:pPr>
    </w:p>
    <w:p w:rsidR="00AF069D" w:rsidRDefault="00DE38C8">
      <w:pPr>
        <w:spacing w:line="276" w:lineRule="auto"/>
      </w:pPr>
      <w:r>
        <w:rPr>
          <w:rFonts w:ascii="Arial" w:eastAsia="Arial" w:hAnsi="Arial" w:cs="Arial"/>
          <w:sz w:val="22"/>
          <w:szCs w:val="22"/>
          <w:shd w:val="clear" w:color="auto" w:fill="F7F7F7"/>
        </w:rPr>
        <w:t xml:space="preserve">Our commitment to them requires a holistic approach to education. It begins by using research to understand what sort of learning works best, it continues by bringing together people and organisations to develop ideas, and </w:t>
      </w:r>
      <w:r>
        <w:rPr>
          <w:rFonts w:ascii="Arial" w:eastAsia="Arial" w:hAnsi="Arial" w:cs="Arial"/>
          <w:sz w:val="22"/>
          <w:szCs w:val="22"/>
          <w:shd w:val="clear" w:color="auto" w:fill="F7F7F7"/>
        </w:rPr>
        <w:t>it comes back round by measuring the outcomes of our products.</w:t>
      </w:r>
    </w:p>
    <w:p w:rsidR="00AF069D" w:rsidRDefault="00AF069D">
      <w:pPr>
        <w:spacing w:line="276" w:lineRule="auto"/>
      </w:pPr>
    </w:p>
    <w:p w:rsidR="00AF069D" w:rsidRDefault="00DE38C8">
      <w:pPr>
        <w:spacing w:line="276" w:lineRule="auto"/>
      </w:pPr>
      <w:r>
        <w:rPr>
          <w:rFonts w:ascii="Arial" w:eastAsia="Arial" w:hAnsi="Arial" w:cs="Arial"/>
          <w:sz w:val="22"/>
          <w:szCs w:val="22"/>
        </w:rPr>
        <w:t xml:space="preserve">Our education business combines 150 years of experience in publishing with the latest technology and online support, and has maintained a presence in Australia since 1946. </w:t>
      </w:r>
    </w:p>
    <w:p w:rsidR="00AF069D" w:rsidRDefault="00AF069D">
      <w:pPr>
        <w:spacing w:line="276" w:lineRule="auto"/>
      </w:pPr>
    </w:p>
    <w:p w:rsidR="00AF069D" w:rsidRDefault="00DE38C8">
      <w:pPr>
        <w:spacing w:line="276" w:lineRule="auto"/>
      </w:pPr>
      <w:r>
        <w:rPr>
          <w:rFonts w:ascii="Arial" w:eastAsia="Arial" w:hAnsi="Arial" w:cs="Arial"/>
          <w:sz w:val="22"/>
          <w:szCs w:val="22"/>
        </w:rPr>
        <w:t>Each year we inves</w:t>
      </w:r>
      <w:r>
        <w:rPr>
          <w:rFonts w:ascii="Arial" w:eastAsia="Arial" w:hAnsi="Arial" w:cs="Arial"/>
          <w:sz w:val="22"/>
          <w:szCs w:val="22"/>
        </w:rPr>
        <w:t xml:space="preserve">t over many millions of dollars in developing local Australian content for Higher Education and Schools sectors, activity which is supported by the revenues generated from the sale of imported Pearson product, mainly from the United Kingdom and the United </w:t>
      </w:r>
      <w:r>
        <w:rPr>
          <w:rFonts w:ascii="Arial" w:eastAsia="Arial" w:hAnsi="Arial" w:cs="Arial"/>
          <w:sz w:val="22"/>
          <w:szCs w:val="22"/>
        </w:rPr>
        <w:t>States of America.</w:t>
      </w:r>
    </w:p>
    <w:p w:rsidR="00AF069D" w:rsidRDefault="00AF069D">
      <w:pPr>
        <w:spacing w:line="276" w:lineRule="auto"/>
      </w:pPr>
    </w:p>
    <w:p w:rsidR="00AF069D" w:rsidRDefault="00DE38C8">
      <w:pPr>
        <w:spacing w:line="276" w:lineRule="auto"/>
      </w:pPr>
      <w:r>
        <w:rPr>
          <w:rFonts w:ascii="Arial" w:eastAsia="Arial" w:hAnsi="Arial" w:cs="Arial"/>
          <w:sz w:val="22"/>
          <w:szCs w:val="22"/>
          <w:u w:val="single"/>
        </w:rPr>
        <w:t xml:space="preserve">Rights of communication and distribution </w:t>
      </w:r>
    </w:p>
    <w:p w:rsidR="00AF069D" w:rsidRDefault="00AF069D">
      <w:pPr>
        <w:spacing w:line="276" w:lineRule="auto"/>
      </w:pPr>
    </w:p>
    <w:p w:rsidR="00AF069D" w:rsidRDefault="00DE38C8">
      <w:pPr>
        <w:spacing w:line="276" w:lineRule="auto"/>
      </w:pPr>
      <w:r>
        <w:rPr>
          <w:rFonts w:ascii="Arial" w:eastAsia="Arial" w:hAnsi="Arial" w:cs="Arial"/>
          <w:sz w:val="22"/>
          <w:szCs w:val="22"/>
        </w:rPr>
        <w:t>The ability of the copyright holder to prioritise how it distributes works to the public, and on what terms, enables it to make other decisions around economic activity and investment. Our exclusive IP rights mean that we have stable revenue streams and fu</w:t>
      </w:r>
      <w:r>
        <w:rPr>
          <w:rFonts w:ascii="Arial" w:eastAsia="Arial" w:hAnsi="Arial" w:cs="Arial"/>
          <w:sz w:val="22"/>
          <w:szCs w:val="22"/>
        </w:rPr>
        <w:t>ll control over our offer, which gives us the ability to provide a fair and predictable return for the writers we partner with; develop new methods of delivery taking into account technological developments; have the means to invest and re-invest in conten</w:t>
      </w:r>
      <w:r>
        <w:rPr>
          <w:rFonts w:ascii="Arial" w:eastAsia="Arial" w:hAnsi="Arial" w:cs="Arial"/>
          <w:sz w:val="22"/>
          <w:szCs w:val="22"/>
        </w:rPr>
        <w:t>t; and ensures that we can offer the highest quality of content to learners.</w:t>
      </w:r>
    </w:p>
    <w:p w:rsidR="00AF069D" w:rsidRDefault="00AF069D">
      <w:pPr>
        <w:spacing w:line="276" w:lineRule="auto"/>
      </w:pPr>
    </w:p>
    <w:p w:rsidR="00AF069D" w:rsidRDefault="00DE38C8">
      <w:pPr>
        <w:spacing w:line="276" w:lineRule="auto"/>
      </w:pPr>
      <w:r>
        <w:rPr>
          <w:rFonts w:ascii="Arial" w:eastAsia="Arial" w:hAnsi="Arial" w:cs="Arial"/>
          <w:sz w:val="22"/>
          <w:szCs w:val="22"/>
        </w:rPr>
        <w:t xml:space="preserve">The revenues that we make from our products and content is used to subsidise local innovation and content that might not otherwise be viable. Our revenues are also used to cover </w:t>
      </w:r>
      <w:r>
        <w:rPr>
          <w:rFonts w:ascii="Arial" w:eastAsia="Arial" w:hAnsi="Arial" w:cs="Arial"/>
          <w:sz w:val="22"/>
          <w:szCs w:val="22"/>
        </w:rPr>
        <w:t xml:space="preserve">not only the direct costs involved in research, development, production and distribution of books and </w:t>
      </w:r>
      <w:proofErr w:type="spellStart"/>
      <w:r>
        <w:rPr>
          <w:rFonts w:ascii="Arial" w:eastAsia="Arial" w:hAnsi="Arial" w:cs="Arial"/>
          <w:sz w:val="22"/>
          <w:szCs w:val="22"/>
          <w:highlight w:val="white"/>
        </w:rPr>
        <w:t>and</w:t>
      </w:r>
      <w:proofErr w:type="spellEnd"/>
      <w:r>
        <w:rPr>
          <w:rFonts w:ascii="Arial" w:eastAsia="Arial" w:hAnsi="Arial" w:cs="Arial"/>
          <w:sz w:val="22"/>
          <w:szCs w:val="22"/>
          <w:highlight w:val="white"/>
        </w:rPr>
        <w:t xml:space="preserve"> integrated online learning tools,</w:t>
      </w:r>
      <w:r>
        <w:rPr>
          <w:rFonts w:ascii="Arial" w:eastAsia="Arial" w:hAnsi="Arial" w:cs="Arial"/>
          <w:sz w:val="22"/>
          <w:szCs w:val="22"/>
        </w:rPr>
        <w:t xml:space="preserve"> but also ancillary products that we develop specifically to support teachers and instructors. In some circumstances </w:t>
      </w:r>
      <w:r>
        <w:rPr>
          <w:rFonts w:ascii="Arial" w:eastAsia="Arial" w:hAnsi="Arial" w:cs="Arial"/>
          <w:sz w:val="22"/>
          <w:szCs w:val="22"/>
        </w:rPr>
        <w:t xml:space="preserve">we are able to offer these products at no extra cost where our textbooks have been bought. </w:t>
      </w:r>
    </w:p>
    <w:p w:rsidR="00AF069D" w:rsidRDefault="00AF069D">
      <w:pPr>
        <w:spacing w:line="276" w:lineRule="auto"/>
      </w:pPr>
    </w:p>
    <w:p w:rsidR="00AF069D" w:rsidRDefault="00DE38C8">
      <w:pPr>
        <w:spacing w:line="276" w:lineRule="auto"/>
      </w:pPr>
      <w:r>
        <w:rPr>
          <w:rFonts w:ascii="Arial" w:eastAsia="Arial" w:hAnsi="Arial" w:cs="Arial"/>
          <w:sz w:val="22"/>
          <w:szCs w:val="22"/>
        </w:rPr>
        <w:t xml:space="preserve">These supporting products include items such as online assessment, student websites, </w:t>
      </w:r>
      <w:proofErr w:type="spellStart"/>
      <w:r>
        <w:rPr>
          <w:rFonts w:ascii="Arial" w:eastAsia="Arial" w:hAnsi="Arial" w:cs="Arial"/>
          <w:sz w:val="22"/>
          <w:szCs w:val="22"/>
        </w:rPr>
        <w:t>LMS</w:t>
      </w:r>
      <w:proofErr w:type="spellEnd"/>
      <w:r>
        <w:rPr>
          <w:rFonts w:ascii="Arial" w:eastAsia="Arial" w:hAnsi="Arial" w:cs="Arial"/>
          <w:sz w:val="22"/>
          <w:szCs w:val="22"/>
        </w:rPr>
        <w:t>-ready digital content, multimedia content libraries and lecture and tutori</w:t>
      </w:r>
      <w:r>
        <w:rPr>
          <w:rFonts w:ascii="Arial" w:eastAsia="Arial" w:hAnsi="Arial" w:cs="Arial"/>
          <w:sz w:val="22"/>
          <w:szCs w:val="22"/>
        </w:rPr>
        <w:t xml:space="preserve">al guides. Further, stable revenues allow us to experiment and innovate with our content, particularly as we increasingly focus on digital products. </w:t>
      </w:r>
    </w:p>
    <w:p w:rsidR="00AF069D" w:rsidRDefault="00AF069D">
      <w:pPr>
        <w:spacing w:line="276" w:lineRule="auto"/>
      </w:pPr>
    </w:p>
    <w:p w:rsidR="00AF069D" w:rsidRDefault="00DE38C8">
      <w:pPr>
        <w:spacing w:line="276" w:lineRule="auto"/>
      </w:pPr>
      <w:r>
        <w:rPr>
          <w:rFonts w:ascii="Arial" w:eastAsia="Arial" w:hAnsi="Arial" w:cs="Arial"/>
          <w:sz w:val="22"/>
          <w:szCs w:val="22"/>
        </w:rPr>
        <w:t>If there are threats to these important rights of communication and distribution (explored further below)</w:t>
      </w:r>
      <w:r>
        <w:rPr>
          <w:rFonts w:ascii="Arial" w:eastAsia="Arial" w:hAnsi="Arial" w:cs="Arial"/>
          <w:sz w:val="22"/>
          <w:szCs w:val="22"/>
        </w:rPr>
        <w:t xml:space="preserve">, our ability to operate in Australia and ultimately the extent and breadth of our presence here comes into question. </w:t>
      </w:r>
    </w:p>
    <w:p w:rsidR="00AF069D" w:rsidRDefault="00AF069D">
      <w:pPr>
        <w:spacing w:line="276" w:lineRule="auto"/>
      </w:pPr>
    </w:p>
    <w:p w:rsidR="00AF069D" w:rsidRDefault="00DE38C8">
      <w:pPr>
        <w:spacing w:line="276" w:lineRule="auto"/>
      </w:pPr>
      <w:r>
        <w:rPr>
          <w:rFonts w:ascii="Arial" w:eastAsia="Arial" w:hAnsi="Arial" w:cs="Arial"/>
          <w:sz w:val="22"/>
          <w:szCs w:val="22"/>
        </w:rPr>
        <w:t>This threatens Pearson’s significant contribution to the education publishing sector and our customers, including the innovative product</w:t>
      </w:r>
      <w:r>
        <w:rPr>
          <w:rFonts w:ascii="Arial" w:eastAsia="Arial" w:hAnsi="Arial" w:cs="Arial"/>
          <w:sz w:val="22"/>
          <w:szCs w:val="22"/>
        </w:rPr>
        <w:t xml:space="preserve">s we bring to the market, and has the knock-on effect of endangering those titles and local markets in which Pearson operates. </w:t>
      </w:r>
    </w:p>
    <w:p w:rsidR="00AF069D" w:rsidRDefault="00AF069D">
      <w:pPr>
        <w:spacing w:line="276" w:lineRule="auto"/>
      </w:pPr>
    </w:p>
    <w:p w:rsidR="00AF069D" w:rsidRDefault="00DE38C8">
      <w:pPr>
        <w:spacing w:line="276" w:lineRule="auto"/>
      </w:pPr>
      <w:r>
        <w:rPr>
          <w:rFonts w:ascii="Arial" w:eastAsia="Arial" w:hAnsi="Arial" w:cs="Arial"/>
          <w:sz w:val="22"/>
          <w:szCs w:val="22"/>
        </w:rPr>
        <w:t>The effects are not limited to publishers, but the rest of the industry, including authors and employees, and ultimately impact</w:t>
      </w:r>
      <w:r>
        <w:rPr>
          <w:rFonts w:ascii="Arial" w:eastAsia="Arial" w:hAnsi="Arial" w:cs="Arial"/>
          <w:sz w:val="22"/>
          <w:szCs w:val="22"/>
        </w:rPr>
        <w:t xml:space="preserve"> on learners and the wider public.</w:t>
      </w:r>
    </w:p>
    <w:p w:rsidR="00AF069D" w:rsidRDefault="00AF069D">
      <w:pPr>
        <w:spacing w:line="276" w:lineRule="auto"/>
      </w:pPr>
    </w:p>
    <w:tbl>
      <w:tblPr>
        <w:tblStyle w:val="a0"/>
        <w:tblW w:w="97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2"/>
      </w:tblGrid>
      <w:tr w:rsidR="00AF069D">
        <w:tc>
          <w:tcPr>
            <w:tcW w:w="9752" w:type="dxa"/>
            <w:tcMar>
              <w:top w:w="100" w:type="dxa"/>
              <w:left w:w="100" w:type="dxa"/>
              <w:bottom w:w="100" w:type="dxa"/>
              <w:right w:w="100" w:type="dxa"/>
            </w:tcMar>
          </w:tcPr>
          <w:p w:rsidR="00AF069D" w:rsidRDefault="00DE38C8">
            <w:pPr>
              <w:spacing w:line="276" w:lineRule="auto"/>
            </w:pPr>
            <w:r>
              <w:rPr>
                <w:rFonts w:ascii="Arial" w:eastAsia="Arial" w:hAnsi="Arial" w:cs="Arial"/>
                <w:i/>
                <w:sz w:val="22"/>
                <w:szCs w:val="22"/>
              </w:rPr>
              <w:t xml:space="preserve">Case study </w:t>
            </w:r>
            <w:proofErr w:type="spellStart"/>
            <w:r>
              <w:rPr>
                <w:rFonts w:ascii="Arial" w:eastAsia="Arial" w:hAnsi="Arial" w:cs="Arial"/>
                <w:i/>
                <w:sz w:val="22"/>
                <w:szCs w:val="22"/>
              </w:rPr>
              <w:t>Lightbook</w:t>
            </w:r>
            <w:proofErr w:type="spellEnd"/>
            <w:r>
              <w:rPr>
                <w:rFonts w:ascii="Arial" w:eastAsia="Arial" w:hAnsi="Arial" w:cs="Arial"/>
                <w:i/>
                <w:sz w:val="22"/>
                <w:szCs w:val="22"/>
              </w:rPr>
              <w:t>: Australia’s digital platform for high school students</w:t>
            </w:r>
          </w:p>
          <w:p w:rsidR="00AF069D" w:rsidRDefault="00AF069D">
            <w:pPr>
              <w:spacing w:line="276" w:lineRule="auto"/>
            </w:pPr>
          </w:p>
          <w:p w:rsidR="00AF069D" w:rsidRDefault="00DE38C8">
            <w:pPr>
              <w:spacing w:line="276" w:lineRule="auto"/>
            </w:pPr>
            <w:r>
              <w:rPr>
                <w:rFonts w:ascii="Arial" w:eastAsia="Arial" w:hAnsi="Arial" w:cs="Arial"/>
                <w:i/>
                <w:sz w:val="22"/>
                <w:szCs w:val="22"/>
              </w:rPr>
              <w:t xml:space="preserve">Pearson has developed an awarding winning digital platform for secondary school learning, </w:t>
            </w:r>
            <w:proofErr w:type="spellStart"/>
            <w:r>
              <w:rPr>
                <w:rFonts w:ascii="Arial" w:eastAsia="Arial" w:hAnsi="Arial" w:cs="Arial"/>
                <w:i/>
                <w:sz w:val="22"/>
                <w:szCs w:val="22"/>
              </w:rPr>
              <w:t>Lightbook</w:t>
            </w:r>
            <w:proofErr w:type="spellEnd"/>
            <w:r>
              <w:rPr>
                <w:rFonts w:ascii="Arial" w:eastAsia="Arial" w:hAnsi="Arial" w:cs="Arial"/>
                <w:i/>
                <w:sz w:val="22"/>
                <w:szCs w:val="22"/>
              </w:rPr>
              <w:t>, specifically to meet the requirements of t</w:t>
            </w:r>
            <w:r>
              <w:rPr>
                <w:rFonts w:ascii="Arial" w:eastAsia="Arial" w:hAnsi="Arial" w:cs="Arial"/>
                <w:i/>
                <w:sz w:val="22"/>
                <w:szCs w:val="22"/>
              </w:rPr>
              <w:t xml:space="preserve">he local Australian market, with content further tailored to each individual state’s requirements. </w:t>
            </w:r>
          </w:p>
          <w:p w:rsidR="00AF069D" w:rsidRDefault="00AF069D">
            <w:pPr>
              <w:spacing w:line="276" w:lineRule="auto"/>
            </w:pPr>
          </w:p>
          <w:p w:rsidR="00AF069D" w:rsidRDefault="00DE38C8">
            <w:pPr>
              <w:spacing w:line="276" w:lineRule="auto"/>
            </w:pPr>
            <w:r>
              <w:rPr>
                <w:rFonts w:ascii="Arial" w:eastAsia="Arial" w:hAnsi="Arial" w:cs="Arial"/>
                <w:i/>
                <w:sz w:val="22"/>
                <w:szCs w:val="22"/>
              </w:rPr>
              <w:t xml:space="preserve">Intellectual property is not in a separate class of economic activity when making business decisions; the creation of the </w:t>
            </w:r>
            <w:proofErr w:type="spellStart"/>
            <w:r>
              <w:rPr>
                <w:rFonts w:ascii="Arial" w:eastAsia="Arial" w:hAnsi="Arial" w:cs="Arial"/>
                <w:i/>
                <w:sz w:val="22"/>
                <w:szCs w:val="22"/>
              </w:rPr>
              <w:t>Lightbook</w:t>
            </w:r>
            <w:proofErr w:type="spellEnd"/>
            <w:r>
              <w:rPr>
                <w:rFonts w:ascii="Arial" w:eastAsia="Arial" w:hAnsi="Arial" w:cs="Arial"/>
                <w:i/>
                <w:sz w:val="22"/>
                <w:szCs w:val="22"/>
              </w:rPr>
              <w:t xml:space="preserve"> platform and its associ</w:t>
            </w:r>
            <w:r>
              <w:rPr>
                <w:rFonts w:ascii="Arial" w:eastAsia="Arial" w:hAnsi="Arial" w:cs="Arial"/>
                <w:i/>
                <w:sz w:val="22"/>
                <w:szCs w:val="22"/>
              </w:rPr>
              <w:t xml:space="preserve">ated content would be undermined if we were unable to rely on a fair return on investment. </w:t>
            </w:r>
          </w:p>
        </w:tc>
      </w:tr>
    </w:tbl>
    <w:p w:rsidR="00AF069D" w:rsidRDefault="00AF069D">
      <w:pPr>
        <w:spacing w:line="276" w:lineRule="auto"/>
      </w:pPr>
    </w:p>
    <w:p w:rsidR="00AF069D" w:rsidRDefault="00DE38C8">
      <w:pPr>
        <w:spacing w:line="276" w:lineRule="auto"/>
      </w:pPr>
      <w:r>
        <w:rPr>
          <w:rFonts w:ascii="Arial" w:eastAsia="Arial" w:hAnsi="Arial" w:cs="Arial"/>
          <w:sz w:val="22"/>
          <w:szCs w:val="22"/>
          <w:u w:val="single"/>
        </w:rPr>
        <w:t>Parallel Imports</w:t>
      </w:r>
    </w:p>
    <w:p w:rsidR="00AF069D" w:rsidRDefault="00AF069D">
      <w:pPr>
        <w:spacing w:line="276" w:lineRule="auto"/>
      </w:pPr>
    </w:p>
    <w:p w:rsidR="00AF069D" w:rsidRDefault="00DE38C8">
      <w:pPr>
        <w:spacing w:line="276" w:lineRule="auto"/>
      </w:pPr>
      <w:r>
        <w:rPr>
          <w:rFonts w:ascii="Arial" w:eastAsia="Arial" w:hAnsi="Arial" w:cs="Arial"/>
          <w:sz w:val="22"/>
          <w:szCs w:val="22"/>
        </w:rPr>
        <w:t>A clear threat to content creators’ rights is exemplified in the potential for parallel imports. If distributors can import the same content from overseas where there is a price differential (due to a lower quality physical product), it undermines Pearson'</w:t>
      </w:r>
      <w:r>
        <w:rPr>
          <w:rFonts w:ascii="Arial" w:eastAsia="Arial" w:hAnsi="Arial" w:cs="Arial"/>
          <w:sz w:val="22"/>
          <w:szCs w:val="22"/>
        </w:rPr>
        <w:t xml:space="preserve">s market within Australia and destabilises the entire industry. </w:t>
      </w:r>
    </w:p>
    <w:p w:rsidR="00AF069D" w:rsidRDefault="00AF069D">
      <w:pPr>
        <w:spacing w:line="276" w:lineRule="auto"/>
      </w:pPr>
    </w:p>
    <w:p w:rsidR="00AF069D" w:rsidRDefault="00DE38C8">
      <w:pPr>
        <w:spacing w:line="276" w:lineRule="auto"/>
      </w:pPr>
      <w:r>
        <w:rPr>
          <w:rFonts w:ascii="Arial" w:eastAsia="Arial" w:hAnsi="Arial" w:cs="Arial"/>
          <w:sz w:val="22"/>
          <w:szCs w:val="22"/>
        </w:rPr>
        <w:t>Further, if all content is ultimately imported outside of publishers’ control, Pearson and potentially other businesses would cease to require a significant presence within Australia, as the</w:t>
      </w:r>
      <w:r>
        <w:rPr>
          <w:rFonts w:ascii="Arial" w:eastAsia="Arial" w:hAnsi="Arial" w:cs="Arial"/>
          <w:sz w:val="22"/>
          <w:szCs w:val="22"/>
        </w:rPr>
        <w:t xml:space="preserve">y could conduct all of their activities from other locations. </w:t>
      </w:r>
    </w:p>
    <w:p w:rsidR="00AF069D" w:rsidRDefault="00AF069D">
      <w:pPr>
        <w:spacing w:line="276" w:lineRule="auto"/>
      </w:pPr>
    </w:p>
    <w:p w:rsidR="00AF069D" w:rsidRDefault="00DE38C8">
      <w:pPr>
        <w:spacing w:line="276" w:lineRule="auto"/>
      </w:pPr>
      <w:r>
        <w:rPr>
          <w:rFonts w:ascii="Arial" w:eastAsia="Arial" w:hAnsi="Arial" w:cs="Arial"/>
          <w:sz w:val="22"/>
          <w:szCs w:val="22"/>
        </w:rPr>
        <w:t>This would clearly be to the detriment of the Australian publishing sector and its creative outputs. Not only publishers, but authors and all kinds of content creators would be affected. Local</w:t>
      </w:r>
      <w:r>
        <w:rPr>
          <w:rFonts w:ascii="Arial" w:eastAsia="Arial" w:hAnsi="Arial" w:cs="Arial"/>
          <w:sz w:val="22"/>
          <w:szCs w:val="22"/>
        </w:rPr>
        <w:t xml:space="preserve"> publishing would be unable to compete with cheaper imports, and established publishers would be unable to support the creation of new content and products. </w:t>
      </w:r>
    </w:p>
    <w:p w:rsidR="00AF069D" w:rsidRDefault="00AF069D">
      <w:pPr>
        <w:spacing w:line="276" w:lineRule="auto"/>
      </w:pPr>
    </w:p>
    <w:p w:rsidR="00AF069D" w:rsidRDefault="00DE38C8">
      <w:pPr>
        <w:spacing w:line="276" w:lineRule="auto"/>
      </w:pPr>
      <w:r>
        <w:rPr>
          <w:rFonts w:ascii="Arial" w:eastAsia="Arial" w:hAnsi="Arial" w:cs="Arial"/>
          <w:sz w:val="22"/>
          <w:szCs w:val="22"/>
        </w:rPr>
        <w:t>Parallel imports would not only damage the publishing industry, but the wider educational market,</w:t>
      </w:r>
      <w:r>
        <w:rPr>
          <w:rFonts w:ascii="Arial" w:eastAsia="Arial" w:hAnsi="Arial" w:cs="Arial"/>
          <w:sz w:val="22"/>
          <w:szCs w:val="22"/>
        </w:rPr>
        <w:t xml:space="preserve"> creating a market of low cost and low quality import editions, with questionable validity and credentials. With the combination of a reduced publisher/creator presence to provide content and an influx of cheaper and lower quality textbooks into Australia,</w:t>
      </w:r>
      <w:r>
        <w:rPr>
          <w:rFonts w:ascii="Arial" w:eastAsia="Arial" w:hAnsi="Arial" w:cs="Arial"/>
          <w:sz w:val="22"/>
          <w:szCs w:val="22"/>
        </w:rPr>
        <w:t xml:space="preserve"> we predict that the </w:t>
      </w:r>
      <w:r>
        <w:rPr>
          <w:rFonts w:ascii="Arial" w:eastAsia="Arial" w:hAnsi="Arial" w:cs="Arial"/>
          <w:sz w:val="22"/>
          <w:szCs w:val="22"/>
        </w:rPr>
        <w:lastRenderedPageBreak/>
        <w:t>quantity and quality of many courses and education materials would decline as a result. This would be an unacceptable situation for learners.</w:t>
      </w:r>
    </w:p>
    <w:p w:rsidR="00AF069D" w:rsidRDefault="00AF069D">
      <w:pPr>
        <w:spacing w:line="276" w:lineRule="auto"/>
      </w:pPr>
    </w:p>
    <w:p w:rsidR="00AF069D" w:rsidRDefault="00DE38C8">
      <w:pPr>
        <w:spacing w:line="276" w:lineRule="auto"/>
      </w:pPr>
      <w:r>
        <w:rPr>
          <w:rFonts w:ascii="Arial" w:eastAsia="Arial" w:hAnsi="Arial" w:cs="Arial"/>
          <w:sz w:val="22"/>
          <w:szCs w:val="22"/>
        </w:rPr>
        <w:t>Wherever possible, Pearson will always strive to ensure that our content and products are pr</w:t>
      </w:r>
      <w:r>
        <w:rPr>
          <w:rFonts w:ascii="Arial" w:eastAsia="Arial" w:hAnsi="Arial" w:cs="Arial"/>
          <w:sz w:val="22"/>
          <w:szCs w:val="22"/>
        </w:rPr>
        <w:t>iced to their markets, offering lower costs where appropriate. The issue of parallel imports is not so much to do with pricing as it is to do with destabilising our markets.</w:t>
      </w:r>
    </w:p>
    <w:p w:rsidR="00AF069D" w:rsidRDefault="00DE38C8">
      <w:pPr>
        <w:spacing w:line="276" w:lineRule="auto"/>
      </w:pPr>
      <w:r>
        <w:rPr>
          <w:rFonts w:ascii="Arial" w:eastAsia="Arial" w:hAnsi="Arial" w:cs="Arial"/>
          <w:sz w:val="22"/>
          <w:szCs w:val="22"/>
        </w:rPr>
        <w:t xml:space="preserve"> In the UK, a lack of threat of parallel imports ensures that we are able to produ</w:t>
      </w:r>
      <w:r>
        <w:rPr>
          <w:rFonts w:ascii="Arial" w:eastAsia="Arial" w:hAnsi="Arial" w:cs="Arial"/>
          <w:sz w:val="22"/>
          <w:szCs w:val="22"/>
        </w:rPr>
        <w:t>ce the best quality of content for learners, and as aforementioned we are able to use that content abroad, including in Australia, to subsidise local markets and new products.</w:t>
      </w:r>
    </w:p>
    <w:p w:rsidR="00AF069D" w:rsidRDefault="00AF069D">
      <w:pPr>
        <w:spacing w:line="276" w:lineRule="auto"/>
      </w:pPr>
    </w:p>
    <w:p w:rsidR="00AF069D" w:rsidRDefault="00DE38C8">
      <w:pPr>
        <w:spacing w:line="276" w:lineRule="auto"/>
      </w:pPr>
      <w:r>
        <w:rPr>
          <w:rFonts w:ascii="Arial" w:eastAsia="Arial" w:hAnsi="Arial" w:cs="Arial"/>
          <w:sz w:val="22"/>
          <w:szCs w:val="22"/>
        </w:rPr>
        <w:t xml:space="preserve">Parallel imports must be considered in light of the growing digital market. We </w:t>
      </w:r>
      <w:r>
        <w:rPr>
          <w:rFonts w:ascii="Arial" w:eastAsia="Arial" w:hAnsi="Arial" w:cs="Arial"/>
          <w:sz w:val="22"/>
          <w:szCs w:val="22"/>
        </w:rPr>
        <w:t xml:space="preserve">would ask the Productivity Commission takes into account the new questions raised by the spectre of the digital market, particularly around the extent to which digital products should have geographical restrictions in their </w:t>
      </w:r>
      <w:proofErr w:type="spellStart"/>
      <w:r>
        <w:rPr>
          <w:rFonts w:ascii="Arial" w:eastAsia="Arial" w:hAnsi="Arial" w:cs="Arial"/>
          <w:sz w:val="22"/>
          <w:szCs w:val="22"/>
        </w:rPr>
        <w:t>DRM</w:t>
      </w:r>
      <w:proofErr w:type="spellEnd"/>
      <w:r>
        <w:rPr>
          <w:rFonts w:ascii="Arial" w:eastAsia="Arial" w:hAnsi="Arial" w:cs="Arial"/>
          <w:sz w:val="22"/>
          <w:szCs w:val="22"/>
        </w:rPr>
        <w:t xml:space="preserve"> systems. </w:t>
      </w:r>
    </w:p>
    <w:p w:rsidR="00AF069D" w:rsidRDefault="00AF069D">
      <w:pPr>
        <w:spacing w:line="276" w:lineRule="auto"/>
      </w:pPr>
    </w:p>
    <w:p w:rsidR="00AF069D" w:rsidRDefault="00DE38C8">
      <w:pPr>
        <w:spacing w:line="276" w:lineRule="auto"/>
      </w:pPr>
      <w:r>
        <w:rPr>
          <w:rFonts w:ascii="Arial" w:eastAsia="Arial" w:hAnsi="Arial" w:cs="Arial"/>
          <w:sz w:val="22"/>
          <w:szCs w:val="22"/>
        </w:rPr>
        <w:t>For instance, the</w:t>
      </w:r>
      <w:r>
        <w:rPr>
          <w:rFonts w:ascii="Arial" w:eastAsia="Arial" w:hAnsi="Arial" w:cs="Arial"/>
          <w:sz w:val="22"/>
          <w:szCs w:val="22"/>
        </w:rPr>
        <w:t xml:space="preserve"> Trade Marks Act 1995 (</w:t>
      </w:r>
      <w:proofErr w:type="spellStart"/>
      <w:r>
        <w:rPr>
          <w:rFonts w:ascii="Arial" w:eastAsia="Arial" w:hAnsi="Arial" w:cs="Arial"/>
          <w:sz w:val="22"/>
          <w:szCs w:val="22"/>
        </w:rPr>
        <w:t>Cth</w:t>
      </w:r>
      <w:proofErr w:type="spellEnd"/>
      <w:r>
        <w:rPr>
          <w:rFonts w:ascii="Arial" w:eastAsia="Arial" w:hAnsi="Arial" w:cs="Arial"/>
          <w:sz w:val="22"/>
          <w:szCs w:val="22"/>
        </w:rPr>
        <w:t xml:space="preserve">) has some provisions around parallel imports, but the fundamental principles remain that licenced or trademark owners are able to control the use of that mark within Australia. </w:t>
      </w:r>
    </w:p>
    <w:p w:rsidR="00AF069D" w:rsidRDefault="00AF069D">
      <w:pPr>
        <w:spacing w:line="276" w:lineRule="auto"/>
      </w:pPr>
    </w:p>
    <w:p w:rsidR="00AF069D" w:rsidRDefault="00DE38C8">
      <w:pPr>
        <w:spacing w:line="276" w:lineRule="auto"/>
      </w:pPr>
      <w:r>
        <w:rPr>
          <w:rFonts w:ascii="Arial" w:eastAsia="Arial" w:hAnsi="Arial" w:cs="Arial"/>
          <w:sz w:val="22"/>
          <w:szCs w:val="22"/>
        </w:rPr>
        <w:t>Anyone else seeking to import materials or deal in</w:t>
      </w:r>
      <w:r>
        <w:rPr>
          <w:rFonts w:ascii="Arial" w:eastAsia="Arial" w:hAnsi="Arial" w:cs="Arial"/>
          <w:sz w:val="22"/>
          <w:szCs w:val="22"/>
        </w:rPr>
        <w:t xml:space="preserve"> materials which carry the mark can be restricted. However, these concepts are thrown into turmoil in the context of the digital market. How are they to be enforced when consumers can purchase digital products directly from overseas sellers? </w:t>
      </w:r>
    </w:p>
    <w:p w:rsidR="00AF069D" w:rsidRDefault="00AF069D">
      <w:pPr>
        <w:spacing w:line="276" w:lineRule="auto"/>
      </w:pPr>
    </w:p>
    <w:p w:rsidR="00AF069D" w:rsidRDefault="00DE38C8">
      <w:pPr>
        <w:spacing w:line="276" w:lineRule="auto"/>
      </w:pPr>
      <w:r>
        <w:rPr>
          <w:rFonts w:ascii="Arial" w:eastAsia="Arial" w:hAnsi="Arial" w:cs="Arial"/>
          <w:sz w:val="22"/>
          <w:szCs w:val="22"/>
        </w:rPr>
        <w:t>Responsibili</w:t>
      </w:r>
      <w:r>
        <w:rPr>
          <w:rFonts w:ascii="Arial" w:eastAsia="Arial" w:hAnsi="Arial" w:cs="Arial"/>
          <w:sz w:val="22"/>
          <w:szCs w:val="22"/>
        </w:rPr>
        <w:t>ty for ensuring that imports into Australia do not infringe any Australian rights must be allocated. Costs for these obligations must subsequently be decided upon and fairly divided. We do not believe that these issues have been addressed or resolved as ye</w:t>
      </w:r>
      <w:r>
        <w:rPr>
          <w:rFonts w:ascii="Arial" w:eastAsia="Arial" w:hAnsi="Arial" w:cs="Arial"/>
          <w:sz w:val="22"/>
          <w:szCs w:val="22"/>
        </w:rPr>
        <w:t>t, and they are topics that require serious consideration.</w:t>
      </w:r>
    </w:p>
    <w:p w:rsidR="00AF069D" w:rsidRDefault="00AF069D">
      <w:pPr>
        <w:spacing w:line="276" w:lineRule="auto"/>
      </w:pPr>
    </w:p>
    <w:p w:rsidR="00AF069D" w:rsidRDefault="00DE38C8">
      <w:pPr>
        <w:spacing w:line="276" w:lineRule="auto"/>
      </w:pPr>
      <w:r>
        <w:rPr>
          <w:rFonts w:ascii="Arial" w:eastAsia="Arial" w:hAnsi="Arial" w:cs="Arial"/>
          <w:sz w:val="22"/>
          <w:szCs w:val="22"/>
          <w:u w:val="single"/>
        </w:rPr>
        <w:t>Fair Use</w:t>
      </w:r>
    </w:p>
    <w:p w:rsidR="00AF069D" w:rsidRDefault="00AF069D">
      <w:pPr>
        <w:spacing w:line="276" w:lineRule="auto"/>
      </w:pPr>
    </w:p>
    <w:p w:rsidR="00AF069D" w:rsidRDefault="00DE38C8">
      <w:pPr>
        <w:spacing w:line="276" w:lineRule="auto"/>
      </w:pPr>
      <w:r>
        <w:rPr>
          <w:rFonts w:ascii="Arial" w:eastAsia="Arial" w:hAnsi="Arial" w:cs="Arial"/>
          <w:sz w:val="22"/>
          <w:szCs w:val="22"/>
        </w:rPr>
        <w:t>We would be very concerned to hear about any changes to Australia’s fair use or fair dealings provisions, particularly in light of changes made to Canada’s copyright laws with respect to fair dealing, which have had catastrophic effects on the publishing i</w:t>
      </w:r>
      <w:r>
        <w:rPr>
          <w:rFonts w:ascii="Arial" w:eastAsia="Arial" w:hAnsi="Arial" w:cs="Arial"/>
          <w:sz w:val="22"/>
          <w:szCs w:val="22"/>
        </w:rPr>
        <w:t xml:space="preserve">ndustry. </w:t>
      </w:r>
    </w:p>
    <w:p w:rsidR="00AF069D" w:rsidRDefault="00AF069D">
      <w:pPr>
        <w:spacing w:line="276" w:lineRule="auto"/>
      </w:pPr>
    </w:p>
    <w:p w:rsidR="00AF069D" w:rsidRDefault="00DE38C8">
      <w:pPr>
        <w:spacing w:line="276" w:lineRule="auto"/>
      </w:pPr>
      <w:r>
        <w:rPr>
          <w:rFonts w:ascii="Arial" w:eastAsia="Arial" w:hAnsi="Arial" w:cs="Arial"/>
          <w:sz w:val="22"/>
          <w:szCs w:val="22"/>
        </w:rPr>
        <w:t xml:space="preserve">In Australia’s education sector, fair use provisions already exist that enable reasonable use of copyrighted materials. Any further dilution or expansion of fair use means that copyrighted works enter the public domain, and this presents a huge </w:t>
      </w:r>
      <w:r>
        <w:rPr>
          <w:rFonts w:ascii="Arial" w:eastAsia="Arial" w:hAnsi="Arial" w:cs="Arial"/>
          <w:sz w:val="22"/>
          <w:szCs w:val="22"/>
        </w:rPr>
        <w:t xml:space="preserve">disincentive for publishing companies to invest in the educational sector, and for content creators to provide any works if they feel they are not suitably rewarded. </w:t>
      </w:r>
      <w:r>
        <w:rPr>
          <w:rFonts w:ascii="Arial" w:eastAsia="Arial" w:hAnsi="Arial" w:cs="Arial"/>
          <w:sz w:val="22"/>
          <w:szCs w:val="22"/>
        </w:rPr>
        <w:br/>
      </w:r>
    </w:p>
    <w:p w:rsidR="00AF069D" w:rsidRDefault="00DE38C8">
      <w:pPr>
        <w:spacing w:line="276" w:lineRule="auto"/>
      </w:pPr>
      <w:r>
        <w:rPr>
          <w:rFonts w:ascii="Arial" w:eastAsia="Arial" w:hAnsi="Arial" w:cs="Arial"/>
          <w:sz w:val="22"/>
          <w:szCs w:val="22"/>
        </w:rPr>
        <w:t>This trend, if replicated in Australia, can only have negative effects for authors, crea</w:t>
      </w:r>
      <w:r>
        <w:rPr>
          <w:rFonts w:ascii="Arial" w:eastAsia="Arial" w:hAnsi="Arial" w:cs="Arial"/>
          <w:sz w:val="22"/>
          <w:szCs w:val="22"/>
        </w:rPr>
        <w:t xml:space="preserve">tors and employees within the publishing sector, who will be directly impacted by the declining revenue </w:t>
      </w:r>
      <w:r>
        <w:rPr>
          <w:rFonts w:ascii="Arial" w:eastAsia="Arial" w:hAnsi="Arial" w:cs="Arial"/>
          <w:sz w:val="22"/>
          <w:szCs w:val="22"/>
        </w:rPr>
        <w:lastRenderedPageBreak/>
        <w:t>streams and royalties. Pearson invites the Productivity Commission to consider whether such developments would help new curricula and learning materials</w:t>
      </w:r>
      <w:r>
        <w:rPr>
          <w:rFonts w:ascii="Arial" w:eastAsia="Arial" w:hAnsi="Arial" w:cs="Arial"/>
          <w:sz w:val="22"/>
          <w:szCs w:val="22"/>
        </w:rPr>
        <w:t xml:space="preserve"> reach Australian classrooms and learners, when the local development of innovative learning materials is no longer viable. In Pearson’s view, the possibility of creative activities moving overseas or simply stopping will have immeasurable impact on learni</w:t>
      </w:r>
      <w:r>
        <w:rPr>
          <w:rFonts w:ascii="Arial" w:eastAsia="Arial" w:hAnsi="Arial" w:cs="Arial"/>
          <w:sz w:val="22"/>
          <w:szCs w:val="22"/>
        </w:rPr>
        <w:t xml:space="preserve">ng. </w:t>
      </w:r>
    </w:p>
    <w:p w:rsidR="00AF069D" w:rsidRDefault="00AF069D">
      <w:pPr>
        <w:spacing w:line="276" w:lineRule="auto"/>
      </w:pPr>
    </w:p>
    <w:p w:rsidR="00AF069D" w:rsidRDefault="00DE38C8">
      <w:pPr>
        <w:spacing w:line="276" w:lineRule="auto"/>
      </w:pPr>
      <w:r>
        <w:rPr>
          <w:rFonts w:ascii="Arial" w:eastAsia="Arial" w:hAnsi="Arial" w:cs="Arial"/>
          <w:sz w:val="22"/>
          <w:szCs w:val="22"/>
        </w:rPr>
        <w:t xml:space="preserve">The Australian learner, ultimately, will pay the price, as a decline in creative output means the decline of educational materials and products as a whole. </w:t>
      </w:r>
      <w:r>
        <w:rPr>
          <w:rFonts w:ascii="Arial" w:eastAsia="Arial" w:hAnsi="Arial" w:cs="Arial"/>
          <w:sz w:val="22"/>
          <w:szCs w:val="22"/>
          <w:highlight w:val="white"/>
        </w:rPr>
        <w:t>If learners and classrooms use UK and US content - this may not adequately  align to local edu</w:t>
      </w:r>
      <w:r>
        <w:rPr>
          <w:rFonts w:ascii="Arial" w:eastAsia="Arial" w:hAnsi="Arial" w:cs="Arial"/>
          <w:sz w:val="22"/>
          <w:szCs w:val="22"/>
          <w:highlight w:val="white"/>
        </w:rPr>
        <w:t>cation needs. This would dilute the effectiveness of reforms such as the Australian Curriculum.</w:t>
      </w:r>
    </w:p>
    <w:p w:rsidR="00AF069D" w:rsidRDefault="00AF069D">
      <w:pPr>
        <w:spacing w:line="276" w:lineRule="auto"/>
      </w:pPr>
    </w:p>
    <w:p w:rsidR="00AF069D" w:rsidRDefault="00DE38C8">
      <w:pPr>
        <w:spacing w:line="276" w:lineRule="auto"/>
      </w:pPr>
      <w:r>
        <w:rPr>
          <w:rFonts w:ascii="Arial" w:eastAsia="Arial" w:hAnsi="Arial" w:cs="Arial"/>
          <w:sz w:val="22"/>
          <w:szCs w:val="22"/>
        </w:rPr>
        <w:t>If fair dealing or fair use provisions such as those applied in Canada are introduced in Australia, we are likely to see the same effects detailed above with respect to parallel imports: an exit by publishers from the market; fewer incentives to create con</w:t>
      </w:r>
      <w:r>
        <w:rPr>
          <w:rFonts w:ascii="Arial" w:eastAsia="Arial" w:hAnsi="Arial" w:cs="Arial"/>
          <w:sz w:val="22"/>
          <w:szCs w:val="22"/>
        </w:rPr>
        <w:t>tent; and declines in quality and subsidising of content for the Australian market.</w:t>
      </w:r>
    </w:p>
    <w:p w:rsidR="00AF069D" w:rsidRDefault="00AF069D">
      <w:pPr>
        <w:spacing w:line="276" w:lineRule="auto"/>
      </w:pPr>
    </w:p>
    <w:tbl>
      <w:tblPr>
        <w:tblStyle w:val="a1"/>
        <w:tblW w:w="97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2"/>
      </w:tblGrid>
      <w:tr w:rsidR="00AF069D">
        <w:tc>
          <w:tcPr>
            <w:tcW w:w="9752" w:type="dxa"/>
            <w:tcMar>
              <w:top w:w="100" w:type="dxa"/>
              <w:left w:w="100" w:type="dxa"/>
              <w:bottom w:w="100" w:type="dxa"/>
              <w:right w:w="100" w:type="dxa"/>
            </w:tcMar>
          </w:tcPr>
          <w:p w:rsidR="00AF069D" w:rsidRDefault="00DE38C8">
            <w:pPr>
              <w:spacing w:line="276" w:lineRule="auto"/>
            </w:pPr>
            <w:r>
              <w:rPr>
                <w:rFonts w:ascii="Arial" w:eastAsia="Arial" w:hAnsi="Arial" w:cs="Arial"/>
                <w:i/>
                <w:sz w:val="22"/>
                <w:szCs w:val="22"/>
              </w:rPr>
              <w:t>Case study Canada: the decimation of education publishing</w:t>
            </w:r>
          </w:p>
          <w:p w:rsidR="00AF069D" w:rsidRDefault="00AF069D">
            <w:pPr>
              <w:spacing w:line="276" w:lineRule="auto"/>
            </w:pPr>
          </w:p>
          <w:p w:rsidR="00AF069D" w:rsidRDefault="00DE38C8">
            <w:pPr>
              <w:spacing w:line="276" w:lineRule="auto"/>
            </w:pPr>
            <w:r>
              <w:rPr>
                <w:rFonts w:ascii="Arial" w:eastAsia="Arial" w:hAnsi="Arial" w:cs="Arial"/>
                <w:i/>
                <w:sz w:val="22"/>
                <w:szCs w:val="22"/>
              </w:rPr>
              <w:t>New Canadian legislation allows copying of 10 per cent of works, and whole chapters and poems can now be copied.</w:t>
            </w:r>
            <w:r>
              <w:rPr>
                <w:rFonts w:ascii="Arial" w:eastAsia="Arial" w:hAnsi="Arial" w:cs="Arial"/>
                <w:i/>
                <w:sz w:val="22"/>
                <w:szCs w:val="22"/>
              </w:rPr>
              <w:t xml:space="preserve"> As a result of the legislation, guidelines introduced by the Canadian education sector deliberately limited the need for licenses, and the subsequent payment of royalties to publishers and authors. </w:t>
            </w:r>
          </w:p>
          <w:p w:rsidR="00AF069D" w:rsidRDefault="00AF069D">
            <w:pPr>
              <w:spacing w:line="276" w:lineRule="auto"/>
            </w:pPr>
          </w:p>
          <w:p w:rsidR="00AF069D" w:rsidRDefault="00DE38C8">
            <w:pPr>
              <w:spacing w:line="276" w:lineRule="auto"/>
            </w:pPr>
            <w:r>
              <w:rPr>
                <w:rFonts w:ascii="Arial" w:eastAsia="Arial" w:hAnsi="Arial" w:cs="Arial"/>
                <w:i/>
                <w:sz w:val="22"/>
                <w:szCs w:val="22"/>
              </w:rPr>
              <w:t>This has led to devastating effects for the education p</w:t>
            </w:r>
            <w:r>
              <w:rPr>
                <w:rFonts w:ascii="Arial" w:eastAsia="Arial" w:hAnsi="Arial" w:cs="Arial"/>
                <w:i/>
                <w:sz w:val="22"/>
                <w:szCs w:val="22"/>
              </w:rPr>
              <w:t>ublishing industry. Sales of textbooks have seen significant declines, and there is a growing sense amongst educational institutions that content and materials are now, or should be, free, with no recognition of the investment or effort put into high quali</w:t>
            </w:r>
            <w:r>
              <w:rPr>
                <w:rFonts w:ascii="Arial" w:eastAsia="Arial" w:hAnsi="Arial" w:cs="Arial"/>
                <w:i/>
                <w:sz w:val="22"/>
                <w:szCs w:val="22"/>
              </w:rPr>
              <w:t xml:space="preserve">ty educational works by publishers and authors. </w:t>
            </w:r>
          </w:p>
          <w:p w:rsidR="00AF069D" w:rsidRDefault="00AF069D">
            <w:pPr>
              <w:spacing w:line="276" w:lineRule="auto"/>
            </w:pPr>
          </w:p>
          <w:p w:rsidR="00AF069D" w:rsidRDefault="00DE38C8">
            <w:pPr>
              <w:spacing w:line="276" w:lineRule="auto"/>
            </w:pPr>
            <w:r>
              <w:rPr>
                <w:rFonts w:ascii="Arial" w:eastAsia="Arial" w:hAnsi="Arial" w:cs="Arial"/>
                <w:i/>
                <w:sz w:val="22"/>
                <w:szCs w:val="22"/>
              </w:rPr>
              <w:t xml:space="preserve">We believe that the new fair dealing provisions have contributed to significant declines in </w:t>
            </w:r>
            <w:proofErr w:type="spellStart"/>
            <w:r>
              <w:rPr>
                <w:rFonts w:ascii="Arial" w:eastAsia="Arial" w:hAnsi="Arial" w:cs="Arial"/>
                <w:i/>
                <w:sz w:val="22"/>
                <w:szCs w:val="22"/>
              </w:rPr>
              <w:t>K12</w:t>
            </w:r>
            <w:proofErr w:type="spellEnd"/>
            <w:r>
              <w:rPr>
                <w:rFonts w:ascii="Arial" w:eastAsia="Arial" w:hAnsi="Arial" w:cs="Arial"/>
                <w:i/>
                <w:sz w:val="22"/>
                <w:szCs w:val="22"/>
              </w:rPr>
              <w:t xml:space="preserve"> and Higher Education industry revenues and unit sales in Canada. In </w:t>
            </w:r>
            <w:proofErr w:type="spellStart"/>
            <w:r>
              <w:rPr>
                <w:rFonts w:ascii="Arial" w:eastAsia="Arial" w:hAnsi="Arial" w:cs="Arial"/>
                <w:i/>
                <w:sz w:val="22"/>
                <w:szCs w:val="22"/>
              </w:rPr>
              <w:t>K12</w:t>
            </w:r>
            <w:proofErr w:type="spellEnd"/>
            <w:r>
              <w:rPr>
                <w:rFonts w:ascii="Arial" w:eastAsia="Arial" w:hAnsi="Arial" w:cs="Arial"/>
                <w:i/>
                <w:sz w:val="22"/>
                <w:szCs w:val="22"/>
              </w:rPr>
              <w:t>, total industry revenues declined by o</w:t>
            </w:r>
            <w:r>
              <w:rPr>
                <w:rFonts w:ascii="Arial" w:eastAsia="Arial" w:hAnsi="Arial" w:cs="Arial"/>
                <w:i/>
                <w:sz w:val="22"/>
                <w:szCs w:val="22"/>
              </w:rPr>
              <w:t xml:space="preserve">ver </w:t>
            </w:r>
            <w:proofErr w:type="spellStart"/>
            <w:r>
              <w:rPr>
                <w:rFonts w:ascii="Arial" w:eastAsia="Arial" w:hAnsi="Arial" w:cs="Arial"/>
                <w:i/>
                <w:sz w:val="22"/>
                <w:szCs w:val="22"/>
              </w:rPr>
              <w:t>AU$9</w:t>
            </w:r>
            <w:proofErr w:type="spellEnd"/>
            <w:r>
              <w:rPr>
                <w:rFonts w:ascii="Arial" w:eastAsia="Arial" w:hAnsi="Arial" w:cs="Arial"/>
                <w:i/>
                <w:sz w:val="22"/>
                <w:szCs w:val="22"/>
              </w:rPr>
              <w:t xml:space="preserve"> million in two years  to </w:t>
            </w:r>
            <w:proofErr w:type="spellStart"/>
            <w:r>
              <w:rPr>
                <w:rFonts w:ascii="Arial" w:eastAsia="Arial" w:hAnsi="Arial" w:cs="Arial"/>
                <w:i/>
                <w:sz w:val="22"/>
                <w:szCs w:val="22"/>
              </w:rPr>
              <w:t>AU$120million</w:t>
            </w:r>
            <w:proofErr w:type="spellEnd"/>
            <w:r>
              <w:rPr>
                <w:rFonts w:ascii="Arial" w:eastAsia="Arial" w:hAnsi="Arial" w:cs="Arial"/>
                <w:i/>
                <w:sz w:val="22"/>
                <w:szCs w:val="22"/>
              </w:rPr>
              <w:t xml:space="preserve"> in 2014. And in Higher Ed, total industry units sold declined by nearly one million to about 4.8 million units  in 2014.  Access Copyright, a Canadian rights reproduction organisation, has seen its regular in</w:t>
            </w:r>
            <w:r>
              <w:rPr>
                <w:rFonts w:ascii="Arial" w:eastAsia="Arial" w:hAnsi="Arial" w:cs="Arial"/>
                <w:i/>
                <w:sz w:val="22"/>
                <w:szCs w:val="22"/>
              </w:rPr>
              <w:t xml:space="preserve">come of </w:t>
            </w:r>
            <w:proofErr w:type="spellStart"/>
            <w:r>
              <w:rPr>
                <w:rFonts w:ascii="Arial" w:eastAsia="Arial" w:hAnsi="Arial" w:cs="Arial"/>
                <w:i/>
                <w:sz w:val="22"/>
                <w:szCs w:val="22"/>
              </w:rPr>
              <w:t>AUD$2.3</w:t>
            </w:r>
            <w:proofErr w:type="spellEnd"/>
            <w:r>
              <w:rPr>
                <w:rFonts w:ascii="Arial" w:eastAsia="Arial" w:hAnsi="Arial" w:cs="Arial"/>
                <w:i/>
                <w:sz w:val="22"/>
                <w:szCs w:val="22"/>
              </w:rPr>
              <w:t xml:space="preserve"> million per annum plummet to </w:t>
            </w:r>
            <w:proofErr w:type="spellStart"/>
            <w:r>
              <w:rPr>
                <w:rFonts w:ascii="Arial" w:eastAsia="Arial" w:hAnsi="Arial" w:cs="Arial"/>
                <w:i/>
                <w:sz w:val="22"/>
                <w:szCs w:val="22"/>
              </w:rPr>
              <w:t>A$94,000</w:t>
            </w:r>
            <w:proofErr w:type="spellEnd"/>
            <w:r>
              <w:rPr>
                <w:rFonts w:ascii="Arial" w:eastAsia="Arial" w:hAnsi="Arial" w:cs="Arial"/>
                <w:i/>
                <w:sz w:val="22"/>
                <w:szCs w:val="22"/>
              </w:rPr>
              <w:t xml:space="preserve"> in 2015. </w:t>
            </w:r>
          </w:p>
          <w:p w:rsidR="00AF069D" w:rsidRDefault="00AF069D">
            <w:pPr>
              <w:spacing w:line="276" w:lineRule="auto"/>
            </w:pPr>
          </w:p>
          <w:p w:rsidR="00AF069D" w:rsidRDefault="00DE38C8">
            <w:pPr>
              <w:spacing w:line="276" w:lineRule="auto"/>
            </w:pPr>
            <w:r>
              <w:rPr>
                <w:rFonts w:ascii="Arial" w:eastAsia="Arial" w:hAnsi="Arial" w:cs="Arial"/>
                <w:i/>
                <w:sz w:val="22"/>
                <w:szCs w:val="22"/>
              </w:rPr>
              <w:t>The impact is now becoming tangible, with Oxford University Press taking the momentous decision to cease publishing in the school divisions in Canada. Indeed, Pearson has also decided to scal</w:t>
            </w:r>
            <w:r>
              <w:rPr>
                <w:rFonts w:ascii="Arial" w:eastAsia="Arial" w:hAnsi="Arial" w:cs="Arial"/>
                <w:i/>
                <w:sz w:val="22"/>
                <w:szCs w:val="22"/>
              </w:rPr>
              <w:t>e back its schools operations in Canada as well.</w:t>
            </w:r>
          </w:p>
        </w:tc>
      </w:tr>
    </w:tbl>
    <w:p w:rsidR="00AF069D" w:rsidRDefault="00AF069D">
      <w:pPr>
        <w:spacing w:line="276" w:lineRule="auto"/>
      </w:pPr>
    </w:p>
    <w:p w:rsidR="00AF069D" w:rsidRDefault="00DE38C8">
      <w:pPr>
        <w:spacing w:line="276" w:lineRule="auto"/>
      </w:pPr>
      <w:r>
        <w:rPr>
          <w:rFonts w:ascii="Arial" w:eastAsia="Arial" w:hAnsi="Arial" w:cs="Arial"/>
          <w:sz w:val="22"/>
          <w:szCs w:val="22"/>
          <w:u w:val="single"/>
        </w:rPr>
        <w:t>IP vs Competition Law</w:t>
      </w:r>
    </w:p>
    <w:p w:rsidR="00AF069D" w:rsidRDefault="00AF069D">
      <w:pPr>
        <w:spacing w:line="276" w:lineRule="auto"/>
      </w:pPr>
    </w:p>
    <w:p w:rsidR="00AF069D" w:rsidRDefault="00DE38C8">
      <w:pPr>
        <w:spacing w:line="276" w:lineRule="auto"/>
      </w:pPr>
      <w:r>
        <w:rPr>
          <w:rFonts w:ascii="Arial" w:eastAsia="Arial" w:hAnsi="Arial" w:cs="Arial"/>
          <w:sz w:val="22"/>
          <w:szCs w:val="22"/>
        </w:rPr>
        <w:lastRenderedPageBreak/>
        <w:t>It is important to make a clear distinction between IP laws and competition law. Anti-competitive behaviour and market dominance are not black and white terms, and are not necessaril</w:t>
      </w:r>
      <w:r>
        <w:rPr>
          <w:rFonts w:ascii="Arial" w:eastAsia="Arial" w:hAnsi="Arial" w:cs="Arial"/>
          <w:sz w:val="22"/>
          <w:szCs w:val="22"/>
        </w:rPr>
        <w:t xml:space="preserve">y related to the exclusive ability to exploit IP rights. </w:t>
      </w:r>
    </w:p>
    <w:p w:rsidR="00AF069D" w:rsidRDefault="00AF069D">
      <w:pPr>
        <w:spacing w:line="276" w:lineRule="auto"/>
      </w:pPr>
    </w:p>
    <w:p w:rsidR="00AF069D" w:rsidRDefault="00DE38C8">
      <w:pPr>
        <w:spacing w:line="276" w:lineRule="auto"/>
      </w:pPr>
      <w:r>
        <w:rPr>
          <w:rFonts w:ascii="Arial" w:eastAsia="Arial" w:hAnsi="Arial" w:cs="Arial"/>
          <w:sz w:val="22"/>
          <w:szCs w:val="22"/>
        </w:rPr>
        <w:t xml:space="preserve">These exclusive rights provide incentives for people to continue to create and invest in content, without which industries would not flourish and access to content would suffer. </w:t>
      </w:r>
      <w:r>
        <w:rPr>
          <w:rFonts w:ascii="Arial" w:eastAsia="Arial" w:hAnsi="Arial" w:cs="Arial"/>
          <w:b/>
          <w:sz w:val="22"/>
          <w:szCs w:val="22"/>
        </w:rPr>
        <w:t>The right to be rem</w:t>
      </w:r>
      <w:r>
        <w:rPr>
          <w:rFonts w:ascii="Arial" w:eastAsia="Arial" w:hAnsi="Arial" w:cs="Arial"/>
          <w:b/>
          <w:sz w:val="22"/>
          <w:szCs w:val="22"/>
        </w:rPr>
        <w:t xml:space="preserve">unerated for one’s IP is not an </w:t>
      </w:r>
      <w:proofErr w:type="spellStart"/>
      <w:r>
        <w:rPr>
          <w:rFonts w:ascii="Arial" w:eastAsia="Arial" w:hAnsi="Arial" w:cs="Arial"/>
          <w:b/>
          <w:sz w:val="22"/>
          <w:szCs w:val="22"/>
        </w:rPr>
        <w:t>anti-competitive</w:t>
      </w:r>
      <w:proofErr w:type="spellEnd"/>
      <w:r>
        <w:rPr>
          <w:rFonts w:ascii="Arial" w:eastAsia="Arial" w:hAnsi="Arial" w:cs="Arial"/>
          <w:b/>
          <w:sz w:val="22"/>
          <w:szCs w:val="22"/>
        </w:rPr>
        <w:t xml:space="preserve"> idea, but rather enables competition to flourish</w:t>
      </w:r>
      <w:r>
        <w:rPr>
          <w:rFonts w:ascii="Arial" w:eastAsia="Arial" w:hAnsi="Arial" w:cs="Arial"/>
          <w:sz w:val="22"/>
          <w:szCs w:val="22"/>
        </w:rPr>
        <w:t xml:space="preserve">. Should there be evidence of genuine </w:t>
      </w:r>
      <w:proofErr w:type="spellStart"/>
      <w:r>
        <w:rPr>
          <w:rFonts w:ascii="Arial" w:eastAsia="Arial" w:hAnsi="Arial" w:cs="Arial"/>
          <w:sz w:val="22"/>
          <w:szCs w:val="22"/>
        </w:rPr>
        <w:t>anti-competitive</w:t>
      </w:r>
      <w:proofErr w:type="spellEnd"/>
      <w:r>
        <w:rPr>
          <w:rFonts w:ascii="Arial" w:eastAsia="Arial" w:hAnsi="Arial" w:cs="Arial"/>
          <w:sz w:val="22"/>
          <w:szCs w:val="22"/>
        </w:rPr>
        <w:t xml:space="preserve"> behaviour in markets, it is up to competition legislation to resolve the issues or be amended to do so, </w:t>
      </w:r>
      <w:r>
        <w:rPr>
          <w:rFonts w:ascii="Arial" w:eastAsia="Arial" w:hAnsi="Arial" w:cs="Arial"/>
          <w:sz w:val="22"/>
          <w:szCs w:val="22"/>
        </w:rPr>
        <w:t>rather than making unnecessary changes to IP laws.</w:t>
      </w:r>
    </w:p>
    <w:p w:rsidR="00AF069D" w:rsidRDefault="00AF069D">
      <w:pPr>
        <w:spacing w:line="276" w:lineRule="auto"/>
      </w:pPr>
    </w:p>
    <w:p w:rsidR="00AF069D" w:rsidRDefault="00DE38C8">
      <w:pPr>
        <w:spacing w:line="276" w:lineRule="auto"/>
      </w:pPr>
      <w:r>
        <w:rPr>
          <w:rFonts w:ascii="Arial" w:eastAsia="Arial" w:hAnsi="Arial" w:cs="Arial"/>
          <w:sz w:val="22"/>
          <w:szCs w:val="22"/>
          <w:u w:val="single"/>
        </w:rPr>
        <w:t xml:space="preserve">Conclusion </w:t>
      </w:r>
    </w:p>
    <w:p w:rsidR="00AF069D" w:rsidRDefault="00AF069D">
      <w:pPr>
        <w:spacing w:line="276" w:lineRule="auto"/>
      </w:pPr>
    </w:p>
    <w:p w:rsidR="00AF069D" w:rsidRDefault="00DE38C8">
      <w:pPr>
        <w:spacing w:line="276" w:lineRule="auto"/>
      </w:pPr>
      <w:r>
        <w:rPr>
          <w:rFonts w:ascii="Arial" w:eastAsia="Arial" w:hAnsi="Arial" w:cs="Arial"/>
          <w:sz w:val="22"/>
          <w:szCs w:val="22"/>
        </w:rPr>
        <w:t>IP law exists to encourage creativity and investments in new content, and should certainly not be viewed as a barrier to content creation or proliferation. Our industry ultimately requires a stable IP framework in which to operate, so as to ensure certaint</w:t>
      </w:r>
      <w:r>
        <w:rPr>
          <w:rFonts w:ascii="Arial" w:eastAsia="Arial" w:hAnsi="Arial" w:cs="Arial"/>
          <w:sz w:val="22"/>
          <w:szCs w:val="22"/>
        </w:rPr>
        <w:t xml:space="preserve">y. This certainty enables us to invest and innovate in high quality content, remunerate authors and support the local publishing economy and works for smaller markets. </w:t>
      </w:r>
    </w:p>
    <w:p w:rsidR="00AF069D" w:rsidRDefault="00AF069D">
      <w:pPr>
        <w:spacing w:line="276" w:lineRule="auto"/>
      </w:pPr>
    </w:p>
    <w:p w:rsidR="00AF069D" w:rsidRDefault="00DE38C8">
      <w:pPr>
        <w:spacing w:line="276" w:lineRule="auto"/>
      </w:pPr>
      <w:r>
        <w:rPr>
          <w:rFonts w:ascii="Arial" w:eastAsia="Arial" w:hAnsi="Arial" w:cs="Arial"/>
          <w:sz w:val="22"/>
          <w:szCs w:val="22"/>
        </w:rPr>
        <w:t xml:space="preserve">We heavily rely on imports of books to service the Australian market, which also help </w:t>
      </w:r>
      <w:r>
        <w:rPr>
          <w:rFonts w:ascii="Arial" w:eastAsia="Arial" w:hAnsi="Arial" w:cs="Arial"/>
          <w:sz w:val="22"/>
          <w:szCs w:val="22"/>
        </w:rPr>
        <w:t xml:space="preserve">to subsidise local and rarer titles. If the incentive to import books is lost, we simply will not be able to pay for local editions or re-invest in content, and ultimately, our (and other businesses’) presence in Australia comes into question. </w:t>
      </w:r>
    </w:p>
    <w:p w:rsidR="00AF069D" w:rsidRDefault="00AF069D">
      <w:pPr>
        <w:spacing w:line="276" w:lineRule="auto"/>
      </w:pPr>
    </w:p>
    <w:p w:rsidR="00AF069D" w:rsidRDefault="00DE38C8">
      <w:pPr>
        <w:spacing w:line="276" w:lineRule="auto"/>
      </w:pPr>
      <w:r>
        <w:rPr>
          <w:rFonts w:ascii="Arial" w:eastAsia="Arial" w:hAnsi="Arial" w:cs="Arial"/>
          <w:sz w:val="22"/>
          <w:szCs w:val="22"/>
        </w:rPr>
        <w:t>The damage</w:t>
      </w:r>
      <w:r>
        <w:rPr>
          <w:rFonts w:ascii="Arial" w:eastAsia="Arial" w:hAnsi="Arial" w:cs="Arial"/>
          <w:sz w:val="22"/>
          <w:szCs w:val="22"/>
        </w:rPr>
        <w:t xml:space="preserve"> done by parallel imports or over-broad fair use provisions would not only harm educational publishing businesses, but the entire education sector as an influx of lower quality editions flood the market and investment and innovation in content is dramatica</w:t>
      </w:r>
      <w:r>
        <w:rPr>
          <w:rFonts w:ascii="Arial" w:eastAsia="Arial" w:hAnsi="Arial" w:cs="Arial"/>
          <w:sz w:val="22"/>
          <w:szCs w:val="22"/>
        </w:rPr>
        <w:t>lly reduced. As we have seen in Canada, copyright laws that do not strike a fair balance between the rights of content creators and interests of the public will lead to the decimation of a thriving market, meaning everybody loses out.</w:t>
      </w:r>
    </w:p>
    <w:p w:rsidR="00AF069D" w:rsidRDefault="00AF069D">
      <w:pPr>
        <w:spacing w:line="276" w:lineRule="auto"/>
      </w:pPr>
    </w:p>
    <w:p w:rsidR="00AF069D" w:rsidRDefault="00AF069D">
      <w:pPr>
        <w:spacing w:line="276" w:lineRule="auto"/>
      </w:pPr>
    </w:p>
    <w:p w:rsidR="00AF069D" w:rsidRDefault="00AF069D">
      <w:pPr>
        <w:spacing w:line="276" w:lineRule="auto"/>
      </w:pPr>
    </w:p>
    <w:p w:rsidR="00AF069D" w:rsidRDefault="00AF069D">
      <w:pPr>
        <w:spacing w:line="276" w:lineRule="auto"/>
      </w:pPr>
    </w:p>
    <w:p w:rsidR="00AF069D" w:rsidRDefault="00AF069D">
      <w:pPr>
        <w:spacing w:line="276" w:lineRule="auto"/>
      </w:pPr>
    </w:p>
    <w:p w:rsidR="00AF069D" w:rsidRDefault="00DE38C8">
      <w:pPr>
        <w:spacing w:line="276" w:lineRule="auto"/>
      </w:pPr>
      <w:r>
        <w:rPr>
          <w:rFonts w:ascii="Arial" w:eastAsia="Arial" w:hAnsi="Arial" w:cs="Arial"/>
          <w:sz w:val="22"/>
          <w:szCs w:val="22"/>
        </w:rPr>
        <w:t>For further info</w:t>
      </w:r>
      <w:r>
        <w:rPr>
          <w:rFonts w:ascii="Arial" w:eastAsia="Arial" w:hAnsi="Arial" w:cs="Arial"/>
          <w:sz w:val="22"/>
          <w:szCs w:val="22"/>
        </w:rPr>
        <w:t>rmation please contact:</w:t>
      </w:r>
    </w:p>
    <w:p w:rsidR="00AF069D" w:rsidRDefault="00AF069D">
      <w:pPr>
        <w:spacing w:line="276" w:lineRule="auto"/>
      </w:pPr>
    </w:p>
    <w:tbl>
      <w:tblPr>
        <w:tblStyle w:val="a2"/>
        <w:tblW w:w="975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876"/>
        <w:gridCol w:w="4876"/>
      </w:tblGrid>
      <w:tr w:rsidR="00AF069D">
        <w:tc>
          <w:tcPr>
            <w:tcW w:w="4876" w:type="dxa"/>
            <w:tcMar>
              <w:top w:w="100" w:type="dxa"/>
              <w:left w:w="100" w:type="dxa"/>
              <w:bottom w:w="100" w:type="dxa"/>
              <w:right w:w="100" w:type="dxa"/>
            </w:tcMar>
          </w:tcPr>
          <w:p w:rsidR="00AF069D" w:rsidRDefault="00DE38C8">
            <w:pPr>
              <w:widowControl w:val="0"/>
            </w:pPr>
            <w:r>
              <w:rPr>
                <w:rFonts w:ascii="Arial" w:eastAsia="Arial" w:hAnsi="Arial" w:cs="Arial"/>
                <w:sz w:val="22"/>
                <w:szCs w:val="22"/>
              </w:rPr>
              <w:t>David Barnett</w:t>
            </w:r>
          </w:p>
          <w:p w:rsidR="00AF069D" w:rsidRDefault="00DE38C8">
            <w:pPr>
              <w:widowControl w:val="0"/>
            </w:pPr>
            <w:r>
              <w:rPr>
                <w:rFonts w:ascii="Arial" w:eastAsia="Arial" w:hAnsi="Arial" w:cs="Arial"/>
                <w:sz w:val="22"/>
                <w:szCs w:val="22"/>
              </w:rPr>
              <w:t>Managing Director</w:t>
            </w:r>
          </w:p>
        </w:tc>
        <w:tc>
          <w:tcPr>
            <w:tcW w:w="4876" w:type="dxa"/>
            <w:tcMar>
              <w:top w:w="100" w:type="dxa"/>
              <w:left w:w="100" w:type="dxa"/>
              <w:bottom w:w="100" w:type="dxa"/>
              <w:right w:w="100" w:type="dxa"/>
            </w:tcMar>
          </w:tcPr>
          <w:p w:rsidR="00AF069D" w:rsidRDefault="00DE38C8">
            <w:pPr>
              <w:widowControl w:val="0"/>
            </w:pPr>
            <w:r>
              <w:rPr>
                <w:rFonts w:ascii="Arial" w:eastAsia="Arial" w:hAnsi="Arial" w:cs="Arial"/>
                <w:sz w:val="22"/>
                <w:szCs w:val="22"/>
              </w:rPr>
              <w:t>Heather Gilmore</w:t>
            </w:r>
          </w:p>
          <w:p w:rsidR="00AF069D" w:rsidRDefault="00DE38C8">
            <w:pPr>
              <w:widowControl w:val="0"/>
            </w:pPr>
            <w:r>
              <w:rPr>
                <w:rFonts w:ascii="Arial" w:eastAsia="Arial" w:hAnsi="Arial" w:cs="Arial"/>
                <w:sz w:val="22"/>
                <w:szCs w:val="22"/>
              </w:rPr>
              <w:t>Corporate Affairs Director</w:t>
            </w:r>
          </w:p>
        </w:tc>
      </w:tr>
    </w:tbl>
    <w:p w:rsidR="00AF069D" w:rsidRDefault="00AF069D">
      <w:pPr>
        <w:spacing w:line="276" w:lineRule="auto"/>
      </w:pPr>
    </w:p>
    <w:p w:rsidR="00AF069D" w:rsidRDefault="00DE38C8">
      <w:pPr>
        <w:spacing w:line="276" w:lineRule="auto"/>
      </w:pPr>
      <w:r>
        <w:rPr>
          <w:rFonts w:ascii="Arial" w:eastAsia="Arial" w:hAnsi="Arial" w:cs="Arial"/>
          <w:sz w:val="22"/>
          <w:szCs w:val="22"/>
        </w:rPr>
        <w:t xml:space="preserve"> </w:t>
      </w:r>
    </w:p>
    <w:sectPr w:rsidR="00AF069D">
      <w:headerReference w:type="default" r:id="rId9"/>
      <w:footerReference w:type="default" r:id="rId10"/>
      <w:pgSz w:w="11906" w:h="16838"/>
      <w:pgMar w:top="2665" w:right="1077" w:bottom="680" w:left="1077"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E38C8">
      <w:r>
        <w:separator/>
      </w:r>
    </w:p>
  </w:endnote>
  <w:endnote w:type="continuationSeparator" w:id="0">
    <w:p w:rsidR="00000000" w:rsidRDefault="00DE3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69D" w:rsidRDefault="00AF069D">
    <w:pPr>
      <w:spacing w:before="120" w:after="66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E38C8">
      <w:r>
        <w:separator/>
      </w:r>
    </w:p>
  </w:footnote>
  <w:footnote w:type="continuationSeparator" w:id="0">
    <w:p w:rsidR="00000000" w:rsidRDefault="00DE3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69D" w:rsidRDefault="00AF069D">
    <w:pPr>
      <w:widowControl w:val="0"/>
      <w:spacing w:line="276" w:lineRule="auto"/>
    </w:pPr>
  </w:p>
  <w:tbl>
    <w:tblPr>
      <w:tblStyle w:val="a3"/>
      <w:tblW w:w="11340" w:type="dxa"/>
      <w:tblBorders>
        <w:top w:val="nil"/>
        <w:left w:val="nil"/>
        <w:bottom w:val="nil"/>
        <w:right w:val="nil"/>
        <w:insideH w:val="nil"/>
        <w:insideV w:val="nil"/>
      </w:tblBorders>
      <w:tblLayout w:type="fixed"/>
      <w:tblLook w:val="0000" w:firstRow="0" w:lastRow="0" w:firstColumn="0" w:lastColumn="0" w:noHBand="0" w:noVBand="0"/>
    </w:tblPr>
    <w:tblGrid>
      <w:gridCol w:w="11340"/>
    </w:tblGrid>
    <w:tr w:rsidR="00AF069D">
      <w:trPr>
        <w:trHeight w:val="780"/>
      </w:trPr>
      <w:tc>
        <w:tcPr>
          <w:tcW w:w="11340" w:type="dxa"/>
        </w:tcPr>
        <w:p w:rsidR="00AF069D" w:rsidRDefault="00DE38C8">
          <w:pPr>
            <w:tabs>
              <w:tab w:val="center" w:pos="4153"/>
              <w:tab w:val="right" w:pos="8306"/>
            </w:tabs>
            <w:spacing w:before="284"/>
            <w:contextualSpacing w:val="0"/>
          </w:pPr>
          <w:r>
            <w:rPr>
              <w:noProof/>
            </w:rPr>
            <w:drawing>
              <wp:inline distT="0" distB="0" distL="0" distR="0">
                <wp:extent cx="7200900" cy="504825"/>
                <wp:effectExtent l="0" t="0" r="0" b="0"/>
                <wp:docPr id="1" name="image01.jpg" descr="DG_Bar_Blue_A4_RGB"/>
                <wp:cNvGraphicFramePr/>
                <a:graphic xmlns:a="http://schemas.openxmlformats.org/drawingml/2006/main">
                  <a:graphicData uri="http://schemas.openxmlformats.org/drawingml/2006/picture">
                    <pic:pic xmlns:pic="http://schemas.openxmlformats.org/drawingml/2006/picture">
                      <pic:nvPicPr>
                        <pic:cNvPr id="0" name="image01.jpg" descr="DG_Bar_Blue_A4_RGB"/>
                        <pic:cNvPicPr preferRelativeResize="0"/>
                      </pic:nvPicPr>
                      <pic:blipFill>
                        <a:blip r:embed="rId1"/>
                        <a:srcRect/>
                        <a:stretch>
                          <a:fillRect/>
                        </a:stretch>
                      </pic:blipFill>
                      <pic:spPr>
                        <a:xfrm>
                          <a:off x="0" y="0"/>
                          <a:ext cx="7200900" cy="504825"/>
                        </a:xfrm>
                        <a:prstGeom prst="rect">
                          <a:avLst/>
                        </a:prstGeom>
                        <a:ln/>
                      </pic:spPr>
                    </pic:pic>
                  </a:graphicData>
                </a:graphic>
              </wp:inline>
            </w:drawing>
          </w:r>
        </w:p>
      </w:tc>
    </w:tr>
  </w:tbl>
  <w:p w:rsidR="00AF069D" w:rsidRDefault="00AF069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F069D"/>
    <w:rsid w:val="00AF069D"/>
    <w:rsid w:val="00DE38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color w:val="000000"/>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pPr>
      <w:contextualSpacing/>
    </w:pPr>
    <w:tblPr>
      <w:tblStyleRowBandSize w:val="1"/>
      <w:tblStyleColBandSize w:val="1"/>
      <w:tblInd w:w="0" w:type="dxa"/>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E38C8"/>
    <w:rPr>
      <w:rFonts w:ascii="Tahoma" w:hAnsi="Tahoma" w:cs="Tahoma"/>
      <w:sz w:val="16"/>
      <w:szCs w:val="16"/>
    </w:rPr>
  </w:style>
  <w:style w:type="character" w:customStyle="1" w:styleId="BalloonTextChar">
    <w:name w:val="Balloon Text Char"/>
    <w:basedOn w:val="DefaultParagraphFont"/>
    <w:link w:val="BalloonText"/>
    <w:uiPriority w:val="99"/>
    <w:semiHidden/>
    <w:rsid w:val="00DE38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color w:val="000000"/>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pPr>
      <w:contextualSpacing/>
    </w:pPr>
    <w:tblPr>
      <w:tblStyleRowBandSize w:val="1"/>
      <w:tblStyleColBandSize w:val="1"/>
      <w:tblInd w:w="0" w:type="dxa"/>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E38C8"/>
    <w:rPr>
      <w:rFonts w:ascii="Tahoma" w:hAnsi="Tahoma" w:cs="Tahoma"/>
      <w:sz w:val="16"/>
      <w:szCs w:val="16"/>
    </w:rPr>
  </w:style>
  <w:style w:type="character" w:customStyle="1" w:styleId="BalloonTextChar">
    <w:name w:val="Balloon Text Char"/>
    <w:basedOn w:val="DefaultParagraphFont"/>
    <w:link w:val="BalloonText"/>
    <w:uiPriority w:val="99"/>
    <w:semiHidden/>
    <w:rsid w:val="00DE38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ntellectualproperty@pc.gov.au" TargetMode="External"/><Relationship Id="rId3" Type="http://schemas.openxmlformats.org/officeDocument/2006/relationships/settings" Target="settings.xml"/><Relationship Id="rId7" Type="http://schemas.openxmlformats.org/officeDocument/2006/relationships/hyperlink" Target="http://www.pearson.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2100</Words>
  <Characters>11976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Submission DR398 - Pearson Australia - Intellectual Property Arrangements - Pubmlic inquiry</vt:lpstr>
    </vt:vector>
  </TitlesOfParts>
  <Company>Pearson Australia</Company>
  <LinksUpToDate>false</LinksUpToDate>
  <CharactersWithSpaces>14048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DR398 - Pearson Australia - Intellectual Property Arrangements - Pubmlic inquiry</dc:title>
  <dc:creator>Pearson Australia</dc:creator>
  <cp:lastModifiedBy>Productivity Commission</cp:lastModifiedBy>
  <cp:revision>2</cp:revision>
  <dcterms:created xsi:type="dcterms:W3CDTF">2016-06-09T04:31:00Z</dcterms:created>
  <dcterms:modified xsi:type="dcterms:W3CDTF">2016-06-09T04:32:00Z</dcterms:modified>
</cp:coreProperties>
</file>