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8C7" w:rsidRPr="00236292" w:rsidRDefault="00B848C7" w:rsidP="00B848C7">
      <w:pPr>
        <w:tabs>
          <w:tab w:val="right" w:pos="9639"/>
        </w:tabs>
        <w:spacing w:line="24" w:lineRule="atLeast"/>
        <w:jc w:val="right"/>
        <w:rPr>
          <w:sz w:val="24"/>
        </w:rPr>
      </w:pPr>
      <w:r w:rsidRPr="00236292">
        <w:rPr>
          <w:b/>
          <w:sz w:val="24"/>
        </w:rPr>
        <w:tab/>
      </w:r>
    </w:p>
    <w:p w:rsidR="00B848C7" w:rsidRPr="00236292" w:rsidRDefault="00B848C7" w:rsidP="00B848C7">
      <w:pPr>
        <w:spacing w:line="120" w:lineRule="exact"/>
        <w:ind w:right="-249"/>
        <w:rPr>
          <w:b/>
          <w:sz w:val="24"/>
        </w:rPr>
      </w:pPr>
    </w:p>
    <w:p w:rsidR="000B78D8" w:rsidRPr="000B78D8" w:rsidRDefault="000B78D8" w:rsidP="000B78D8">
      <w:pPr>
        <w:spacing w:after="240" w:line="360" w:lineRule="auto"/>
        <w:jc w:val="center"/>
        <w:rPr>
          <w:rFonts w:asciiTheme="minorHAnsi" w:eastAsiaTheme="minorHAnsi" w:hAnsiTheme="minorHAnsi" w:cs="Arial"/>
          <w:b/>
          <w:noProof/>
          <w:sz w:val="22"/>
          <w:szCs w:val="22"/>
        </w:rPr>
      </w:pPr>
    </w:p>
    <w:p w:rsidR="000B78D8" w:rsidRPr="000B78D8" w:rsidRDefault="000B78D8" w:rsidP="000B78D8">
      <w:pPr>
        <w:spacing w:after="240" w:line="360" w:lineRule="auto"/>
        <w:jc w:val="center"/>
        <w:rPr>
          <w:rFonts w:ascii="Arial" w:eastAsiaTheme="minorHAnsi" w:hAnsi="Arial" w:cs="Arial"/>
          <w:b/>
          <w:sz w:val="22"/>
          <w:szCs w:val="22"/>
          <w:lang w:eastAsia="en-US"/>
        </w:rPr>
      </w:pPr>
      <w:r w:rsidRPr="000B78D8">
        <w:rPr>
          <w:rFonts w:asciiTheme="minorHAnsi" w:eastAsiaTheme="minorHAnsi" w:hAnsiTheme="minorHAnsi" w:cs="Arial"/>
          <w:b/>
          <w:noProof/>
          <w:sz w:val="22"/>
          <w:szCs w:val="22"/>
        </w:rPr>
        <w:drawing>
          <wp:inline distT="0" distB="0" distL="0" distR="0" wp14:anchorId="3A66957B" wp14:editId="0C816C13">
            <wp:extent cx="5731510" cy="10985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EU Nat Email_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098550"/>
                    </a:xfrm>
                    <a:prstGeom prst="rect">
                      <a:avLst/>
                    </a:prstGeom>
                  </pic:spPr>
                </pic:pic>
              </a:graphicData>
            </a:graphic>
          </wp:inline>
        </w:drawing>
      </w:r>
    </w:p>
    <w:p w:rsidR="000B78D8" w:rsidRPr="000B78D8" w:rsidRDefault="000B78D8" w:rsidP="000B78D8">
      <w:pPr>
        <w:spacing w:after="240" w:line="360" w:lineRule="auto"/>
        <w:jc w:val="center"/>
        <w:rPr>
          <w:rFonts w:ascii="Arial" w:eastAsiaTheme="minorHAnsi" w:hAnsi="Arial" w:cs="Arial"/>
          <w:b/>
          <w:sz w:val="22"/>
          <w:szCs w:val="22"/>
          <w:lang w:eastAsia="en-US"/>
        </w:rPr>
      </w:pPr>
      <w:proofErr w:type="spellStart"/>
      <w:r w:rsidRPr="000B78D8">
        <w:rPr>
          <w:rFonts w:ascii="Arial" w:eastAsiaTheme="minorHAnsi" w:hAnsi="Arial" w:cs="Arial"/>
          <w:b/>
          <w:sz w:val="22"/>
          <w:szCs w:val="22"/>
          <w:lang w:eastAsia="en-US"/>
        </w:rPr>
        <w:t>NTEU</w:t>
      </w:r>
      <w:proofErr w:type="spellEnd"/>
      <w:r w:rsidRPr="000B78D8">
        <w:rPr>
          <w:rFonts w:ascii="Arial" w:eastAsiaTheme="minorHAnsi" w:hAnsi="Arial" w:cs="Arial"/>
          <w:b/>
          <w:sz w:val="22"/>
          <w:szCs w:val="22"/>
          <w:lang w:eastAsia="en-US"/>
        </w:rPr>
        <w:t xml:space="preserve"> Submission to the Productivity Commission’s</w:t>
      </w:r>
    </w:p>
    <w:p w:rsidR="000B78D8" w:rsidRPr="000B78D8" w:rsidRDefault="000B78D8" w:rsidP="000B78D8">
      <w:pPr>
        <w:spacing w:after="240" w:line="360" w:lineRule="auto"/>
        <w:jc w:val="center"/>
        <w:rPr>
          <w:rFonts w:ascii="Arial" w:eastAsiaTheme="minorHAnsi" w:hAnsi="Arial" w:cs="Arial"/>
          <w:b/>
          <w:sz w:val="32"/>
          <w:szCs w:val="32"/>
          <w:lang w:eastAsia="en-US"/>
        </w:rPr>
      </w:pPr>
      <w:r w:rsidRPr="000B78D8">
        <w:rPr>
          <w:rFonts w:ascii="Arial" w:eastAsiaTheme="minorHAnsi" w:hAnsi="Arial" w:cs="Arial"/>
          <w:b/>
          <w:sz w:val="32"/>
          <w:szCs w:val="32"/>
          <w:lang w:eastAsia="en-US"/>
        </w:rPr>
        <w:t>Inquiry into Intellectual Property Arrangements</w:t>
      </w:r>
    </w:p>
    <w:p w:rsidR="000B78D8" w:rsidRPr="000B78D8" w:rsidRDefault="000B78D8" w:rsidP="000B78D8">
      <w:pPr>
        <w:spacing w:after="200"/>
        <w:rPr>
          <w:rFonts w:ascii="Arial" w:eastAsiaTheme="minorHAnsi" w:hAnsi="Arial" w:cs="Arial"/>
          <w:b/>
          <w:sz w:val="22"/>
          <w:szCs w:val="22"/>
          <w:lang w:eastAsia="en-US"/>
        </w:rPr>
      </w:pPr>
    </w:p>
    <w:sdt>
      <w:sdtPr>
        <w:rPr>
          <w:rFonts w:asciiTheme="minorHAnsi" w:eastAsiaTheme="minorHAnsi" w:hAnsiTheme="minorHAnsi" w:cstheme="minorBidi"/>
          <w:sz w:val="22"/>
          <w:szCs w:val="22"/>
          <w:lang w:eastAsia="en-US"/>
        </w:rPr>
        <w:id w:val="15436241"/>
        <w:docPartObj>
          <w:docPartGallery w:val="Table of Contents"/>
          <w:docPartUnique/>
        </w:docPartObj>
      </w:sdtPr>
      <w:sdtEndPr>
        <w:rPr>
          <w:rFonts w:ascii="Arial" w:hAnsi="Arial" w:cs="Arial"/>
          <w:bCs/>
          <w:noProof/>
        </w:rPr>
      </w:sdtEndPr>
      <w:sdtContent>
        <w:p w:rsidR="000B78D8" w:rsidRPr="000B78D8" w:rsidRDefault="000B78D8" w:rsidP="000B78D8">
          <w:pPr>
            <w:keepNext/>
            <w:keepLines/>
            <w:spacing w:before="240" w:line="259" w:lineRule="auto"/>
            <w:rPr>
              <w:rFonts w:ascii="Arial" w:eastAsiaTheme="majorEastAsia" w:hAnsi="Arial" w:cstheme="majorBidi"/>
              <w:b/>
              <w:sz w:val="24"/>
              <w:szCs w:val="32"/>
              <w:lang w:val="en-US" w:eastAsia="en-US"/>
            </w:rPr>
          </w:pPr>
          <w:r w:rsidRPr="000B78D8">
            <w:rPr>
              <w:rFonts w:ascii="Arial" w:eastAsiaTheme="majorEastAsia" w:hAnsi="Arial" w:cstheme="majorBidi"/>
              <w:b/>
              <w:sz w:val="24"/>
              <w:szCs w:val="32"/>
              <w:lang w:val="en-US" w:eastAsia="en-US"/>
            </w:rPr>
            <w:t>Table of Contents</w:t>
          </w:r>
        </w:p>
        <w:p w:rsidR="000B78D8" w:rsidRPr="000B78D8" w:rsidRDefault="000B78D8" w:rsidP="000B78D8">
          <w:pPr>
            <w:spacing w:after="200" w:line="276" w:lineRule="auto"/>
            <w:rPr>
              <w:rFonts w:asciiTheme="minorHAnsi" w:eastAsiaTheme="minorHAnsi" w:hAnsiTheme="minorHAnsi" w:cstheme="minorBidi"/>
              <w:sz w:val="22"/>
              <w:szCs w:val="22"/>
              <w:lang w:val="en-US" w:eastAsia="en-US"/>
            </w:rPr>
          </w:pPr>
        </w:p>
        <w:p w:rsidR="00A00CCD" w:rsidRPr="00A00CCD" w:rsidRDefault="000B78D8" w:rsidP="007116C6">
          <w:pPr>
            <w:pStyle w:val="TOC1"/>
            <w:tabs>
              <w:tab w:val="right" w:leader="dot" w:pos="9855"/>
            </w:tabs>
            <w:spacing w:line="360" w:lineRule="auto"/>
            <w:rPr>
              <w:rFonts w:ascii="Arial" w:hAnsi="Arial" w:cs="Arial"/>
              <w:noProof/>
              <w:sz w:val="22"/>
              <w:szCs w:val="22"/>
            </w:rPr>
          </w:pPr>
          <w:r w:rsidRPr="000B78D8">
            <w:rPr>
              <w:rFonts w:ascii="Arial" w:eastAsiaTheme="minorHAnsi" w:hAnsi="Arial" w:cs="Arial"/>
              <w:sz w:val="22"/>
              <w:szCs w:val="22"/>
              <w:lang w:eastAsia="en-US"/>
            </w:rPr>
            <w:fldChar w:fldCharType="begin"/>
          </w:r>
          <w:r w:rsidRPr="000B78D8">
            <w:rPr>
              <w:rFonts w:ascii="Arial" w:eastAsiaTheme="minorHAnsi" w:hAnsi="Arial" w:cs="Arial"/>
              <w:sz w:val="22"/>
              <w:szCs w:val="22"/>
              <w:lang w:eastAsia="en-US"/>
            </w:rPr>
            <w:instrText xml:space="preserve"> TOC \o "1-3" \h \z \u </w:instrText>
          </w:r>
          <w:r w:rsidRPr="000B78D8">
            <w:rPr>
              <w:rFonts w:ascii="Arial" w:eastAsiaTheme="minorHAnsi" w:hAnsi="Arial" w:cs="Arial"/>
              <w:sz w:val="22"/>
              <w:szCs w:val="22"/>
              <w:lang w:eastAsia="en-US"/>
            </w:rPr>
            <w:fldChar w:fldCharType="separate"/>
          </w:r>
          <w:hyperlink w:anchor="_Toc436652138" w:history="1">
            <w:r w:rsidR="00A00CCD" w:rsidRPr="00A00CCD">
              <w:rPr>
                <w:rStyle w:val="Hyperlink"/>
                <w:rFonts w:ascii="Arial" w:eastAsiaTheme="majorEastAsia" w:hAnsi="Arial" w:cs="Arial"/>
                <w:noProof/>
                <w:sz w:val="22"/>
                <w:szCs w:val="22"/>
                <w:lang w:eastAsia="en-US"/>
              </w:rPr>
              <w:t>Introduction</w:t>
            </w:r>
            <w:r w:rsidR="00A00CCD" w:rsidRPr="00A00CCD">
              <w:rPr>
                <w:rFonts w:ascii="Arial" w:hAnsi="Arial" w:cs="Arial"/>
                <w:noProof/>
                <w:webHidden/>
                <w:sz w:val="22"/>
                <w:szCs w:val="22"/>
              </w:rPr>
              <w:tab/>
            </w:r>
            <w:r w:rsidR="00A00CCD" w:rsidRPr="00A00CCD">
              <w:rPr>
                <w:rFonts w:ascii="Arial" w:hAnsi="Arial" w:cs="Arial"/>
                <w:noProof/>
                <w:webHidden/>
                <w:sz w:val="22"/>
                <w:szCs w:val="22"/>
              </w:rPr>
              <w:fldChar w:fldCharType="begin"/>
            </w:r>
            <w:r w:rsidR="00A00CCD" w:rsidRPr="00A00CCD">
              <w:rPr>
                <w:rFonts w:ascii="Arial" w:hAnsi="Arial" w:cs="Arial"/>
                <w:noProof/>
                <w:webHidden/>
                <w:sz w:val="22"/>
                <w:szCs w:val="22"/>
              </w:rPr>
              <w:instrText xml:space="preserve"> PAGEREF _Toc436652138 \h </w:instrText>
            </w:r>
            <w:r w:rsidR="00A00CCD" w:rsidRPr="00A00CCD">
              <w:rPr>
                <w:rFonts w:ascii="Arial" w:hAnsi="Arial" w:cs="Arial"/>
                <w:noProof/>
                <w:webHidden/>
                <w:sz w:val="22"/>
                <w:szCs w:val="22"/>
              </w:rPr>
            </w:r>
            <w:r w:rsidR="00A00CCD" w:rsidRPr="00A00CCD">
              <w:rPr>
                <w:rFonts w:ascii="Arial" w:hAnsi="Arial" w:cs="Arial"/>
                <w:noProof/>
                <w:webHidden/>
                <w:sz w:val="22"/>
                <w:szCs w:val="22"/>
              </w:rPr>
              <w:fldChar w:fldCharType="separate"/>
            </w:r>
            <w:r w:rsidR="00A00CCD" w:rsidRPr="00A00CCD">
              <w:rPr>
                <w:rFonts w:ascii="Arial" w:hAnsi="Arial" w:cs="Arial"/>
                <w:noProof/>
                <w:webHidden/>
                <w:sz w:val="22"/>
                <w:szCs w:val="22"/>
              </w:rPr>
              <w:t>3</w:t>
            </w:r>
            <w:r w:rsidR="00A00CCD" w:rsidRPr="00A00CCD">
              <w:rPr>
                <w:rFonts w:ascii="Arial" w:hAnsi="Arial" w:cs="Arial"/>
                <w:noProof/>
                <w:webHidden/>
                <w:sz w:val="22"/>
                <w:szCs w:val="22"/>
              </w:rPr>
              <w:fldChar w:fldCharType="end"/>
            </w:r>
          </w:hyperlink>
        </w:p>
        <w:p w:rsidR="00A00CCD" w:rsidRPr="00A00CCD" w:rsidRDefault="00677A10" w:rsidP="007116C6">
          <w:pPr>
            <w:pStyle w:val="TOC1"/>
            <w:tabs>
              <w:tab w:val="right" w:leader="dot" w:pos="9855"/>
            </w:tabs>
            <w:spacing w:line="360" w:lineRule="auto"/>
            <w:rPr>
              <w:rFonts w:ascii="Arial" w:hAnsi="Arial" w:cs="Arial"/>
              <w:noProof/>
              <w:sz w:val="22"/>
              <w:szCs w:val="22"/>
            </w:rPr>
          </w:pPr>
          <w:hyperlink w:anchor="_Toc436652139" w:history="1">
            <w:r w:rsidR="00A00CCD" w:rsidRPr="00A00CCD">
              <w:rPr>
                <w:rStyle w:val="Hyperlink"/>
                <w:rFonts w:ascii="Arial" w:eastAsiaTheme="majorEastAsia" w:hAnsi="Arial" w:cs="Arial"/>
                <w:noProof/>
                <w:sz w:val="22"/>
                <w:szCs w:val="22"/>
                <w:lang w:eastAsia="en-US"/>
              </w:rPr>
              <w:t>Distinctiveness of universities in the R&amp;D ecosystem</w:t>
            </w:r>
            <w:r w:rsidR="00A00CCD" w:rsidRPr="00A00CCD">
              <w:rPr>
                <w:rFonts w:ascii="Arial" w:hAnsi="Arial" w:cs="Arial"/>
                <w:noProof/>
                <w:webHidden/>
                <w:sz w:val="22"/>
                <w:szCs w:val="22"/>
              </w:rPr>
              <w:tab/>
            </w:r>
            <w:r w:rsidR="00A00CCD" w:rsidRPr="00A00CCD">
              <w:rPr>
                <w:rFonts w:ascii="Arial" w:hAnsi="Arial" w:cs="Arial"/>
                <w:noProof/>
                <w:webHidden/>
                <w:sz w:val="22"/>
                <w:szCs w:val="22"/>
              </w:rPr>
              <w:fldChar w:fldCharType="begin"/>
            </w:r>
            <w:r w:rsidR="00A00CCD" w:rsidRPr="00A00CCD">
              <w:rPr>
                <w:rFonts w:ascii="Arial" w:hAnsi="Arial" w:cs="Arial"/>
                <w:noProof/>
                <w:webHidden/>
                <w:sz w:val="22"/>
                <w:szCs w:val="22"/>
              </w:rPr>
              <w:instrText xml:space="preserve"> PAGEREF _Toc436652139 \h </w:instrText>
            </w:r>
            <w:r w:rsidR="00A00CCD" w:rsidRPr="00A00CCD">
              <w:rPr>
                <w:rFonts w:ascii="Arial" w:hAnsi="Arial" w:cs="Arial"/>
                <w:noProof/>
                <w:webHidden/>
                <w:sz w:val="22"/>
                <w:szCs w:val="22"/>
              </w:rPr>
            </w:r>
            <w:r w:rsidR="00A00CCD" w:rsidRPr="00A00CCD">
              <w:rPr>
                <w:rFonts w:ascii="Arial" w:hAnsi="Arial" w:cs="Arial"/>
                <w:noProof/>
                <w:webHidden/>
                <w:sz w:val="22"/>
                <w:szCs w:val="22"/>
              </w:rPr>
              <w:fldChar w:fldCharType="separate"/>
            </w:r>
            <w:r w:rsidR="00A00CCD" w:rsidRPr="00A00CCD">
              <w:rPr>
                <w:rFonts w:ascii="Arial" w:hAnsi="Arial" w:cs="Arial"/>
                <w:noProof/>
                <w:webHidden/>
                <w:sz w:val="22"/>
                <w:szCs w:val="22"/>
              </w:rPr>
              <w:t>4</w:t>
            </w:r>
            <w:r w:rsidR="00A00CCD" w:rsidRPr="00A00CCD">
              <w:rPr>
                <w:rFonts w:ascii="Arial" w:hAnsi="Arial" w:cs="Arial"/>
                <w:noProof/>
                <w:webHidden/>
                <w:sz w:val="22"/>
                <w:szCs w:val="22"/>
              </w:rPr>
              <w:fldChar w:fldCharType="end"/>
            </w:r>
          </w:hyperlink>
        </w:p>
        <w:p w:rsidR="00A00CCD" w:rsidRPr="00A00CCD" w:rsidRDefault="00677A10" w:rsidP="007116C6">
          <w:pPr>
            <w:pStyle w:val="TOC1"/>
            <w:tabs>
              <w:tab w:val="right" w:leader="dot" w:pos="9855"/>
            </w:tabs>
            <w:spacing w:line="360" w:lineRule="auto"/>
            <w:rPr>
              <w:rFonts w:ascii="Arial" w:hAnsi="Arial" w:cs="Arial"/>
              <w:noProof/>
              <w:sz w:val="22"/>
              <w:szCs w:val="22"/>
            </w:rPr>
          </w:pPr>
          <w:hyperlink w:anchor="_Toc436652140" w:history="1">
            <w:r w:rsidR="00A00CCD" w:rsidRPr="00A00CCD">
              <w:rPr>
                <w:rStyle w:val="Hyperlink"/>
                <w:rFonts w:ascii="Arial" w:eastAsiaTheme="majorEastAsia" w:hAnsi="Arial" w:cs="Arial"/>
                <w:noProof/>
                <w:sz w:val="22"/>
                <w:szCs w:val="22"/>
                <w:lang w:eastAsia="en-US"/>
              </w:rPr>
              <w:t>Implications for the Intellectual Property (IP) system</w:t>
            </w:r>
            <w:r w:rsidR="00A00CCD" w:rsidRPr="00A00CCD">
              <w:rPr>
                <w:rFonts w:ascii="Arial" w:hAnsi="Arial" w:cs="Arial"/>
                <w:noProof/>
                <w:webHidden/>
                <w:sz w:val="22"/>
                <w:szCs w:val="22"/>
              </w:rPr>
              <w:tab/>
            </w:r>
            <w:r w:rsidR="00A00CCD" w:rsidRPr="00A00CCD">
              <w:rPr>
                <w:rFonts w:ascii="Arial" w:hAnsi="Arial" w:cs="Arial"/>
                <w:noProof/>
                <w:webHidden/>
                <w:sz w:val="22"/>
                <w:szCs w:val="22"/>
              </w:rPr>
              <w:fldChar w:fldCharType="begin"/>
            </w:r>
            <w:r w:rsidR="00A00CCD" w:rsidRPr="00A00CCD">
              <w:rPr>
                <w:rFonts w:ascii="Arial" w:hAnsi="Arial" w:cs="Arial"/>
                <w:noProof/>
                <w:webHidden/>
                <w:sz w:val="22"/>
                <w:szCs w:val="22"/>
              </w:rPr>
              <w:instrText xml:space="preserve"> PAGEREF _Toc436652140 \h </w:instrText>
            </w:r>
            <w:r w:rsidR="00A00CCD" w:rsidRPr="00A00CCD">
              <w:rPr>
                <w:rFonts w:ascii="Arial" w:hAnsi="Arial" w:cs="Arial"/>
                <w:noProof/>
                <w:webHidden/>
                <w:sz w:val="22"/>
                <w:szCs w:val="22"/>
              </w:rPr>
            </w:r>
            <w:r w:rsidR="00A00CCD" w:rsidRPr="00A00CCD">
              <w:rPr>
                <w:rFonts w:ascii="Arial" w:hAnsi="Arial" w:cs="Arial"/>
                <w:noProof/>
                <w:webHidden/>
                <w:sz w:val="22"/>
                <w:szCs w:val="22"/>
              </w:rPr>
              <w:fldChar w:fldCharType="separate"/>
            </w:r>
            <w:r w:rsidR="00A00CCD" w:rsidRPr="00A00CCD">
              <w:rPr>
                <w:rFonts w:ascii="Arial" w:hAnsi="Arial" w:cs="Arial"/>
                <w:noProof/>
                <w:webHidden/>
                <w:sz w:val="22"/>
                <w:szCs w:val="22"/>
              </w:rPr>
              <w:t>6</w:t>
            </w:r>
            <w:r w:rsidR="00A00CCD" w:rsidRPr="00A00CCD">
              <w:rPr>
                <w:rFonts w:ascii="Arial" w:hAnsi="Arial" w:cs="Arial"/>
                <w:noProof/>
                <w:webHidden/>
                <w:sz w:val="22"/>
                <w:szCs w:val="22"/>
              </w:rPr>
              <w:fldChar w:fldCharType="end"/>
            </w:r>
          </w:hyperlink>
        </w:p>
        <w:p w:rsidR="00A00CCD" w:rsidRPr="00A00CCD" w:rsidRDefault="00677A10" w:rsidP="007116C6">
          <w:pPr>
            <w:pStyle w:val="TOC1"/>
            <w:tabs>
              <w:tab w:val="right" w:leader="dot" w:pos="9855"/>
            </w:tabs>
            <w:spacing w:line="360" w:lineRule="auto"/>
            <w:rPr>
              <w:rFonts w:ascii="Arial" w:hAnsi="Arial" w:cs="Arial"/>
              <w:noProof/>
              <w:sz w:val="22"/>
              <w:szCs w:val="22"/>
            </w:rPr>
          </w:pPr>
          <w:hyperlink w:anchor="_Toc436652141" w:history="1">
            <w:r w:rsidR="00A00CCD" w:rsidRPr="00A00CCD">
              <w:rPr>
                <w:rStyle w:val="Hyperlink"/>
                <w:rFonts w:ascii="Arial" w:eastAsiaTheme="majorEastAsia" w:hAnsi="Arial" w:cs="Arial"/>
                <w:noProof/>
                <w:sz w:val="22"/>
                <w:szCs w:val="22"/>
                <w:lang w:eastAsia="en-US"/>
              </w:rPr>
              <w:t>Public protections for university IP creators and users</w:t>
            </w:r>
            <w:r w:rsidR="00A00CCD" w:rsidRPr="00A00CCD">
              <w:rPr>
                <w:rFonts w:ascii="Arial" w:hAnsi="Arial" w:cs="Arial"/>
                <w:noProof/>
                <w:webHidden/>
                <w:sz w:val="22"/>
                <w:szCs w:val="22"/>
              </w:rPr>
              <w:tab/>
            </w:r>
            <w:r w:rsidR="00A00CCD" w:rsidRPr="00A00CCD">
              <w:rPr>
                <w:rFonts w:ascii="Arial" w:hAnsi="Arial" w:cs="Arial"/>
                <w:noProof/>
                <w:webHidden/>
                <w:sz w:val="22"/>
                <w:szCs w:val="22"/>
              </w:rPr>
              <w:fldChar w:fldCharType="begin"/>
            </w:r>
            <w:r w:rsidR="00A00CCD" w:rsidRPr="00A00CCD">
              <w:rPr>
                <w:rFonts w:ascii="Arial" w:hAnsi="Arial" w:cs="Arial"/>
                <w:noProof/>
                <w:webHidden/>
                <w:sz w:val="22"/>
                <w:szCs w:val="22"/>
              </w:rPr>
              <w:instrText xml:space="preserve"> PAGEREF _Toc436652141 \h </w:instrText>
            </w:r>
            <w:r w:rsidR="00A00CCD" w:rsidRPr="00A00CCD">
              <w:rPr>
                <w:rFonts w:ascii="Arial" w:hAnsi="Arial" w:cs="Arial"/>
                <w:noProof/>
                <w:webHidden/>
                <w:sz w:val="22"/>
                <w:szCs w:val="22"/>
              </w:rPr>
            </w:r>
            <w:r w:rsidR="00A00CCD" w:rsidRPr="00A00CCD">
              <w:rPr>
                <w:rFonts w:ascii="Arial" w:hAnsi="Arial" w:cs="Arial"/>
                <w:noProof/>
                <w:webHidden/>
                <w:sz w:val="22"/>
                <w:szCs w:val="22"/>
              </w:rPr>
              <w:fldChar w:fldCharType="separate"/>
            </w:r>
            <w:r w:rsidR="00A00CCD" w:rsidRPr="00A00CCD">
              <w:rPr>
                <w:rFonts w:ascii="Arial" w:hAnsi="Arial" w:cs="Arial"/>
                <w:noProof/>
                <w:webHidden/>
                <w:sz w:val="22"/>
                <w:szCs w:val="22"/>
              </w:rPr>
              <w:t>6</w:t>
            </w:r>
            <w:r w:rsidR="00A00CCD" w:rsidRPr="00A00CCD">
              <w:rPr>
                <w:rFonts w:ascii="Arial" w:hAnsi="Arial" w:cs="Arial"/>
                <w:noProof/>
                <w:webHidden/>
                <w:sz w:val="22"/>
                <w:szCs w:val="22"/>
              </w:rPr>
              <w:fldChar w:fldCharType="end"/>
            </w:r>
          </w:hyperlink>
        </w:p>
        <w:p w:rsidR="00A00CCD" w:rsidRPr="00A00CCD" w:rsidRDefault="00677A10" w:rsidP="007116C6">
          <w:pPr>
            <w:pStyle w:val="TOC1"/>
            <w:tabs>
              <w:tab w:val="right" w:leader="dot" w:pos="9855"/>
            </w:tabs>
            <w:spacing w:line="360" w:lineRule="auto"/>
            <w:rPr>
              <w:rFonts w:ascii="Arial" w:hAnsi="Arial" w:cs="Arial"/>
              <w:noProof/>
              <w:sz w:val="22"/>
              <w:szCs w:val="22"/>
            </w:rPr>
          </w:pPr>
          <w:hyperlink w:anchor="_Toc436652142" w:history="1">
            <w:r w:rsidR="00A00CCD" w:rsidRPr="00A00CCD">
              <w:rPr>
                <w:rStyle w:val="Hyperlink"/>
                <w:rFonts w:ascii="Arial" w:eastAsiaTheme="majorEastAsia" w:hAnsi="Arial" w:cs="Arial"/>
                <w:noProof/>
                <w:sz w:val="22"/>
                <w:szCs w:val="22"/>
                <w:lang w:eastAsia="en-US"/>
              </w:rPr>
              <w:t>Moral Rights</w:t>
            </w:r>
            <w:r w:rsidR="00A00CCD" w:rsidRPr="00A00CCD">
              <w:rPr>
                <w:rFonts w:ascii="Arial" w:hAnsi="Arial" w:cs="Arial"/>
                <w:noProof/>
                <w:webHidden/>
                <w:sz w:val="22"/>
                <w:szCs w:val="22"/>
              </w:rPr>
              <w:tab/>
            </w:r>
            <w:r w:rsidR="00A00CCD" w:rsidRPr="00A00CCD">
              <w:rPr>
                <w:rFonts w:ascii="Arial" w:hAnsi="Arial" w:cs="Arial"/>
                <w:noProof/>
                <w:webHidden/>
                <w:sz w:val="22"/>
                <w:szCs w:val="22"/>
              </w:rPr>
              <w:fldChar w:fldCharType="begin"/>
            </w:r>
            <w:r w:rsidR="00A00CCD" w:rsidRPr="00A00CCD">
              <w:rPr>
                <w:rFonts w:ascii="Arial" w:hAnsi="Arial" w:cs="Arial"/>
                <w:noProof/>
                <w:webHidden/>
                <w:sz w:val="22"/>
                <w:szCs w:val="22"/>
              </w:rPr>
              <w:instrText xml:space="preserve"> PAGEREF _Toc436652142 \h </w:instrText>
            </w:r>
            <w:r w:rsidR="00A00CCD" w:rsidRPr="00A00CCD">
              <w:rPr>
                <w:rFonts w:ascii="Arial" w:hAnsi="Arial" w:cs="Arial"/>
                <w:noProof/>
                <w:webHidden/>
                <w:sz w:val="22"/>
                <w:szCs w:val="22"/>
              </w:rPr>
            </w:r>
            <w:r w:rsidR="00A00CCD" w:rsidRPr="00A00CCD">
              <w:rPr>
                <w:rFonts w:ascii="Arial" w:hAnsi="Arial" w:cs="Arial"/>
                <w:noProof/>
                <w:webHidden/>
                <w:sz w:val="22"/>
                <w:szCs w:val="22"/>
              </w:rPr>
              <w:fldChar w:fldCharType="separate"/>
            </w:r>
            <w:r w:rsidR="00A00CCD" w:rsidRPr="00A00CCD">
              <w:rPr>
                <w:rFonts w:ascii="Arial" w:hAnsi="Arial" w:cs="Arial"/>
                <w:noProof/>
                <w:webHidden/>
                <w:sz w:val="22"/>
                <w:szCs w:val="22"/>
              </w:rPr>
              <w:t>7</w:t>
            </w:r>
            <w:r w:rsidR="00A00CCD" w:rsidRPr="00A00CCD">
              <w:rPr>
                <w:rFonts w:ascii="Arial" w:hAnsi="Arial" w:cs="Arial"/>
                <w:noProof/>
                <w:webHidden/>
                <w:sz w:val="22"/>
                <w:szCs w:val="22"/>
              </w:rPr>
              <w:fldChar w:fldCharType="end"/>
            </w:r>
          </w:hyperlink>
        </w:p>
        <w:p w:rsidR="00A00CCD" w:rsidRPr="00A00CCD" w:rsidRDefault="00677A10" w:rsidP="007116C6">
          <w:pPr>
            <w:pStyle w:val="TOC1"/>
            <w:tabs>
              <w:tab w:val="right" w:leader="dot" w:pos="9855"/>
            </w:tabs>
            <w:spacing w:line="360" w:lineRule="auto"/>
            <w:rPr>
              <w:rFonts w:ascii="Arial" w:hAnsi="Arial" w:cs="Arial"/>
              <w:noProof/>
              <w:sz w:val="22"/>
              <w:szCs w:val="22"/>
            </w:rPr>
          </w:pPr>
          <w:hyperlink w:anchor="_Toc436652143" w:history="1">
            <w:r w:rsidR="00A00CCD" w:rsidRPr="00A00CCD">
              <w:rPr>
                <w:rStyle w:val="Hyperlink"/>
                <w:rFonts w:ascii="Arial" w:eastAsiaTheme="majorEastAsia" w:hAnsi="Arial" w:cs="Arial"/>
                <w:noProof/>
                <w:sz w:val="22"/>
                <w:szCs w:val="22"/>
                <w:lang w:eastAsia="en-US"/>
              </w:rPr>
              <w:t>Copyright exception for academics</w:t>
            </w:r>
            <w:r w:rsidR="00A00CCD" w:rsidRPr="00A00CCD">
              <w:rPr>
                <w:rFonts w:ascii="Arial" w:hAnsi="Arial" w:cs="Arial"/>
                <w:noProof/>
                <w:webHidden/>
                <w:sz w:val="22"/>
                <w:szCs w:val="22"/>
              </w:rPr>
              <w:tab/>
            </w:r>
            <w:r w:rsidR="00A00CCD" w:rsidRPr="00A00CCD">
              <w:rPr>
                <w:rFonts w:ascii="Arial" w:hAnsi="Arial" w:cs="Arial"/>
                <w:noProof/>
                <w:webHidden/>
                <w:sz w:val="22"/>
                <w:szCs w:val="22"/>
              </w:rPr>
              <w:fldChar w:fldCharType="begin"/>
            </w:r>
            <w:r w:rsidR="00A00CCD" w:rsidRPr="00A00CCD">
              <w:rPr>
                <w:rFonts w:ascii="Arial" w:hAnsi="Arial" w:cs="Arial"/>
                <w:noProof/>
                <w:webHidden/>
                <w:sz w:val="22"/>
                <w:szCs w:val="22"/>
              </w:rPr>
              <w:instrText xml:space="preserve"> PAGEREF _Toc436652143 \h </w:instrText>
            </w:r>
            <w:r w:rsidR="00A00CCD" w:rsidRPr="00A00CCD">
              <w:rPr>
                <w:rFonts w:ascii="Arial" w:hAnsi="Arial" w:cs="Arial"/>
                <w:noProof/>
                <w:webHidden/>
                <w:sz w:val="22"/>
                <w:szCs w:val="22"/>
              </w:rPr>
            </w:r>
            <w:r w:rsidR="00A00CCD" w:rsidRPr="00A00CCD">
              <w:rPr>
                <w:rFonts w:ascii="Arial" w:hAnsi="Arial" w:cs="Arial"/>
                <w:noProof/>
                <w:webHidden/>
                <w:sz w:val="22"/>
                <w:szCs w:val="22"/>
              </w:rPr>
              <w:fldChar w:fldCharType="separate"/>
            </w:r>
            <w:r w:rsidR="00A00CCD" w:rsidRPr="00A00CCD">
              <w:rPr>
                <w:rFonts w:ascii="Arial" w:hAnsi="Arial" w:cs="Arial"/>
                <w:noProof/>
                <w:webHidden/>
                <w:sz w:val="22"/>
                <w:szCs w:val="22"/>
              </w:rPr>
              <w:t>8</w:t>
            </w:r>
            <w:r w:rsidR="00A00CCD" w:rsidRPr="00A00CCD">
              <w:rPr>
                <w:rFonts w:ascii="Arial" w:hAnsi="Arial" w:cs="Arial"/>
                <w:noProof/>
                <w:webHidden/>
                <w:sz w:val="22"/>
                <w:szCs w:val="22"/>
              </w:rPr>
              <w:fldChar w:fldCharType="end"/>
            </w:r>
          </w:hyperlink>
        </w:p>
        <w:p w:rsidR="00A00CCD" w:rsidRPr="00A00CCD" w:rsidRDefault="00677A10" w:rsidP="007116C6">
          <w:pPr>
            <w:pStyle w:val="TOC1"/>
            <w:tabs>
              <w:tab w:val="right" w:leader="dot" w:pos="9855"/>
            </w:tabs>
            <w:spacing w:line="360" w:lineRule="auto"/>
            <w:rPr>
              <w:rFonts w:ascii="Arial" w:hAnsi="Arial" w:cs="Arial"/>
              <w:noProof/>
              <w:sz w:val="22"/>
              <w:szCs w:val="22"/>
            </w:rPr>
          </w:pPr>
          <w:hyperlink w:anchor="_Toc436652144" w:history="1">
            <w:r w:rsidR="00A00CCD" w:rsidRPr="00A00CCD">
              <w:rPr>
                <w:rStyle w:val="Hyperlink"/>
                <w:rFonts w:ascii="Arial" w:eastAsiaTheme="majorEastAsia" w:hAnsi="Arial" w:cs="Arial"/>
                <w:noProof/>
                <w:sz w:val="22"/>
                <w:szCs w:val="22"/>
                <w:lang w:eastAsia="en-US"/>
              </w:rPr>
              <w:t>Fair dealing exception for education</w:t>
            </w:r>
            <w:r w:rsidR="00A00CCD" w:rsidRPr="00A00CCD">
              <w:rPr>
                <w:rFonts w:ascii="Arial" w:hAnsi="Arial" w:cs="Arial"/>
                <w:noProof/>
                <w:webHidden/>
                <w:sz w:val="22"/>
                <w:szCs w:val="22"/>
              </w:rPr>
              <w:tab/>
            </w:r>
            <w:r w:rsidR="00A00CCD" w:rsidRPr="00A00CCD">
              <w:rPr>
                <w:rFonts w:ascii="Arial" w:hAnsi="Arial" w:cs="Arial"/>
                <w:noProof/>
                <w:webHidden/>
                <w:sz w:val="22"/>
                <w:szCs w:val="22"/>
              </w:rPr>
              <w:fldChar w:fldCharType="begin"/>
            </w:r>
            <w:r w:rsidR="00A00CCD" w:rsidRPr="00A00CCD">
              <w:rPr>
                <w:rFonts w:ascii="Arial" w:hAnsi="Arial" w:cs="Arial"/>
                <w:noProof/>
                <w:webHidden/>
                <w:sz w:val="22"/>
                <w:szCs w:val="22"/>
              </w:rPr>
              <w:instrText xml:space="preserve"> PAGEREF _Toc436652144 \h </w:instrText>
            </w:r>
            <w:r w:rsidR="00A00CCD" w:rsidRPr="00A00CCD">
              <w:rPr>
                <w:rFonts w:ascii="Arial" w:hAnsi="Arial" w:cs="Arial"/>
                <w:noProof/>
                <w:webHidden/>
                <w:sz w:val="22"/>
                <w:szCs w:val="22"/>
              </w:rPr>
            </w:r>
            <w:r w:rsidR="00A00CCD" w:rsidRPr="00A00CCD">
              <w:rPr>
                <w:rFonts w:ascii="Arial" w:hAnsi="Arial" w:cs="Arial"/>
                <w:noProof/>
                <w:webHidden/>
                <w:sz w:val="22"/>
                <w:szCs w:val="22"/>
              </w:rPr>
              <w:fldChar w:fldCharType="separate"/>
            </w:r>
            <w:r w:rsidR="00A00CCD" w:rsidRPr="00A00CCD">
              <w:rPr>
                <w:rFonts w:ascii="Arial" w:hAnsi="Arial" w:cs="Arial"/>
                <w:noProof/>
                <w:webHidden/>
                <w:sz w:val="22"/>
                <w:szCs w:val="22"/>
              </w:rPr>
              <w:t>8</w:t>
            </w:r>
            <w:r w:rsidR="00A00CCD" w:rsidRPr="00A00CCD">
              <w:rPr>
                <w:rFonts w:ascii="Arial" w:hAnsi="Arial" w:cs="Arial"/>
                <w:noProof/>
                <w:webHidden/>
                <w:sz w:val="22"/>
                <w:szCs w:val="22"/>
              </w:rPr>
              <w:fldChar w:fldCharType="end"/>
            </w:r>
          </w:hyperlink>
        </w:p>
        <w:p w:rsidR="00A00CCD" w:rsidRPr="00A00CCD" w:rsidRDefault="00677A10" w:rsidP="007116C6">
          <w:pPr>
            <w:pStyle w:val="TOC1"/>
            <w:tabs>
              <w:tab w:val="right" w:leader="dot" w:pos="9855"/>
            </w:tabs>
            <w:spacing w:line="360" w:lineRule="auto"/>
            <w:rPr>
              <w:rFonts w:ascii="Arial" w:hAnsi="Arial" w:cs="Arial"/>
              <w:noProof/>
              <w:sz w:val="22"/>
              <w:szCs w:val="22"/>
            </w:rPr>
          </w:pPr>
          <w:hyperlink w:anchor="_Toc436652145" w:history="1">
            <w:r w:rsidR="00A00CCD" w:rsidRPr="00A00CCD">
              <w:rPr>
                <w:rStyle w:val="Hyperlink"/>
                <w:rFonts w:ascii="Arial" w:eastAsiaTheme="majorEastAsia" w:hAnsi="Arial" w:cs="Arial"/>
                <w:noProof/>
                <w:sz w:val="22"/>
                <w:szCs w:val="22"/>
                <w:lang w:eastAsia="en-US"/>
              </w:rPr>
              <w:t>Student ownership of IP</w:t>
            </w:r>
            <w:r w:rsidR="00A00CCD" w:rsidRPr="00A00CCD">
              <w:rPr>
                <w:rFonts w:ascii="Arial" w:hAnsi="Arial" w:cs="Arial"/>
                <w:noProof/>
                <w:webHidden/>
                <w:sz w:val="22"/>
                <w:szCs w:val="22"/>
              </w:rPr>
              <w:tab/>
            </w:r>
            <w:r w:rsidR="00A00CCD" w:rsidRPr="00A00CCD">
              <w:rPr>
                <w:rFonts w:ascii="Arial" w:hAnsi="Arial" w:cs="Arial"/>
                <w:noProof/>
                <w:webHidden/>
                <w:sz w:val="22"/>
                <w:szCs w:val="22"/>
              </w:rPr>
              <w:fldChar w:fldCharType="begin"/>
            </w:r>
            <w:r w:rsidR="00A00CCD" w:rsidRPr="00A00CCD">
              <w:rPr>
                <w:rFonts w:ascii="Arial" w:hAnsi="Arial" w:cs="Arial"/>
                <w:noProof/>
                <w:webHidden/>
                <w:sz w:val="22"/>
                <w:szCs w:val="22"/>
              </w:rPr>
              <w:instrText xml:space="preserve"> PAGEREF _Toc436652145 \h </w:instrText>
            </w:r>
            <w:r w:rsidR="00A00CCD" w:rsidRPr="00A00CCD">
              <w:rPr>
                <w:rFonts w:ascii="Arial" w:hAnsi="Arial" w:cs="Arial"/>
                <w:noProof/>
                <w:webHidden/>
                <w:sz w:val="22"/>
                <w:szCs w:val="22"/>
              </w:rPr>
            </w:r>
            <w:r w:rsidR="00A00CCD" w:rsidRPr="00A00CCD">
              <w:rPr>
                <w:rFonts w:ascii="Arial" w:hAnsi="Arial" w:cs="Arial"/>
                <w:noProof/>
                <w:webHidden/>
                <w:sz w:val="22"/>
                <w:szCs w:val="22"/>
              </w:rPr>
              <w:fldChar w:fldCharType="separate"/>
            </w:r>
            <w:r w:rsidR="00A00CCD" w:rsidRPr="00A00CCD">
              <w:rPr>
                <w:rFonts w:ascii="Arial" w:hAnsi="Arial" w:cs="Arial"/>
                <w:noProof/>
                <w:webHidden/>
                <w:sz w:val="22"/>
                <w:szCs w:val="22"/>
              </w:rPr>
              <w:t>8</w:t>
            </w:r>
            <w:r w:rsidR="00A00CCD" w:rsidRPr="00A00CCD">
              <w:rPr>
                <w:rFonts w:ascii="Arial" w:hAnsi="Arial" w:cs="Arial"/>
                <w:noProof/>
                <w:webHidden/>
                <w:sz w:val="22"/>
                <w:szCs w:val="22"/>
              </w:rPr>
              <w:fldChar w:fldCharType="end"/>
            </w:r>
          </w:hyperlink>
        </w:p>
        <w:p w:rsidR="00A00CCD" w:rsidRPr="00A00CCD" w:rsidRDefault="00677A10" w:rsidP="007116C6">
          <w:pPr>
            <w:pStyle w:val="TOC1"/>
            <w:tabs>
              <w:tab w:val="right" w:leader="dot" w:pos="9855"/>
            </w:tabs>
            <w:spacing w:line="360" w:lineRule="auto"/>
            <w:rPr>
              <w:rFonts w:ascii="Arial" w:hAnsi="Arial" w:cs="Arial"/>
              <w:noProof/>
              <w:sz w:val="22"/>
              <w:szCs w:val="22"/>
            </w:rPr>
          </w:pPr>
          <w:hyperlink w:anchor="_Toc436652146" w:history="1">
            <w:r w:rsidR="00A00CCD" w:rsidRPr="00A00CCD">
              <w:rPr>
                <w:rStyle w:val="Hyperlink"/>
                <w:rFonts w:ascii="Arial" w:eastAsiaTheme="majorEastAsia" w:hAnsi="Arial" w:cs="Arial"/>
                <w:noProof/>
                <w:sz w:val="22"/>
                <w:szCs w:val="22"/>
                <w:lang w:eastAsia="en-US"/>
              </w:rPr>
              <w:t>IP and Traditional Ownership</w:t>
            </w:r>
            <w:r w:rsidR="00A00CCD" w:rsidRPr="00A00CCD">
              <w:rPr>
                <w:rFonts w:ascii="Arial" w:hAnsi="Arial" w:cs="Arial"/>
                <w:noProof/>
                <w:webHidden/>
                <w:sz w:val="22"/>
                <w:szCs w:val="22"/>
              </w:rPr>
              <w:tab/>
            </w:r>
            <w:r w:rsidR="00A00CCD" w:rsidRPr="00A00CCD">
              <w:rPr>
                <w:rFonts w:ascii="Arial" w:hAnsi="Arial" w:cs="Arial"/>
                <w:noProof/>
                <w:webHidden/>
                <w:sz w:val="22"/>
                <w:szCs w:val="22"/>
              </w:rPr>
              <w:fldChar w:fldCharType="begin"/>
            </w:r>
            <w:r w:rsidR="00A00CCD" w:rsidRPr="00A00CCD">
              <w:rPr>
                <w:rFonts w:ascii="Arial" w:hAnsi="Arial" w:cs="Arial"/>
                <w:noProof/>
                <w:webHidden/>
                <w:sz w:val="22"/>
                <w:szCs w:val="22"/>
              </w:rPr>
              <w:instrText xml:space="preserve"> PAGEREF _Toc436652146 \h </w:instrText>
            </w:r>
            <w:r w:rsidR="00A00CCD" w:rsidRPr="00A00CCD">
              <w:rPr>
                <w:rFonts w:ascii="Arial" w:hAnsi="Arial" w:cs="Arial"/>
                <w:noProof/>
                <w:webHidden/>
                <w:sz w:val="22"/>
                <w:szCs w:val="22"/>
              </w:rPr>
            </w:r>
            <w:r w:rsidR="00A00CCD" w:rsidRPr="00A00CCD">
              <w:rPr>
                <w:rFonts w:ascii="Arial" w:hAnsi="Arial" w:cs="Arial"/>
                <w:noProof/>
                <w:webHidden/>
                <w:sz w:val="22"/>
                <w:szCs w:val="22"/>
              </w:rPr>
              <w:fldChar w:fldCharType="separate"/>
            </w:r>
            <w:r w:rsidR="00A00CCD" w:rsidRPr="00A00CCD">
              <w:rPr>
                <w:rFonts w:ascii="Arial" w:hAnsi="Arial" w:cs="Arial"/>
                <w:noProof/>
                <w:webHidden/>
                <w:sz w:val="22"/>
                <w:szCs w:val="22"/>
              </w:rPr>
              <w:t>8</w:t>
            </w:r>
            <w:r w:rsidR="00A00CCD" w:rsidRPr="00A00CCD">
              <w:rPr>
                <w:rFonts w:ascii="Arial" w:hAnsi="Arial" w:cs="Arial"/>
                <w:noProof/>
                <w:webHidden/>
                <w:sz w:val="22"/>
                <w:szCs w:val="22"/>
              </w:rPr>
              <w:fldChar w:fldCharType="end"/>
            </w:r>
          </w:hyperlink>
        </w:p>
        <w:p w:rsidR="00A00CCD" w:rsidRPr="00A00CCD" w:rsidRDefault="00677A10" w:rsidP="007116C6">
          <w:pPr>
            <w:pStyle w:val="TOC1"/>
            <w:tabs>
              <w:tab w:val="right" w:leader="dot" w:pos="9855"/>
            </w:tabs>
            <w:spacing w:line="360" w:lineRule="auto"/>
            <w:rPr>
              <w:rFonts w:ascii="Arial" w:hAnsi="Arial" w:cs="Arial"/>
              <w:noProof/>
              <w:sz w:val="22"/>
              <w:szCs w:val="22"/>
            </w:rPr>
          </w:pPr>
          <w:hyperlink w:anchor="_Toc436652147" w:history="1">
            <w:r w:rsidR="00A00CCD" w:rsidRPr="00A00CCD">
              <w:rPr>
                <w:rStyle w:val="Hyperlink"/>
                <w:rFonts w:ascii="Arial" w:eastAsiaTheme="majorEastAsia" w:hAnsi="Arial" w:cs="Arial"/>
                <w:noProof/>
                <w:sz w:val="22"/>
                <w:szCs w:val="22"/>
                <w:lang w:eastAsia="en-US"/>
              </w:rPr>
              <w:t>Australia’s international obligations</w:t>
            </w:r>
            <w:r w:rsidR="00A00CCD" w:rsidRPr="00A00CCD">
              <w:rPr>
                <w:rFonts w:ascii="Arial" w:hAnsi="Arial" w:cs="Arial"/>
                <w:noProof/>
                <w:webHidden/>
                <w:sz w:val="22"/>
                <w:szCs w:val="22"/>
              </w:rPr>
              <w:tab/>
            </w:r>
            <w:r w:rsidR="00A00CCD" w:rsidRPr="00A00CCD">
              <w:rPr>
                <w:rFonts w:ascii="Arial" w:hAnsi="Arial" w:cs="Arial"/>
                <w:noProof/>
                <w:webHidden/>
                <w:sz w:val="22"/>
                <w:szCs w:val="22"/>
              </w:rPr>
              <w:fldChar w:fldCharType="begin"/>
            </w:r>
            <w:r w:rsidR="00A00CCD" w:rsidRPr="00A00CCD">
              <w:rPr>
                <w:rFonts w:ascii="Arial" w:hAnsi="Arial" w:cs="Arial"/>
                <w:noProof/>
                <w:webHidden/>
                <w:sz w:val="22"/>
                <w:szCs w:val="22"/>
              </w:rPr>
              <w:instrText xml:space="preserve"> PAGEREF _Toc436652147 \h </w:instrText>
            </w:r>
            <w:r w:rsidR="00A00CCD" w:rsidRPr="00A00CCD">
              <w:rPr>
                <w:rFonts w:ascii="Arial" w:hAnsi="Arial" w:cs="Arial"/>
                <w:noProof/>
                <w:webHidden/>
                <w:sz w:val="22"/>
                <w:szCs w:val="22"/>
              </w:rPr>
            </w:r>
            <w:r w:rsidR="00A00CCD" w:rsidRPr="00A00CCD">
              <w:rPr>
                <w:rFonts w:ascii="Arial" w:hAnsi="Arial" w:cs="Arial"/>
                <w:noProof/>
                <w:webHidden/>
                <w:sz w:val="22"/>
                <w:szCs w:val="22"/>
              </w:rPr>
              <w:fldChar w:fldCharType="separate"/>
            </w:r>
            <w:r w:rsidR="00A00CCD" w:rsidRPr="00A00CCD">
              <w:rPr>
                <w:rFonts w:ascii="Arial" w:hAnsi="Arial" w:cs="Arial"/>
                <w:noProof/>
                <w:webHidden/>
                <w:sz w:val="22"/>
                <w:szCs w:val="22"/>
              </w:rPr>
              <w:t>9</w:t>
            </w:r>
            <w:r w:rsidR="00A00CCD" w:rsidRPr="00A00CCD">
              <w:rPr>
                <w:rFonts w:ascii="Arial" w:hAnsi="Arial" w:cs="Arial"/>
                <w:noProof/>
                <w:webHidden/>
                <w:sz w:val="22"/>
                <w:szCs w:val="22"/>
              </w:rPr>
              <w:fldChar w:fldCharType="end"/>
            </w:r>
          </w:hyperlink>
        </w:p>
        <w:p w:rsidR="00A00CCD" w:rsidRPr="00A00CCD" w:rsidRDefault="00677A10" w:rsidP="007116C6">
          <w:pPr>
            <w:pStyle w:val="TOC1"/>
            <w:tabs>
              <w:tab w:val="right" w:leader="dot" w:pos="9855"/>
            </w:tabs>
            <w:spacing w:line="360" w:lineRule="auto"/>
            <w:rPr>
              <w:rFonts w:ascii="Arial" w:hAnsi="Arial" w:cs="Arial"/>
              <w:noProof/>
              <w:sz w:val="22"/>
              <w:szCs w:val="22"/>
            </w:rPr>
          </w:pPr>
          <w:hyperlink w:anchor="_Toc436652148" w:history="1">
            <w:r w:rsidR="00A00CCD" w:rsidRPr="00A00CCD">
              <w:rPr>
                <w:rStyle w:val="Hyperlink"/>
                <w:rFonts w:ascii="Arial" w:eastAsiaTheme="majorEastAsia" w:hAnsi="Arial" w:cs="Arial"/>
                <w:noProof/>
                <w:sz w:val="22"/>
                <w:szCs w:val="22"/>
                <w:lang w:eastAsia="en-US"/>
              </w:rPr>
              <w:t>References</w:t>
            </w:r>
            <w:r w:rsidR="00A00CCD" w:rsidRPr="00A00CCD">
              <w:rPr>
                <w:rFonts w:ascii="Arial" w:hAnsi="Arial" w:cs="Arial"/>
                <w:noProof/>
                <w:webHidden/>
                <w:sz w:val="22"/>
                <w:szCs w:val="22"/>
              </w:rPr>
              <w:tab/>
            </w:r>
            <w:r w:rsidR="00A00CCD" w:rsidRPr="00A00CCD">
              <w:rPr>
                <w:rFonts w:ascii="Arial" w:hAnsi="Arial" w:cs="Arial"/>
                <w:noProof/>
                <w:webHidden/>
                <w:sz w:val="22"/>
                <w:szCs w:val="22"/>
              </w:rPr>
              <w:fldChar w:fldCharType="begin"/>
            </w:r>
            <w:r w:rsidR="00A00CCD" w:rsidRPr="00A00CCD">
              <w:rPr>
                <w:rFonts w:ascii="Arial" w:hAnsi="Arial" w:cs="Arial"/>
                <w:noProof/>
                <w:webHidden/>
                <w:sz w:val="22"/>
                <w:szCs w:val="22"/>
              </w:rPr>
              <w:instrText xml:space="preserve"> PAGEREF _Toc436652148 \h </w:instrText>
            </w:r>
            <w:r w:rsidR="00A00CCD" w:rsidRPr="00A00CCD">
              <w:rPr>
                <w:rFonts w:ascii="Arial" w:hAnsi="Arial" w:cs="Arial"/>
                <w:noProof/>
                <w:webHidden/>
                <w:sz w:val="22"/>
                <w:szCs w:val="22"/>
              </w:rPr>
            </w:r>
            <w:r w:rsidR="00A00CCD" w:rsidRPr="00A00CCD">
              <w:rPr>
                <w:rFonts w:ascii="Arial" w:hAnsi="Arial" w:cs="Arial"/>
                <w:noProof/>
                <w:webHidden/>
                <w:sz w:val="22"/>
                <w:szCs w:val="22"/>
              </w:rPr>
              <w:fldChar w:fldCharType="separate"/>
            </w:r>
            <w:r w:rsidR="00A00CCD" w:rsidRPr="00A00CCD">
              <w:rPr>
                <w:rFonts w:ascii="Arial" w:hAnsi="Arial" w:cs="Arial"/>
                <w:noProof/>
                <w:webHidden/>
                <w:sz w:val="22"/>
                <w:szCs w:val="22"/>
              </w:rPr>
              <w:t>11</w:t>
            </w:r>
            <w:r w:rsidR="00A00CCD" w:rsidRPr="00A00CCD">
              <w:rPr>
                <w:rFonts w:ascii="Arial" w:hAnsi="Arial" w:cs="Arial"/>
                <w:noProof/>
                <w:webHidden/>
                <w:sz w:val="22"/>
                <w:szCs w:val="22"/>
              </w:rPr>
              <w:fldChar w:fldCharType="end"/>
            </w:r>
          </w:hyperlink>
        </w:p>
        <w:p w:rsidR="000B78D8" w:rsidRPr="000B78D8" w:rsidRDefault="000B78D8" w:rsidP="007116C6">
          <w:pPr>
            <w:spacing w:after="200" w:line="360" w:lineRule="auto"/>
            <w:rPr>
              <w:rFonts w:ascii="Arial" w:eastAsiaTheme="minorHAnsi" w:hAnsi="Arial" w:cs="Arial"/>
              <w:sz w:val="22"/>
              <w:szCs w:val="22"/>
              <w:lang w:eastAsia="en-US"/>
            </w:rPr>
          </w:pPr>
          <w:r w:rsidRPr="000B78D8">
            <w:rPr>
              <w:rFonts w:ascii="Arial" w:eastAsiaTheme="minorHAnsi" w:hAnsi="Arial" w:cs="Arial"/>
              <w:bCs/>
              <w:noProof/>
              <w:sz w:val="22"/>
              <w:szCs w:val="22"/>
              <w:lang w:eastAsia="en-US"/>
            </w:rPr>
            <w:fldChar w:fldCharType="end"/>
          </w:r>
        </w:p>
      </w:sdtContent>
    </w:sdt>
    <w:p w:rsidR="000B78D8" w:rsidRPr="000B78D8" w:rsidRDefault="000B78D8" w:rsidP="00517D91">
      <w:pPr>
        <w:spacing w:after="200"/>
        <w:rPr>
          <w:rFonts w:ascii="Arial" w:eastAsiaTheme="minorHAnsi" w:hAnsi="Arial" w:cs="Arial"/>
          <w:b/>
          <w:sz w:val="22"/>
          <w:szCs w:val="22"/>
          <w:lang w:eastAsia="en-US"/>
        </w:rPr>
      </w:pPr>
      <w:r w:rsidRPr="000B78D8">
        <w:rPr>
          <w:rFonts w:ascii="Arial" w:eastAsiaTheme="minorHAnsi" w:hAnsi="Arial" w:cs="Arial"/>
          <w:b/>
          <w:sz w:val="22"/>
          <w:szCs w:val="22"/>
          <w:lang w:eastAsia="en-US"/>
        </w:rPr>
        <w:br w:type="page"/>
      </w:r>
    </w:p>
    <w:p w:rsidR="00A00CCD" w:rsidRPr="00A00CCD" w:rsidRDefault="00A00CCD" w:rsidP="00143F3B">
      <w:pPr>
        <w:keepNext/>
        <w:keepLines/>
        <w:spacing w:before="240" w:line="276" w:lineRule="auto"/>
        <w:outlineLvl w:val="0"/>
        <w:rPr>
          <w:rFonts w:ascii="Arial" w:eastAsiaTheme="majorEastAsia" w:hAnsi="Arial" w:cstheme="majorBidi"/>
          <w:b/>
          <w:sz w:val="24"/>
          <w:szCs w:val="32"/>
          <w:lang w:eastAsia="en-US"/>
        </w:rPr>
      </w:pPr>
      <w:bookmarkStart w:id="0" w:name="_Toc436652138"/>
      <w:r w:rsidRPr="00A00CCD">
        <w:rPr>
          <w:rFonts w:ascii="Arial" w:eastAsiaTheme="majorEastAsia" w:hAnsi="Arial" w:cstheme="majorBidi"/>
          <w:b/>
          <w:sz w:val="24"/>
          <w:szCs w:val="32"/>
          <w:lang w:eastAsia="en-US"/>
        </w:rPr>
        <w:lastRenderedPageBreak/>
        <w:t>Introduction</w:t>
      </w:r>
      <w:bookmarkEnd w:id="0"/>
    </w:p>
    <w:p w:rsidR="00A00CCD" w:rsidRPr="00A00CCD" w:rsidRDefault="00A00CCD" w:rsidP="00A00CCD">
      <w:pPr>
        <w:spacing w:after="240" w:line="360" w:lineRule="auto"/>
        <w:jc w:val="both"/>
        <w:rPr>
          <w:rFonts w:ascii="Arial" w:eastAsiaTheme="minorHAnsi" w:hAnsi="Arial" w:cs="Arial"/>
          <w:sz w:val="22"/>
          <w:szCs w:val="22"/>
          <w:lang w:eastAsia="en-US"/>
        </w:rPr>
      </w:pPr>
      <w:r w:rsidRPr="00A00CCD">
        <w:rPr>
          <w:rFonts w:ascii="Arial" w:eastAsiaTheme="minorHAnsi" w:hAnsi="Arial" w:cs="Arial"/>
          <w:sz w:val="22"/>
          <w:szCs w:val="22"/>
          <w:lang w:eastAsia="en-US"/>
        </w:rPr>
        <w:t>The National Tertiary Education Union (</w:t>
      </w:r>
      <w:proofErr w:type="spellStart"/>
      <w:r w:rsidRPr="00A00CCD">
        <w:rPr>
          <w:rFonts w:ascii="Arial" w:eastAsiaTheme="minorHAnsi" w:hAnsi="Arial" w:cs="Arial"/>
          <w:sz w:val="22"/>
          <w:szCs w:val="22"/>
          <w:lang w:eastAsia="en-US"/>
        </w:rPr>
        <w:t>NTEU</w:t>
      </w:r>
      <w:proofErr w:type="spellEnd"/>
      <w:r w:rsidRPr="00A00CCD">
        <w:rPr>
          <w:rFonts w:ascii="Arial" w:eastAsiaTheme="minorHAnsi" w:hAnsi="Arial" w:cs="Arial"/>
          <w:sz w:val="22"/>
          <w:szCs w:val="22"/>
          <w:lang w:eastAsia="en-US"/>
        </w:rPr>
        <w:t>) represents the professional and industrial interests of some 28,000 staff working in Australian universities and research institutes. As an organisation committed to advancing the professional and industrial interests of our members we have an ongoing interest in the character of university intellectual property rights (</w:t>
      </w:r>
      <w:proofErr w:type="spellStart"/>
      <w:r w:rsidRPr="00A00CCD">
        <w:rPr>
          <w:rFonts w:ascii="Arial" w:eastAsiaTheme="minorHAnsi" w:hAnsi="Arial" w:cs="Arial"/>
          <w:sz w:val="22"/>
          <w:szCs w:val="22"/>
          <w:lang w:eastAsia="en-US"/>
        </w:rPr>
        <w:t>IPR</w:t>
      </w:r>
      <w:proofErr w:type="spellEnd"/>
      <w:r w:rsidRPr="00A00CCD">
        <w:rPr>
          <w:rFonts w:ascii="Arial" w:eastAsiaTheme="minorHAnsi" w:hAnsi="Arial" w:cs="Arial"/>
          <w:sz w:val="22"/>
          <w:szCs w:val="22"/>
          <w:lang w:eastAsia="en-US"/>
        </w:rPr>
        <w:t xml:space="preserve">) and appreciate the opportunity to contribute to the Productivity Commission’s </w:t>
      </w:r>
      <w:r w:rsidRPr="00A00CCD">
        <w:rPr>
          <w:rFonts w:ascii="Arial" w:eastAsiaTheme="minorHAnsi" w:hAnsi="Arial" w:cs="Arial"/>
          <w:i/>
          <w:sz w:val="22"/>
          <w:szCs w:val="22"/>
          <w:lang w:eastAsia="en-US"/>
        </w:rPr>
        <w:t>Inquiry into Australia’s Intellectual Property Arrangements</w:t>
      </w:r>
      <w:r w:rsidRPr="00A00CCD">
        <w:rPr>
          <w:rFonts w:ascii="Arial" w:eastAsiaTheme="minorHAnsi" w:hAnsi="Arial" w:cs="Arial"/>
          <w:sz w:val="22"/>
          <w:szCs w:val="22"/>
          <w:lang w:eastAsia="en-US"/>
        </w:rPr>
        <w:t>.</w:t>
      </w:r>
    </w:p>
    <w:p w:rsidR="00A00CCD" w:rsidRPr="00A00CCD" w:rsidRDefault="00A00CCD" w:rsidP="00A00CCD">
      <w:pPr>
        <w:spacing w:after="240" w:line="360" w:lineRule="auto"/>
        <w:jc w:val="both"/>
        <w:rPr>
          <w:rFonts w:ascii="Arial" w:eastAsiaTheme="minorHAnsi" w:hAnsi="Arial" w:cs="Arial"/>
          <w:sz w:val="22"/>
          <w:szCs w:val="22"/>
          <w:lang w:eastAsia="en-US"/>
        </w:rPr>
      </w:pPr>
      <w:r w:rsidRPr="00A00CCD">
        <w:rPr>
          <w:rFonts w:ascii="Arial" w:eastAsiaTheme="minorHAnsi" w:hAnsi="Arial" w:cs="Arial"/>
          <w:sz w:val="22"/>
          <w:szCs w:val="22"/>
          <w:lang w:eastAsia="en-US"/>
        </w:rPr>
        <w:t>The university sector plays a pivotal role in Australia’s capacity for innovation. In our submission, we will address the implications of Australia’s existing intellectual property (IP) arr</w:t>
      </w:r>
      <w:bookmarkStart w:id="1" w:name="_GoBack"/>
      <w:bookmarkEnd w:id="1"/>
      <w:r w:rsidRPr="00A00CCD">
        <w:rPr>
          <w:rFonts w:ascii="Arial" w:eastAsiaTheme="minorHAnsi" w:hAnsi="Arial" w:cs="Arial"/>
          <w:sz w:val="22"/>
          <w:szCs w:val="22"/>
          <w:lang w:eastAsia="en-US"/>
        </w:rPr>
        <w:t xml:space="preserve">angements upon the university sector and will propose recommendations necessary to encourage innovation in light of the government’s </w:t>
      </w:r>
      <w:r w:rsidRPr="00A00CCD">
        <w:rPr>
          <w:rFonts w:ascii="Arial" w:eastAsiaTheme="minorHAnsi" w:hAnsi="Arial" w:cs="Arial"/>
          <w:i/>
          <w:sz w:val="22"/>
          <w:szCs w:val="22"/>
          <w:lang w:eastAsia="en-US"/>
        </w:rPr>
        <w:t>Boosting Commercial Returns from Research</w:t>
      </w:r>
      <w:r w:rsidRPr="00A00CCD">
        <w:rPr>
          <w:rFonts w:ascii="Arial" w:eastAsiaTheme="minorHAnsi" w:hAnsi="Arial" w:cs="Arial"/>
          <w:sz w:val="22"/>
          <w:szCs w:val="22"/>
          <w:lang w:eastAsia="en-US"/>
        </w:rPr>
        <w:t xml:space="preserve"> (2015), with its focus on the commercialisation of publicly-funded research. Noting that the academic literature continues to debate the positive and negative implications of </w:t>
      </w:r>
      <w:proofErr w:type="spellStart"/>
      <w:r w:rsidRPr="00A00CCD">
        <w:rPr>
          <w:rFonts w:ascii="Arial" w:eastAsiaTheme="minorHAnsi" w:hAnsi="Arial" w:cs="Arial"/>
          <w:sz w:val="22"/>
          <w:szCs w:val="22"/>
          <w:lang w:eastAsia="en-US"/>
        </w:rPr>
        <w:t>IPR</w:t>
      </w:r>
      <w:proofErr w:type="spellEnd"/>
      <w:r w:rsidRPr="00A00CCD">
        <w:rPr>
          <w:rFonts w:ascii="Arial" w:eastAsiaTheme="minorHAnsi" w:hAnsi="Arial" w:cs="Arial"/>
          <w:sz w:val="22"/>
          <w:szCs w:val="22"/>
          <w:lang w:eastAsia="en-US"/>
        </w:rPr>
        <w:t xml:space="preserve"> regulation on national innovation systems (such as through their approaches to patents and licence enforcement) (Koch, </w:t>
      </w:r>
      <w:proofErr w:type="spellStart"/>
      <w:r w:rsidRPr="00A00CCD">
        <w:rPr>
          <w:rFonts w:ascii="Arial" w:eastAsiaTheme="minorHAnsi" w:hAnsi="Arial" w:cs="Arial"/>
          <w:sz w:val="22"/>
          <w:szCs w:val="22"/>
          <w:lang w:eastAsia="en-US"/>
        </w:rPr>
        <w:t>Rafiquzzaman</w:t>
      </w:r>
      <w:proofErr w:type="spellEnd"/>
      <w:r w:rsidRPr="00A00CCD">
        <w:rPr>
          <w:rFonts w:ascii="Arial" w:eastAsiaTheme="minorHAnsi" w:hAnsi="Arial" w:cs="Arial"/>
          <w:sz w:val="22"/>
          <w:szCs w:val="22"/>
          <w:lang w:eastAsia="en-US"/>
        </w:rPr>
        <w:t xml:space="preserve"> and Rao 2004; Carlin and Soskice 2006; Blind 2012), we will focus upon the balance of legal protection necessary to underpin the breadth of knowledge creation purposes being encouraged within Australian universities. </w:t>
      </w:r>
    </w:p>
    <w:p w:rsidR="00A00CCD" w:rsidRPr="00A00CCD" w:rsidRDefault="00A00CCD" w:rsidP="00A00CCD">
      <w:pPr>
        <w:spacing w:after="200" w:line="312" w:lineRule="auto"/>
        <w:jc w:val="both"/>
        <w:rPr>
          <w:rFonts w:ascii="Arial" w:eastAsiaTheme="minorHAnsi" w:hAnsi="Arial" w:cs="Arial"/>
          <w:sz w:val="22"/>
          <w:szCs w:val="22"/>
          <w:lang w:eastAsia="en-US"/>
        </w:rPr>
      </w:pPr>
      <w:r w:rsidRPr="00A00CCD">
        <w:rPr>
          <w:rFonts w:ascii="Arial" w:eastAsiaTheme="minorHAnsi" w:hAnsi="Arial" w:cs="Arial"/>
          <w:sz w:val="22"/>
          <w:szCs w:val="22"/>
          <w:lang w:eastAsia="en-US"/>
        </w:rPr>
        <w:t xml:space="preserve">The OECD’s </w:t>
      </w:r>
      <w:r w:rsidRPr="00A00CCD">
        <w:rPr>
          <w:rFonts w:ascii="Arial" w:eastAsiaTheme="minorHAnsi" w:hAnsi="Arial" w:cs="Arial"/>
          <w:i/>
          <w:sz w:val="22"/>
          <w:szCs w:val="22"/>
          <w:lang w:eastAsia="en-US"/>
        </w:rPr>
        <w:t>Commercialising Public Research</w:t>
      </w:r>
      <w:r w:rsidRPr="00A00CCD">
        <w:rPr>
          <w:rFonts w:ascii="Arial" w:eastAsiaTheme="minorHAnsi" w:hAnsi="Arial" w:cs="Arial"/>
          <w:sz w:val="22"/>
          <w:szCs w:val="22"/>
          <w:lang w:eastAsia="en-US"/>
        </w:rPr>
        <w:t xml:space="preserve"> report (OECD 2013: 58) includes explicit recommendations around enhancing IP arrangements and strategies specific to universities as strategic actors within innovation systems. This includes:</w:t>
      </w:r>
    </w:p>
    <w:p w:rsidR="00A00CCD" w:rsidRPr="00A00CCD" w:rsidRDefault="00A00CCD" w:rsidP="00143F3B">
      <w:pPr>
        <w:numPr>
          <w:ilvl w:val="0"/>
          <w:numId w:val="25"/>
        </w:numPr>
        <w:spacing w:after="240" w:line="312" w:lineRule="auto"/>
        <w:ind w:left="714" w:hanging="357"/>
        <w:contextualSpacing/>
        <w:jc w:val="both"/>
        <w:rPr>
          <w:rFonts w:ascii="Arial" w:eastAsiaTheme="minorHAnsi" w:hAnsi="Arial" w:cs="Arial"/>
          <w:sz w:val="22"/>
          <w:szCs w:val="22"/>
          <w:lang w:eastAsia="en-US"/>
        </w:rPr>
      </w:pPr>
      <w:r w:rsidRPr="00A00CCD">
        <w:rPr>
          <w:rFonts w:ascii="Arial" w:eastAsiaTheme="minorHAnsi" w:hAnsi="Arial" w:cs="Arial"/>
          <w:sz w:val="22"/>
          <w:szCs w:val="22"/>
          <w:lang w:eastAsia="en-US"/>
        </w:rPr>
        <w:t xml:space="preserve">Legislative and administrative reforms to provide certainty and clarity in the legal framework and to encourage public research institutions and universities to file for and commercialise their IP, </w:t>
      </w:r>
    </w:p>
    <w:p w:rsidR="00A00CCD" w:rsidRPr="00A00CCD" w:rsidRDefault="00A00CCD" w:rsidP="00143F3B">
      <w:pPr>
        <w:numPr>
          <w:ilvl w:val="0"/>
          <w:numId w:val="25"/>
        </w:numPr>
        <w:spacing w:after="240" w:line="312" w:lineRule="auto"/>
        <w:ind w:left="714" w:hanging="357"/>
        <w:contextualSpacing/>
        <w:jc w:val="both"/>
        <w:rPr>
          <w:rFonts w:ascii="Arial" w:eastAsiaTheme="minorHAnsi" w:hAnsi="Arial" w:cs="Arial"/>
          <w:sz w:val="22"/>
          <w:szCs w:val="22"/>
          <w:lang w:eastAsia="en-US"/>
        </w:rPr>
      </w:pPr>
      <w:r w:rsidRPr="00A00CCD">
        <w:rPr>
          <w:rFonts w:ascii="Arial" w:eastAsiaTheme="minorHAnsi" w:hAnsi="Arial" w:cs="Arial"/>
          <w:sz w:val="22"/>
          <w:szCs w:val="22"/>
          <w:lang w:eastAsia="en-US"/>
        </w:rPr>
        <w:t>Mechanisms to facilitate the flow of knowledge and research data (such as "open science" and "open research data" initiatives), and</w:t>
      </w:r>
    </w:p>
    <w:p w:rsidR="00A00CCD" w:rsidRPr="00A00CCD" w:rsidRDefault="00A00CCD" w:rsidP="00143F3B">
      <w:pPr>
        <w:numPr>
          <w:ilvl w:val="0"/>
          <w:numId w:val="25"/>
        </w:numPr>
        <w:spacing w:after="240" w:line="312" w:lineRule="auto"/>
        <w:ind w:left="714" w:hanging="357"/>
        <w:jc w:val="both"/>
        <w:rPr>
          <w:rFonts w:ascii="Arial" w:eastAsiaTheme="minorHAnsi" w:hAnsi="Arial" w:cs="Arial"/>
          <w:sz w:val="22"/>
          <w:szCs w:val="22"/>
          <w:lang w:eastAsia="en-US"/>
        </w:rPr>
      </w:pPr>
      <w:r w:rsidRPr="00A00CCD">
        <w:rPr>
          <w:rFonts w:ascii="Arial" w:eastAsiaTheme="minorHAnsi" w:hAnsi="Arial" w:cs="Arial"/>
          <w:sz w:val="22"/>
          <w:szCs w:val="22"/>
          <w:lang w:eastAsia="en-US"/>
        </w:rPr>
        <w:t>Recognition of researcher participation in the commercialisation process (through monetary and non-monetary incentives to researchers to disclose results).</w:t>
      </w:r>
    </w:p>
    <w:p w:rsidR="00A00CCD" w:rsidRPr="00A00CCD" w:rsidRDefault="00A00CCD" w:rsidP="00A00CCD">
      <w:pPr>
        <w:spacing w:after="240" w:line="360" w:lineRule="auto"/>
        <w:jc w:val="both"/>
        <w:rPr>
          <w:rFonts w:ascii="Arial" w:eastAsiaTheme="minorHAnsi" w:hAnsi="Arial" w:cs="Arial"/>
          <w:sz w:val="22"/>
          <w:szCs w:val="22"/>
          <w:lang w:eastAsia="en-US"/>
        </w:rPr>
      </w:pPr>
      <w:r w:rsidRPr="00A00CCD">
        <w:rPr>
          <w:rFonts w:ascii="Arial" w:eastAsiaTheme="minorHAnsi" w:hAnsi="Arial" w:cs="Arial"/>
          <w:sz w:val="22"/>
          <w:szCs w:val="22"/>
          <w:lang w:eastAsia="en-US"/>
        </w:rPr>
        <w:t xml:space="preserve">The </w:t>
      </w:r>
      <w:proofErr w:type="spellStart"/>
      <w:r w:rsidRPr="00A00CCD">
        <w:rPr>
          <w:rFonts w:ascii="Arial" w:eastAsiaTheme="minorHAnsi" w:hAnsi="Arial" w:cs="Arial"/>
          <w:sz w:val="22"/>
          <w:szCs w:val="22"/>
          <w:lang w:eastAsia="en-US"/>
        </w:rPr>
        <w:t>NTEU</w:t>
      </w:r>
      <w:proofErr w:type="spellEnd"/>
      <w:r w:rsidRPr="00A00CCD">
        <w:rPr>
          <w:rFonts w:ascii="Arial" w:eastAsiaTheme="minorHAnsi" w:hAnsi="Arial" w:cs="Arial"/>
          <w:sz w:val="22"/>
          <w:szCs w:val="22"/>
          <w:lang w:eastAsia="en-US"/>
        </w:rPr>
        <w:t xml:space="preserve"> view on how IP arrangements should shape the capacity for knowledge creation is consistent with </w:t>
      </w:r>
      <w:proofErr w:type="spellStart"/>
      <w:r w:rsidRPr="00A00CCD">
        <w:rPr>
          <w:rFonts w:ascii="Arial" w:eastAsiaTheme="minorHAnsi" w:hAnsi="Arial" w:cs="Arial"/>
          <w:sz w:val="22"/>
          <w:szCs w:val="22"/>
          <w:lang w:eastAsia="en-US"/>
        </w:rPr>
        <w:t>Monotti</w:t>
      </w:r>
      <w:proofErr w:type="spellEnd"/>
      <w:r w:rsidRPr="00A00CCD">
        <w:rPr>
          <w:rFonts w:ascii="Arial" w:eastAsiaTheme="minorHAnsi" w:hAnsi="Arial" w:cs="Arial"/>
          <w:sz w:val="22"/>
          <w:szCs w:val="22"/>
          <w:lang w:eastAsia="en-US"/>
        </w:rPr>
        <w:t xml:space="preserve"> and </w:t>
      </w:r>
      <w:proofErr w:type="spellStart"/>
      <w:r w:rsidRPr="00A00CCD">
        <w:rPr>
          <w:rFonts w:ascii="Arial" w:eastAsiaTheme="minorHAnsi" w:hAnsi="Arial" w:cs="Arial"/>
          <w:sz w:val="22"/>
          <w:szCs w:val="22"/>
          <w:lang w:eastAsia="en-US"/>
        </w:rPr>
        <w:t>Rickertson</w:t>
      </w:r>
      <w:proofErr w:type="spellEnd"/>
      <w:r w:rsidRPr="00A00CCD">
        <w:rPr>
          <w:rFonts w:ascii="Arial" w:eastAsiaTheme="minorHAnsi" w:hAnsi="Arial" w:cs="Arial"/>
          <w:sz w:val="22"/>
          <w:szCs w:val="22"/>
          <w:lang w:eastAsia="en-US"/>
        </w:rPr>
        <w:t xml:space="preserve"> (2003: 547) who argue that, “</w:t>
      </w:r>
      <w:r w:rsidRPr="00A00CCD">
        <w:rPr>
          <w:rFonts w:ascii="Arial" w:eastAsiaTheme="minorHAnsi" w:hAnsi="Arial" w:cs="Arial"/>
          <w:i/>
          <w:sz w:val="22"/>
          <w:szCs w:val="22"/>
          <w:lang w:eastAsia="en-US"/>
        </w:rPr>
        <w:t>The most significant issue for universities and originators of IP is to ensure that any decision on ownership and distribution of rights provides maximum potential for all parties to obtain access to IP for their specific purposes and at reasonable cost</w:t>
      </w:r>
      <w:r w:rsidRPr="00A00CCD">
        <w:rPr>
          <w:rFonts w:ascii="Arial" w:eastAsiaTheme="minorHAnsi" w:hAnsi="Arial" w:cs="Arial"/>
          <w:sz w:val="22"/>
          <w:szCs w:val="22"/>
          <w:lang w:eastAsia="en-US"/>
        </w:rPr>
        <w:t xml:space="preserve">”. </w:t>
      </w:r>
    </w:p>
    <w:p w:rsidR="00A00CCD" w:rsidRPr="00A00CCD" w:rsidRDefault="00A00CCD" w:rsidP="00A00CCD">
      <w:pPr>
        <w:spacing w:after="240" w:line="360" w:lineRule="auto"/>
        <w:jc w:val="both"/>
        <w:rPr>
          <w:rFonts w:ascii="Arial" w:eastAsiaTheme="minorHAnsi" w:hAnsi="Arial" w:cs="Arial"/>
          <w:sz w:val="22"/>
          <w:szCs w:val="22"/>
          <w:lang w:eastAsia="en-US"/>
        </w:rPr>
      </w:pPr>
      <w:r w:rsidRPr="00A00CCD">
        <w:rPr>
          <w:rFonts w:ascii="Arial" w:eastAsiaTheme="minorHAnsi" w:hAnsi="Arial" w:cs="Arial"/>
          <w:sz w:val="22"/>
          <w:szCs w:val="22"/>
          <w:lang w:eastAsia="en-US"/>
        </w:rPr>
        <w:t xml:space="preserve">Universities, academics, researchers, research teams, faculties, departments, professional associations and academic disciplines are simultaneously creators and users of IP. The daily business of these actors within communities of practice is defined by the conditions that create, reproduce, circulate and advance knowledge. Whether in the Humanities, Arts and Social Sciences (HASS) or in Science, Technology, Engineering and Mathematics (STEM), academics rely upon both </w:t>
      </w:r>
      <w:r w:rsidRPr="00A00CCD">
        <w:rPr>
          <w:rFonts w:ascii="Arial" w:eastAsiaTheme="minorHAnsi" w:hAnsi="Arial" w:cs="Arial"/>
          <w:sz w:val="22"/>
          <w:szCs w:val="22"/>
          <w:lang w:eastAsia="en-US"/>
        </w:rPr>
        <w:lastRenderedPageBreak/>
        <w:t xml:space="preserve">formal and tacit intellectual freedoms embodied not only by free intellectual </w:t>
      </w:r>
      <w:r w:rsidRPr="00A00CCD">
        <w:rPr>
          <w:rFonts w:ascii="Arial" w:eastAsiaTheme="minorHAnsi" w:hAnsi="Arial" w:cs="Arial"/>
          <w:i/>
          <w:sz w:val="22"/>
          <w:szCs w:val="22"/>
          <w:lang w:eastAsia="en-US"/>
        </w:rPr>
        <w:t>inquiry</w:t>
      </w:r>
      <w:r w:rsidRPr="00A00CCD">
        <w:rPr>
          <w:rFonts w:ascii="Arial" w:eastAsiaTheme="minorHAnsi" w:hAnsi="Arial" w:cs="Arial"/>
          <w:sz w:val="22"/>
          <w:szCs w:val="22"/>
          <w:lang w:eastAsia="en-US"/>
        </w:rPr>
        <w:t xml:space="preserve">, but also free intellectual </w:t>
      </w:r>
      <w:r w:rsidRPr="00A00CCD">
        <w:rPr>
          <w:rFonts w:ascii="Arial" w:eastAsiaTheme="minorHAnsi" w:hAnsi="Arial" w:cs="Arial"/>
          <w:i/>
          <w:sz w:val="22"/>
          <w:szCs w:val="22"/>
          <w:lang w:eastAsia="en-US"/>
        </w:rPr>
        <w:t>exchange</w:t>
      </w:r>
      <w:r w:rsidRPr="00A00CCD">
        <w:rPr>
          <w:rFonts w:ascii="Arial" w:eastAsiaTheme="minorHAnsi" w:hAnsi="Arial" w:cs="Arial"/>
          <w:sz w:val="22"/>
          <w:szCs w:val="22"/>
          <w:lang w:eastAsia="en-US"/>
        </w:rPr>
        <w:t xml:space="preserve">. </w:t>
      </w:r>
    </w:p>
    <w:p w:rsidR="00A00CCD" w:rsidRPr="00A00CCD" w:rsidRDefault="00A00CCD" w:rsidP="00A00CCD">
      <w:pPr>
        <w:spacing w:after="240" w:line="360" w:lineRule="auto"/>
        <w:jc w:val="both"/>
        <w:rPr>
          <w:rFonts w:ascii="Arial" w:eastAsiaTheme="minorHAnsi" w:hAnsi="Arial" w:cs="Arial"/>
          <w:sz w:val="22"/>
          <w:szCs w:val="22"/>
          <w:lang w:eastAsia="en-US"/>
        </w:rPr>
      </w:pPr>
      <w:r w:rsidRPr="00A00CCD">
        <w:rPr>
          <w:rFonts w:ascii="Arial" w:eastAsiaTheme="minorHAnsi" w:hAnsi="Arial" w:cs="Arial"/>
          <w:sz w:val="22"/>
          <w:szCs w:val="22"/>
          <w:lang w:eastAsia="en-US"/>
        </w:rPr>
        <w:t>There are key public policy challenges in relation to capturing and retaining the distinctive character of the Australia’s university system, and that in seeking to fulfil its review obligations, the Productivity Commission must take seriously that:</w:t>
      </w:r>
    </w:p>
    <w:p w:rsidR="00A00CCD" w:rsidRPr="00A00CCD" w:rsidRDefault="00A00CCD" w:rsidP="00A00CCD">
      <w:pPr>
        <w:spacing w:after="240" w:line="360" w:lineRule="auto"/>
        <w:jc w:val="both"/>
        <w:rPr>
          <w:rFonts w:ascii="Arial" w:eastAsiaTheme="minorHAnsi" w:hAnsi="Arial" w:cs="Arial"/>
          <w:b/>
          <w:sz w:val="22"/>
          <w:szCs w:val="22"/>
          <w:lang w:eastAsia="en-US"/>
        </w:rPr>
      </w:pPr>
      <w:r w:rsidRPr="00A00CCD">
        <w:rPr>
          <w:rFonts w:ascii="Arial" w:eastAsiaTheme="minorHAnsi" w:hAnsi="Arial" w:cs="Arial"/>
          <w:sz w:val="22"/>
          <w:szCs w:val="22"/>
          <w:lang w:eastAsia="en-US"/>
        </w:rPr>
        <w:t xml:space="preserve"> “</w:t>
      </w:r>
      <w:r w:rsidRPr="00A00CCD">
        <w:rPr>
          <w:rFonts w:ascii="Arial" w:eastAsiaTheme="minorHAnsi" w:hAnsi="Arial" w:cs="Arial"/>
          <w:i/>
          <w:sz w:val="22"/>
          <w:szCs w:val="22"/>
          <w:lang w:eastAsia="en-US"/>
        </w:rPr>
        <w:t>The challenge for governments is to support the principle that academic freedom and integrity of research are worth preserving, and that such protection carries with it wider benefits for the community as a whole</w:t>
      </w:r>
      <w:r w:rsidRPr="00A00CCD">
        <w:rPr>
          <w:rFonts w:ascii="Arial" w:eastAsiaTheme="minorHAnsi" w:hAnsi="Arial" w:cs="Arial"/>
          <w:sz w:val="22"/>
          <w:szCs w:val="22"/>
          <w:lang w:eastAsia="en-US"/>
        </w:rPr>
        <w:t>” (</w:t>
      </w:r>
      <w:proofErr w:type="spellStart"/>
      <w:r w:rsidRPr="00A00CCD">
        <w:rPr>
          <w:rFonts w:ascii="Arial" w:eastAsiaTheme="minorHAnsi" w:hAnsi="Arial" w:cs="Arial"/>
          <w:sz w:val="22"/>
          <w:szCs w:val="22"/>
          <w:lang w:eastAsia="en-US"/>
        </w:rPr>
        <w:t>Monotti</w:t>
      </w:r>
      <w:proofErr w:type="spellEnd"/>
      <w:r w:rsidRPr="00A00CCD">
        <w:rPr>
          <w:rFonts w:ascii="Arial" w:eastAsiaTheme="minorHAnsi" w:hAnsi="Arial" w:cs="Arial"/>
          <w:sz w:val="22"/>
          <w:szCs w:val="22"/>
          <w:lang w:eastAsia="en-US"/>
        </w:rPr>
        <w:t xml:space="preserve"> and </w:t>
      </w:r>
      <w:proofErr w:type="spellStart"/>
      <w:r w:rsidRPr="00A00CCD">
        <w:rPr>
          <w:rFonts w:ascii="Arial" w:eastAsiaTheme="minorHAnsi" w:hAnsi="Arial" w:cs="Arial"/>
          <w:sz w:val="22"/>
          <w:szCs w:val="22"/>
          <w:lang w:eastAsia="en-US"/>
        </w:rPr>
        <w:t>Ricketson</w:t>
      </w:r>
      <w:proofErr w:type="spellEnd"/>
      <w:r w:rsidRPr="00A00CCD">
        <w:rPr>
          <w:rFonts w:ascii="Arial" w:eastAsiaTheme="minorHAnsi" w:hAnsi="Arial" w:cs="Arial"/>
          <w:sz w:val="22"/>
          <w:szCs w:val="22"/>
          <w:lang w:eastAsia="en-US"/>
        </w:rPr>
        <w:t xml:space="preserve"> 2003: 548).</w:t>
      </w:r>
      <w:r w:rsidRPr="00A00CCD">
        <w:rPr>
          <w:rFonts w:ascii="Arial" w:eastAsiaTheme="minorHAnsi" w:hAnsi="Arial" w:cs="Arial"/>
          <w:b/>
          <w:sz w:val="22"/>
          <w:szCs w:val="22"/>
          <w:lang w:eastAsia="en-US"/>
        </w:rPr>
        <w:t xml:space="preserve"> </w:t>
      </w:r>
    </w:p>
    <w:p w:rsidR="00A00CCD" w:rsidRPr="00A00CCD" w:rsidRDefault="00A00CCD" w:rsidP="00A00CCD">
      <w:pPr>
        <w:spacing w:after="240" w:line="360" w:lineRule="auto"/>
        <w:jc w:val="both"/>
        <w:rPr>
          <w:rFonts w:ascii="Arial" w:eastAsiaTheme="minorHAnsi" w:hAnsi="Arial" w:cs="Arial"/>
          <w:sz w:val="22"/>
          <w:szCs w:val="22"/>
          <w:lang w:eastAsia="en-US"/>
        </w:rPr>
      </w:pPr>
      <w:r w:rsidRPr="00A00CCD">
        <w:rPr>
          <w:rFonts w:ascii="Arial" w:eastAsiaTheme="minorHAnsi" w:hAnsi="Arial" w:cs="Arial"/>
          <w:sz w:val="22"/>
          <w:szCs w:val="22"/>
          <w:lang w:eastAsia="en-US"/>
        </w:rPr>
        <w:t>Our submission also references arguments about the checks necessary to ensure Australia sustains the capacity to modify its IP laws in light of global competition in Research and Development (R&amp;D), as well as the regulatory constraints that are now frequently established through international trade agreements.</w:t>
      </w:r>
    </w:p>
    <w:p w:rsidR="00A00CCD" w:rsidRPr="00A00CCD" w:rsidRDefault="00A00CCD" w:rsidP="00A00CCD">
      <w:pPr>
        <w:keepNext/>
        <w:keepLines/>
        <w:spacing w:before="240" w:line="276" w:lineRule="auto"/>
        <w:outlineLvl w:val="0"/>
        <w:rPr>
          <w:rFonts w:ascii="Arial" w:eastAsiaTheme="majorEastAsia" w:hAnsi="Arial" w:cstheme="majorBidi"/>
          <w:b/>
          <w:sz w:val="24"/>
          <w:szCs w:val="32"/>
          <w:lang w:eastAsia="en-US"/>
        </w:rPr>
      </w:pPr>
      <w:bookmarkStart w:id="2" w:name="_Toc436652139"/>
      <w:r w:rsidRPr="00A00CCD">
        <w:rPr>
          <w:rFonts w:ascii="Arial" w:eastAsiaTheme="majorEastAsia" w:hAnsi="Arial" w:cstheme="majorBidi"/>
          <w:b/>
          <w:sz w:val="24"/>
          <w:szCs w:val="32"/>
          <w:lang w:eastAsia="en-US"/>
        </w:rPr>
        <w:t>Distinctiveness of universities in the R&amp;D ecosystem</w:t>
      </w:r>
      <w:bookmarkEnd w:id="2"/>
    </w:p>
    <w:p w:rsidR="00A00CCD" w:rsidRPr="00A00CCD" w:rsidRDefault="00A00CCD" w:rsidP="00A00CCD">
      <w:pPr>
        <w:spacing w:after="240" w:line="360" w:lineRule="auto"/>
        <w:jc w:val="both"/>
        <w:rPr>
          <w:rFonts w:ascii="Arial" w:eastAsiaTheme="minorHAnsi" w:hAnsi="Arial" w:cs="Arial"/>
          <w:sz w:val="22"/>
          <w:szCs w:val="22"/>
          <w:lang w:eastAsia="en-US"/>
        </w:rPr>
      </w:pPr>
      <w:r w:rsidRPr="00A00CCD">
        <w:rPr>
          <w:rFonts w:ascii="Arial" w:eastAsiaTheme="minorHAnsi" w:hAnsi="Arial" w:cs="Arial"/>
          <w:sz w:val="22"/>
          <w:szCs w:val="22"/>
          <w:lang w:eastAsia="en-US"/>
        </w:rPr>
        <w:t>As the Commission will appreciate university staff are a major source of research output and IP created in Australia. The latest Higher Education Research Data Collection (</w:t>
      </w:r>
      <w:proofErr w:type="spellStart"/>
      <w:r w:rsidRPr="00A00CCD">
        <w:rPr>
          <w:rFonts w:ascii="Arial" w:eastAsiaTheme="minorHAnsi" w:hAnsi="Arial" w:cs="Arial"/>
          <w:sz w:val="22"/>
          <w:szCs w:val="22"/>
          <w:lang w:eastAsia="en-US"/>
        </w:rPr>
        <w:t>HERDC</w:t>
      </w:r>
      <w:proofErr w:type="spellEnd"/>
      <w:r w:rsidRPr="00A00CCD">
        <w:rPr>
          <w:rFonts w:ascii="Arial" w:eastAsiaTheme="minorHAnsi" w:hAnsi="Arial" w:cs="Arial"/>
          <w:sz w:val="22"/>
          <w:szCs w:val="22"/>
          <w:lang w:eastAsia="en-US"/>
        </w:rPr>
        <w:t>) shows that employees of Australian universities produced 943 books, 6,542 book chapters, 8,719 conference papers and 45,582 journal articles in 2013.  Table 1 summarises the latest available Research and Development (R&amp;D) data for Australia and illustrates that the higher education sector accounted for about one quarter (24.2%) of the total expenditure and almost half (44.9%) of all the human resources devoted to R&amp;D.</w:t>
      </w:r>
    </w:p>
    <w:p w:rsidR="00A00CCD" w:rsidRPr="00A00CCD" w:rsidRDefault="00A00CCD" w:rsidP="00A00CCD">
      <w:pPr>
        <w:spacing w:after="240" w:line="360" w:lineRule="auto"/>
        <w:jc w:val="both"/>
        <w:rPr>
          <w:rFonts w:ascii="Arial" w:eastAsiaTheme="minorHAnsi" w:hAnsi="Arial" w:cs="Arial"/>
          <w:b/>
          <w:color w:val="000000" w:themeColor="text1"/>
          <w:sz w:val="22"/>
          <w:szCs w:val="22"/>
          <w:lang w:eastAsia="en-US"/>
        </w:rPr>
      </w:pPr>
      <w:r w:rsidRPr="00A00CCD">
        <w:rPr>
          <w:rFonts w:ascii="Arial" w:eastAsiaTheme="minorHAnsi" w:hAnsi="Arial" w:cs="Arial"/>
          <w:b/>
          <w:color w:val="000000" w:themeColor="text1"/>
          <w:sz w:val="22"/>
          <w:szCs w:val="22"/>
          <w:lang w:eastAsia="en-US"/>
        </w:rPr>
        <w:t xml:space="preserve">Table </w:t>
      </w:r>
      <w:r w:rsidRPr="00A00CCD">
        <w:rPr>
          <w:rFonts w:ascii="Arial" w:eastAsiaTheme="minorHAnsi" w:hAnsi="Arial" w:cs="Arial"/>
          <w:b/>
          <w:color w:val="000000" w:themeColor="text1"/>
          <w:sz w:val="22"/>
          <w:szCs w:val="22"/>
          <w:lang w:eastAsia="en-US"/>
        </w:rPr>
        <w:fldChar w:fldCharType="begin"/>
      </w:r>
      <w:r w:rsidRPr="00A00CCD">
        <w:rPr>
          <w:rFonts w:ascii="Arial" w:eastAsiaTheme="minorHAnsi" w:hAnsi="Arial" w:cs="Arial"/>
          <w:b/>
          <w:color w:val="000000" w:themeColor="text1"/>
          <w:sz w:val="22"/>
          <w:szCs w:val="22"/>
          <w:lang w:eastAsia="en-US"/>
        </w:rPr>
        <w:instrText xml:space="preserve"> SEQ Table \* ARABIC </w:instrText>
      </w:r>
      <w:r w:rsidRPr="00A00CCD">
        <w:rPr>
          <w:rFonts w:ascii="Arial" w:eastAsiaTheme="minorHAnsi" w:hAnsi="Arial" w:cs="Arial"/>
          <w:b/>
          <w:color w:val="000000" w:themeColor="text1"/>
          <w:sz w:val="22"/>
          <w:szCs w:val="22"/>
          <w:lang w:eastAsia="en-US"/>
        </w:rPr>
        <w:fldChar w:fldCharType="separate"/>
      </w:r>
      <w:r w:rsidRPr="00A00CCD">
        <w:rPr>
          <w:rFonts w:ascii="Arial" w:eastAsiaTheme="minorHAnsi" w:hAnsi="Arial" w:cs="Arial"/>
          <w:b/>
          <w:noProof/>
          <w:color w:val="000000" w:themeColor="text1"/>
          <w:sz w:val="22"/>
          <w:szCs w:val="22"/>
          <w:lang w:eastAsia="en-US"/>
        </w:rPr>
        <w:t>1</w:t>
      </w:r>
      <w:r w:rsidRPr="00A00CCD">
        <w:rPr>
          <w:rFonts w:ascii="Arial" w:eastAsiaTheme="minorHAnsi" w:hAnsi="Arial" w:cs="Arial"/>
          <w:b/>
          <w:color w:val="000000" w:themeColor="text1"/>
          <w:sz w:val="22"/>
          <w:szCs w:val="22"/>
          <w:lang w:eastAsia="en-US"/>
        </w:rPr>
        <w:fldChar w:fldCharType="end"/>
      </w:r>
    </w:p>
    <w:p w:rsidR="00A00CCD" w:rsidRPr="00A00CCD" w:rsidRDefault="00A00CCD" w:rsidP="00A00CCD">
      <w:pPr>
        <w:spacing w:after="240" w:line="360" w:lineRule="auto"/>
        <w:jc w:val="both"/>
        <w:rPr>
          <w:rFonts w:ascii="Arial" w:eastAsiaTheme="minorHAnsi" w:hAnsi="Arial" w:cs="Arial"/>
          <w:sz w:val="22"/>
          <w:szCs w:val="22"/>
          <w:lang w:eastAsia="en-US"/>
        </w:rPr>
      </w:pPr>
      <w:r w:rsidRPr="00A00CCD">
        <w:rPr>
          <w:rFonts w:asciiTheme="minorHAnsi" w:eastAsiaTheme="minorHAnsi" w:hAnsiTheme="minorHAnsi" w:cstheme="minorBidi"/>
          <w:noProof/>
          <w:sz w:val="22"/>
          <w:szCs w:val="22"/>
        </w:rPr>
        <w:drawing>
          <wp:inline distT="0" distB="0" distL="0" distR="0" wp14:anchorId="3D965381" wp14:editId="4B0E43DE">
            <wp:extent cx="5731510" cy="1789415"/>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789415"/>
                    </a:xfrm>
                    <a:prstGeom prst="rect">
                      <a:avLst/>
                    </a:prstGeom>
                    <a:noFill/>
                    <a:ln>
                      <a:noFill/>
                    </a:ln>
                  </pic:spPr>
                </pic:pic>
              </a:graphicData>
            </a:graphic>
          </wp:inline>
        </w:drawing>
      </w:r>
    </w:p>
    <w:p w:rsidR="00A00CCD" w:rsidRPr="00A00CCD" w:rsidRDefault="00A00CCD" w:rsidP="00A00CCD">
      <w:pPr>
        <w:spacing w:after="240" w:line="360" w:lineRule="auto"/>
        <w:jc w:val="both"/>
        <w:rPr>
          <w:rFonts w:ascii="Arial" w:eastAsia="DaxlinePro-Light" w:hAnsi="Arial" w:cs="Arial"/>
          <w:sz w:val="22"/>
          <w:szCs w:val="22"/>
          <w:lang w:eastAsia="en-US"/>
        </w:rPr>
      </w:pPr>
      <w:r w:rsidRPr="00A00CCD">
        <w:rPr>
          <w:rFonts w:ascii="Arial" w:eastAsia="DaxlinePro-Light" w:hAnsi="Arial" w:cs="Arial"/>
          <w:sz w:val="22"/>
          <w:szCs w:val="22"/>
          <w:lang w:eastAsia="en-US"/>
        </w:rPr>
        <w:t xml:space="preserve">Despite being a critical part in generating Australian IP, the Commission’s Issues Paper makes no specific to unique role or importance of universities.  The </w:t>
      </w:r>
      <w:proofErr w:type="spellStart"/>
      <w:r w:rsidRPr="00A00CCD">
        <w:rPr>
          <w:rFonts w:ascii="Arial" w:eastAsia="DaxlinePro-Light" w:hAnsi="Arial" w:cs="Arial"/>
          <w:sz w:val="22"/>
          <w:szCs w:val="22"/>
          <w:lang w:eastAsia="en-US"/>
        </w:rPr>
        <w:t>NTEU</w:t>
      </w:r>
      <w:proofErr w:type="spellEnd"/>
      <w:r w:rsidRPr="00A00CCD">
        <w:rPr>
          <w:rFonts w:ascii="Arial" w:eastAsia="DaxlinePro-Light" w:hAnsi="Arial" w:cs="Arial"/>
          <w:sz w:val="22"/>
          <w:szCs w:val="22"/>
          <w:lang w:eastAsia="en-US"/>
        </w:rPr>
        <w:t xml:space="preserve"> would contend that this is a major oversight.</w:t>
      </w:r>
    </w:p>
    <w:p w:rsidR="00A00CCD" w:rsidRPr="00A00CCD" w:rsidRDefault="00A00CCD" w:rsidP="00A00CCD">
      <w:pPr>
        <w:spacing w:after="240" w:line="360" w:lineRule="auto"/>
        <w:jc w:val="both"/>
        <w:rPr>
          <w:rFonts w:ascii="Arial" w:eastAsia="DaxlinePro-Light" w:hAnsi="Arial" w:cs="Arial"/>
          <w:sz w:val="22"/>
          <w:szCs w:val="22"/>
          <w:lang w:eastAsia="en-US"/>
        </w:rPr>
      </w:pPr>
      <w:r w:rsidRPr="00A00CCD">
        <w:rPr>
          <w:rFonts w:ascii="Arial" w:eastAsiaTheme="minorHAnsi" w:hAnsi="Arial" w:cs="Arial"/>
          <w:sz w:val="22"/>
          <w:szCs w:val="22"/>
          <w:lang w:eastAsia="en-US"/>
        </w:rPr>
        <w:t>Australia’s na</w:t>
      </w:r>
      <w:r w:rsidRPr="00A00CCD">
        <w:rPr>
          <w:rFonts w:ascii="Arial" w:eastAsia="DaxlinePro-Light" w:hAnsi="Arial" w:cs="Arial"/>
          <w:sz w:val="22"/>
          <w:szCs w:val="22"/>
          <w:lang w:eastAsia="en-US"/>
        </w:rPr>
        <w:t>tional innovation effort is made up of diverse stakeholders, each of whom perform a necessary role, and contribute to fulfilling government’s economic goals through maximising their specific institutional capabilities (</w:t>
      </w:r>
      <w:proofErr w:type="spellStart"/>
      <w:r w:rsidRPr="00A00CCD">
        <w:rPr>
          <w:rFonts w:ascii="Arial" w:eastAsia="DaxlinePro-Light" w:hAnsi="Arial" w:cs="Arial"/>
          <w:sz w:val="22"/>
          <w:szCs w:val="22"/>
          <w:lang w:eastAsia="en-US"/>
        </w:rPr>
        <w:t>OCED</w:t>
      </w:r>
      <w:proofErr w:type="spellEnd"/>
      <w:r w:rsidRPr="00A00CCD">
        <w:rPr>
          <w:rFonts w:ascii="Arial" w:eastAsia="DaxlinePro-Light" w:hAnsi="Arial" w:cs="Arial"/>
          <w:sz w:val="22"/>
          <w:szCs w:val="22"/>
          <w:lang w:eastAsia="en-US"/>
        </w:rPr>
        <w:t xml:space="preserve"> 2003: 7, 15-18; </w:t>
      </w:r>
      <w:proofErr w:type="spellStart"/>
      <w:r w:rsidRPr="00A00CCD">
        <w:rPr>
          <w:rFonts w:ascii="Arial" w:eastAsia="DaxlinePro-Light" w:hAnsi="Arial" w:cs="Arial"/>
          <w:sz w:val="22"/>
          <w:szCs w:val="22"/>
          <w:lang w:eastAsia="en-US"/>
        </w:rPr>
        <w:t>DIISR</w:t>
      </w:r>
      <w:proofErr w:type="spellEnd"/>
      <w:r w:rsidRPr="00A00CCD">
        <w:rPr>
          <w:rFonts w:ascii="Arial" w:eastAsia="DaxlinePro-Light" w:hAnsi="Arial" w:cs="Arial"/>
          <w:sz w:val="22"/>
          <w:szCs w:val="22"/>
          <w:lang w:eastAsia="en-US"/>
        </w:rPr>
        <w:t xml:space="preserve"> 2011: 13-14).  </w:t>
      </w:r>
      <w:r w:rsidRPr="00A00CCD">
        <w:rPr>
          <w:rFonts w:ascii="Arial" w:eastAsiaTheme="minorHAnsi" w:hAnsi="Arial" w:cs="Arial"/>
          <w:sz w:val="22"/>
          <w:szCs w:val="22"/>
          <w:lang w:eastAsia="en-US"/>
        </w:rPr>
        <w:t xml:space="preserve">This approach is </w:t>
      </w:r>
      <w:r w:rsidRPr="00A00CCD">
        <w:rPr>
          <w:rFonts w:ascii="Arial" w:eastAsiaTheme="minorHAnsi" w:hAnsi="Arial" w:cs="Arial"/>
          <w:sz w:val="22"/>
          <w:szCs w:val="22"/>
          <w:lang w:eastAsia="en-US"/>
        </w:rPr>
        <w:lastRenderedPageBreak/>
        <w:t xml:space="preserve">reflected in the academic literature about the role of IP systems in national innovation. Take, for instance, the OECD’s </w:t>
      </w:r>
      <w:r w:rsidRPr="00A00CCD">
        <w:rPr>
          <w:rFonts w:ascii="Arial" w:eastAsiaTheme="minorHAnsi" w:hAnsi="Arial" w:cs="Arial"/>
          <w:bCs/>
          <w:i/>
          <w:color w:val="000000"/>
          <w:sz w:val="22"/>
          <w:szCs w:val="22"/>
          <w:lang w:eastAsia="en-US"/>
        </w:rPr>
        <w:t>National Intellectual Property Systems, Innovation and Economic Development</w:t>
      </w:r>
      <w:r w:rsidRPr="00A00CCD">
        <w:rPr>
          <w:rFonts w:ascii="Arial" w:eastAsiaTheme="minorHAnsi" w:hAnsi="Arial" w:cs="Arial"/>
          <w:bCs/>
          <w:color w:val="000000"/>
          <w:sz w:val="22"/>
          <w:szCs w:val="22"/>
          <w:lang w:eastAsia="en-US"/>
        </w:rPr>
        <w:t xml:space="preserve"> (2014)</w:t>
      </w:r>
      <w:r w:rsidRPr="00A00CCD">
        <w:rPr>
          <w:rFonts w:ascii="Arial" w:eastAsiaTheme="minorHAnsi" w:hAnsi="Arial" w:cs="Arial"/>
          <w:sz w:val="22"/>
          <w:szCs w:val="22"/>
          <w:lang w:eastAsia="en-US"/>
        </w:rPr>
        <w:t xml:space="preserve"> report which states t</w:t>
      </w:r>
      <w:r w:rsidRPr="00A00CCD">
        <w:rPr>
          <w:rFonts w:ascii="Arial" w:eastAsiaTheme="minorHAnsi" w:hAnsi="Arial" w:cs="Arial"/>
          <w:color w:val="000000"/>
          <w:sz w:val="22"/>
          <w:szCs w:val="22"/>
          <w:lang w:eastAsia="en-US"/>
        </w:rPr>
        <w:t xml:space="preserve">hat IP systems are optimised when they support innovation activities and access to knowledge for different types of </w:t>
      </w:r>
      <w:r w:rsidRPr="00A00CCD">
        <w:rPr>
          <w:rFonts w:ascii="Arial" w:eastAsiaTheme="minorHAnsi" w:hAnsi="Arial" w:cs="Arial"/>
          <w:iCs/>
          <w:color w:val="000000"/>
          <w:sz w:val="22"/>
          <w:szCs w:val="22"/>
          <w:lang w:eastAsia="en-US"/>
        </w:rPr>
        <w:t>IP users in the production sector</w:t>
      </w:r>
      <w:r w:rsidRPr="00A00CCD">
        <w:rPr>
          <w:rFonts w:ascii="Arial" w:eastAsiaTheme="minorHAnsi" w:hAnsi="Arial" w:cs="Arial"/>
          <w:color w:val="000000"/>
          <w:sz w:val="22"/>
          <w:szCs w:val="22"/>
          <w:lang w:eastAsia="en-US"/>
        </w:rPr>
        <w:t>, distinguishing between universities and public research institutions,</w:t>
      </w:r>
      <w:r w:rsidRPr="00A00CCD">
        <w:rPr>
          <w:rFonts w:ascii="Arial" w:eastAsiaTheme="minorHAnsi" w:hAnsi="Arial" w:cs="Arial"/>
          <w:sz w:val="22"/>
          <w:szCs w:val="22"/>
          <w:lang w:eastAsia="en-US"/>
        </w:rPr>
        <w:t xml:space="preserve"> </w:t>
      </w:r>
      <w:r w:rsidRPr="00A00CCD">
        <w:rPr>
          <w:rFonts w:ascii="Arial" w:eastAsiaTheme="minorHAnsi" w:hAnsi="Arial" w:cs="Arial"/>
          <w:color w:val="000000"/>
          <w:sz w:val="22"/>
          <w:szCs w:val="22"/>
          <w:lang w:eastAsia="en-US"/>
        </w:rPr>
        <w:t>traditional and informal actors, “catching-up” firms and leading “frontier” firms.</w:t>
      </w:r>
      <w:r w:rsidRPr="00A00CCD">
        <w:rPr>
          <w:rFonts w:ascii="Arial" w:eastAsia="DaxlinePro-Light" w:hAnsi="Arial" w:cs="Arial"/>
          <w:sz w:val="22"/>
          <w:szCs w:val="22"/>
          <w:lang w:eastAsia="en-US"/>
        </w:rPr>
        <w:t xml:space="preserve"> Publicly-funded university research and the academic cultures they sustain are effectively an incubator of innovation possibilities.</w:t>
      </w:r>
      <w:r w:rsidRPr="00A00CCD">
        <w:rPr>
          <w:rFonts w:ascii="Arial" w:eastAsiaTheme="minorHAnsi" w:hAnsi="Arial" w:cs="Arial"/>
          <w:sz w:val="22"/>
          <w:szCs w:val="22"/>
          <w:lang w:eastAsia="en-US"/>
        </w:rPr>
        <w:t xml:space="preserve"> </w:t>
      </w:r>
    </w:p>
    <w:p w:rsidR="00A00CCD" w:rsidRPr="00A00CCD" w:rsidRDefault="00A00CCD" w:rsidP="00A00CCD">
      <w:pPr>
        <w:spacing w:after="240" w:line="360" w:lineRule="auto"/>
        <w:jc w:val="both"/>
        <w:rPr>
          <w:rFonts w:ascii="Arial" w:eastAsiaTheme="minorHAnsi" w:hAnsi="Arial" w:cs="Arial"/>
          <w:sz w:val="22"/>
          <w:szCs w:val="22"/>
          <w:lang w:eastAsia="en-US"/>
        </w:rPr>
      </w:pPr>
      <w:proofErr w:type="spellStart"/>
      <w:r w:rsidRPr="00A00CCD">
        <w:rPr>
          <w:rFonts w:ascii="Arial" w:eastAsiaTheme="minorHAnsi" w:hAnsi="Arial" w:cs="Arial"/>
          <w:sz w:val="22"/>
          <w:szCs w:val="22"/>
          <w:lang w:eastAsia="en-US"/>
        </w:rPr>
        <w:t>Monotti</w:t>
      </w:r>
      <w:proofErr w:type="spellEnd"/>
      <w:r w:rsidRPr="00A00CCD">
        <w:rPr>
          <w:rFonts w:ascii="Arial" w:eastAsiaTheme="minorHAnsi" w:hAnsi="Arial" w:cs="Arial"/>
          <w:sz w:val="22"/>
          <w:szCs w:val="22"/>
          <w:lang w:eastAsia="en-US"/>
        </w:rPr>
        <w:t xml:space="preserve"> and </w:t>
      </w:r>
      <w:proofErr w:type="spellStart"/>
      <w:r w:rsidRPr="00A00CCD">
        <w:rPr>
          <w:rFonts w:ascii="Arial" w:eastAsiaTheme="minorHAnsi" w:hAnsi="Arial" w:cs="Arial"/>
          <w:sz w:val="22"/>
          <w:szCs w:val="22"/>
          <w:lang w:eastAsia="en-US"/>
        </w:rPr>
        <w:t>Ricketson</w:t>
      </w:r>
      <w:proofErr w:type="spellEnd"/>
      <w:r w:rsidRPr="00A00CCD">
        <w:rPr>
          <w:rFonts w:ascii="Arial" w:eastAsiaTheme="minorHAnsi" w:hAnsi="Arial" w:cs="Arial"/>
          <w:sz w:val="22"/>
          <w:szCs w:val="22"/>
          <w:lang w:eastAsia="en-US"/>
        </w:rPr>
        <w:t xml:space="preserve"> (2003: 46) provide some formative insight into how knowledge-creation within the university (as a special purpose statutory corporation) can be understood as distinct from private, for-profit commercial entities, arguing that university-created </w:t>
      </w:r>
      <w:proofErr w:type="spellStart"/>
      <w:r w:rsidRPr="00A00CCD">
        <w:rPr>
          <w:rFonts w:ascii="Arial" w:eastAsiaTheme="minorHAnsi" w:hAnsi="Arial" w:cs="Arial"/>
          <w:sz w:val="22"/>
          <w:szCs w:val="22"/>
          <w:lang w:eastAsia="en-US"/>
        </w:rPr>
        <w:t>IPR</w:t>
      </w:r>
      <w:proofErr w:type="spellEnd"/>
      <w:r w:rsidRPr="00A00CCD">
        <w:rPr>
          <w:rFonts w:ascii="Arial" w:eastAsiaTheme="minorHAnsi" w:hAnsi="Arial" w:cs="Arial"/>
          <w:sz w:val="22"/>
          <w:szCs w:val="22"/>
          <w:lang w:eastAsia="en-US"/>
        </w:rPr>
        <w:t xml:space="preserve"> is critical linked to academic freedom, “</w:t>
      </w:r>
      <w:r w:rsidRPr="00A00CCD">
        <w:rPr>
          <w:rFonts w:ascii="Arial" w:eastAsiaTheme="minorHAnsi" w:hAnsi="Arial" w:cs="Arial"/>
          <w:i/>
          <w:sz w:val="22"/>
          <w:szCs w:val="22"/>
          <w:lang w:eastAsia="en-US"/>
        </w:rPr>
        <w:t>In the context of our present inquiry, academic freedom can be viewed as a critical forcing mechanism, a means by the community’s store of learning and knowledge can be continually enhanced and communicated”.</w:t>
      </w:r>
    </w:p>
    <w:p w:rsidR="00A00CCD" w:rsidRPr="00A00CCD" w:rsidRDefault="00A00CCD" w:rsidP="00A00CCD">
      <w:pPr>
        <w:spacing w:after="120" w:line="360" w:lineRule="auto"/>
        <w:jc w:val="both"/>
        <w:rPr>
          <w:rFonts w:ascii="Arial" w:eastAsiaTheme="minorHAnsi" w:hAnsi="Arial" w:cs="Arial"/>
          <w:sz w:val="22"/>
          <w:szCs w:val="22"/>
          <w:lang w:eastAsia="en-US"/>
        </w:rPr>
      </w:pPr>
      <w:proofErr w:type="spellStart"/>
      <w:r w:rsidRPr="00A00CCD">
        <w:rPr>
          <w:rFonts w:ascii="Arial" w:eastAsiaTheme="minorHAnsi" w:hAnsi="Arial" w:cs="Arial"/>
          <w:sz w:val="22"/>
          <w:szCs w:val="22"/>
          <w:lang w:eastAsia="en-US"/>
        </w:rPr>
        <w:t>Monotti</w:t>
      </w:r>
      <w:proofErr w:type="spellEnd"/>
      <w:r w:rsidRPr="00A00CCD">
        <w:rPr>
          <w:rFonts w:ascii="Arial" w:eastAsiaTheme="minorHAnsi" w:hAnsi="Arial" w:cs="Arial"/>
          <w:sz w:val="22"/>
          <w:szCs w:val="22"/>
          <w:lang w:eastAsia="en-US"/>
        </w:rPr>
        <w:t xml:space="preserve"> and </w:t>
      </w:r>
      <w:proofErr w:type="spellStart"/>
      <w:r w:rsidRPr="00A00CCD">
        <w:rPr>
          <w:rFonts w:ascii="Arial" w:eastAsiaTheme="minorHAnsi" w:hAnsi="Arial" w:cs="Arial"/>
          <w:sz w:val="22"/>
          <w:szCs w:val="22"/>
          <w:lang w:eastAsia="en-US"/>
        </w:rPr>
        <w:t>Ricketson</w:t>
      </w:r>
      <w:proofErr w:type="spellEnd"/>
      <w:r w:rsidRPr="00A00CCD">
        <w:rPr>
          <w:rFonts w:ascii="Arial" w:eastAsiaTheme="minorHAnsi" w:hAnsi="Arial" w:cs="Arial"/>
          <w:sz w:val="22"/>
          <w:szCs w:val="22"/>
          <w:lang w:eastAsia="en-US"/>
        </w:rPr>
        <w:t xml:space="preserve"> (2003: 450) highlight that the features which make universities distinctive and special (with respect to IP creation) include:</w:t>
      </w:r>
    </w:p>
    <w:p w:rsidR="00A00CCD" w:rsidRPr="00A00CCD" w:rsidRDefault="00A00CCD" w:rsidP="00A00CCD">
      <w:pPr>
        <w:numPr>
          <w:ilvl w:val="0"/>
          <w:numId w:val="24"/>
        </w:numPr>
        <w:spacing w:after="120" w:line="360" w:lineRule="auto"/>
        <w:jc w:val="both"/>
        <w:rPr>
          <w:rFonts w:ascii="Arial" w:eastAsiaTheme="minorHAnsi" w:hAnsi="Arial" w:cs="Arial"/>
          <w:sz w:val="22"/>
          <w:szCs w:val="22"/>
          <w:lang w:eastAsia="en-US"/>
        </w:rPr>
      </w:pPr>
      <w:r w:rsidRPr="00A00CCD">
        <w:rPr>
          <w:rFonts w:ascii="Arial" w:eastAsiaTheme="minorHAnsi" w:hAnsi="Arial" w:cs="Arial"/>
          <w:sz w:val="22"/>
          <w:szCs w:val="22"/>
          <w:lang w:eastAsia="en-US"/>
        </w:rPr>
        <w:t>Their autonomous status (though this is not unique to universities alone),</w:t>
      </w:r>
    </w:p>
    <w:p w:rsidR="00A00CCD" w:rsidRPr="00A00CCD" w:rsidRDefault="00A00CCD" w:rsidP="00A00CCD">
      <w:pPr>
        <w:numPr>
          <w:ilvl w:val="0"/>
          <w:numId w:val="24"/>
        </w:numPr>
        <w:spacing w:after="120" w:line="360" w:lineRule="auto"/>
        <w:jc w:val="both"/>
        <w:rPr>
          <w:rFonts w:ascii="Arial" w:eastAsiaTheme="minorHAnsi" w:hAnsi="Arial" w:cs="Arial"/>
          <w:sz w:val="22"/>
          <w:szCs w:val="22"/>
          <w:lang w:eastAsia="en-US"/>
        </w:rPr>
      </w:pPr>
      <w:r w:rsidRPr="00A00CCD">
        <w:rPr>
          <w:rFonts w:ascii="Arial" w:eastAsiaTheme="minorHAnsi" w:hAnsi="Arial" w:cs="Arial"/>
          <w:sz w:val="22"/>
          <w:szCs w:val="22"/>
          <w:lang w:eastAsia="en-US"/>
        </w:rPr>
        <w:t>Their role as guardian of the ‘intellectual commons’ (however, there is no evidence to suggest that knowledge generated within a university has ever been treated by the law as being in the public domain),</w:t>
      </w:r>
    </w:p>
    <w:p w:rsidR="00A00CCD" w:rsidRPr="00A00CCD" w:rsidRDefault="00A00CCD" w:rsidP="00A00CCD">
      <w:pPr>
        <w:numPr>
          <w:ilvl w:val="0"/>
          <w:numId w:val="24"/>
        </w:numPr>
        <w:spacing w:after="240" w:line="360" w:lineRule="auto"/>
        <w:jc w:val="both"/>
        <w:rPr>
          <w:rFonts w:ascii="Arial" w:eastAsiaTheme="minorHAnsi" w:hAnsi="Arial" w:cs="Arial"/>
          <w:sz w:val="22"/>
          <w:szCs w:val="22"/>
          <w:lang w:eastAsia="en-US"/>
        </w:rPr>
      </w:pPr>
      <w:r w:rsidRPr="00A00CCD">
        <w:rPr>
          <w:rFonts w:ascii="Arial" w:eastAsiaTheme="minorHAnsi" w:hAnsi="Arial" w:cs="Arial"/>
          <w:sz w:val="22"/>
          <w:szCs w:val="22"/>
          <w:lang w:eastAsia="en-US"/>
        </w:rPr>
        <w:t>Defence of academic freedom, where they argue, “</w:t>
      </w:r>
      <w:r w:rsidRPr="00A00CCD">
        <w:rPr>
          <w:rFonts w:ascii="Arial" w:eastAsiaTheme="minorHAnsi" w:hAnsi="Arial" w:cs="Arial"/>
          <w:i/>
          <w:sz w:val="22"/>
          <w:szCs w:val="22"/>
          <w:lang w:eastAsia="en-US"/>
        </w:rPr>
        <w:t>Independence, objectivity, systematic investigation, and scientific rigour are all aspects of this freedom, and have become firmly linked to each of their traditional functions of teaching, training, research, and community service”.</w:t>
      </w:r>
    </w:p>
    <w:p w:rsidR="00A00CCD" w:rsidRPr="00A00CCD" w:rsidRDefault="00A00CCD" w:rsidP="00A00CCD">
      <w:pPr>
        <w:spacing w:after="240" w:line="360" w:lineRule="auto"/>
        <w:jc w:val="both"/>
        <w:rPr>
          <w:rFonts w:ascii="Arial" w:eastAsiaTheme="minorHAnsi" w:hAnsi="Arial" w:cs="Arial"/>
          <w:sz w:val="22"/>
          <w:szCs w:val="22"/>
          <w:lang w:eastAsia="en-US"/>
        </w:rPr>
      </w:pPr>
      <w:r w:rsidRPr="00A00CCD">
        <w:rPr>
          <w:rFonts w:ascii="Arial" w:eastAsiaTheme="minorHAnsi" w:hAnsi="Arial" w:cs="Arial"/>
          <w:sz w:val="22"/>
          <w:szCs w:val="22"/>
          <w:lang w:eastAsia="en-US"/>
        </w:rPr>
        <w:t>In effect, they argue that without academic freedom the capacity for knowledge creation is fundamentally undermined, “</w:t>
      </w:r>
      <w:r w:rsidRPr="00A00CCD">
        <w:rPr>
          <w:rFonts w:ascii="Arial" w:eastAsiaTheme="minorHAnsi" w:hAnsi="Arial" w:cs="Arial"/>
          <w:i/>
          <w:sz w:val="22"/>
          <w:szCs w:val="22"/>
          <w:lang w:eastAsia="en-US"/>
        </w:rPr>
        <w:t xml:space="preserve">Freedom to research, teach and publish, and disseminate might suggest an ever-growing commons into which university knowledge is fed… Closer consideration, however, suggests that a public domain conceived in this fashion would have a series of adverse consequences for the very activities that are critical to its existence and may well lead to its reduction or disappearance”  </w:t>
      </w:r>
      <w:r w:rsidRPr="00A00CCD">
        <w:rPr>
          <w:rFonts w:ascii="Arial" w:eastAsiaTheme="minorHAnsi" w:hAnsi="Arial" w:cs="Arial"/>
          <w:sz w:val="22"/>
          <w:szCs w:val="22"/>
          <w:lang w:eastAsia="en-US"/>
        </w:rPr>
        <w:t>(</w:t>
      </w:r>
      <w:proofErr w:type="spellStart"/>
      <w:r w:rsidRPr="00A00CCD">
        <w:rPr>
          <w:rFonts w:ascii="Arial" w:eastAsiaTheme="minorHAnsi" w:hAnsi="Arial" w:cs="Arial"/>
          <w:sz w:val="22"/>
          <w:szCs w:val="22"/>
          <w:lang w:eastAsia="en-US"/>
        </w:rPr>
        <w:t>Monotti</w:t>
      </w:r>
      <w:proofErr w:type="spellEnd"/>
      <w:r w:rsidRPr="00A00CCD">
        <w:rPr>
          <w:rFonts w:ascii="Arial" w:eastAsiaTheme="minorHAnsi" w:hAnsi="Arial" w:cs="Arial"/>
          <w:sz w:val="22"/>
          <w:szCs w:val="22"/>
          <w:lang w:eastAsia="en-US"/>
        </w:rPr>
        <w:t xml:space="preserve"> and </w:t>
      </w:r>
      <w:proofErr w:type="spellStart"/>
      <w:r w:rsidRPr="00A00CCD">
        <w:rPr>
          <w:rFonts w:ascii="Arial" w:eastAsiaTheme="minorHAnsi" w:hAnsi="Arial" w:cs="Arial"/>
          <w:sz w:val="22"/>
          <w:szCs w:val="22"/>
          <w:lang w:eastAsia="en-US"/>
        </w:rPr>
        <w:t>Ricketson</w:t>
      </w:r>
      <w:proofErr w:type="spellEnd"/>
      <w:r w:rsidRPr="00A00CCD">
        <w:rPr>
          <w:rFonts w:ascii="Arial" w:eastAsiaTheme="minorHAnsi" w:hAnsi="Arial" w:cs="Arial"/>
          <w:sz w:val="22"/>
          <w:szCs w:val="22"/>
          <w:lang w:eastAsia="en-US"/>
        </w:rPr>
        <w:t xml:space="preserve"> 2003: 460).</w:t>
      </w:r>
    </w:p>
    <w:p w:rsidR="00A00CCD" w:rsidRPr="00A00CCD" w:rsidRDefault="00A00CCD" w:rsidP="00A00CCD">
      <w:pPr>
        <w:tabs>
          <w:tab w:val="left" w:pos="720"/>
        </w:tabs>
        <w:spacing w:after="240" w:line="360" w:lineRule="auto"/>
        <w:jc w:val="both"/>
        <w:rPr>
          <w:rFonts w:ascii="Arial" w:hAnsi="Arial" w:cs="Arial"/>
          <w:sz w:val="22"/>
          <w:szCs w:val="22"/>
        </w:rPr>
      </w:pPr>
      <w:r w:rsidRPr="00A00CCD">
        <w:rPr>
          <w:rFonts w:ascii="Arial" w:hAnsi="Arial" w:cs="Arial"/>
          <w:sz w:val="22"/>
          <w:szCs w:val="22"/>
        </w:rPr>
        <w:t xml:space="preserve">This approach to the distinctiveness of university-created IP is also asserted in common law as evident in the </w:t>
      </w:r>
      <w:proofErr w:type="spellStart"/>
      <w:r w:rsidRPr="00A00CCD">
        <w:rPr>
          <w:rFonts w:ascii="Arial" w:hAnsi="Arial" w:cs="Arial"/>
          <w:i/>
          <w:sz w:val="22"/>
          <w:szCs w:val="22"/>
        </w:rPr>
        <w:t>UWA</w:t>
      </w:r>
      <w:proofErr w:type="spellEnd"/>
      <w:r w:rsidRPr="00A00CCD">
        <w:rPr>
          <w:rFonts w:ascii="Arial" w:hAnsi="Arial" w:cs="Arial"/>
          <w:i/>
          <w:sz w:val="22"/>
          <w:szCs w:val="22"/>
        </w:rPr>
        <w:t xml:space="preserve"> vs </w:t>
      </w:r>
      <w:proofErr w:type="spellStart"/>
      <w:r w:rsidRPr="00A00CCD">
        <w:rPr>
          <w:rFonts w:ascii="Arial" w:hAnsi="Arial" w:cs="Arial"/>
          <w:i/>
          <w:sz w:val="22"/>
          <w:szCs w:val="22"/>
        </w:rPr>
        <w:t>Gray</w:t>
      </w:r>
      <w:proofErr w:type="spellEnd"/>
      <w:r w:rsidRPr="00A00CCD">
        <w:rPr>
          <w:rFonts w:ascii="Arial" w:hAnsi="Arial" w:cs="Arial"/>
          <w:sz w:val="22"/>
          <w:szCs w:val="22"/>
        </w:rPr>
        <w:t xml:space="preserve"> case, where on 3 September 2009 the Full Bench of the Federal Court dismissed an appeal by </w:t>
      </w:r>
      <w:proofErr w:type="spellStart"/>
      <w:r w:rsidRPr="00A00CCD">
        <w:rPr>
          <w:rFonts w:ascii="Arial" w:hAnsi="Arial" w:cs="Arial"/>
          <w:sz w:val="22"/>
          <w:szCs w:val="22"/>
        </w:rPr>
        <w:t>UWA</w:t>
      </w:r>
      <w:proofErr w:type="spellEnd"/>
      <w:r w:rsidRPr="00A00CCD">
        <w:rPr>
          <w:rFonts w:ascii="Arial" w:hAnsi="Arial" w:cs="Arial"/>
          <w:sz w:val="22"/>
          <w:szCs w:val="22"/>
        </w:rPr>
        <w:t xml:space="preserve"> against a </w:t>
      </w:r>
      <w:proofErr w:type="spellStart"/>
      <w:r w:rsidRPr="00A00CCD">
        <w:rPr>
          <w:rFonts w:ascii="Arial" w:hAnsi="Arial" w:cs="Arial"/>
          <w:sz w:val="22"/>
          <w:szCs w:val="22"/>
        </w:rPr>
        <w:t>judgement</w:t>
      </w:r>
      <w:proofErr w:type="spellEnd"/>
      <w:r w:rsidRPr="00A00CCD">
        <w:rPr>
          <w:rFonts w:ascii="Arial" w:hAnsi="Arial" w:cs="Arial"/>
          <w:sz w:val="22"/>
          <w:szCs w:val="22"/>
        </w:rPr>
        <w:t xml:space="preserve"> by the now Chief Justice Robert French. French found that </w:t>
      </w:r>
      <w:proofErr w:type="spellStart"/>
      <w:r w:rsidRPr="00A00CCD">
        <w:rPr>
          <w:rFonts w:ascii="Arial" w:hAnsi="Arial" w:cs="Arial"/>
          <w:sz w:val="22"/>
          <w:szCs w:val="22"/>
        </w:rPr>
        <w:t>UWA</w:t>
      </w:r>
      <w:proofErr w:type="spellEnd"/>
      <w:r w:rsidRPr="00A00CCD">
        <w:rPr>
          <w:rFonts w:ascii="Arial" w:hAnsi="Arial" w:cs="Arial"/>
          <w:sz w:val="22"/>
          <w:szCs w:val="22"/>
        </w:rPr>
        <w:t xml:space="preserve"> did not automatically own the intellectual property in an invention to treat cancer, which was developed while its creator, Dr Bruce Gray, was an academic employee of the University. The Bench considered that while in reality all universities are engaged in some form of commercial activity, they could not characterise a university “</w:t>
      </w:r>
      <w:r w:rsidRPr="00A00CCD">
        <w:rPr>
          <w:rFonts w:ascii="Arial" w:hAnsi="Arial" w:cs="Arial"/>
          <w:i/>
          <w:sz w:val="22"/>
          <w:szCs w:val="22"/>
        </w:rPr>
        <w:t xml:space="preserve">as a commercial enterprise pursuing commercial </w:t>
      </w:r>
      <w:r w:rsidRPr="00A00CCD">
        <w:rPr>
          <w:rFonts w:ascii="Arial" w:hAnsi="Arial" w:cs="Arial"/>
          <w:i/>
          <w:sz w:val="22"/>
          <w:szCs w:val="22"/>
        </w:rPr>
        <w:lastRenderedPageBreak/>
        <w:t>purposes</w:t>
      </w:r>
      <w:r w:rsidRPr="00A00CCD">
        <w:rPr>
          <w:rFonts w:ascii="Arial" w:hAnsi="Arial" w:cs="Arial"/>
          <w:sz w:val="22"/>
          <w:szCs w:val="22"/>
        </w:rPr>
        <w:t xml:space="preserve">”. The Grey case found universities to be defined as institutions with public purposes, including expectations around the obligation to create and disseminate new knowledge. </w:t>
      </w:r>
    </w:p>
    <w:p w:rsidR="00A00CCD" w:rsidRPr="00A00CCD" w:rsidRDefault="00A00CCD" w:rsidP="00A00CCD">
      <w:pPr>
        <w:tabs>
          <w:tab w:val="left" w:pos="720"/>
        </w:tabs>
        <w:spacing w:after="240" w:line="360" w:lineRule="auto"/>
        <w:jc w:val="both"/>
        <w:rPr>
          <w:rFonts w:ascii="Arial" w:hAnsi="Arial" w:cs="Arial"/>
          <w:sz w:val="22"/>
          <w:szCs w:val="22"/>
        </w:rPr>
      </w:pPr>
      <w:r w:rsidRPr="00A00CCD">
        <w:rPr>
          <w:rFonts w:ascii="Arial" w:hAnsi="Arial" w:cs="Arial"/>
          <w:sz w:val="22"/>
          <w:szCs w:val="22"/>
        </w:rPr>
        <w:t xml:space="preserve">While the </w:t>
      </w:r>
      <w:r w:rsidRPr="00A00CCD">
        <w:rPr>
          <w:rFonts w:ascii="Arial" w:hAnsi="Arial" w:cs="Arial"/>
          <w:i/>
          <w:sz w:val="22"/>
          <w:szCs w:val="22"/>
        </w:rPr>
        <w:t>Gray</w:t>
      </w:r>
      <w:r w:rsidRPr="00A00CCD">
        <w:rPr>
          <w:rFonts w:ascii="Arial" w:hAnsi="Arial" w:cs="Arial"/>
          <w:sz w:val="22"/>
          <w:szCs w:val="22"/>
        </w:rPr>
        <w:t xml:space="preserve"> case clearly noted that any finding in relation to ownership of intellectual property developed by an academic employee of the university should be considered on a case-by-case, the appeal decision indicated that the findings may have broader implications, “</w:t>
      </w:r>
      <w:r w:rsidRPr="00A00CCD">
        <w:rPr>
          <w:rFonts w:ascii="Arial" w:hAnsi="Arial" w:cs="Arial"/>
          <w:i/>
          <w:sz w:val="22"/>
          <w:szCs w:val="22"/>
        </w:rPr>
        <w:t xml:space="preserve">Above all, they (universities) remain, at their core institutions that foster free and open intellectual inquiry.  Universities respect and promote a highly developed concept of ‘academic freedom” </w:t>
      </w:r>
      <w:r w:rsidRPr="00A00CCD">
        <w:rPr>
          <w:rFonts w:ascii="Arial" w:hAnsi="Arial" w:cs="Arial"/>
          <w:sz w:val="22"/>
          <w:szCs w:val="22"/>
        </w:rPr>
        <w:t>(545) and that</w:t>
      </w:r>
      <w:r w:rsidRPr="00A00CCD">
        <w:rPr>
          <w:rFonts w:ascii="Arial" w:hAnsi="Arial" w:cs="Arial"/>
          <w:i/>
          <w:sz w:val="22"/>
          <w:szCs w:val="22"/>
        </w:rPr>
        <w:t xml:space="preserve"> “... this concept requires that academics remain free from external controls to do the following: (a) determine what and how they teach and research; and (b) to publish their work in the manner and time that they chose” </w:t>
      </w:r>
      <w:r w:rsidRPr="00A00CCD">
        <w:rPr>
          <w:rFonts w:ascii="Arial" w:hAnsi="Arial" w:cs="Arial"/>
          <w:sz w:val="22"/>
          <w:szCs w:val="22"/>
        </w:rPr>
        <w:t>(545-6).</w:t>
      </w:r>
    </w:p>
    <w:p w:rsidR="00A00CCD" w:rsidRPr="00A00CCD" w:rsidRDefault="00A00CCD" w:rsidP="00A00CCD">
      <w:pPr>
        <w:keepNext/>
        <w:keepLines/>
        <w:spacing w:before="240" w:line="276" w:lineRule="auto"/>
        <w:outlineLvl w:val="0"/>
        <w:rPr>
          <w:rFonts w:ascii="Arial" w:eastAsiaTheme="majorEastAsia" w:hAnsi="Arial" w:cstheme="majorBidi"/>
          <w:b/>
          <w:sz w:val="24"/>
          <w:szCs w:val="32"/>
          <w:lang w:eastAsia="en-US"/>
        </w:rPr>
      </w:pPr>
      <w:bookmarkStart w:id="3" w:name="_Toc436652140"/>
      <w:r w:rsidRPr="00A00CCD">
        <w:rPr>
          <w:rFonts w:ascii="Arial" w:eastAsiaTheme="majorEastAsia" w:hAnsi="Arial" w:cstheme="majorBidi"/>
          <w:b/>
          <w:sz w:val="24"/>
          <w:szCs w:val="32"/>
          <w:lang w:eastAsia="en-US"/>
        </w:rPr>
        <w:t>Implications for the Intellectual Property (IP) system</w:t>
      </w:r>
      <w:bookmarkEnd w:id="3"/>
    </w:p>
    <w:p w:rsidR="00A00CCD" w:rsidRPr="00A00CCD" w:rsidRDefault="00A00CCD" w:rsidP="00A00CCD">
      <w:pPr>
        <w:spacing w:after="240" w:line="360" w:lineRule="auto"/>
        <w:jc w:val="both"/>
        <w:rPr>
          <w:rFonts w:ascii="Arial" w:eastAsiaTheme="minorHAnsi" w:hAnsi="Arial" w:cs="Arial"/>
          <w:sz w:val="22"/>
          <w:szCs w:val="22"/>
          <w:lang w:eastAsia="en-US"/>
        </w:rPr>
      </w:pPr>
      <w:r w:rsidRPr="00A00CCD">
        <w:rPr>
          <w:rFonts w:ascii="Arial" w:eastAsiaTheme="minorHAnsi" w:hAnsi="Arial" w:cs="Arial"/>
          <w:sz w:val="22"/>
          <w:szCs w:val="22"/>
          <w:lang w:eastAsia="en-US"/>
        </w:rPr>
        <w:t xml:space="preserve">Australia’s public universities are distinct from commercial private firms including in relation to the perception and widely-held values amongst the public and university staff about why knowledge is created. The provision of public funding to support research in our universities is based on the assumption that creation and dissemination of new knowledge (and therefore IP) is in the public good.  Therefore, unless reserved or appropriated through specific </w:t>
      </w:r>
      <w:proofErr w:type="spellStart"/>
      <w:r w:rsidRPr="00A00CCD">
        <w:rPr>
          <w:rFonts w:ascii="Arial" w:eastAsiaTheme="minorHAnsi" w:hAnsi="Arial" w:cs="Arial"/>
          <w:sz w:val="22"/>
          <w:szCs w:val="22"/>
          <w:lang w:eastAsia="en-US"/>
        </w:rPr>
        <w:t>contractual</w:t>
      </w:r>
      <w:proofErr w:type="spellEnd"/>
      <w:r w:rsidRPr="00A00CCD">
        <w:rPr>
          <w:rFonts w:ascii="Arial" w:eastAsiaTheme="minorHAnsi" w:hAnsi="Arial" w:cs="Arial"/>
          <w:sz w:val="22"/>
          <w:szCs w:val="22"/>
          <w:lang w:eastAsia="en-US"/>
        </w:rPr>
        <w:t xml:space="preserve"> obligation, the expectation is that publicly funded research outcomes should be exchanged, published and made public.  The argument for open access however needs to be weighed against the incentives to research, innovate and create IP.  </w:t>
      </w:r>
    </w:p>
    <w:p w:rsidR="00A00CCD" w:rsidRPr="00A00CCD" w:rsidRDefault="00A00CCD" w:rsidP="00A00CCD">
      <w:pPr>
        <w:spacing w:after="240" w:line="360" w:lineRule="auto"/>
        <w:jc w:val="both"/>
        <w:rPr>
          <w:rFonts w:ascii="Arial" w:eastAsiaTheme="minorHAnsi" w:hAnsi="Arial" w:cs="Arial"/>
          <w:sz w:val="22"/>
          <w:szCs w:val="22"/>
          <w:lang w:eastAsia="en-US"/>
        </w:rPr>
      </w:pPr>
      <w:r w:rsidRPr="00A00CCD">
        <w:rPr>
          <w:rFonts w:ascii="Arial" w:eastAsiaTheme="minorHAnsi" w:hAnsi="Arial" w:cs="Arial"/>
          <w:sz w:val="22"/>
          <w:szCs w:val="22"/>
          <w:lang w:eastAsia="en-US"/>
        </w:rPr>
        <w:t xml:space="preserve">In this distinct context, commercialisation of </w:t>
      </w:r>
      <w:proofErr w:type="spellStart"/>
      <w:r w:rsidRPr="00A00CCD">
        <w:rPr>
          <w:rFonts w:ascii="Arial" w:eastAsiaTheme="minorHAnsi" w:hAnsi="Arial" w:cs="Arial"/>
          <w:sz w:val="22"/>
          <w:szCs w:val="22"/>
          <w:lang w:eastAsia="en-US"/>
        </w:rPr>
        <w:t>IPR</w:t>
      </w:r>
      <w:proofErr w:type="spellEnd"/>
      <w:r w:rsidRPr="00A00CCD">
        <w:rPr>
          <w:rFonts w:ascii="Arial" w:eastAsiaTheme="minorHAnsi" w:hAnsi="Arial" w:cs="Arial"/>
          <w:sz w:val="22"/>
          <w:szCs w:val="22"/>
          <w:lang w:eastAsia="en-US"/>
        </w:rPr>
        <w:t xml:space="preserve"> in our universities depends upon a framework that balances the rights of creators and the (monetary commercial) motives of universities.  At a system-wide level, it is critical that policy makers understand that encouraging IP creation in universities is distinctive, because it must: </w:t>
      </w:r>
    </w:p>
    <w:p w:rsidR="00A00CCD" w:rsidRPr="00143F3B" w:rsidRDefault="00A00CCD" w:rsidP="00143F3B">
      <w:pPr>
        <w:pStyle w:val="ListParagraph"/>
        <w:numPr>
          <w:ilvl w:val="0"/>
          <w:numId w:val="28"/>
        </w:numPr>
        <w:spacing w:after="240" w:line="360" w:lineRule="auto"/>
        <w:jc w:val="both"/>
        <w:rPr>
          <w:rFonts w:ascii="Arial" w:eastAsiaTheme="minorHAnsi" w:hAnsi="Arial" w:cs="Arial"/>
          <w:sz w:val="22"/>
          <w:szCs w:val="22"/>
          <w:lang w:eastAsia="en-US"/>
        </w:rPr>
      </w:pPr>
      <w:r w:rsidRPr="00143F3B">
        <w:rPr>
          <w:rFonts w:ascii="Arial" w:eastAsiaTheme="minorHAnsi" w:hAnsi="Arial" w:cs="Arial"/>
          <w:sz w:val="22"/>
          <w:szCs w:val="22"/>
          <w:lang w:eastAsia="en-US"/>
        </w:rPr>
        <w:t xml:space="preserve">promote and protect research excellence and quality; </w:t>
      </w:r>
    </w:p>
    <w:p w:rsidR="00A00CCD" w:rsidRPr="00143F3B" w:rsidRDefault="00A00CCD" w:rsidP="00143F3B">
      <w:pPr>
        <w:pStyle w:val="ListParagraph"/>
        <w:numPr>
          <w:ilvl w:val="0"/>
          <w:numId w:val="28"/>
        </w:numPr>
        <w:spacing w:after="240" w:line="360" w:lineRule="auto"/>
        <w:jc w:val="both"/>
        <w:rPr>
          <w:rFonts w:ascii="Arial" w:eastAsiaTheme="minorHAnsi" w:hAnsi="Arial" w:cs="Arial"/>
          <w:sz w:val="22"/>
          <w:szCs w:val="22"/>
          <w:lang w:eastAsia="en-US"/>
        </w:rPr>
      </w:pPr>
      <w:r w:rsidRPr="00143F3B">
        <w:rPr>
          <w:rFonts w:ascii="Arial" w:eastAsiaTheme="minorHAnsi" w:hAnsi="Arial" w:cs="Arial"/>
          <w:sz w:val="22"/>
          <w:szCs w:val="22"/>
          <w:lang w:eastAsia="en-US"/>
        </w:rPr>
        <w:t xml:space="preserve">provide sufficient incentives for researchers and academics to create IP in the first place; </w:t>
      </w:r>
    </w:p>
    <w:p w:rsidR="00A00CCD" w:rsidRPr="00143F3B" w:rsidRDefault="00A00CCD" w:rsidP="00143F3B">
      <w:pPr>
        <w:pStyle w:val="ListParagraph"/>
        <w:numPr>
          <w:ilvl w:val="0"/>
          <w:numId w:val="28"/>
        </w:numPr>
        <w:spacing w:after="240" w:line="360" w:lineRule="auto"/>
        <w:jc w:val="both"/>
        <w:rPr>
          <w:rFonts w:ascii="Arial" w:eastAsiaTheme="minorHAnsi" w:hAnsi="Arial" w:cs="Arial"/>
          <w:sz w:val="22"/>
          <w:szCs w:val="22"/>
          <w:lang w:eastAsia="en-US"/>
        </w:rPr>
      </w:pPr>
      <w:r w:rsidRPr="00143F3B">
        <w:rPr>
          <w:rFonts w:ascii="Arial" w:eastAsiaTheme="minorHAnsi" w:hAnsi="Arial" w:cs="Arial"/>
          <w:sz w:val="22"/>
          <w:szCs w:val="22"/>
          <w:lang w:eastAsia="en-US"/>
        </w:rPr>
        <w:t>support and promote institutional processes for IP commercialisation that are cognisant of the interests of creators; and</w:t>
      </w:r>
    </w:p>
    <w:p w:rsidR="00A00CCD" w:rsidRPr="00143F3B" w:rsidRDefault="00A00CCD" w:rsidP="00143F3B">
      <w:pPr>
        <w:pStyle w:val="ListParagraph"/>
        <w:numPr>
          <w:ilvl w:val="0"/>
          <w:numId w:val="28"/>
        </w:numPr>
        <w:spacing w:after="240" w:line="360" w:lineRule="auto"/>
        <w:jc w:val="both"/>
        <w:rPr>
          <w:rFonts w:ascii="Arial" w:eastAsiaTheme="minorHAnsi" w:hAnsi="Arial" w:cs="Arial"/>
          <w:sz w:val="22"/>
          <w:szCs w:val="22"/>
          <w:lang w:eastAsia="en-US"/>
        </w:rPr>
      </w:pPr>
      <w:r w:rsidRPr="00143F3B">
        <w:rPr>
          <w:rFonts w:ascii="Arial" w:eastAsiaTheme="minorHAnsi" w:hAnsi="Arial" w:cs="Arial"/>
          <w:sz w:val="22"/>
          <w:szCs w:val="22"/>
          <w:lang w:eastAsia="en-US"/>
        </w:rPr>
        <w:t>ensure that the principles of the system remain committed to the public good.</w:t>
      </w:r>
    </w:p>
    <w:p w:rsidR="00A00CCD" w:rsidRPr="00A00CCD" w:rsidRDefault="00A00CCD" w:rsidP="00A00CCD">
      <w:pPr>
        <w:spacing w:after="240" w:line="360" w:lineRule="auto"/>
        <w:jc w:val="both"/>
        <w:rPr>
          <w:rFonts w:ascii="Arial" w:eastAsiaTheme="minorHAnsi" w:hAnsi="Arial" w:cs="Arial"/>
          <w:sz w:val="22"/>
          <w:szCs w:val="22"/>
          <w:lang w:eastAsia="en-US"/>
        </w:rPr>
      </w:pPr>
      <w:r w:rsidRPr="00A00CCD">
        <w:rPr>
          <w:rFonts w:ascii="Arial" w:eastAsiaTheme="minorHAnsi" w:hAnsi="Arial" w:cs="Arial"/>
          <w:sz w:val="22"/>
          <w:szCs w:val="22"/>
          <w:lang w:eastAsia="en-US"/>
        </w:rPr>
        <w:t>We need a system that explicitly recognises that:</w:t>
      </w:r>
    </w:p>
    <w:p w:rsidR="00A00CCD" w:rsidRPr="00A00CCD" w:rsidRDefault="00A00CCD" w:rsidP="00A00CCD">
      <w:pPr>
        <w:spacing w:after="240" w:line="360" w:lineRule="auto"/>
        <w:ind w:left="720"/>
        <w:jc w:val="both"/>
        <w:rPr>
          <w:rFonts w:ascii="Arial" w:eastAsiaTheme="minorHAnsi" w:hAnsi="Arial" w:cs="Arial"/>
          <w:sz w:val="22"/>
          <w:szCs w:val="22"/>
          <w:lang w:eastAsia="en-US"/>
        </w:rPr>
      </w:pPr>
      <w:r w:rsidRPr="00A00CCD">
        <w:rPr>
          <w:rFonts w:ascii="Arial" w:eastAsiaTheme="minorHAnsi" w:hAnsi="Arial" w:cs="Arial"/>
          <w:i/>
          <w:color w:val="000000"/>
          <w:sz w:val="22"/>
          <w:szCs w:val="22"/>
          <w:lang w:eastAsia="en-US"/>
        </w:rPr>
        <w:t>“Building up knowledge and research capacities must be a constant objective so as to increase the number of potential users of IP.”</w:t>
      </w:r>
      <w:r w:rsidRPr="00A00CCD">
        <w:rPr>
          <w:rFonts w:ascii="Arial" w:eastAsiaTheme="minorHAnsi" w:hAnsi="Arial" w:cs="Arial"/>
          <w:color w:val="000000"/>
          <w:sz w:val="22"/>
          <w:szCs w:val="22"/>
          <w:lang w:eastAsia="en-US"/>
        </w:rPr>
        <w:t xml:space="preserve"> (OECD 2014) </w:t>
      </w:r>
    </w:p>
    <w:p w:rsidR="00A00CCD" w:rsidRPr="00A00CCD" w:rsidRDefault="00A00CCD" w:rsidP="00A00CCD">
      <w:pPr>
        <w:keepNext/>
        <w:keepLines/>
        <w:spacing w:before="240" w:line="276" w:lineRule="auto"/>
        <w:outlineLvl w:val="0"/>
        <w:rPr>
          <w:rFonts w:ascii="Arial" w:eastAsiaTheme="majorEastAsia" w:hAnsi="Arial" w:cstheme="majorBidi"/>
          <w:b/>
          <w:sz w:val="24"/>
          <w:szCs w:val="32"/>
          <w:lang w:eastAsia="en-US"/>
        </w:rPr>
      </w:pPr>
      <w:bookmarkStart w:id="4" w:name="_Toc436652141"/>
      <w:r w:rsidRPr="00A00CCD">
        <w:rPr>
          <w:rFonts w:ascii="Arial" w:eastAsiaTheme="majorEastAsia" w:hAnsi="Arial" w:cstheme="majorBidi"/>
          <w:b/>
          <w:sz w:val="24"/>
          <w:szCs w:val="32"/>
          <w:lang w:eastAsia="en-US"/>
        </w:rPr>
        <w:t>Public protections for university IP creators and users</w:t>
      </w:r>
      <w:bookmarkEnd w:id="4"/>
    </w:p>
    <w:p w:rsidR="00A00CCD" w:rsidRPr="00A00CCD" w:rsidRDefault="00A00CCD" w:rsidP="00A00CCD">
      <w:pPr>
        <w:spacing w:after="240" w:line="360" w:lineRule="auto"/>
        <w:jc w:val="both"/>
        <w:rPr>
          <w:rFonts w:ascii="Arial" w:hAnsi="Arial" w:cs="Arial"/>
          <w:color w:val="000000"/>
          <w:sz w:val="22"/>
          <w:szCs w:val="22"/>
        </w:rPr>
      </w:pPr>
      <w:r w:rsidRPr="00A00CCD">
        <w:rPr>
          <w:rFonts w:ascii="Arial" w:eastAsiaTheme="minorHAnsi" w:hAnsi="Arial" w:cs="Arial"/>
          <w:sz w:val="22"/>
          <w:szCs w:val="22"/>
          <w:lang w:eastAsia="en-US"/>
        </w:rPr>
        <w:t>Public research underpins and drives national innovation systems, especially in Australia. Public research is the predominant source of new knowledge</w:t>
      </w:r>
      <w:r w:rsidRPr="00A00CCD">
        <w:rPr>
          <w:rFonts w:ascii="Arial" w:hAnsi="Arial" w:cs="Arial"/>
          <w:sz w:val="22"/>
          <w:szCs w:val="22"/>
          <w:lang w:eastAsia="en-US"/>
        </w:rPr>
        <w:t xml:space="preserve"> and the fuel of innovation</w:t>
      </w:r>
      <w:r w:rsidRPr="00A00CCD">
        <w:rPr>
          <w:rFonts w:ascii="Arial" w:eastAsiaTheme="minorHAnsi" w:hAnsi="Arial" w:cs="Arial"/>
          <w:sz w:val="22"/>
          <w:szCs w:val="22"/>
          <w:lang w:eastAsia="en-US"/>
        </w:rPr>
        <w:t xml:space="preserve">, especially for basic science, which businesses are neither well equipped nor motivated to invest in.  Basic research is a </w:t>
      </w:r>
      <w:r w:rsidRPr="00A00CCD">
        <w:rPr>
          <w:rFonts w:ascii="Arial" w:eastAsiaTheme="minorHAnsi" w:hAnsi="Arial" w:cs="Arial"/>
          <w:sz w:val="22"/>
          <w:szCs w:val="22"/>
          <w:lang w:eastAsia="en-US"/>
        </w:rPr>
        <w:lastRenderedPageBreak/>
        <w:t xml:space="preserve">driver of economic development.  </w:t>
      </w:r>
      <w:proofErr w:type="spellStart"/>
      <w:r w:rsidRPr="00A00CCD">
        <w:rPr>
          <w:rFonts w:ascii="Arial" w:eastAsiaTheme="minorHAnsi" w:hAnsi="Arial" w:cs="Arial"/>
          <w:sz w:val="22"/>
          <w:szCs w:val="22"/>
          <w:lang w:eastAsia="en-US"/>
        </w:rPr>
        <w:t>Vanevaar</w:t>
      </w:r>
      <w:proofErr w:type="spellEnd"/>
      <w:r w:rsidRPr="00A00CCD">
        <w:rPr>
          <w:rFonts w:ascii="Arial" w:hAnsi="Arial" w:cs="Arial"/>
          <w:sz w:val="22"/>
          <w:szCs w:val="22"/>
          <w:lang w:eastAsia="en-US"/>
        </w:rPr>
        <w:t xml:space="preserve"> Bush, the first director of the US Office of Scientific Research and Development, wrote in 1945, “</w:t>
      </w:r>
      <w:r w:rsidRPr="00A00CCD">
        <w:rPr>
          <w:rFonts w:ascii="Arial" w:hAnsi="Arial" w:cs="Arial"/>
          <w:i/>
          <w:sz w:val="22"/>
          <w:szCs w:val="22"/>
          <w:lang w:eastAsia="en-US"/>
        </w:rPr>
        <w:t>Basic research leads to new knowledge. It provides scientific capital… A nation which depends upon others for its new basic scientific knowledge will be slow in its industrial progress and weak in its competitive position in world trade, regardless of its mechanical skill</w:t>
      </w:r>
      <w:r w:rsidRPr="00A00CCD">
        <w:rPr>
          <w:rFonts w:ascii="Arial" w:hAnsi="Arial" w:cs="Arial"/>
          <w:sz w:val="22"/>
          <w:szCs w:val="22"/>
          <w:lang w:eastAsia="en-US"/>
        </w:rPr>
        <w:t>".</w:t>
      </w:r>
      <w:r w:rsidRPr="00A00CCD">
        <w:rPr>
          <w:rFonts w:ascii="Arial" w:hAnsi="Arial" w:cs="Arial"/>
          <w:color w:val="000000"/>
          <w:sz w:val="22"/>
          <w:szCs w:val="22"/>
        </w:rPr>
        <w:t xml:space="preserve"> </w:t>
      </w:r>
    </w:p>
    <w:p w:rsidR="00A00CCD" w:rsidRPr="00A00CCD" w:rsidRDefault="00A00CCD" w:rsidP="00A00CCD">
      <w:pPr>
        <w:spacing w:after="240" w:line="360" w:lineRule="auto"/>
        <w:jc w:val="both"/>
        <w:rPr>
          <w:rFonts w:ascii="Arial" w:hAnsi="Arial" w:cs="Arial"/>
          <w:color w:val="000000"/>
          <w:sz w:val="22"/>
          <w:szCs w:val="22"/>
        </w:rPr>
      </w:pPr>
      <w:r w:rsidRPr="00A00CCD">
        <w:rPr>
          <w:rFonts w:ascii="Arial" w:hAnsi="Arial" w:cs="Arial"/>
          <w:color w:val="000000"/>
          <w:sz w:val="22"/>
          <w:szCs w:val="22"/>
        </w:rPr>
        <w:t xml:space="preserve">The </w:t>
      </w:r>
      <w:proofErr w:type="spellStart"/>
      <w:r w:rsidRPr="00A00CCD">
        <w:rPr>
          <w:rFonts w:ascii="Arial" w:hAnsi="Arial" w:cs="Arial"/>
          <w:color w:val="000000"/>
          <w:sz w:val="22"/>
          <w:szCs w:val="22"/>
        </w:rPr>
        <w:t>NTEU</w:t>
      </w:r>
      <w:proofErr w:type="spellEnd"/>
      <w:r w:rsidRPr="00A00CCD">
        <w:rPr>
          <w:rFonts w:ascii="Arial" w:hAnsi="Arial" w:cs="Arial"/>
          <w:color w:val="000000"/>
          <w:sz w:val="22"/>
          <w:szCs w:val="22"/>
        </w:rPr>
        <w:t xml:space="preserve"> would contend that the federal government’s push to create more opportunities for universities to collaborate with business, through a stronger set of incentives to promote industry-research collaborations presents risks around the capacity of individual researchers to exercise academic freedom as well as the impact of commercial investment on the integrity of research and its publication. Considering that a priority of the review is to consider incentives for innovation and investment, such a goal requires that at the front end of IP creation, public protections are enhanced for academics and researchers as both creators and users of IP.  </w:t>
      </w:r>
    </w:p>
    <w:p w:rsidR="00A00CCD" w:rsidRPr="00A00CCD" w:rsidRDefault="00A00CCD" w:rsidP="00A00CCD">
      <w:pPr>
        <w:spacing w:after="240" w:line="360" w:lineRule="auto"/>
        <w:jc w:val="both"/>
        <w:rPr>
          <w:rFonts w:ascii="Arial" w:eastAsiaTheme="minorHAnsi" w:hAnsi="Arial" w:cs="Arial"/>
          <w:sz w:val="22"/>
          <w:szCs w:val="22"/>
          <w:lang w:eastAsia="en-US"/>
        </w:rPr>
      </w:pPr>
      <w:r w:rsidRPr="00A00CCD">
        <w:rPr>
          <w:rFonts w:ascii="Arial" w:eastAsiaTheme="minorHAnsi" w:hAnsi="Arial" w:cs="Arial"/>
          <w:sz w:val="22"/>
          <w:szCs w:val="22"/>
          <w:lang w:eastAsia="en-US"/>
        </w:rPr>
        <w:t xml:space="preserve">The capacity for innovation is lost when talented creators are not encouraged to create new knowledge. At an institutional and public policy level </w:t>
      </w:r>
      <w:proofErr w:type="spellStart"/>
      <w:r w:rsidRPr="00A00CCD">
        <w:rPr>
          <w:rFonts w:ascii="Arial" w:eastAsiaTheme="minorHAnsi" w:hAnsi="Arial" w:cs="Arial"/>
          <w:sz w:val="22"/>
          <w:szCs w:val="22"/>
          <w:lang w:eastAsia="en-US"/>
        </w:rPr>
        <w:t>IPRs</w:t>
      </w:r>
      <w:proofErr w:type="spellEnd"/>
      <w:r w:rsidRPr="00A00CCD">
        <w:rPr>
          <w:rFonts w:ascii="Arial" w:eastAsiaTheme="minorHAnsi" w:hAnsi="Arial" w:cs="Arial"/>
          <w:sz w:val="22"/>
          <w:szCs w:val="22"/>
          <w:lang w:eastAsia="en-US"/>
        </w:rPr>
        <w:t xml:space="preserve"> must ensure that the basic rights of university creators are protected, particularly since their mode of knowledge-production is in and for the public good unlike the research undertaken by private firms. To ignore the rationale put forward by the likes of </w:t>
      </w:r>
      <w:proofErr w:type="spellStart"/>
      <w:r w:rsidRPr="00A00CCD">
        <w:rPr>
          <w:rFonts w:ascii="Arial" w:eastAsiaTheme="minorHAnsi" w:hAnsi="Arial" w:cs="Arial"/>
          <w:sz w:val="22"/>
          <w:szCs w:val="22"/>
          <w:lang w:eastAsia="en-US"/>
        </w:rPr>
        <w:t>Monotti</w:t>
      </w:r>
      <w:proofErr w:type="spellEnd"/>
      <w:r w:rsidRPr="00A00CCD">
        <w:rPr>
          <w:rFonts w:ascii="Arial" w:eastAsiaTheme="minorHAnsi" w:hAnsi="Arial" w:cs="Arial"/>
          <w:sz w:val="22"/>
          <w:szCs w:val="22"/>
          <w:lang w:eastAsia="en-US"/>
        </w:rPr>
        <w:t xml:space="preserve"> and </w:t>
      </w:r>
      <w:proofErr w:type="spellStart"/>
      <w:r w:rsidRPr="00A00CCD">
        <w:rPr>
          <w:rFonts w:ascii="Arial" w:eastAsiaTheme="minorHAnsi" w:hAnsi="Arial" w:cs="Arial"/>
          <w:sz w:val="22"/>
          <w:szCs w:val="22"/>
          <w:lang w:eastAsia="en-US"/>
        </w:rPr>
        <w:t>Ricketson</w:t>
      </w:r>
      <w:proofErr w:type="spellEnd"/>
      <w:r w:rsidRPr="00A00CCD">
        <w:rPr>
          <w:rFonts w:ascii="Arial" w:eastAsiaTheme="minorHAnsi" w:hAnsi="Arial" w:cs="Arial"/>
          <w:sz w:val="22"/>
          <w:szCs w:val="22"/>
          <w:lang w:eastAsia="en-US"/>
        </w:rPr>
        <w:t xml:space="preserve"> (2003) about the significance of academic freedom, to sideline arguments that may otherwise strengthen </w:t>
      </w:r>
      <w:proofErr w:type="spellStart"/>
      <w:r w:rsidRPr="00A00CCD">
        <w:rPr>
          <w:rFonts w:ascii="Arial" w:eastAsiaTheme="minorHAnsi" w:hAnsi="Arial" w:cs="Arial"/>
          <w:sz w:val="22"/>
          <w:szCs w:val="22"/>
          <w:lang w:eastAsia="en-US"/>
        </w:rPr>
        <w:t>IPR</w:t>
      </w:r>
      <w:proofErr w:type="spellEnd"/>
      <w:r w:rsidRPr="00A00CCD">
        <w:rPr>
          <w:rFonts w:ascii="Arial" w:eastAsiaTheme="minorHAnsi" w:hAnsi="Arial" w:cs="Arial"/>
          <w:sz w:val="22"/>
          <w:szCs w:val="22"/>
          <w:lang w:eastAsia="en-US"/>
        </w:rPr>
        <w:t xml:space="preserve"> vested in the employer (university) and not provide stronger legislative protections for academics and researchers to make decisions about how, when and where results are published, potentially undermines publicly-funded innovation. </w:t>
      </w:r>
    </w:p>
    <w:p w:rsidR="00A00CCD" w:rsidRPr="00A00CCD" w:rsidRDefault="00A00CCD" w:rsidP="00A00CCD">
      <w:pPr>
        <w:spacing w:after="240" w:line="360" w:lineRule="auto"/>
        <w:jc w:val="both"/>
        <w:rPr>
          <w:rFonts w:ascii="Arial" w:eastAsiaTheme="minorHAnsi" w:hAnsi="Arial" w:cs="Arial"/>
          <w:sz w:val="22"/>
          <w:szCs w:val="22"/>
          <w:lang w:eastAsia="en-US"/>
        </w:rPr>
      </w:pPr>
      <w:r w:rsidRPr="00A00CCD">
        <w:rPr>
          <w:rFonts w:ascii="Arial" w:eastAsiaTheme="minorHAnsi" w:hAnsi="Arial" w:cs="Arial"/>
          <w:sz w:val="22"/>
          <w:szCs w:val="22"/>
          <w:lang w:eastAsia="en-US"/>
        </w:rPr>
        <w:t xml:space="preserve">The </w:t>
      </w:r>
      <w:proofErr w:type="spellStart"/>
      <w:r w:rsidRPr="00A00CCD">
        <w:rPr>
          <w:rFonts w:ascii="Arial" w:eastAsiaTheme="minorHAnsi" w:hAnsi="Arial" w:cs="Arial"/>
          <w:sz w:val="22"/>
          <w:szCs w:val="22"/>
          <w:lang w:eastAsia="en-US"/>
        </w:rPr>
        <w:t>NTEU</w:t>
      </w:r>
      <w:proofErr w:type="spellEnd"/>
      <w:r w:rsidRPr="00A00CCD">
        <w:rPr>
          <w:rFonts w:ascii="Arial" w:eastAsiaTheme="minorHAnsi" w:hAnsi="Arial" w:cs="Arial"/>
          <w:sz w:val="22"/>
          <w:szCs w:val="22"/>
          <w:lang w:eastAsia="en-US"/>
        </w:rPr>
        <w:t xml:space="preserve"> proposes a range of specific recommendations to enhance public protections for university-creators and users.  </w:t>
      </w:r>
    </w:p>
    <w:p w:rsidR="00A00CCD" w:rsidRPr="00A00CCD" w:rsidRDefault="00A00CCD" w:rsidP="00A00CCD">
      <w:pPr>
        <w:keepNext/>
        <w:keepLines/>
        <w:spacing w:before="240" w:line="276" w:lineRule="auto"/>
        <w:outlineLvl w:val="0"/>
        <w:rPr>
          <w:rFonts w:ascii="Arial" w:eastAsiaTheme="majorEastAsia" w:hAnsi="Arial" w:cstheme="majorBidi"/>
          <w:sz w:val="24"/>
          <w:szCs w:val="32"/>
          <w:u w:val="single"/>
          <w:lang w:eastAsia="en-US"/>
        </w:rPr>
      </w:pPr>
      <w:bookmarkStart w:id="5" w:name="_Toc436652142"/>
      <w:r w:rsidRPr="00A00CCD">
        <w:rPr>
          <w:rFonts w:ascii="Arial" w:eastAsiaTheme="majorEastAsia" w:hAnsi="Arial" w:cstheme="majorBidi"/>
          <w:sz w:val="24"/>
          <w:szCs w:val="32"/>
          <w:u w:val="single"/>
          <w:lang w:eastAsia="en-US"/>
        </w:rPr>
        <w:t>Moral Rights</w:t>
      </w:r>
      <w:bookmarkEnd w:id="5"/>
    </w:p>
    <w:p w:rsidR="00A00CCD" w:rsidRPr="00A00CCD" w:rsidRDefault="00A00CCD" w:rsidP="00A00CCD">
      <w:pPr>
        <w:spacing w:after="240" w:line="360" w:lineRule="auto"/>
        <w:jc w:val="both"/>
        <w:rPr>
          <w:rFonts w:ascii="Arial" w:eastAsiaTheme="minorHAnsi" w:hAnsi="Arial" w:cs="Arial"/>
          <w:sz w:val="22"/>
          <w:szCs w:val="22"/>
          <w:lang w:eastAsia="en-US"/>
        </w:rPr>
      </w:pPr>
      <w:r w:rsidRPr="00A00CCD">
        <w:rPr>
          <w:rFonts w:ascii="Arial" w:eastAsiaTheme="minorHAnsi" w:hAnsi="Arial" w:cs="Arial"/>
          <w:sz w:val="22"/>
          <w:szCs w:val="22"/>
          <w:lang w:eastAsia="en-US"/>
        </w:rPr>
        <w:t xml:space="preserve">Any derogation of moral rights as defined under Part IX of the </w:t>
      </w:r>
      <w:r w:rsidRPr="00A00CCD">
        <w:rPr>
          <w:rFonts w:ascii="Arial" w:eastAsiaTheme="minorHAnsi" w:hAnsi="Arial" w:cs="Arial"/>
          <w:i/>
          <w:sz w:val="22"/>
          <w:szCs w:val="22"/>
          <w:lang w:eastAsia="en-US"/>
        </w:rPr>
        <w:t>Copyright Act 1968</w:t>
      </w:r>
      <w:r w:rsidRPr="00A00CCD">
        <w:rPr>
          <w:rFonts w:ascii="Arial" w:eastAsiaTheme="minorHAnsi" w:hAnsi="Arial" w:cs="Arial"/>
          <w:sz w:val="22"/>
          <w:szCs w:val="22"/>
          <w:lang w:eastAsia="en-US"/>
        </w:rPr>
        <w:t xml:space="preserve"> could have serious counterproductive effects on research capability for the Australian university sector. We note that moral rights are one of the few positive rights intended to protect the reputation of creators and the bargaining power creators often lack in negotiating commercial transactions. We highlight that the non-economic rights about potential harm to the reputation of the author, be it through fair attribution for authorship or performance, right of integrity of authorship, and the right not to have authorship or performance falsely attributed, are crucial tacit values within academic culture. The kinds of principles captured by moral rights protections are often more important to the careers and professional identity of university researchers and academics than the processes for remuneration in the commercialisation of IP. </w:t>
      </w:r>
    </w:p>
    <w:p w:rsidR="00A00CCD" w:rsidRPr="00A00CCD" w:rsidRDefault="00A00CCD" w:rsidP="00A00CCD">
      <w:pPr>
        <w:spacing w:after="240" w:line="360" w:lineRule="auto"/>
        <w:jc w:val="both"/>
        <w:rPr>
          <w:rFonts w:ascii="Arial" w:eastAsiaTheme="minorHAnsi" w:hAnsi="Arial" w:cs="Arial"/>
          <w:sz w:val="22"/>
          <w:szCs w:val="22"/>
          <w:lang w:eastAsia="en-US"/>
        </w:rPr>
      </w:pPr>
      <w:proofErr w:type="spellStart"/>
      <w:r w:rsidRPr="00A00CCD">
        <w:rPr>
          <w:rFonts w:ascii="Arial" w:eastAsiaTheme="minorHAnsi" w:hAnsi="Arial" w:cs="Arial"/>
          <w:sz w:val="22"/>
          <w:szCs w:val="22"/>
          <w:lang w:eastAsia="en-US"/>
        </w:rPr>
        <w:t>NTEU</w:t>
      </w:r>
      <w:proofErr w:type="spellEnd"/>
      <w:r w:rsidRPr="00A00CCD">
        <w:rPr>
          <w:rFonts w:ascii="Arial" w:eastAsiaTheme="minorHAnsi" w:hAnsi="Arial" w:cs="Arial"/>
          <w:sz w:val="22"/>
          <w:szCs w:val="22"/>
          <w:lang w:eastAsia="en-US"/>
        </w:rPr>
        <w:t xml:space="preserve"> notes, as does the Australian Copyright Council (</w:t>
      </w:r>
      <w:proofErr w:type="spellStart"/>
      <w:r w:rsidRPr="00A00CCD">
        <w:rPr>
          <w:rFonts w:ascii="Arial" w:eastAsiaTheme="minorHAnsi" w:hAnsi="Arial" w:cs="Arial"/>
          <w:sz w:val="22"/>
          <w:szCs w:val="22"/>
          <w:lang w:eastAsia="en-US"/>
        </w:rPr>
        <w:t>ACC</w:t>
      </w:r>
      <w:proofErr w:type="spellEnd"/>
      <w:r w:rsidRPr="00A00CCD">
        <w:rPr>
          <w:rFonts w:ascii="Arial" w:eastAsiaTheme="minorHAnsi" w:hAnsi="Arial" w:cs="Arial"/>
          <w:sz w:val="22"/>
          <w:szCs w:val="22"/>
          <w:lang w:eastAsia="en-US"/>
        </w:rPr>
        <w:t xml:space="preserve">), that the rights of attribution and integrity of authorship are not found elsewhere in Australian law.  While there are very few cases involving moral rights and where such cases have been successful, the award for damages has often been limited, this is not really the point.  Moral rights are an important symbolic and legal protection </w:t>
      </w:r>
      <w:r w:rsidRPr="00A00CCD">
        <w:rPr>
          <w:rFonts w:ascii="Arial" w:eastAsiaTheme="minorHAnsi" w:hAnsi="Arial" w:cs="Arial"/>
          <w:sz w:val="22"/>
          <w:szCs w:val="22"/>
          <w:lang w:eastAsia="en-US"/>
        </w:rPr>
        <w:lastRenderedPageBreak/>
        <w:t>for researchers working in our universities and must be maintained to protect academic freedom and academic integrity.</w:t>
      </w:r>
    </w:p>
    <w:p w:rsidR="00A00CCD" w:rsidRPr="00A00CCD" w:rsidRDefault="00A00CCD" w:rsidP="00A00CCD">
      <w:pPr>
        <w:keepNext/>
        <w:keepLines/>
        <w:spacing w:before="240" w:line="276" w:lineRule="auto"/>
        <w:outlineLvl w:val="0"/>
        <w:rPr>
          <w:rFonts w:ascii="Arial" w:eastAsiaTheme="majorEastAsia" w:hAnsi="Arial" w:cstheme="majorBidi"/>
          <w:sz w:val="24"/>
          <w:szCs w:val="32"/>
          <w:u w:val="single"/>
          <w:lang w:eastAsia="en-US"/>
        </w:rPr>
      </w:pPr>
      <w:bookmarkStart w:id="6" w:name="_Toc436652143"/>
      <w:r w:rsidRPr="00A00CCD">
        <w:rPr>
          <w:rFonts w:ascii="Arial" w:eastAsiaTheme="majorEastAsia" w:hAnsi="Arial" w:cstheme="majorBidi"/>
          <w:sz w:val="24"/>
          <w:szCs w:val="32"/>
          <w:u w:val="single"/>
          <w:lang w:eastAsia="en-US"/>
        </w:rPr>
        <w:t>Copyright exception for academics</w:t>
      </w:r>
      <w:bookmarkEnd w:id="6"/>
    </w:p>
    <w:p w:rsidR="00A00CCD" w:rsidRPr="00A00CCD" w:rsidRDefault="00A00CCD" w:rsidP="00A00CCD">
      <w:pPr>
        <w:spacing w:after="240" w:line="360" w:lineRule="auto"/>
        <w:jc w:val="both"/>
        <w:rPr>
          <w:rFonts w:ascii="Arial" w:eastAsiaTheme="minorHAnsi" w:hAnsi="Arial" w:cs="Arial"/>
          <w:sz w:val="22"/>
          <w:szCs w:val="22"/>
          <w:lang w:eastAsia="en-US"/>
        </w:rPr>
      </w:pPr>
      <w:r w:rsidRPr="00A00CCD">
        <w:rPr>
          <w:rFonts w:ascii="Arial" w:eastAsiaTheme="minorHAnsi" w:hAnsi="Arial" w:cs="Arial"/>
          <w:sz w:val="22"/>
          <w:szCs w:val="22"/>
          <w:lang w:eastAsia="en-US"/>
        </w:rPr>
        <w:t xml:space="preserve">The </w:t>
      </w:r>
      <w:proofErr w:type="spellStart"/>
      <w:r w:rsidRPr="00A00CCD">
        <w:rPr>
          <w:rFonts w:ascii="Arial" w:eastAsiaTheme="minorHAnsi" w:hAnsi="Arial" w:cs="Arial"/>
          <w:sz w:val="22"/>
          <w:szCs w:val="22"/>
          <w:lang w:eastAsia="en-US"/>
        </w:rPr>
        <w:t>NTEU</w:t>
      </w:r>
      <w:proofErr w:type="spellEnd"/>
      <w:r w:rsidRPr="00A00CCD">
        <w:rPr>
          <w:rFonts w:ascii="Arial" w:eastAsiaTheme="minorHAnsi" w:hAnsi="Arial" w:cs="Arial"/>
          <w:sz w:val="22"/>
          <w:szCs w:val="22"/>
          <w:lang w:eastAsia="en-US"/>
        </w:rPr>
        <w:t xml:space="preserve"> believes a specific provision on university researchers and academics could create greater recognition and certainty of the unique employment circumstances experienced within the university sector. The Act should be amended so that the ownership of all IP generated by university academic staff and researchers remains with creators and not with their employer as is the case in most other circumstances.  A precedence for such an exception already exists in Section 35(4) of the </w:t>
      </w:r>
      <w:r w:rsidRPr="00A00CCD">
        <w:rPr>
          <w:rFonts w:ascii="Arial" w:eastAsiaTheme="minorHAnsi" w:hAnsi="Arial" w:cs="Arial"/>
          <w:i/>
          <w:iCs/>
          <w:sz w:val="22"/>
          <w:szCs w:val="22"/>
          <w:lang w:eastAsia="en-US"/>
        </w:rPr>
        <w:t>Copyright Act 1968</w:t>
      </w:r>
      <w:r w:rsidRPr="00A00CCD">
        <w:rPr>
          <w:rFonts w:ascii="Arial" w:eastAsiaTheme="minorHAnsi" w:hAnsi="Arial" w:cs="Arial"/>
          <w:sz w:val="22"/>
          <w:szCs w:val="22"/>
          <w:lang w:eastAsia="en-US"/>
        </w:rPr>
        <w:t xml:space="preserve"> which provides a special provision around the ownership of copyright to employees who work at a newspaper or magazine, including journalists, photographers and cartoonists. This is not to say that university generated research should not be commercialised.  Any decision to commercialise research and what form that commercialisation would take would be a joint decision between the creator and their employer.  While the creator, as owner of the IP, would have an effective veto, any process needs to be efficient, transparent and fair to all parties.</w:t>
      </w:r>
    </w:p>
    <w:p w:rsidR="00A00CCD" w:rsidRPr="00A00CCD" w:rsidRDefault="00A00CCD" w:rsidP="00A00CCD">
      <w:pPr>
        <w:keepNext/>
        <w:keepLines/>
        <w:spacing w:before="240" w:line="276" w:lineRule="auto"/>
        <w:outlineLvl w:val="0"/>
        <w:rPr>
          <w:rFonts w:ascii="Arial" w:eastAsiaTheme="majorEastAsia" w:hAnsi="Arial" w:cstheme="majorBidi"/>
          <w:sz w:val="24"/>
          <w:szCs w:val="32"/>
          <w:u w:val="single"/>
          <w:lang w:eastAsia="en-US"/>
        </w:rPr>
      </w:pPr>
      <w:bookmarkStart w:id="7" w:name="_Toc436652144"/>
      <w:r w:rsidRPr="00A00CCD">
        <w:rPr>
          <w:rFonts w:ascii="Arial" w:eastAsiaTheme="majorEastAsia" w:hAnsi="Arial" w:cstheme="majorBidi"/>
          <w:sz w:val="24"/>
          <w:szCs w:val="32"/>
          <w:u w:val="single"/>
          <w:lang w:eastAsia="en-US"/>
        </w:rPr>
        <w:t>Fair dealing exception for education</w:t>
      </w:r>
      <w:bookmarkEnd w:id="7"/>
    </w:p>
    <w:p w:rsidR="00A00CCD" w:rsidRPr="00A00CCD" w:rsidRDefault="00A00CCD" w:rsidP="00A00CCD">
      <w:pPr>
        <w:spacing w:after="240" w:line="360" w:lineRule="auto"/>
        <w:jc w:val="both"/>
        <w:rPr>
          <w:rFonts w:ascii="Arial" w:eastAsiaTheme="minorHAnsi" w:hAnsi="Arial" w:cs="Arial"/>
          <w:sz w:val="22"/>
          <w:szCs w:val="22"/>
          <w:lang w:eastAsia="en-US"/>
        </w:rPr>
      </w:pPr>
      <w:r w:rsidRPr="00A00CCD">
        <w:rPr>
          <w:rFonts w:ascii="Arial" w:eastAsiaTheme="minorHAnsi" w:hAnsi="Arial" w:cs="Arial"/>
          <w:sz w:val="22"/>
          <w:szCs w:val="22"/>
          <w:lang w:eastAsia="en-US"/>
        </w:rPr>
        <w:t xml:space="preserve">The </w:t>
      </w:r>
      <w:proofErr w:type="spellStart"/>
      <w:r w:rsidRPr="00A00CCD">
        <w:rPr>
          <w:rFonts w:ascii="Arial" w:eastAsiaTheme="minorHAnsi" w:hAnsi="Arial" w:cs="Arial"/>
          <w:sz w:val="22"/>
          <w:szCs w:val="22"/>
          <w:lang w:eastAsia="en-US"/>
        </w:rPr>
        <w:t>NTEU</w:t>
      </w:r>
      <w:proofErr w:type="spellEnd"/>
      <w:r w:rsidRPr="00A00CCD">
        <w:rPr>
          <w:rFonts w:ascii="Arial" w:eastAsiaTheme="minorHAnsi" w:hAnsi="Arial" w:cs="Arial"/>
          <w:sz w:val="22"/>
          <w:szCs w:val="22"/>
          <w:lang w:eastAsia="en-US"/>
        </w:rPr>
        <w:t xml:space="preserve"> supports the view put forward by the Australian Law Reform Commission (</w:t>
      </w:r>
      <w:proofErr w:type="spellStart"/>
      <w:r w:rsidRPr="00A00CCD">
        <w:rPr>
          <w:rFonts w:ascii="Arial" w:eastAsiaTheme="minorHAnsi" w:hAnsi="Arial" w:cs="Arial"/>
          <w:sz w:val="22"/>
          <w:szCs w:val="22"/>
          <w:lang w:eastAsia="en-US"/>
        </w:rPr>
        <w:t>ALRC</w:t>
      </w:r>
      <w:proofErr w:type="spellEnd"/>
      <w:r w:rsidRPr="00A00CCD">
        <w:rPr>
          <w:rFonts w:ascii="Arial" w:eastAsiaTheme="minorHAnsi" w:hAnsi="Arial" w:cs="Arial"/>
          <w:sz w:val="22"/>
          <w:szCs w:val="22"/>
          <w:lang w:eastAsia="en-US"/>
        </w:rPr>
        <w:t xml:space="preserve">) (2013) that the </w:t>
      </w:r>
      <w:r w:rsidRPr="00A00CCD">
        <w:rPr>
          <w:rFonts w:ascii="Arial" w:eastAsiaTheme="minorHAnsi" w:hAnsi="Arial" w:cs="Arial"/>
          <w:i/>
          <w:iCs/>
          <w:sz w:val="22"/>
          <w:szCs w:val="22"/>
          <w:lang w:eastAsia="en-US"/>
        </w:rPr>
        <w:t>Copyright Act</w:t>
      </w:r>
      <w:r w:rsidRPr="00A00CCD">
        <w:rPr>
          <w:rFonts w:ascii="Arial" w:eastAsiaTheme="minorHAnsi" w:hAnsi="Arial" w:cs="Arial"/>
          <w:sz w:val="22"/>
          <w:szCs w:val="22"/>
          <w:lang w:eastAsia="en-US"/>
        </w:rPr>
        <w:t xml:space="preserve"> should be amended to include a new ‘fair dealing for education’ exception that can adapt to new technologies and teaching practices, irrespective of whether the concept of fair use is being considered as an option for Australian copyright law.</w:t>
      </w:r>
    </w:p>
    <w:p w:rsidR="00A00CCD" w:rsidRPr="00A00CCD" w:rsidRDefault="00A00CCD" w:rsidP="00A00CCD">
      <w:pPr>
        <w:keepNext/>
        <w:keepLines/>
        <w:spacing w:before="240" w:line="276" w:lineRule="auto"/>
        <w:outlineLvl w:val="0"/>
        <w:rPr>
          <w:rFonts w:ascii="Arial" w:eastAsiaTheme="majorEastAsia" w:hAnsi="Arial" w:cstheme="majorBidi"/>
          <w:sz w:val="24"/>
          <w:szCs w:val="32"/>
          <w:u w:val="single"/>
          <w:lang w:eastAsia="en-US"/>
        </w:rPr>
      </w:pPr>
      <w:bookmarkStart w:id="8" w:name="_Toc436652145"/>
      <w:r w:rsidRPr="00A00CCD">
        <w:rPr>
          <w:rFonts w:ascii="Arial" w:eastAsiaTheme="majorEastAsia" w:hAnsi="Arial" w:cstheme="majorBidi"/>
          <w:sz w:val="24"/>
          <w:szCs w:val="32"/>
          <w:u w:val="single"/>
          <w:lang w:eastAsia="en-US"/>
        </w:rPr>
        <w:t>Student ownership of IP</w:t>
      </w:r>
      <w:bookmarkEnd w:id="8"/>
    </w:p>
    <w:p w:rsidR="00A00CCD" w:rsidRPr="00A00CCD" w:rsidRDefault="00A00CCD" w:rsidP="00A00CCD">
      <w:pPr>
        <w:spacing w:after="240" w:line="360" w:lineRule="auto"/>
        <w:jc w:val="both"/>
        <w:rPr>
          <w:rFonts w:ascii="Arial" w:eastAsiaTheme="minorHAnsi" w:hAnsi="Arial" w:cs="Arial"/>
          <w:sz w:val="22"/>
          <w:szCs w:val="22"/>
          <w:lang w:eastAsia="en-US"/>
        </w:rPr>
      </w:pPr>
      <w:r w:rsidRPr="00A00CCD">
        <w:rPr>
          <w:rFonts w:ascii="Arial" w:eastAsiaTheme="minorHAnsi" w:hAnsi="Arial" w:cs="Arial"/>
          <w:sz w:val="22"/>
          <w:szCs w:val="22"/>
          <w:lang w:eastAsia="en-US"/>
        </w:rPr>
        <w:t xml:space="preserve">The </w:t>
      </w:r>
      <w:proofErr w:type="spellStart"/>
      <w:r w:rsidRPr="00A00CCD">
        <w:rPr>
          <w:rFonts w:ascii="Arial" w:eastAsiaTheme="minorHAnsi" w:hAnsi="Arial" w:cs="Arial"/>
          <w:sz w:val="22"/>
          <w:szCs w:val="22"/>
          <w:lang w:eastAsia="en-US"/>
        </w:rPr>
        <w:t>NTEU</w:t>
      </w:r>
      <w:proofErr w:type="spellEnd"/>
      <w:r w:rsidRPr="00A00CCD">
        <w:rPr>
          <w:rFonts w:ascii="Arial" w:eastAsiaTheme="minorHAnsi" w:hAnsi="Arial" w:cs="Arial"/>
          <w:sz w:val="22"/>
          <w:szCs w:val="22"/>
          <w:lang w:eastAsia="en-US"/>
        </w:rPr>
        <w:t xml:space="preserve"> is wary of regulatory reforms which may undermine the ownership of IP of students involved in higher education, who are explicitly outside of the employment relationship, who are unlikely to be compensated for appropriations of </w:t>
      </w:r>
      <w:proofErr w:type="spellStart"/>
      <w:r w:rsidRPr="00A00CCD">
        <w:rPr>
          <w:rFonts w:ascii="Arial" w:eastAsiaTheme="minorHAnsi" w:hAnsi="Arial" w:cs="Arial"/>
          <w:sz w:val="22"/>
          <w:szCs w:val="22"/>
          <w:lang w:eastAsia="en-US"/>
        </w:rPr>
        <w:t>IPR</w:t>
      </w:r>
      <w:proofErr w:type="spellEnd"/>
      <w:r w:rsidRPr="00A00CCD">
        <w:rPr>
          <w:rFonts w:ascii="Arial" w:eastAsiaTheme="minorHAnsi" w:hAnsi="Arial" w:cs="Arial"/>
          <w:sz w:val="22"/>
          <w:szCs w:val="22"/>
          <w:lang w:eastAsia="en-US"/>
        </w:rPr>
        <w:t xml:space="preserve">, and whose </w:t>
      </w:r>
      <w:proofErr w:type="spellStart"/>
      <w:r w:rsidRPr="00A00CCD">
        <w:rPr>
          <w:rFonts w:ascii="Arial" w:eastAsiaTheme="minorHAnsi" w:hAnsi="Arial" w:cs="Arial"/>
          <w:sz w:val="22"/>
          <w:szCs w:val="22"/>
          <w:lang w:eastAsia="en-US"/>
        </w:rPr>
        <w:t>IPR</w:t>
      </w:r>
      <w:proofErr w:type="spellEnd"/>
      <w:r w:rsidRPr="00A00CCD">
        <w:rPr>
          <w:rFonts w:ascii="Arial" w:eastAsiaTheme="minorHAnsi" w:hAnsi="Arial" w:cs="Arial"/>
          <w:sz w:val="22"/>
          <w:szCs w:val="22"/>
          <w:lang w:eastAsia="en-US"/>
        </w:rPr>
        <w:t xml:space="preserve"> should be respected both by the relevant educational institution and by other parties who may assist in the provision of work-integrated learning during the completion of studies. Regulatory changes or reforms that undermine student IP ownership will have cumulative negative implications upon the pipeline of future researchers and the future research-capable workforce.   </w:t>
      </w:r>
    </w:p>
    <w:p w:rsidR="00A00CCD" w:rsidRPr="00A00CCD" w:rsidRDefault="00A00CCD" w:rsidP="00A00CCD">
      <w:pPr>
        <w:keepNext/>
        <w:keepLines/>
        <w:spacing w:before="240" w:line="276" w:lineRule="auto"/>
        <w:outlineLvl w:val="0"/>
        <w:rPr>
          <w:rFonts w:ascii="Arial" w:eastAsiaTheme="majorEastAsia" w:hAnsi="Arial" w:cstheme="majorBidi"/>
          <w:b/>
          <w:sz w:val="24"/>
          <w:szCs w:val="32"/>
          <w:lang w:eastAsia="en-US"/>
        </w:rPr>
      </w:pPr>
      <w:bookmarkStart w:id="9" w:name="_Toc436652146"/>
      <w:r w:rsidRPr="00A00CCD">
        <w:rPr>
          <w:rFonts w:ascii="Arial" w:eastAsiaTheme="majorEastAsia" w:hAnsi="Arial" w:cstheme="majorBidi"/>
          <w:b/>
          <w:sz w:val="24"/>
          <w:szCs w:val="32"/>
          <w:lang w:eastAsia="en-US"/>
        </w:rPr>
        <w:t>IP and Traditional Ownership</w:t>
      </w:r>
      <w:bookmarkEnd w:id="9"/>
      <w:r w:rsidRPr="00A00CCD">
        <w:rPr>
          <w:rFonts w:ascii="Arial" w:eastAsiaTheme="majorEastAsia" w:hAnsi="Arial" w:cstheme="majorBidi"/>
          <w:b/>
          <w:sz w:val="24"/>
          <w:szCs w:val="32"/>
          <w:lang w:eastAsia="en-US"/>
        </w:rPr>
        <w:t xml:space="preserve"> </w:t>
      </w:r>
    </w:p>
    <w:p w:rsidR="00A00CCD" w:rsidRPr="00A00CCD" w:rsidRDefault="00A00CCD" w:rsidP="00A00CCD">
      <w:pPr>
        <w:spacing w:after="240" w:line="360" w:lineRule="auto"/>
        <w:jc w:val="both"/>
        <w:rPr>
          <w:rFonts w:ascii="Arial" w:eastAsiaTheme="minorHAnsi" w:hAnsi="Arial" w:cs="Arial"/>
          <w:sz w:val="22"/>
          <w:szCs w:val="22"/>
          <w:lang w:eastAsia="en-US"/>
        </w:rPr>
      </w:pPr>
      <w:r w:rsidRPr="00A00CCD">
        <w:rPr>
          <w:rFonts w:ascii="Arial" w:eastAsiaTheme="minorHAnsi" w:hAnsi="Arial" w:cs="Arial"/>
          <w:sz w:val="22"/>
          <w:szCs w:val="22"/>
          <w:lang w:eastAsia="en-US"/>
        </w:rPr>
        <w:t xml:space="preserve">In addition to being critical that the Issues Paper made no specific reference to universities in relation to IP arrangements, we are equally surprised and critical of the lack of any discussion in relation to the lack of current IP arrangements to recognise and deal with communal ownership of traditional Aboriginal and Torres Strait Islander </w:t>
      </w:r>
      <w:proofErr w:type="spellStart"/>
      <w:r w:rsidRPr="00A00CCD">
        <w:rPr>
          <w:rFonts w:ascii="Arial" w:eastAsiaTheme="minorHAnsi" w:hAnsi="Arial" w:cs="Arial"/>
          <w:sz w:val="22"/>
          <w:szCs w:val="22"/>
          <w:lang w:eastAsia="en-US"/>
        </w:rPr>
        <w:t>knowledges</w:t>
      </w:r>
      <w:proofErr w:type="spellEnd"/>
      <w:r w:rsidRPr="00A00CCD">
        <w:rPr>
          <w:rFonts w:ascii="Arial" w:eastAsiaTheme="minorHAnsi" w:hAnsi="Arial" w:cs="Arial"/>
          <w:sz w:val="22"/>
          <w:szCs w:val="22"/>
          <w:lang w:eastAsia="en-US"/>
        </w:rPr>
        <w:t xml:space="preserve">. </w:t>
      </w:r>
      <w:r w:rsidRPr="00A00CCD">
        <w:rPr>
          <w:rFonts w:ascii="Arial" w:hAnsi="Arial" w:cs="Arial"/>
          <w:bCs/>
          <w:sz w:val="22"/>
          <w:szCs w:val="22"/>
          <w:lang w:val="en"/>
        </w:rPr>
        <w:t xml:space="preserve">As the Parliamentary Library Research Paper on </w:t>
      </w:r>
      <w:r w:rsidRPr="00A00CCD">
        <w:rPr>
          <w:rFonts w:ascii="Arial" w:hAnsi="Arial" w:cs="Arial"/>
          <w:bCs/>
          <w:i/>
          <w:sz w:val="22"/>
          <w:szCs w:val="22"/>
          <w:lang w:val="en" w:eastAsia="en-US"/>
        </w:rPr>
        <w:t>Indigenous Peoples and Intellectual Property Rights</w:t>
      </w:r>
      <w:r w:rsidRPr="00A00CCD">
        <w:rPr>
          <w:rFonts w:ascii="Arial" w:hAnsi="Arial" w:cs="Arial"/>
          <w:bCs/>
          <w:sz w:val="22"/>
          <w:szCs w:val="22"/>
          <w:lang w:val="en" w:eastAsia="en-US"/>
        </w:rPr>
        <w:t xml:space="preserve"> concluded:</w:t>
      </w:r>
    </w:p>
    <w:p w:rsidR="00A00CCD" w:rsidRPr="00A00CCD" w:rsidRDefault="00A00CCD" w:rsidP="00A00CCD">
      <w:pPr>
        <w:spacing w:before="100" w:beforeAutospacing="1" w:after="100" w:afterAutospacing="1"/>
        <w:ind w:left="720"/>
        <w:jc w:val="both"/>
        <w:rPr>
          <w:rFonts w:ascii="Arial" w:eastAsiaTheme="minorHAnsi" w:hAnsi="Arial" w:cs="Arial"/>
          <w:i/>
          <w:iCs/>
          <w:sz w:val="22"/>
          <w:szCs w:val="22"/>
          <w:lang w:val="en"/>
        </w:rPr>
      </w:pPr>
      <w:r w:rsidRPr="00A00CCD">
        <w:rPr>
          <w:rFonts w:ascii="Arial" w:eastAsiaTheme="minorHAnsi" w:hAnsi="Arial" w:cs="Arial"/>
          <w:i/>
          <w:iCs/>
          <w:sz w:val="22"/>
          <w:szCs w:val="22"/>
          <w:lang w:val="en"/>
        </w:rPr>
        <w:t xml:space="preserve">There is a conceptual gap between existing intellectual property systems and the protection and recognition of Indigenous peoples' rights to their cultural knowledge, products and expressions. Indigenous peoples consider their intellectual property rights are an integral component of a 'holistic' cultural heritage, which includes a wider range of subject matter than can be accommodated within existing intellectual property laws. </w:t>
      </w:r>
    </w:p>
    <w:p w:rsidR="00A00CCD" w:rsidRPr="00A00CCD" w:rsidRDefault="00A00CCD" w:rsidP="00A00CCD">
      <w:pPr>
        <w:spacing w:before="100" w:beforeAutospacing="1" w:after="100" w:afterAutospacing="1"/>
        <w:jc w:val="both"/>
        <w:rPr>
          <w:rFonts w:ascii="Arial" w:eastAsiaTheme="minorHAnsi" w:hAnsi="Arial" w:cs="Arial"/>
          <w:sz w:val="22"/>
          <w:szCs w:val="22"/>
          <w:lang w:val="en"/>
        </w:rPr>
      </w:pPr>
      <w:r w:rsidRPr="00A00CCD">
        <w:rPr>
          <w:rFonts w:ascii="Arial" w:eastAsiaTheme="minorHAnsi" w:hAnsi="Arial" w:cs="Arial"/>
          <w:sz w:val="22"/>
          <w:szCs w:val="22"/>
          <w:lang w:val="en"/>
        </w:rPr>
        <w:lastRenderedPageBreak/>
        <w:t>It goes on to recommend:</w:t>
      </w:r>
    </w:p>
    <w:p w:rsidR="00A00CCD" w:rsidRPr="00A00CCD" w:rsidRDefault="00A00CCD" w:rsidP="00A00CCD">
      <w:pPr>
        <w:spacing w:before="100" w:beforeAutospacing="1" w:after="100" w:afterAutospacing="1"/>
        <w:ind w:left="720"/>
        <w:jc w:val="both"/>
        <w:rPr>
          <w:rFonts w:ascii="Arial" w:eastAsiaTheme="minorHAnsi" w:hAnsi="Arial" w:cs="Arial"/>
          <w:i/>
          <w:iCs/>
          <w:sz w:val="22"/>
          <w:szCs w:val="22"/>
          <w:lang w:val="en"/>
        </w:rPr>
      </w:pPr>
      <w:r w:rsidRPr="00A00CCD">
        <w:rPr>
          <w:rFonts w:ascii="Arial" w:eastAsiaTheme="minorHAnsi" w:hAnsi="Arial" w:cs="Arial"/>
          <w:i/>
          <w:iCs/>
          <w:sz w:val="22"/>
          <w:szCs w:val="22"/>
          <w:lang w:val="en"/>
        </w:rPr>
        <w:t xml:space="preserve">Given this, it becomes apparent that a different system is necessary to protect Indigenous peoples' rights, and it is for this reason that reforms to existing laws are best accompanied by the formulation of a new </w:t>
      </w:r>
      <w:r w:rsidRPr="00A00CCD">
        <w:rPr>
          <w:rFonts w:ascii="Arial" w:eastAsiaTheme="minorHAnsi" w:hAnsi="Arial" w:cs="Arial"/>
          <w:b/>
          <w:bCs/>
          <w:i/>
          <w:iCs/>
          <w:sz w:val="22"/>
          <w:szCs w:val="22"/>
          <w:lang w:val="en"/>
        </w:rPr>
        <w:t>sui generis</w:t>
      </w:r>
      <w:r w:rsidRPr="00A00CCD">
        <w:rPr>
          <w:rFonts w:ascii="Arial" w:eastAsiaTheme="minorHAnsi" w:hAnsi="Arial" w:cs="Arial"/>
          <w:i/>
          <w:iCs/>
          <w:sz w:val="22"/>
          <w:szCs w:val="22"/>
          <w:lang w:val="en"/>
        </w:rPr>
        <w:t xml:space="preserve"> legislative arrangement that provides for community controlled decision-making, and financial benefits to Indigenous communities for the use by the wider community of their cultural products, expressions and knowledge. </w:t>
      </w:r>
    </w:p>
    <w:p w:rsidR="00A00CCD" w:rsidRPr="00A00CCD" w:rsidRDefault="00A00CCD" w:rsidP="00A00CCD">
      <w:pPr>
        <w:spacing w:after="240" w:line="360" w:lineRule="auto"/>
        <w:jc w:val="both"/>
        <w:rPr>
          <w:rFonts w:ascii="Arial" w:eastAsiaTheme="minorHAnsi" w:hAnsi="Arial" w:cs="Arial"/>
          <w:sz w:val="22"/>
          <w:szCs w:val="22"/>
          <w:lang w:eastAsia="en-US"/>
        </w:rPr>
      </w:pPr>
      <w:r w:rsidRPr="00A00CCD">
        <w:rPr>
          <w:rFonts w:ascii="Arial" w:eastAsiaTheme="minorHAnsi" w:hAnsi="Arial" w:cs="Arial"/>
          <w:sz w:val="22"/>
          <w:szCs w:val="22"/>
          <w:lang w:eastAsia="en-US"/>
        </w:rPr>
        <w:t xml:space="preserve">The </w:t>
      </w:r>
      <w:proofErr w:type="spellStart"/>
      <w:r w:rsidRPr="00A00CCD">
        <w:rPr>
          <w:rFonts w:ascii="Arial" w:eastAsiaTheme="minorHAnsi" w:hAnsi="Arial" w:cs="Arial"/>
          <w:sz w:val="22"/>
          <w:szCs w:val="22"/>
          <w:lang w:eastAsia="en-US"/>
        </w:rPr>
        <w:t>NTEU</w:t>
      </w:r>
      <w:proofErr w:type="spellEnd"/>
      <w:r w:rsidRPr="00A00CCD">
        <w:rPr>
          <w:rFonts w:ascii="Arial" w:eastAsiaTheme="minorHAnsi" w:hAnsi="Arial" w:cs="Arial"/>
          <w:sz w:val="22"/>
          <w:szCs w:val="22"/>
          <w:lang w:eastAsia="en-US"/>
        </w:rPr>
        <w:t xml:space="preserve"> endorses a position in which a </w:t>
      </w:r>
      <w:r w:rsidRPr="00A00CCD">
        <w:rPr>
          <w:rFonts w:ascii="Arial" w:eastAsiaTheme="minorHAnsi" w:hAnsi="Arial" w:cs="Arial"/>
          <w:i/>
          <w:sz w:val="22"/>
          <w:szCs w:val="22"/>
          <w:lang w:eastAsia="en-US"/>
        </w:rPr>
        <w:t>sui generis</w:t>
      </w:r>
      <w:r w:rsidRPr="00A00CCD">
        <w:rPr>
          <w:rFonts w:ascii="Arial" w:eastAsiaTheme="minorHAnsi" w:hAnsi="Arial" w:cs="Arial"/>
          <w:sz w:val="22"/>
          <w:szCs w:val="22"/>
          <w:lang w:eastAsia="en-US"/>
        </w:rPr>
        <w:t xml:space="preserve"> legislative arrangement is created to account for community control of IP decision-making. </w:t>
      </w:r>
    </w:p>
    <w:p w:rsidR="00A00CCD" w:rsidRPr="00A00CCD" w:rsidRDefault="00A00CCD" w:rsidP="00A00CCD">
      <w:pPr>
        <w:spacing w:after="240" w:line="360" w:lineRule="auto"/>
        <w:jc w:val="both"/>
        <w:rPr>
          <w:rFonts w:ascii="Arial" w:eastAsiaTheme="minorHAnsi" w:hAnsi="Arial" w:cs="Arial"/>
          <w:sz w:val="22"/>
          <w:szCs w:val="22"/>
          <w:lang w:eastAsia="en-US"/>
        </w:rPr>
      </w:pPr>
      <w:r w:rsidRPr="00A00CCD">
        <w:rPr>
          <w:rFonts w:ascii="Arial" w:eastAsiaTheme="minorHAnsi" w:hAnsi="Arial" w:cs="Arial"/>
          <w:sz w:val="22"/>
          <w:szCs w:val="22"/>
          <w:lang w:eastAsia="en-US"/>
        </w:rPr>
        <w:t xml:space="preserve">We would also urge the Productivity Commission to consider how exceptions to the broader use of copyright interact with the protection of traditional </w:t>
      </w:r>
      <w:proofErr w:type="spellStart"/>
      <w:r w:rsidRPr="00A00CCD">
        <w:rPr>
          <w:rFonts w:ascii="Arial" w:eastAsiaTheme="minorHAnsi" w:hAnsi="Arial" w:cs="Arial"/>
          <w:sz w:val="22"/>
          <w:szCs w:val="22"/>
          <w:lang w:eastAsia="en-US"/>
        </w:rPr>
        <w:t>knowledges</w:t>
      </w:r>
      <w:proofErr w:type="spellEnd"/>
      <w:r w:rsidRPr="00A00CCD">
        <w:rPr>
          <w:rFonts w:ascii="Arial" w:eastAsiaTheme="minorHAnsi" w:hAnsi="Arial" w:cs="Arial"/>
          <w:sz w:val="22"/>
          <w:szCs w:val="22"/>
          <w:lang w:eastAsia="en-US"/>
        </w:rPr>
        <w:t xml:space="preserve">. Considering the fair dealings exception over IP used for education and research purposes, we are conscious of instances where the use of traditional </w:t>
      </w:r>
      <w:proofErr w:type="spellStart"/>
      <w:r w:rsidRPr="00A00CCD">
        <w:rPr>
          <w:rFonts w:ascii="Arial" w:eastAsiaTheme="minorHAnsi" w:hAnsi="Arial" w:cs="Arial"/>
          <w:sz w:val="22"/>
          <w:szCs w:val="22"/>
          <w:lang w:eastAsia="en-US"/>
        </w:rPr>
        <w:t>knowledges</w:t>
      </w:r>
      <w:proofErr w:type="spellEnd"/>
      <w:r w:rsidRPr="00A00CCD">
        <w:rPr>
          <w:rFonts w:ascii="Arial" w:eastAsiaTheme="minorHAnsi" w:hAnsi="Arial" w:cs="Arial"/>
          <w:sz w:val="22"/>
          <w:szCs w:val="22"/>
          <w:lang w:eastAsia="en-US"/>
        </w:rPr>
        <w:t xml:space="preserve"> contained in teaching materials has been claimed by institutions as university IP.</w:t>
      </w:r>
    </w:p>
    <w:p w:rsidR="00A00CCD" w:rsidRPr="00A00CCD" w:rsidRDefault="00A00CCD" w:rsidP="00A00CCD">
      <w:pPr>
        <w:keepNext/>
        <w:keepLines/>
        <w:spacing w:before="240" w:line="276" w:lineRule="auto"/>
        <w:outlineLvl w:val="0"/>
        <w:rPr>
          <w:rFonts w:ascii="Arial" w:eastAsiaTheme="majorEastAsia" w:hAnsi="Arial" w:cstheme="majorBidi"/>
          <w:b/>
          <w:sz w:val="24"/>
          <w:szCs w:val="32"/>
          <w:lang w:eastAsia="en-US"/>
        </w:rPr>
      </w:pPr>
      <w:bookmarkStart w:id="10" w:name="_Toc436652147"/>
      <w:r w:rsidRPr="00A00CCD">
        <w:rPr>
          <w:rFonts w:ascii="Arial" w:eastAsiaTheme="majorEastAsia" w:hAnsi="Arial" w:cstheme="majorBidi"/>
          <w:b/>
          <w:sz w:val="24"/>
          <w:szCs w:val="32"/>
          <w:lang w:eastAsia="en-US"/>
        </w:rPr>
        <w:t>Australia’s international obligations</w:t>
      </w:r>
      <w:bookmarkEnd w:id="10"/>
    </w:p>
    <w:p w:rsidR="00A00CCD" w:rsidRPr="00A00CCD" w:rsidRDefault="00A00CCD" w:rsidP="00A00CCD">
      <w:pPr>
        <w:spacing w:after="240" w:line="360" w:lineRule="auto"/>
        <w:jc w:val="both"/>
        <w:rPr>
          <w:rFonts w:ascii="Arial" w:eastAsiaTheme="minorHAnsi" w:hAnsi="Arial" w:cs="Arial"/>
          <w:iCs/>
          <w:sz w:val="22"/>
          <w:szCs w:val="22"/>
          <w:lang w:eastAsia="en-US"/>
        </w:rPr>
      </w:pPr>
      <w:r w:rsidRPr="00A00CCD">
        <w:rPr>
          <w:rFonts w:ascii="Arial" w:eastAsiaTheme="minorHAnsi" w:hAnsi="Arial" w:cs="Arial"/>
          <w:sz w:val="22"/>
          <w:szCs w:val="22"/>
          <w:lang w:eastAsia="en-US"/>
        </w:rPr>
        <w:t>We note that an increasing host of international free trade agreements (</w:t>
      </w:r>
      <w:proofErr w:type="spellStart"/>
      <w:r w:rsidRPr="00A00CCD">
        <w:rPr>
          <w:rFonts w:ascii="Arial" w:eastAsiaTheme="minorHAnsi" w:hAnsi="Arial" w:cs="Arial"/>
          <w:sz w:val="22"/>
          <w:szCs w:val="22"/>
          <w:lang w:eastAsia="en-US"/>
        </w:rPr>
        <w:t>FTA</w:t>
      </w:r>
      <w:proofErr w:type="spellEnd"/>
      <w:r w:rsidRPr="00A00CCD">
        <w:rPr>
          <w:rFonts w:ascii="Arial" w:eastAsiaTheme="minorHAnsi" w:hAnsi="Arial" w:cs="Arial"/>
          <w:sz w:val="22"/>
          <w:szCs w:val="22"/>
          <w:lang w:eastAsia="en-US"/>
        </w:rPr>
        <w:t xml:space="preserve">) contain binding IP chapters, including chapters which provide the capacity for international arbitration where nation-states ‘expropriate’ various kinds of tangible and intangible modes of property, including licences and legal rights. </w:t>
      </w:r>
      <w:r w:rsidRPr="00A00CCD">
        <w:rPr>
          <w:rFonts w:ascii="Arial" w:eastAsiaTheme="minorHAnsi" w:hAnsi="Arial" w:cs="Arial"/>
          <w:iCs/>
          <w:sz w:val="22"/>
          <w:szCs w:val="22"/>
          <w:lang w:eastAsia="en-US"/>
        </w:rPr>
        <w:t>As previously found by the Productivity Commission (2010) and by Chief Justice French (2014) it is clear that m</w:t>
      </w:r>
      <w:r w:rsidRPr="00A00CCD">
        <w:rPr>
          <w:rFonts w:ascii="Arial" w:eastAsiaTheme="minorHAnsi" w:hAnsi="Arial" w:cs="Arial"/>
          <w:sz w:val="22"/>
          <w:szCs w:val="22"/>
          <w:lang w:eastAsia="en-US"/>
        </w:rPr>
        <w:t>odern trade agreements extend well beyond the reduction of tariff walls and in agreements now commonly seek to mutually constrain legislative discretion and judicial oversight, as evident in the Investor State Dispute Settlement (</w:t>
      </w:r>
      <w:proofErr w:type="spellStart"/>
      <w:r w:rsidRPr="00A00CCD">
        <w:rPr>
          <w:rFonts w:ascii="Arial" w:eastAsiaTheme="minorHAnsi" w:hAnsi="Arial" w:cs="Arial"/>
          <w:sz w:val="22"/>
          <w:szCs w:val="22"/>
          <w:lang w:eastAsia="en-US"/>
        </w:rPr>
        <w:t>ISDS</w:t>
      </w:r>
      <w:proofErr w:type="spellEnd"/>
      <w:r w:rsidRPr="00A00CCD">
        <w:rPr>
          <w:rFonts w:ascii="Arial" w:eastAsiaTheme="minorHAnsi" w:hAnsi="Arial" w:cs="Arial"/>
          <w:sz w:val="22"/>
          <w:szCs w:val="22"/>
          <w:lang w:eastAsia="en-US"/>
        </w:rPr>
        <w:t xml:space="preserve">) clauses contained in the Japan, South Korea and China </w:t>
      </w:r>
      <w:proofErr w:type="spellStart"/>
      <w:r w:rsidRPr="00A00CCD">
        <w:rPr>
          <w:rFonts w:ascii="Arial" w:eastAsiaTheme="minorHAnsi" w:hAnsi="Arial" w:cs="Arial"/>
          <w:sz w:val="22"/>
          <w:szCs w:val="22"/>
          <w:lang w:eastAsia="en-US"/>
        </w:rPr>
        <w:t>FTAs</w:t>
      </w:r>
      <w:proofErr w:type="spellEnd"/>
      <w:r w:rsidRPr="00A00CCD">
        <w:rPr>
          <w:rFonts w:ascii="Arial" w:eastAsiaTheme="minorHAnsi" w:hAnsi="Arial" w:cs="Arial"/>
          <w:sz w:val="22"/>
          <w:szCs w:val="22"/>
          <w:lang w:eastAsia="en-US"/>
        </w:rPr>
        <w:t>, as well as in the final text of the Trans Pacific Partnership (</w:t>
      </w:r>
      <w:proofErr w:type="spellStart"/>
      <w:r w:rsidRPr="00A00CCD">
        <w:rPr>
          <w:rFonts w:ascii="Arial" w:eastAsiaTheme="minorHAnsi" w:hAnsi="Arial" w:cs="Arial"/>
          <w:sz w:val="22"/>
          <w:szCs w:val="22"/>
          <w:lang w:eastAsia="en-US"/>
        </w:rPr>
        <w:t>TPP</w:t>
      </w:r>
      <w:proofErr w:type="spellEnd"/>
      <w:r w:rsidRPr="00A00CCD">
        <w:rPr>
          <w:rFonts w:ascii="Arial" w:eastAsiaTheme="minorHAnsi" w:hAnsi="Arial" w:cs="Arial"/>
          <w:sz w:val="22"/>
          <w:szCs w:val="22"/>
          <w:lang w:eastAsia="en-US"/>
        </w:rPr>
        <w:t>) agreement.</w:t>
      </w:r>
      <w:r w:rsidRPr="00A00CCD">
        <w:rPr>
          <w:rFonts w:ascii="Arial" w:eastAsiaTheme="minorHAnsi" w:hAnsi="Arial" w:cs="Arial"/>
          <w:iCs/>
          <w:sz w:val="22"/>
          <w:szCs w:val="22"/>
          <w:lang w:eastAsia="en-US"/>
        </w:rPr>
        <w:t xml:space="preserve"> </w:t>
      </w:r>
    </w:p>
    <w:p w:rsidR="00A00CCD" w:rsidRPr="00A00CCD" w:rsidRDefault="00A00CCD" w:rsidP="00A00CCD">
      <w:pPr>
        <w:spacing w:after="240" w:line="360" w:lineRule="auto"/>
        <w:jc w:val="both"/>
        <w:rPr>
          <w:rFonts w:ascii="Arial" w:eastAsiaTheme="minorHAnsi" w:hAnsi="Arial" w:cs="Arial"/>
          <w:iCs/>
          <w:sz w:val="22"/>
          <w:szCs w:val="22"/>
          <w:lang w:eastAsia="en-US"/>
        </w:rPr>
      </w:pPr>
      <w:r w:rsidRPr="00A00CCD">
        <w:rPr>
          <w:rFonts w:ascii="Arial" w:eastAsiaTheme="minorHAnsi" w:hAnsi="Arial" w:cs="Arial"/>
          <w:sz w:val="22"/>
          <w:szCs w:val="22"/>
          <w:lang w:eastAsia="en-US"/>
        </w:rPr>
        <w:t xml:space="preserve">According to </w:t>
      </w:r>
      <w:proofErr w:type="spellStart"/>
      <w:r w:rsidRPr="00A00CCD">
        <w:rPr>
          <w:rFonts w:ascii="Arial" w:eastAsiaTheme="minorHAnsi" w:hAnsi="Arial" w:cs="Arial"/>
          <w:sz w:val="22"/>
          <w:szCs w:val="22"/>
          <w:lang w:eastAsia="en-US"/>
        </w:rPr>
        <w:t>Weatherall</w:t>
      </w:r>
      <w:proofErr w:type="spellEnd"/>
      <w:r w:rsidRPr="00A00CCD">
        <w:rPr>
          <w:rFonts w:ascii="Arial" w:eastAsiaTheme="minorHAnsi" w:hAnsi="Arial" w:cs="Arial"/>
          <w:sz w:val="22"/>
          <w:szCs w:val="22"/>
          <w:lang w:eastAsia="en-US"/>
        </w:rPr>
        <w:t xml:space="preserve"> (2015), leaked IP chapters from the </w:t>
      </w:r>
      <w:proofErr w:type="spellStart"/>
      <w:r w:rsidRPr="00A00CCD">
        <w:rPr>
          <w:rFonts w:ascii="Arial" w:eastAsiaTheme="minorHAnsi" w:hAnsi="Arial" w:cs="Arial"/>
          <w:sz w:val="22"/>
          <w:szCs w:val="22"/>
          <w:lang w:eastAsia="en-US"/>
        </w:rPr>
        <w:t>TPP</w:t>
      </w:r>
      <w:proofErr w:type="spellEnd"/>
      <w:r w:rsidRPr="00A00CCD">
        <w:rPr>
          <w:rFonts w:ascii="Arial" w:eastAsiaTheme="minorHAnsi" w:hAnsi="Arial" w:cs="Arial"/>
          <w:sz w:val="22"/>
          <w:szCs w:val="22"/>
          <w:lang w:eastAsia="en-US"/>
        </w:rPr>
        <w:t xml:space="preserve"> may have removed or watered down the most extreme elements of the original US IP proposals, but the Chapter still contains too few safeguards for defendants and third parties. </w:t>
      </w:r>
      <w:proofErr w:type="spellStart"/>
      <w:r w:rsidRPr="00A00CCD">
        <w:rPr>
          <w:rFonts w:ascii="Arial" w:eastAsiaTheme="minorHAnsi" w:hAnsi="Arial" w:cs="Arial"/>
          <w:sz w:val="22"/>
          <w:szCs w:val="22"/>
          <w:lang w:eastAsia="en-US"/>
        </w:rPr>
        <w:t>Weatherall</w:t>
      </w:r>
      <w:proofErr w:type="spellEnd"/>
      <w:r w:rsidRPr="00A00CCD">
        <w:rPr>
          <w:rFonts w:ascii="Arial" w:eastAsiaTheme="minorHAnsi" w:hAnsi="Arial" w:cs="Arial"/>
          <w:sz w:val="22"/>
          <w:szCs w:val="22"/>
          <w:lang w:eastAsia="en-US"/>
        </w:rPr>
        <w:t xml:space="preserve"> also has concluded that the </w:t>
      </w:r>
      <w:proofErr w:type="spellStart"/>
      <w:r w:rsidRPr="00A00CCD">
        <w:rPr>
          <w:rFonts w:ascii="Arial" w:eastAsiaTheme="minorHAnsi" w:hAnsi="Arial" w:cs="Arial"/>
          <w:sz w:val="22"/>
          <w:szCs w:val="22"/>
          <w:lang w:eastAsia="en-US"/>
        </w:rPr>
        <w:t>TPP</w:t>
      </w:r>
      <w:proofErr w:type="spellEnd"/>
      <w:r w:rsidRPr="00A00CCD">
        <w:rPr>
          <w:rFonts w:ascii="Arial" w:eastAsiaTheme="minorHAnsi" w:hAnsi="Arial" w:cs="Arial"/>
          <w:sz w:val="22"/>
          <w:szCs w:val="22"/>
          <w:lang w:eastAsia="en-US"/>
        </w:rPr>
        <w:t xml:space="preserve"> blocks copyright reform by locking in </w:t>
      </w:r>
      <w:proofErr w:type="spellStart"/>
      <w:r w:rsidRPr="00A00CCD">
        <w:rPr>
          <w:rFonts w:ascii="Arial" w:eastAsiaTheme="minorHAnsi" w:hAnsi="Arial" w:cs="Arial"/>
          <w:sz w:val="22"/>
          <w:szCs w:val="22"/>
          <w:lang w:eastAsia="en-US"/>
        </w:rPr>
        <w:t>internet</w:t>
      </w:r>
      <w:proofErr w:type="spellEnd"/>
      <w:r w:rsidRPr="00A00CCD">
        <w:rPr>
          <w:rFonts w:ascii="Arial" w:eastAsiaTheme="minorHAnsi" w:hAnsi="Arial" w:cs="Arial"/>
          <w:sz w:val="22"/>
          <w:szCs w:val="22"/>
          <w:lang w:eastAsia="en-US"/>
        </w:rPr>
        <w:t xml:space="preserve"> retransmission provisions.</w:t>
      </w:r>
      <w:r w:rsidRPr="00A00CCD">
        <w:rPr>
          <w:rFonts w:ascii="Arial" w:eastAsiaTheme="minorHAnsi" w:hAnsi="Arial" w:cs="Arial"/>
          <w:iCs/>
          <w:sz w:val="22"/>
          <w:szCs w:val="22"/>
          <w:lang w:eastAsia="en-US"/>
        </w:rPr>
        <w:t xml:space="preserve"> </w:t>
      </w:r>
    </w:p>
    <w:p w:rsidR="00A00CCD" w:rsidRPr="00A00CCD" w:rsidRDefault="00A00CCD" w:rsidP="00A00CCD">
      <w:pPr>
        <w:spacing w:after="240" w:line="360" w:lineRule="auto"/>
        <w:jc w:val="both"/>
        <w:rPr>
          <w:rFonts w:ascii="Arial" w:eastAsiaTheme="minorHAnsi" w:hAnsi="Arial" w:cs="Arial"/>
          <w:iCs/>
          <w:sz w:val="22"/>
          <w:szCs w:val="22"/>
          <w:lang w:eastAsia="en-US"/>
        </w:rPr>
      </w:pPr>
      <w:r w:rsidRPr="00A00CCD">
        <w:rPr>
          <w:rFonts w:ascii="Arial" w:eastAsiaTheme="minorHAnsi" w:hAnsi="Arial" w:cs="Arial"/>
          <w:iCs/>
          <w:sz w:val="22"/>
          <w:szCs w:val="22"/>
          <w:lang w:eastAsia="en-US"/>
        </w:rPr>
        <w:t xml:space="preserve">In this light, the </w:t>
      </w:r>
      <w:proofErr w:type="spellStart"/>
      <w:r w:rsidRPr="00A00CCD">
        <w:rPr>
          <w:rFonts w:ascii="Arial" w:eastAsiaTheme="minorHAnsi" w:hAnsi="Arial" w:cs="Arial"/>
          <w:iCs/>
          <w:sz w:val="22"/>
          <w:szCs w:val="22"/>
          <w:lang w:eastAsia="en-US"/>
        </w:rPr>
        <w:t>NTEU</w:t>
      </w:r>
      <w:proofErr w:type="spellEnd"/>
      <w:r w:rsidRPr="00A00CCD">
        <w:rPr>
          <w:rFonts w:ascii="Arial" w:eastAsiaTheme="minorHAnsi" w:hAnsi="Arial" w:cs="Arial"/>
          <w:iCs/>
          <w:sz w:val="22"/>
          <w:szCs w:val="22"/>
          <w:lang w:eastAsia="en-US"/>
        </w:rPr>
        <w:t xml:space="preserve"> </w:t>
      </w:r>
      <w:r w:rsidRPr="00A00CCD">
        <w:rPr>
          <w:rFonts w:ascii="Arial" w:eastAsiaTheme="minorHAnsi" w:hAnsi="Arial" w:cs="Arial"/>
          <w:sz w:val="22"/>
          <w:szCs w:val="22"/>
          <w:lang w:eastAsia="en-US"/>
        </w:rPr>
        <w:t>agrees with the Harper Review that, “</w:t>
      </w:r>
      <w:r w:rsidRPr="00A00CCD">
        <w:rPr>
          <w:rFonts w:ascii="Arial" w:eastAsiaTheme="minorHAnsi" w:hAnsi="Arial" w:cs="Arial"/>
          <w:i/>
          <w:sz w:val="22"/>
          <w:szCs w:val="22"/>
          <w:lang w:eastAsia="en-US"/>
        </w:rPr>
        <w:t>IP rights can help to break down barriers to entry but, when applied inappropriately, can also reduce exposure to competition and erect long-lasting barriers to entry that fail to serve Australia’s interests over the longer term. This risk is especially prevalent in commitments entered into as part of international trade agreements</w:t>
      </w:r>
      <w:r w:rsidRPr="00A00CCD">
        <w:rPr>
          <w:rFonts w:ascii="Arial" w:eastAsiaTheme="minorHAnsi" w:hAnsi="Arial" w:cs="Arial"/>
          <w:sz w:val="22"/>
          <w:szCs w:val="22"/>
          <w:lang w:eastAsia="en-US"/>
        </w:rPr>
        <w:t>.”</w:t>
      </w:r>
    </w:p>
    <w:p w:rsidR="00A00CCD" w:rsidRPr="00A00CCD" w:rsidRDefault="00A00CCD" w:rsidP="00A00CCD">
      <w:pPr>
        <w:spacing w:after="240" w:line="360" w:lineRule="auto"/>
        <w:jc w:val="both"/>
        <w:rPr>
          <w:rFonts w:ascii="Arial" w:eastAsiaTheme="minorHAnsi" w:hAnsi="Arial" w:cs="Arial"/>
          <w:sz w:val="22"/>
          <w:szCs w:val="22"/>
          <w:lang w:eastAsia="en-US"/>
        </w:rPr>
      </w:pPr>
      <w:r w:rsidRPr="00A00CCD">
        <w:rPr>
          <w:rFonts w:ascii="Arial" w:eastAsiaTheme="minorHAnsi" w:hAnsi="Arial" w:cs="Arial"/>
          <w:sz w:val="22"/>
          <w:szCs w:val="22"/>
          <w:lang w:eastAsia="en-US"/>
        </w:rPr>
        <w:t xml:space="preserve">Future principles in relation to Australia’s international IP obligations should be guided by reform to Commonwealth treaty-making processes that introduce greater transparency as well as greater democratic accountability. In lieu of such reforms, it is fundamental that all trade agreements with implications for Australia’s IP framework and which include an </w:t>
      </w:r>
      <w:proofErr w:type="spellStart"/>
      <w:r w:rsidRPr="00A00CCD">
        <w:rPr>
          <w:rFonts w:ascii="Arial" w:eastAsiaTheme="minorHAnsi" w:hAnsi="Arial" w:cs="Arial"/>
          <w:sz w:val="22"/>
          <w:szCs w:val="22"/>
          <w:lang w:eastAsia="en-US"/>
        </w:rPr>
        <w:t>ISDS</w:t>
      </w:r>
      <w:proofErr w:type="spellEnd"/>
      <w:r w:rsidRPr="00A00CCD">
        <w:rPr>
          <w:rFonts w:ascii="Arial" w:eastAsiaTheme="minorHAnsi" w:hAnsi="Arial" w:cs="Arial"/>
          <w:sz w:val="22"/>
          <w:szCs w:val="22"/>
          <w:lang w:eastAsia="en-US"/>
        </w:rPr>
        <w:t xml:space="preserve"> clause must first acquire some kind of demonstrable public mandate from the Australian people. All trade agreements that deal with IP should include carve-outs and protections for defendants and third parties legitimately involved in </w:t>
      </w:r>
      <w:r w:rsidRPr="00A00CCD">
        <w:rPr>
          <w:rFonts w:ascii="Arial" w:eastAsiaTheme="minorHAnsi" w:hAnsi="Arial" w:cs="Arial"/>
          <w:iCs/>
          <w:sz w:val="22"/>
          <w:szCs w:val="22"/>
          <w:lang w:eastAsia="en-US"/>
        </w:rPr>
        <w:t>study, research and education</w:t>
      </w:r>
      <w:r w:rsidRPr="00A00CCD">
        <w:rPr>
          <w:rFonts w:ascii="Arial" w:eastAsiaTheme="minorHAnsi" w:hAnsi="Arial" w:cs="Arial"/>
          <w:sz w:val="22"/>
          <w:szCs w:val="22"/>
          <w:lang w:eastAsia="en-US"/>
        </w:rPr>
        <w:t>.</w:t>
      </w:r>
    </w:p>
    <w:p w:rsidR="00A00CCD" w:rsidRPr="00A00CCD" w:rsidRDefault="00A00CCD" w:rsidP="00A00CCD">
      <w:pPr>
        <w:spacing w:after="240" w:line="360" w:lineRule="auto"/>
        <w:jc w:val="both"/>
        <w:rPr>
          <w:rFonts w:ascii="Arial" w:eastAsiaTheme="minorHAnsi" w:hAnsi="Arial" w:cs="Arial"/>
          <w:sz w:val="22"/>
          <w:szCs w:val="22"/>
          <w:lang w:eastAsia="en-US"/>
        </w:rPr>
      </w:pPr>
      <w:r w:rsidRPr="00A00CCD">
        <w:rPr>
          <w:rFonts w:ascii="Arial" w:eastAsiaTheme="minorHAnsi" w:hAnsi="Arial" w:cs="Arial"/>
          <w:sz w:val="22"/>
          <w:szCs w:val="22"/>
          <w:lang w:eastAsia="en-US"/>
        </w:rPr>
        <w:lastRenderedPageBreak/>
        <w:t>In conclusion, there are numerous risks in any proposal to reform Australian IP arrangements to shape or meet the needs of:</w:t>
      </w:r>
    </w:p>
    <w:p w:rsidR="00A00CCD" w:rsidRPr="00A00CCD" w:rsidRDefault="00A00CCD" w:rsidP="00A00CCD">
      <w:pPr>
        <w:numPr>
          <w:ilvl w:val="0"/>
          <w:numId w:val="27"/>
        </w:numPr>
        <w:spacing w:before="100" w:beforeAutospacing="1" w:after="100" w:afterAutospacing="1" w:line="360" w:lineRule="auto"/>
        <w:jc w:val="both"/>
        <w:rPr>
          <w:rFonts w:ascii="Arial" w:hAnsi="Arial" w:cs="Arial"/>
          <w:sz w:val="22"/>
          <w:szCs w:val="22"/>
        </w:rPr>
      </w:pPr>
      <w:r w:rsidRPr="00A00CCD">
        <w:rPr>
          <w:rFonts w:ascii="Arial" w:hAnsi="Arial" w:cs="Arial"/>
          <w:sz w:val="22"/>
          <w:szCs w:val="22"/>
        </w:rPr>
        <w:t>research and innovation, including freedom to build on existing innovation</w:t>
      </w:r>
    </w:p>
    <w:p w:rsidR="00A00CCD" w:rsidRPr="00A00CCD" w:rsidRDefault="00A00CCD" w:rsidP="00A00CCD">
      <w:pPr>
        <w:numPr>
          <w:ilvl w:val="0"/>
          <w:numId w:val="27"/>
        </w:numPr>
        <w:spacing w:before="100" w:beforeAutospacing="1" w:after="100" w:afterAutospacing="1" w:line="360" w:lineRule="auto"/>
        <w:jc w:val="both"/>
        <w:rPr>
          <w:rFonts w:ascii="Arial" w:hAnsi="Arial" w:cs="Arial"/>
          <w:sz w:val="22"/>
          <w:szCs w:val="22"/>
        </w:rPr>
      </w:pPr>
      <w:r w:rsidRPr="00A00CCD">
        <w:rPr>
          <w:rFonts w:ascii="Arial" w:hAnsi="Arial" w:cs="Arial"/>
          <w:sz w:val="22"/>
          <w:szCs w:val="22"/>
        </w:rPr>
        <w:t>access to and cost of goods and services</w:t>
      </w:r>
    </w:p>
    <w:p w:rsidR="00A00CCD" w:rsidRPr="00A00CCD" w:rsidRDefault="00A00CCD" w:rsidP="00A00CCD">
      <w:pPr>
        <w:numPr>
          <w:ilvl w:val="0"/>
          <w:numId w:val="27"/>
        </w:numPr>
        <w:spacing w:before="100" w:beforeAutospacing="1" w:after="100" w:afterAutospacing="1" w:line="360" w:lineRule="auto"/>
        <w:jc w:val="both"/>
        <w:rPr>
          <w:rFonts w:ascii="Arial" w:hAnsi="Arial" w:cs="Arial"/>
          <w:sz w:val="22"/>
          <w:szCs w:val="22"/>
        </w:rPr>
      </w:pPr>
      <w:r w:rsidRPr="00A00CCD">
        <w:rPr>
          <w:rFonts w:ascii="Arial" w:hAnsi="Arial" w:cs="Arial"/>
          <w:sz w:val="22"/>
          <w:szCs w:val="22"/>
        </w:rPr>
        <w:t>competition, trade and investment.</w:t>
      </w:r>
    </w:p>
    <w:p w:rsidR="00A00CCD" w:rsidRPr="00A00CCD" w:rsidRDefault="00A00CCD" w:rsidP="00A00CCD">
      <w:pPr>
        <w:spacing w:after="200" w:line="276" w:lineRule="auto"/>
        <w:jc w:val="both"/>
        <w:rPr>
          <w:rFonts w:ascii="Arial" w:eastAsiaTheme="minorHAnsi" w:hAnsi="Arial" w:cs="Arial"/>
          <w:sz w:val="22"/>
          <w:szCs w:val="22"/>
          <w:lang w:eastAsia="en-US"/>
        </w:rPr>
      </w:pPr>
      <w:r w:rsidRPr="00A00CCD">
        <w:rPr>
          <w:rFonts w:ascii="Arial" w:eastAsiaTheme="minorHAnsi" w:hAnsi="Arial" w:cs="Arial"/>
          <w:sz w:val="22"/>
          <w:szCs w:val="22"/>
          <w:lang w:eastAsia="en-US"/>
        </w:rPr>
        <w:t>We are especially concerned about how proposed reforms may in fact dis-incentivise the creation of university IP, particularly through favouring the interests and rights of commercial research partners over the interests of creators, and over the necessity to protect the exercise of academic freedoms in the university sector, such as through the freedom to investigate, exchange and communicate research. We would welcome any opportunity to discuss our submission with the Productivity Commission.</w:t>
      </w:r>
      <w:r w:rsidRPr="00A00CCD">
        <w:rPr>
          <w:rFonts w:ascii="Arial" w:eastAsiaTheme="minorHAnsi" w:hAnsi="Arial" w:cs="Arial"/>
          <w:sz w:val="22"/>
          <w:szCs w:val="22"/>
          <w:lang w:eastAsia="en-US"/>
        </w:rPr>
        <w:br w:type="page"/>
      </w:r>
    </w:p>
    <w:p w:rsidR="00A00CCD" w:rsidRPr="00A00CCD" w:rsidRDefault="00A00CCD" w:rsidP="00A00CCD">
      <w:pPr>
        <w:keepNext/>
        <w:keepLines/>
        <w:spacing w:before="240" w:line="276" w:lineRule="auto"/>
        <w:outlineLvl w:val="0"/>
        <w:rPr>
          <w:rFonts w:ascii="Arial" w:eastAsiaTheme="majorEastAsia" w:hAnsi="Arial" w:cstheme="majorBidi"/>
          <w:b/>
          <w:sz w:val="24"/>
          <w:szCs w:val="32"/>
          <w:lang w:eastAsia="en-US"/>
        </w:rPr>
      </w:pPr>
      <w:bookmarkStart w:id="11" w:name="_Toc436652148"/>
      <w:r w:rsidRPr="00A00CCD">
        <w:rPr>
          <w:rFonts w:ascii="Arial" w:eastAsiaTheme="majorEastAsia" w:hAnsi="Arial" w:cstheme="majorBidi"/>
          <w:b/>
          <w:sz w:val="24"/>
          <w:szCs w:val="32"/>
          <w:lang w:eastAsia="en-US"/>
        </w:rPr>
        <w:lastRenderedPageBreak/>
        <w:t>References</w:t>
      </w:r>
      <w:bookmarkEnd w:id="11"/>
    </w:p>
    <w:p w:rsidR="00A00CCD" w:rsidRPr="00A00CCD" w:rsidRDefault="00A00CCD" w:rsidP="00A00CCD">
      <w:pPr>
        <w:spacing w:after="240" w:line="360" w:lineRule="auto"/>
        <w:jc w:val="both"/>
        <w:rPr>
          <w:rFonts w:ascii="Arial" w:eastAsiaTheme="minorHAnsi" w:hAnsi="Arial" w:cs="Arial"/>
          <w:i/>
          <w:iCs/>
          <w:lang w:eastAsia="en-US"/>
        </w:rPr>
      </w:pPr>
    </w:p>
    <w:p w:rsidR="00A00CCD" w:rsidRPr="00A00CCD" w:rsidRDefault="00A00CCD" w:rsidP="00A00CCD">
      <w:pPr>
        <w:spacing w:after="240"/>
        <w:jc w:val="both"/>
        <w:rPr>
          <w:rFonts w:ascii="Arial" w:eastAsiaTheme="minorHAnsi" w:hAnsi="Arial" w:cs="Arial"/>
          <w:i/>
          <w:iCs/>
          <w:sz w:val="22"/>
          <w:szCs w:val="22"/>
          <w:lang w:eastAsia="en-US"/>
        </w:rPr>
      </w:pPr>
      <w:r w:rsidRPr="00A00CCD">
        <w:rPr>
          <w:rFonts w:ascii="Arial" w:eastAsiaTheme="minorHAnsi" w:hAnsi="Arial" w:cs="Arial"/>
          <w:i/>
          <w:sz w:val="22"/>
          <w:szCs w:val="22"/>
          <w:lang w:eastAsia="en-US"/>
        </w:rPr>
        <w:t>Copyright Act 1968</w:t>
      </w:r>
    </w:p>
    <w:p w:rsidR="00A00CCD" w:rsidRPr="00A00CCD" w:rsidRDefault="00A00CCD" w:rsidP="00A00CCD">
      <w:pPr>
        <w:spacing w:after="240"/>
        <w:jc w:val="both"/>
        <w:rPr>
          <w:rFonts w:ascii="Arial" w:eastAsiaTheme="minorHAnsi" w:hAnsi="Arial" w:cs="Arial"/>
          <w:b/>
          <w:sz w:val="22"/>
          <w:szCs w:val="22"/>
          <w:lang w:eastAsia="en-US"/>
        </w:rPr>
      </w:pPr>
      <w:r w:rsidRPr="00A00CCD">
        <w:rPr>
          <w:rFonts w:ascii="Arial" w:eastAsiaTheme="minorHAnsi" w:hAnsi="Arial" w:cs="Arial"/>
          <w:i/>
          <w:iCs/>
          <w:sz w:val="22"/>
          <w:szCs w:val="22"/>
          <w:lang w:eastAsia="en-US"/>
        </w:rPr>
        <w:t xml:space="preserve">University of Western Australia </w:t>
      </w:r>
      <w:r w:rsidRPr="00A00CCD">
        <w:rPr>
          <w:rFonts w:ascii="Arial" w:eastAsiaTheme="minorHAnsi" w:hAnsi="Arial" w:cs="Arial"/>
          <w:sz w:val="22"/>
          <w:szCs w:val="22"/>
          <w:lang w:eastAsia="en-US"/>
        </w:rPr>
        <w:t>v</w:t>
      </w:r>
      <w:r w:rsidRPr="00A00CCD">
        <w:rPr>
          <w:rFonts w:ascii="Arial" w:eastAsiaTheme="minorHAnsi" w:hAnsi="Arial" w:cs="Arial"/>
          <w:i/>
          <w:iCs/>
          <w:sz w:val="22"/>
          <w:szCs w:val="22"/>
          <w:lang w:eastAsia="en-US"/>
        </w:rPr>
        <w:t xml:space="preserve"> Gray (No 20)</w:t>
      </w:r>
      <w:r w:rsidRPr="00A00CCD">
        <w:rPr>
          <w:rFonts w:ascii="Arial" w:eastAsiaTheme="minorHAnsi" w:hAnsi="Arial" w:cs="Arial"/>
          <w:sz w:val="22"/>
          <w:szCs w:val="22"/>
          <w:lang w:eastAsia="en-US"/>
        </w:rPr>
        <w:t xml:space="preserve"> (2008) 246 </w:t>
      </w:r>
      <w:proofErr w:type="spellStart"/>
      <w:r w:rsidRPr="00A00CCD">
        <w:rPr>
          <w:rFonts w:ascii="Arial" w:eastAsiaTheme="minorHAnsi" w:hAnsi="Arial" w:cs="Arial"/>
          <w:sz w:val="22"/>
          <w:szCs w:val="22"/>
          <w:lang w:eastAsia="en-US"/>
        </w:rPr>
        <w:t>ALR</w:t>
      </w:r>
      <w:proofErr w:type="spellEnd"/>
      <w:r w:rsidRPr="00A00CCD">
        <w:rPr>
          <w:rFonts w:ascii="Arial" w:eastAsiaTheme="minorHAnsi" w:hAnsi="Arial" w:cs="Arial"/>
          <w:sz w:val="22"/>
          <w:szCs w:val="22"/>
          <w:lang w:eastAsia="en-US"/>
        </w:rPr>
        <w:t xml:space="preserve"> 603</w:t>
      </w:r>
    </w:p>
    <w:p w:rsidR="00A00CCD" w:rsidRPr="00A00CCD" w:rsidRDefault="00A00CCD" w:rsidP="00A00CCD">
      <w:pPr>
        <w:spacing w:after="240"/>
        <w:jc w:val="both"/>
        <w:rPr>
          <w:rFonts w:ascii="Arial" w:eastAsiaTheme="minorHAnsi" w:hAnsi="Arial" w:cs="Arial"/>
          <w:sz w:val="22"/>
          <w:szCs w:val="22"/>
          <w:lang w:eastAsia="en-US"/>
        </w:rPr>
      </w:pPr>
      <w:r w:rsidRPr="00A00CCD">
        <w:rPr>
          <w:rFonts w:ascii="Arial" w:eastAsiaTheme="minorHAnsi" w:hAnsi="Arial" w:cs="Arial"/>
          <w:sz w:val="22"/>
          <w:szCs w:val="22"/>
          <w:lang w:eastAsia="en-US"/>
        </w:rPr>
        <w:t xml:space="preserve">Copyright Law Review Committee (1959) </w:t>
      </w:r>
      <w:r w:rsidRPr="00A00CCD">
        <w:rPr>
          <w:rFonts w:ascii="Arial" w:eastAsiaTheme="minorHAnsi" w:hAnsi="Arial" w:cs="Arial"/>
          <w:i/>
          <w:sz w:val="22"/>
          <w:szCs w:val="22"/>
          <w:lang w:eastAsia="en-US"/>
        </w:rPr>
        <w:t>Report of the Committee Appointed by the Attorney- General of the Commonwealth to Consider what Alterations are Desirable in the Copyright Law of the Commonwealth (Spicer Committee Report)</w:t>
      </w:r>
      <w:r w:rsidRPr="00A00CCD">
        <w:rPr>
          <w:rFonts w:ascii="Arial" w:eastAsiaTheme="minorHAnsi" w:hAnsi="Arial" w:cs="Arial"/>
          <w:sz w:val="22"/>
          <w:szCs w:val="22"/>
          <w:lang w:eastAsia="en-US"/>
        </w:rPr>
        <w:t>, Commonwealth Government Printer, Canberra.</w:t>
      </w:r>
    </w:p>
    <w:p w:rsidR="00A00CCD" w:rsidRPr="00A00CCD" w:rsidRDefault="00A00CCD" w:rsidP="00A00CCD">
      <w:pPr>
        <w:spacing w:after="240"/>
        <w:jc w:val="both"/>
        <w:rPr>
          <w:rFonts w:ascii="Arial" w:eastAsiaTheme="minorHAnsi" w:hAnsi="Arial" w:cs="Arial"/>
          <w:sz w:val="22"/>
          <w:szCs w:val="22"/>
          <w:lang w:eastAsia="en-US"/>
        </w:rPr>
      </w:pPr>
      <w:r w:rsidRPr="00A00CCD">
        <w:rPr>
          <w:rFonts w:ascii="Arial" w:eastAsiaTheme="minorHAnsi" w:hAnsi="Arial" w:cs="Arial"/>
          <w:sz w:val="22"/>
          <w:szCs w:val="22"/>
          <w:lang w:eastAsia="en-US"/>
        </w:rPr>
        <w:t xml:space="preserve">Department of Education (2015) </w:t>
      </w:r>
      <w:r w:rsidRPr="00A00CCD">
        <w:rPr>
          <w:rFonts w:ascii="Arial" w:eastAsiaTheme="minorHAnsi" w:hAnsi="Arial" w:cs="Arial"/>
          <w:i/>
          <w:sz w:val="22"/>
          <w:szCs w:val="22"/>
          <w:lang w:eastAsia="en-US"/>
        </w:rPr>
        <w:t>Boosting Commercial Returns from Research</w:t>
      </w:r>
      <w:r w:rsidRPr="00A00CCD">
        <w:rPr>
          <w:rFonts w:ascii="Arial" w:eastAsiaTheme="minorHAnsi" w:hAnsi="Arial" w:cs="Arial"/>
          <w:sz w:val="22"/>
          <w:szCs w:val="22"/>
          <w:lang w:eastAsia="en-US"/>
        </w:rPr>
        <w:t xml:space="preserve"> strategy, https://www.education.gov.au/news/launch-strategy-boosting-commercial-returns-research</w:t>
      </w:r>
    </w:p>
    <w:p w:rsidR="00A00CCD" w:rsidRPr="00A00CCD" w:rsidRDefault="00A00CCD" w:rsidP="00A00CCD">
      <w:pPr>
        <w:spacing w:after="240"/>
        <w:jc w:val="both"/>
        <w:rPr>
          <w:rFonts w:ascii="Arial" w:eastAsia="DaxlinePro-Light" w:hAnsi="Arial" w:cs="Arial"/>
          <w:color w:val="000000"/>
          <w:sz w:val="22"/>
          <w:szCs w:val="22"/>
          <w:lang w:eastAsia="en-US"/>
        </w:rPr>
      </w:pPr>
      <w:r w:rsidRPr="00A00CCD">
        <w:rPr>
          <w:rFonts w:ascii="Arial" w:eastAsia="DaxlinePro-Light" w:hAnsi="Arial" w:cs="Arial"/>
          <w:color w:val="000000"/>
          <w:sz w:val="22"/>
          <w:szCs w:val="22"/>
          <w:lang w:eastAsia="en-US"/>
        </w:rPr>
        <w:t>Department of Industry, Innovation Science and Research (</w:t>
      </w:r>
      <w:proofErr w:type="spellStart"/>
      <w:r w:rsidRPr="00A00CCD">
        <w:rPr>
          <w:rFonts w:ascii="Arial" w:eastAsia="DaxlinePro-Light" w:hAnsi="Arial" w:cs="Arial"/>
          <w:color w:val="000000"/>
          <w:sz w:val="22"/>
          <w:szCs w:val="22"/>
          <w:lang w:eastAsia="en-US"/>
        </w:rPr>
        <w:t>DIISR</w:t>
      </w:r>
      <w:proofErr w:type="spellEnd"/>
      <w:r w:rsidRPr="00A00CCD">
        <w:rPr>
          <w:rFonts w:ascii="Arial" w:eastAsia="DaxlinePro-Light" w:hAnsi="Arial" w:cs="Arial"/>
          <w:color w:val="000000"/>
          <w:sz w:val="22"/>
          <w:szCs w:val="22"/>
          <w:lang w:eastAsia="en-US"/>
        </w:rPr>
        <w:t xml:space="preserve">) (2011) </w:t>
      </w:r>
      <w:r w:rsidRPr="00A00CCD">
        <w:rPr>
          <w:rFonts w:ascii="Arial" w:hAnsi="Arial" w:cs="Arial"/>
          <w:bCs/>
          <w:i/>
          <w:kern w:val="36"/>
          <w:sz w:val="22"/>
          <w:szCs w:val="22"/>
        </w:rPr>
        <w:t>Focusing Australia’s Publicly Funded Research Review:</w:t>
      </w:r>
      <w:r w:rsidRPr="00A00CCD">
        <w:rPr>
          <w:rFonts w:ascii="Arial" w:eastAsia="DaxlinePro-Light" w:hAnsi="Arial" w:cs="Arial"/>
          <w:i/>
          <w:color w:val="000000"/>
          <w:sz w:val="22"/>
          <w:szCs w:val="22"/>
          <w:lang w:eastAsia="en-US"/>
        </w:rPr>
        <w:t xml:space="preserve"> Maximising the Innovation Dividend: Review Key Findings and Future Directions, </w:t>
      </w:r>
      <w:proofErr w:type="spellStart"/>
      <w:r w:rsidRPr="00A00CCD">
        <w:rPr>
          <w:rFonts w:ascii="Arial" w:eastAsia="DaxlinePro-Light" w:hAnsi="Arial" w:cs="Arial"/>
          <w:color w:val="000000"/>
          <w:sz w:val="22"/>
          <w:szCs w:val="22"/>
          <w:lang w:eastAsia="en-US"/>
        </w:rPr>
        <w:t>DIISR</w:t>
      </w:r>
      <w:proofErr w:type="spellEnd"/>
      <w:r w:rsidRPr="00A00CCD">
        <w:rPr>
          <w:rFonts w:ascii="Arial" w:eastAsia="DaxlinePro-Light" w:hAnsi="Arial" w:cs="Arial"/>
          <w:color w:val="000000"/>
          <w:sz w:val="22"/>
          <w:szCs w:val="22"/>
          <w:lang w:eastAsia="en-US"/>
        </w:rPr>
        <w:t>, Canberra.</w:t>
      </w:r>
    </w:p>
    <w:p w:rsidR="00A00CCD" w:rsidRPr="00A00CCD" w:rsidRDefault="00A00CCD" w:rsidP="00A00CCD">
      <w:pPr>
        <w:spacing w:after="240"/>
        <w:jc w:val="both"/>
        <w:rPr>
          <w:rFonts w:ascii="Arial" w:eastAsiaTheme="minorHAnsi" w:hAnsi="Arial" w:cs="Arial"/>
          <w:sz w:val="22"/>
          <w:szCs w:val="22"/>
          <w:lang w:eastAsia="en-US"/>
        </w:rPr>
      </w:pPr>
      <w:r w:rsidRPr="00A00CCD">
        <w:rPr>
          <w:rFonts w:ascii="Arial" w:eastAsiaTheme="minorHAnsi" w:hAnsi="Arial" w:cs="Arial"/>
          <w:sz w:val="22"/>
          <w:szCs w:val="22"/>
          <w:lang w:eastAsia="en-US"/>
        </w:rPr>
        <w:t xml:space="preserve">Blind, Knut (2012) ‘The influence of regulations on innovation: A quantitative assessment for OECD Countries’, </w:t>
      </w:r>
      <w:r w:rsidRPr="00A00CCD">
        <w:rPr>
          <w:rFonts w:ascii="Arial" w:eastAsiaTheme="minorHAnsi" w:hAnsi="Arial" w:cs="Arial"/>
          <w:i/>
          <w:sz w:val="22"/>
          <w:szCs w:val="22"/>
          <w:lang w:eastAsia="en-US"/>
        </w:rPr>
        <w:t>Research Policy</w:t>
      </w:r>
      <w:r w:rsidRPr="00A00CCD">
        <w:rPr>
          <w:rFonts w:ascii="Arial" w:eastAsiaTheme="minorHAnsi" w:hAnsi="Arial" w:cs="Arial"/>
          <w:sz w:val="22"/>
          <w:szCs w:val="22"/>
          <w:lang w:eastAsia="en-US"/>
        </w:rPr>
        <w:t xml:space="preserve"> No. 41, pp. 391-400</w:t>
      </w:r>
    </w:p>
    <w:p w:rsidR="00A00CCD" w:rsidRPr="00A00CCD" w:rsidRDefault="00A00CCD" w:rsidP="00A00CCD">
      <w:pPr>
        <w:autoSpaceDE w:val="0"/>
        <w:autoSpaceDN w:val="0"/>
        <w:adjustRightInd w:val="0"/>
        <w:spacing w:after="240"/>
        <w:jc w:val="both"/>
        <w:rPr>
          <w:rFonts w:ascii="Arial" w:eastAsiaTheme="minorHAnsi" w:hAnsi="Arial" w:cs="Arial"/>
          <w:sz w:val="22"/>
          <w:szCs w:val="22"/>
          <w:lang w:eastAsia="en-US"/>
        </w:rPr>
      </w:pPr>
      <w:r w:rsidRPr="00A00CCD">
        <w:rPr>
          <w:rFonts w:ascii="Arial" w:eastAsiaTheme="minorHAnsi" w:hAnsi="Arial" w:cs="Arial"/>
          <w:sz w:val="22"/>
          <w:szCs w:val="22"/>
          <w:lang w:eastAsia="en-US"/>
        </w:rPr>
        <w:t xml:space="preserve">Carlin, Wendy, &amp; David Soskice (2006) </w:t>
      </w:r>
      <w:r w:rsidRPr="00A00CCD">
        <w:rPr>
          <w:rFonts w:ascii="Arial" w:eastAsiaTheme="minorHAnsi" w:hAnsi="Arial" w:cs="Arial"/>
          <w:i/>
          <w:sz w:val="22"/>
          <w:szCs w:val="22"/>
          <w:lang w:eastAsia="en-US"/>
        </w:rPr>
        <w:t>Macroeconomics: Imperfections, Institutions &amp; Policies</w:t>
      </w:r>
      <w:r w:rsidRPr="00A00CCD">
        <w:rPr>
          <w:rFonts w:ascii="Arial" w:eastAsiaTheme="minorHAnsi" w:hAnsi="Arial" w:cs="Arial"/>
          <w:sz w:val="22"/>
          <w:szCs w:val="22"/>
          <w:lang w:eastAsia="en-US"/>
        </w:rPr>
        <w:t>, Oxford University Press, Oxford.</w:t>
      </w:r>
    </w:p>
    <w:p w:rsidR="00A00CCD" w:rsidRPr="00A00CCD" w:rsidRDefault="00A00CCD" w:rsidP="00A00CCD">
      <w:pPr>
        <w:autoSpaceDE w:val="0"/>
        <w:autoSpaceDN w:val="0"/>
        <w:adjustRightInd w:val="0"/>
        <w:spacing w:after="240"/>
        <w:rPr>
          <w:rFonts w:ascii="Arial" w:eastAsiaTheme="minorHAnsi" w:hAnsi="Arial" w:cs="Arial"/>
          <w:iCs/>
          <w:sz w:val="22"/>
          <w:szCs w:val="22"/>
          <w:lang w:eastAsia="en-US"/>
        </w:rPr>
      </w:pPr>
      <w:r w:rsidRPr="00A00CCD">
        <w:rPr>
          <w:rFonts w:ascii="Arial" w:hAnsi="Arial" w:cs="Arial"/>
          <w:bCs/>
          <w:sz w:val="22"/>
          <w:szCs w:val="22"/>
          <w:lang w:val="en"/>
        </w:rPr>
        <w:t xml:space="preserve">Davis, M (1997) </w:t>
      </w:r>
      <w:r w:rsidRPr="00A00CCD">
        <w:rPr>
          <w:rFonts w:ascii="Arial" w:hAnsi="Arial" w:cs="Arial"/>
          <w:bCs/>
          <w:i/>
          <w:sz w:val="22"/>
          <w:szCs w:val="22"/>
          <w:lang w:val="en" w:eastAsia="en-US"/>
        </w:rPr>
        <w:t>Indigenous Peoples and Intellectual Property Rights (1996-97 Research Paper No 20)</w:t>
      </w:r>
      <w:r w:rsidRPr="00A00CCD">
        <w:rPr>
          <w:rFonts w:ascii="Arial" w:hAnsi="Arial" w:cs="Arial"/>
          <w:bCs/>
          <w:sz w:val="22"/>
          <w:szCs w:val="22"/>
          <w:lang w:val="en"/>
        </w:rPr>
        <w:t>, Parliamentary Library, Canberra.</w:t>
      </w:r>
    </w:p>
    <w:p w:rsidR="00A00CCD" w:rsidRPr="00A00CCD" w:rsidRDefault="00A00CCD" w:rsidP="00A00CCD">
      <w:pPr>
        <w:autoSpaceDE w:val="0"/>
        <w:autoSpaceDN w:val="0"/>
        <w:adjustRightInd w:val="0"/>
        <w:spacing w:after="240"/>
        <w:jc w:val="both"/>
        <w:rPr>
          <w:rFonts w:ascii="Arial" w:eastAsiaTheme="minorHAnsi" w:hAnsi="Arial" w:cs="Arial"/>
          <w:sz w:val="22"/>
          <w:szCs w:val="22"/>
          <w:lang w:eastAsia="en-US"/>
        </w:rPr>
      </w:pPr>
      <w:r w:rsidRPr="00A00CCD">
        <w:rPr>
          <w:rFonts w:ascii="Arial" w:eastAsiaTheme="minorHAnsi" w:hAnsi="Arial" w:cs="Arial"/>
          <w:sz w:val="22"/>
          <w:szCs w:val="22"/>
          <w:lang w:eastAsia="en-US"/>
        </w:rPr>
        <w:t xml:space="preserve">Harper, Ian, Peter Anderson, Su </w:t>
      </w:r>
      <w:proofErr w:type="spellStart"/>
      <w:r w:rsidRPr="00A00CCD">
        <w:rPr>
          <w:rFonts w:ascii="Arial" w:eastAsiaTheme="minorHAnsi" w:hAnsi="Arial" w:cs="Arial"/>
          <w:sz w:val="22"/>
          <w:szCs w:val="22"/>
          <w:lang w:eastAsia="en-US"/>
        </w:rPr>
        <w:t>McCluskey</w:t>
      </w:r>
      <w:proofErr w:type="spellEnd"/>
      <w:r w:rsidRPr="00A00CCD">
        <w:rPr>
          <w:rFonts w:ascii="Arial" w:eastAsiaTheme="minorHAnsi" w:hAnsi="Arial" w:cs="Arial"/>
          <w:sz w:val="22"/>
          <w:szCs w:val="22"/>
          <w:lang w:eastAsia="en-US"/>
        </w:rPr>
        <w:t xml:space="preserve"> &amp; Michael O’Bryan, (2015) </w:t>
      </w:r>
      <w:r w:rsidRPr="00A00CCD">
        <w:rPr>
          <w:rFonts w:ascii="Arial" w:eastAsiaTheme="minorHAnsi" w:hAnsi="Arial" w:cs="Arial"/>
          <w:i/>
          <w:sz w:val="22"/>
          <w:szCs w:val="22"/>
          <w:lang w:eastAsia="en-US"/>
        </w:rPr>
        <w:t>Competition Policy Report: Final Report March 2015 (Harper Review)</w:t>
      </w:r>
      <w:r w:rsidRPr="00A00CCD">
        <w:rPr>
          <w:rFonts w:ascii="Arial" w:eastAsiaTheme="minorHAnsi" w:hAnsi="Arial" w:cs="Arial"/>
          <w:sz w:val="22"/>
          <w:szCs w:val="22"/>
          <w:lang w:eastAsia="en-US"/>
        </w:rPr>
        <w:t>, Commonwealth of Australia, Canberra.</w:t>
      </w:r>
    </w:p>
    <w:p w:rsidR="00A00CCD" w:rsidRPr="00A00CCD" w:rsidRDefault="00A00CCD" w:rsidP="00A00CCD">
      <w:pPr>
        <w:autoSpaceDE w:val="0"/>
        <w:autoSpaceDN w:val="0"/>
        <w:adjustRightInd w:val="0"/>
        <w:spacing w:after="240"/>
        <w:jc w:val="both"/>
        <w:rPr>
          <w:rFonts w:ascii="Arial" w:eastAsiaTheme="minorHAnsi" w:hAnsi="Arial" w:cs="Arial"/>
          <w:sz w:val="22"/>
          <w:szCs w:val="22"/>
          <w:lang w:eastAsia="en-US"/>
        </w:rPr>
      </w:pPr>
      <w:r w:rsidRPr="00A00CCD">
        <w:rPr>
          <w:rFonts w:ascii="Arial" w:eastAsiaTheme="minorHAnsi" w:hAnsi="Arial" w:cs="Arial"/>
          <w:sz w:val="22"/>
          <w:szCs w:val="22"/>
          <w:lang w:eastAsia="en-US"/>
        </w:rPr>
        <w:t xml:space="preserve">Koch, Kevin, Mohammed </w:t>
      </w:r>
      <w:proofErr w:type="spellStart"/>
      <w:r w:rsidRPr="00A00CCD">
        <w:rPr>
          <w:rFonts w:ascii="Arial" w:eastAsiaTheme="minorHAnsi" w:hAnsi="Arial" w:cs="Arial"/>
          <w:sz w:val="22"/>
          <w:szCs w:val="22"/>
          <w:lang w:eastAsia="en-US"/>
        </w:rPr>
        <w:t>Rafiquzzaman</w:t>
      </w:r>
      <w:proofErr w:type="spellEnd"/>
      <w:r w:rsidRPr="00A00CCD">
        <w:rPr>
          <w:rFonts w:ascii="Arial" w:eastAsiaTheme="minorHAnsi" w:hAnsi="Arial" w:cs="Arial"/>
          <w:sz w:val="22"/>
          <w:szCs w:val="22"/>
          <w:lang w:eastAsia="en-US"/>
        </w:rPr>
        <w:t xml:space="preserve"> &amp; </w:t>
      </w:r>
      <w:proofErr w:type="spellStart"/>
      <w:r w:rsidRPr="00A00CCD">
        <w:rPr>
          <w:rFonts w:ascii="Arial" w:eastAsiaTheme="minorHAnsi" w:hAnsi="Arial" w:cs="Arial"/>
          <w:sz w:val="22"/>
          <w:szCs w:val="22"/>
          <w:lang w:eastAsia="en-US"/>
        </w:rPr>
        <w:t>Someshwar</w:t>
      </w:r>
      <w:proofErr w:type="spellEnd"/>
      <w:r w:rsidRPr="00A00CCD">
        <w:rPr>
          <w:rFonts w:ascii="Arial" w:eastAsiaTheme="minorHAnsi" w:hAnsi="Arial" w:cs="Arial"/>
          <w:sz w:val="22"/>
          <w:szCs w:val="22"/>
          <w:lang w:eastAsia="en-US"/>
        </w:rPr>
        <w:t xml:space="preserve"> Rao (2004) </w:t>
      </w:r>
      <w:r w:rsidRPr="00A00CCD">
        <w:rPr>
          <w:rFonts w:ascii="Arial" w:eastAsiaTheme="minorHAnsi" w:hAnsi="Arial" w:cs="Arial"/>
          <w:i/>
          <w:sz w:val="22"/>
          <w:szCs w:val="22"/>
          <w:lang w:eastAsia="en-US"/>
        </w:rPr>
        <w:t>The Impact of Regulatory Policies on Innovation: Evidence from G-7 Countries</w:t>
      </w:r>
      <w:r w:rsidRPr="00A00CCD">
        <w:rPr>
          <w:rFonts w:ascii="Arial" w:eastAsiaTheme="minorHAnsi" w:hAnsi="Arial" w:cs="Arial"/>
          <w:sz w:val="22"/>
          <w:szCs w:val="22"/>
          <w:lang w:eastAsia="en-US"/>
        </w:rPr>
        <w:t>, Industry Canada, Ottawa.</w:t>
      </w:r>
    </w:p>
    <w:p w:rsidR="00A00CCD" w:rsidRPr="00A00CCD" w:rsidRDefault="00A00CCD" w:rsidP="00A00CCD">
      <w:pPr>
        <w:spacing w:after="240"/>
        <w:jc w:val="both"/>
        <w:rPr>
          <w:rFonts w:ascii="Arial" w:eastAsiaTheme="minorHAnsi" w:hAnsi="Arial" w:cs="Arial"/>
          <w:sz w:val="22"/>
          <w:szCs w:val="22"/>
          <w:lang w:eastAsia="en-US"/>
        </w:rPr>
      </w:pPr>
      <w:proofErr w:type="spellStart"/>
      <w:r w:rsidRPr="00A00CCD">
        <w:rPr>
          <w:rFonts w:ascii="Arial" w:eastAsiaTheme="minorHAnsi" w:hAnsi="Arial" w:cs="Arial"/>
          <w:sz w:val="22"/>
          <w:szCs w:val="22"/>
          <w:lang w:eastAsia="en-US"/>
        </w:rPr>
        <w:t>Monotti</w:t>
      </w:r>
      <w:proofErr w:type="spellEnd"/>
      <w:r w:rsidRPr="00A00CCD">
        <w:rPr>
          <w:rFonts w:ascii="Arial" w:eastAsiaTheme="minorHAnsi" w:hAnsi="Arial" w:cs="Arial"/>
          <w:sz w:val="22"/>
          <w:szCs w:val="22"/>
          <w:lang w:eastAsia="en-US"/>
        </w:rPr>
        <w:t xml:space="preserve">, Ann with Sam </w:t>
      </w:r>
      <w:proofErr w:type="spellStart"/>
      <w:r w:rsidRPr="00A00CCD">
        <w:rPr>
          <w:rFonts w:ascii="Arial" w:eastAsiaTheme="minorHAnsi" w:hAnsi="Arial" w:cs="Arial"/>
          <w:sz w:val="22"/>
          <w:szCs w:val="22"/>
          <w:lang w:eastAsia="en-US"/>
        </w:rPr>
        <w:t>Rickertson</w:t>
      </w:r>
      <w:proofErr w:type="spellEnd"/>
      <w:r w:rsidRPr="00A00CCD">
        <w:rPr>
          <w:rFonts w:ascii="Arial" w:eastAsiaTheme="minorHAnsi" w:hAnsi="Arial" w:cs="Arial"/>
          <w:sz w:val="22"/>
          <w:szCs w:val="22"/>
          <w:lang w:eastAsia="en-US"/>
        </w:rPr>
        <w:t xml:space="preserve"> (2003) </w:t>
      </w:r>
      <w:r w:rsidRPr="00A00CCD">
        <w:rPr>
          <w:rFonts w:ascii="Arial" w:eastAsiaTheme="minorHAnsi" w:hAnsi="Arial" w:cs="Arial"/>
          <w:i/>
          <w:sz w:val="22"/>
          <w:szCs w:val="22"/>
          <w:lang w:eastAsia="en-US"/>
        </w:rPr>
        <w:t>Universities and Intellectual Property: Ownership and Exploitation</w:t>
      </w:r>
      <w:r w:rsidRPr="00A00CCD">
        <w:rPr>
          <w:rFonts w:ascii="Arial" w:eastAsiaTheme="minorHAnsi" w:hAnsi="Arial" w:cs="Arial"/>
          <w:sz w:val="22"/>
          <w:szCs w:val="22"/>
          <w:lang w:eastAsia="en-US"/>
        </w:rPr>
        <w:t>, Oxford University Press, Oxford.</w:t>
      </w:r>
    </w:p>
    <w:p w:rsidR="00A00CCD" w:rsidRPr="00A00CCD" w:rsidRDefault="00A00CCD" w:rsidP="00A00CCD">
      <w:pPr>
        <w:spacing w:after="240"/>
        <w:jc w:val="both"/>
        <w:rPr>
          <w:rFonts w:ascii="Arial" w:eastAsiaTheme="minorHAnsi" w:hAnsi="Arial" w:cs="Arial"/>
          <w:sz w:val="22"/>
          <w:szCs w:val="22"/>
          <w:lang w:eastAsia="en-US"/>
        </w:rPr>
      </w:pPr>
      <w:r w:rsidRPr="00A00CCD">
        <w:rPr>
          <w:rFonts w:ascii="Arial" w:eastAsiaTheme="minorHAnsi" w:hAnsi="Arial" w:cs="Arial"/>
          <w:sz w:val="22"/>
          <w:szCs w:val="22"/>
          <w:lang w:eastAsia="en-US"/>
        </w:rPr>
        <w:t xml:space="preserve">Organisations for Economic Co-operation and Development (OECD) (2003) </w:t>
      </w:r>
      <w:r w:rsidRPr="00A00CCD">
        <w:rPr>
          <w:rFonts w:ascii="Arial" w:eastAsiaTheme="minorHAnsi" w:hAnsi="Arial" w:cs="Arial"/>
          <w:i/>
          <w:sz w:val="22"/>
          <w:szCs w:val="22"/>
          <w:lang w:eastAsia="en-US"/>
        </w:rPr>
        <w:t>Governance of Public Research: Towards Better Practices</w:t>
      </w:r>
      <w:r w:rsidRPr="00A00CCD">
        <w:rPr>
          <w:rFonts w:ascii="Arial" w:eastAsiaTheme="minorHAnsi" w:hAnsi="Arial" w:cs="Arial"/>
          <w:sz w:val="22"/>
          <w:szCs w:val="22"/>
          <w:lang w:eastAsia="en-US"/>
        </w:rPr>
        <w:t>. OECD Publications, Paris.</w:t>
      </w:r>
    </w:p>
    <w:p w:rsidR="00A00CCD" w:rsidRPr="00A00CCD" w:rsidRDefault="00A00CCD" w:rsidP="00A00CCD">
      <w:pPr>
        <w:spacing w:after="240"/>
        <w:jc w:val="both"/>
        <w:rPr>
          <w:rFonts w:ascii="Arial" w:eastAsiaTheme="minorHAnsi" w:hAnsi="Arial" w:cs="Arial"/>
          <w:sz w:val="22"/>
          <w:szCs w:val="22"/>
          <w:lang w:eastAsia="en-US"/>
        </w:rPr>
      </w:pPr>
      <w:r w:rsidRPr="00A00CCD">
        <w:rPr>
          <w:rFonts w:ascii="Arial" w:eastAsiaTheme="minorHAnsi" w:hAnsi="Arial" w:cs="Arial"/>
          <w:sz w:val="22"/>
          <w:szCs w:val="22"/>
          <w:lang w:eastAsia="en-US"/>
        </w:rPr>
        <w:t xml:space="preserve">----- (2013) OECD </w:t>
      </w:r>
      <w:r w:rsidRPr="00A00CCD">
        <w:rPr>
          <w:rFonts w:ascii="Arial" w:eastAsiaTheme="minorHAnsi" w:hAnsi="Arial" w:cs="Arial"/>
          <w:i/>
          <w:sz w:val="22"/>
          <w:szCs w:val="22"/>
          <w:lang w:eastAsia="en-US"/>
        </w:rPr>
        <w:t>Commercialising Public Research.</w:t>
      </w:r>
      <w:r w:rsidRPr="00A00CCD">
        <w:rPr>
          <w:rFonts w:ascii="Arial" w:eastAsiaTheme="minorHAnsi" w:hAnsi="Arial" w:cs="Arial"/>
          <w:sz w:val="22"/>
          <w:szCs w:val="22"/>
          <w:lang w:eastAsia="en-US"/>
        </w:rPr>
        <w:t xml:space="preserve"> OECD Publishing, Paris. </w:t>
      </w:r>
    </w:p>
    <w:p w:rsidR="00A00CCD" w:rsidRPr="00A00CCD" w:rsidRDefault="00A00CCD" w:rsidP="00A00CCD">
      <w:pPr>
        <w:spacing w:after="240"/>
        <w:jc w:val="both"/>
        <w:rPr>
          <w:rFonts w:ascii="Arial" w:eastAsia="DaxlinePro-Light" w:hAnsi="Arial" w:cs="Arial"/>
          <w:sz w:val="22"/>
          <w:szCs w:val="22"/>
          <w:lang w:eastAsia="en-US"/>
        </w:rPr>
      </w:pPr>
      <w:r w:rsidRPr="00A00CCD">
        <w:rPr>
          <w:rFonts w:ascii="Arial" w:eastAsiaTheme="minorHAnsi" w:hAnsi="Arial" w:cs="Arial"/>
          <w:sz w:val="22"/>
          <w:szCs w:val="22"/>
          <w:lang w:eastAsia="en-US"/>
        </w:rPr>
        <w:t xml:space="preserve">----- (2014) </w:t>
      </w:r>
      <w:r w:rsidRPr="00A00CCD">
        <w:rPr>
          <w:rFonts w:ascii="Arial" w:eastAsiaTheme="minorHAnsi" w:hAnsi="Arial" w:cs="Arial"/>
          <w:bCs/>
          <w:i/>
          <w:color w:val="000000"/>
          <w:sz w:val="22"/>
          <w:szCs w:val="22"/>
          <w:lang w:eastAsia="en-US"/>
        </w:rPr>
        <w:t xml:space="preserve">National Intellectual Property Systems, Innovation and Economic Development with perspectives on Columbia and Indonesia, </w:t>
      </w:r>
      <w:r w:rsidRPr="00A00CCD">
        <w:rPr>
          <w:rFonts w:ascii="Arial" w:eastAsiaTheme="minorHAnsi" w:hAnsi="Arial" w:cs="Arial"/>
          <w:bCs/>
          <w:color w:val="000000"/>
          <w:sz w:val="22"/>
          <w:szCs w:val="22"/>
          <w:lang w:eastAsia="en-US"/>
        </w:rPr>
        <w:t>OECD Publishing, Paris.</w:t>
      </w:r>
      <w:r w:rsidRPr="00A00CCD">
        <w:rPr>
          <w:rFonts w:ascii="Arial" w:eastAsiaTheme="minorHAnsi" w:hAnsi="Arial" w:cs="Arial"/>
          <w:bCs/>
          <w:i/>
          <w:color w:val="000000"/>
          <w:sz w:val="22"/>
          <w:szCs w:val="22"/>
          <w:lang w:eastAsia="en-US"/>
        </w:rPr>
        <w:t xml:space="preserve"> </w:t>
      </w:r>
    </w:p>
    <w:p w:rsidR="00A00CCD" w:rsidRPr="00A00CCD" w:rsidRDefault="00A00CCD" w:rsidP="00A00CCD">
      <w:pPr>
        <w:autoSpaceDE w:val="0"/>
        <w:autoSpaceDN w:val="0"/>
        <w:adjustRightInd w:val="0"/>
        <w:spacing w:after="240"/>
        <w:rPr>
          <w:rFonts w:ascii="Arial" w:eastAsiaTheme="minorHAnsi" w:hAnsi="Arial" w:cs="Arial"/>
          <w:sz w:val="22"/>
          <w:szCs w:val="22"/>
          <w:lang w:eastAsia="en-US"/>
        </w:rPr>
      </w:pPr>
      <w:r w:rsidRPr="00A00CCD">
        <w:rPr>
          <w:rFonts w:ascii="Arial" w:eastAsiaTheme="minorHAnsi" w:hAnsi="Arial" w:cs="Arial"/>
          <w:iCs/>
          <w:sz w:val="22"/>
          <w:szCs w:val="22"/>
          <w:lang w:eastAsia="en-US"/>
        </w:rPr>
        <w:t xml:space="preserve">Productivity Commission (2010) </w:t>
      </w:r>
      <w:r w:rsidRPr="00A00CCD">
        <w:rPr>
          <w:rFonts w:ascii="Arial" w:eastAsiaTheme="minorHAnsi" w:hAnsi="Arial" w:cs="Arial"/>
          <w:i/>
          <w:sz w:val="22"/>
          <w:szCs w:val="22"/>
          <w:lang w:eastAsia="en-US"/>
        </w:rPr>
        <w:t>Bilateral and Regional Trade Agreements: Productivity Commission Research Report, November 2010</w:t>
      </w:r>
      <w:r w:rsidRPr="00A00CCD">
        <w:rPr>
          <w:rFonts w:ascii="Arial" w:eastAsiaTheme="minorHAnsi" w:hAnsi="Arial" w:cs="Arial"/>
          <w:sz w:val="22"/>
          <w:szCs w:val="22"/>
          <w:lang w:eastAsia="en-US"/>
        </w:rPr>
        <w:t>, Commonwealth of Australia, Melbourne.</w:t>
      </w:r>
    </w:p>
    <w:p w:rsidR="00A00CCD" w:rsidRPr="00A00CCD" w:rsidRDefault="00A00CCD" w:rsidP="00A00CCD">
      <w:pPr>
        <w:spacing w:after="200" w:line="276" w:lineRule="auto"/>
        <w:rPr>
          <w:rFonts w:ascii="Arial" w:hAnsi="Arial" w:cs="Arial"/>
          <w:bCs/>
          <w:kern w:val="36"/>
          <w:sz w:val="22"/>
          <w:szCs w:val="22"/>
        </w:rPr>
      </w:pPr>
      <w:bookmarkStart w:id="12" w:name="_Toc436312076"/>
      <w:proofErr w:type="spellStart"/>
      <w:r w:rsidRPr="00A00CCD">
        <w:rPr>
          <w:rFonts w:ascii="Arial" w:eastAsiaTheme="minorHAnsi" w:hAnsi="Arial" w:cs="Arial"/>
          <w:sz w:val="22"/>
          <w:szCs w:val="22"/>
          <w:lang w:eastAsia="en-US"/>
        </w:rPr>
        <w:t>Weatherall</w:t>
      </w:r>
      <w:proofErr w:type="spellEnd"/>
      <w:r w:rsidRPr="00A00CCD">
        <w:rPr>
          <w:rFonts w:ascii="Arial" w:eastAsiaTheme="minorHAnsi" w:hAnsi="Arial" w:cs="Arial"/>
          <w:sz w:val="22"/>
          <w:szCs w:val="22"/>
          <w:lang w:eastAsia="en-US"/>
        </w:rPr>
        <w:t>, Kimberlee G. (2013)</w:t>
      </w:r>
      <w:r w:rsidRPr="00A00CCD">
        <w:rPr>
          <w:rFonts w:ascii="Arial" w:hAnsi="Arial" w:cs="Arial"/>
          <w:bCs/>
          <w:kern w:val="36"/>
          <w:sz w:val="22"/>
          <w:szCs w:val="22"/>
        </w:rPr>
        <w:t xml:space="preserve"> </w:t>
      </w:r>
      <w:r w:rsidRPr="00A00CCD">
        <w:rPr>
          <w:rFonts w:ascii="Arial" w:eastAsiaTheme="minorHAnsi" w:hAnsi="Arial" w:cs="Arial"/>
          <w:sz w:val="22"/>
          <w:szCs w:val="22"/>
          <w:lang w:eastAsia="en-US"/>
        </w:rPr>
        <w:t>‘</w:t>
      </w:r>
      <w:proofErr w:type="spellStart"/>
      <w:r w:rsidRPr="00A00CCD">
        <w:rPr>
          <w:rFonts w:ascii="Arial" w:eastAsiaTheme="minorHAnsi" w:hAnsi="Arial" w:cs="Arial"/>
          <w:sz w:val="22"/>
          <w:szCs w:val="22"/>
          <w:lang w:eastAsia="en-US"/>
        </w:rPr>
        <w:t>TPP</w:t>
      </w:r>
      <w:proofErr w:type="spellEnd"/>
      <w:r w:rsidRPr="00A00CCD">
        <w:rPr>
          <w:rFonts w:ascii="Arial" w:eastAsiaTheme="minorHAnsi" w:hAnsi="Arial" w:cs="Arial"/>
          <w:sz w:val="22"/>
          <w:szCs w:val="22"/>
          <w:lang w:eastAsia="en-US"/>
        </w:rPr>
        <w:t xml:space="preserve"> – Australian Section-by-Section Analysis of the Enforcement Provisions of the August Leaked Draft’, </w:t>
      </w:r>
      <w:r w:rsidRPr="00A00CCD">
        <w:rPr>
          <w:rFonts w:ascii="Arial" w:eastAsiaTheme="minorHAnsi" w:hAnsi="Arial" w:cs="Arial"/>
          <w:i/>
          <w:sz w:val="22"/>
          <w:szCs w:val="22"/>
          <w:lang w:eastAsia="en-US"/>
        </w:rPr>
        <w:t xml:space="preserve">The Selected Works of Kimberlee G </w:t>
      </w:r>
      <w:proofErr w:type="spellStart"/>
      <w:r w:rsidRPr="00A00CCD">
        <w:rPr>
          <w:rFonts w:ascii="Arial" w:eastAsiaTheme="minorHAnsi" w:hAnsi="Arial" w:cs="Arial"/>
          <w:i/>
          <w:sz w:val="22"/>
          <w:szCs w:val="22"/>
          <w:lang w:eastAsia="en-US"/>
        </w:rPr>
        <w:t>Weatherall</w:t>
      </w:r>
      <w:proofErr w:type="spellEnd"/>
      <w:r w:rsidRPr="00A00CCD">
        <w:rPr>
          <w:rFonts w:ascii="Arial" w:eastAsiaTheme="minorHAnsi" w:hAnsi="Arial" w:cs="Arial"/>
          <w:sz w:val="22"/>
          <w:szCs w:val="22"/>
          <w:lang w:eastAsia="en-US"/>
        </w:rPr>
        <w:t>, http://</w:t>
      </w:r>
      <w:proofErr w:type="spellStart"/>
      <w:r w:rsidRPr="00A00CCD">
        <w:rPr>
          <w:rFonts w:ascii="Arial" w:eastAsiaTheme="minorHAnsi" w:hAnsi="Arial" w:cs="Arial"/>
          <w:sz w:val="22"/>
          <w:szCs w:val="22"/>
          <w:lang w:eastAsia="en-US"/>
        </w:rPr>
        <w:t>works.bepress.com</w:t>
      </w:r>
      <w:proofErr w:type="spellEnd"/>
      <w:r w:rsidRPr="00A00CCD">
        <w:rPr>
          <w:rFonts w:ascii="Arial" w:eastAsiaTheme="minorHAnsi" w:hAnsi="Arial" w:cs="Arial"/>
          <w:sz w:val="22"/>
          <w:szCs w:val="22"/>
          <w:lang w:eastAsia="en-US"/>
        </w:rPr>
        <w:t>/</w:t>
      </w:r>
      <w:proofErr w:type="spellStart"/>
      <w:r w:rsidRPr="00A00CCD">
        <w:rPr>
          <w:rFonts w:ascii="Arial" w:eastAsiaTheme="minorHAnsi" w:hAnsi="Arial" w:cs="Arial"/>
          <w:sz w:val="22"/>
          <w:szCs w:val="22"/>
          <w:lang w:eastAsia="en-US"/>
        </w:rPr>
        <w:t>kimweatherall</w:t>
      </w:r>
      <w:proofErr w:type="spellEnd"/>
      <w:r w:rsidRPr="00A00CCD">
        <w:rPr>
          <w:rFonts w:ascii="Arial" w:eastAsiaTheme="minorHAnsi" w:hAnsi="Arial" w:cs="Arial"/>
          <w:sz w:val="22"/>
          <w:szCs w:val="22"/>
          <w:lang w:eastAsia="en-US"/>
        </w:rPr>
        <w:t>/27</w:t>
      </w:r>
      <w:bookmarkEnd w:id="12"/>
    </w:p>
    <w:p w:rsidR="000B78D8" w:rsidRPr="000B78D8" w:rsidRDefault="000B78D8" w:rsidP="000B78D8">
      <w:pPr>
        <w:spacing w:after="200" w:line="276" w:lineRule="auto"/>
        <w:rPr>
          <w:rFonts w:ascii="Arial" w:hAnsi="Arial" w:cs="Arial"/>
          <w:bCs/>
          <w:kern w:val="36"/>
          <w:sz w:val="22"/>
          <w:szCs w:val="22"/>
        </w:rPr>
      </w:pPr>
    </w:p>
    <w:p w:rsidR="000B78D8" w:rsidRDefault="000B78D8" w:rsidP="00247993">
      <w:pPr>
        <w:tabs>
          <w:tab w:val="left" w:pos="426"/>
          <w:tab w:val="left" w:pos="4537"/>
          <w:tab w:val="left" w:pos="4962"/>
        </w:tabs>
        <w:spacing w:before="360" w:after="120"/>
        <w:ind w:right="34"/>
        <w:rPr>
          <w:rStyle w:val="Hyperlink"/>
          <w:b/>
          <w:sz w:val="28"/>
          <w:szCs w:val="24"/>
        </w:rPr>
      </w:pPr>
    </w:p>
    <w:sectPr w:rsidR="000B78D8">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F18" w:rsidRDefault="00A86F18">
      <w:r>
        <w:separator/>
      </w:r>
    </w:p>
  </w:endnote>
  <w:endnote w:type="continuationSeparator" w:id="0">
    <w:p w:rsidR="00A86F18" w:rsidRDefault="00A8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DaxlinePro-Light">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F18" w:rsidRDefault="00A86F18">
      <w:r>
        <w:separator/>
      </w:r>
    </w:p>
  </w:footnote>
  <w:footnote w:type="continuationSeparator" w:id="0">
    <w:p w:rsidR="00A86F18" w:rsidRDefault="00A86F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8D32E87"/>
    <w:multiLevelType w:val="multilevel"/>
    <w:tmpl w:val="7D522D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B7D7302"/>
    <w:multiLevelType w:val="hybridMultilevel"/>
    <w:tmpl w:val="E3445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7266C5"/>
    <w:multiLevelType w:val="hybridMultilevel"/>
    <w:tmpl w:val="E1EA6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B80B13"/>
    <w:multiLevelType w:val="hybridMultilevel"/>
    <w:tmpl w:val="A8380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B25CDE"/>
    <w:multiLevelType w:val="singleLevel"/>
    <w:tmpl w:val="3086CA22"/>
    <w:lvl w:ilvl="0">
      <w:start w:val="1"/>
      <w:numFmt w:val="decimal"/>
      <w:lvlText w:val="%1."/>
      <w:legacy w:legacy="1" w:legacySpace="0" w:legacyIndent="340"/>
      <w:lvlJc w:val="left"/>
      <w:pPr>
        <w:ind w:left="340" w:hanging="340"/>
      </w:pPr>
    </w:lvl>
  </w:abstractNum>
  <w:abstractNum w:abstractNumId="10">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1450753"/>
    <w:multiLevelType w:val="hybridMultilevel"/>
    <w:tmpl w:val="5DA27C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7"/>
  </w:num>
  <w:num w:numId="2">
    <w:abstractNumId w:val="24"/>
  </w:num>
  <w:num w:numId="3">
    <w:abstractNumId w:val="10"/>
  </w:num>
  <w:num w:numId="4">
    <w:abstractNumId w:val="14"/>
  </w:num>
  <w:num w:numId="5">
    <w:abstractNumId w:val="15"/>
  </w:num>
  <w:num w:numId="6">
    <w:abstractNumId w:val="6"/>
  </w:num>
  <w:num w:numId="7">
    <w:abstractNumId w:val="23"/>
  </w:num>
  <w:num w:numId="8">
    <w:abstractNumId w:val="2"/>
  </w:num>
  <w:num w:numId="9">
    <w:abstractNumId w:val="19"/>
  </w:num>
  <w:num w:numId="10">
    <w:abstractNumId w:val="3"/>
  </w:num>
  <w:num w:numId="11">
    <w:abstractNumId w:val="11"/>
  </w:num>
  <w:num w:numId="12">
    <w:abstractNumId w:val="22"/>
  </w:num>
  <w:num w:numId="13">
    <w:abstractNumId w:val="13"/>
  </w:num>
  <w:num w:numId="14">
    <w:abstractNumId w:val="21"/>
  </w:num>
  <w:num w:numId="15">
    <w:abstractNumId w:val="0"/>
  </w:num>
  <w:num w:numId="16">
    <w:abstractNumId w:val="17"/>
  </w:num>
  <w:num w:numId="17">
    <w:abstractNumId w:val="26"/>
  </w:num>
  <w:num w:numId="18">
    <w:abstractNumId w:val="12"/>
  </w:num>
  <w:num w:numId="19">
    <w:abstractNumId w:val="20"/>
  </w:num>
  <w:num w:numId="20">
    <w:abstractNumId w:val="9"/>
  </w:num>
  <w:num w:numId="21">
    <w:abstractNumId w:val="7"/>
  </w:num>
  <w:num w:numId="22">
    <w:abstractNumId w:val="25"/>
  </w:num>
  <w:num w:numId="23">
    <w:abstractNumId w:val="16"/>
  </w:num>
  <w:num w:numId="24">
    <w:abstractNumId w:val="18"/>
  </w:num>
  <w:num w:numId="25">
    <w:abstractNumId w:val="8"/>
  </w:num>
  <w:num w:numId="26">
    <w:abstractNumId w:val="4"/>
  </w:num>
  <w:num w:numId="27">
    <w:abstractNumId w:val="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2"/>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9C"/>
    <w:rsid w:val="00023D4A"/>
    <w:rsid w:val="00046FE2"/>
    <w:rsid w:val="00056210"/>
    <w:rsid w:val="0007450F"/>
    <w:rsid w:val="000B78D8"/>
    <w:rsid w:val="001021A0"/>
    <w:rsid w:val="00143F3B"/>
    <w:rsid w:val="0019530F"/>
    <w:rsid w:val="001C5C7C"/>
    <w:rsid w:val="00217B26"/>
    <w:rsid w:val="00221C86"/>
    <w:rsid w:val="00247993"/>
    <w:rsid w:val="002A0908"/>
    <w:rsid w:val="002A3C42"/>
    <w:rsid w:val="002D6079"/>
    <w:rsid w:val="0038552B"/>
    <w:rsid w:val="003C5524"/>
    <w:rsid w:val="00423861"/>
    <w:rsid w:val="00423BFB"/>
    <w:rsid w:val="00480079"/>
    <w:rsid w:val="0048038E"/>
    <w:rsid w:val="004B21E0"/>
    <w:rsid w:val="004B6E74"/>
    <w:rsid w:val="00513ED8"/>
    <w:rsid w:val="00517D91"/>
    <w:rsid w:val="00534A5B"/>
    <w:rsid w:val="00626C39"/>
    <w:rsid w:val="006349CF"/>
    <w:rsid w:val="00677A10"/>
    <w:rsid w:val="007116C6"/>
    <w:rsid w:val="007C3E81"/>
    <w:rsid w:val="00820633"/>
    <w:rsid w:val="00843256"/>
    <w:rsid w:val="0085565D"/>
    <w:rsid w:val="00965920"/>
    <w:rsid w:val="00971FD6"/>
    <w:rsid w:val="00A00CCD"/>
    <w:rsid w:val="00A17B13"/>
    <w:rsid w:val="00A86F18"/>
    <w:rsid w:val="00B848C7"/>
    <w:rsid w:val="00BC20AA"/>
    <w:rsid w:val="00C22E11"/>
    <w:rsid w:val="00C51B2C"/>
    <w:rsid w:val="00D528F3"/>
    <w:rsid w:val="00DA7D8C"/>
    <w:rsid w:val="00DC03C7"/>
    <w:rsid w:val="00E00C9C"/>
    <w:rsid w:val="00E0213B"/>
    <w:rsid w:val="00E33CD7"/>
    <w:rsid w:val="00E56E21"/>
    <w:rsid w:val="00E65E54"/>
    <w:rsid w:val="00E7598B"/>
    <w:rsid w:val="00EC4447"/>
    <w:rsid w:val="00EC75E2"/>
    <w:rsid w:val="00F51EC1"/>
    <w:rsid w:val="00FA1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uiPriority w:val="99"/>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rsid w:val="0085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umbering">
    <w:name w:val="ParaNumbering"/>
    <w:basedOn w:val="Normal"/>
    <w:uiPriority w:val="99"/>
    <w:rsid w:val="00A00CCD"/>
    <w:pPr>
      <w:tabs>
        <w:tab w:val="num" w:pos="720"/>
      </w:tabs>
      <w:spacing w:before="180" w:after="180" w:line="360" w:lineRule="auto"/>
      <w:ind w:hanging="720"/>
      <w:jc w:val="both"/>
    </w:pPr>
    <w:rPr>
      <w:sz w:val="24"/>
      <w:szCs w:val="24"/>
    </w:rPr>
  </w:style>
  <w:style w:type="character" w:styleId="FootnoteReference">
    <w:name w:val="footnote reference"/>
    <w:basedOn w:val="DefaultParagraphFont"/>
    <w:unhideWhenUsed/>
    <w:rsid w:val="00A00CCD"/>
    <w:rPr>
      <w:vertAlign w:val="superscript"/>
    </w:rPr>
  </w:style>
  <w:style w:type="paragraph" w:styleId="FootnoteText">
    <w:name w:val="footnote text"/>
    <w:basedOn w:val="Normal"/>
    <w:link w:val="FootnoteTextChar"/>
    <w:unhideWhenUsed/>
    <w:rsid w:val="00A00CCD"/>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rsid w:val="00A00CCD"/>
    <w:rPr>
      <w:rFonts w:asciiTheme="minorHAnsi" w:eastAsiaTheme="minorHAnsi" w:hAnsiTheme="minorHAnsi" w:cstheme="minorBidi"/>
      <w:lang w:eastAsia="en-US"/>
    </w:rPr>
  </w:style>
  <w:style w:type="paragraph" w:styleId="TOC1">
    <w:name w:val="toc 1"/>
    <w:basedOn w:val="Normal"/>
    <w:next w:val="Normal"/>
    <w:autoRedefine/>
    <w:uiPriority w:val="39"/>
    <w:unhideWhenUsed/>
    <w:rsid w:val="00A00CCD"/>
    <w:pPr>
      <w:spacing w:after="100"/>
    </w:pPr>
  </w:style>
  <w:style w:type="paragraph" w:styleId="ListParagraph">
    <w:name w:val="List Paragraph"/>
    <w:basedOn w:val="Normal"/>
    <w:uiPriority w:val="34"/>
    <w:qFormat/>
    <w:rsid w:val="00143F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uiPriority w:val="99"/>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rsid w:val="0085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umbering">
    <w:name w:val="ParaNumbering"/>
    <w:basedOn w:val="Normal"/>
    <w:uiPriority w:val="99"/>
    <w:rsid w:val="00A00CCD"/>
    <w:pPr>
      <w:tabs>
        <w:tab w:val="num" w:pos="720"/>
      </w:tabs>
      <w:spacing w:before="180" w:after="180" w:line="360" w:lineRule="auto"/>
      <w:ind w:hanging="720"/>
      <w:jc w:val="both"/>
    </w:pPr>
    <w:rPr>
      <w:sz w:val="24"/>
      <w:szCs w:val="24"/>
    </w:rPr>
  </w:style>
  <w:style w:type="character" w:styleId="FootnoteReference">
    <w:name w:val="footnote reference"/>
    <w:basedOn w:val="DefaultParagraphFont"/>
    <w:unhideWhenUsed/>
    <w:rsid w:val="00A00CCD"/>
    <w:rPr>
      <w:vertAlign w:val="superscript"/>
    </w:rPr>
  </w:style>
  <w:style w:type="paragraph" w:styleId="FootnoteText">
    <w:name w:val="footnote text"/>
    <w:basedOn w:val="Normal"/>
    <w:link w:val="FootnoteTextChar"/>
    <w:unhideWhenUsed/>
    <w:rsid w:val="00A00CCD"/>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rsid w:val="00A00CCD"/>
    <w:rPr>
      <w:rFonts w:asciiTheme="minorHAnsi" w:eastAsiaTheme="minorHAnsi" w:hAnsiTheme="minorHAnsi" w:cstheme="minorBidi"/>
      <w:lang w:eastAsia="en-US"/>
    </w:rPr>
  </w:style>
  <w:style w:type="paragraph" w:styleId="TOC1">
    <w:name w:val="toc 1"/>
    <w:basedOn w:val="Normal"/>
    <w:next w:val="Normal"/>
    <w:autoRedefine/>
    <w:uiPriority w:val="39"/>
    <w:unhideWhenUsed/>
    <w:rsid w:val="00A00CCD"/>
    <w:pPr>
      <w:spacing w:after="100"/>
    </w:pPr>
  </w:style>
  <w:style w:type="paragraph" w:styleId="ListParagraph">
    <w:name w:val="List Paragraph"/>
    <w:basedOn w:val="Normal"/>
    <w:uiPriority w:val="34"/>
    <w:qFormat/>
    <w:rsid w:val="00143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3</TotalTime>
  <Pages>10</Pages>
  <Words>3545</Words>
  <Characters>21793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Submission 24 - National Tertiary Education Union (NTEU) - Intellectual Property Arrangements - Public inquiry</vt:lpstr>
    </vt:vector>
  </TitlesOfParts>
  <Company>National Tertiary Education Union (NTEU)</Company>
  <LinksUpToDate>false</LinksUpToDate>
  <CharactersWithSpaces>25288</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24 - National Tertiary Education Union (NTEU) - Intellectual Property Arrangements - Public inquiry</dc:title>
  <dc:creator>National Tertiary Education Union (NTEU)</dc:creator>
  <cp:lastModifiedBy>Productivity Commission</cp:lastModifiedBy>
  <cp:revision>5</cp:revision>
  <cp:lastPrinted>2004-07-01T12:55:00Z</cp:lastPrinted>
  <dcterms:created xsi:type="dcterms:W3CDTF">2015-11-30T02:12:00Z</dcterms:created>
  <dcterms:modified xsi:type="dcterms:W3CDTF">2015-12-01T03:35:00Z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