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16" w:rsidRDefault="00065B16" w:rsidP="00654163">
      <w:pPr>
        <w:rPr>
          <w:b/>
          <w:sz w:val="28"/>
          <w:szCs w:val="28"/>
        </w:rPr>
      </w:pPr>
      <w:bookmarkStart w:id="0" w:name="_GoBack"/>
      <w:bookmarkEnd w:id="0"/>
      <w:r>
        <w:rPr>
          <w:noProof/>
          <w:lang w:eastAsia="en-AU"/>
        </w:rPr>
        <w:drawing>
          <wp:inline distT="0" distB="0" distL="0" distR="0" wp14:anchorId="5CDD809E" wp14:editId="389C1493">
            <wp:extent cx="5162550" cy="904875"/>
            <wp:effectExtent l="0" t="0" r="0" b="0"/>
            <wp:docPr id="1" name="Picture 1" descr="C:\Users\ansainsb\Desktop\DFAT-strip-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sainsb\Desktop\DFAT-strip-p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0" cy="904875"/>
                    </a:xfrm>
                    <a:prstGeom prst="rect">
                      <a:avLst/>
                    </a:prstGeom>
                    <a:noFill/>
                    <a:ln>
                      <a:noFill/>
                    </a:ln>
                  </pic:spPr>
                </pic:pic>
              </a:graphicData>
            </a:graphic>
          </wp:inline>
        </w:drawing>
      </w:r>
    </w:p>
    <w:p w:rsidR="00065B16" w:rsidRDefault="00065B16" w:rsidP="00654163">
      <w:pPr>
        <w:rPr>
          <w:b/>
          <w:sz w:val="28"/>
          <w:szCs w:val="28"/>
        </w:rPr>
      </w:pPr>
    </w:p>
    <w:p w:rsidR="00065B16" w:rsidRDefault="00065B16" w:rsidP="00654163">
      <w:pPr>
        <w:rPr>
          <w:b/>
          <w:sz w:val="28"/>
          <w:szCs w:val="28"/>
        </w:rPr>
      </w:pPr>
    </w:p>
    <w:p w:rsidR="00065B16" w:rsidRDefault="00065B16" w:rsidP="00654163">
      <w:pPr>
        <w:rPr>
          <w:b/>
          <w:sz w:val="28"/>
          <w:szCs w:val="28"/>
        </w:rPr>
      </w:pPr>
    </w:p>
    <w:p w:rsidR="00065B16" w:rsidRDefault="00065B16" w:rsidP="00654163">
      <w:pPr>
        <w:rPr>
          <w:b/>
          <w:sz w:val="28"/>
          <w:szCs w:val="28"/>
        </w:rPr>
      </w:pPr>
    </w:p>
    <w:p w:rsidR="00065B16" w:rsidRDefault="00065B16" w:rsidP="00654163">
      <w:pPr>
        <w:rPr>
          <w:b/>
          <w:sz w:val="28"/>
          <w:szCs w:val="28"/>
        </w:rPr>
      </w:pPr>
    </w:p>
    <w:p w:rsidR="00065B16" w:rsidRDefault="00065B16" w:rsidP="00654163">
      <w:pPr>
        <w:rPr>
          <w:b/>
          <w:sz w:val="28"/>
          <w:szCs w:val="28"/>
        </w:rPr>
      </w:pPr>
    </w:p>
    <w:p w:rsidR="00065B16" w:rsidRDefault="00065B16" w:rsidP="00654163">
      <w:pPr>
        <w:rPr>
          <w:b/>
          <w:sz w:val="28"/>
          <w:szCs w:val="28"/>
        </w:rPr>
      </w:pPr>
    </w:p>
    <w:p w:rsidR="00065B16" w:rsidRPr="00065B16" w:rsidRDefault="00065B16" w:rsidP="00654163">
      <w:pPr>
        <w:rPr>
          <w:b/>
          <w:sz w:val="40"/>
          <w:szCs w:val="40"/>
        </w:rPr>
      </w:pPr>
    </w:p>
    <w:p w:rsidR="00065B16" w:rsidRPr="00065B16" w:rsidRDefault="00065B16" w:rsidP="00065B16">
      <w:pPr>
        <w:jc w:val="center"/>
        <w:rPr>
          <w:b/>
          <w:sz w:val="40"/>
          <w:szCs w:val="40"/>
        </w:rPr>
      </w:pPr>
      <w:r w:rsidRPr="00065B16">
        <w:rPr>
          <w:b/>
          <w:sz w:val="40"/>
          <w:szCs w:val="40"/>
        </w:rPr>
        <w:t>Productivity Commission Inquiry into Australia’s Intellectual Property Arrangements</w:t>
      </w:r>
    </w:p>
    <w:p w:rsidR="00065B16" w:rsidRPr="00065B16" w:rsidRDefault="00065B16" w:rsidP="00065B16">
      <w:pPr>
        <w:jc w:val="center"/>
        <w:rPr>
          <w:b/>
          <w:sz w:val="40"/>
          <w:szCs w:val="40"/>
        </w:rPr>
      </w:pPr>
    </w:p>
    <w:p w:rsidR="00065B16" w:rsidRPr="00065B16" w:rsidRDefault="00065B16" w:rsidP="00065B16">
      <w:pPr>
        <w:jc w:val="center"/>
        <w:rPr>
          <w:b/>
          <w:sz w:val="40"/>
          <w:szCs w:val="40"/>
        </w:rPr>
      </w:pPr>
    </w:p>
    <w:p w:rsidR="00065B16" w:rsidRPr="00065B16" w:rsidRDefault="00065B16" w:rsidP="00065B16">
      <w:pPr>
        <w:jc w:val="center"/>
        <w:rPr>
          <w:b/>
          <w:sz w:val="40"/>
          <w:szCs w:val="40"/>
        </w:rPr>
      </w:pPr>
    </w:p>
    <w:p w:rsidR="00065B16" w:rsidRPr="00065B16" w:rsidRDefault="00065B16" w:rsidP="00065B16">
      <w:pPr>
        <w:jc w:val="center"/>
        <w:rPr>
          <w:b/>
          <w:sz w:val="40"/>
          <w:szCs w:val="40"/>
        </w:rPr>
      </w:pPr>
    </w:p>
    <w:p w:rsidR="00065B16" w:rsidRPr="00065B16" w:rsidRDefault="00065B16" w:rsidP="00065B16">
      <w:pPr>
        <w:jc w:val="center"/>
        <w:rPr>
          <w:b/>
          <w:sz w:val="40"/>
          <w:szCs w:val="40"/>
        </w:rPr>
      </w:pPr>
    </w:p>
    <w:p w:rsidR="00065B16" w:rsidRPr="00065B16" w:rsidRDefault="00065B16" w:rsidP="00065B16">
      <w:pPr>
        <w:jc w:val="center"/>
        <w:rPr>
          <w:b/>
          <w:sz w:val="40"/>
          <w:szCs w:val="40"/>
        </w:rPr>
      </w:pPr>
      <w:r w:rsidRPr="00065B16">
        <w:rPr>
          <w:b/>
          <w:sz w:val="40"/>
          <w:szCs w:val="40"/>
        </w:rPr>
        <w:t>Submission by the Department of Foreign Affairs and Trade</w:t>
      </w:r>
    </w:p>
    <w:p w:rsidR="00065B16" w:rsidRPr="00065B16" w:rsidRDefault="00065B16" w:rsidP="00065B16">
      <w:pPr>
        <w:jc w:val="center"/>
        <w:rPr>
          <w:b/>
          <w:sz w:val="40"/>
          <w:szCs w:val="40"/>
        </w:rPr>
      </w:pPr>
    </w:p>
    <w:p w:rsidR="00065B16" w:rsidRPr="00065B16" w:rsidRDefault="00065B16" w:rsidP="00065B16">
      <w:pPr>
        <w:jc w:val="center"/>
        <w:rPr>
          <w:b/>
          <w:sz w:val="40"/>
          <w:szCs w:val="40"/>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pPr>
    </w:p>
    <w:p w:rsidR="00065B16" w:rsidRDefault="00065B16" w:rsidP="00065B16">
      <w:pPr>
        <w:jc w:val="center"/>
        <w:rPr>
          <w:b/>
          <w:sz w:val="28"/>
          <w:szCs w:val="28"/>
        </w:rPr>
        <w:sectPr w:rsidR="00065B16" w:rsidSect="00065B16">
          <w:footerReference w:type="default" r:id="rId10"/>
          <w:pgSz w:w="11906" w:h="16838"/>
          <w:pgMar w:top="1440" w:right="1800" w:bottom="1440" w:left="1800" w:header="708" w:footer="708" w:gutter="0"/>
          <w:cols w:space="708"/>
          <w:titlePg/>
          <w:docGrid w:linePitch="360"/>
        </w:sectPr>
      </w:pPr>
      <w:r>
        <w:rPr>
          <w:b/>
          <w:sz w:val="28"/>
          <w:szCs w:val="28"/>
        </w:rPr>
        <w:t>November 2015</w:t>
      </w:r>
    </w:p>
    <w:sdt>
      <w:sdtPr>
        <w:rPr>
          <w:rFonts w:ascii="Times New Roman" w:eastAsia="Times New Roman" w:hAnsi="Times New Roman" w:cs="Times New Roman"/>
          <w:b w:val="0"/>
          <w:bCs w:val="0"/>
          <w:color w:val="auto"/>
          <w:sz w:val="24"/>
          <w:szCs w:val="24"/>
          <w:lang w:val="en-AU" w:eastAsia="en-US"/>
        </w:rPr>
        <w:id w:val="89282133"/>
        <w:docPartObj>
          <w:docPartGallery w:val="Table of Contents"/>
          <w:docPartUnique/>
        </w:docPartObj>
      </w:sdtPr>
      <w:sdtEndPr>
        <w:rPr>
          <w:noProof/>
        </w:rPr>
      </w:sdtEndPr>
      <w:sdtContent>
        <w:p w:rsidR="006E51E5" w:rsidRDefault="006E51E5">
          <w:pPr>
            <w:pStyle w:val="TOCHeading"/>
          </w:pPr>
          <w:r>
            <w:t>Contents</w:t>
          </w:r>
        </w:p>
        <w:p w:rsidR="006E51E5" w:rsidRDefault="006E51E5" w:rsidP="006E51E5">
          <w:pPr>
            <w:rPr>
              <w:lang w:val="en-US" w:eastAsia="ja-JP"/>
            </w:rPr>
          </w:pPr>
        </w:p>
        <w:p w:rsidR="006E51E5" w:rsidRPr="006E51E5" w:rsidRDefault="006E51E5" w:rsidP="006E51E5">
          <w:pPr>
            <w:rPr>
              <w:lang w:val="en-US" w:eastAsia="ja-JP"/>
            </w:rPr>
          </w:pPr>
        </w:p>
        <w:p w:rsidR="006E51E5" w:rsidRDefault="006E51E5" w:rsidP="006E51E5">
          <w:pPr>
            <w:pStyle w:val="TOC1"/>
            <w:rPr>
              <w:noProof/>
            </w:rPr>
          </w:pPr>
          <w:r>
            <w:fldChar w:fldCharType="begin"/>
          </w:r>
          <w:r>
            <w:instrText xml:space="preserve"> TOC \o "1-3" \h \z \u </w:instrText>
          </w:r>
          <w:r>
            <w:fldChar w:fldCharType="separate"/>
          </w:r>
          <w:hyperlink w:anchor="_Toc436231866" w:history="1">
            <w:r w:rsidRPr="00001E23">
              <w:rPr>
                <w:rStyle w:val="Hyperlink"/>
                <w:noProof/>
              </w:rPr>
              <w:t>A.   Introduction</w:t>
            </w:r>
            <w:r>
              <w:rPr>
                <w:noProof/>
                <w:webHidden/>
              </w:rPr>
              <w:tab/>
            </w:r>
            <w:r>
              <w:rPr>
                <w:noProof/>
                <w:webHidden/>
              </w:rPr>
              <w:fldChar w:fldCharType="begin"/>
            </w:r>
            <w:r>
              <w:rPr>
                <w:noProof/>
                <w:webHidden/>
              </w:rPr>
              <w:instrText xml:space="preserve"> PAGEREF _Toc436231866 \h </w:instrText>
            </w:r>
            <w:r>
              <w:rPr>
                <w:noProof/>
                <w:webHidden/>
              </w:rPr>
            </w:r>
            <w:r>
              <w:rPr>
                <w:noProof/>
                <w:webHidden/>
              </w:rPr>
              <w:fldChar w:fldCharType="separate"/>
            </w:r>
            <w:r w:rsidR="00F407F6">
              <w:rPr>
                <w:noProof/>
                <w:webHidden/>
              </w:rPr>
              <w:t>2</w:t>
            </w:r>
            <w:r>
              <w:rPr>
                <w:noProof/>
                <w:webHidden/>
              </w:rPr>
              <w:fldChar w:fldCharType="end"/>
            </w:r>
          </w:hyperlink>
        </w:p>
        <w:p w:rsidR="006E51E5" w:rsidRDefault="006D254F" w:rsidP="006E51E5">
          <w:pPr>
            <w:pStyle w:val="TOC1"/>
            <w:rPr>
              <w:noProof/>
            </w:rPr>
          </w:pPr>
          <w:hyperlink w:anchor="_Toc436231867" w:history="1">
            <w:r w:rsidR="006E51E5" w:rsidRPr="00001E23">
              <w:rPr>
                <w:rStyle w:val="Hyperlink"/>
                <w:noProof/>
              </w:rPr>
              <w:t>B.   Key messages</w:t>
            </w:r>
            <w:r w:rsidR="006E51E5">
              <w:rPr>
                <w:noProof/>
                <w:webHidden/>
              </w:rPr>
              <w:tab/>
            </w:r>
            <w:r w:rsidR="006E51E5">
              <w:rPr>
                <w:noProof/>
                <w:webHidden/>
              </w:rPr>
              <w:fldChar w:fldCharType="begin"/>
            </w:r>
            <w:r w:rsidR="006E51E5">
              <w:rPr>
                <w:noProof/>
                <w:webHidden/>
              </w:rPr>
              <w:instrText xml:space="preserve"> PAGEREF _Toc436231867 \h </w:instrText>
            </w:r>
            <w:r w:rsidR="006E51E5">
              <w:rPr>
                <w:noProof/>
                <w:webHidden/>
              </w:rPr>
            </w:r>
            <w:r w:rsidR="006E51E5">
              <w:rPr>
                <w:noProof/>
                <w:webHidden/>
              </w:rPr>
              <w:fldChar w:fldCharType="separate"/>
            </w:r>
            <w:r w:rsidR="00F407F6">
              <w:rPr>
                <w:noProof/>
                <w:webHidden/>
              </w:rPr>
              <w:t>2</w:t>
            </w:r>
            <w:r w:rsidR="006E51E5">
              <w:rPr>
                <w:noProof/>
                <w:webHidden/>
              </w:rPr>
              <w:fldChar w:fldCharType="end"/>
            </w:r>
          </w:hyperlink>
        </w:p>
        <w:p w:rsidR="006E51E5" w:rsidRDefault="006D254F" w:rsidP="006E51E5">
          <w:pPr>
            <w:pStyle w:val="TOC1"/>
            <w:rPr>
              <w:noProof/>
            </w:rPr>
          </w:pPr>
          <w:hyperlink w:anchor="_Toc436231868" w:history="1">
            <w:r w:rsidR="006E51E5" w:rsidRPr="00001E23">
              <w:rPr>
                <w:rStyle w:val="Hyperlink"/>
                <w:noProof/>
              </w:rPr>
              <w:t>C.    Intellectual Property and the Foreign Affairs and Trade portfolio</w:t>
            </w:r>
            <w:r w:rsidR="006E51E5">
              <w:rPr>
                <w:noProof/>
                <w:webHidden/>
              </w:rPr>
              <w:tab/>
            </w:r>
            <w:r w:rsidR="006E51E5">
              <w:rPr>
                <w:noProof/>
                <w:webHidden/>
              </w:rPr>
              <w:fldChar w:fldCharType="begin"/>
            </w:r>
            <w:r w:rsidR="006E51E5">
              <w:rPr>
                <w:noProof/>
                <w:webHidden/>
              </w:rPr>
              <w:instrText xml:space="preserve"> PAGEREF _Toc436231868 \h </w:instrText>
            </w:r>
            <w:r w:rsidR="006E51E5">
              <w:rPr>
                <w:noProof/>
                <w:webHidden/>
              </w:rPr>
            </w:r>
            <w:r w:rsidR="006E51E5">
              <w:rPr>
                <w:noProof/>
                <w:webHidden/>
              </w:rPr>
              <w:fldChar w:fldCharType="separate"/>
            </w:r>
            <w:r w:rsidR="00F407F6">
              <w:rPr>
                <w:noProof/>
                <w:webHidden/>
              </w:rPr>
              <w:t>3</w:t>
            </w:r>
            <w:r w:rsidR="006E51E5">
              <w:rPr>
                <w:noProof/>
                <w:webHidden/>
              </w:rPr>
              <w:fldChar w:fldCharType="end"/>
            </w:r>
          </w:hyperlink>
        </w:p>
        <w:p w:rsidR="006E51E5" w:rsidRDefault="006D254F" w:rsidP="006E51E5">
          <w:pPr>
            <w:pStyle w:val="TOC1"/>
            <w:rPr>
              <w:noProof/>
            </w:rPr>
          </w:pPr>
          <w:hyperlink w:anchor="_Toc436231869" w:history="1">
            <w:r w:rsidR="006E51E5" w:rsidRPr="00001E23">
              <w:rPr>
                <w:rStyle w:val="Hyperlink"/>
                <w:noProof/>
              </w:rPr>
              <w:t xml:space="preserve">D.   The international economic context and the pervasiveness of intellectual </w:t>
            </w:r>
            <w:r w:rsidR="006E51E5">
              <w:rPr>
                <w:rStyle w:val="Hyperlink"/>
                <w:noProof/>
              </w:rPr>
              <w:br/>
            </w:r>
            <w:r w:rsidR="006E51E5" w:rsidRPr="00001E23">
              <w:rPr>
                <w:rStyle w:val="Hyperlink"/>
                <w:noProof/>
              </w:rPr>
              <w:t>property</w:t>
            </w:r>
            <w:r w:rsidR="006E51E5">
              <w:rPr>
                <w:noProof/>
                <w:webHidden/>
              </w:rPr>
              <w:tab/>
            </w:r>
            <w:r w:rsidR="006E51E5">
              <w:rPr>
                <w:noProof/>
                <w:webHidden/>
              </w:rPr>
              <w:fldChar w:fldCharType="begin"/>
            </w:r>
            <w:r w:rsidR="006E51E5">
              <w:rPr>
                <w:noProof/>
                <w:webHidden/>
              </w:rPr>
              <w:instrText xml:space="preserve"> PAGEREF _Toc436231869 \h </w:instrText>
            </w:r>
            <w:r w:rsidR="006E51E5">
              <w:rPr>
                <w:noProof/>
                <w:webHidden/>
              </w:rPr>
            </w:r>
            <w:r w:rsidR="006E51E5">
              <w:rPr>
                <w:noProof/>
                <w:webHidden/>
              </w:rPr>
              <w:fldChar w:fldCharType="separate"/>
            </w:r>
            <w:r w:rsidR="00F407F6">
              <w:rPr>
                <w:noProof/>
                <w:webHidden/>
              </w:rPr>
              <w:t>3</w:t>
            </w:r>
            <w:r w:rsidR="006E51E5">
              <w:rPr>
                <w:noProof/>
                <w:webHidden/>
              </w:rPr>
              <w:fldChar w:fldCharType="end"/>
            </w:r>
          </w:hyperlink>
        </w:p>
        <w:p w:rsidR="006E51E5" w:rsidRDefault="006D254F" w:rsidP="006E51E5">
          <w:pPr>
            <w:pStyle w:val="TOC1"/>
            <w:rPr>
              <w:noProof/>
            </w:rPr>
          </w:pPr>
          <w:hyperlink w:anchor="_Toc436231870" w:history="1">
            <w:r w:rsidR="006E51E5" w:rsidRPr="00001E23">
              <w:rPr>
                <w:rStyle w:val="Hyperlink"/>
                <w:noProof/>
              </w:rPr>
              <w:t xml:space="preserve">E.   Analysing the balance in intellectual property: a complex task needs </w:t>
            </w:r>
            <w:r w:rsidR="006E51E5">
              <w:rPr>
                <w:rStyle w:val="Hyperlink"/>
                <w:noProof/>
              </w:rPr>
              <w:br/>
            </w:r>
            <w:r w:rsidR="006E51E5" w:rsidRPr="00001E23">
              <w:rPr>
                <w:rStyle w:val="Hyperlink"/>
                <w:noProof/>
              </w:rPr>
              <w:t>sophisticated tools</w:t>
            </w:r>
            <w:r w:rsidR="006E51E5">
              <w:rPr>
                <w:noProof/>
                <w:webHidden/>
              </w:rPr>
              <w:tab/>
            </w:r>
            <w:r w:rsidR="006E51E5">
              <w:rPr>
                <w:noProof/>
                <w:webHidden/>
              </w:rPr>
              <w:fldChar w:fldCharType="begin"/>
            </w:r>
            <w:r w:rsidR="006E51E5">
              <w:rPr>
                <w:noProof/>
                <w:webHidden/>
              </w:rPr>
              <w:instrText xml:space="preserve"> PAGEREF _Toc436231870 \h </w:instrText>
            </w:r>
            <w:r w:rsidR="006E51E5">
              <w:rPr>
                <w:noProof/>
                <w:webHidden/>
              </w:rPr>
            </w:r>
            <w:r w:rsidR="006E51E5">
              <w:rPr>
                <w:noProof/>
                <w:webHidden/>
              </w:rPr>
              <w:fldChar w:fldCharType="separate"/>
            </w:r>
            <w:r w:rsidR="00F407F6">
              <w:rPr>
                <w:noProof/>
                <w:webHidden/>
              </w:rPr>
              <w:t>5</w:t>
            </w:r>
            <w:r w:rsidR="006E51E5">
              <w:rPr>
                <w:noProof/>
                <w:webHidden/>
              </w:rPr>
              <w:fldChar w:fldCharType="end"/>
            </w:r>
          </w:hyperlink>
        </w:p>
        <w:p w:rsidR="006E51E5" w:rsidRDefault="006D254F" w:rsidP="006E51E5">
          <w:pPr>
            <w:pStyle w:val="TOC1"/>
            <w:rPr>
              <w:noProof/>
            </w:rPr>
          </w:pPr>
          <w:hyperlink w:anchor="_Toc436231871" w:history="1">
            <w:r w:rsidR="006E51E5" w:rsidRPr="00001E23">
              <w:rPr>
                <w:rStyle w:val="Hyperlink"/>
                <w:noProof/>
                <w:lang w:val="en-US"/>
              </w:rPr>
              <w:t>F.   The existing international framework for intellectual property</w:t>
            </w:r>
            <w:r w:rsidR="006E51E5">
              <w:rPr>
                <w:noProof/>
                <w:webHidden/>
              </w:rPr>
              <w:tab/>
            </w:r>
            <w:r w:rsidR="006E51E5">
              <w:rPr>
                <w:noProof/>
                <w:webHidden/>
              </w:rPr>
              <w:fldChar w:fldCharType="begin"/>
            </w:r>
            <w:r w:rsidR="006E51E5">
              <w:rPr>
                <w:noProof/>
                <w:webHidden/>
              </w:rPr>
              <w:instrText xml:space="preserve"> PAGEREF _Toc436231871 \h </w:instrText>
            </w:r>
            <w:r w:rsidR="006E51E5">
              <w:rPr>
                <w:noProof/>
                <w:webHidden/>
              </w:rPr>
            </w:r>
            <w:r w:rsidR="006E51E5">
              <w:rPr>
                <w:noProof/>
                <w:webHidden/>
              </w:rPr>
              <w:fldChar w:fldCharType="separate"/>
            </w:r>
            <w:r w:rsidR="00F407F6">
              <w:rPr>
                <w:noProof/>
                <w:webHidden/>
              </w:rPr>
              <w:t>7</w:t>
            </w:r>
            <w:r w:rsidR="006E51E5">
              <w:rPr>
                <w:noProof/>
                <w:webHidden/>
              </w:rPr>
              <w:fldChar w:fldCharType="end"/>
            </w:r>
          </w:hyperlink>
        </w:p>
        <w:p w:rsidR="006E51E5" w:rsidRDefault="006D254F" w:rsidP="006E51E5">
          <w:pPr>
            <w:pStyle w:val="TOC1"/>
            <w:rPr>
              <w:noProof/>
            </w:rPr>
          </w:pPr>
          <w:hyperlink w:anchor="_Toc436231872" w:history="1">
            <w:r w:rsidR="006E51E5" w:rsidRPr="00001E23">
              <w:rPr>
                <w:rStyle w:val="Hyperlink"/>
                <w:noProof/>
                <w:lang w:val="en-US"/>
              </w:rPr>
              <w:t>G.   DFAT engagement in international intellectual property negotiations and cooperation</w:t>
            </w:r>
            <w:r w:rsidR="006E51E5">
              <w:rPr>
                <w:noProof/>
                <w:webHidden/>
              </w:rPr>
              <w:tab/>
            </w:r>
            <w:r w:rsidR="006E51E5">
              <w:rPr>
                <w:noProof/>
                <w:webHidden/>
              </w:rPr>
              <w:fldChar w:fldCharType="begin"/>
            </w:r>
            <w:r w:rsidR="006E51E5">
              <w:rPr>
                <w:noProof/>
                <w:webHidden/>
              </w:rPr>
              <w:instrText xml:space="preserve"> PAGEREF _Toc436231872 \h </w:instrText>
            </w:r>
            <w:r w:rsidR="006E51E5">
              <w:rPr>
                <w:noProof/>
                <w:webHidden/>
              </w:rPr>
            </w:r>
            <w:r w:rsidR="006E51E5">
              <w:rPr>
                <w:noProof/>
                <w:webHidden/>
              </w:rPr>
              <w:fldChar w:fldCharType="separate"/>
            </w:r>
            <w:r w:rsidR="00F407F6">
              <w:rPr>
                <w:noProof/>
                <w:webHidden/>
              </w:rPr>
              <w:t>10</w:t>
            </w:r>
            <w:r w:rsidR="006E51E5">
              <w:rPr>
                <w:noProof/>
                <w:webHidden/>
              </w:rPr>
              <w:fldChar w:fldCharType="end"/>
            </w:r>
          </w:hyperlink>
        </w:p>
        <w:p w:rsidR="006E51E5" w:rsidRDefault="006D254F" w:rsidP="006E51E5">
          <w:pPr>
            <w:pStyle w:val="TOC1"/>
            <w:rPr>
              <w:noProof/>
            </w:rPr>
          </w:pPr>
          <w:hyperlink w:anchor="_Toc436231873" w:history="1">
            <w:r w:rsidR="006E51E5" w:rsidRPr="00001E23">
              <w:rPr>
                <w:rStyle w:val="Hyperlink"/>
                <w:noProof/>
                <w:lang w:val="en-US"/>
              </w:rPr>
              <w:t>H.   Specific issues for the Commission to consider</w:t>
            </w:r>
            <w:r w:rsidR="006E51E5">
              <w:rPr>
                <w:noProof/>
                <w:webHidden/>
              </w:rPr>
              <w:tab/>
            </w:r>
            <w:r w:rsidR="006E51E5">
              <w:rPr>
                <w:noProof/>
                <w:webHidden/>
              </w:rPr>
              <w:fldChar w:fldCharType="begin"/>
            </w:r>
            <w:r w:rsidR="006E51E5">
              <w:rPr>
                <w:noProof/>
                <w:webHidden/>
              </w:rPr>
              <w:instrText xml:space="preserve"> PAGEREF _Toc436231873 \h </w:instrText>
            </w:r>
            <w:r w:rsidR="006E51E5">
              <w:rPr>
                <w:noProof/>
                <w:webHidden/>
              </w:rPr>
            </w:r>
            <w:r w:rsidR="006E51E5">
              <w:rPr>
                <w:noProof/>
                <w:webHidden/>
              </w:rPr>
              <w:fldChar w:fldCharType="separate"/>
            </w:r>
            <w:r w:rsidR="00F407F6">
              <w:rPr>
                <w:noProof/>
                <w:webHidden/>
              </w:rPr>
              <w:t>14</w:t>
            </w:r>
            <w:r w:rsidR="006E51E5">
              <w:rPr>
                <w:noProof/>
                <w:webHidden/>
              </w:rPr>
              <w:fldChar w:fldCharType="end"/>
            </w:r>
          </w:hyperlink>
        </w:p>
        <w:p w:rsidR="006E51E5" w:rsidRDefault="006E51E5">
          <w:r>
            <w:rPr>
              <w:b/>
              <w:bCs/>
              <w:noProof/>
            </w:rPr>
            <w:fldChar w:fldCharType="end"/>
          </w:r>
        </w:p>
      </w:sdtContent>
    </w:sdt>
    <w:p w:rsidR="006E51E5" w:rsidRDefault="006E51E5" w:rsidP="00654163">
      <w:pPr>
        <w:rPr>
          <w:b/>
          <w:sz w:val="28"/>
          <w:szCs w:val="28"/>
        </w:rPr>
      </w:pPr>
    </w:p>
    <w:p w:rsidR="006E51E5" w:rsidRDefault="006E51E5" w:rsidP="00654163">
      <w:pPr>
        <w:rPr>
          <w:b/>
          <w:sz w:val="28"/>
          <w:szCs w:val="28"/>
        </w:rPr>
      </w:pPr>
    </w:p>
    <w:p w:rsidR="006E51E5" w:rsidRDefault="006E51E5">
      <w:pPr>
        <w:rPr>
          <w:rFonts w:asciiTheme="majorHAnsi" w:eastAsiaTheme="majorEastAsia" w:hAnsiTheme="majorHAnsi" w:cstheme="majorBidi"/>
          <w:b/>
          <w:bCs/>
          <w:color w:val="365F91" w:themeColor="accent1" w:themeShade="BF"/>
          <w:sz w:val="26"/>
          <w:szCs w:val="28"/>
        </w:rPr>
      </w:pPr>
      <w:bookmarkStart w:id="1" w:name="_Toc436231866"/>
      <w:r>
        <w:rPr>
          <w:sz w:val="26"/>
        </w:rPr>
        <w:br w:type="page"/>
      </w:r>
    </w:p>
    <w:p w:rsidR="001949D7" w:rsidRPr="007C70BA" w:rsidRDefault="001949D7" w:rsidP="007C70BA">
      <w:pPr>
        <w:pStyle w:val="Heading1"/>
        <w:spacing w:after="240"/>
        <w:rPr>
          <w:sz w:val="26"/>
        </w:rPr>
      </w:pPr>
      <w:r w:rsidRPr="006E51E5">
        <w:rPr>
          <w:sz w:val="26"/>
        </w:rPr>
        <w:lastRenderedPageBreak/>
        <w:t xml:space="preserve">A.  </w:t>
      </w:r>
      <w:r w:rsidR="006E51E5" w:rsidRPr="006E51E5">
        <w:rPr>
          <w:sz w:val="26"/>
        </w:rPr>
        <w:t xml:space="preserve"> </w:t>
      </w:r>
      <w:r w:rsidR="00654163" w:rsidRPr="006E51E5">
        <w:rPr>
          <w:sz w:val="26"/>
        </w:rPr>
        <w:t>Introduction</w:t>
      </w:r>
      <w:bookmarkEnd w:id="1"/>
    </w:p>
    <w:p w:rsidR="00654163" w:rsidRDefault="008F13FD" w:rsidP="00654163">
      <w:pPr>
        <w:pStyle w:val="ListParagraph"/>
        <w:numPr>
          <w:ilvl w:val="0"/>
          <w:numId w:val="4"/>
        </w:numPr>
        <w:spacing w:after="240"/>
        <w:ind w:left="714" w:hanging="357"/>
        <w:contextualSpacing w:val="0"/>
      </w:pPr>
      <w:r>
        <w:t xml:space="preserve">The key message in this </w:t>
      </w:r>
      <w:r w:rsidR="00654163">
        <w:t xml:space="preserve">submission </w:t>
      </w:r>
      <w:r>
        <w:t xml:space="preserve">is that any evaluation of Australia’s domestic intellectual property policy </w:t>
      </w:r>
      <w:r w:rsidR="000733A6">
        <w:t>arrangements</w:t>
      </w:r>
      <w:r>
        <w:t xml:space="preserve"> needs to take full </w:t>
      </w:r>
      <w:r w:rsidR="00654163">
        <w:t>account of the wider</w:t>
      </w:r>
      <w:r w:rsidR="001949D7">
        <w:t xml:space="preserve"> international economic context</w:t>
      </w:r>
      <w:r w:rsidR="00654163">
        <w:t xml:space="preserve">.  </w:t>
      </w:r>
      <w:r w:rsidR="0025709B">
        <w:t>W</w:t>
      </w:r>
      <w:r>
        <w:t xml:space="preserve">e outline </w:t>
      </w:r>
      <w:r w:rsidR="00654163">
        <w:t>the linkages between intellectual property, the Australian economy and the global economy</w:t>
      </w:r>
      <w:r w:rsidR="0025709B">
        <w:t xml:space="preserve"> </w:t>
      </w:r>
      <w:r w:rsidR="00C556E7">
        <w:t>(Sections D and E</w:t>
      </w:r>
      <w:r w:rsidR="00654163">
        <w:t>)</w:t>
      </w:r>
      <w:r w:rsidR="00065B16">
        <w:t>, set out</w:t>
      </w:r>
      <w:r w:rsidR="00654163">
        <w:t xml:space="preserve"> </w:t>
      </w:r>
      <w:r>
        <w:t xml:space="preserve">information </w:t>
      </w:r>
      <w:r w:rsidR="00654163">
        <w:t>on existing international rules and cooperation</w:t>
      </w:r>
      <w:r w:rsidR="00631B6F">
        <w:t>,</w:t>
      </w:r>
      <w:r w:rsidR="00654163">
        <w:t xml:space="preserve"> which facilitate trade and investment in intellectual property and enhance the economic we</w:t>
      </w:r>
      <w:r w:rsidR="00C556E7">
        <w:t>lfare of Australians (Sections F</w:t>
      </w:r>
      <w:r w:rsidR="00654163">
        <w:t xml:space="preserve"> an</w:t>
      </w:r>
      <w:r w:rsidR="00C556E7">
        <w:t>d G</w:t>
      </w:r>
      <w:r w:rsidR="00654163">
        <w:t>)</w:t>
      </w:r>
      <w:r w:rsidR="0025709B">
        <w:t xml:space="preserve"> and</w:t>
      </w:r>
      <w:r w:rsidR="00654163">
        <w:t xml:space="preserve"> suggest specific areas for th</w:t>
      </w:r>
      <w:r w:rsidR="00C556E7">
        <w:t>e inquiry to consider (Section H</w:t>
      </w:r>
      <w:r w:rsidR="00654163">
        <w:t>).</w:t>
      </w:r>
    </w:p>
    <w:p w:rsidR="00654163" w:rsidRDefault="00654163" w:rsidP="00654163">
      <w:pPr>
        <w:pStyle w:val="ListParagraph"/>
        <w:numPr>
          <w:ilvl w:val="0"/>
          <w:numId w:val="4"/>
        </w:numPr>
        <w:spacing w:after="240"/>
        <w:ind w:left="714" w:hanging="357"/>
        <w:contextualSpacing w:val="0"/>
      </w:pPr>
      <w:r>
        <w:t>We look forward to the Commission</w:t>
      </w:r>
      <w:r w:rsidR="007963BA">
        <w:t xml:space="preserve">’s </w:t>
      </w:r>
      <w:r w:rsidR="008F13FD">
        <w:t xml:space="preserve">report. </w:t>
      </w:r>
      <w:r w:rsidR="007963BA">
        <w:t xml:space="preserve"> </w:t>
      </w:r>
      <w:r w:rsidR="008F13FD">
        <w:t xml:space="preserve">Our interests </w:t>
      </w:r>
      <w:r w:rsidR="00065B16">
        <w:t>include</w:t>
      </w:r>
      <w:r w:rsidR="008F13FD">
        <w:t xml:space="preserve"> </w:t>
      </w:r>
      <w:r>
        <w:t xml:space="preserve">data and analysis examining the influence of intellectual property settings on: </w:t>
      </w:r>
    </w:p>
    <w:p w:rsidR="00654163" w:rsidRDefault="00654163" w:rsidP="00654163">
      <w:pPr>
        <w:pStyle w:val="ListParagraph"/>
        <w:numPr>
          <w:ilvl w:val="1"/>
          <w:numId w:val="4"/>
        </w:numPr>
        <w:spacing w:after="240"/>
        <w:contextualSpacing w:val="0"/>
      </w:pPr>
      <w:r>
        <w:t xml:space="preserve">facilitating inward investment; </w:t>
      </w:r>
    </w:p>
    <w:p w:rsidR="00654163" w:rsidRDefault="00654163" w:rsidP="00654163">
      <w:pPr>
        <w:pStyle w:val="ListParagraph"/>
        <w:numPr>
          <w:ilvl w:val="1"/>
          <w:numId w:val="4"/>
        </w:numPr>
        <w:spacing w:after="240"/>
        <w:contextualSpacing w:val="0"/>
      </w:pPr>
      <w:r>
        <w:t>supporting innovators</w:t>
      </w:r>
      <w:r w:rsidR="00656797">
        <w:t>, creators</w:t>
      </w:r>
      <w:r>
        <w:t xml:space="preserve"> and businesses collaborate, share knowledge, trade and invest internationally; and</w:t>
      </w:r>
    </w:p>
    <w:p w:rsidR="00654163" w:rsidRPr="0064189D" w:rsidRDefault="00654163" w:rsidP="006E51E5">
      <w:pPr>
        <w:pStyle w:val="ListParagraph"/>
        <w:numPr>
          <w:ilvl w:val="1"/>
          <w:numId w:val="4"/>
        </w:numPr>
        <w:ind w:left="1434" w:hanging="357"/>
        <w:contextualSpacing w:val="0"/>
      </w:pPr>
      <w:r>
        <w:t>connecting with global value chains, particularly at the high value end.</w:t>
      </w:r>
    </w:p>
    <w:p w:rsidR="00626034" w:rsidRPr="006E51E5" w:rsidRDefault="00654163" w:rsidP="007C70BA">
      <w:pPr>
        <w:pStyle w:val="Heading1"/>
        <w:spacing w:before="600" w:after="120"/>
        <w:rPr>
          <w:sz w:val="26"/>
        </w:rPr>
      </w:pPr>
      <w:bookmarkStart w:id="2" w:name="_Toc436231867"/>
      <w:r w:rsidRPr="006E51E5">
        <w:rPr>
          <w:sz w:val="26"/>
        </w:rPr>
        <w:t>B.</w:t>
      </w:r>
      <w:r w:rsidR="00B84DD0" w:rsidRPr="006E51E5">
        <w:rPr>
          <w:sz w:val="26"/>
        </w:rPr>
        <w:t xml:space="preserve">  </w:t>
      </w:r>
      <w:r w:rsidR="006E51E5" w:rsidRPr="006E51E5">
        <w:rPr>
          <w:sz w:val="26"/>
        </w:rPr>
        <w:t xml:space="preserve"> </w:t>
      </w:r>
      <w:r w:rsidR="00626034" w:rsidRPr="006E51E5">
        <w:rPr>
          <w:sz w:val="26"/>
        </w:rPr>
        <w:t xml:space="preserve">Key </w:t>
      </w:r>
      <w:r w:rsidR="00AA3E44" w:rsidRPr="006E51E5">
        <w:rPr>
          <w:sz w:val="26"/>
        </w:rPr>
        <w:t>messages</w:t>
      </w:r>
      <w:bookmarkEnd w:id="2"/>
    </w:p>
    <w:p w:rsidR="000733A6" w:rsidRDefault="000733A6" w:rsidP="000733A6">
      <w:pPr>
        <w:pStyle w:val="ListParagraph"/>
        <w:numPr>
          <w:ilvl w:val="0"/>
          <w:numId w:val="30"/>
        </w:numPr>
        <w:spacing w:after="240"/>
      </w:pPr>
      <w:r>
        <w:t xml:space="preserve">The Commission’s work </w:t>
      </w:r>
      <w:r w:rsidR="00060ABC">
        <w:t>should</w:t>
      </w:r>
      <w:r>
        <w:t xml:space="preserve"> </w:t>
      </w:r>
      <w:r w:rsidR="00E40AC4">
        <w:t>provide a solid foundation</w:t>
      </w:r>
      <w:r w:rsidR="00136A0B">
        <w:t xml:space="preserve"> </w:t>
      </w:r>
      <w:r w:rsidR="00E40AC4">
        <w:t>for</w:t>
      </w:r>
      <w:r>
        <w:t xml:space="preserve"> </w:t>
      </w:r>
      <w:r w:rsidR="006B2042">
        <w:t>Australia to continue to</w:t>
      </w:r>
      <w:r>
        <w:t xml:space="preserve"> </w:t>
      </w:r>
      <w:r w:rsidR="006B2042">
        <w:t>grow its</w:t>
      </w:r>
      <w:r w:rsidR="00E40AC4">
        <w:t xml:space="preserve"> </w:t>
      </w:r>
      <w:r>
        <w:t>engagement with the global economy</w:t>
      </w:r>
      <w:r w:rsidR="00060ABC">
        <w:t>.</w:t>
      </w:r>
    </w:p>
    <w:p w:rsidR="00626034" w:rsidRDefault="00626034" w:rsidP="000733A6">
      <w:pPr>
        <w:pStyle w:val="ListParagraph"/>
        <w:numPr>
          <w:ilvl w:val="1"/>
          <w:numId w:val="30"/>
        </w:numPr>
        <w:spacing w:after="240"/>
      </w:pPr>
      <w:r w:rsidRPr="00626034">
        <w:t>Australia’s future prosperity is closely linked to our capacity to participate in the global trade and investment system</w:t>
      </w:r>
      <w:r>
        <w:t>.</w:t>
      </w:r>
    </w:p>
    <w:p w:rsidR="000733A6" w:rsidRDefault="00626034" w:rsidP="000733A6">
      <w:pPr>
        <w:pStyle w:val="ListParagraph"/>
        <w:numPr>
          <w:ilvl w:val="1"/>
          <w:numId w:val="30"/>
        </w:numPr>
        <w:spacing w:after="240"/>
      </w:pPr>
      <w:r>
        <w:t>Transformative economic changes have dramatically increased the reach and significance of intellectual property to economies and to trade and investment.</w:t>
      </w:r>
    </w:p>
    <w:p w:rsidR="000733A6" w:rsidRDefault="000733A6" w:rsidP="000733A6">
      <w:pPr>
        <w:pStyle w:val="ListParagraph"/>
        <w:numPr>
          <w:ilvl w:val="1"/>
          <w:numId w:val="30"/>
        </w:numPr>
        <w:spacing w:after="240"/>
      </w:pPr>
      <w:r>
        <w:t xml:space="preserve">Developing our knowledge-based and innovation industries will be a central element in ensuring Australia is able to compete in the global marketplace. </w:t>
      </w:r>
    </w:p>
    <w:p w:rsidR="00626034" w:rsidRDefault="000733A6" w:rsidP="00060ABC">
      <w:pPr>
        <w:pStyle w:val="ListParagraph"/>
        <w:numPr>
          <w:ilvl w:val="0"/>
          <w:numId w:val="30"/>
        </w:numPr>
        <w:spacing w:after="240"/>
      </w:pPr>
      <w:r>
        <w:t xml:space="preserve">We encourage the Commission to collect and analyse data that helps unpack the various ways in which intellectual property settings influence our </w:t>
      </w:r>
      <w:r w:rsidR="00060ABC">
        <w:t xml:space="preserve">economic </w:t>
      </w:r>
      <w:r>
        <w:t>wellbeing</w:t>
      </w:r>
      <w:r w:rsidR="00060ABC">
        <w:t>, thinking broadly ab</w:t>
      </w:r>
      <w:r w:rsidR="001C29F3">
        <w:t>out linkages</w:t>
      </w:r>
      <w:r w:rsidR="00060ABC">
        <w:t xml:space="preserve"> </w:t>
      </w:r>
      <w:r w:rsidR="001C29F3">
        <w:t xml:space="preserve">and recognising that intellectual property imports, exports and </w:t>
      </w:r>
      <w:r w:rsidR="00060ABC">
        <w:t>investme</w:t>
      </w:r>
      <w:r w:rsidR="001C29F3">
        <w:t xml:space="preserve">nt </w:t>
      </w:r>
      <w:r w:rsidR="00060ABC">
        <w:t>can benefit the economy.</w:t>
      </w:r>
    </w:p>
    <w:p w:rsidR="00060ABC" w:rsidRDefault="00FE1104" w:rsidP="00060ABC">
      <w:pPr>
        <w:pStyle w:val="ListParagraph"/>
        <w:numPr>
          <w:ilvl w:val="0"/>
          <w:numId w:val="30"/>
        </w:numPr>
        <w:spacing w:after="240"/>
      </w:pPr>
      <w:r>
        <w:t xml:space="preserve">International intellectual property agreements are an important means to effectively promote, protect and enforce </w:t>
      </w:r>
      <w:r w:rsidR="00E40AC4">
        <w:t xml:space="preserve">Australian </w:t>
      </w:r>
      <w:r>
        <w:t>intellectual property rights in export markets and to facilitate investment</w:t>
      </w:r>
      <w:r w:rsidR="001C215C">
        <w:t>.</w:t>
      </w:r>
    </w:p>
    <w:p w:rsidR="001C29F3" w:rsidRDefault="00E97CF1" w:rsidP="001C29F3">
      <w:pPr>
        <w:pStyle w:val="ListParagraph"/>
        <w:numPr>
          <w:ilvl w:val="1"/>
          <w:numId w:val="30"/>
        </w:numPr>
        <w:spacing w:after="240"/>
      </w:pPr>
      <w:r>
        <w:t>B</w:t>
      </w:r>
      <w:r w:rsidR="00954653">
        <w:t>ilateral, regional</w:t>
      </w:r>
      <w:r w:rsidR="001C29F3">
        <w:t xml:space="preserve"> and multilateral agreements </w:t>
      </w:r>
      <w:r w:rsidR="005A4368">
        <w:t xml:space="preserve">are </w:t>
      </w:r>
      <w:r w:rsidR="00E40AC4">
        <w:t xml:space="preserve">collectively </w:t>
      </w:r>
      <w:r w:rsidR="001C29F3">
        <w:t xml:space="preserve">pursued, as determined by </w:t>
      </w:r>
      <w:r w:rsidR="005A4368">
        <w:t xml:space="preserve">Government and </w:t>
      </w:r>
      <w:r w:rsidR="001C29F3">
        <w:t xml:space="preserve">what is in </w:t>
      </w:r>
      <w:r w:rsidR="005A4368">
        <w:t>Australia’s</w:t>
      </w:r>
      <w:r w:rsidR="001C29F3">
        <w:t xml:space="preserve"> na</w:t>
      </w:r>
      <w:r w:rsidR="005A4368">
        <w:t>tional interest.</w:t>
      </w:r>
    </w:p>
    <w:p w:rsidR="001C215C" w:rsidRDefault="006B2042" w:rsidP="001C215C">
      <w:pPr>
        <w:pStyle w:val="ListParagraph"/>
        <w:numPr>
          <w:ilvl w:val="1"/>
          <w:numId w:val="30"/>
        </w:numPr>
        <w:spacing w:after="240"/>
      </w:pPr>
      <w:r>
        <w:t>Agreements do not prevent Governments from</w:t>
      </w:r>
      <w:r w:rsidR="001C215C">
        <w:t xml:space="preserve"> </w:t>
      </w:r>
      <w:r>
        <w:t>continuing</w:t>
      </w:r>
      <w:r w:rsidR="001C215C">
        <w:t xml:space="preserve"> to tailor domestic settings to meet specific interests.</w:t>
      </w:r>
    </w:p>
    <w:p w:rsidR="007667AB" w:rsidRDefault="00136A0B" w:rsidP="005A4368">
      <w:pPr>
        <w:pStyle w:val="ListParagraph"/>
        <w:numPr>
          <w:ilvl w:val="0"/>
          <w:numId w:val="30"/>
        </w:numPr>
        <w:spacing w:after="240"/>
      </w:pPr>
      <w:r>
        <w:t xml:space="preserve">While the international economy and existing international framework are relevant to the inquiry, </w:t>
      </w:r>
      <w:r w:rsidR="00712038">
        <w:t xml:space="preserve">it would not be appropriate or warranted under the Terms of Reference </w:t>
      </w:r>
      <w:r w:rsidR="009D03E6">
        <w:t xml:space="preserve">for the Commission </w:t>
      </w:r>
      <w:r w:rsidR="00712038">
        <w:t xml:space="preserve">to </w:t>
      </w:r>
      <w:r>
        <w:t>review Australia’s approach to international intellectual property negotiat</w:t>
      </w:r>
      <w:r w:rsidR="007667AB">
        <w:t>ions</w:t>
      </w:r>
      <w:r>
        <w:t xml:space="preserve">. </w:t>
      </w:r>
    </w:p>
    <w:p w:rsidR="00654163" w:rsidRPr="006E51E5" w:rsidRDefault="00626034" w:rsidP="007C70BA">
      <w:pPr>
        <w:pStyle w:val="Heading1"/>
        <w:spacing w:after="240"/>
        <w:ind w:left="425" w:hanging="425"/>
        <w:rPr>
          <w:sz w:val="26"/>
        </w:rPr>
      </w:pPr>
      <w:bookmarkStart w:id="3" w:name="_Toc436231868"/>
      <w:r w:rsidRPr="006E51E5">
        <w:rPr>
          <w:sz w:val="26"/>
        </w:rPr>
        <w:lastRenderedPageBreak/>
        <w:t xml:space="preserve">C.  </w:t>
      </w:r>
      <w:r w:rsidR="006E51E5" w:rsidRPr="006E51E5">
        <w:rPr>
          <w:sz w:val="26"/>
        </w:rPr>
        <w:t xml:space="preserve"> </w:t>
      </w:r>
      <w:r w:rsidR="006E51E5">
        <w:rPr>
          <w:sz w:val="26"/>
        </w:rPr>
        <w:t xml:space="preserve"> </w:t>
      </w:r>
      <w:r w:rsidR="00B84DD0" w:rsidRPr="006E51E5">
        <w:rPr>
          <w:sz w:val="26"/>
        </w:rPr>
        <w:t xml:space="preserve">Intellectual Property and </w:t>
      </w:r>
      <w:r w:rsidR="008F13FD" w:rsidRPr="006E51E5">
        <w:rPr>
          <w:sz w:val="26"/>
        </w:rPr>
        <w:t xml:space="preserve">the </w:t>
      </w:r>
      <w:r w:rsidR="00B84DD0" w:rsidRPr="006E51E5">
        <w:rPr>
          <w:sz w:val="26"/>
        </w:rPr>
        <w:t>Foreign Affairs and Trade</w:t>
      </w:r>
      <w:r w:rsidR="006E51E5" w:rsidRPr="006E51E5">
        <w:rPr>
          <w:sz w:val="26"/>
        </w:rPr>
        <w:t xml:space="preserve"> </w:t>
      </w:r>
      <w:r w:rsidR="008F13FD" w:rsidRPr="006E51E5">
        <w:rPr>
          <w:sz w:val="26"/>
        </w:rPr>
        <w:t>portfolio</w:t>
      </w:r>
      <w:bookmarkEnd w:id="3"/>
    </w:p>
    <w:p w:rsidR="00654163" w:rsidRDefault="009003D0" w:rsidP="00654163">
      <w:pPr>
        <w:pStyle w:val="ListParagraph"/>
        <w:numPr>
          <w:ilvl w:val="0"/>
          <w:numId w:val="4"/>
        </w:numPr>
        <w:spacing w:after="240"/>
        <w:ind w:left="714" w:hanging="357"/>
        <w:contextualSpacing w:val="0"/>
      </w:pPr>
      <w:r>
        <w:t>Th</w:t>
      </w:r>
      <w:r w:rsidR="00AA3E44">
        <w:t>is portfolio’s</w:t>
      </w:r>
      <w:r w:rsidR="00654163">
        <w:t xml:space="preserve"> main interactions with </w:t>
      </w:r>
      <w:r w:rsidR="00A76E31">
        <w:t xml:space="preserve">Australia’s </w:t>
      </w:r>
      <w:r w:rsidR="00654163">
        <w:t>domestic intellectual property settings are through:</w:t>
      </w:r>
    </w:p>
    <w:p w:rsidR="0064189D" w:rsidRDefault="00654163" w:rsidP="00C179D8">
      <w:pPr>
        <w:pStyle w:val="ListParagraph"/>
        <w:numPr>
          <w:ilvl w:val="1"/>
          <w:numId w:val="4"/>
        </w:numPr>
        <w:spacing w:after="120"/>
        <w:ind w:left="1434" w:hanging="357"/>
        <w:contextualSpacing w:val="0"/>
      </w:pPr>
      <w:r>
        <w:t>leading whole-of-government engagement in Australia’s international trade and investment negotiations and institutions</w:t>
      </w:r>
      <w:r w:rsidR="00631B6F">
        <w:t>, supported by agencies responsible for intellectual property policy</w:t>
      </w:r>
      <w:r w:rsidR="00C179D8">
        <w:t>, as well as working with agencies to ensure</w:t>
      </w:r>
      <w:r w:rsidR="00631B6F">
        <w:t xml:space="preserve"> </w:t>
      </w:r>
      <w:r w:rsidR="0064189D">
        <w:t xml:space="preserve">Australia’s international trade and investment commitments are taken into account </w:t>
      </w:r>
      <w:r w:rsidR="00C179D8">
        <w:t xml:space="preserve">to the extent relevant </w:t>
      </w:r>
      <w:r w:rsidR="0064189D">
        <w:t xml:space="preserve">to </w:t>
      </w:r>
      <w:r w:rsidR="00C179D8">
        <w:t>domestic intellectual property law</w:t>
      </w:r>
      <w:r w:rsidR="0064189D">
        <w:t xml:space="preserve">; </w:t>
      </w:r>
    </w:p>
    <w:p w:rsidR="00654163" w:rsidRDefault="00654163" w:rsidP="00654163">
      <w:pPr>
        <w:pStyle w:val="ListParagraph"/>
        <w:numPr>
          <w:ilvl w:val="1"/>
          <w:numId w:val="4"/>
        </w:numPr>
        <w:spacing w:after="120"/>
        <w:ind w:left="1434" w:hanging="357"/>
        <w:contextualSpacing w:val="0"/>
      </w:pPr>
      <w:r>
        <w:t xml:space="preserve">facilitating inward investment; </w:t>
      </w:r>
    </w:p>
    <w:p w:rsidR="00654163" w:rsidRDefault="00654163" w:rsidP="00654163">
      <w:pPr>
        <w:pStyle w:val="ListParagraph"/>
        <w:numPr>
          <w:ilvl w:val="1"/>
          <w:numId w:val="4"/>
        </w:numPr>
        <w:spacing w:after="120"/>
        <w:ind w:left="1434" w:hanging="357"/>
        <w:contextualSpacing w:val="0"/>
      </w:pPr>
      <w:r>
        <w:t xml:space="preserve">promoting Australian exports, including accessing global </w:t>
      </w:r>
      <w:r w:rsidR="008F13FD">
        <w:t xml:space="preserve">and regional </w:t>
      </w:r>
      <w:r>
        <w:t>value chains; and</w:t>
      </w:r>
    </w:p>
    <w:p w:rsidR="00654163" w:rsidRDefault="00654163" w:rsidP="00654163">
      <w:pPr>
        <w:pStyle w:val="ListParagraph"/>
        <w:numPr>
          <w:ilvl w:val="1"/>
          <w:numId w:val="4"/>
        </w:numPr>
        <w:spacing w:after="120"/>
        <w:ind w:left="1434" w:hanging="357"/>
        <w:contextualSpacing w:val="0"/>
      </w:pPr>
      <w:r>
        <w:t>managing Australia’s aid program, with its strategic focus on promoting economic development in the Indo-Pacific region, aid for trade, private sector engagement and innovation.</w:t>
      </w:r>
    </w:p>
    <w:p w:rsidR="00D33719" w:rsidRDefault="008F13FD" w:rsidP="00656797">
      <w:pPr>
        <w:pStyle w:val="ListParagraph"/>
        <w:numPr>
          <w:ilvl w:val="0"/>
          <w:numId w:val="4"/>
        </w:numPr>
        <w:spacing w:after="240"/>
        <w:ind w:left="714" w:hanging="357"/>
        <w:contextualSpacing w:val="0"/>
      </w:pPr>
      <w:r>
        <w:t xml:space="preserve">Beyond these </w:t>
      </w:r>
      <w:r w:rsidR="00654163">
        <w:t xml:space="preserve">specific </w:t>
      </w:r>
      <w:r>
        <w:t xml:space="preserve">functions, </w:t>
      </w:r>
      <w:r w:rsidR="00654163">
        <w:t xml:space="preserve">Australia’s </w:t>
      </w:r>
      <w:r w:rsidR="00A76E31">
        <w:t xml:space="preserve">engagement on </w:t>
      </w:r>
      <w:r w:rsidR="00654163">
        <w:t xml:space="preserve">international intellectual property </w:t>
      </w:r>
      <w:r w:rsidR="00A76E31">
        <w:t xml:space="preserve">issues </w:t>
      </w:r>
      <w:r w:rsidR="00631B6F">
        <w:t xml:space="preserve">is </w:t>
      </w:r>
      <w:r w:rsidR="00656797">
        <w:t xml:space="preserve">typically led by </w:t>
      </w:r>
      <w:r w:rsidR="00631B6F">
        <w:t xml:space="preserve">either </w:t>
      </w:r>
      <w:r w:rsidR="00631B6F" w:rsidRPr="00631B6F">
        <w:t>IP Australia (</w:t>
      </w:r>
      <w:r w:rsidR="00F141F7">
        <w:t>which has policy responsibility for</w:t>
      </w:r>
      <w:r w:rsidR="00631B6F" w:rsidRPr="00631B6F">
        <w:t xml:space="preserve"> industrial property</w:t>
      </w:r>
      <w:r w:rsidR="00F141F7">
        <w:t xml:space="preserve"> issues such as </w:t>
      </w:r>
      <w:r w:rsidR="001813C1">
        <w:t>trade marks, patents and designs</w:t>
      </w:r>
      <w:r w:rsidR="00631B6F" w:rsidRPr="00631B6F">
        <w:t>) or the Department o</w:t>
      </w:r>
      <w:r w:rsidR="00AA522E">
        <w:t>f</w:t>
      </w:r>
      <w:r w:rsidR="001813C1">
        <w:t xml:space="preserve"> Communications </w:t>
      </w:r>
      <w:r w:rsidR="00072C76">
        <w:t xml:space="preserve">and the Arts </w:t>
      </w:r>
      <w:r w:rsidR="001813C1">
        <w:t>(</w:t>
      </w:r>
      <w:r w:rsidR="00F141F7">
        <w:t xml:space="preserve">which has policy responsibility for </w:t>
      </w:r>
      <w:r w:rsidR="00D33719">
        <w:t>copyright).</w:t>
      </w:r>
    </w:p>
    <w:p w:rsidR="00D33719" w:rsidRDefault="005C1B39" w:rsidP="00474D66">
      <w:pPr>
        <w:pStyle w:val="ListParagraph"/>
        <w:numPr>
          <w:ilvl w:val="0"/>
          <w:numId w:val="4"/>
        </w:numPr>
        <w:spacing w:after="240"/>
        <w:ind w:left="714" w:hanging="357"/>
        <w:contextualSpacing w:val="0"/>
      </w:pPr>
      <w:r>
        <w:t xml:space="preserve">Other departments and agencies </w:t>
      </w:r>
      <w:r w:rsidR="00D33719">
        <w:t xml:space="preserve">can also </w:t>
      </w:r>
      <w:r w:rsidR="00F141F7">
        <w:t>play</w:t>
      </w:r>
      <w:r w:rsidR="007963BA">
        <w:t xml:space="preserve"> an</w:t>
      </w:r>
      <w:r w:rsidR="00F141F7">
        <w:t xml:space="preserve"> important </w:t>
      </w:r>
      <w:r w:rsidR="007963BA">
        <w:t>role</w:t>
      </w:r>
      <w:r>
        <w:t>, such as the Department of Health and the Department of Agri</w:t>
      </w:r>
      <w:r w:rsidR="007963BA">
        <w:t>culture, depending on the issue</w:t>
      </w:r>
      <w:r>
        <w:t xml:space="preserve"> </w:t>
      </w:r>
      <w:r w:rsidR="001813C1">
        <w:t>at hand</w:t>
      </w:r>
      <w:r>
        <w:t xml:space="preserve">. </w:t>
      </w:r>
      <w:r w:rsidR="00D33719">
        <w:t xml:space="preserve"> </w:t>
      </w:r>
    </w:p>
    <w:p w:rsidR="00654163" w:rsidRPr="007C70BA" w:rsidRDefault="00AA3E44" w:rsidP="007C70BA">
      <w:pPr>
        <w:pStyle w:val="Heading1"/>
        <w:spacing w:before="600" w:after="240"/>
        <w:ind w:left="425" w:hanging="425"/>
        <w:rPr>
          <w:sz w:val="26"/>
        </w:rPr>
      </w:pPr>
      <w:bookmarkStart w:id="4" w:name="_Toc436231869"/>
      <w:r w:rsidRPr="006E51E5">
        <w:rPr>
          <w:sz w:val="26"/>
        </w:rPr>
        <w:t>D</w:t>
      </w:r>
      <w:r w:rsidR="00654163" w:rsidRPr="006E51E5">
        <w:rPr>
          <w:sz w:val="26"/>
        </w:rPr>
        <w:t xml:space="preserve">.  </w:t>
      </w:r>
      <w:r w:rsidR="006E51E5">
        <w:rPr>
          <w:sz w:val="26"/>
        </w:rPr>
        <w:t xml:space="preserve"> </w:t>
      </w:r>
      <w:r w:rsidR="00654163" w:rsidRPr="006E51E5">
        <w:rPr>
          <w:sz w:val="26"/>
        </w:rPr>
        <w:t>The international economic context and the pervasiveness of intellectual property</w:t>
      </w:r>
      <w:bookmarkEnd w:id="4"/>
      <w:r w:rsidR="00654163" w:rsidRPr="006E51E5">
        <w:rPr>
          <w:sz w:val="26"/>
        </w:rPr>
        <w:t xml:space="preserve"> </w:t>
      </w:r>
    </w:p>
    <w:p w:rsidR="00D264C5" w:rsidRDefault="00654163" w:rsidP="00474D66">
      <w:pPr>
        <w:pStyle w:val="ListParagraph"/>
        <w:numPr>
          <w:ilvl w:val="0"/>
          <w:numId w:val="4"/>
        </w:numPr>
        <w:spacing w:after="240"/>
        <w:ind w:left="714" w:hanging="357"/>
        <w:contextualSpacing w:val="0"/>
      </w:pPr>
      <w:r>
        <w:t xml:space="preserve">Australia’s </w:t>
      </w:r>
      <w:r w:rsidR="00D264C5">
        <w:t xml:space="preserve">future </w:t>
      </w:r>
      <w:r>
        <w:t xml:space="preserve">prosperity </w:t>
      </w:r>
      <w:r w:rsidR="00D264C5">
        <w:t xml:space="preserve">will be closely </w:t>
      </w:r>
      <w:r>
        <w:t xml:space="preserve">linked to </w:t>
      </w:r>
      <w:r w:rsidR="00D264C5">
        <w:t xml:space="preserve">our capacity to participate in the global </w:t>
      </w:r>
      <w:r>
        <w:t>trade and investment</w:t>
      </w:r>
      <w:r w:rsidR="00D264C5">
        <w:t xml:space="preserve"> s</w:t>
      </w:r>
      <w:r w:rsidR="006B2042">
        <w:t>ystem, particularly in the Indo</w:t>
      </w:r>
      <w:r w:rsidR="006B2042">
        <w:noBreakHyphen/>
      </w:r>
      <w:r w:rsidR="00D264C5">
        <w:t xml:space="preserve">Pacific region given its prospects for robust economic growth.  </w:t>
      </w:r>
    </w:p>
    <w:p w:rsidR="00D264C5" w:rsidRDefault="00D264C5" w:rsidP="00474D66">
      <w:pPr>
        <w:pStyle w:val="ListParagraph"/>
        <w:numPr>
          <w:ilvl w:val="0"/>
          <w:numId w:val="4"/>
        </w:numPr>
        <w:spacing w:after="240"/>
        <w:ind w:left="714" w:hanging="357"/>
        <w:contextualSpacing w:val="0"/>
      </w:pPr>
      <w:r>
        <w:t>T</w:t>
      </w:r>
      <w:r w:rsidRPr="00474D66">
        <w:t xml:space="preserve">rade has played a major role in our ability to sustain our </w:t>
      </w:r>
      <w:r w:rsidR="0064496B">
        <w:t xml:space="preserve">economic </w:t>
      </w:r>
      <w:r w:rsidR="00065B16">
        <w:t>growth record.  In the p</w:t>
      </w:r>
      <w:r w:rsidRPr="00474D66">
        <w:t>ast three years, net exports have contributed over half of Australia’s 7.4 per cent real GDP growth</w:t>
      </w:r>
      <w:r>
        <w:t>.  O</w:t>
      </w:r>
      <w:r w:rsidRPr="00474D66">
        <w:t>ver the years, the ratio of exports to Australia’s GDP has grown in trend terms – from around 15 per cent at the end of the 1970s to around 20 per cent today</w:t>
      </w:r>
      <w:r>
        <w:t xml:space="preserve">.  </w:t>
      </w:r>
    </w:p>
    <w:p w:rsidR="00654163" w:rsidRDefault="00D264C5" w:rsidP="00474D66">
      <w:pPr>
        <w:pStyle w:val="ListParagraph"/>
        <w:numPr>
          <w:ilvl w:val="0"/>
          <w:numId w:val="4"/>
        </w:numPr>
        <w:spacing w:after="240"/>
        <w:ind w:left="714" w:hanging="357"/>
        <w:contextualSpacing w:val="0"/>
      </w:pPr>
      <w:r w:rsidRPr="00474D66">
        <w:t xml:space="preserve">The long term health of our economy beyond the mining boom will depend to a large extent on how successful we are in continuing </w:t>
      </w:r>
      <w:r w:rsidR="000E7DBB" w:rsidRPr="000E7DBB">
        <w:t>to internationalise the economy</w:t>
      </w:r>
      <w:r w:rsidRPr="00474D66">
        <w:t>.</w:t>
      </w:r>
      <w:r w:rsidR="000E7DBB">
        <w:t xml:space="preserve">  Given our cost structures, developing our knowledge-based and innovation industries will be a central element in ensuring that Australia is able to compete in the global marketplace.  </w:t>
      </w:r>
      <w:r w:rsidRPr="00474D66">
        <w:t xml:space="preserve"> </w:t>
      </w:r>
      <w:r w:rsidRPr="00474D66">
        <w:rPr>
          <w:rFonts w:ascii="Arial" w:hAnsi="Arial" w:cs="Arial"/>
          <w:sz w:val="28"/>
          <w:szCs w:val="28"/>
        </w:rPr>
        <w:t xml:space="preserve"> </w:t>
      </w:r>
    </w:p>
    <w:p w:rsidR="00654163" w:rsidRDefault="00654163" w:rsidP="007963BA">
      <w:pPr>
        <w:pStyle w:val="ListParagraph"/>
        <w:numPr>
          <w:ilvl w:val="0"/>
          <w:numId w:val="4"/>
        </w:numPr>
        <w:spacing w:after="240"/>
        <w:ind w:left="714" w:hanging="357"/>
        <w:contextualSpacing w:val="0"/>
      </w:pPr>
      <w:r>
        <w:t xml:space="preserve">Appropriate intellectual property settings </w:t>
      </w:r>
      <w:r w:rsidR="000E7DBB">
        <w:t xml:space="preserve">and enforcement mechanisms are important in positioning </w:t>
      </w:r>
      <w:r>
        <w:t xml:space="preserve">Australia </w:t>
      </w:r>
      <w:r w:rsidR="000E7DBB">
        <w:t xml:space="preserve">in the global context as having a policy and </w:t>
      </w:r>
      <w:r w:rsidR="000E7DBB">
        <w:lastRenderedPageBreak/>
        <w:t>economic environment that is conducive to innovation and open to trade, i</w:t>
      </w:r>
      <w:r w:rsidR="001949D7">
        <w:t>nvestment and capital movement.</w:t>
      </w:r>
    </w:p>
    <w:p w:rsidR="00654163" w:rsidRDefault="007963BA" w:rsidP="007963BA">
      <w:pPr>
        <w:pStyle w:val="ListParagraph"/>
        <w:numPr>
          <w:ilvl w:val="0"/>
          <w:numId w:val="4"/>
        </w:numPr>
        <w:spacing w:after="240"/>
        <w:ind w:left="714" w:hanging="357"/>
        <w:contextualSpacing w:val="0"/>
      </w:pPr>
      <w:r>
        <w:t>These settings need to be considered in the context of t</w:t>
      </w:r>
      <w:r w:rsidR="00654163">
        <w:t>ransformative economic changes over recent decades</w:t>
      </w:r>
      <w:r w:rsidR="009003D0">
        <w:t xml:space="preserve"> that</w:t>
      </w:r>
      <w:r w:rsidR="00654163">
        <w:t xml:space="preserve"> have dramatically increased the reach and significance of intellectual property to economie</w:t>
      </w:r>
      <w:r>
        <w:t>s and to trade and investment.   Key changes</w:t>
      </w:r>
      <w:r w:rsidR="00654163">
        <w:t xml:space="preserve"> include:</w:t>
      </w:r>
    </w:p>
    <w:p w:rsidR="00654163" w:rsidRPr="00033CC1" w:rsidRDefault="00654163" w:rsidP="00654163">
      <w:pPr>
        <w:pStyle w:val="ListParagraph"/>
        <w:numPr>
          <w:ilvl w:val="1"/>
          <w:numId w:val="4"/>
        </w:numPr>
        <w:spacing w:after="120"/>
        <w:ind w:left="1434" w:hanging="357"/>
        <w:contextualSpacing w:val="0"/>
      </w:pPr>
      <w:r w:rsidRPr="00033CC1">
        <w:t>the increasing importance of knowledge-based assets and industries to economies</w:t>
      </w:r>
    </w:p>
    <w:p w:rsidR="00654163" w:rsidRPr="00992170" w:rsidRDefault="00212AB2" w:rsidP="00654163">
      <w:pPr>
        <w:pStyle w:val="ListParagraph"/>
        <w:numPr>
          <w:ilvl w:val="2"/>
          <w:numId w:val="4"/>
        </w:numPr>
        <w:spacing w:after="120"/>
        <w:contextualSpacing w:val="0"/>
        <w:rPr>
          <w:i/>
        </w:rPr>
      </w:pPr>
      <w:r w:rsidRPr="00992170">
        <w:rPr>
          <w:i/>
        </w:rPr>
        <w:t xml:space="preserve">total research and development spending in </w:t>
      </w:r>
      <w:r>
        <w:rPr>
          <w:i/>
        </w:rPr>
        <w:t>Organisation for Economic Cooperation and Development (</w:t>
      </w:r>
      <w:r w:rsidRPr="00992170">
        <w:rPr>
          <w:i/>
        </w:rPr>
        <w:t>OECD</w:t>
      </w:r>
      <w:r>
        <w:rPr>
          <w:i/>
        </w:rPr>
        <w:t>)</w:t>
      </w:r>
      <w:r w:rsidRPr="00992170">
        <w:rPr>
          <w:i/>
        </w:rPr>
        <w:t xml:space="preserve"> </w:t>
      </w:r>
      <w:r w:rsidR="003D7D55">
        <w:rPr>
          <w:i/>
        </w:rPr>
        <w:t>countries</w:t>
      </w:r>
      <w:r w:rsidRPr="00992170">
        <w:rPr>
          <w:i/>
        </w:rPr>
        <w:t xml:space="preserve"> grew 2.7</w:t>
      </w:r>
      <w:r w:rsidR="003D7D55">
        <w:rPr>
          <w:i/>
        </w:rPr>
        <w:t xml:space="preserve"> per cent</w:t>
      </w:r>
      <w:r w:rsidRPr="00992170">
        <w:rPr>
          <w:i/>
        </w:rPr>
        <w:t xml:space="preserve"> in real terms to reach </w:t>
      </w:r>
      <w:r>
        <w:rPr>
          <w:i/>
        </w:rPr>
        <w:t>US$</w:t>
      </w:r>
      <w:r w:rsidRPr="00992170">
        <w:rPr>
          <w:i/>
        </w:rPr>
        <w:t>1.1 trillion in 2013</w:t>
      </w:r>
      <w:r>
        <w:rPr>
          <w:i/>
        </w:rPr>
        <w:t xml:space="preserve"> </w:t>
      </w:r>
      <w:r w:rsidRPr="001832BB">
        <w:t>(OECD 2015</w:t>
      </w:r>
      <w:r>
        <w:t>a</w:t>
      </w:r>
      <w:r w:rsidRPr="001832BB">
        <w:t>)</w:t>
      </w:r>
      <w:r w:rsidRPr="00992170">
        <w:rPr>
          <w:i/>
        </w:rPr>
        <w:t>;</w:t>
      </w:r>
    </w:p>
    <w:p w:rsidR="00212AB2" w:rsidRDefault="00212AB2" w:rsidP="00212AB2">
      <w:pPr>
        <w:pStyle w:val="ListParagraph"/>
        <w:numPr>
          <w:ilvl w:val="2"/>
          <w:numId w:val="4"/>
        </w:numPr>
        <w:spacing w:after="120"/>
        <w:contextualSpacing w:val="0"/>
        <w:rPr>
          <w:i/>
        </w:rPr>
      </w:pPr>
      <w:r w:rsidRPr="00992170">
        <w:rPr>
          <w:i/>
        </w:rPr>
        <w:t>bu</w:t>
      </w:r>
      <w:r>
        <w:rPr>
          <w:i/>
        </w:rPr>
        <w:t>siness investment in non-physical assets (</w:t>
      </w:r>
      <w:r w:rsidRPr="00212AB2">
        <w:rPr>
          <w:i/>
          <w:lang w:val="en"/>
        </w:rPr>
        <w:t xml:space="preserve">such as </w:t>
      </w:r>
      <w:r>
        <w:rPr>
          <w:i/>
          <w:lang w:val="en"/>
        </w:rPr>
        <w:t>intellectual property, data</w:t>
      </w:r>
      <w:r w:rsidRPr="00212AB2">
        <w:rPr>
          <w:i/>
          <w:lang w:val="en"/>
        </w:rPr>
        <w:t>, new organisational processes and firm</w:t>
      </w:r>
      <w:r w:rsidRPr="00212AB2">
        <w:rPr>
          <w:i/>
          <w:lang w:val="en"/>
        </w:rPr>
        <w:noBreakHyphen/>
        <w:t>specific skills</w:t>
      </w:r>
      <w:r>
        <w:rPr>
          <w:i/>
        </w:rPr>
        <w:t>)</w:t>
      </w:r>
      <w:r w:rsidRPr="00212AB2">
        <w:rPr>
          <w:i/>
        </w:rPr>
        <w:t xml:space="preserve"> in many developed economies is now greater than investment in </w:t>
      </w:r>
      <w:r>
        <w:rPr>
          <w:i/>
        </w:rPr>
        <w:t>physical assets</w:t>
      </w:r>
      <w:r w:rsidRPr="00212AB2">
        <w:rPr>
          <w:i/>
        </w:rPr>
        <w:t xml:space="preserve">, with the gap expected to </w:t>
      </w:r>
      <w:r w:rsidR="00083F02">
        <w:rPr>
          <w:i/>
        </w:rPr>
        <w:t>grow</w:t>
      </w:r>
      <w:r w:rsidRPr="00212AB2">
        <w:rPr>
          <w:i/>
        </w:rPr>
        <w:t xml:space="preserve"> </w:t>
      </w:r>
      <w:r w:rsidRPr="003D7D55">
        <w:t>(OECD 2013)</w:t>
      </w:r>
      <w:r w:rsidRPr="00212AB2">
        <w:rPr>
          <w:i/>
        </w:rPr>
        <w:t>;</w:t>
      </w:r>
    </w:p>
    <w:p w:rsidR="00654163" w:rsidRPr="00212AB2" w:rsidRDefault="00654163" w:rsidP="00212AB2">
      <w:pPr>
        <w:pStyle w:val="ListParagraph"/>
        <w:numPr>
          <w:ilvl w:val="2"/>
          <w:numId w:val="4"/>
        </w:numPr>
        <w:spacing w:after="120"/>
        <w:contextualSpacing w:val="0"/>
        <w:rPr>
          <w:i/>
        </w:rPr>
      </w:pPr>
      <w:r w:rsidRPr="00212AB2">
        <w:rPr>
          <w:i/>
        </w:rPr>
        <w:t>global trade in intellectual property licences alone were estimated in 2011 to be worth more than £600 billion a year</w:t>
      </w:r>
      <w:r w:rsidR="003D7D55">
        <w:rPr>
          <w:i/>
        </w:rPr>
        <w:t xml:space="preserve"> – approximately</w:t>
      </w:r>
      <w:r w:rsidRPr="00212AB2">
        <w:rPr>
          <w:i/>
        </w:rPr>
        <w:t xml:space="preserve"> A$932 billion </w:t>
      </w:r>
      <w:r w:rsidRPr="003D7D55">
        <w:t>(Hargreaves 2011)</w:t>
      </w:r>
      <w:r w:rsidRPr="00212AB2">
        <w:rPr>
          <w:i/>
        </w:rPr>
        <w:t>.</w:t>
      </w:r>
    </w:p>
    <w:p w:rsidR="00654163" w:rsidRDefault="00654163" w:rsidP="00654163">
      <w:pPr>
        <w:pStyle w:val="ListParagraph"/>
        <w:numPr>
          <w:ilvl w:val="1"/>
          <w:numId w:val="4"/>
        </w:numPr>
        <w:spacing w:after="120"/>
        <w:ind w:left="1434" w:hanging="357"/>
        <w:contextualSpacing w:val="0"/>
      </w:pPr>
      <w:r>
        <w:t xml:space="preserve">advances in technology are </w:t>
      </w:r>
      <w:r w:rsidRPr="00417275">
        <w:t>creating new knowledge intensive markets, products and platforms, upon which many aspects of life increasingly depend</w:t>
      </w:r>
      <w:r>
        <w:t xml:space="preserve"> </w:t>
      </w:r>
    </w:p>
    <w:p w:rsidR="00654163" w:rsidRPr="00992170" w:rsidRDefault="003D7D55" w:rsidP="00654163">
      <w:pPr>
        <w:pStyle w:val="ListParagraph"/>
        <w:numPr>
          <w:ilvl w:val="2"/>
          <w:numId w:val="4"/>
        </w:numPr>
        <w:spacing w:after="120"/>
        <w:contextualSpacing w:val="0"/>
        <w:rPr>
          <w:i/>
        </w:rPr>
      </w:pPr>
      <w:r>
        <w:rPr>
          <w:i/>
        </w:rPr>
        <w:t>In 2012-13,</w:t>
      </w:r>
      <w:r w:rsidR="00654163" w:rsidRPr="00992170">
        <w:rPr>
          <w:i/>
        </w:rPr>
        <w:t xml:space="preserve"> 77</w:t>
      </w:r>
      <w:r>
        <w:rPr>
          <w:i/>
        </w:rPr>
        <w:t xml:space="preserve"> per cent</w:t>
      </w:r>
      <w:r w:rsidR="00654163" w:rsidRPr="00992170">
        <w:rPr>
          <w:i/>
        </w:rPr>
        <w:t xml:space="preserve"> of OECD businesses had a website and 21</w:t>
      </w:r>
      <w:r>
        <w:rPr>
          <w:i/>
        </w:rPr>
        <w:t xml:space="preserve"> per cent</w:t>
      </w:r>
      <w:r w:rsidR="00654163" w:rsidRPr="00992170">
        <w:rPr>
          <w:i/>
        </w:rPr>
        <w:t xml:space="preserve"> sold their products electronically</w:t>
      </w:r>
      <w:r w:rsidR="00654163">
        <w:rPr>
          <w:i/>
        </w:rPr>
        <w:t xml:space="preserve"> </w:t>
      </w:r>
      <w:r w:rsidR="00654163">
        <w:t>(</w:t>
      </w:r>
      <w:r w:rsidR="00654163" w:rsidRPr="00417275">
        <w:rPr>
          <w:bCs/>
          <w:lang w:val="en"/>
        </w:rPr>
        <w:t>OEC</w:t>
      </w:r>
      <w:r w:rsidR="00654163">
        <w:rPr>
          <w:bCs/>
          <w:lang w:val="en"/>
        </w:rPr>
        <w:t xml:space="preserve">D </w:t>
      </w:r>
      <w:r w:rsidR="00654163" w:rsidRPr="00417275">
        <w:rPr>
          <w:bCs/>
          <w:lang w:val="en"/>
        </w:rPr>
        <w:t>2014)</w:t>
      </w:r>
      <w:r w:rsidR="00654163" w:rsidRPr="00992170">
        <w:rPr>
          <w:i/>
        </w:rPr>
        <w:t>;</w:t>
      </w:r>
      <w:r w:rsidR="00654163">
        <w:rPr>
          <w:i/>
        </w:rPr>
        <w:t xml:space="preserve"> </w:t>
      </w:r>
      <w:r w:rsidR="00654163" w:rsidRPr="00992170">
        <w:rPr>
          <w:rStyle w:val="FootnoteReference"/>
          <w:i/>
        </w:rPr>
        <w:t xml:space="preserve"> </w:t>
      </w:r>
    </w:p>
    <w:p w:rsidR="00654163" w:rsidRPr="00D371B3" w:rsidRDefault="00654163" w:rsidP="00654163">
      <w:pPr>
        <w:pStyle w:val="ListParagraph"/>
        <w:numPr>
          <w:ilvl w:val="2"/>
          <w:numId w:val="4"/>
        </w:numPr>
        <w:spacing w:after="120"/>
        <w:contextualSpacing w:val="0"/>
        <w:rPr>
          <w:i/>
        </w:rPr>
      </w:pPr>
      <w:r w:rsidRPr="00D371B3">
        <w:rPr>
          <w:i/>
        </w:rPr>
        <w:t xml:space="preserve">The global app economy was worth </w:t>
      </w:r>
      <w:r>
        <w:rPr>
          <w:i/>
        </w:rPr>
        <w:t>US</w:t>
      </w:r>
      <w:r w:rsidRPr="00D371B3">
        <w:rPr>
          <w:i/>
        </w:rPr>
        <w:t>$68 billion in 2013 and is projected to</w:t>
      </w:r>
      <w:r w:rsidR="003D7D55">
        <w:rPr>
          <w:i/>
        </w:rPr>
        <w:t xml:space="preserve"> grow to US$143 billion in 2016.  O</w:t>
      </w:r>
      <w:r w:rsidRPr="00D371B3">
        <w:rPr>
          <w:i/>
        </w:rPr>
        <w:t>ut of a total global mobile developer</w:t>
      </w:r>
      <w:r>
        <w:rPr>
          <w:i/>
        </w:rPr>
        <w:t xml:space="preserve"> </w:t>
      </w:r>
      <w:r w:rsidRPr="00D371B3">
        <w:rPr>
          <w:i/>
        </w:rPr>
        <w:t>population of 2.3 milli</w:t>
      </w:r>
      <w:r w:rsidR="009003D0">
        <w:rPr>
          <w:i/>
        </w:rPr>
        <w:t>on individuals in 2013, Asia had</w:t>
      </w:r>
      <w:r w:rsidRPr="00D371B3">
        <w:rPr>
          <w:i/>
        </w:rPr>
        <w:t xml:space="preserve"> the most app</w:t>
      </w:r>
      <w:r>
        <w:rPr>
          <w:i/>
        </w:rPr>
        <w:t xml:space="preserve"> </w:t>
      </w:r>
      <w:r w:rsidRPr="00D371B3">
        <w:rPr>
          <w:i/>
        </w:rPr>
        <w:t>developer citizens at 760,000 individuals</w:t>
      </w:r>
      <w:r w:rsidRPr="003D7D55">
        <w:rPr>
          <w:i/>
        </w:rPr>
        <w:t xml:space="preserve"> </w:t>
      </w:r>
      <w:r w:rsidRPr="003D7D55">
        <w:t>(VisionMobile 2014)</w:t>
      </w:r>
      <w:r w:rsidRPr="00D371B3">
        <w:rPr>
          <w:i/>
        </w:rPr>
        <w:t>.</w:t>
      </w:r>
    </w:p>
    <w:p w:rsidR="00654163" w:rsidRPr="00417275" w:rsidRDefault="00654163" w:rsidP="00654163">
      <w:pPr>
        <w:pStyle w:val="ListParagraph"/>
        <w:numPr>
          <w:ilvl w:val="1"/>
          <w:numId w:val="4"/>
        </w:numPr>
        <w:spacing w:after="120"/>
        <w:ind w:left="1434" w:hanging="357"/>
        <w:contextualSpacing w:val="0"/>
      </w:pPr>
      <w:r>
        <w:t xml:space="preserve">the increasing specialisation and globalisation of </w:t>
      </w:r>
      <w:r w:rsidRPr="00417275">
        <w:t>production, service delivery and knowledge creation</w:t>
      </w:r>
      <w:r>
        <w:t>;</w:t>
      </w:r>
      <w:r w:rsidRPr="00417275">
        <w:t xml:space="preserve"> </w:t>
      </w:r>
      <w:r>
        <w:t>realised</w:t>
      </w:r>
      <w:r w:rsidRPr="00417275">
        <w:t xml:space="preserve"> through collaborations and global value chains</w:t>
      </w:r>
    </w:p>
    <w:p w:rsidR="00654163" w:rsidRPr="00B90558" w:rsidRDefault="00654163" w:rsidP="00654163">
      <w:pPr>
        <w:pStyle w:val="ListParagraph"/>
        <w:numPr>
          <w:ilvl w:val="2"/>
          <w:numId w:val="4"/>
        </w:numPr>
        <w:spacing w:after="120"/>
        <w:contextualSpacing w:val="0"/>
        <w:rPr>
          <w:i/>
        </w:rPr>
      </w:pPr>
      <w:r w:rsidRPr="00B90558">
        <w:rPr>
          <w:i/>
        </w:rPr>
        <w:t xml:space="preserve">within the OECD and large emerging </w:t>
      </w:r>
      <w:r>
        <w:rPr>
          <w:i/>
        </w:rPr>
        <w:t>economies</w:t>
      </w:r>
      <w:r w:rsidRPr="00B90558">
        <w:rPr>
          <w:i/>
        </w:rPr>
        <w:t>, the share of exported domestic value added embodied in partners exports increased from about 20</w:t>
      </w:r>
      <w:r w:rsidR="003D7D55">
        <w:rPr>
          <w:i/>
        </w:rPr>
        <w:t xml:space="preserve"> per cent</w:t>
      </w:r>
      <w:r w:rsidRPr="00B90558">
        <w:rPr>
          <w:i/>
        </w:rPr>
        <w:t xml:space="preserve"> to 32</w:t>
      </w:r>
      <w:r w:rsidR="003D7D55">
        <w:rPr>
          <w:i/>
        </w:rPr>
        <w:t xml:space="preserve"> per cent</w:t>
      </w:r>
      <w:r>
        <w:rPr>
          <w:i/>
        </w:rPr>
        <w:t xml:space="preserve"> (</w:t>
      </w:r>
      <w:r w:rsidRPr="00B90558">
        <w:rPr>
          <w:i/>
        </w:rPr>
        <w:t>between 1992 and 2011</w:t>
      </w:r>
      <w:r>
        <w:rPr>
          <w:i/>
        </w:rPr>
        <w:t>)</w:t>
      </w:r>
      <w:r w:rsidRPr="00B90558">
        <w:rPr>
          <w:i/>
        </w:rPr>
        <w:t xml:space="preserve">, </w:t>
      </w:r>
      <w:r>
        <w:rPr>
          <w:i/>
        </w:rPr>
        <w:t>demonstrating the</w:t>
      </w:r>
      <w:r w:rsidRPr="00B90558">
        <w:rPr>
          <w:i/>
        </w:rPr>
        <w:t xml:space="preserve"> growing </w:t>
      </w:r>
      <w:r>
        <w:rPr>
          <w:i/>
        </w:rPr>
        <w:t xml:space="preserve">importance of </w:t>
      </w:r>
      <w:r w:rsidRPr="00B90558">
        <w:rPr>
          <w:i/>
        </w:rPr>
        <w:t>global value chains</w:t>
      </w:r>
      <w:r>
        <w:t xml:space="preserve"> (OECD </w:t>
      </w:r>
      <w:r w:rsidRPr="00E06B6D">
        <w:t>2015</w:t>
      </w:r>
      <w:r>
        <w:t>a</w:t>
      </w:r>
      <w:r w:rsidRPr="00E06B6D">
        <w:t>)</w:t>
      </w:r>
      <w:r w:rsidRPr="00B90558">
        <w:rPr>
          <w:i/>
        </w:rPr>
        <w:t>;</w:t>
      </w:r>
    </w:p>
    <w:p w:rsidR="00654163" w:rsidRPr="00B90558" w:rsidRDefault="00654163" w:rsidP="00654163">
      <w:pPr>
        <w:pStyle w:val="ListParagraph"/>
        <w:numPr>
          <w:ilvl w:val="2"/>
          <w:numId w:val="4"/>
        </w:numPr>
        <w:spacing w:after="120"/>
        <w:contextualSpacing w:val="0"/>
        <w:rPr>
          <w:i/>
        </w:rPr>
      </w:pPr>
      <w:r w:rsidRPr="00B90558">
        <w:rPr>
          <w:i/>
        </w:rPr>
        <w:t xml:space="preserve">knowledge creation increasing relies on cross-country collaborations; international co-invention of patents increased by </w:t>
      </w:r>
      <w:r>
        <w:rPr>
          <w:i/>
        </w:rPr>
        <w:t>27</w:t>
      </w:r>
      <w:r w:rsidR="003D7D55">
        <w:rPr>
          <w:i/>
        </w:rPr>
        <w:t xml:space="preserve"> per cent</w:t>
      </w:r>
      <w:r>
        <w:rPr>
          <w:i/>
        </w:rPr>
        <w:t xml:space="preserve"> between 2000-03 and 2</w:t>
      </w:r>
      <w:r w:rsidRPr="00B90558">
        <w:rPr>
          <w:i/>
        </w:rPr>
        <w:t>010-13</w:t>
      </w:r>
      <w:r>
        <w:t xml:space="preserve"> (OECD </w:t>
      </w:r>
      <w:r w:rsidRPr="00E06B6D">
        <w:t>2015</w:t>
      </w:r>
      <w:r>
        <w:t>a</w:t>
      </w:r>
      <w:r w:rsidRPr="00E06B6D">
        <w:t>)</w:t>
      </w:r>
      <w:r w:rsidRPr="00B90558">
        <w:rPr>
          <w:i/>
        </w:rPr>
        <w:t>;</w:t>
      </w:r>
    </w:p>
    <w:p w:rsidR="00654163" w:rsidRDefault="00654163" w:rsidP="00654163">
      <w:pPr>
        <w:pStyle w:val="ListParagraph"/>
        <w:numPr>
          <w:ilvl w:val="1"/>
          <w:numId w:val="4"/>
        </w:numPr>
        <w:spacing w:after="120"/>
        <w:ind w:left="1434" w:hanging="357"/>
        <w:contextualSpacing w:val="0"/>
      </w:pPr>
      <w:r w:rsidRPr="00417275">
        <w:t>the rise of emerging economies, bringing new market opportunities and closing the technology gap</w:t>
      </w:r>
      <w:r>
        <w:t xml:space="preserve"> </w:t>
      </w:r>
    </w:p>
    <w:p w:rsidR="00654163" w:rsidRPr="00B90558" w:rsidRDefault="00654163" w:rsidP="00654163">
      <w:pPr>
        <w:pStyle w:val="ListParagraph"/>
        <w:numPr>
          <w:ilvl w:val="2"/>
          <w:numId w:val="4"/>
        </w:numPr>
        <w:spacing w:after="120"/>
        <w:contextualSpacing w:val="0"/>
        <w:rPr>
          <w:i/>
        </w:rPr>
      </w:pPr>
      <w:r w:rsidRPr="00B90558">
        <w:rPr>
          <w:i/>
        </w:rPr>
        <w:lastRenderedPageBreak/>
        <w:t>China’s Patent Office receives more patent applications each year than any other</w:t>
      </w:r>
      <w:r>
        <w:rPr>
          <w:i/>
        </w:rPr>
        <w:t xml:space="preserve"> Office</w:t>
      </w:r>
      <w:r w:rsidRPr="00B90558">
        <w:rPr>
          <w:i/>
        </w:rPr>
        <w:t xml:space="preserve">, and maintains the fastest growth; </w:t>
      </w:r>
    </w:p>
    <w:p w:rsidR="00654163" w:rsidRPr="00B90558" w:rsidRDefault="00654163" w:rsidP="00654163">
      <w:pPr>
        <w:pStyle w:val="ListParagraph"/>
        <w:numPr>
          <w:ilvl w:val="2"/>
          <w:numId w:val="4"/>
        </w:numPr>
        <w:spacing w:after="120"/>
        <w:contextualSpacing w:val="0"/>
        <w:rPr>
          <w:i/>
        </w:rPr>
      </w:pPr>
      <w:r w:rsidRPr="00B90558">
        <w:rPr>
          <w:i/>
        </w:rPr>
        <w:t xml:space="preserve">more than half of global patent application growth between 1995 and 2007 was due to the same application being lodged in multiple </w:t>
      </w:r>
      <w:r w:rsidR="003D7D55">
        <w:rPr>
          <w:i/>
        </w:rPr>
        <w:t>countries</w:t>
      </w:r>
      <w:r w:rsidRPr="00B90558">
        <w:rPr>
          <w:i/>
        </w:rPr>
        <w:t xml:space="preserve">; reflecting an increase in </w:t>
      </w:r>
      <w:r w:rsidR="003D7D55">
        <w:rPr>
          <w:i/>
        </w:rPr>
        <w:t>the number of economically viable markets for the sale of patented products</w:t>
      </w:r>
      <w:r>
        <w:t xml:space="preserve"> (WIPO </w:t>
      </w:r>
      <w:r w:rsidRPr="00E22482">
        <w:t>2014)</w:t>
      </w:r>
      <w:r w:rsidRPr="00B90558">
        <w:rPr>
          <w:i/>
        </w:rPr>
        <w:t>;</w:t>
      </w:r>
    </w:p>
    <w:p w:rsidR="00654163" w:rsidRPr="00115668" w:rsidRDefault="00654163" w:rsidP="00654163">
      <w:pPr>
        <w:pStyle w:val="ListParagraph"/>
        <w:numPr>
          <w:ilvl w:val="2"/>
          <w:numId w:val="4"/>
        </w:numPr>
        <w:spacing w:after="120"/>
        <w:contextualSpacing w:val="0"/>
        <w:rPr>
          <w:i/>
        </w:rPr>
      </w:pPr>
      <w:r w:rsidRPr="00B90558">
        <w:rPr>
          <w:i/>
        </w:rPr>
        <w:t>existing data suggests that high-income countries make up a large share of the international trade in knowledge and ideas, but that middle-income economies are catching up</w:t>
      </w:r>
      <w:r>
        <w:t xml:space="preserve"> </w:t>
      </w:r>
      <w:r>
        <w:br/>
        <w:t>(WIPO</w:t>
      </w:r>
      <w:r w:rsidRPr="001E3EB1">
        <w:t xml:space="preserve"> 2011</w:t>
      </w:r>
      <w:r>
        <w:t>)</w:t>
      </w:r>
      <w:r w:rsidRPr="00115668">
        <w:rPr>
          <w:i/>
        </w:rPr>
        <w:t>.</w:t>
      </w:r>
    </w:p>
    <w:p w:rsidR="00654163" w:rsidRPr="00417275" w:rsidRDefault="00654163" w:rsidP="00654163">
      <w:pPr>
        <w:pStyle w:val="ListParagraph"/>
        <w:numPr>
          <w:ilvl w:val="1"/>
          <w:numId w:val="4"/>
        </w:numPr>
        <w:spacing w:after="120"/>
        <w:ind w:left="1434" w:hanging="357"/>
        <w:contextualSpacing w:val="0"/>
      </w:pPr>
      <w:r>
        <w:t>the l</w:t>
      </w:r>
      <w:r w:rsidRPr="00417275">
        <w:t>owering of trade and investment barriers and an increased awareness of the economic significance of intellectual property</w:t>
      </w:r>
      <w:r>
        <w:t xml:space="preserve"> </w:t>
      </w:r>
    </w:p>
    <w:p w:rsidR="00654163" w:rsidRPr="00B90558" w:rsidRDefault="00654163" w:rsidP="00654163">
      <w:pPr>
        <w:pStyle w:val="ListParagraph"/>
        <w:numPr>
          <w:ilvl w:val="2"/>
          <w:numId w:val="4"/>
        </w:numPr>
        <w:spacing w:after="120"/>
        <w:contextualSpacing w:val="0"/>
        <w:rPr>
          <w:i/>
        </w:rPr>
      </w:pPr>
      <w:r w:rsidRPr="00B90558">
        <w:rPr>
          <w:i/>
        </w:rPr>
        <w:t xml:space="preserve">OECD advice to governments on innovation policy confirms that the influence of </w:t>
      </w:r>
      <w:r>
        <w:rPr>
          <w:i/>
        </w:rPr>
        <w:t>intellectual property is economy-</w:t>
      </w:r>
      <w:r w:rsidRPr="00B90558">
        <w:rPr>
          <w:i/>
        </w:rPr>
        <w:t>wide, affecting a wide swathe of sectors and demand</w:t>
      </w:r>
      <w:r>
        <w:t xml:space="preserve"> (OECD 2015b)</w:t>
      </w:r>
      <w:r w:rsidRPr="00B90558">
        <w:rPr>
          <w:i/>
        </w:rPr>
        <w:t>;</w:t>
      </w:r>
    </w:p>
    <w:p w:rsidR="00654163" w:rsidRPr="00B90558" w:rsidRDefault="00654163" w:rsidP="00654163">
      <w:pPr>
        <w:pStyle w:val="ListParagraph"/>
        <w:numPr>
          <w:ilvl w:val="2"/>
          <w:numId w:val="4"/>
        </w:numPr>
        <w:spacing w:after="120"/>
        <w:contextualSpacing w:val="0"/>
        <w:rPr>
          <w:i/>
        </w:rPr>
      </w:pPr>
      <w:r w:rsidRPr="00B90558">
        <w:rPr>
          <w:i/>
        </w:rPr>
        <w:t xml:space="preserve">the World Trade Organization Agreements; </w:t>
      </w:r>
      <w:r>
        <w:rPr>
          <w:i/>
        </w:rPr>
        <w:t xml:space="preserve">including the </w:t>
      </w:r>
      <w:r w:rsidRPr="00B90558">
        <w:rPr>
          <w:i/>
        </w:rPr>
        <w:t>Agreement on Trade-Related Aspects of Intellectual Property Rights</w:t>
      </w:r>
      <w:r w:rsidR="003D7D55">
        <w:rPr>
          <w:i/>
        </w:rPr>
        <w:t xml:space="preserve"> (TRIPS).  TRIPS</w:t>
      </w:r>
      <w:r>
        <w:rPr>
          <w:i/>
        </w:rPr>
        <w:t xml:space="preserve"> </w:t>
      </w:r>
      <w:r w:rsidRPr="00B90558">
        <w:rPr>
          <w:i/>
        </w:rPr>
        <w:t>established non</w:t>
      </w:r>
      <w:r w:rsidRPr="00B90558">
        <w:rPr>
          <w:i/>
        </w:rPr>
        <w:noBreakHyphen/>
        <w:t>discrimination</w:t>
      </w:r>
      <w:r w:rsidR="003D7D55">
        <w:rPr>
          <w:i/>
        </w:rPr>
        <w:t xml:space="preserve"> requirements and</w:t>
      </w:r>
      <w:r w:rsidRPr="00B90558">
        <w:rPr>
          <w:i/>
        </w:rPr>
        <w:t xml:space="preserve"> minimum </w:t>
      </w:r>
      <w:r>
        <w:rPr>
          <w:i/>
        </w:rPr>
        <w:t>standards</w:t>
      </w:r>
      <w:r w:rsidR="003D7D55">
        <w:rPr>
          <w:i/>
        </w:rPr>
        <w:t xml:space="preserve"> for intellectual property, as well as including</w:t>
      </w:r>
      <w:r>
        <w:rPr>
          <w:i/>
        </w:rPr>
        <w:t xml:space="preserve"> </w:t>
      </w:r>
      <w:r w:rsidRPr="00B90558">
        <w:rPr>
          <w:i/>
        </w:rPr>
        <w:t>guaran</w:t>
      </w:r>
      <w:r w:rsidR="003D7D55">
        <w:rPr>
          <w:i/>
        </w:rPr>
        <w:t>tees on enforcement of rights</w:t>
      </w:r>
      <w:r w:rsidRPr="00B90558">
        <w:rPr>
          <w:i/>
        </w:rPr>
        <w:t>;</w:t>
      </w:r>
    </w:p>
    <w:p w:rsidR="00654163" w:rsidRPr="009E3D0F" w:rsidRDefault="00654163" w:rsidP="00654163">
      <w:pPr>
        <w:pStyle w:val="ListParagraph"/>
        <w:numPr>
          <w:ilvl w:val="2"/>
          <w:numId w:val="4"/>
        </w:numPr>
        <w:spacing w:after="120"/>
        <w:contextualSpacing w:val="0"/>
        <w:rPr>
          <w:i/>
        </w:rPr>
      </w:pPr>
      <w:r w:rsidRPr="00B90558">
        <w:rPr>
          <w:i/>
        </w:rPr>
        <w:t>bilateral and regional free trade agreements</w:t>
      </w:r>
      <w:r>
        <w:rPr>
          <w:i/>
        </w:rPr>
        <w:t xml:space="preserve"> that</w:t>
      </w:r>
      <w:r w:rsidRPr="00B90558">
        <w:rPr>
          <w:i/>
        </w:rPr>
        <w:t xml:space="preserve"> </w:t>
      </w:r>
      <w:r>
        <w:rPr>
          <w:i/>
        </w:rPr>
        <w:t>build</w:t>
      </w:r>
      <w:r w:rsidRPr="00B90558">
        <w:rPr>
          <w:i/>
        </w:rPr>
        <w:t xml:space="preserve"> on multilateral outcomes</w:t>
      </w:r>
      <w:r>
        <w:rPr>
          <w:i/>
        </w:rPr>
        <w:t>,</w:t>
      </w:r>
      <w:r w:rsidRPr="00B90558">
        <w:rPr>
          <w:i/>
        </w:rPr>
        <w:t xml:space="preserve"> </w:t>
      </w:r>
      <w:r w:rsidR="003D7D55">
        <w:rPr>
          <w:i/>
        </w:rPr>
        <w:t>deepening cooperation on intellectual property</w:t>
      </w:r>
      <w:r>
        <w:rPr>
          <w:i/>
        </w:rPr>
        <w:t xml:space="preserve"> and encouraging improved enforcement.</w:t>
      </w:r>
      <w:r w:rsidRPr="009E3D0F">
        <w:rPr>
          <w:i/>
        </w:rPr>
        <w:br/>
      </w:r>
    </w:p>
    <w:p w:rsidR="00654163" w:rsidRPr="00C81DB7" w:rsidRDefault="00C81DB7" w:rsidP="00654163">
      <w:pPr>
        <w:pStyle w:val="ListParagraph"/>
        <w:numPr>
          <w:ilvl w:val="0"/>
          <w:numId w:val="4"/>
        </w:numPr>
        <w:spacing w:after="240"/>
        <w:ind w:left="714" w:hanging="357"/>
        <w:contextualSpacing w:val="0"/>
      </w:pPr>
      <w:r>
        <w:t>In the context of the Commission’s proposed ‘</w:t>
      </w:r>
      <w:r w:rsidRPr="00C81DB7">
        <w:rPr>
          <w:bCs/>
        </w:rPr>
        <w:t>framework for assessing IP arrangements</w:t>
      </w:r>
      <w:r>
        <w:rPr>
          <w:bCs/>
        </w:rPr>
        <w:t>’ (set out in p</w:t>
      </w:r>
      <w:r w:rsidR="007963BA">
        <w:rPr>
          <w:bCs/>
        </w:rPr>
        <w:t>a</w:t>
      </w:r>
      <w:r>
        <w:rPr>
          <w:bCs/>
        </w:rPr>
        <w:t>g</w:t>
      </w:r>
      <w:r w:rsidR="007963BA">
        <w:rPr>
          <w:bCs/>
        </w:rPr>
        <w:t>e</w:t>
      </w:r>
      <w:r>
        <w:rPr>
          <w:bCs/>
        </w:rPr>
        <w:t xml:space="preserve">s.7-15 of the Issues Paper), these </w:t>
      </w:r>
      <w:r w:rsidR="00E3392E">
        <w:rPr>
          <w:bCs/>
        </w:rPr>
        <w:t xml:space="preserve">global economic </w:t>
      </w:r>
      <w:r>
        <w:rPr>
          <w:bCs/>
        </w:rPr>
        <w:t>developments should be considered not only within the ‘</w:t>
      </w:r>
      <w:r w:rsidR="00AA3E44">
        <w:rPr>
          <w:bCs/>
        </w:rPr>
        <w:t>Adaptability</w:t>
      </w:r>
      <w:r>
        <w:rPr>
          <w:bCs/>
        </w:rPr>
        <w:t xml:space="preserve">’ criterion, but also </w:t>
      </w:r>
      <w:r w:rsidR="00E3392E">
        <w:rPr>
          <w:bCs/>
        </w:rPr>
        <w:t>within</w:t>
      </w:r>
      <w:r>
        <w:rPr>
          <w:bCs/>
        </w:rPr>
        <w:t xml:space="preserve"> the ‘Effectiveness’ and ‘Efficiency’ criteria. </w:t>
      </w:r>
    </w:p>
    <w:p w:rsidR="00654163" w:rsidRPr="007C70BA" w:rsidRDefault="00AA3E44" w:rsidP="007C70BA">
      <w:pPr>
        <w:pStyle w:val="Heading1"/>
        <w:spacing w:before="600" w:after="240"/>
        <w:ind w:left="425" w:hanging="425"/>
        <w:rPr>
          <w:sz w:val="26"/>
          <w:szCs w:val="26"/>
        </w:rPr>
      </w:pPr>
      <w:bookmarkStart w:id="5" w:name="_Toc436231870"/>
      <w:r w:rsidRPr="00A23354">
        <w:rPr>
          <w:sz w:val="26"/>
          <w:szCs w:val="26"/>
        </w:rPr>
        <w:t>E</w:t>
      </w:r>
      <w:r w:rsidR="00654163" w:rsidRPr="00A23354">
        <w:rPr>
          <w:sz w:val="26"/>
          <w:szCs w:val="26"/>
        </w:rPr>
        <w:t xml:space="preserve">.  </w:t>
      </w:r>
      <w:r w:rsidR="006E51E5" w:rsidRPr="00A23354">
        <w:rPr>
          <w:sz w:val="26"/>
          <w:szCs w:val="26"/>
        </w:rPr>
        <w:t xml:space="preserve"> </w:t>
      </w:r>
      <w:r w:rsidR="00A23354">
        <w:rPr>
          <w:sz w:val="26"/>
          <w:szCs w:val="26"/>
        </w:rPr>
        <w:t xml:space="preserve"> </w:t>
      </w:r>
      <w:r w:rsidR="00654163" w:rsidRPr="00A23354">
        <w:rPr>
          <w:sz w:val="26"/>
          <w:szCs w:val="26"/>
        </w:rPr>
        <w:t>Analysing the balance in intellectual property: a complex task needs sophisticated tools</w:t>
      </w:r>
      <w:bookmarkEnd w:id="5"/>
      <w:r w:rsidR="00654163" w:rsidRPr="00A23354">
        <w:rPr>
          <w:sz w:val="26"/>
          <w:szCs w:val="26"/>
        </w:rPr>
        <w:t xml:space="preserve"> </w:t>
      </w:r>
    </w:p>
    <w:p w:rsidR="00654163" w:rsidRDefault="00654163" w:rsidP="00654163">
      <w:pPr>
        <w:pStyle w:val="ListParagraph"/>
        <w:numPr>
          <w:ilvl w:val="0"/>
          <w:numId w:val="4"/>
        </w:numPr>
        <w:spacing w:after="240"/>
        <w:ind w:left="714" w:hanging="357"/>
        <w:contextualSpacing w:val="0"/>
      </w:pPr>
      <w:r>
        <w:t xml:space="preserve">The Terms of Reference </w:t>
      </w:r>
      <w:r w:rsidR="007963BA">
        <w:t>includes consideration of</w:t>
      </w:r>
      <w:r>
        <w:t xml:space="preserve"> whether </w:t>
      </w:r>
      <w:r w:rsidR="007963BA">
        <w:t>Australia’s</w:t>
      </w:r>
      <w:r>
        <w:t xml:space="preserve"> intellectual property system </w:t>
      </w:r>
      <w:r w:rsidRPr="00911453">
        <w:t>provides appropriate incentives for innovation, investment and the production of creative works</w:t>
      </w:r>
      <w:r w:rsidR="00E3392E">
        <w:t>,</w:t>
      </w:r>
      <w:r w:rsidR="007963BA">
        <w:t xml:space="preserve"> while ensuring the system</w:t>
      </w:r>
      <w:r w:rsidRPr="00911453">
        <w:t xml:space="preserve"> does not unreasonably impede further innovation, competition, investment and access to goods and services</w:t>
      </w:r>
      <w:r>
        <w:t xml:space="preserve">. </w:t>
      </w:r>
    </w:p>
    <w:p w:rsidR="00654163" w:rsidRDefault="00E3392E" w:rsidP="00654163">
      <w:pPr>
        <w:pStyle w:val="ListParagraph"/>
        <w:numPr>
          <w:ilvl w:val="0"/>
          <w:numId w:val="4"/>
        </w:numPr>
        <w:spacing w:after="240"/>
        <w:ind w:left="714" w:hanging="357"/>
        <w:contextualSpacing w:val="0"/>
      </w:pPr>
      <w:r>
        <w:t>S</w:t>
      </w:r>
      <w:r w:rsidR="00654163">
        <w:t>ophisticated data to suppo</w:t>
      </w:r>
      <w:r w:rsidR="00E6607F">
        <w:t xml:space="preserve">rt a full and proper analysis </w:t>
      </w:r>
      <w:r w:rsidR="00654163">
        <w:t xml:space="preserve">on the impact of intellectual property settings in economies has expanded in recent decades, </w:t>
      </w:r>
      <w:r w:rsidR="00E6607F">
        <w:t xml:space="preserve">but </w:t>
      </w:r>
      <w:r w:rsidR="00654163">
        <w:t xml:space="preserve">significant gaps remain.  </w:t>
      </w:r>
    </w:p>
    <w:p w:rsidR="00654163" w:rsidRDefault="00654163" w:rsidP="00654163">
      <w:pPr>
        <w:pStyle w:val="ListParagraph"/>
        <w:numPr>
          <w:ilvl w:val="0"/>
          <w:numId w:val="4"/>
        </w:numPr>
        <w:spacing w:after="240"/>
        <w:ind w:left="714" w:hanging="357"/>
        <w:contextualSpacing w:val="0"/>
      </w:pPr>
      <w:r>
        <w:t xml:space="preserve">Balance of trade statistics are useful and relevant in certain circumstances, but, in this case, </w:t>
      </w:r>
      <w:r w:rsidR="00450623">
        <w:t xml:space="preserve">we do not believe </w:t>
      </w:r>
      <w:r>
        <w:t xml:space="preserve">they capture the full significance and value of </w:t>
      </w:r>
      <w:r>
        <w:lastRenderedPageBreak/>
        <w:t>intellectual property to the wellbeing</w:t>
      </w:r>
      <w:r w:rsidR="00450623">
        <w:t xml:space="preserve"> and longer term success</w:t>
      </w:r>
      <w:r>
        <w:t xml:space="preserve"> of the Australian economy.  </w:t>
      </w:r>
      <w:r w:rsidR="00E6607F">
        <w:t xml:space="preserve">Certainly, such statistics on net imports or exports of intellectual property should not form the only basis to determine optimum design and level of intellectual property rights.  </w:t>
      </w:r>
      <w:r>
        <w:t xml:space="preserve">Deeper and more nuanced </w:t>
      </w:r>
      <w:r w:rsidR="00E6607F">
        <w:t xml:space="preserve">economic </w:t>
      </w:r>
      <w:r>
        <w:t xml:space="preserve">measures are required to determine true value and relationships.  </w:t>
      </w:r>
    </w:p>
    <w:p w:rsidR="00654163" w:rsidRDefault="00654163" w:rsidP="00654163">
      <w:pPr>
        <w:pStyle w:val="ListParagraph"/>
        <w:numPr>
          <w:ilvl w:val="0"/>
          <w:numId w:val="4"/>
        </w:numPr>
        <w:spacing w:after="240"/>
        <w:ind w:left="714" w:hanging="357"/>
        <w:contextualSpacing w:val="0"/>
      </w:pPr>
      <w:r>
        <w:t>We encourage the Commission to contribute to the evidence base through collection and analysis of data that helps unpack the various ways in which intellectual property settings influence our economic wellbeing.</w:t>
      </w:r>
    </w:p>
    <w:p w:rsidR="00654163" w:rsidRDefault="00450623" w:rsidP="00654163">
      <w:pPr>
        <w:pStyle w:val="ListParagraph"/>
        <w:numPr>
          <w:ilvl w:val="0"/>
          <w:numId w:val="4"/>
        </w:numPr>
        <w:spacing w:after="240"/>
        <w:ind w:left="714" w:hanging="357"/>
        <w:contextualSpacing w:val="0"/>
      </w:pPr>
      <w:r>
        <w:t>W</w:t>
      </w:r>
      <w:r w:rsidR="00654163">
        <w:t xml:space="preserve">e set out below a selection of existing studies and observations that seek to more comprehensively </w:t>
      </w:r>
      <w:r w:rsidR="00083F02">
        <w:t>outline</w:t>
      </w:r>
      <w:r w:rsidR="00654163">
        <w:t xml:space="preserve"> how intellectual property connects with, and supports, the Australian economy:  </w:t>
      </w:r>
    </w:p>
    <w:p w:rsidR="00654163" w:rsidRDefault="00654163" w:rsidP="00654163">
      <w:pPr>
        <w:pStyle w:val="ListParagraph"/>
        <w:numPr>
          <w:ilvl w:val="1"/>
          <w:numId w:val="5"/>
        </w:numPr>
        <w:spacing w:after="120"/>
        <w:ind w:left="1434" w:hanging="357"/>
        <w:contextualSpacing w:val="0"/>
      </w:pPr>
      <w:r>
        <w:t xml:space="preserve">A study of 29 countries found the average value of copyright and related industries </w:t>
      </w:r>
      <w:r w:rsidR="00E6607F">
        <w:t>(</w:t>
      </w:r>
      <w:r>
        <w:t xml:space="preserve">in terms of their value added, aggregate value in </w:t>
      </w:r>
      <w:r w:rsidR="00E6607F">
        <w:t>gross domestic product)</w:t>
      </w:r>
      <w:r>
        <w:t xml:space="preserve"> was 5.4</w:t>
      </w:r>
      <w:r w:rsidR="003D7D55">
        <w:t xml:space="preserve"> per cent</w:t>
      </w:r>
      <w:r>
        <w:t>.  Australia’s was 10.3</w:t>
      </w:r>
      <w:r w:rsidR="00E6607F">
        <w:t> per </w:t>
      </w:r>
      <w:r w:rsidR="003D7D55">
        <w:t>cent</w:t>
      </w:r>
      <w:r>
        <w:t>, second only to the US on 11.1</w:t>
      </w:r>
      <w:r w:rsidR="003D7D55">
        <w:t xml:space="preserve"> per cent</w:t>
      </w:r>
      <w:r w:rsidR="00E6607F">
        <w:t xml:space="preserve">. The </w:t>
      </w:r>
      <w:r>
        <w:t>contribution to employment in Australia was measured at 8</w:t>
      </w:r>
      <w:r w:rsidR="00E6607F">
        <w:t> per </w:t>
      </w:r>
      <w:r w:rsidR="003D7D55">
        <w:t>cent</w:t>
      </w:r>
      <w:r>
        <w:t>, again close to first placed US on 8.5</w:t>
      </w:r>
      <w:r w:rsidR="003D7D55">
        <w:t xml:space="preserve"> per cent</w:t>
      </w:r>
      <w:r>
        <w:t xml:space="preserve"> (WIPO 2013a).</w:t>
      </w:r>
    </w:p>
    <w:p w:rsidR="00654163" w:rsidRDefault="00654163" w:rsidP="00654163">
      <w:pPr>
        <w:pStyle w:val="ListParagraph"/>
        <w:numPr>
          <w:ilvl w:val="1"/>
          <w:numId w:val="5"/>
        </w:numPr>
        <w:spacing w:after="120"/>
        <w:ind w:left="1434" w:hanging="357"/>
        <w:contextualSpacing w:val="0"/>
      </w:pPr>
      <w:r>
        <w:t xml:space="preserve">Protecting and promoting a brand is vital for business: companies made an estimated US$410 billion in </w:t>
      </w:r>
      <w:r w:rsidRPr="00CA338C">
        <w:t>global branding investments in 2011</w:t>
      </w:r>
      <w:r>
        <w:t xml:space="preserve">; both high and middle income countries have seen significant increases over time in their use of trademarks relative to </w:t>
      </w:r>
      <w:r w:rsidR="00E6607F">
        <w:t>gross domestic product</w:t>
      </w:r>
      <w:r>
        <w:t xml:space="preserve"> (WIPO 2013b).  Recognition and protection of Australian brands will help drive our exports in foreign markets; our wine industry is a good example.</w:t>
      </w:r>
    </w:p>
    <w:p w:rsidR="00654163" w:rsidRDefault="00654163" w:rsidP="00654163">
      <w:pPr>
        <w:pStyle w:val="ListParagraph"/>
        <w:numPr>
          <w:ilvl w:val="1"/>
          <w:numId w:val="5"/>
        </w:numPr>
        <w:spacing w:after="120"/>
        <w:ind w:left="1434" w:hanging="357"/>
        <w:contextualSpacing w:val="0"/>
      </w:pPr>
      <w:r>
        <w:t xml:space="preserve">Protecting Australian brands is increasingly important as new trading channels emerge through technological advances.  For example, cross border e-commerce is likely to transition increased numbers of SMEs into exports due to reductions in traditional trade barriers.  </w:t>
      </w:r>
      <w:r w:rsidR="00E6607F">
        <w:t>Securing</w:t>
      </w:r>
      <w:r>
        <w:t xml:space="preserve"> Australia’s reputation and intellectual property in these emerging export channels will be key to Australia’s national brand, protecting both</w:t>
      </w:r>
      <w:r w:rsidRPr="004A5160">
        <w:t xml:space="preserve"> </w:t>
      </w:r>
      <w:r>
        <w:t>the consumer and manufacturer and ensuring Australia can command premium prices.</w:t>
      </w:r>
    </w:p>
    <w:p w:rsidR="00654163" w:rsidRDefault="00654163" w:rsidP="00654163">
      <w:pPr>
        <w:pStyle w:val="ListParagraph"/>
        <w:numPr>
          <w:ilvl w:val="1"/>
          <w:numId w:val="5"/>
        </w:numPr>
        <w:spacing w:after="120"/>
        <w:ind w:left="1434" w:hanging="357"/>
        <w:contextualSpacing w:val="0"/>
      </w:pPr>
      <w:r>
        <w:t xml:space="preserve">Australians file more patents overseas than they do domestically, </w:t>
      </w:r>
      <w:r w:rsidR="002944B9">
        <w:t xml:space="preserve">and </w:t>
      </w:r>
      <w:r>
        <w:t xml:space="preserve">three times as many in 2013.  </w:t>
      </w:r>
      <w:r w:rsidR="002944B9">
        <w:t xml:space="preserve">Entities </w:t>
      </w:r>
      <w:r w:rsidR="002A26B7">
        <w:t>innovating</w:t>
      </w:r>
      <w:r w:rsidR="002944B9" w:rsidRPr="00C757AB">
        <w:t xml:space="preserve"> in Australia </w:t>
      </w:r>
      <w:r w:rsidR="002A26B7">
        <w:t>but</w:t>
      </w:r>
      <w:r w:rsidR="002944B9" w:rsidRPr="00C757AB">
        <w:t xml:space="preserve"> o</w:t>
      </w:r>
      <w:r w:rsidR="002A26B7">
        <w:t>utsourcing</w:t>
      </w:r>
      <w:r w:rsidR="002944B9" w:rsidRPr="00C757AB">
        <w:t xml:space="preserve"> production</w:t>
      </w:r>
      <w:r w:rsidR="002944B9">
        <w:t xml:space="preserve"> overseas </w:t>
      </w:r>
      <w:r w:rsidR="002A26B7">
        <w:t xml:space="preserve">are increasingly being captured </w:t>
      </w:r>
      <w:r w:rsidR="00C67D97" w:rsidRPr="00C67D97">
        <w:rPr>
          <w:lang w:eastAsia="en-AU"/>
        </w:rPr>
        <w:t xml:space="preserve">in </w:t>
      </w:r>
      <w:r w:rsidR="0009329A">
        <w:rPr>
          <w:lang w:eastAsia="en-AU"/>
        </w:rPr>
        <w:t xml:space="preserve">Australian </w:t>
      </w:r>
      <w:r w:rsidR="00C67D97">
        <w:rPr>
          <w:lang w:eastAsia="en-AU"/>
        </w:rPr>
        <w:t xml:space="preserve">statistics </w:t>
      </w:r>
      <w:r w:rsidR="0009329A" w:rsidRPr="00C67D97">
        <w:t>as ‘wholesale traders’</w:t>
      </w:r>
      <w:r w:rsidR="0009329A">
        <w:t xml:space="preserve"> (</w:t>
      </w:r>
      <w:r w:rsidR="0009329A">
        <w:rPr>
          <w:lang w:eastAsia="en-AU"/>
        </w:rPr>
        <w:t xml:space="preserve">under the </w:t>
      </w:r>
      <w:r w:rsidR="00C67D97" w:rsidRPr="00C67D97">
        <w:rPr>
          <w:bCs/>
          <w:lang w:eastAsia="en-AU"/>
        </w:rPr>
        <w:t>Australian and New Zealand St</w:t>
      </w:r>
      <w:r w:rsidR="0009329A">
        <w:rPr>
          <w:bCs/>
          <w:lang w:eastAsia="en-AU"/>
        </w:rPr>
        <w:t>andard Industrial Classificat</w:t>
      </w:r>
      <w:r w:rsidR="0009329A">
        <w:rPr>
          <w:lang w:eastAsia="en-AU"/>
        </w:rPr>
        <w:t>ion code).</w:t>
      </w:r>
      <w:r w:rsidR="00C67D97" w:rsidRPr="00C67D97">
        <w:t xml:space="preserve">  </w:t>
      </w:r>
      <w:r w:rsidR="0009329A">
        <w:t>Wholesale traders</w:t>
      </w:r>
      <w:r w:rsidR="00C67D97" w:rsidRPr="00C67D97">
        <w:t xml:space="preserve"> </w:t>
      </w:r>
      <w:r w:rsidR="00C67D97" w:rsidRPr="00C67D97">
        <w:rPr>
          <w:lang w:eastAsia="en-AU"/>
        </w:rPr>
        <w:t>are the third biggest filer of patents domestically and second largest design applicant</w:t>
      </w:r>
      <w:r w:rsidR="002A26B7">
        <w:t>.  The</w:t>
      </w:r>
      <w:r w:rsidR="00C67D97">
        <w:t>ir</w:t>
      </w:r>
      <w:r w:rsidR="002A26B7">
        <w:t xml:space="preserve"> patenting activity </w:t>
      </w:r>
      <w:r w:rsidR="00C67D97">
        <w:t>suggests participation</w:t>
      </w:r>
      <w:r w:rsidRPr="00C757AB">
        <w:t xml:space="preserve"> in </w:t>
      </w:r>
      <w:r>
        <w:t>global value chains</w:t>
      </w:r>
      <w:r w:rsidRPr="00C757AB">
        <w:t>, focusing on high value add, while outsourcing</w:t>
      </w:r>
      <w:r>
        <w:t xml:space="preserve"> activities with low value add (IP Australia </w:t>
      </w:r>
      <w:r w:rsidRPr="00C757AB">
        <w:t>2015</w:t>
      </w:r>
      <w:r>
        <w:t>a</w:t>
      </w:r>
      <w:r w:rsidRPr="00C757AB">
        <w:t>)</w:t>
      </w:r>
      <w:r>
        <w:t>.</w:t>
      </w:r>
      <w:r w:rsidRPr="002A26B7">
        <w:rPr>
          <w:rStyle w:val="FootnoteReference"/>
          <w:vertAlign w:val="baseline"/>
        </w:rPr>
        <w:t xml:space="preserve"> </w:t>
      </w:r>
      <w:r w:rsidRPr="002A26B7">
        <w:t xml:space="preserve"> </w:t>
      </w:r>
      <w:r>
        <w:t>Connecting with global value chains is essential in the new world of production.</w:t>
      </w:r>
    </w:p>
    <w:p w:rsidR="00654163" w:rsidRPr="007963BA" w:rsidRDefault="00654163" w:rsidP="00654163">
      <w:pPr>
        <w:pStyle w:val="ListParagraph"/>
        <w:numPr>
          <w:ilvl w:val="1"/>
          <w:numId w:val="5"/>
        </w:numPr>
        <w:spacing w:after="120"/>
        <w:ind w:left="1434" w:hanging="357"/>
        <w:contextualSpacing w:val="0"/>
      </w:pPr>
      <w:r>
        <w:t>T</w:t>
      </w:r>
      <w:r w:rsidRPr="00C63865">
        <w:t xml:space="preserve">here are just under 400 pharmaceutical companies operating in Australia. </w:t>
      </w:r>
      <w:r>
        <w:t xml:space="preserve"> </w:t>
      </w:r>
      <w:r w:rsidRPr="00C63865">
        <w:t xml:space="preserve">They employ approximately 16,000 people in manufacturing, invested around </w:t>
      </w:r>
      <w:r>
        <w:t>A$</w:t>
      </w:r>
      <w:r w:rsidRPr="00C63865">
        <w:t>404 million in research and development in 2011-12 (pharma</w:t>
      </w:r>
      <w:r w:rsidR="007963BA">
        <w:t>ceutical</w:t>
      </w:r>
      <w:r w:rsidRPr="00C63865">
        <w:t xml:space="preserve"> products and clinical health)</w:t>
      </w:r>
      <w:r>
        <w:t>,</w:t>
      </w:r>
      <w:r w:rsidRPr="00C63865">
        <w:t xml:space="preserve"> </w:t>
      </w:r>
      <w:r w:rsidRPr="00C63865">
        <w:lastRenderedPageBreak/>
        <w:t xml:space="preserve">and exported </w:t>
      </w:r>
      <w:r>
        <w:t>A$</w:t>
      </w:r>
      <w:r w:rsidRPr="00C63865">
        <w:t>3.36 billion worth of goods in 2013-14</w:t>
      </w:r>
      <w:r w:rsidR="002A26B7">
        <w:t xml:space="preserve"> </w:t>
      </w:r>
      <w:r w:rsidR="007963BA" w:rsidRPr="007963BA">
        <w:t>(based on information provided by</w:t>
      </w:r>
      <w:r w:rsidR="002A26B7" w:rsidRPr="007963BA">
        <w:t xml:space="preserve"> </w:t>
      </w:r>
      <w:r w:rsidR="007963BA" w:rsidRPr="007963BA">
        <w:t>the Department of</w:t>
      </w:r>
      <w:r w:rsidR="002A26B7" w:rsidRPr="007963BA">
        <w:t xml:space="preserve"> Industry)</w:t>
      </w:r>
      <w:r w:rsidRPr="007963BA">
        <w:t>.</w:t>
      </w:r>
    </w:p>
    <w:p w:rsidR="00654163" w:rsidRDefault="00654163" w:rsidP="00654163">
      <w:pPr>
        <w:pStyle w:val="ListParagraph"/>
        <w:numPr>
          <w:ilvl w:val="1"/>
          <w:numId w:val="5"/>
        </w:numPr>
        <w:spacing w:after="120"/>
        <w:ind w:left="1434" w:hanging="357"/>
        <w:contextualSpacing w:val="0"/>
      </w:pPr>
      <w:r>
        <w:t xml:space="preserve">Imports of intellectual property can be valuable to the economy.  Only a small </w:t>
      </w:r>
      <w:r w:rsidR="00083F02">
        <w:t>number</w:t>
      </w:r>
      <w:r>
        <w:t xml:space="preserve"> of countries export more than they import.  Importing can be an efficient way of utilising intellectual property.  Mining is a good example, where imported intellectual property helps support our biggest export industry; transforming imports into exports.  Each year, between 2011-13, Rio Tinto invested globally an average of US$376 </w:t>
      </w:r>
      <w:r w:rsidRPr="00645544">
        <w:t>million on technology and innovation</w:t>
      </w:r>
      <w:r>
        <w:t xml:space="preserve"> (IP Australia 2015b).</w:t>
      </w:r>
    </w:p>
    <w:p w:rsidR="00654163" w:rsidRDefault="00654163" w:rsidP="00654163">
      <w:pPr>
        <w:pStyle w:val="ListParagraph"/>
        <w:numPr>
          <w:ilvl w:val="1"/>
          <w:numId w:val="5"/>
        </w:numPr>
        <w:spacing w:after="120"/>
        <w:ind w:left="1434" w:hanging="357"/>
        <w:contextualSpacing w:val="0"/>
      </w:pPr>
      <w:r w:rsidRPr="000A1543">
        <w:t>Over the past decade</w:t>
      </w:r>
      <w:r w:rsidR="002A26B7">
        <w:t>,</w:t>
      </w:r>
      <w:r w:rsidRPr="000A1543">
        <w:t xml:space="preserve"> Australian private investment in </w:t>
      </w:r>
      <w:r>
        <w:t>intellectual property</w:t>
      </w:r>
      <w:r w:rsidRPr="000A1543">
        <w:t xml:space="preserve"> has increased an ave</w:t>
      </w:r>
      <w:r>
        <w:t>rage of 7</w:t>
      </w:r>
      <w:r w:rsidR="003D7D55">
        <w:t xml:space="preserve"> per cent</w:t>
      </w:r>
      <w:r>
        <w:t xml:space="preserve"> annually, with private investment in intellectual property products at </w:t>
      </w:r>
      <w:r w:rsidR="002A26B7">
        <w:t>A$38.5 billion in 2013</w:t>
      </w:r>
      <w:r w:rsidR="002A26B7">
        <w:noBreakHyphen/>
      </w:r>
      <w:r>
        <w:t>14 (IP Australia 2015a).</w:t>
      </w:r>
    </w:p>
    <w:p w:rsidR="00654163" w:rsidRDefault="00654163" w:rsidP="006E51E5">
      <w:pPr>
        <w:pStyle w:val="ListParagraph"/>
        <w:numPr>
          <w:ilvl w:val="0"/>
          <w:numId w:val="4"/>
        </w:numPr>
        <w:spacing w:after="240"/>
        <w:ind w:left="714" w:hanging="357"/>
        <w:contextualSpacing w:val="0"/>
      </w:pPr>
      <w:r>
        <w:t>These studies and comments are intended to be illustrative.  They demonstrate the importance of thinking broadly about the impact of intellectual property settings.  They also illustrate that imports and exports of</w:t>
      </w:r>
      <w:r w:rsidR="00E630F1">
        <w:t>, and investment in,</w:t>
      </w:r>
      <w:r>
        <w:t xml:space="preserve"> intellectual property can benefit the economy.</w:t>
      </w:r>
    </w:p>
    <w:p w:rsidR="00654163" w:rsidRPr="006E51E5" w:rsidRDefault="00AA3E44" w:rsidP="007C70BA">
      <w:pPr>
        <w:pStyle w:val="Heading1"/>
        <w:spacing w:before="600" w:after="240"/>
        <w:rPr>
          <w:sz w:val="26"/>
          <w:lang w:val="en-US"/>
        </w:rPr>
      </w:pPr>
      <w:bookmarkStart w:id="6" w:name="_Toc436231871"/>
      <w:r w:rsidRPr="006E51E5">
        <w:rPr>
          <w:sz w:val="26"/>
          <w:lang w:val="en-US"/>
        </w:rPr>
        <w:t>F</w:t>
      </w:r>
      <w:r w:rsidR="00654163" w:rsidRPr="006E51E5">
        <w:rPr>
          <w:sz w:val="26"/>
          <w:lang w:val="en-US"/>
        </w:rPr>
        <w:t xml:space="preserve">.  </w:t>
      </w:r>
      <w:r w:rsidR="006E51E5">
        <w:rPr>
          <w:sz w:val="26"/>
          <w:lang w:val="en-US"/>
        </w:rPr>
        <w:t xml:space="preserve"> </w:t>
      </w:r>
      <w:r w:rsidR="00654163" w:rsidRPr="006E51E5">
        <w:rPr>
          <w:sz w:val="26"/>
          <w:lang w:val="en-US"/>
        </w:rPr>
        <w:t>The existing international framework for intellectual property</w:t>
      </w:r>
      <w:bookmarkEnd w:id="6"/>
      <w:r w:rsidR="00654163" w:rsidRPr="006E51E5">
        <w:rPr>
          <w:sz w:val="26"/>
          <w:lang w:val="en-US"/>
        </w:rPr>
        <w:t xml:space="preserve"> </w:t>
      </w:r>
    </w:p>
    <w:p w:rsidR="00C67F50" w:rsidRPr="00C67F50" w:rsidRDefault="007963BA" w:rsidP="00654163">
      <w:pPr>
        <w:pStyle w:val="ListParagraph"/>
        <w:numPr>
          <w:ilvl w:val="0"/>
          <w:numId w:val="4"/>
        </w:numPr>
        <w:spacing w:after="240"/>
        <w:ind w:left="714" w:hanging="357"/>
        <w:contextualSpacing w:val="0"/>
      </w:pPr>
      <w:r w:rsidRPr="00D75DB1">
        <w:t xml:space="preserve">A rules-based international system that promotes open and transparent global markets and facilitates </w:t>
      </w:r>
      <w:r w:rsidR="00450623">
        <w:t xml:space="preserve">trade and </w:t>
      </w:r>
      <w:r w:rsidRPr="00D75DB1">
        <w:t xml:space="preserve">investment is in Australia’s </w:t>
      </w:r>
      <w:r w:rsidR="00450623">
        <w:t xml:space="preserve">overall economic </w:t>
      </w:r>
      <w:r w:rsidRPr="00D75DB1">
        <w:t>interest.</w:t>
      </w:r>
      <w:r w:rsidR="00654163">
        <w:rPr>
          <w:lang w:val="en-US"/>
        </w:rPr>
        <w:t xml:space="preserve">  </w:t>
      </w:r>
    </w:p>
    <w:p w:rsidR="00C67F50" w:rsidRPr="00C67F50" w:rsidRDefault="00C67F50" w:rsidP="00FE0BE7">
      <w:pPr>
        <w:pStyle w:val="ListParagraph"/>
        <w:numPr>
          <w:ilvl w:val="0"/>
          <w:numId w:val="4"/>
        </w:numPr>
        <w:spacing w:after="240"/>
        <w:contextualSpacing w:val="0"/>
      </w:pPr>
      <w:r>
        <w:rPr>
          <w:lang w:val="en-US"/>
        </w:rPr>
        <w:t xml:space="preserve">The international framework, both within trade agreements and within </w:t>
      </w:r>
      <w:r w:rsidR="00DB64B8">
        <w:rPr>
          <w:lang w:val="en-US"/>
        </w:rPr>
        <w:t xml:space="preserve">dedicated </w:t>
      </w:r>
      <w:r>
        <w:rPr>
          <w:lang w:val="en-US"/>
        </w:rPr>
        <w:t>intellectual property</w:t>
      </w:r>
      <w:r w:rsidR="00DB64B8">
        <w:rPr>
          <w:lang w:val="en-US"/>
        </w:rPr>
        <w:t xml:space="preserve"> </w:t>
      </w:r>
      <w:r>
        <w:rPr>
          <w:lang w:val="en-US"/>
        </w:rPr>
        <w:t xml:space="preserve">agreements, establishes minimum standards </w:t>
      </w:r>
      <w:r w:rsidRPr="009F5C3D">
        <w:t xml:space="preserve">of protection and enforcement of </w:t>
      </w:r>
      <w:r>
        <w:t>intellectual property</w:t>
      </w:r>
      <w:r>
        <w:rPr>
          <w:lang w:val="en-US"/>
        </w:rPr>
        <w:t>.  The majority of these requirements apply globally and countries retain a large degree of flexibility to tailor domestic settings to meet specific interests.</w:t>
      </w:r>
      <w:r w:rsidR="00FE0BE7">
        <w:rPr>
          <w:lang w:val="en-US"/>
        </w:rPr>
        <w:t xml:space="preserve"> </w:t>
      </w:r>
    </w:p>
    <w:p w:rsidR="00654163" w:rsidRPr="00CD07DF" w:rsidRDefault="00654163" w:rsidP="00FE0BE7">
      <w:pPr>
        <w:pStyle w:val="ListParagraph"/>
        <w:numPr>
          <w:ilvl w:val="0"/>
          <w:numId w:val="4"/>
        </w:numPr>
        <w:spacing w:after="240"/>
        <w:contextualSpacing w:val="0"/>
      </w:pPr>
      <w:r>
        <w:rPr>
          <w:lang w:val="en-US"/>
        </w:rPr>
        <w:t>The international framework</w:t>
      </w:r>
      <w:r w:rsidR="00DB64B8">
        <w:rPr>
          <w:lang w:val="en-US"/>
        </w:rPr>
        <w:t>, acco</w:t>
      </w:r>
      <w:r w:rsidR="00C67F50">
        <w:rPr>
          <w:lang w:val="en-US"/>
        </w:rPr>
        <w:t>rdingly,</w:t>
      </w:r>
      <w:r>
        <w:rPr>
          <w:lang w:val="en-US"/>
        </w:rPr>
        <w:t xml:space="preserve"> helps underpin real benefit for the Australian economy and for users of the intellectual property system in particular, where protection across borders is as impo</w:t>
      </w:r>
      <w:r w:rsidR="007963BA">
        <w:rPr>
          <w:lang w:val="en-US"/>
        </w:rPr>
        <w:t xml:space="preserve">rtant as domestic protection.  </w:t>
      </w:r>
      <w:r w:rsidR="00B84DD0">
        <w:rPr>
          <w:lang w:val="en-US"/>
        </w:rPr>
        <w:t xml:space="preserve">DFAT </w:t>
      </w:r>
      <w:r w:rsidR="007963BA">
        <w:rPr>
          <w:lang w:val="en-US"/>
        </w:rPr>
        <w:t xml:space="preserve">considers </w:t>
      </w:r>
      <w:r>
        <w:rPr>
          <w:lang w:val="en-US"/>
        </w:rPr>
        <w:t xml:space="preserve">international </w:t>
      </w:r>
      <w:r w:rsidR="009003D0">
        <w:rPr>
          <w:lang w:val="en-US"/>
        </w:rPr>
        <w:t>agreements</w:t>
      </w:r>
      <w:r>
        <w:rPr>
          <w:lang w:val="en-US"/>
        </w:rPr>
        <w:t xml:space="preserve"> </w:t>
      </w:r>
      <w:r w:rsidR="003A389B">
        <w:rPr>
          <w:lang w:val="en-US"/>
        </w:rPr>
        <w:t xml:space="preserve">to be </w:t>
      </w:r>
      <w:r w:rsidR="009003D0">
        <w:rPr>
          <w:lang w:val="en-US"/>
        </w:rPr>
        <w:t>an important</w:t>
      </w:r>
      <w:r w:rsidR="003A389B">
        <w:rPr>
          <w:lang w:val="en-US"/>
        </w:rPr>
        <w:t xml:space="preserve"> </w:t>
      </w:r>
      <w:r>
        <w:rPr>
          <w:lang w:val="en-US"/>
        </w:rPr>
        <w:t>means to effectively promote, protect and enforce intellectual property rights in export markets and to facilitate investment</w:t>
      </w:r>
      <w:r w:rsidR="003A389B">
        <w:rPr>
          <w:lang w:val="en-US"/>
        </w:rPr>
        <w:t>.</w:t>
      </w:r>
      <w:r w:rsidRPr="00DB64B8">
        <w:rPr>
          <w:lang w:val="en-US"/>
        </w:rPr>
        <w:br/>
      </w:r>
    </w:p>
    <w:p w:rsidR="00654163" w:rsidRPr="00D57499" w:rsidRDefault="00654163" w:rsidP="00654163">
      <w:pPr>
        <w:spacing w:after="240"/>
        <w:rPr>
          <w:u w:val="single"/>
        </w:rPr>
      </w:pPr>
      <w:r w:rsidRPr="00D57499">
        <w:rPr>
          <w:u w:val="single"/>
        </w:rPr>
        <w:t xml:space="preserve">International cooperation on intellectual property </w:t>
      </w:r>
      <w:r>
        <w:rPr>
          <w:u w:val="single"/>
        </w:rPr>
        <w:t xml:space="preserve">is needed and </w:t>
      </w:r>
      <w:r w:rsidRPr="00D57499">
        <w:rPr>
          <w:u w:val="single"/>
        </w:rPr>
        <w:t>has a long history</w:t>
      </w:r>
    </w:p>
    <w:p w:rsidR="00654163" w:rsidRDefault="00654163" w:rsidP="00FE0BE7">
      <w:pPr>
        <w:pStyle w:val="ListParagraph"/>
        <w:numPr>
          <w:ilvl w:val="0"/>
          <w:numId w:val="4"/>
        </w:numPr>
        <w:spacing w:after="240"/>
        <w:contextualSpacing w:val="0"/>
      </w:pPr>
      <w:r>
        <w:t>Intellectual property</w:t>
      </w:r>
      <w:r w:rsidRPr="00F14572">
        <w:t xml:space="preserve"> </w:t>
      </w:r>
      <w:r>
        <w:t xml:space="preserve">is territorial, meaning </w:t>
      </w:r>
      <w:r w:rsidRPr="00F14572">
        <w:t>preventing imitation or copying abroad</w:t>
      </w:r>
      <w:r>
        <w:t xml:space="preserve"> is only possible if recognition and </w:t>
      </w:r>
      <w:r w:rsidRPr="00F14572">
        <w:t xml:space="preserve">protection is provided </w:t>
      </w:r>
      <w:r>
        <w:t>in</w:t>
      </w:r>
      <w:r w:rsidRPr="00F14572">
        <w:t xml:space="preserve"> other </w:t>
      </w:r>
      <w:r>
        <w:t>jurisdictions</w:t>
      </w:r>
      <w:r w:rsidRPr="00F14572">
        <w:t xml:space="preserve">. </w:t>
      </w:r>
      <w:r>
        <w:t xml:space="preserve"> </w:t>
      </w:r>
      <w:r w:rsidRPr="00F14572">
        <w:t>Consequent</w:t>
      </w:r>
      <w:r>
        <w:t>ly, there has been a long history of i</w:t>
      </w:r>
      <w:r w:rsidRPr="00F14572">
        <w:t>nternational cooperation</w:t>
      </w:r>
      <w:r>
        <w:t xml:space="preserve">.  While the international framework has evolved over time, the fundamental need for international cooperation to address the territorial scope of intellectual property remains. </w:t>
      </w:r>
    </w:p>
    <w:p w:rsidR="00654163" w:rsidRDefault="00654163" w:rsidP="00FE0BE7">
      <w:pPr>
        <w:pStyle w:val="ListParagraph"/>
        <w:numPr>
          <w:ilvl w:val="0"/>
          <w:numId w:val="4"/>
        </w:numPr>
        <w:spacing w:after="240"/>
        <w:contextualSpacing w:val="0"/>
      </w:pPr>
      <w:r>
        <w:lastRenderedPageBreak/>
        <w:t>Early landmark treaties that continue to be in operation today are the</w:t>
      </w:r>
      <w:r w:rsidRPr="00F14572">
        <w:t xml:space="preserve"> </w:t>
      </w:r>
      <w:r w:rsidRPr="00CB7D7A">
        <w:t>Paris Convention for the Protection of Industrial Property</w:t>
      </w:r>
      <w:r w:rsidRPr="00D57499">
        <w:t xml:space="preserve"> </w:t>
      </w:r>
      <w:r w:rsidRPr="00F14572">
        <w:t>(</w:t>
      </w:r>
      <w:r>
        <w:t>first agreed in 1883) and the</w:t>
      </w:r>
      <w:r w:rsidRPr="00F14572">
        <w:t xml:space="preserve"> </w:t>
      </w:r>
      <w:r w:rsidRPr="00CB7D7A">
        <w:t>Berne Convention for the Protection of Literary and Artistic Works</w:t>
      </w:r>
      <w:r w:rsidRPr="00D57499">
        <w:t xml:space="preserve"> (</w:t>
      </w:r>
      <w:r>
        <w:t xml:space="preserve">first agreed in </w:t>
      </w:r>
      <w:r w:rsidRPr="00D57499">
        <w:t>1</w:t>
      </w:r>
      <w:r w:rsidRPr="00F14572">
        <w:t>886)</w:t>
      </w:r>
      <w:r>
        <w:t xml:space="preserve">.  These treaties, which have been revised over time, commit Parties to provide protection for all major forms of intellectual property and contain obligations not to discriminate against foreign rights holders.  </w:t>
      </w:r>
      <w:r>
        <w:br/>
      </w:r>
    </w:p>
    <w:p w:rsidR="00654163" w:rsidRPr="00863305" w:rsidRDefault="00654163" w:rsidP="00654163">
      <w:pPr>
        <w:spacing w:after="240"/>
        <w:rPr>
          <w:u w:val="single"/>
        </w:rPr>
      </w:pPr>
      <w:r>
        <w:rPr>
          <w:u w:val="single"/>
        </w:rPr>
        <w:t xml:space="preserve">Multilateral norm setting has become more contested and complex </w:t>
      </w:r>
    </w:p>
    <w:p w:rsidR="00654163" w:rsidRDefault="00654163" w:rsidP="00FE0BE7">
      <w:pPr>
        <w:pStyle w:val="ListParagraph"/>
        <w:numPr>
          <w:ilvl w:val="0"/>
          <w:numId w:val="4"/>
        </w:numPr>
        <w:spacing w:after="240"/>
        <w:contextualSpacing w:val="0"/>
      </w:pPr>
      <w:r>
        <w:t>The principal international forums responsible for engagement on intellectual property issues and rule</w:t>
      </w:r>
      <w:r w:rsidRPr="008C7015">
        <w:t xml:space="preserve"> </w:t>
      </w:r>
      <w:r>
        <w:t xml:space="preserve">setting are the World </w:t>
      </w:r>
      <w:r w:rsidRPr="00863305">
        <w:t>Intellectual Property Organization</w:t>
      </w:r>
      <w:r>
        <w:t xml:space="preserve"> (WIPO) and the World Trade Organization (WTO).</w:t>
      </w:r>
    </w:p>
    <w:p w:rsidR="00654163" w:rsidRDefault="00654163" w:rsidP="00FE0BE7">
      <w:pPr>
        <w:pStyle w:val="ListParagraph"/>
        <w:numPr>
          <w:ilvl w:val="0"/>
          <w:numId w:val="4"/>
        </w:numPr>
        <w:spacing w:after="240"/>
        <w:contextualSpacing w:val="0"/>
      </w:pPr>
      <w:r>
        <w:t>WIPO</w:t>
      </w:r>
      <w:r w:rsidRPr="00863305">
        <w:t xml:space="preserve"> </w:t>
      </w:r>
      <w:r>
        <w:t xml:space="preserve">is the premier </w:t>
      </w:r>
      <w:r w:rsidRPr="00C64B53">
        <w:t>global forum for intellectual property services, policy, information and cooperation</w:t>
      </w:r>
      <w:r w:rsidR="00367D24">
        <w:t>, and has 188 Member States</w:t>
      </w:r>
      <w:r>
        <w:t>.  WIPO has an active capacity building function and operates a range of projects designed to facilitate the sharing of knowledge generated through intellectual property processes.  WIPO services to intellectual property users (in particular its international fee-based systems to facilitate registration of intellectual property in multiple jurisdictions) continues to grow and is expected to generate over A$1 billion in revenue in the 2016</w:t>
      </w:r>
      <w:r>
        <w:noBreakHyphen/>
        <w:t xml:space="preserve">17 biennium.   </w:t>
      </w:r>
    </w:p>
    <w:p w:rsidR="00654163" w:rsidRDefault="00654163" w:rsidP="00FE0BE7">
      <w:pPr>
        <w:pStyle w:val="ListParagraph"/>
        <w:numPr>
          <w:ilvl w:val="0"/>
          <w:numId w:val="4"/>
        </w:numPr>
        <w:spacing w:after="240"/>
        <w:contextualSpacing w:val="0"/>
      </w:pPr>
      <w:r>
        <w:t xml:space="preserve">WIPO also administers a range of multilateral treaties and treaty negotiations.  Existing treaties cover areas such as: </w:t>
      </w:r>
      <w:r w:rsidR="00915164" w:rsidRPr="00915164">
        <w:t>norm setting</w:t>
      </w:r>
      <w:r w:rsidR="00915164">
        <w:t xml:space="preserve"> </w:t>
      </w:r>
      <w:r>
        <w:t xml:space="preserve">in intellectual property rights (patents, copyright, trade marks, designs, etc.); </w:t>
      </w:r>
      <w:r w:rsidRPr="001F689F">
        <w:t>streamlin</w:t>
      </w:r>
      <w:r>
        <w:t>ing of</w:t>
      </w:r>
      <w:r w:rsidRPr="001F689F">
        <w:t xml:space="preserve"> procedures for obtaining</w:t>
      </w:r>
      <w:r>
        <w:t xml:space="preserve"> rights; classification of intellectual property related information; and adaptation of intellectual property protections to the internet. </w:t>
      </w:r>
    </w:p>
    <w:p w:rsidR="00654163" w:rsidRDefault="00654163" w:rsidP="00FE0BE7">
      <w:pPr>
        <w:pStyle w:val="ListParagraph"/>
        <w:numPr>
          <w:ilvl w:val="0"/>
          <w:numId w:val="4"/>
        </w:numPr>
        <w:spacing w:after="240"/>
        <w:contextualSpacing w:val="0"/>
      </w:pPr>
      <w:r w:rsidRPr="008E5B6D">
        <w:t>As well as administering existing treaties, WIPO Members develop and negotiate new treaties and rules to govern international intellectual property matters</w:t>
      </w:r>
      <w:r>
        <w:t xml:space="preserve">.  Progress on the normative front at WIPO has slowed.  This, in part, reflects the incremental pace of multilateral negotiations.  But, in larger part, it is symptomatic of wide divergences in the policy priorities of Members.  No Member disputes the importance of intellectual property to their economies.  However, </w:t>
      </w:r>
      <w:r w:rsidRPr="00865283">
        <w:t>the distribution of knowledge and technology</w:t>
      </w:r>
      <w:r>
        <w:t>,</w:t>
      </w:r>
      <w:r w:rsidRPr="00865283">
        <w:t xml:space="preserve"> and the capacity to generate innovation</w:t>
      </w:r>
      <w:r>
        <w:t xml:space="preserve">, varies dramatically across Members – which has led to very different Member priorities. </w:t>
      </w:r>
    </w:p>
    <w:p w:rsidR="00654163" w:rsidRDefault="00654163" w:rsidP="00FE0BE7">
      <w:pPr>
        <w:pStyle w:val="ListParagraph"/>
        <w:numPr>
          <w:ilvl w:val="0"/>
          <w:numId w:val="4"/>
        </w:numPr>
        <w:spacing w:after="240"/>
        <w:contextualSpacing w:val="0"/>
      </w:pPr>
      <w:r>
        <w:t xml:space="preserve">Nonetheless, the negotiating agenda at WIPO remains busy and covers a wide range of areas including: ensuring </w:t>
      </w:r>
      <w:r w:rsidRPr="00382F02">
        <w:t>balanced and effective protection of genetic resources</w:t>
      </w:r>
      <w:r>
        <w:t>,</w:t>
      </w:r>
      <w:r w:rsidRPr="00382F02">
        <w:t xml:space="preserve"> traditional knowledge and t</w:t>
      </w:r>
      <w:r>
        <w:t>raditional cultural expressions, as they relate to intellectual property systems; a design law treaty; a treaty on broadcasters rights; and improving existing rights registration treaties (which underpin WIPO’s intellectual property services to users).</w:t>
      </w:r>
    </w:p>
    <w:p w:rsidR="00DB64B8" w:rsidRPr="00E60C2E" w:rsidRDefault="00DB64B8" w:rsidP="00FE0BE7">
      <w:pPr>
        <w:pStyle w:val="ListParagraph"/>
        <w:numPr>
          <w:ilvl w:val="0"/>
          <w:numId w:val="4"/>
        </w:numPr>
        <w:spacing w:after="240"/>
        <w:contextualSpacing w:val="0"/>
      </w:pPr>
      <w:r w:rsidRPr="00E60C2E">
        <w:t xml:space="preserve">The WTO Agreement on Trade-Related Aspects of Intellectual Property Rights (TRIPS) was the last major comprehensive multilateral agreement on intellectual property to be concluded, entering into force in 1995.  TRIPS incorporated and built on the Paris and Berne Conventions (among others), establishing minimum standards for all key intellectual property rights and, </w:t>
      </w:r>
      <w:r w:rsidRPr="00E60C2E">
        <w:lastRenderedPageBreak/>
        <w:t xml:space="preserve">significantly, including commitments on domestic enforcement of agreed standards. </w:t>
      </w:r>
      <w:r w:rsidR="00A801E1">
        <w:t xml:space="preserve"> </w:t>
      </w:r>
      <w:r w:rsidR="00E60C2E">
        <w:t>All 161</w:t>
      </w:r>
      <w:r w:rsidRPr="00E60C2E">
        <w:t xml:space="preserve"> </w:t>
      </w:r>
      <w:r w:rsidR="00E60C2E">
        <w:t>WTO Members have acceded to TRIPS.</w:t>
      </w:r>
      <w:r w:rsidRPr="00E60C2E">
        <w:t xml:space="preserve"> </w:t>
      </w:r>
    </w:p>
    <w:p w:rsidR="00E60C2E" w:rsidRPr="00656797" w:rsidRDefault="00654163" w:rsidP="00367D24">
      <w:pPr>
        <w:pStyle w:val="ListParagraph"/>
        <w:numPr>
          <w:ilvl w:val="0"/>
          <w:numId w:val="4"/>
        </w:numPr>
        <w:spacing w:after="240"/>
        <w:contextualSpacing w:val="0"/>
      </w:pPr>
      <w:r>
        <w:t>While there are different dynamics at the WTO, the negotiating agenda for intellectual property faces similar challenges</w:t>
      </w:r>
      <w:r w:rsidR="00083F02">
        <w:t xml:space="preserve"> to the WIPO agenda outlined above</w:t>
      </w:r>
      <w:r>
        <w:t>.  Despite efforts, including by Australia, entrenched differences within intellectual property negotiations and the broader WTO negotiating agenda have meant no substantive intellectual property negotiations hav</w:t>
      </w:r>
      <w:r w:rsidR="00DB64B8">
        <w:t>e occurred for over four years.</w:t>
      </w:r>
    </w:p>
    <w:p w:rsidR="00367D24" w:rsidRDefault="00367D24" w:rsidP="001A730A">
      <w:pPr>
        <w:rPr>
          <w:u w:val="single"/>
        </w:rPr>
      </w:pPr>
    </w:p>
    <w:p w:rsidR="002B6969" w:rsidRPr="00656797" w:rsidRDefault="002B6969" w:rsidP="002B6969">
      <w:pPr>
        <w:spacing w:after="240"/>
        <w:rPr>
          <w:u w:val="single"/>
        </w:rPr>
      </w:pPr>
      <w:r w:rsidRPr="00656797">
        <w:rPr>
          <w:u w:val="single"/>
        </w:rPr>
        <w:t>International negotiations: multilateral, regional and bilateral pursued together</w:t>
      </w:r>
    </w:p>
    <w:p w:rsidR="002B6969" w:rsidRPr="00656797" w:rsidRDefault="002B6969" w:rsidP="00FE0BE7">
      <w:pPr>
        <w:pStyle w:val="ListParagraph"/>
        <w:numPr>
          <w:ilvl w:val="0"/>
          <w:numId w:val="4"/>
        </w:numPr>
        <w:spacing w:after="240"/>
        <w:contextualSpacing w:val="0"/>
      </w:pPr>
      <w:r w:rsidRPr="00656797">
        <w:t>We note the Commission</w:t>
      </w:r>
      <w:r w:rsidR="00450623">
        <w:t>’s</w:t>
      </w:r>
      <w:r w:rsidRPr="00656797">
        <w:t xml:space="preserve"> Issues Paper states that Australia’s international intellectual property negotiations should focus on multilateral forums; WIPO and the WTO (p.29).  </w:t>
      </w:r>
    </w:p>
    <w:p w:rsidR="002B6969" w:rsidRPr="00656797" w:rsidRDefault="00B84DD0" w:rsidP="00FE0BE7">
      <w:pPr>
        <w:pStyle w:val="ListParagraph"/>
        <w:numPr>
          <w:ilvl w:val="0"/>
          <w:numId w:val="4"/>
        </w:numPr>
        <w:spacing w:after="240"/>
        <w:contextualSpacing w:val="0"/>
      </w:pPr>
      <w:r>
        <w:t>DFAT</w:t>
      </w:r>
      <w:r w:rsidR="00367D24">
        <w:t xml:space="preserve"> </w:t>
      </w:r>
      <w:r w:rsidR="002B6969" w:rsidRPr="00656797">
        <w:t xml:space="preserve">supports multilateral negotiations as a means to encourage protection and enforcement of intellectual property rights, particularly where there are reasonable prospects for success.  We also encourage others to support multilateral solutions and assist partner countries </w:t>
      </w:r>
      <w:r w:rsidR="00083F02">
        <w:t xml:space="preserve">to </w:t>
      </w:r>
      <w:r w:rsidR="002B6969" w:rsidRPr="00656797">
        <w:t>join existing global intellectual property agreements, including through demand</w:t>
      </w:r>
      <w:r w:rsidR="00450623">
        <w:t>-</w:t>
      </w:r>
      <w:r w:rsidR="002B6969" w:rsidRPr="00656797">
        <w:t xml:space="preserve">driven aid for trade initiatives.  </w:t>
      </w:r>
    </w:p>
    <w:p w:rsidR="00A801E1" w:rsidRDefault="002B6969" w:rsidP="00FE0BE7">
      <w:pPr>
        <w:pStyle w:val="ListParagraph"/>
        <w:numPr>
          <w:ilvl w:val="0"/>
          <w:numId w:val="4"/>
        </w:numPr>
        <w:spacing w:after="240"/>
        <w:contextualSpacing w:val="0"/>
      </w:pPr>
      <w:r w:rsidRPr="00656797">
        <w:t>But, despite the wide membership of global intellectual property agreements, inadequate intellectual property protection and enforcement remains a problem for Australian exporters and investors.  Further, and more generally, deeper cooperation and coordination between nations in the area of intellectual property can deliver increased efficiencies and greater certainty in trade and investment relationships.</w:t>
      </w:r>
      <w:r w:rsidR="00A801E1" w:rsidRPr="00A801E1">
        <w:t xml:space="preserve"> </w:t>
      </w:r>
    </w:p>
    <w:p w:rsidR="002B6969" w:rsidRPr="00656797" w:rsidRDefault="00A801E1" w:rsidP="00FE0BE7">
      <w:pPr>
        <w:pStyle w:val="ListParagraph"/>
        <w:numPr>
          <w:ilvl w:val="0"/>
          <w:numId w:val="4"/>
        </w:numPr>
        <w:spacing w:after="240"/>
        <w:contextualSpacing w:val="0"/>
      </w:pPr>
      <w:r w:rsidRPr="00656797">
        <w:t xml:space="preserve">Australian industry has commercial interests in </w:t>
      </w:r>
      <w:r w:rsidR="00450623">
        <w:t xml:space="preserve">the availability of </w:t>
      </w:r>
      <w:r w:rsidRPr="00656797">
        <w:t xml:space="preserve">accessible, transparent and effective intellectual property laws that promote appropriate standards of protection and enforcement in our </w:t>
      </w:r>
      <w:r>
        <w:t>trade</w:t>
      </w:r>
      <w:r w:rsidRPr="00656797">
        <w:t xml:space="preserve"> and investment partners.</w:t>
      </w:r>
    </w:p>
    <w:p w:rsidR="00367D24" w:rsidRDefault="002B6969" w:rsidP="00367D24">
      <w:pPr>
        <w:pStyle w:val="ListParagraph"/>
        <w:numPr>
          <w:ilvl w:val="0"/>
          <w:numId w:val="4"/>
        </w:numPr>
        <w:spacing w:after="240"/>
        <w:contextualSpacing w:val="0"/>
      </w:pPr>
      <w:r w:rsidRPr="00656797">
        <w:t>Consequently, Australia also pursues intellectual property outcomes as part of bilate</w:t>
      </w:r>
      <w:r w:rsidR="00A801E1">
        <w:t>ral and regional negotiations</w:t>
      </w:r>
      <w:r w:rsidR="00083F02">
        <w:t xml:space="preserve"> to reinforce our multilateral efforts</w:t>
      </w:r>
      <w:r w:rsidR="00A801E1">
        <w:t xml:space="preserve">.  </w:t>
      </w:r>
      <w:r w:rsidR="00367D24">
        <w:t>P</w:t>
      </w:r>
      <w:r w:rsidRPr="00656797">
        <w:t xml:space="preserve">articipation in negotiations </w:t>
      </w:r>
      <w:r w:rsidR="00555FF4">
        <w:t xml:space="preserve">is </w:t>
      </w:r>
      <w:r w:rsidRPr="00656797">
        <w:t>ultimately determined by an assessment of how best to pursue and advance Australia’s national interest.</w:t>
      </w:r>
    </w:p>
    <w:p w:rsidR="00367D24" w:rsidRPr="00E60C2E" w:rsidRDefault="00367D24" w:rsidP="00367D24">
      <w:pPr>
        <w:pStyle w:val="ListParagraph"/>
        <w:numPr>
          <w:ilvl w:val="0"/>
          <w:numId w:val="4"/>
        </w:numPr>
        <w:spacing w:after="240"/>
        <w:contextualSpacing w:val="0"/>
      </w:pPr>
      <w:r>
        <w:t>The </w:t>
      </w:r>
      <w:r w:rsidRPr="00E60C2E">
        <w:t xml:space="preserve">nature and detail of </w:t>
      </w:r>
      <w:r w:rsidR="00555FF4">
        <w:t xml:space="preserve">any </w:t>
      </w:r>
      <w:r w:rsidR="008E6FCC">
        <w:t xml:space="preserve">negotiating </w:t>
      </w:r>
      <w:r w:rsidR="00555FF4">
        <w:t>principles and</w:t>
      </w:r>
      <w:r>
        <w:t xml:space="preserve"> </w:t>
      </w:r>
      <w:r w:rsidRPr="00E60C2E">
        <w:t xml:space="preserve">commitments </w:t>
      </w:r>
      <w:r w:rsidR="00555FF4">
        <w:t xml:space="preserve">reflected </w:t>
      </w:r>
      <w:r>
        <w:t xml:space="preserve">in such agreements </w:t>
      </w:r>
      <w:r w:rsidRPr="00E60C2E">
        <w:t>vary according to the interests of the Parties involved.  Where there is greater interest in protection and enforcement of intellectual property, bilateral and regional agreements typically build on the framework established in TRIPS</w:t>
      </w:r>
      <w:r>
        <w:t>.  Where</w:t>
      </w:r>
      <w:r w:rsidRPr="00E60C2E">
        <w:t xml:space="preserve"> interest </w:t>
      </w:r>
      <w:r>
        <w:t xml:space="preserve">by Parties </w:t>
      </w:r>
      <w:r w:rsidRPr="00E60C2E">
        <w:t>is lower, the agreement may focus more exclusively on transparency, cooperation and capacity building.</w:t>
      </w:r>
    </w:p>
    <w:p w:rsidR="00555FF4" w:rsidRDefault="00367D24" w:rsidP="00555FF4">
      <w:pPr>
        <w:pStyle w:val="ListParagraph"/>
        <w:numPr>
          <w:ilvl w:val="0"/>
          <w:numId w:val="4"/>
        </w:numPr>
        <w:spacing w:after="240"/>
      </w:pPr>
      <w:r w:rsidRPr="00E60C2E">
        <w:t xml:space="preserve">Bilateral and regional investment agreements, whether contained in specific investment agreements or as part of broader trade agreements, typically extend to intellectual property assets held by foreign investors from the relevant partner countries – provided certain conditions are met.  Commitments in </w:t>
      </w:r>
      <w:r w:rsidRPr="00E60C2E">
        <w:lastRenderedPageBreak/>
        <w:t>these agreements generally include obligations not to discriminate between foreign and local investors and restrictions on expropriation of property.</w:t>
      </w:r>
      <w:r w:rsidR="00555FF4" w:rsidRPr="00555FF4">
        <w:t xml:space="preserve"> </w:t>
      </w:r>
    </w:p>
    <w:p w:rsidR="00555FF4" w:rsidRDefault="00555FF4" w:rsidP="00555FF4">
      <w:pPr>
        <w:pStyle w:val="ListParagraph"/>
        <w:spacing w:after="240"/>
      </w:pPr>
    </w:p>
    <w:p w:rsidR="00367D24" w:rsidRPr="006E51E5" w:rsidRDefault="00555FF4" w:rsidP="00654163">
      <w:pPr>
        <w:pStyle w:val="ListParagraph"/>
        <w:numPr>
          <w:ilvl w:val="0"/>
          <w:numId w:val="4"/>
        </w:numPr>
        <w:spacing w:after="240"/>
      </w:pPr>
      <w:r>
        <w:t xml:space="preserve">The Commission raises concerns that the inclusion of </w:t>
      </w:r>
      <w:r w:rsidR="009003D0">
        <w:t>investor</w:t>
      </w:r>
      <w:r w:rsidR="009003D0">
        <w:noBreakHyphen/>
        <w:t>state dispute settlement (</w:t>
      </w:r>
      <w:r>
        <w:t>ISDS</w:t>
      </w:r>
      <w:r w:rsidR="009003D0">
        <w:t>)</w:t>
      </w:r>
      <w:r>
        <w:t xml:space="preserve"> provisions in FTAs could reduce Australia’s flexibility to change domestic intellectual property laws.  </w:t>
      </w:r>
      <w:r w:rsidR="008E6FCC">
        <w:t xml:space="preserve">The basis of such concerns is unclear.  </w:t>
      </w:r>
      <w:r>
        <w:t>Generally, ISDS claim</w:t>
      </w:r>
      <w:r w:rsidR="00E61763">
        <w:t>s</w:t>
      </w:r>
      <w:r>
        <w:t xml:space="preserve"> in FTAs can only be brought in relation to commitments in </w:t>
      </w:r>
      <w:r w:rsidR="00083F02">
        <w:t>an investment chapter.  The intellectual property c</w:t>
      </w:r>
      <w:r>
        <w:t>hapters of Australia’s FTAs cannot be directly enforced via ISDS.  Australia’s FTAs with ISDS mechanisms would not impede changes to Australia’s IP legislation that are consistent with our investment commitments.  In relation to investment commitments, the ISDS mechanism in recently concluded FTAs contain explicit safeguards that protect the Government’s ability to regulate in the public interest.</w:t>
      </w:r>
    </w:p>
    <w:p w:rsidR="00654163" w:rsidRPr="006E51E5" w:rsidRDefault="00AA3E44" w:rsidP="007C70BA">
      <w:pPr>
        <w:pStyle w:val="Heading1"/>
        <w:spacing w:before="600" w:after="240"/>
        <w:ind w:left="425" w:hanging="425"/>
        <w:rPr>
          <w:sz w:val="26"/>
          <w:lang w:val="en-US"/>
        </w:rPr>
      </w:pPr>
      <w:bookmarkStart w:id="7" w:name="_Toc436231872"/>
      <w:r w:rsidRPr="006E51E5">
        <w:rPr>
          <w:sz w:val="26"/>
          <w:lang w:val="en-US"/>
        </w:rPr>
        <w:t>G</w:t>
      </w:r>
      <w:r w:rsidR="00654163" w:rsidRPr="006E51E5">
        <w:rPr>
          <w:sz w:val="26"/>
          <w:lang w:val="en-US"/>
        </w:rPr>
        <w:t xml:space="preserve">.  </w:t>
      </w:r>
      <w:r w:rsidR="006E51E5">
        <w:rPr>
          <w:sz w:val="26"/>
          <w:lang w:val="en-US"/>
        </w:rPr>
        <w:t xml:space="preserve"> </w:t>
      </w:r>
      <w:r w:rsidR="00B84DD0" w:rsidRPr="006E51E5">
        <w:rPr>
          <w:sz w:val="26"/>
          <w:lang w:val="en-US"/>
        </w:rPr>
        <w:t>DFAT</w:t>
      </w:r>
      <w:r w:rsidR="00654163" w:rsidRPr="006E51E5">
        <w:rPr>
          <w:sz w:val="26"/>
          <w:lang w:val="en-US"/>
        </w:rPr>
        <w:t xml:space="preserve"> engagement in international intellectual property negotiations and cooperation</w:t>
      </w:r>
      <w:bookmarkEnd w:id="7"/>
    </w:p>
    <w:p w:rsidR="008D2E60" w:rsidRDefault="008D2E60" w:rsidP="00FE0BE7">
      <w:pPr>
        <w:pStyle w:val="ListParagraph"/>
        <w:numPr>
          <w:ilvl w:val="0"/>
          <w:numId w:val="4"/>
        </w:numPr>
        <w:spacing w:after="240"/>
        <w:contextualSpacing w:val="0"/>
      </w:pPr>
      <w:r>
        <w:t>The Commission</w:t>
      </w:r>
      <w:r w:rsidR="00450623">
        <w:t>’s</w:t>
      </w:r>
      <w:r>
        <w:t xml:space="preserve"> Issues Paper raises a </w:t>
      </w:r>
      <w:r w:rsidR="00327139">
        <w:t xml:space="preserve">significant </w:t>
      </w:r>
      <w:r>
        <w:t xml:space="preserve">number of points and questions concerning Australia’s approach to current and future international intellectual property negotiations, </w:t>
      </w:r>
      <w:r>
        <w:rPr>
          <w:lang w:val="en-US"/>
        </w:rPr>
        <w:t>both with regard to trade agreements and to dedicated intellectual property agreements.</w:t>
      </w:r>
    </w:p>
    <w:p w:rsidR="00712038" w:rsidRDefault="00712038" w:rsidP="00FE0BE7">
      <w:pPr>
        <w:pStyle w:val="ListParagraph"/>
        <w:numPr>
          <w:ilvl w:val="0"/>
          <w:numId w:val="4"/>
        </w:numPr>
        <w:spacing w:after="240"/>
        <w:contextualSpacing w:val="0"/>
      </w:pPr>
      <w:r>
        <w:t>While the international economy and existing international framework are relevant to the inquiry, DFAT notes it would not be appropriate or warranted under the Terms of Reference to review Australia’s approach to current and future international intellectual property negotiations (either in WIPO, WTO or free trade agreements).</w:t>
      </w:r>
    </w:p>
    <w:p w:rsidR="002B6969" w:rsidRDefault="00327139" w:rsidP="00FE0BE7">
      <w:pPr>
        <w:pStyle w:val="ListParagraph"/>
        <w:numPr>
          <w:ilvl w:val="0"/>
          <w:numId w:val="4"/>
        </w:numPr>
        <w:spacing w:after="240"/>
        <w:contextualSpacing w:val="0"/>
      </w:pPr>
      <w:r>
        <w:t xml:space="preserve">Nonetheless, </w:t>
      </w:r>
      <w:r w:rsidR="00367D24">
        <w:t>this</w:t>
      </w:r>
      <w:r w:rsidR="002B6969">
        <w:t xml:space="preserve"> Submission provides an opportunity to set out in brief</w:t>
      </w:r>
      <w:r>
        <w:t xml:space="preserve"> </w:t>
      </w:r>
      <w:r w:rsidR="00610560">
        <w:t>DFAT</w:t>
      </w:r>
      <w:r w:rsidR="002B6969">
        <w:t>’s</w:t>
      </w:r>
      <w:r>
        <w:t xml:space="preserve"> </w:t>
      </w:r>
      <w:r w:rsidR="002B6969">
        <w:t>involvement in, and approach to, international intellectual property negotiations and cooperation.</w:t>
      </w:r>
    </w:p>
    <w:p w:rsidR="002B6969" w:rsidRDefault="002B6969" w:rsidP="00AA3E44">
      <w:pPr>
        <w:ind w:left="357"/>
      </w:pPr>
    </w:p>
    <w:p w:rsidR="002B6969" w:rsidRPr="002B6969" w:rsidRDefault="002B6969" w:rsidP="002B6969">
      <w:pPr>
        <w:spacing w:after="240"/>
        <w:rPr>
          <w:u w:val="single"/>
        </w:rPr>
      </w:pPr>
      <w:r w:rsidRPr="002B6969">
        <w:rPr>
          <w:u w:val="single"/>
        </w:rPr>
        <w:t xml:space="preserve">Key areas of </w:t>
      </w:r>
      <w:r w:rsidR="00610560">
        <w:rPr>
          <w:u w:val="single"/>
        </w:rPr>
        <w:t>DFAT</w:t>
      </w:r>
      <w:r w:rsidRPr="002B6969">
        <w:rPr>
          <w:u w:val="single"/>
        </w:rPr>
        <w:t xml:space="preserve"> activity</w:t>
      </w:r>
    </w:p>
    <w:p w:rsidR="00654163" w:rsidRDefault="002B6969" w:rsidP="00FE0BE7">
      <w:pPr>
        <w:pStyle w:val="ListParagraph"/>
        <w:numPr>
          <w:ilvl w:val="0"/>
          <w:numId w:val="4"/>
        </w:numPr>
        <w:spacing w:after="240"/>
        <w:contextualSpacing w:val="0"/>
      </w:pPr>
      <w:r>
        <w:t xml:space="preserve">Key areas of </w:t>
      </w:r>
      <w:r w:rsidR="00B84DD0">
        <w:t xml:space="preserve">DFAT </w:t>
      </w:r>
      <w:r>
        <w:t>activity, within whole-of-government approaches</w:t>
      </w:r>
      <w:r w:rsidR="00EE774B">
        <w:t>, are:</w:t>
      </w:r>
    </w:p>
    <w:p w:rsidR="00654163" w:rsidRDefault="00E4454C" w:rsidP="002B6969">
      <w:pPr>
        <w:pStyle w:val="ListParagraph"/>
        <w:numPr>
          <w:ilvl w:val="1"/>
          <w:numId w:val="24"/>
        </w:numPr>
        <w:spacing w:after="240"/>
        <w:contextualSpacing w:val="0"/>
      </w:pPr>
      <w:r>
        <w:t>international i</w:t>
      </w:r>
      <w:r w:rsidR="002B6969">
        <w:t xml:space="preserve">ntellectual property </w:t>
      </w:r>
      <w:r>
        <w:t>negotiations</w:t>
      </w:r>
      <w:r w:rsidR="002B6969">
        <w:t xml:space="preserve"> within</w:t>
      </w:r>
      <w:r w:rsidR="00654163">
        <w:t xml:space="preserve"> </w:t>
      </w:r>
      <w:r w:rsidR="00367D24">
        <w:t xml:space="preserve">the WTO as well as support for negotiations in multilateral </w:t>
      </w:r>
      <w:r w:rsidR="00EE774B">
        <w:t>forums such as WIPO</w:t>
      </w:r>
      <w:r w:rsidR="00654163">
        <w:t>;</w:t>
      </w:r>
    </w:p>
    <w:p w:rsidR="00654163" w:rsidRDefault="00E4454C" w:rsidP="002B6969">
      <w:pPr>
        <w:pStyle w:val="ListParagraph"/>
        <w:numPr>
          <w:ilvl w:val="1"/>
          <w:numId w:val="24"/>
        </w:numPr>
        <w:spacing w:after="240"/>
        <w:contextualSpacing w:val="0"/>
      </w:pPr>
      <w:r>
        <w:t xml:space="preserve">international </w:t>
      </w:r>
      <w:r w:rsidR="00654163">
        <w:t xml:space="preserve">intellectual property </w:t>
      </w:r>
      <w:r>
        <w:t>negotiations</w:t>
      </w:r>
      <w:r w:rsidR="00654163">
        <w:t xml:space="preserve"> within bilateral and regional free trade agreements;</w:t>
      </w:r>
    </w:p>
    <w:p w:rsidR="00654163" w:rsidRDefault="00654163" w:rsidP="002B6969">
      <w:pPr>
        <w:pStyle w:val="ListParagraph"/>
        <w:numPr>
          <w:ilvl w:val="1"/>
          <w:numId w:val="24"/>
        </w:numPr>
        <w:spacing w:after="240"/>
        <w:contextualSpacing w:val="0"/>
      </w:pPr>
      <w:r>
        <w:t xml:space="preserve">capacity building activities to strengthen intellectual property systems in partner countries; and </w:t>
      </w:r>
    </w:p>
    <w:p w:rsidR="00654163" w:rsidRDefault="002F6AB7" w:rsidP="002B6969">
      <w:pPr>
        <w:pStyle w:val="ListParagraph"/>
        <w:numPr>
          <w:ilvl w:val="1"/>
          <w:numId w:val="24"/>
        </w:numPr>
        <w:spacing w:after="240"/>
        <w:contextualSpacing w:val="0"/>
      </w:pPr>
      <w:r>
        <w:t>support of</w:t>
      </w:r>
      <w:r w:rsidR="002B6969">
        <w:t xml:space="preserve"> </w:t>
      </w:r>
      <w:r w:rsidR="00654163">
        <w:t>initiatives between Australian domestic intellectual property agencies a</w:t>
      </w:r>
      <w:r>
        <w:t>nd their overseas counterparts.</w:t>
      </w:r>
    </w:p>
    <w:p w:rsidR="002F6AB7" w:rsidRDefault="002F6AB7" w:rsidP="001A730A">
      <w:pPr>
        <w:ind w:left="357"/>
      </w:pPr>
    </w:p>
    <w:p w:rsidR="00654163" w:rsidRPr="00263FA5" w:rsidRDefault="00654163" w:rsidP="00654163">
      <w:pPr>
        <w:spacing w:after="240"/>
        <w:rPr>
          <w:u w:val="single"/>
        </w:rPr>
      </w:pPr>
      <w:r w:rsidRPr="00263FA5">
        <w:rPr>
          <w:u w:val="single"/>
        </w:rPr>
        <w:t>International negotiations: consultations, mandate and scrutiny</w:t>
      </w:r>
    </w:p>
    <w:p w:rsidR="00654163" w:rsidRPr="008C7015" w:rsidRDefault="00B84DD0" w:rsidP="00FE0BE7">
      <w:pPr>
        <w:pStyle w:val="ListParagraph"/>
        <w:numPr>
          <w:ilvl w:val="0"/>
          <w:numId w:val="4"/>
        </w:numPr>
        <w:spacing w:after="240"/>
        <w:contextualSpacing w:val="0"/>
      </w:pPr>
      <w:r>
        <w:t>I</w:t>
      </w:r>
      <w:r w:rsidR="006B4C4E">
        <w:t xml:space="preserve">n </w:t>
      </w:r>
      <w:r w:rsidR="00E4454C">
        <w:t>cases</w:t>
      </w:r>
      <w:r>
        <w:t xml:space="preserve"> where DFAT</w:t>
      </w:r>
      <w:r w:rsidR="00654163">
        <w:t xml:space="preserve"> </w:t>
      </w:r>
      <w:r w:rsidR="006B4C4E">
        <w:t>has responsibility for leading trade</w:t>
      </w:r>
      <w:r w:rsidR="006B4C4E">
        <w:noBreakHyphen/>
      </w:r>
      <w:r w:rsidR="002F6AB7">
        <w:t>related</w:t>
      </w:r>
      <w:r w:rsidR="00654163" w:rsidRPr="008C7015">
        <w:t xml:space="preserve"> intellectual property </w:t>
      </w:r>
      <w:r w:rsidR="006B4C4E">
        <w:t>negotiations</w:t>
      </w:r>
      <w:r w:rsidR="00654163" w:rsidRPr="008C7015">
        <w:t xml:space="preserve">, </w:t>
      </w:r>
      <w:r>
        <w:t xml:space="preserve">it </w:t>
      </w:r>
      <w:r w:rsidR="00654163" w:rsidRPr="008C7015">
        <w:t>engages in extensive stakeholder consultations</w:t>
      </w:r>
      <w:r w:rsidR="00FD4CE2">
        <w:t xml:space="preserve"> </w:t>
      </w:r>
      <w:r w:rsidR="00654163" w:rsidRPr="008C7015">
        <w:t>and negotiates on the basis of parameters approved by the Government</w:t>
      </w:r>
      <w:r w:rsidR="00FD4CE2">
        <w:t>.  O</w:t>
      </w:r>
      <w:r w:rsidR="00E000C5">
        <w:t>ther government departments and agencies, including IP Australia and the Department of Communications</w:t>
      </w:r>
      <w:r w:rsidR="00072C76">
        <w:t xml:space="preserve"> and the Arts</w:t>
      </w:r>
      <w:r w:rsidR="00FD4CE2">
        <w:t xml:space="preserve">, </w:t>
      </w:r>
      <w:r w:rsidR="00450623">
        <w:t xml:space="preserve">play an </w:t>
      </w:r>
      <w:r w:rsidR="00FD4CE2">
        <w:t>integral</w:t>
      </w:r>
      <w:r w:rsidR="00450623">
        <w:t xml:space="preserve"> role.</w:t>
      </w:r>
    </w:p>
    <w:p w:rsidR="00654163" w:rsidRPr="00096362" w:rsidRDefault="00EE774B" w:rsidP="00FE0BE7">
      <w:pPr>
        <w:pStyle w:val="ListParagraph"/>
        <w:numPr>
          <w:ilvl w:val="0"/>
          <w:numId w:val="4"/>
        </w:numPr>
        <w:spacing w:after="240"/>
        <w:contextualSpacing w:val="0"/>
      </w:pPr>
      <w:r>
        <w:t xml:space="preserve">Negotiating positions are informed by domestic policy and best practice approaches, with advice from specialists within Australian agencies that have responsibility for intellectual property policy settings.  </w:t>
      </w:r>
      <w:r w:rsidR="00654163">
        <w:t xml:space="preserve">Consultations with public and private stakeholders are </w:t>
      </w:r>
      <w:r w:rsidR="00FD4CE2">
        <w:t>essential</w:t>
      </w:r>
      <w:r w:rsidR="00654163">
        <w:t xml:space="preserve"> to determining Australia’s defensive and offensive interests and positions in a particular negotiation.  Consultations, along with information posted on the Department’s website, also update stakeholders on the progress of negotiations.  For example, the Department held over 1000 </w:t>
      </w:r>
      <w:r w:rsidR="00654163" w:rsidRPr="007E21AE">
        <w:rPr>
          <w:lang w:val="en-US"/>
        </w:rPr>
        <w:t>stakeholder briefings and consultation</w:t>
      </w:r>
      <w:r w:rsidR="00654163">
        <w:rPr>
          <w:lang w:val="en-US"/>
        </w:rPr>
        <w:t>s between May 2011 and mid-2015 in connection with negotiation of the Trans-Pacific Partnership Agreement.</w:t>
      </w:r>
    </w:p>
    <w:p w:rsidR="00654163" w:rsidRDefault="00654163" w:rsidP="00FE0BE7">
      <w:pPr>
        <w:pStyle w:val="ListParagraph"/>
        <w:numPr>
          <w:ilvl w:val="0"/>
          <w:numId w:val="4"/>
        </w:numPr>
        <w:spacing w:after="240"/>
        <w:contextualSpacing w:val="0"/>
        <w:rPr>
          <w:lang w:val="en-US"/>
        </w:rPr>
      </w:pPr>
      <w:r>
        <w:t>Treaty text is put before the public and Parliament for scrutiny before any action is taken that would legally bind Australia.  The</w:t>
      </w:r>
      <w:r w:rsidRPr="008456A5">
        <w:rPr>
          <w:lang w:val="en-US"/>
        </w:rPr>
        <w:t xml:space="preserve"> Joint </w:t>
      </w:r>
      <w:r>
        <w:rPr>
          <w:lang w:val="en-US"/>
        </w:rPr>
        <w:t>Standing Committee on Treaties reviews the treaty text and consults widely before making a recommendation as to whether Australia should enter into the treaty.  A publically available National Interest Analysis is also prepared, which identifies overall the obligations, costs and benefits of the treaty for Australia and any regulatory change required.</w:t>
      </w:r>
    </w:p>
    <w:p w:rsidR="00654163" w:rsidRPr="00263FA5" w:rsidRDefault="00654163" w:rsidP="00654163">
      <w:pPr>
        <w:spacing w:after="240"/>
        <w:rPr>
          <w:u w:val="single"/>
        </w:rPr>
      </w:pPr>
      <w:r>
        <w:rPr>
          <w:i/>
        </w:rPr>
        <w:br/>
      </w:r>
      <w:r w:rsidRPr="00263FA5">
        <w:rPr>
          <w:u w:val="single"/>
        </w:rPr>
        <w:t xml:space="preserve">International negotiations: </w:t>
      </w:r>
      <w:r w:rsidR="00EE774B">
        <w:rPr>
          <w:u w:val="single"/>
        </w:rPr>
        <w:t>recent experience</w:t>
      </w:r>
    </w:p>
    <w:p w:rsidR="00654163" w:rsidRDefault="00654163" w:rsidP="00FE0BE7">
      <w:pPr>
        <w:pStyle w:val="ListParagraph"/>
        <w:numPr>
          <w:ilvl w:val="0"/>
          <w:numId w:val="4"/>
        </w:numPr>
        <w:spacing w:after="240"/>
        <w:contextualSpacing w:val="0"/>
      </w:pPr>
      <w:r>
        <w:rPr>
          <w:lang w:val="en-US"/>
        </w:rPr>
        <w:t>Australia’s record in international negotiations demonstrates that it has been effective in shaping the international system in line with Australia’s own domestic policies and interests</w:t>
      </w:r>
      <w:r w:rsidR="005E71C4">
        <w:rPr>
          <w:lang w:val="en-US"/>
        </w:rPr>
        <w:t xml:space="preserve"> – with few instances of outcomes </w:t>
      </w:r>
      <w:r w:rsidR="00F141F7">
        <w:rPr>
          <w:lang w:val="en-US"/>
        </w:rPr>
        <w:t xml:space="preserve">requiring adjustment to </w:t>
      </w:r>
      <w:r w:rsidR="005E71C4">
        <w:rPr>
          <w:lang w:val="en-US"/>
        </w:rPr>
        <w:t>regulatory settings</w:t>
      </w:r>
      <w:r w:rsidRPr="008C7015">
        <w:rPr>
          <w:lang w:val="en-US"/>
        </w:rPr>
        <w:t xml:space="preserve">.  </w:t>
      </w:r>
      <w:r w:rsidR="00E20330">
        <w:rPr>
          <w:lang w:val="en-US"/>
        </w:rPr>
        <w:t>For example, in all of A</w:t>
      </w:r>
      <w:r w:rsidR="00071016">
        <w:rPr>
          <w:lang w:val="en-US"/>
        </w:rPr>
        <w:t>ustralia’s free trade agreement negotiations</w:t>
      </w:r>
      <w:r w:rsidR="00E20330">
        <w:rPr>
          <w:lang w:val="en-US"/>
        </w:rPr>
        <w:t xml:space="preserve"> </w:t>
      </w:r>
      <w:r w:rsidR="00B55398">
        <w:rPr>
          <w:lang w:val="en-US"/>
        </w:rPr>
        <w:t xml:space="preserve">concluded over the past decade </w:t>
      </w:r>
      <w:r w:rsidR="00083F02">
        <w:rPr>
          <w:lang w:val="en-US"/>
        </w:rPr>
        <w:t>that</w:t>
      </w:r>
      <w:r w:rsidR="00E20330">
        <w:rPr>
          <w:lang w:val="en-US"/>
        </w:rPr>
        <w:t xml:space="preserve"> have </w:t>
      </w:r>
      <w:r w:rsidR="004D625C">
        <w:rPr>
          <w:lang w:val="en-US"/>
        </w:rPr>
        <w:t xml:space="preserve">significant </w:t>
      </w:r>
      <w:r w:rsidR="00E20330">
        <w:rPr>
          <w:lang w:val="en-US"/>
        </w:rPr>
        <w:t xml:space="preserve">intellectual property chapters – including </w:t>
      </w:r>
      <w:r w:rsidR="00071016">
        <w:rPr>
          <w:lang w:val="en-US"/>
        </w:rPr>
        <w:t>bilateral</w:t>
      </w:r>
      <w:r w:rsidR="005513B0">
        <w:rPr>
          <w:lang w:val="en-US"/>
        </w:rPr>
        <w:t>ly</w:t>
      </w:r>
      <w:r w:rsidR="00071016">
        <w:rPr>
          <w:lang w:val="en-US"/>
        </w:rPr>
        <w:t xml:space="preserve"> with parties such as Japan and</w:t>
      </w:r>
      <w:r w:rsidR="00E20330">
        <w:rPr>
          <w:lang w:val="en-US"/>
        </w:rPr>
        <w:t xml:space="preserve"> Korea</w:t>
      </w:r>
      <w:r w:rsidR="00071016">
        <w:rPr>
          <w:lang w:val="en-US"/>
        </w:rPr>
        <w:t xml:space="preserve">, </w:t>
      </w:r>
      <w:r w:rsidR="005513B0">
        <w:rPr>
          <w:lang w:val="en-US"/>
        </w:rPr>
        <w:t xml:space="preserve">and regionally with the 11 other parties to the recently concluded </w:t>
      </w:r>
      <w:r w:rsidR="00071016">
        <w:rPr>
          <w:lang w:val="en-US"/>
        </w:rPr>
        <w:t xml:space="preserve">Trans Pacific Partnership </w:t>
      </w:r>
      <w:r w:rsidR="00450623">
        <w:rPr>
          <w:lang w:val="en-US"/>
        </w:rPr>
        <w:t xml:space="preserve">agreement </w:t>
      </w:r>
      <w:r w:rsidR="005513B0">
        <w:rPr>
          <w:lang w:val="en-US"/>
        </w:rPr>
        <w:t xml:space="preserve">negotiations </w:t>
      </w:r>
      <w:r w:rsidR="00071016">
        <w:rPr>
          <w:lang w:val="en-US"/>
        </w:rPr>
        <w:t xml:space="preserve">– none have </w:t>
      </w:r>
      <w:r w:rsidR="009003D0">
        <w:rPr>
          <w:lang w:val="en-US"/>
        </w:rPr>
        <w:t>necessitated</w:t>
      </w:r>
      <w:r w:rsidR="00E20330">
        <w:rPr>
          <w:lang w:val="en-US"/>
        </w:rPr>
        <w:t xml:space="preserve"> legislative changes to Australia’s intellectual property laws.  </w:t>
      </w:r>
      <w:r w:rsidRPr="008C7015">
        <w:rPr>
          <w:lang w:val="en-US"/>
        </w:rPr>
        <w:t xml:space="preserve">Australia’s continued engagement across all negotiating levels, multilateral through to bilateral, </w:t>
      </w:r>
      <w:r w:rsidR="004D625C">
        <w:rPr>
          <w:lang w:val="en-US"/>
        </w:rPr>
        <w:t>ensures Australia can</w:t>
      </w:r>
      <w:r w:rsidRPr="008C7015">
        <w:rPr>
          <w:lang w:val="en-US"/>
        </w:rPr>
        <w:t xml:space="preserve"> continue to influence the shape of the international framework.</w:t>
      </w:r>
    </w:p>
    <w:p w:rsidR="00654163" w:rsidRDefault="00654163" w:rsidP="00FE0BE7">
      <w:pPr>
        <w:pStyle w:val="ListParagraph"/>
        <w:numPr>
          <w:ilvl w:val="0"/>
          <w:numId w:val="4"/>
        </w:numPr>
        <w:spacing w:after="240"/>
        <w:contextualSpacing w:val="0"/>
      </w:pPr>
      <w:r>
        <w:t xml:space="preserve">There are specific and limited instances where international negotiations have required Australia to amend its </w:t>
      </w:r>
      <w:r w:rsidR="00F141F7">
        <w:t xml:space="preserve">intellectual property </w:t>
      </w:r>
      <w:r>
        <w:t xml:space="preserve">laws to provide further protection.  The Commission cited the Australia-US Free Trade Agreement (AUSFTA) and TRIPS. </w:t>
      </w:r>
    </w:p>
    <w:p w:rsidR="00654163" w:rsidRDefault="00654163" w:rsidP="00FE0BE7">
      <w:pPr>
        <w:pStyle w:val="ListParagraph"/>
        <w:numPr>
          <w:ilvl w:val="0"/>
          <w:numId w:val="4"/>
        </w:numPr>
        <w:spacing w:after="240"/>
        <w:contextualSpacing w:val="0"/>
      </w:pPr>
      <w:r>
        <w:t>AUSFTA (2005) remains the only free trade agreement outcome where it has been necessary for Australia to adjust its domestic intellectual property</w:t>
      </w:r>
      <w:r w:rsidR="00F141F7">
        <w:t xml:space="preserve"> laws</w:t>
      </w:r>
      <w:r>
        <w:t xml:space="preserve">; </w:t>
      </w:r>
      <w:r>
        <w:lastRenderedPageBreak/>
        <w:t>in particular,</w:t>
      </w:r>
      <w:r w:rsidR="009003D0">
        <w:t xml:space="preserve"> the Productivity Commission refers</w:t>
      </w:r>
      <w:r>
        <w:t xml:space="preserve"> to </w:t>
      </w:r>
      <w:r w:rsidR="009003D0">
        <w:t xml:space="preserve">the </w:t>
      </w:r>
      <w:r>
        <w:t>increase</w:t>
      </w:r>
      <w:r w:rsidR="009003D0">
        <w:t xml:space="preserve"> in</w:t>
      </w:r>
      <w:r>
        <w:t xml:space="preserve"> Australia’s copyright term to life of the author plus 70 years.  </w:t>
      </w:r>
      <w:r w:rsidR="000B7DE5">
        <w:t>This was a whole-of-government decision at the time, and whatever view may be t</w:t>
      </w:r>
      <w:r w:rsidR="00425C32">
        <w:t>aken of the issue in hindsight,</w:t>
      </w:r>
      <w:r w:rsidR="005E71C4">
        <w:t xml:space="preserve"> it is worth noting that the vast majority of OECD countries have similar copyright term settings.  </w:t>
      </w:r>
      <w:r w:rsidR="00AE0EA0">
        <w:t>In the 10 years s</w:t>
      </w:r>
      <w:r w:rsidR="000B7DE5">
        <w:t xml:space="preserve">ince AUSFTA, </w:t>
      </w:r>
      <w:r w:rsidR="00AE0EA0">
        <w:t xml:space="preserve">as noted, </w:t>
      </w:r>
      <w:r>
        <w:t>Australia’s other free trade agreements, of which there are now many and with a range of partners, have been concluded without any need to change</w:t>
      </w:r>
      <w:r w:rsidR="005E71C4">
        <w:t xml:space="preserve"> </w:t>
      </w:r>
      <w:r w:rsidR="000B7DE5">
        <w:t xml:space="preserve">Australia’s </w:t>
      </w:r>
      <w:r w:rsidR="005E71C4">
        <w:t xml:space="preserve">domestic </w:t>
      </w:r>
      <w:r w:rsidR="000B7DE5">
        <w:t>intellectual property laws</w:t>
      </w:r>
      <w:r w:rsidR="005E71C4">
        <w:t>.</w:t>
      </w:r>
    </w:p>
    <w:p w:rsidR="00654163" w:rsidRDefault="00654163" w:rsidP="005E71C4">
      <w:pPr>
        <w:pStyle w:val="ListParagraph"/>
        <w:numPr>
          <w:ilvl w:val="0"/>
          <w:numId w:val="4"/>
        </w:numPr>
        <w:spacing w:after="240"/>
        <w:contextualSpacing w:val="0"/>
      </w:pPr>
      <w:r>
        <w:t xml:space="preserve">TRIPS (1995), the other example provided by the Productivity Commission, established important minimum intellectual property standards within the international community and assurances on enforcement.  </w:t>
      </w:r>
      <w:r w:rsidR="00083F02">
        <w:t>TRIPS</w:t>
      </w:r>
      <w:r>
        <w:t xml:space="preserve"> is a key global benchmark in the promotion and protection of intellectual property.  Alongside Australia, 160 other countries and economies have adopted TRIPS standards.  Many countries had to make substantial changes to their intellectual property systems in order to implement TRIPS.  Australia made very few, demonstrating the extent to which TRIPS reflected and promoted Australia’s own domestic policy settings and interests.</w:t>
      </w:r>
    </w:p>
    <w:p w:rsidR="005E71C4" w:rsidRDefault="005E71C4" w:rsidP="001A730A">
      <w:pPr>
        <w:pStyle w:val="ListParagraph"/>
        <w:contextualSpacing w:val="0"/>
      </w:pPr>
    </w:p>
    <w:p w:rsidR="00654163" w:rsidRDefault="00654163" w:rsidP="00654163">
      <w:pPr>
        <w:spacing w:after="240"/>
        <w:rPr>
          <w:u w:val="single"/>
        </w:rPr>
      </w:pPr>
      <w:r>
        <w:rPr>
          <w:u w:val="single"/>
        </w:rPr>
        <w:t>Aid initiatives improve systems and use of intellectual property in our region</w:t>
      </w:r>
    </w:p>
    <w:p w:rsidR="00654163" w:rsidRPr="00242474" w:rsidRDefault="00654163" w:rsidP="00FE0BE7">
      <w:pPr>
        <w:pStyle w:val="ListParagraph"/>
        <w:numPr>
          <w:ilvl w:val="0"/>
          <w:numId w:val="4"/>
        </w:numPr>
        <w:spacing w:after="240"/>
        <w:contextualSpacing w:val="0"/>
      </w:pPr>
      <w:r w:rsidRPr="00242474">
        <w:t xml:space="preserve">Our intellectual property interests are also advanced through the Australian Government’s aid program, which includes aid for trade initiatives.   </w:t>
      </w:r>
    </w:p>
    <w:p w:rsidR="00654163" w:rsidRPr="00242474" w:rsidRDefault="00654163" w:rsidP="00FE0BE7">
      <w:pPr>
        <w:pStyle w:val="ListParagraph"/>
        <w:numPr>
          <w:ilvl w:val="0"/>
          <w:numId w:val="4"/>
        </w:numPr>
        <w:spacing w:after="240"/>
        <w:contextualSpacing w:val="0"/>
      </w:pPr>
      <w:r w:rsidRPr="00242474">
        <w:t>Aid for trade is about helping partner countries address internal constraints in areas such as regulation, infrastructure and workforce skills.  International organisations, including WIPO and the WTO, have encouraged recognition of the important role trade and intellectual property c</w:t>
      </w:r>
      <w:r>
        <w:t>an play in development, emphasis</w:t>
      </w:r>
      <w:r w:rsidRPr="00242474">
        <w:t>ing that many developing countries face serious capacity constraints affecting their ability to trade.</w:t>
      </w:r>
    </w:p>
    <w:p w:rsidR="00654163" w:rsidRDefault="00654163" w:rsidP="00FE0BE7">
      <w:pPr>
        <w:pStyle w:val="ListParagraph"/>
        <w:numPr>
          <w:ilvl w:val="0"/>
          <w:numId w:val="4"/>
        </w:numPr>
        <w:spacing w:after="240"/>
        <w:contextualSpacing w:val="0"/>
      </w:pPr>
      <w:r w:rsidRPr="00242474">
        <w:t xml:space="preserve">An example of </w:t>
      </w:r>
      <w:r w:rsidR="0014601A">
        <w:t>DFAT’s</w:t>
      </w:r>
      <w:r w:rsidRPr="00242474">
        <w:t xml:space="preserve"> work in this area </w:t>
      </w:r>
      <w:r w:rsidR="00D93735">
        <w:t xml:space="preserve">is </w:t>
      </w:r>
      <w:r>
        <w:t xml:space="preserve">the innovative aid for trade </w:t>
      </w:r>
      <w:r w:rsidRPr="00242474">
        <w:t xml:space="preserve">projects delivered </w:t>
      </w:r>
      <w:r>
        <w:t>in partnership with</w:t>
      </w:r>
      <w:r w:rsidRPr="00242474">
        <w:t xml:space="preserve"> </w:t>
      </w:r>
      <w:r w:rsidR="002C62C1">
        <w:t xml:space="preserve">IP Australia and </w:t>
      </w:r>
      <w:r w:rsidRPr="00242474">
        <w:t>WIPO</w:t>
      </w:r>
      <w:r>
        <w:t>.  Phase 1</w:t>
      </w:r>
      <w:r w:rsidRPr="00242474">
        <w:t> </w:t>
      </w:r>
      <w:r>
        <w:t xml:space="preserve">of the </w:t>
      </w:r>
      <w:r w:rsidRPr="00242474">
        <w:t xml:space="preserve">WIPO-Australia Funds in Trust </w:t>
      </w:r>
      <w:r w:rsidRPr="00187AEA">
        <w:rPr>
          <w:lang w:val="en"/>
        </w:rPr>
        <w:t xml:space="preserve">program </w:t>
      </w:r>
      <w:r>
        <w:rPr>
          <w:lang w:val="en"/>
        </w:rPr>
        <w:t>commenced</w:t>
      </w:r>
      <w:r w:rsidRPr="00187AEA">
        <w:rPr>
          <w:lang w:val="en"/>
        </w:rPr>
        <w:t xml:space="preserve"> in 2012</w:t>
      </w:r>
      <w:r>
        <w:rPr>
          <w:lang w:val="en"/>
        </w:rPr>
        <w:t>,</w:t>
      </w:r>
      <w:r w:rsidRPr="00187AEA">
        <w:rPr>
          <w:lang w:val="en"/>
        </w:rPr>
        <w:t xml:space="preserve"> with an investment of </w:t>
      </w:r>
      <w:r>
        <w:rPr>
          <w:lang w:val="en"/>
        </w:rPr>
        <w:t>A$</w:t>
      </w:r>
      <w:r w:rsidRPr="00187AEA">
        <w:rPr>
          <w:lang w:val="en"/>
        </w:rPr>
        <w:t>2 million.</w:t>
      </w:r>
      <w:r>
        <w:rPr>
          <w:lang w:val="en"/>
        </w:rPr>
        <w:t xml:space="preserve">  This successful program has been extended into a second phase, with a</w:t>
      </w:r>
      <w:r>
        <w:t xml:space="preserve"> </w:t>
      </w:r>
      <w:r>
        <w:rPr>
          <w:lang w:val="en"/>
        </w:rPr>
        <w:t xml:space="preserve">further </w:t>
      </w:r>
      <w:r>
        <w:t>A$3 million over three years announced in October 2015.</w:t>
      </w:r>
    </w:p>
    <w:p w:rsidR="00654163" w:rsidRPr="00242474" w:rsidRDefault="00654163" w:rsidP="00FE0BE7">
      <w:pPr>
        <w:pStyle w:val="ListParagraph"/>
        <w:numPr>
          <w:ilvl w:val="0"/>
          <w:numId w:val="4"/>
        </w:numPr>
        <w:spacing w:after="240"/>
        <w:contextualSpacing w:val="0"/>
      </w:pPr>
      <w:r>
        <w:t>The second phase of the</w:t>
      </w:r>
      <w:r w:rsidRPr="00242474">
        <w:t xml:space="preserve"> WIPO-Australia Funds in Trust program </w:t>
      </w:r>
      <w:r w:rsidR="00083F02">
        <w:t>is focussed on</w:t>
      </w:r>
      <w:r w:rsidRPr="00242474">
        <w:t xml:space="preserve"> least developed countries and de</w:t>
      </w:r>
      <w:r w:rsidR="00083F02">
        <w:t>veloping countries in the Indo-</w:t>
      </w:r>
      <w:r w:rsidRPr="00242474">
        <w:t xml:space="preserve">Pacific region with projects that support: the development of intellectual property systems and the enhancement of intellectual property capabilities (including accession and implementation of WIPO-administered treaties and </w:t>
      </w:r>
      <w:r>
        <w:t xml:space="preserve">the </w:t>
      </w:r>
      <w:r w:rsidRPr="00242474">
        <w:t xml:space="preserve">global intellectual property system); </w:t>
      </w:r>
      <w:r w:rsidR="00083F02">
        <w:t>and</w:t>
      </w:r>
      <w:r w:rsidRPr="00242474">
        <w:t xml:space="preserve"> knowledge and technology transfer to create an enabling environment in partner countries for private sector engagement, innovation and investment.</w:t>
      </w:r>
    </w:p>
    <w:p w:rsidR="00654163" w:rsidRDefault="0014601A" w:rsidP="00FE0BE7">
      <w:pPr>
        <w:pStyle w:val="ListParagraph"/>
        <w:numPr>
          <w:ilvl w:val="0"/>
          <w:numId w:val="4"/>
        </w:numPr>
        <w:spacing w:after="240"/>
        <w:contextualSpacing w:val="0"/>
      </w:pPr>
      <w:r>
        <w:t>DFAT</w:t>
      </w:r>
      <w:r w:rsidR="00654163">
        <w:t xml:space="preserve"> also delivers aid for trade projects through free trade agreement frameworks.  </w:t>
      </w:r>
      <w:r w:rsidR="00083F02">
        <w:t>The Agreement e</w:t>
      </w:r>
      <w:r w:rsidR="00654163" w:rsidRPr="00DC2584">
        <w:t xml:space="preserve">stablishing the ASEAN Australia-New Zealand Free Trade Area (AANZFTA) is a good example of a tailored regional </w:t>
      </w:r>
      <w:r w:rsidR="00654163" w:rsidRPr="00DC2584">
        <w:lastRenderedPageBreak/>
        <w:t>approach that included a significa</w:t>
      </w:r>
      <w:r w:rsidR="00654163">
        <w:t>nt aid for trade component.  In </w:t>
      </w:r>
      <w:r w:rsidR="00654163" w:rsidRPr="00DC2584">
        <w:t xml:space="preserve">addition to binding commitments, AANZFTA established an economic cooperation program on intellectual property.  The program has delivered a range of demand driven capacity building projects in the region, strengthening intellectual property systems to the benefit of our partner countries as well as Australian businesses, innovators and creators. </w:t>
      </w:r>
      <w:r w:rsidR="00654163" w:rsidRPr="00242474">
        <w:t xml:space="preserve">  </w:t>
      </w:r>
    </w:p>
    <w:p w:rsidR="00654163" w:rsidRPr="00DC2584" w:rsidRDefault="00654163" w:rsidP="00FE0BE7">
      <w:pPr>
        <w:pStyle w:val="ListParagraph"/>
        <w:numPr>
          <w:ilvl w:val="0"/>
          <w:numId w:val="4"/>
        </w:numPr>
        <w:spacing w:after="240"/>
        <w:contextualSpacing w:val="0"/>
      </w:pPr>
      <w:r>
        <w:t>A notable AANZFTA achievement has been in relation to supporting ASEAN Member States accede to the WIPO Madrid Protocol concerning registration of marks (making it faster, cheaper and easier for businesses to file trade mark applications in multiple jurisdictions).  The cooperation has raised stakeholders’ awareness, provided training on Madrid operations and developed roadmaps to accession.</w:t>
      </w:r>
    </w:p>
    <w:p w:rsidR="00654163" w:rsidRDefault="00654163" w:rsidP="005E71C4">
      <w:pPr>
        <w:pStyle w:val="ListParagraph"/>
        <w:numPr>
          <w:ilvl w:val="0"/>
          <w:numId w:val="4"/>
        </w:numPr>
        <w:spacing w:after="240"/>
        <w:contextualSpacing w:val="0"/>
      </w:pPr>
      <w:r w:rsidRPr="00242474">
        <w:t xml:space="preserve">Within the </w:t>
      </w:r>
      <w:r w:rsidR="00B84DD0">
        <w:t>broader DFAT portfolio</w:t>
      </w:r>
      <w:r w:rsidRPr="00242474">
        <w:t>, the Australian Centre for International Agricultural Research (ACIAR) encourages Australia’s agricultural scientists to use their skills for the benefit of developing countries and Australia by funding research partnerships that are developed within a framework reflecting the priorities of Australia’s aid program and national research strengths, together with the agricultural research and development p</w:t>
      </w:r>
      <w:r w:rsidR="005E71C4">
        <w:t xml:space="preserve">riorities of partner countries.  </w:t>
      </w:r>
      <w:r w:rsidR="00083F02">
        <w:t>Intellectual property r</w:t>
      </w:r>
      <w:r w:rsidRPr="00242474">
        <w:t xml:space="preserve">ights created in these research partnerships are retained in Australia by the research organisation and in the partner countries by the collaborating institutions. </w:t>
      </w:r>
    </w:p>
    <w:p w:rsidR="00654163" w:rsidRPr="00242474" w:rsidRDefault="00654163" w:rsidP="00FE0BE7">
      <w:pPr>
        <w:pStyle w:val="ListParagraph"/>
        <w:numPr>
          <w:ilvl w:val="0"/>
          <w:numId w:val="4"/>
        </w:numPr>
        <w:spacing w:after="240"/>
        <w:contextualSpacing w:val="0"/>
      </w:pPr>
      <w:r w:rsidRPr="00242474">
        <w:t>To ensure the greatest public benefit, under licence from the rights holders</w:t>
      </w:r>
      <w:r>
        <w:t>,</w:t>
      </w:r>
      <w:r w:rsidRPr="00242474">
        <w:t xml:space="preserve"> ACIAR publishes research findings and other technical reports and is provided the right to sub-licence to enable further research and benefits to be realised by all participants and the broader research and aid communities. </w:t>
      </w:r>
    </w:p>
    <w:p w:rsidR="00654163" w:rsidRDefault="00654163" w:rsidP="00654163">
      <w:pPr>
        <w:spacing w:after="240"/>
        <w:ind w:left="714"/>
        <w:contextualSpacing/>
        <w:rPr>
          <w:rFonts w:cs="Calibri"/>
        </w:rPr>
      </w:pPr>
    </w:p>
    <w:p w:rsidR="00654163" w:rsidRDefault="00654163" w:rsidP="00654163">
      <w:pPr>
        <w:spacing w:after="240"/>
        <w:rPr>
          <w:u w:val="single"/>
        </w:rPr>
      </w:pPr>
      <w:r>
        <w:rPr>
          <w:u w:val="single"/>
        </w:rPr>
        <w:t>Ongoing international cooperation at the intellectual property agency level</w:t>
      </w:r>
    </w:p>
    <w:p w:rsidR="00654163" w:rsidRPr="00242474" w:rsidRDefault="0014601A" w:rsidP="00FE0BE7">
      <w:pPr>
        <w:pStyle w:val="ListParagraph"/>
        <w:numPr>
          <w:ilvl w:val="0"/>
          <w:numId w:val="4"/>
        </w:numPr>
        <w:spacing w:after="240"/>
        <w:contextualSpacing w:val="0"/>
      </w:pPr>
      <w:r>
        <w:t>DFAT</w:t>
      </w:r>
      <w:r w:rsidR="00654163" w:rsidRPr="00242474">
        <w:t xml:space="preserve"> </w:t>
      </w:r>
      <w:r w:rsidR="00B77BBD">
        <w:t xml:space="preserve">also </w:t>
      </w:r>
      <w:r w:rsidR="00654163" w:rsidRPr="00242474">
        <w:t>encourages ongoing cooperation between our domestic intellectual property agencies and their foreign counterparts</w:t>
      </w:r>
      <w:r w:rsidR="00B77BBD">
        <w:t xml:space="preserve">, to enhance </w:t>
      </w:r>
      <w:r w:rsidR="00654163" w:rsidRPr="00242474">
        <w:t>intellectual property systems</w:t>
      </w:r>
      <w:r w:rsidR="00B77BBD">
        <w:t xml:space="preserve"> within the Indo-Pacific region</w:t>
      </w:r>
      <w:r w:rsidR="00654163" w:rsidRPr="00242474">
        <w:t>.</w:t>
      </w:r>
    </w:p>
    <w:p w:rsidR="00654163" w:rsidRPr="00242474" w:rsidRDefault="00654163" w:rsidP="00FE0BE7">
      <w:pPr>
        <w:pStyle w:val="ListParagraph"/>
        <w:numPr>
          <w:ilvl w:val="0"/>
          <w:numId w:val="4"/>
        </w:numPr>
        <w:spacing w:after="240"/>
        <w:contextualSpacing w:val="0"/>
      </w:pPr>
      <w:r>
        <w:t xml:space="preserve">For example, the WIPO Funds in Trust program </w:t>
      </w:r>
      <w:r w:rsidR="00B77BBD">
        <w:t xml:space="preserve">also </w:t>
      </w:r>
      <w:r>
        <w:t xml:space="preserve">supports agency to agency cooperation.  </w:t>
      </w:r>
      <w:r w:rsidRPr="00242474">
        <w:t xml:space="preserve">A key focus of </w:t>
      </w:r>
      <w:r>
        <w:t xml:space="preserve">the program is </w:t>
      </w:r>
      <w:r w:rsidRPr="00242474">
        <w:t xml:space="preserve">to address gaps in the development and implementation of </w:t>
      </w:r>
      <w:r>
        <w:t>intellectual property</w:t>
      </w:r>
      <w:r w:rsidRPr="00242474">
        <w:t xml:space="preserve"> systems and to bolster experience in </w:t>
      </w:r>
      <w:r>
        <w:t>intellectual property</w:t>
      </w:r>
      <w:r w:rsidRPr="00242474">
        <w:t xml:space="preserve"> administration</w:t>
      </w:r>
      <w:r>
        <w:t>.</w:t>
      </w:r>
      <w:r w:rsidRPr="00242474">
        <w:t xml:space="preserve">  </w:t>
      </w:r>
      <w:r>
        <w:t xml:space="preserve">Program activities include </w:t>
      </w:r>
      <w:r w:rsidRPr="00242474">
        <w:t xml:space="preserve">the delivery of </w:t>
      </w:r>
      <w:r>
        <w:t>trade mark system</w:t>
      </w:r>
      <w:r w:rsidRPr="00242474">
        <w:t xml:space="preserve"> training </w:t>
      </w:r>
      <w:r>
        <w:t xml:space="preserve">to officials </w:t>
      </w:r>
      <w:r w:rsidRPr="00242474">
        <w:t>in partner</w:t>
      </w:r>
      <w:r>
        <w:t xml:space="preserve"> countries by IP </w:t>
      </w:r>
      <w:r w:rsidRPr="00242474">
        <w:t>Australia</w:t>
      </w:r>
      <w:r>
        <w:t xml:space="preserve"> experts</w:t>
      </w:r>
      <w:r w:rsidRPr="00242474">
        <w:t>, in conjunction with experts from WIPO</w:t>
      </w:r>
      <w:r w:rsidRPr="0085376E">
        <w:rPr>
          <w:bCs/>
          <w:lang w:val="en"/>
        </w:rPr>
        <w:t>.</w:t>
      </w:r>
    </w:p>
    <w:p w:rsidR="00654163" w:rsidRDefault="00654163" w:rsidP="00FE0BE7">
      <w:pPr>
        <w:pStyle w:val="ListParagraph"/>
        <w:numPr>
          <w:ilvl w:val="0"/>
          <w:numId w:val="4"/>
        </w:numPr>
        <w:spacing w:after="240"/>
        <w:contextualSpacing w:val="0"/>
      </w:pPr>
      <w:r w:rsidRPr="00242474">
        <w:t xml:space="preserve">A further example </w:t>
      </w:r>
      <w:r>
        <w:t>is</w:t>
      </w:r>
      <w:r w:rsidRPr="00242474">
        <w:t xml:space="preserve"> funding </w:t>
      </w:r>
      <w:r w:rsidR="00B77BBD">
        <w:t>DFAT</w:t>
      </w:r>
      <w:r w:rsidRPr="00242474">
        <w:t xml:space="preserve"> provides, through the AANZFTA economic cooperation program, for IP Australia to provide patent examination training to intellectual property officials in our region.  The Regional Patent Examination Training program has been operating since 2013, providing in depth training and knowledge transfer necessary to examine patents to international standards.  The quality of IP Australia’s training was recognised with a Gold Award at the 2013 Asia Pacific LearnX Conference and demand for the training is high.</w:t>
      </w:r>
    </w:p>
    <w:p w:rsidR="00654163" w:rsidRPr="006E51E5" w:rsidRDefault="00AA3E44" w:rsidP="007C70BA">
      <w:pPr>
        <w:pStyle w:val="Heading1"/>
        <w:spacing w:before="600" w:after="240"/>
        <w:rPr>
          <w:sz w:val="26"/>
          <w:lang w:val="en-US"/>
        </w:rPr>
      </w:pPr>
      <w:bookmarkStart w:id="8" w:name="_Toc436231873"/>
      <w:r w:rsidRPr="006E51E5">
        <w:rPr>
          <w:sz w:val="26"/>
          <w:lang w:val="en-US"/>
        </w:rPr>
        <w:lastRenderedPageBreak/>
        <w:t>H</w:t>
      </w:r>
      <w:r w:rsidR="00654163" w:rsidRPr="006E51E5">
        <w:rPr>
          <w:sz w:val="26"/>
          <w:lang w:val="en-US"/>
        </w:rPr>
        <w:t xml:space="preserve">.  </w:t>
      </w:r>
      <w:r w:rsidR="006E51E5">
        <w:rPr>
          <w:sz w:val="26"/>
          <w:lang w:val="en-US"/>
        </w:rPr>
        <w:t xml:space="preserve"> </w:t>
      </w:r>
      <w:r w:rsidR="00654163" w:rsidRPr="006E51E5">
        <w:rPr>
          <w:sz w:val="26"/>
          <w:lang w:val="en-US"/>
        </w:rPr>
        <w:t>Specific issues for the Commission to consider</w:t>
      </w:r>
      <w:bookmarkEnd w:id="8"/>
    </w:p>
    <w:p w:rsidR="00654163" w:rsidRPr="00793C65" w:rsidRDefault="00654163" w:rsidP="00FE0BE7">
      <w:pPr>
        <w:pStyle w:val="ListParagraph"/>
        <w:numPr>
          <w:ilvl w:val="0"/>
          <w:numId w:val="4"/>
        </w:numPr>
        <w:spacing w:after="240"/>
        <w:contextualSpacing w:val="0"/>
      </w:pPr>
      <w:r>
        <w:t>Consistent with the Terms of Reference, including Scope of the Inquiry paragraphs 1-2,</w:t>
      </w:r>
      <w:r w:rsidRPr="00793C65">
        <w:t xml:space="preserve"> </w:t>
      </w:r>
      <w:r w:rsidR="00B84DD0">
        <w:t xml:space="preserve">DFAT </w:t>
      </w:r>
      <w:r w:rsidRPr="00793C65">
        <w:t xml:space="preserve">would be particularly interested in new data and a deeper examination of </w:t>
      </w:r>
      <w:r>
        <w:t xml:space="preserve">the influence of intellectual property </w:t>
      </w:r>
      <w:r w:rsidR="003343EC">
        <w:t>arrangements</w:t>
      </w:r>
      <w:r>
        <w:t xml:space="preserve"> on</w:t>
      </w:r>
      <w:r w:rsidRPr="00793C65">
        <w:t xml:space="preserve">: </w:t>
      </w:r>
    </w:p>
    <w:p w:rsidR="00654163" w:rsidRPr="003343EC" w:rsidRDefault="00F7501C" w:rsidP="00654163">
      <w:pPr>
        <w:pStyle w:val="ListParagraph"/>
        <w:numPr>
          <w:ilvl w:val="1"/>
          <w:numId w:val="18"/>
        </w:numPr>
        <w:spacing w:after="240"/>
        <w:contextualSpacing w:val="0"/>
      </w:pPr>
      <w:r w:rsidRPr="003343EC">
        <w:t>f</w:t>
      </w:r>
      <w:r w:rsidR="00012D74" w:rsidRPr="003343EC">
        <w:t>acilitating inward investment</w:t>
      </w:r>
      <w:r w:rsidRPr="003343EC">
        <w:t>;</w:t>
      </w:r>
    </w:p>
    <w:p w:rsidR="003343EC" w:rsidRPr="003343EC" w:rsidRDefault="00F7501C" w:rsidP="003343EC">
      <w:pPr>
        <w:pStyle w:val="ListParagraph"/>
        <w:numPr>
          <w:ilvl w:val="1"/>
          <w:numId w:val="18"/>
        </w:numPr>
        <w:spacing w:after="240"/>
        <w:contextualSpacing w:val="0"/>
      </w:pPr>
      <w:r w:rsidRPr="003343EC">
        <w:t>s</w:t>
      </w:r>
      <w:r w:rsidR="00654163" w:rsidRPr="003343EC">
        <w:t>upporting innovators</w:t>
      </w:r>
      <w:r w:rsidR="00656797">
        <w:t>, creators</w:t>
      </w:r>
      <w:r w:rsidR="00654163" w:rsidRPr="003343EC">
        <w:t xml:space="preserve"> and businesses collaborate, share knowledge, t</w:t>
      </w:r>
      <w:r w:rsidR="00012D74" w:rsidRPr="003343EC">
        <w:t>rade and invest internationally</w:t>
      </w:r>
      <w:r w:rsidRPr="003343EC">
        <w:t>; and</w:t>
      </w:r>
    </w:p>
    <w:p w:rsidR="00654163" w:rsidRDefault="003942BC" w:rsidP="00654163">
      <w:pPr>
        <w:pStyle w:val="ListParagraph"/>
        <w:numPr>
          <w:ilvl w:val="1"/>
          <w:numId w:val="18"/>
        </w:numPr>
        <w:spacing w:after="240"/>
        <w:contextualSpacing w:val="0"/>
      </w:pPr>
      <w:r>
        <w:t>c</w:t>
      </w:r>
      <w:r w:rsidR="00654163" w:rsidRPr="003343EC">
        <w:t>onnecting with global value chains, particularly at the high value end</w:t>
      </w:r>
      <w:r w:rsidR="00A14EF4" w:rsidRPr="003343EC">
        <w:t>.</w:t>
      </w:r>
    </w:p>
    <w:p w:rsidR="003942BC" w:rsidRDefault="00E4454C" w:rsidP="003942BC">
      <w:pPr>
        <w:pStyle w:val="ListParagraph"/>
        <w:numPr>
          <w:ilvl w:val="0"/>
          <w:numId w:val="4"/>
        </w:numPr>
        <w:spacing w:after="240"/>
        <w:contextualSpacing w:val="0"/>
      </w:pPr>
      <w:r>
        <w:t>Examination of these areas</w:t>
      </w:r>
      <w:r w:rsidR="003942BC">
        <w:t xml:space="preserve"> could extend to include: </w:t>
      </w:r>
    </w:p>
    <w:p w:rsidR="003942BC" w:rsidRDefault="003942BC" w:rsidP="003942BC">
      <w:pPr>
        <w:pStyle w:val="ListParagraph"/>
        <w:numPr>
          <w:ilvl w:val="1"/>
          <w:numId w:val="4"/>
        </w:numPr>
        <w:spacing w:after="240"/>
        <w:contextualSpacing w:val="0"/>
      </w:pPr>
      <w:r>
        <w:t>exploring the link between intellectual property settings and successful commercialisation</w:t>
      </w:r>
      <w:r w:rsidR="0021319E">
        <w:t xml:space="preserve">, </w:t>
      </w:r>
      <w:r w:rsidR="00E4454C">
        <w:t>with analysis of</w:t>
      </w:r>
      <w:r>
        <w:t xml:space="preserve"> how Australia can get the most value out of the knowledge it produces;</w:t>
      </w:r>
    </w:p>
    <w:p w:rsidR="003343EC" w:rsidRDefault="0021319E" w:rsidP="003942BC">
      <w:pPr>
        <w:pStyle w:val="ListParagraph"/>
        <w:numPr>
          <w:ilvl w:val="1"/>
          <w:numId w:val="4"/>
        </w:numPr>
        <w:spacing w:after="240"/>
        <w:contextualSpacing w:val="0"/>
      </w:pPr>
      <w:r>
        <w:t xml:space="preserve">considering </w:t>
      </w:r>
      <w:r w:rsidR="003343EC">
        <w:t>whether improvements can</w:t>
      </w:r>
      <w:r w:rsidR="003343EC" w:rsidRPr="003343EC">
        <w:t xml:space="preserve"> be made to the intellectual property system and its public </w:t>
      </w:r>
      <w:r w:rsidR="003343EC" w:rsidRPr="00F7501C">
        <w:t xml:space="preserve">infrastructure to enhance the marketing and appeal of Australian products, particularly in overseas markets </w:t>
      </w:r>
      <w:r>
        <w:t>and particularly for SMEs</w:t>
      </w:r>
      <w:r w:rsidR="003343EC">
        <w:t>;</w:t>
      </w:r>
    </w:p>
    <w:p w:rsidR="003942BC" w:rsidRDefault="00E4454C" w:rsidP="003942BC">
      <w:pPr>
        <w:pStyle w:val="ListParagraph"/>
        <w:numPr>
          <w:ilvl w:val="1"/>
          <w:numId w:val="4"/>
        </w:numPr>
        <w:spacing w:after="240"/>
        <w:contextualSpacing w:val="0"/>
      </w:pPr>
      <w:r>
        <w:t>reviewing</w:t>
      </w:r>
      <w:r w:rsidR="003942BC">
        <w:t xml:space="preserve"> the effectiveness of Australian businesses, investors, innovators and creators in exploiting their intellectual property in </w:t>
      </w:r>
      <w:r w:rsidR="0021319E">
        <w:t>foreign markets</w:t>
      </w:r>
      <w:r w:rsidR="003942BC">
        <w:t xml:space="preserve"> and the challenges they face</w:t>
      </w:r>
      <w:r w:rsidR="00083F02">
        <w:t>, including in the context of participation in global value chains</w:t>
      </w:r>
      <w:r w:rsidR="003942BC">
        <w:t>;</w:t>
      </w:r>
      <w:r w:rsidR="006E51E5">
        <w:t xml:space="preserve"> and</w:t>
      </w:r>
    </w:p>
    <w:p w:rsidR="003343EC" w:rsidRPr="003343EC" w:rsidRDefault="00E4454C" w:rsidP="00654163">
      <w:pPr>
        <w:pStyle w:val="ListParagraph"/>
        <w:numPr>
          <w:ilvl w:val="1"/>
          <w:numId w:val="18"/>
        </w:numPr>
        <w:spacing w:after="240"/>
        <w:contextualSpacing w:val="0"/>
      </w:pPr>
      <w:r>
        <w:t>understanding</w:t>
      </w:r>
      <w:r w:rsidR="00D13695">
        <w:t xml:space="preserve"> the factors that drive businesses to </w:t>
      </w:r>
      <w:r w:rsidR="00E577C2">
        <w:t>invest in research and development and innovative, high value sectors of the Australian econ</w:t>
      </w:r>
      <w:r w:rsidR="008877B5">
        <w:t>omy, the</w:t>
      </w:r>
      <w:r w:rsidR="00E577C2">
        <w:t xml:space="preserve"> role intellectual property </w:t>
      </w:r>
      <w:r w:rsidR="008877B5">
        <w:t>settings</w:t>
      </w:r>
      <w:r w:rsidR="00E577C2">
        <w:t xml:space="preserve"> can or should play </w:t>
      </w:r>
      <w:r w:rsidR="008877B5">
        <w:t xml:space="preserve">as a driver of such decisions, </w:t>
      </w:r>
      <w:r w:rsidR="00D13695">
        <w:t>and the costs and benefits to the economy</w:t>
      </w:r>
      <w:r w:rsidR="008877B5">
        <w:t xml:space="preserve"> of calibrating intellectual property settings in this way</w:t>
      </w:r>
      <w:r w:rsidR="00D13695">
        <w:t xml:space="preserve">. </w:t>
      </w:r>
    </w:p>
    <w:p w:rsidR="00654163" w:rsidRDefault="00654163" w:rsidP="00083F02">
      <w:pPr>
        <w:pStyle w:val="ListParagraph"/>
        <w:numPr>
          <w:ilvl w:val="0"/>
          <w:numId w:val="4"/>
        </w:numPr>
        <w:spacing w:after="240"/>
        <w:contextualSpacing w:val="0"/>
      </w:pPr>
      <w:r>
        <w:t>In conducting its inquiry, we would welcome the inclusion by the Productivity Commission of comparisons with other comparable economies and innovation leaders – to help understand and put in context Australia’s approach to managing the balance of policy considerations inherent within intellectual property.  Comparisons with key trading partners would be useful to add evidence-based analysis to better understand the factors which drive the positive nexus between intellectual property, innovation and investment in economies.</w:t>
      </w:r>
      <w:r w:rsidR="00AA62DF">
        <w:t xml:space="preserve"> </w:t>
      </w:r>
      <w:r w:rsidR="00AA62DF" w:rsidRPr="00083F02">
        <w:rPr>
          <w:lang w:val="en"/>
        </w:rPr>
        <w:t xml:space="preserve">The Global Innovation Index, co-published by WIPO, Cornell University and INSEAD (the </w:t>
      </w:r>
      <w:r w:rsidR="00AA62DF" w:rsidRPr="00083F02">
        <w:rPr>
          <w:iCs/>
          <w:lang w:val="en"/>
        </w:rPr>
        <w:t>European Institute of Business Administration</w:t>
      </w:r>
      <w:r w:rsidR="00AA62DF" w:rsidRPr="00083F02">
        <w:rPr>
          <w:lang w:val="en"/>
        </w:rPr>
        <w:t xml:space="preserve">), may provide a useful benchmark for the Productivity Commission to consult when considering comparisons with other countries.  </w:t>
      </w:r>
    </w:p>
    <w:p w:rsidR="007C70BA" w:rsidRDefault="007C70BA">
      <w:pPr>
        <w:rPr>
          <w:b/>
        </w:rPr>
      </w:pPr>
      <w:r>
        <w:rPr>
          <w:b/>
        </w:rPr>
        <w:br w:type="page"/>
      </w:r>
    </w:p>
    <w:p w:rsidR="00654163" w:rsidRPr="007C70BA" w:rsidRDefault="00654163" w:rsidP="00654163">
      <w:pPr>
        <w:spacing w:after="240"/>
        <w:rPr>
          <w:rFonts w:asciiTheme="minorHAnsi" w:hAnsiTheme="minorHAnsi" w:cstheme="minorHAnsi"/>
          <w:b/>
          <w:color w:val="365F91" w:themeColor="accent1" w:themeShade="BF"/>
          <w:sz w:val="26"/>
          <w:szCs w:val="26"/>
        </w:rPr>
      </w:pPr>
      <w:r w:rsidRPr="007C70BA">
        <w:rPr>
          <w:rFonts w:asciiTheme="minorHAnsi" w:hAnsiTheme="minorHAnsi" w:cstheme="minorHAnsi"/>
          <w:b/>
          <w:color w:val="365F91" w:themeColor="accent1" w:themeShade="BF"/>
          <w:sz w:val="26"/>
          <w:szCs w:val="26"/>
        </w:rPr>
        <w:lastRenderedPageBreak/>
        <w:t>References</w:t>
      </w:r>
    </w:p>
    <w:p w:rsidR="00654163" w:rsidRDefault="00654163" w:rsidP="00654163">
      <w:pPr>
        <w:pStyle w:val="FootnoteText"/>
        <w:rPr>
          <w:sz w:val="24"/>
          <w:szCs w:val="24"/>
        </w:rPr>
      </w:pPr>
    </w:p>
    <w:p w:rsidR="00654163" w:rsidRDefault="00654163" w:rsidP="00654163">
      <w:pPr>
        <w:pStyle w:val="FootnoteText"/>
        <w:rPr>
          <w:sz w:val="24"/>
          <w:szCs w:val="24"/>
        </w:rPr>
      </w:pPr>
    </w:p>
    <w:p w:rsidR="00654163" w:rsidRDefault="00654163" w:rsidP="00654163">
      <w:pPr>
        <w:pStyle w:val="Default"/>
        <w:spacing w:after="240"/>
      </w:pPr>
      <w:r w:rsidRPr="004021E1">
        <w:rPr>
          <w:rFonts w:ascii="Times New Roman" w:hAnsi="Times New Roman" w:cs="Times New Roman"/>
          <w:bCs/>
          <w:color w:val="auto"/>
          <w:lang w:eastAsia="en-US"/>
        </w:rPr>
        <w:t xml:space="preserve">Hargreaves, I.  </w:t>
      </w:r>
      <w:r w:rsidRPr="004021E1">
        <w:rPr>
          <w:rFonts w:ascii="Times New Roman" w:hAnsi="Times New Roman" w:cs="Times New Roman"/>
          <w:color w:val="auto"/>
          <w:lang w:val="en" w:eastAsia="en-US"/>
        </w:rPr>
        <w:t xml:space="preserve">2011, </w:t>
      </w:r>
      <w:r w:rsidRPr="004021E1">
        <w:rPr>
          <w:rFonts w:ascii="Times New Roman" w:hAnsi="Times New Roman" w:cs="Times New Roman"/>
          <w:i/>
          <w:color w:val="auto"/>
          <w:lang w:val="en" w:eastAsia="en-US"/>
        </w:rPr>
        <w:t>Digital Opportunity: A Review of Intellectual Property and Growth,</w:t>
      </w:r>
      <w:r w:rsidRPr="004021E1">
        <w:rPr>
          <w:rFonts w:ascii="Times New Roman" w:hAnsi="Times New Roman" w:cs="Times New Roman"/>
          <w:color w:val="auto"/>
          <w:lang w:val="en" w:eastAsia="en-US"/>
        </w:rPr>
        <w:t xml:space="preserve"> May.</w:t>
      </w:r>
    </w:p>
    <w:p w:rsidR="00654163" w:rsidRPr="004021E1" w:rsidRDefault="00654163" w:rsidP="00654163">
      <w:pPr>
        <w:spacing w:after="240"/>
      </w:pPr>
      <w:r w:rsidRPr="004021E1">
        <w:t xml:space="preserve">IP Australia 2015a, </w:t>
      </w:r>
      <w:r w:rsidRPr="004021E1">
        <w:rPr>
          <w:i/>
        </w:rPr>
        <w:t>Australian Intellectual Property Report</w:t>
      </w:r>
      <w:r w:rsidRPr="004021E1">
        <w:t>, April.</w:t>
      </w:r>
    </w:p>
    <w:p w:rsidR="00654163" w:rsidRDefault="00654163" w:rsidP="00654163">
      <w:pPr>
        <w:spacing w:after="240"/>
      </w:pPr>
      <w:r w:rsidRPr="004021E1">
        <w:t xml:space="preserve">IP Australia 2015b, </w:t>
      </w:r>
      <w:r w:rsidRPr="004021E1">
        <w:rPr>
          <w:i/>
        </w:rPr>
        <w:t>The Australian Mining Industry: More than Just Shovels and Being the Lucky Country</w:t>
      </w:r>
      <w:r w:rsidRPr="004021E1">
        <w:t>, June.</w:t>
      </w:r>
    </w:p>
    <w:p w:rsidR="00654163" w:rsidRPr="004021E1" w:rsidRDefault="00654163" w:rsidP="00654163">
      <w:pPr>
        <w:pStyle w:val="FootnoteText"/>
        <w:spacing w:after="240"/>
        <w:rPr>
          <w:sz w:val="24"/>
          <w:szCs w:val="24"/>
          <w:lang w:val="en"/>
        </w:rPr>
      </w:pPr>
      <w:r w:rsidRPr="004021E1">
        <w:rPr>
          <w:sz w:val="24"/>
          <w:szCs w:val="24"/>
        </w:rPr>
        <w:t>OECD (</w:t>
      </w:r>
      <w:r w:rsidRPr="004021E1">
        <w:rPr>
          <w:bCs/>
          <w:sz w:val="24"/>
          <w:szCs w:val="24"/>
        </w:rPr>
        <w:t>Organisation for Economic Co-operation and Development)</w:t>
      </w:r>
      <w:r w:rsidRPr="004021E1">
        <w:rPr>
          <w:sz w:val="24"/>
          <w:szCs w:val="24"/>
        </w:rPr>
        <w:t xml:space="preserve"> 2013, </w:t>
      </w:r>
      <w:r w:rsidRPr="004021E1">
        <w:rPr>
          <w:i/>
          <w:sz w:val="24"/>
          <w:szCs w:val="24"/>
          <w:lang w:val="en"/>
        </w:rPr>
        <w:t>Supporting Investment in Knowledge Capital, Growth and Innovation</w:t>
      </w:r>
      <w:r w:rsidRPr="004021E1">
        <w:rPr>
          <w:sz w:val="24"/>
          <w:szCs w:val="24"/>
          <w:lang w:val="en"/>
        </w:rPr>
        <w:t>, October.</w:t>
      </w:r>
    </w:p>
    <w:p w:rsidR="00654163" w:rsidRPr="004021E1" w:rsidRDefault="00654163" w:rsidP="00654163">
      <w:pPr>
        <w:pStyle w:val="FootnoteText"/>
        <w:spacing w:after="240"/>
        <w:rPr>
          <w:bCs/>
          <w:sz w:val="24"/>
          <w:szCs w:val="24"/>
          <w:lang w:val="en"/>
        </w:rPr>
      </w:pPr>
      <w:r w:rsidRPr="004021E1">
        <w:rPr>
          <w:bCs/>
          <w:sz w:val="24"/>
          <w:szCs w:val="24"/>
          <w:lang w:val="en"/>
        </w:rPr>
        <w:t>OECD (</w:t>
      </w:r>
      <w:r w:rsidRPr="004021E1">
        <w:rPr>
          <w:bCs/>
          <w:sz w:val="24"/>
          <w:szCs w:val="24"/>
        </w:rPr>
        <w:t>Organisation for Economic Co-operation and Development)</w:t>
      </w:r>
      <w:r w:rsidRPr="004021E1">
        <w:rPr>
          <w:sz w:val="24"/>
          <w:szCs w:val="24"/>
        </w:rPr>
        <w:t xml:space="preserve"> </w:t>
      </w:r>
      <w:r w:rsidRPr="004021E1">
        <w:rPr>
          <w:bCs/>
          <w:sz w:val="24"/>
          <w:szCs w:val="24"/>
          <w:lang w:val="en"/>
        </w:rPr>
        <w:t xml:space="preserve">2014, </w:t>
      </w:r>
      <w:r w:rsidRPr="004021E1">
        <w:rPr>
          <w:bCs/>
          <w:i/>
          <w:sz w:val="24"/>
          <w:szCs w:val="24"/>
          <w:lang w:val="en"/>
        </w:rPr>
        <w:t>Measuring the Digital Economy: A New Perspective</w:t>
      </w:r>
      <w:r w:rsidRPr="004021E1">
        <w:rPr>
          <w:bCs/>
          <w:sz w:val="24"/>
          <w:szCs w:val="24"/>
          <w:lang w:val="en"/>
        </w:rPr>
        <w:t xml:space="preserve">, December. </w:t>
      </w:r>
    </w:p>
    <w:p w:rsidR="00654163" w:rsidRDefault="00654163" w:rsidP="00654163">
      <w:pPr>
        <w:pStyle w:val="FootnoteText"/>
        <w:spacing w:after="240"/>
        <w:rPr>
          <w:iCs/>
          <w:sz w:val="24"/>
          <w:szCs w:val="24"/>
        </w:rPr>
      </w:pPr>
      <w:r w:rsidRPr="004021E1">
        <w:rPr>
          <w:sz w:val="24"/>
          <w:szCs w:val="24"/>
        </w:rPr>
        <w:t>OECD (</w:t>
      </w:r>
      <w:r w:rsidRPr="004021E1">
        <w:rPr>
          <w:bCs/>
          <w:sz w:val="24"/>
          <w:szCs w:val="24"/>
        </w:rPr>
        <w:t>Organisation for Economic Co-operation and Development)</w:t>
      </w:r>
      <w:r w:rsidRPr="004021E1">
        <w:rPr>
          <w:sz w:val="24"/>
          <w:szCs w:val="24"/>
        </w:rPr>
        <w:t xml:space="preserve"> 2015a, </w:t>
      </w:r>
      <w:r w:rsidRPr="004021E1">
        <w:rPr>
          <w:i/>
          <w:iCs/>
          <w:sz w:val="24"/>
          <w:szCs w:val="24"/>
        </w:rPr>
        <w:t>OECD Science, Technology and Industry Scoreboard 2015: Innovation for growth and society</w:t>
      </w:r>
      <w:r w:rsidRPr="004021E1">
        <w:rPr>
          <w:iCs/>
          <w:sz w:val="24"/>
          <w:szCs w:val="24"/>
        </w:rPr>
        <w:t>, October.</w:t>
      </w:r>
    </w:p>
    <w:p w:rsidR="00654163" w:rsidRPr="004021E1" w:rsidRDefault="00654163" w:rsidP="00654163">
      <w:pPr>
        <w:pStyle w:val="FootnoteText"/>
        <w:spacing w:after="240"/>
        <w:rPr>
          <w:bCs/>
          <w:i/>
          <w:sz w:val="24"/>
          <w:szCs w:val="24"/>
        </w:rPr>
      </w:pPr>
      <w:r w:rsidRPr="004021E1">
        <w:rPr>
          <w:sz w:val="24"/>
          <w:szCs w:val="24"/>
        </w:rPr>
        <w:t>OECD (</w:t>
      </w:r>
      <w:r w:rsidRPr="004021E1">
        <w:rPr>
          <w:bCs/>
          <w:sz w:val="24"/>
          <w:szCs w:val="24"/>
        </w:rPr>
        <w:t xml:space="preserve">Organisation for Economic Co-operation and Development) </w:t>
      </w:r>
      <w:r w:rsidRPr="004021E1">
        <w:rPr>
          <w:sz w:val="24"/>
          <w:szCs w:val="24"/>
        </w:rPr>
        <w:t xml:space="preserve">2015b, </w:t>
      </w:r>
      <w:r w:rsidRPr="004021E1">
        <w:rPr>
          <w:bCs/>
          <w:i/>
          <w:sz w:val="24"/>
          <w:szCs w:val="24"/>
        </w:rPr>
        <w:t>The Innovation Imperative: Contributing to Productivity, Growth and Well-Being</w:t>
      </w:r>
      <w:r w:rsidRPr="004021E1">
        <w:rPr>
          <w:bCs/>
          <w:sz w:val="24"/>
          <w:szCs w:val="24"/>
        </w:rPr>
        <w:t>, October.</w:t>
      </w:r>
    </w:p>
    <w:p w:rsidR="00654163" w:rsidRPr="004021E1" w:rsidRDefault="00654163" w:rsidP="00654163">
      <w:pPr>
        <w:pStyle w:val="FootnoteText"/>
        <w:spacing w:after="240"/>
        <w:rPr>
          <w:bCs/>
          <w:sz w:val="24"/>
          <w:szCs w:val="24"/>
        </w:rPr>
      </w:pPr>
      <w:r w:rsidRPr="004021E1">
        <w:rPr>
          <w:sz w:val="24"/>
          <w:szCs w:val="24"/>
        </w:rPr>
        <w:t>VisionMobile</w:t>
      </w:r>
      <w:r w:rsidRPr="004021E1">
        <w:rPr>
          <w:sz w:val="24"/>
          <w:szCs w:val="24"/>
          <w:lang w:val="en-US"/>
        </w:rPr>
        <w:t xml:space="preserve"> 2014, </w:t>
      </w:r>
      <w:r w:rsidRPr="004021E1">
        <w:rPr>
          <w:bCs/>
          <w:i/>
          <w:sz w:val="24"/>
          <w:szCs w:val="24"/>
        </w:rPr>
        <w:t>Developer Economics Q1 2014:</w:t>
      </w:r>
      <w:r w:rsidRPr="004021E1">
        <w:rPr>
          <w:bCs/>
          <w:sz w:val="24"/>
          <w:szCs w:val="24"/>
        </w:rPr>
        <w:t xml:space="preserve"> </w:t>
      </w:r>
      <w:r w:rsidRPr="004021E1">
        <w:rPr>
          <w:bCs/>
          <w:i/>
          <w:sz w:val="24"/>
          <w:szCs w:val="24"/>
        </w:rPr>
        <w:t>State of the Developer Nation</w:t>
      </w:r>
      <w:r w:rsidRPr="004021E1">
        <w:rPr>
          <w:bCs/>
          <w:sz w:val="24"/>
          <w:szCs w:val="24"/>
        </w:rPr>
        <w:t xml:space="preserve">, February. </w:t>
      </w:r>
    </w:p>
    <w:p w:rsidR="00654163" w:rsidRPr="004021E1" w:rsidRDefault="00654163" w:rsidP="00654163">
      <w:pPr>
        <w:pStyle w:val="FootnoteText"/>
        <w:spacing w:after="240"/>
        <w:rPr>
          <w:sz w:val="24"/>
          <w:szCs w:val="24"/>
        </w:rPr>
      </w:pPr>
      <w:r w:rsidRPr="004021E1">
        <w:rPr>
          <w:sz w:val="24"/>
          <w:szCs w:val="24"/>
        </w:rPr>
        <w:t xml:space="preserve">WIPO (World Intellectual Property Organization) 2014, </w:t>
      </w:r>
      <w:r w:rsidRPr="004021E1">
        <w:rPr>
          <w:i/>
          <w:sz w:val="24"/>
          <w:szCs w:val="24"/>
        </w:rPr>
        <w:t>WIPO</w:t>
      </w:r>
      <w:r w:rsidRPr="004021E1">
        <w:rPr>
          <w:sz w:val="24"/>
          <w:szCs w:val="24"/>
        </w:rPr>
        <w:t xml:space="preserve"> </w:t>
      </w:r>
      <w:r w:rsidRPr="004021E1">
        <w:rPr>
          <w:i/>
          <w:sz w:val="24"/>
          <w:szCs w:val="24"/>
        </w:rPr>
        <w:t>IP Facts and Figures</w:t>
      </w:r>
      <w:r w:rsidRPr="004021E1">
        <w:rPr>
          <w:sz w:val="24"/>
          <w:szCs w:val="24"/>
        </w:rPr>
        <w:t>,</w:t>
      </w:r>
      <w:r w:rsidRPr="004021E1">
        <w:rPr>
          <w:i/>
          <w:sz w:val="24"/>
          <w:szCs w:val="24"/>
        </w:rPr>
        <w:t xml:space="preserve"> </w:t>
      </w:r>
      <w:r w:rsidRPr="004021E1">
        <w:rPr>
          <w:sz w:val="24"/>
          <w:szCs w:val="24"/>
        </w:rPr>
        <w:t>June.</w:t>
      </w:r>
    </w:p>
    <w:p w:rsidR="00654163" w:rsidRPr="004021E1" w:rsidRDefault="00654163" w:rsidP="00654163">
      <w:pPr>
        <w:pStyle w:val="FootnoteText"/>
        <w:spacing w:after="240"/>
        <w:rPr>
          <w:sz w:val="24"/>
          <w:szCs w:val="24"/>
        </w:rPr>
      </w:pPr>
      <w:r w:rsidRPr="004021E1">
        <w:rPr>
          <w:sz w:val="24"/>
          <w:szCs w:val="24"/>
        </w:rPr>
        <w:t xml:space="preserve">WIPO (World Intellectual Property Organization) 2011, </w:t>
      </w:r>
      <w:r w:rsidRPr="004021E1">
        <w:rPr>
          <w:i/>
          <w:sz w:val="24"/>
          <w:szCs w:val="24"/>
        </w:rPr>
        <w:t>World Intellectual Property Report: The Changing Face of Innovation</w:t>
      </w:r>
      <w:r w:rsidRPr="004021E1">
        <w:rPr>
          <w:sz w:val="24"/>
          <w:szCs w:val="24"/>
        </w:rPr>
        <w:t>, November.</w:t>
      </w:r>
    </w:p>
    <w:p w:rsidR="00654163" w:rsidRPr="004021E1" w:rsidRDefault="00654163" w:rsidP="00654163">
      <w:pPr>
        <w:pStyle w:val="FootnoteText"/>
        <w:spacing w:after="240"/>
        <w:rPr>
          <w:bCs/>
          <w:sz w:val="24"/>
          <w:szCs w:val="24"/>
        </w:rPr>
      </w:pPr>
      <w:r w:rsidRPr="004021E1">
        <w:rPr>
          <w:sz w:val="24"/>
          <w:szCs w:val="24"/>
        </w:rPr>
        <w:t xml:space="preserve">WIPO (World Intellectual Property Organization) 2013a, </w:t>
      </w:r>
      <w:r w:rsidRPr="004021E1">
        <w:rPr>
          <w:bCs/>
          <w:i/>
          <w:sz w:val="24"/>
          <w:szCs w:val="24"/>
        </w:rPr>
        <w:t xml:space="preserve">National Studies </w:t>
      </w:r>
      <w:r w:rsidRPr="004021E1">
        <w:rPr>
          <w:i/>
          <w:sz w:val="24"/>
          <w:szCs w:val="24"/>
        </w:rPr>
        <w:t xml:space="preserve">On </w:t>
      </w:r>
      <w:r w:rsidRPr="004021E1">
        <w:rPr>
          <w:bCs/>
          <w:i/>
          <w:sz w:val="24"/>
          <w:szCs w:val="24"/>
        </w:rPr>
        <w:t>Assessing the Economic Contribution of the Copyright-Based Industries</w:t>
      </w:r>
      <w:r w:rsidRPr="004021E1">
        <w:rPr>
          <w:bCs/>
          <w:sz w:val="24"/>
          <w:szCs w:val="24"/>
        </w:rPr>
        <w:t>, September.</w:t>
      </w:r>
    </w:p>
    <w:p w:rsidR="00654163" w:rsidRDefault="00654163" w:rsidP="00654163">
      <w:pPr>
        <w:spacing w:after="240"/>
      </w:pPr>
      <w:r w:rsidRPr="004021E1">
        <w:t xml:space="preserve">WIPO (World Intellectual Property Organization) 2013b, </w:t>
      </w:r>
      <w:r w:rsidRPr="004021E1">
        <w:rPr>
          <w:i/>
        </w:rPr>
        <w:t>World Intellectual Property Report: Brands – Reputation and Image in the Global Marketplace</w:t>
      </w:r>
      <w:r w:rsidRPr="004021E1">
        <w:t>, November.</w:t>
      </w:r>
    </w:p>
    <w:p w:rsidR="00654163" w:rsidRPr="00083F02" w:rsidRDefault="00083F02" w:rsidP="00654163">
      <w:pPr>
        <w:pStyle w:val="FootnoteText"/>
        <w:rPr>
          <w:sz w:val="24"/>
          <w:szCs w:val="24"/>
        </w:rPr>
      </w:pPr>
      <w:r w:rsidRPr="00083F02">
        <w:rPr>
          <w:sz w:val="24"/>
          <w:szCs w:val="24"/>
        </w:rPr>
        <w:t>WIPO</w:t>
      </w:r>
      <w:r>
        <w:rPr>
          <w:sz w:val="24"/>
          <w:szCs w:val="24"/>
        </w:rPr>
        <w:t xml:space="preserve">, INSEAD, Cornell University 2015, </w:t>
      </w:r>
      <w:r>
        <w:rPr>
          <w:i/>
          <w:sz w:val="24"/>
          <w:szCs w:val="24"/>
        </w:rPr>
        <w:t xml:space="preserve">Global Innovation Index </w:t>
      </w:r>
      <w:r w:rsidRPr="00083F02">
        <w:rPr>
          <w:i/>
          <w:sz w:val="24"/>
          <w:szCs w:val="24"/>
        </w:rPr>
        <w:t>2015</w:t>
      </w:r>
      <w:r>
        <w:rPr>
          <w:sz w:val="24"/>
          <w:szCs w:val="24"/>
        </w:rPr>
        <w:t xml:space="preserve">, September. </w:t>
      </w:r>
    </w:p>
    <w:p w:rsidR="00196FBE" w:rsidRPr="00196FBE" w:rsidRDefault="00196FBE" w:rsidP="00196FBE">
      <w:pPr>
        <w:pStyle w:val="FootnoteText"/>
      </w:pPr>
    </w:p>
    <w:sectPr w:rsidR="00196FBE" w:rsidRPr="00196FBE" w:rsidSect="00065B16">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0BA" w:rsidRDefault="007C70BA" w:rsidP="004A3736">
      <w:r>
        <w:separator/>
      </w:r>
    </w:p>
  </w:endnote>
  <w:endnote w:type="continuationSeparator" w:id="0">
    <w:p w:rsidR="007C70BA" w:rsidRDefault="007C70BA" w:rsidP="004A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197968"/>
      <w:docPartObj>
        <w:docPartGallery w:val="Page Numbers (Bottom of Page)"/>
        <w:docPartUnique/>
      </w:docPartObj>
    </w:sdtPr>
    <w:sdtEndPr>
      <w:rPr>
        <w:noProof/>
      </w:rPr>
    </w:sdtEndPr>
    <w:sdtContent>
      <w:p w:rsidR="007C70BA" w:rsidRDefault="007C70BA">
        <w:pPr>
          <w:pStyle w:val="Footer"/>
        </w:pPr>
        <w:r>
          <w:t xml:space="preserve">Page | </w:t>
        </w:r>
        <w:r>
          <w:fldChar w:fldCharType="begin"/>
        </w:r>
        <w:r>
          <w:instrText xml:space="preserve"> PAGE   \* MERGEFORMAT </w:instrText>
        </w:r>
        <w:r>
          <w:fldChar w:fldCharType="separate"/>
        </w:r>
        <w:r w:rsidR="006D254F">
          <w:rPr>
            <w:noProof/>
          </w:rPr>
          <w:t>15</w:t>
        </w:r>
        <w:r>
          <w:rPr>
            <w:noProof/>
          </w:rPr>
          <w:fldChar w:fldCharType="end"/>
        </w:r>
      </w:p>
    </w:sdtContent>
  </w:sdt>
  <w:p w:rsidR="007C70BA" w:rsidRDefault="007C7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0BA" w:rsidRDefault="007C70BA" w:rsidP="004A3736">
      <w:r>
        <w:separator/>
      </w:r>
    </w:p>
  </w:footnote>
  <w:footnote w:type="continuationSeparator" w:id="0">
    <w:p w:rsidR="007C70BA" w:rsidRDefault="007C70BA" w:rsidP="004A3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D9"/>
    <w:multiLevelType w:val="hybridMultilevel"/>
    <w:tmpl w:val="04A2F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B263D1"/>
    <w:multiLevelType w:val="hybridMultilevel"/>
    <w:tmpl w:val="04A2F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D04571"/>
    <w:multiLevelType w:val="hybridMultilevel"/>
    <w:tmpl w:val="04A2F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EA00A5"/>
    <w:multiLevelType w:val="multilevel"/>
    <w:tmpl w:val="D838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067CA3"/>
    <w:multiLevelType w:val="hybridMultilevel"/>
    <w:tmpl w:val="D81AF2B8"/>
    <w:lvl w:ilvl="0" w:tplc="467ED2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5461F4"/>
    <w:multiLevelType w:val="hybridMultilevel"/>
    <w:tmpl w:val="04A2F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B61D1C"/>
    <w:multiLevelType w:val="hybridMultilevel"/>
    <w:tmpl w:val="539614C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5A328AE"/>
    <w:multiLevelType w:val="hybridMultilevel"/>
    <w:tmpl w:val="04A2F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497648"/>
    <w:multiLevelType w:val="hybridMultilevel"/>
    <w:tmpl w:val="04A2F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A0703C"/>
    <w:multiLevelType w:val="hybridMultilevel"/>
    <w:tmpl w:val="1AD6075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4DF200F"/>
    <w:multiLevelType w:val="multilevel"/>
    <w:tmpl w:val="47A2806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nsid w:val="38AC6EF1"/>
    <w:multiLevelType w:val="hybridMultilevel"/>
    <w:tmpl w:val="04A2F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E477A17"/>
    <w:multiLevelType w:val="hybridMultilevel"/>
    <w:tmpl w:val="1D7EDF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0456B47"/>
    <w:multiLevelType w:val="hybridMultilevel"/>
    <w:tmpl w:val="83D60DA6"/>
    <w:lvl w:ilvl="0" w:tplc="85826AA4">
      <w:start w:val="199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D4653B"/>
    <w:multiLevelType w:val="hybridMultilevel"/>
    <w:tmpl w:val="99280C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BD2E5C"/>
    <w:multiLevelType w:val="multilevel"/>
    <w:tmpl w:val="51EC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233C13"/>
    <w:multiLevelType w:val="hybridMultilevel"/>
    <w:tmpl w:val="75B66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9323A1"/>
    <w:multiLevelType w:val="hybridMultilevel"/>
    <w:tmpl w:val="73BE9F7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DA2C0D"/>
    <w:multiLevelType w:val="hybridMultilevel"/>
    <w:tmpl w:val="04A2F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8F67F5"/>
    <w:multiLevelType w:val="hybridMultilevel"/>
    <w:tmpl w:val="04A2F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E05BE1"/>
    <w:multiLevelType w:val="hybridMultilevel"/>
    <w:tmpl w:val="16029574"/>
    <w:lvl w:ilvl="0" w:tplc="1BF4BCF2">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9F2325"/>
    <w:multiLevelType w:val="multilevel"/>
    <w:tmpl w:val="E8F24E1A"/>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2">
    <w:nsid w:val="66C72443"/>
    <w:multiLevelType w:val="hybridMultilevel"/>
    <w:tmpl w:val="9452BB5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6A4472ED"/>
    <w:multiLevelType w:val="hybridMultilevel"/>
    <w:tmpl w:val="880CC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753CB8"/>
    <w:multiLevelType w:val="hybridMultilevel"/>
    <w:tmpl w:val="04A2F6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B0D034E"/>
    <w:multiLevelType w:val="hybridMultilevel"/>
    <w:tmpl w:val="5142A4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D476CB0"/>
    <w:multiLevelType w:val="hybridMultilevel"/>
    <w:tmpl w:val="CCEAEC1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nsid w:val="7D533936"/>
    <w:multiLevelType w:val="hybridMultilevel"/>
    <w:tmpl w:val="38A2ECD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abstractNumId w:val="20"/>
  </w:num>
  <w:num w:numId="2">
    <w:abstractNumId w:val="13"/>
  </w:num>
  <w:num w:numId="3">
    <w:abstractNumId w:val="6"/>
  </w:num>
  <w:num w:numId="4">
    <w:abstractNumId w:val="25"/>
  </w:num>
  <w:num w:numId="5">
    <w:abstractNumId w:val="18"/>
  </w:num>
  <w:num w:numId="6">
    <w:abstractNumId w:val="8"/>
  </w:num>
  <w:num w:numId="7">
    <w:abstractNumId w:val="19"/>
  </w:num>
  <w:num w:numId="8">
    <w:abstractNumId w:val="16"/>
  </w:num>
  <w:num w:numId="9">
    <w:abstractNumId w:val="15"/>
  </w:num>
  <w:num w:numId="10">
    <w:abstractNumId w:val="3"/>
  </w:num>
  <w:num w:numId="11">
    <w:abstractNumId w:val="11"/>
  </w:num>
  <w:num w:numId="12">
    <w:abstractNumId w:val="24"/>
  </w:num>
  <w:num w:numId="13">
    <w:abstractNumId w:val="1"/>
  </w:num>
  <w:num w:numId="14">
    <w:abstractNumId w:val="2"/>
  </w:num>
  <w:num w:numId="15">
    <w:abstractNumId w:val="9"/>
  </w:num>
  <w:num w:numId="16">
    <w:abstractNumId w:val="12"/>
  </w:num>
  <w:num w:numId="17">
    <w:abstractNumId w:val="22"/>
  </w:num>
  <w:num w:numId="18">
    <w:abstractNumId w:val="0"/>
  </w:num>
  <w:num w:numId="19">
    <w:abstractNumId w:val="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14"/>
  </w:num>
  <w:num w:numId="26">
    <w:abstractNumId w:val="4"/>
  </w:num>
  <w:num w:numId="27">
    <w:abstractNumId w:val="17"/>
  </w:num>
  <w:num w:numId="28">
    <w:abstractNumId w:val="23"/>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BA"/>
    <w:rsid w:val="00001C16"/>
    <w:rsid w:val="00012D74"/>
    <w:rsid w:val="00026CD5"/>
    <w:rsid w:val="00033CC1"/>
    <w:rsid w:val="00037E90"/>
    <w:rsid w:val="00041C4D"/>
    <w:rsid w:val="000421E8"/>
    <w:rsid w:val="000459CF"/>
    <w:rsid w:val="00045DFA"/>
    <w:rsid w:val="00047461"/>
    <w:rsid w:val="00060ABC"/>
    <w:rsid w:val="00065B16"/>
    <w:rsid w:val="0006767D"/>
    <w:rsid w:val="00071016"/>
    <w:rsid w:val="00072C76"/>
    <w:rsid w:val="000733A6"/>
    <w:rsid w:val="00083F02"/>
    <w:rsid w:val="0008580D"/>
    <w:rsid w:val="0009329A"/>
    <w:rsid w:val="00096362"/>
    <w:rsid w:val="0009674E"/>
    <w:rsid w:val="00097101"/>
    <w:rsid w:val="000A1543"/>
    <w:rsid w:val="000A68D1"/>
    <w:rsid w:val="000B4B3A"/>
    <w:rsid w:val="000B7DE5"/>
    <w:rsid w:val="000C3C4C"/>
    <w:rsid w:val="000C7DCD"/>
    <w:rsid w:val="000E0061"/>
    <w:rsid w:val="000E7AD0"/>
    <w:rsid w:val="000E7DBB"/>
    <w:rsid w:val="00107F4E"/>
    <w:rsid w:val="001125BF"/>
    <w:rsid w:val="00115668"/>
    <w:rsid w:val="00115EB2"/>
    <w:rsid w:val="00126FCE"/>
    <w:rsid w:val="001335BA"/>
    <w:rsid w:val="00133EA3"/>
    <w:rsid w:val="00134996"/>
    <w:rsid w:val="00136A0B"/>
    <w:rsid w:val="00143A3D"/>
    <w:rsid w:val="0014601A"/>
    <w:rsid w:val="00147B91"/>
    <w:rsid w:val="00161E70"/>
    <w:rsid w:val="00163604"/>
    <w:rsid w:val="001678FD"/>
    <w:rsid w:val="00172C2F"/>
    <w:rsid w:val="0017309C"/>
    <w:rsid w:val="001736DA"/>
    <w:rsid w:val="001813C1"/>
    <w:rsid w:val="001832BB"/>
    <w:rsid w:val="00186E1A"/>
    <w:rsid w:val="00187AEA"/>
    <w:rsid w:val="001949D7"/>
    <w:rsid w:val="00196FBE"/>
    <w:rsid w:val="001A19D8"/>
    <w:rsid w:val="001A730A"/>
    <w:rsid w:val="001A7F4A"/>
    <w:rsid w:val="001B10FA"/>
    <w:rsid w:val="001B4C6E"/>
    <w:rsid w:val="001C215C"/>
    <w:rsid w:val="001C29F3"/>
    <w:rsid w:val="001E052B"/>
    <w:rsid w:val="001E2555"/>
    <w:rsid w:val="001E3EB1"/>
    <w:rsid w:val="001F15DF"/>
    <w:rsid w:val="001F4858"/>
    <w:rsid w:val="001F630E"/>
    <w:rsid w:val="00210F45"/>
    <w:rsid w:val="00212AB2"/>
    <w:rsid w:val="00212BDE"/>
    <w:rsid w:val="0021319E"/>
    <w:rsid w:val="002227CC"/>
    <w:rsid w:val="00223E54"/>
    <w:rsid w:val="00225D6A"/>
    <w:rsid w:val="00230886"/>
    <w:rsid w:val="00235D4A"/>
    <w:rsid w:val="00242474"/>
    <w:rsid w:val="0024520E"/>
    <w:rsid w:val="00256A57"/>
    <w:rsid w:val="0025709B"/>
    <w:rsid w:val="00263FA5"/>
    <w:rsid w:val="0028273F"/>
    <w:rsid w:val="00284DDB"/>
    <w:rsid w:val="002910B6"/>
    <w:rsid w:val="002944B9"/>
    <w:rsid w:val="002A099A"/>
    <w:rsid w:val="002A144D"/>
    <w:rsid w:val="002A26B7"/>
    <w:rsid w:val="002B057C"/>
    <w:rsid w:val="002B339F"/>
    <w:rsid w:val="002B64BB"/>
    <w:rsid w:val="002B6969"/>
    <w:rsid w:val="002B7529"/>
    <w:rsid w:val="002C197D"/>
    <w:rsid w:val="002C62C1"/>
    <w:rsid w:val="002F40B7"/>
    <w:rsid w:val="002F6AB7"/>
    <w:rsid w:val="003021EE"/>
    <w:rsid w:val="00307F5E"/>
    <w:rsid w:val="003147EA"/>
    <w:rsid w:val="00315688"/>
    <w:rsid w:val="00325DF6"/>
    <w:rsid w:val="00327139"/>
    <w:rsid w:val="00331B08"/>
    <w:rsid w:val="00332CF6"/>
    <w:rsid w:val="003343EC"/>
    <w:rsid w:val="00344A74"/>
    <w:rsid w:val="00346B4F"/>
    <w:rsid w:val="00364FA7"/>
    <w:rsid w:val="00367D24"/>
    <w:rsid w:val="0037643F"/>
    <w:rsid w:val="00382F02"/>
    <w:rsid w:val="00383A25"/>
    <w:rsid w:val="00385BE6"/>
    <w:rsid w:val="003942BC"/>
    <w:rsid w:val="0039510D"/>
    <w:rsid w:val="003A389B"/>
    <w:rsid w:val="003B2F01"/>
    <w:rsid w:val="003D0344"/>
    <w:rsid w:val="003D31BB"/>
    <w:rsid w:val="003D3458"/>
    <w:rsid w:val="003D5895"/>
    <w:rsid w:val="003D5DDA"/>
    <w:rsid w:val="003D7D55"/>
    <w:rsid w:val="003E1BF3"/>
    <w:rsid w:val="003F4FBA"/>
    <w:rsid w:val="004021E1"/>
    <w:rsid w:val="00402618"/>
    <w:rsid w:val="00412321"/>
    <w:rsid w:val="00417275"/>
    <w:rsid w:val="004213DA"/>
    <w:rsid w:val="00421833"/>
    <w:rsid w:val="00425C32"/>
    <w:rsid w:val="00450623"/>
    <w:rsid w:val="00452BAC"/>
    <w:rsid w:val="00453496"/>
    <w:rsid w:val="00462CA0"/>
    <w:rsid w:val="004655AE"/>
    <w:rsid w:val="004724D8"/>
    <w:rsid w:val="00474D66"/>
    <w:rsid w:val="00476846"/>
    <w:rsid w:val="00486904"/>
    <w:rsid w:val="00493B37"/>
    <w:rsid w:val="0049571D"/>
    <w:rsid w:val="0049789B"/>
    <w:rsid w:val="004A0AEE"/>
    <w:rsid w:val="004A203F"/>
    <w:rsid w:val="004A3736"/>
    <w:rsid w:val="004A68AF"/>
    <w:rsid w:val="004B021C"/>
    <w:rsid w:val="004C535B"/>
    <w:rsid w:val="004D625C"/>
    <w:rsid w:val="004F0075"/>
    <w:rsid w:val="004F121D"/>
    <w:rsid w:val="005012D3"/>
    <w:rsid w:val="00502403"/>
    <w:rsid w:val="00513474"/>
    <w:rsid w:val="0051579A"/>
    <w:rsid w:val="0052628C"/>
    <w:rsid w:val="00533239"/>
    <w:rsid w:val="00536998"/>
    <w:rsid w:val="00536D8B"/>
    <w:rsid w:val="0054115E"/>
    <w:rsid w:val="005513B0"/>
    <w:rsid w:val="00555FF4"/>
    <w:rsid w:val="005565B2"/>
    <w:rsid w:val="00566573"/>
    <w:rsid w:val="005864B8"/>
    <w:rsid w:val="005879D5"/>
    <w:rsid w:val="00595881"/>
    <w:rsid w:val="005A38A3"/>
    <w:rsid w:val="005A41DB"/>
    <w:rsid w:val="005A4368"/>
    <w:rsid w:val="005A73E6"/>
    <w:rsid w:val="005B19F4"/>
    <w:rsid w:val="005B494B"/>
    <w:rsid w:val="005C114E"/>
    <w:rsid w:val="005C1B39"/>
    <w:rsid w:val="005C3D38"/>
    <w:rsid w:val="005C4840"/>
    <w:rsid w:val="005D5C42"/>
    <w:rsid w:val="005D717D"/>
    <w:rsid w:val="005E0AA9"/>
    <w:rsid w:val="005E2363"/>
    <w:rsid w:val="005E27E1"/>
    <w:rsid w:val="005E4908"/>
    <w:rsid w:val="005E71C4"/>
    <w:rsid w:val="005F4A8D"/>
    <w:rsid w:val="0060384D"/>
    <w:rsid w:val="00607682"/>
    <w:rsid w:val="00610560"/>
    <w:rsid w:val="0061097D"/>
    <w:rsid w:val="00614E2E"/>
    <w:rsid w:val="0061514C"/>
    <w:rsid w:val="00615DD5"/>
    <w:rsid w:val="00624927"/>
    <w:rsid w:val="00626034"/>
    <w:rsid w:val="00626364"/>
    <w:rsid w:val="00631B6F"/>
    <w:rsid w:val="00631CC1"/>
    <w:rsid w:val="00632258"/>
    <w:rsid w:val="0064189D"/>
    <w:rsid w:val="0064496B"/>
    <w:rsid w:val="00644ECB"/>
    <w:rsid w:val="00645544"/>
    <w:rsid w:val="00654163"/>
    <w:rsid w:val="00656797"/>
    <w:rsid w:val="006609A0"/>
    <w:rsid w:val="006643A2"/>
    <w:rsid w:val="00681443"/>
    <w:rsid w:val="0069366A"/>
    <w:rsid w:val="00695387"/>
    <w:rsid w:val="006A699E"/>
    <w:rsid w:val="006B1BEA"/>
    <w:rsid w:val="006B2042"/>
    <w:rsid w:val="006B4C4E"/>
    <w:rsid w:val="006B53DE"/>
    <w:rsid w:val="006C657C"/>
    <w:rsid w:val="006D254F"/>
    <w:rsid w:val="006D487C"/>
    <w:rsid w:val="006E51E5"/>
    <w:rsid w:val="006F0666"/>
    <w:rsid w:val="006F4DD3"/>
    <w:rsid w:val="00712038"/>
    <w:rsid w:val="00713627"/>
    <w:rsid w:val="007167C1"/>
    <w:rsid w:val="00720982"/>
    <w:rsid w:val="00720D75"/>
    <w:rsid w:val="00724B32"/>
    <w:rsid w:val="007263A7"/>
    <w:rsid w:val="0072646C"/>
    <w:rsid w:val="00735C2E"/>
    <w:rsid w:val="00764826"/>
    <w:rsid w:val="007665FD"/>
    <w:rsid w:val="007667AB"/>
    <w:rsid w:val="007669BE"/>
    <w:rsid w:val="0078155D"/>
    <w:rsid w:val="007866A7"/>
    <w:rsid w:val="00793C65"/>
    <w:rsid w:val="007963BA"/>
    <w:rsid w:val="007A12C0"/>
    <w:rsid w:val="007A199F"/>
    <w:rsid w:val="007A1D55"/>
    <w:rsid w:val="007A2DB6"/>
    <w:rsid w:val="007B6228"/>
    <w:rsid w:val="007C70BA"/>
    <w:rsid w:val="007D1AFC"/>
    <w:rsid w:val="007E21AE"/>
    <w:rsid w:val="007F324A"/>
    <w:rsid w:val="007F5ADA"/>
    <w:rsid w:val="00803C11"/>
    <w:rsid w:val="00824BFB"/>
    <w:rsid w:val="008309F4"/>
    <w:rsid w:val="00841819"/>
    <w:rsid w:val="00842BC1"/>
    <w:rsid w:val="008456A5"/>
    <w:rsid w:val="008558AF"/>
    <w:rsid w:val="00860404"/>
    <w:rsid w:val="00863305"/>
    <w:rsid w:val="00865283"/>
    <w:rsid w:val="00867168"/>
    <w:rsid w:val="00877A3F"/>
    <w:rsid w:val="008877B5"/>
    <w:rsid w:val="0089139A"/>
    <w:rsid w:val="00892255"/>
    <w:rsid w:val="008A0D00"/>
    <w:rsid w:val="008B0B3C"/>
    <w:rsid w:val="008C7015"/>
    <w:rsid w:val="008D038C"/>
    <w:rsid w:val="008D2E60"/>
    <w:rsid w:val="008E5B6D"/>
    <w:rsid w:val="008E6FCC"/>
    <w:rsid w:val="008E708F"/>
    <w:rsid w:val="008F13FD"/>
    <w:rsid w:val="008F1DA6"/>
    <w:rsid w:val="008F3CAD"/>
    <w:rsid w:val="008F4064"/>
    <w:rsid w:val="009003D0"/>
    <w:rsid w:val="009070B3"/>
    <w:rsid w:val="00911453"/>
    <w:rsid w:val="00911D03"/>
    <w:rsid w:val="00913F38"/>
    <w:rsid w:val="00915164"/>
    <w:rsid w:val="009216D9"/>
    <w:rsid w:val="00930D66"/>
    <w:rsid w:val="0093505E"/>
    <w:rsid w:val="00943D70"/>
    <w:rsid w:val="00952ED4"/>
    <w:rsid w:val="00954653"/>
    <w:rsid w:val="00966681"/>
    <w:rsid w:val="00971356"/>
    <w:rsid w:val="00977542"/>
    <w:rsid w:val="00983E53"/>
    <w:rsid w:val="00987537"/>
    <w:rsid w:val="00992170"/>
    <w:rsid w:val="00996A13"/>
    <w:rsid w:val="009979B2"/>
    <w:rsid w:val="009A2014"/>
    <w:rsid w:val="009A562D"/>
    <w:rsid w:val="009B2C2D"/>
    <w:rsid w:val="009B42D4"/>
    <w:rsid w:val="009B728F"/>
    <w:rsid w:val="009D03E6"/>
    <w:rsid w:val="009D59E2"/>
    <w:rsid w:val="009E1D30"/>
    <w:rsid w:val="009E3D0F"/>
    <w:rsid w:val="009E64B7"/>
    <w:rsid w:val="009F5C3D"/>
    <w:rsid w:val="00A14383"/>
    <w:rsid w:val="00A14EF4"/>
    <w:rsid w:val="00A21D8E"/>
    <w:rsid w:val="00A23354"/>
    <w:rsid w:val="00A263A6"/>
    <w:rsid w:val="00A30CDC"/>
    <w:rsid w:val="00A33C18"/>
    <w:rsid w:val="00A5055B"/>
    <w:rsid w:val="00A527BA"/>
    <w:rsid w:val="00A62DD9"/>
    <w:rsid w:val="00A63BFB"/>
    <w:rsid w:val="00A65547"/>
    <w:rsid w:val="00A76270"/>
    <w:rsid w:val="00A76E31"/>
    <w:rsid w:val="00A77983"/>
    <w:rsid w:val="00A801E1"/>
    <w:rsid w:val="00A816DA"/>
    <w:rsid w:val="00A97A80"/>
    <w:rsid w:val="00A97EE1"/>
    <w:rsid w:val="00AA3E44"/>
    <w:rsid w:val="00AA501E"/>
    <w:rsid w:val="00AA522E"/>
    <w:rsid w:val="00AA62DF"/>
    <w:rsid w:val="00AA710C"/>
    <w:rsid w:val="00AC7869"/>
    <w:rsid w:val="00AD255C"/>
    <w:rsid w:val="00AE0EA0"/>
    <w:rsid w:val="00AE341F"/>
    <w:rsid w:val="00AE4C73"/>
    <w:rsid w:val="00AE6196"/>
    <w:rsid w:val="00AF4886"/>
    <w:rsid w:val="00AF6382"/>
    <w:rsid w:val="00B028C5"/>
    <w:rsid w:val="00B02FBA"/>
    <w:rsid w:val="00B0611C"/>
    <w:rsid w:val="00B10C62"/>
    <w:rsid w:val="00B11F98"/>
    <w:rsid w:val="00B14414"/>
    <w:rsid w:val="00B160B2"/>
    <w:rsid w:val="00B21057"/>
    <w:rsid w:val="00B24414"/>
    <w:rsid w:val="00B271BB"/>
    <w:rsid w:val="00B34C33"/>
    <w:rsid w:val="00B55398"/>
    <w:rsid w:val="00B5657A"/>
    <w:rsid w:val="00B62778"/>
    <w:rsid w:val="00B725B6"/>
    <w:rsid w:val="00B7692F"/>
    <w:rsid w:val="00B77BBD"/>
    <w:rsid w:val="00B81799"/>
    <w:rsid w:val="00B84B4D"/>
    <w:rsid w:val="00B84DD0"/>
    <w:rsid w:val="00B85646"/>
    <w:rsid w:val="00B90558"/>
    <w:rsid w:val="00B92CB1"/>
    <w:rsid w:val="00B93C34"/>
    <w:rsid w:val="00BB0435"/>
    <w:rsid w:val="00BC5FD8"/>
    <w:rsid w:val="00BD16EF"/>
    <w:rsid w:val="00BE2B01"/>
    <w:rsid w:val="00BE2BCC"/>
    <w:rsid w:val="00BE3B96"/>
    <w:rsid w:val="00BE6AF0"/>
    <w:rsid w:val="00BF1C74"/>
    <w:rsid w:val="00C1169A"/>
    <w:rsid w:val="00C13AA2"/>
    <w:rsid w:val="00C179D8"/>
    <w:rsid w:val="00C17DEB"/>
    <w:rsid w:val="00C22401"/>
    <w:rsid w:val="00C2304B"/>
    <w:rsid w:val="00C23D15"/>
    <w:rsid w:val="00C30E32"/>
    <w:rsid w:val="00C326DA"/>
    <w:rsid w:val="00C340D9"/>
    <w:rsid w:val="00C50502"/>
    <w:rsid w:val="00C556E7"/>
    <w:rsid w:val="00C5592D"/>
    <w:rsid w:val="00C63865"/>
    <w:rsid w:val="00C63A5F"/>
    <w:rsid w:val="00C64B53"/>
    <w:rsid w:val="00C66B04"/>
    <w:rsid w:val="00C67986"/>
    <w:rsid w:val="00C67D97"/>
    <w:rsid w:val="00C67F50"/>
    <w:rsid w:val="00C707E2"/>
    <w:rsid w:val="00C757AB"/>
    <w:rsid w:val="00C81DB7"/>
    <w:rsid w:val="00C82B71"/>
    <w:rsid w:val="00C87DEC"/>
    <w:rsid w:val="00C9281B"/>
    <w:rsid w:val="00CA338C"/>
    <w:rsid w:val="00CB083B"/>
    <w:rsid w:val="00CB7D7A"/>
    <w:rsid w:val="00CC547D"/>
    <w:rsid w:val="00CD07DF"/>
    <w:rsid w:val="00CD79F4"/>
    <w:rsid w:val="00CF2938"/>
    <w:rsid w:val="00D03886"/>
    <w:rsid w:val="00D03DA8"/>
    <w:rsid w:val="00D13695"/>
    <w:rsid w:val="00D2312B"/>
    <w:rsid w:val="00D24C69"/>
    <w:rsid w:val="00D264C5"/>
    <w:rsid w:val="00D32484"/>
    <w:rsid w:val="00D33719"/>
    <w:rsid w:val="00D339AD"/>
    <w:rsid w:val="00D371B3"/>
    <w:rsid w:val="00D43C7D"/>
    <w:rsid w:val="00D57499"/>
    <w:rsid w:val="00D64185"/>
    <w:rsid w:val="00D73B1D"/>
    <w:rsid w:val="00D75DB1"/>
    <w:rsid w:val="00D93735"/>
    <w:rsid w:val="00D95989"/>
    <w:rsid w:val="00DB1B11"/>
    <w:rsid w:val="00DB5E1B"/>
    <w:rsid w:val="00DB64B8"/>
    <w:rsid w:val="00DC619D"/>
    <w:rsid w:val="00E000C5"/>
    <w:rsid w:val="00E02D7D"/>
    <w:rsid w:val="00E06B6D"/>
    <w:rsid w:val="00E20330"/>
    <w:rsid w:val="00E22482"/>
    <w:rsid w:val="00E25284"/>
    <w:rsid w:val="00E32B5A"/>
    <w:rsid w:val="00E3392E"/>
    <w:rsid w:val="00E359A6"/>
    <w:rsid w:val="00E37DF8"/>
    <w:rsid w:val="00E403A4"/>
    <w:rsid w:val="00E403F8"/>
    <w:rsid w:val="00E40AC4"/>
    <w:rsid w:val="00E41C4B"/>
    <w:rsid w:val="00E4213A"/>
    <w:rsid w:val="00E42D91"/>
    <w:rsid w:val="00E4454C"/>
    <w:rsid w:val="00E51327"/>
    <w:rsid w:val="00E5408C"/>
    <w:rsid w:val="00E577C2"/>
    <w:rsid w:val="00E60C2E"/>
    <w:rsid w:val="00E61763"/>
    <w:rsid w:val="00E62CE1"/>
    <w:rsid w:val="00E630F1"/>
    <w:rsid w:val="00E6607F"/>
    <w:rsid w:val="00E715DB"/>
    <w:rsid w:val="00E73647"/>
    <w:rsid w:val="00E75F8E"/>
    <w:rsid w:val="00E93F99"/>
    <w:rsid w:val="00E9774C"/>
    <w:rsid w:val="00E97CF1"/>
    <w:rsid w:val="00EA0B4A"/>
    <w:rsid w:val="00EA437F"/>
    <w:rsid w:val="00EA477A"/>
    <w:rsid w:val="00EA64C4"/>
    <w:rsid w:val="00EB43EA"/>
    <w:rsid w:val="00EB7827"/>
    <w:rsid w:val="00EC4BBB"/>
    <w:rsid w:val="00EC6357"/>
    <w:rsid w:val="00EC7B79"/>
    <w:rsid w:val="00ED28BA"/>
    <w:rsid w:val="00ED375A"/>
    <w:rsid w:val="00ED7D09"/>
    <w:rsid w:val="00EE774B"/>
    <w:rsid w:val="00F01E10"/>
    <w:rsid w:val="00F1295A"/>
    <w:rsid w:val="00F141F7"/>
    <w:rsid w:val="00F27150"/>
    <w:rsid w:val="00F33DCC"/>
    <w:rsid w:val="00F37EE0"/>
    <w:rsid w:val="00F407F6"/>
    <w:rsid w:val="00F46D07"/>
    <w:rsid w:val="00F47BD3"/>
    <w:rsid w:val="00F62BFB"/>
    <w:rsid w:val="00F67BED"/>
    <w:rsid w:val="00F74D4E"/>
    <w:rsid w:val="00F7501C"/>
    <w:rsid w:val="00F75B8E"/>
    <w:rsid w:val="00F9204A"/>
    <w:rsid w:val="00F95477"/>
    <w:rsid w:val="00FA45B3"/>
    <w:rsid w:val="00FD1E5C"/>
    <w:rsid w:val="00FD4CE2"/>
    <w:rsid w:val="00FE0BE7"/>
    <w:rsid w:val="00FE1104"/>
    <w:rsid w:val="00FE4C39"/>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163"/>
    <w:rPr>
      <w:sz w:val="24"/>
      <w:szCs w:val="24"/>
      <w:lang w:eastAsia="en-US"/>
    </w:rPr>
  </w:style>
  <w:style w:type="paragraph" w:styleId="Heading1">
    <w:name w:val="heading 1"/>
    <w:basedOn w:val="Normal"/>
    <w:next w:val="Normal"/>
    <w:link w:val="Heading1Char"/>
    <w:qFormat/>
    <w:rsid w:val="006E51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38C"/>
    <w:pPr>
      <w:spacing w:before="100" w:beforeAutospacing="1" w:after="100" w:afterAutospacing="1"/>
    </w:pPr>
    <w:rPr>
      <w:lang w:eastAsia="en-AU"/>
    </w:rPr>
  </w:style>
  <w:style w:type="paragraph" w:styleId="BalloonText">
    <w:name w:val="Balloon Text"/>
    <w:basedOn w:val="Normal"/>
    <w:link w:val="BalloonTextChar"/>
    <w:rsid w:val="00493B37"/>
    <w:rPr>
      <w:rFonts w:ascii="Tahoma" w:hAnsi="Tahoma" w:cs="Tahoma"/>
      <w:sz w:val="16"/>
      <w:szCs w:val="16"/>
    </w:rPr>
  </w:style>
  <w:style w:type="character" w:customStyle="1" w:styleId="BalloonTextChar">
    <w:name w:val="Balloon Text Char"/>
    <w:basedOn w:val="DefaultParagraphFont"/>
    <w:link w:val="BalloonText"/>
    <w:rsid w:val="00493B37"/>
    <w:rPr>
      <w:rFonts w:ascii="Tahoma" w:hAnsi="Tahoma" w:cs="Tahoma"/>
      <w:sz w:val="16"/>
      <w:szCs w:val="16"/>
      <w:lang w:eastAsia="en-US"/>
    </w:rPr>
  </w:style>
  <w:style w:type="paragraph" w:styleId="ListParagraph">
    <w:name w:val="List Paragraph"/>
    <w:aliases w:val="Recommendation,List Paragraph1,List Paragraph11,L,CV text,Table text,F5 List Paragraph,Dot pt,Bulleted Para,NFP GP Bulleted List,FooterText,numbered,Paragraphe de liste1,Bulletr List Paragraph,列出段落,列出段落1,List Paragraph2,List Paragraph21"/>
    <w:basedOn w:val="Normal"/>
    <w:link w:val="ListParagraphChar"/>
    <w:uiPriority w:val="34"/>
    <w:qFormat/>
    <w:rsid w:val="00EA437F"/>
    <w:pPr>
      <w:ind w:left="720"/>
      <w:contextualSpacing/>
    </w:pPr>
  </w:style>
  <w:style w:type="character" w:styleId="Hyperlink">
    <w:name w:val="Hyperlink"/>
    <w:basedOn w:val="DefaultParagraphFont"/>
    <w:uiPriority w:val="99"/>
    <w:rsid w:val="00041C4D"/>
    <w:rPr>
      <w:color w:val="0000FF" w:themeColor="hyperlink"/>
      <w:u w:val="single"/>
    </w:rPr>
  </w:style>
  <w:style w:type="paragraph" w:styleId="Header">
    <w:name w:val="header"/>
    <w:basedOn w:val="Normal"/>
    <w:link w:val="HeaderChar"/>
    <w:rsid w:val="004A3736"/>
    <w:pPr>
      <w:tabs>
        <w:tab w:val="center" w:pos="4513"/>
        <w:tab w:val="right" w:pos="9026"/>
      </w:tabs>
    </w:pPr>
  </w:style>
  <w:style w:type="character" w:customStyle="1" w:styleId="HeaderChar">
    <w:name w:val="Header Char"/>
    <w:basedOn w:val="DefaultParagraphFont"/>
    <w:link w:val="Header"/>
    <w:rsid w:val="004A3736"/>
    <w:rPr>
      <w:sz w:val="24"/>
      <w:szCs w:val="24"/>
      <w:lang w:eastAsia="en-US"/>
    </w:rPr>
  </w:style>
  <w:style w:type="paragraph" w:styleId="Footer">
    <w:name w:val="footer"/>
    <w:basedOn w:val="Normal"/>
    <w:link w:val="FooterChar"/>
    <w:uiPriority w:val="99"/>
    <w:rsid w:val="004A3736"/>
    <w:pPr>
      <w:tabs>
        <w:tab w:val="center" w:pos="4513"/>
        <w:tab w:val="right" w:pos="9026"/>
      </w:tabs>
    </w:pPr>
  </w:style>
  <w:style w:type="character" w:customStyle="1" w:styleId="FooterChar">
    <w:name w:val="Footer Char"/>
    <w:basedOn w:val="DefaultParagraphFont"/>
    <w:link w:val="Footer"/>
    <w:uiPriority w:val="99"/>
    <w:rsid w:val="004A3736"/>
    <w:rPr>
      <w:sz w:val="24"/>
      <w:szCs w:val="24"/>
      <w:lang w:eastAsia="en-US"/>
    </w:rPr>
  </w:style>
  <w:style w:type="paragraph" w:styleId="FootnoteText">
    <w:name w:val="footnote text"/>
    <w:basedOn w:val="Normal"/>
    <w:link w:val="FootnoteTextChar"/>
    <w:rsid w:val="00A65547"/>
    <w:rPr>
      <w:sz w:val="20"/>
      <w:szCs w:val="20"/>
    </w:rPr>
  </w:style>
  <w:style w:type="character" w:customStyle="1" w:styleId="FootnoteTextChar">
    <w:name w:val="Footnote Text Char"/>
    <w:basedOn w:val="DefaultParagraphFont"/>
    <w:link w:val="FootnoteText"/>
    <w:rsid w:val="00A65547"/>
    <w:rPr>
      <w:lang w:eastAsia="en-US"/>
    </w:rPr>
  </w:style>
  <w:style w:type="character" w:styleId="FootnoteReference">
    <w:name w:val="footnote reference"/>
    <w:basedOn w:val="DefaultParagraphFont"/>
    <w:rsid w:val="00A65547"/>
    <w:rPr>
      <w:vertAlign w:val="superscript"/>
    </w:rPr>
  </w:style>
  <w:style w:type="paragraph" w:customStyle="1" w:styleId="Pa10">
    <w:name w:val="Pa10"/>
    <w:basedOn w:val="Normal"/>
    <w:next w:val="Normal"/>
    <w:uiPriority w:val="99"/>
    <w:rsid w:val="00F1295A"/>
    <w:pPr>
      <w:autoSpaceDE w:val="0"/>
      <w:autoSpaceDN w:val="0"/>
      <w:adjustRightInd w:val="0"/>
      <w:spacing w:line="181" w:lineRule="atLeast"/>
    </w:pPr>
    <w:rPr>
      <w:rFonts w:ascii="Century Gothic" w:hAnsi="Century Gothic"/>
      <w:lang w:eastAsia="en-AU"/>
    </w:rPr>
  </w:style>
  <w:style w:type="character" w:customStyle="1" w:styleId="A1">
    <w:name w:val="A1"/>
    <w:uiPriority w:val="99"/>
    <w:rsid w:val="00C63865"/>
    <w:rPr>
      <w:rFonts w:cs="Century Gothic"/>
      <w:color w:val="000000"/>
      <w:sz w:val="18"/>
      <w:szCs w:val="18"/>
    </w:rPr>
  </w:style>
  <w:style w:type="paragraph" w:customStyle="1" w:styleId="Default">
    <w:name w:val="Default"/>
    <w:rsid w:val="005E2363"/>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List Paragraph1 Char,List Paragraph11 Char,L Char,CV text Char,Table text Char,F5 List Paragraph Char,Dot pt Char,Bulleted Para Char,NFP GP Bulleted List Char,FooterText Char,numbered Char,列出段落 Char,列出段落1 Char"/>
    <w:link w:val="ListParagraph"/>
    <w:uiPriority w:val="34"/>
    <w:locked/>
    <w:rsid w:val="00860404"/>
    <w:rPr>
      <w:sz w:val="24"/>
      <w:szCs w:val="24"/>
      <w:lang w:eastAsia="en-US"/>
    </w:rPr>
  </w:style>
  <w:style w:type="paragraph" w:customStyle="1" w:styleId="paralargetext">
    <w:name w:val="paralargetext"/>
    <w:basedOn w:val="Normal"/>
    <w:rsid w:val="006F0666"/>
    <w:pPr>
      <w:spacing w:before="100" w:beforeAutospacing="1" w:after="100" w:afterAutospacing="1"/>
    </w:pPr>
    <w:rPr>
      <w:lang w:eastAsia="en-AU"/>
    </w:rPr>
  </w:style>
  <w:style w:type="character" w:styleId="CommentReference">
    <w:name w:val="annotation reference"/>
    <w:basedOn w:val="DefaultParagraphFont"/>
    <w:rsid w:val="008E708F"/>
    <w:rPr>
      <w:sz w:val="16"/>
      <w:szCs w:val="16"/>
    </w:rPr>
  </w:style>
  <w:style w:type="paragraph" w:styleId="CommentText">
    <w:name w:val="annotation text"/>
    <w:basedOn w:val="Normal"/>
    <w:link w:val="CommentTextChar"/>
    <w:rsid w:val="008E708F"/>
    <w:rPr>
      <w:sz w:val="20"/>
      <w:szCs w:val="20"/>
    </w:rPr>
  </w:style>
  <w:style w:type="character" w:customStyle="1" w:styleId="CommentTextChar">
    <w:name w:val="Comment Text Char"/>
    <w:basedOn w:val="DefaultParagraphFont"/>
    <w:link w:val="CommentText"/>
    <w:rsid w:val="008E708F"/>
    <w:rPr>
      <w:lang w:eastAsia="en-US"/>
    </w:rPr>
  </w:style>
  <w:style w:type="character" w:styleId="FollowedHyperlink">
    <w:name w:val="FollowedHyperlink"/>
    <w:basedOn w:val="DefaultParagraphFont"/>
    <w:rsid w:val="00971356"/>
    <w:rPr>
      <w:color w:val="800080" w:themeColor="followedHyperlink"/>
      <w:u w:val="single"/>
    </w:rPr>
  </w:style>
  <w:style w:type="character" w:customStyle="1" w:styleId="Heading1Char">
    <w:name w:val="Heading 1 Char"/>
    <w:basedOn w:val="DefaultParagraphFont"/>
    <w:link w:val="Heading1"/>
    <w:rsid w:val="006E51E5"/>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6E51E5"/>
    <w:pPr>
      <w:spacing w:line="276" w:lineRule="auto"/>
      <w:outlineLvl w:val="9"/>
    </w:pPr>
    <w:rPr>
      <w:lang w:val="en-US" w:eastAsia="ja-JP"/>
    </w:rPr>
  </w:style>
  <w:style w:type="paragraph" w:styleId="TOC1">
    <w:name w:val="toc 1"/>
    <w:basedOn w:val="Normal"/>
    <w:next w:val="Normal"/>
    <w:autoRedefine/>
    <w:uiPriority w:val="39"/>
    <w:rsid w:val="006E51E5"/>
    <w:pPr>
      <w:tabs>
        <w:tab w:val="right" w:leader="dot" w:pos="8296"/>
      </w:tabs>
      <w:spacing w:after="240"/>
      <w:ind w:left="426" w:hanging="42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163"/>
    <w:rPr>
      <w:sz w:val="24"/>
      <w:szCs w:val="24"/>
      <w:lang w:eastAsia="en-US"/>
    </w:rPr>
  </w:style>
  <w:style w:type="paragraph" w:styleId="Heading1">
    <w:name w:val="heading 1"/>
    <w:basedOn w:val="Normal"/>
    <w:next w:val="Normal"/>
    <w:link w:val="Heading1Char"/>
    <w:qFormat/>
    <w:rsid w:val="006E51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38C"/>
    <w:pPr>
      <w:spacing w:before="100" w:beforeAutospacing="1" w:after="100" w:afterAutospacing="1"/>
    </w:pPr>
    <w:rPr>
      <w:lang w:eastAsia="en-AU"/>
    </w:rPr>
  </w:style>
  <w:style w:type="paragraph" w:styleId="BalloonText">
    <w:name w:val="Balloon Text"/>
    <w:basedOn w:val="Normal"/>
    <w:link w:val="BalloonTextChar"/>
    <w:rsid w:val="00493B37"/>
    <w:rPr>
      <w:rFonts w:ascii="Tahoma" w:hAnsi="Tahoma" w:cs="Tahoma"/>
      <w:sz w:val="16"/>
      <w:szCs w:val="16"/>
    </w:rPr>
  </w:style>
  <w:style w:type="character" w:customStyle="1" w:styleId="BalloonTextChar">
    <w:name w:val="Balloon Text Char"/>
    <w:basedOn w:val="DefaultParagraphFont"/>
    <w:link w:val="BalloonText"/>
    <w:rsid w:val="00493B37"/>
    <w:rPr>
      <w:rFonts w:ascii="Tahoma" w:hAnsi="Tahoma" w:cs="Tahoma"/>
      <w:sz w:val="16"/>
      <w:szCs w:val="16"/>
      <w:lang w:eastAsia="en-US"/>
    </w:rPr>
  </w:style>
  <w:style w:type="paragraph" w:styleId="ListParagraph">
    <w:name w:val="List Paragraph"/>
    <w:aliases w:val="Recommendation,List Paragraph1,List Paragraph11,L,CV text,Table text,F5 List Paragraph,Dot pt,Bulleted Para,NFP GP Bulleted List,FooterText,numbered,Paragraphe de liste1,Bulletr List Paragraph,列出段落,列出段落1,List Paragraph2,List Paragraph21"/>
    <w:basedOn w:val="Normal"/>
    <w:link w:val="ListParagraphChar"/>
    <w:uiPriority w:val="34"/>
    <w:qFormat/>
    <w:rsid w:val="00EA437F"/>
    <w:pPr>
      <w:ind w:left="720"/>
      <w:contextualSpacing/>
    </w:pPr>
  </w:style>
  <w:style w:type="character" w:styleId="Hyperlink">
    <w:name w:val="Hyperlink"/>
    <w:basedOn w:val="DefaultParagraphFont"/>
    <w:uiPriority w:val="99"/>
    <w:rsid w:val="00041C4D"/>
    <w:rPr>
      <w:color w:val="0000FF" w:themeColor="hyperlink"/>
      <w:u w:val="single"/>
    </w:rPr>
  </w:style>
  <w:style w:type="paragraph" w:styleId="Header">
    <w:name w:val="header"/>
    <w:basedOn w:val="Normal"/>
    <w:link w:val="HeaderChar"/>
    <w:rsid w:val="004A3736"/>
    <w:pPr>
      <w:tabs>
        <w:tab w:val="center" w:pos="4513"/>
        <w:tab w:val="right" w:pos="9026"/>
      </w:tabs>
    </w:pPr>
  </w:style>
  <w:style w:type="character" w:customStyle="1" w:styleId="HeaderChar">
    <w:name w:val="Header Char"/>
    <w:basedOn w:val="DefaultParagraphFont"/>
    <w:link w:val="Header"/>
    <w:rsid w:val="004A3736"/>
    <w:rPr>
      <w:sz w:val="24"/>
      <w:szCs w:val="24"/>
      <w:lang w:eastAsia="en-US"/>
    </w:rPr>
  </w:style>
  <w:style w:type="paragraph" w:styleId="Footer">
    <w:name w:val="footer"/>
    <w:basedOn w:val="Normal"/>
    <w:link w:val="FooterChar"/>
    <w:uiPriority w:val="99"/>
    <w:rsid w:val="004A3736"/>
    <w:pPr>
      <w:tabs>
        <w:tab w:val="center" w:pos="4513"/>
        <w:tab w:val="right" w:pos="9026"/>
      </w:tabs>
    </w:pPr>
  </w:style>
  <w:style w:type="character" w:customStyle="1" w:styleId="FooterChar">
    <w:name w:val="Footer Char"/>
    <w:basedOn w:val="DefaultParagraphFont"/>
    <w:link w:val="Footer"/>
    <w:uiPriority w:val="99"/>
    <w:rsid w:val="004A3736"/>
    <w:rPr>
      <w:sz w:val="24"/>
      <w:szCs w:val="24"/>
      <w:lang w:eastAsia="en-US"/>
    </w:rPr>
  </w:style>
  <w:style w:type="paragraph" w:styleId="FootnoteText">
    <w:name w:val="footnote text"/>
    <w:basedOn w:val="Normal"/>
    <w:link w:val="FootnoteTextChar"/>
    <w:rsid w:val="00A65547"/>
    <w:rPr>
      <w:sz w:val="20"/>
      <w:szCs w:val="20"/>
    </w:rPr>
  </w:style>
  <w:style w:type="character" w:customStyle="1" w:styleId="FootnoteTextChar">
    <w:name w:val="Footnote Text Char"/>
    <w:basedOn w:val="DefaultParagraphFont"/>
    <w:link w:val="FootnoteText"/>
    <w:rsid w:val="00A65547"/>
    <w:rPr>
      <w:lang w:eastAsia="en-US"/>
    </w:rPr>
  </w:style>
  <w:style w:type="character" w:styleId="FootnoteReference">
    <w:name w:val="footnote reference"/>
    <w:basedOn w:val="DefaultParagraphFont"/>
    <w:rsid w:val="00A65547"/>
    <w:rPr>
      <w:vertAlign w:val="superscript"/>
    </w:rPr>
  </w:style>
  <w:style w:type="paragraph" w:customStyle="1" w:styleId="Pa10">
    <w:name w:val="Pa10"/>
    <w:basedOn w:val="Normal"/>
    <w:next w:val="Normal"/>
    <w:uiPriority w:val="99"/>
    <w:rsid w:val="00F1295A"/>
    <w:pPr>
      <w:autoSpaceDE w:val="0"/>
      <w:autoSpaceDN w:val="0"/>
      <w:adjustRightInd w:val="0"/>
      <w:spacing w:line="181" w:lineRule="atLeast"/>
    </w:pPr>
    <w:rPr>
      <w:rFonts w:ascii="Century Gothic" w:hAnsi="Century Gothic"/>
      <w:lang w:eastAsia="en-AU"/>
    </w:rPr>
  </w:style>
  <w:style w:type="character" w:customStyle="1" w:styleId="A1">
    <w:name w:val="A1"/>
    <w:uiPriority w:val="99"/>
    <w:rsid w:val="00C63865"/>
    <w:rPr>
      <w:rFonts w:cs="Century Gothic"/>
      <w:color w:val="000000"/>
      <w:sz w:val="18"/>
      <w:szCs w:val="18"/>
    </w:rPr>
  </w:style>
  <w:style w:type="paragraph" w:customStyle="1" w:styleId="Default">
    <w:name w:val="Default"/>
    <w:rsid w:val="005E2363"/>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List Paragraph1 Char,List Paragraph11 Char,L Char,CV text Char,Table text Char,F5 List Paragraph Char,Dot pt Char,Bulleted Para Char,NFP GP Bulleted List Char,FooterText Char,numbered Char,列出段落 Char,列出段落1 Char"/>
    <w:link w:val="ListParagraph"/>
    <w:uiPriority w:val="34"/>
    <w:locked/>
    <w:rsid w:val="00860404"/>
    <w:rPr>
      <w:sz w:val="24"/>
      <w:szCs w:val="24"/>
      <w:lang w:eastAsia="en-US"/>
    </w:rPr>
  </w:style>
  <w:style w:type="paragraph" w:customStyle="1" w:styleId="paralargetext">
    <w:name w:val="paralargetext"/>
    <w:basedOn w:val="Normal"/>
    <w:rsid w:val="006F0666"/>
    <w:pPr>
      <w:spacing w:before="100" w:beforeAutospacing="1" w:after="100" w:afterAutospacing="1"/>
    </w:pPr>
    <w:rPr>
      <w:lang w:eastAsia="en-AU"/>
    </w:rPr>
  </w:style>
  <w:style w:type="character" w:styleId="CommentReference">
    <w:name w:val="annotation reference"/>
    <w:basedOn w:val="DefaultParagraphFont"/>
    <w:rsid w:val="008E708F"/>
    <w:rPr>
      <w:sz w:val="16"/>
      <w:szCs w:val="16"/>
    </w:rPr>
  </w:style>
  <w:style w:type="paragraph" w:styleId="CommentText">
    <w:name w:val="annotation text"/>
    <w:basedOn w:val="Normal"/>
    <w:link w:val="CommentTextChar"/>
    <w:rsid w:val="008E708F"/>
    <w:rPr>
      <w:sz w:val="20"/>
      <w:szCs w:val="20"/>
    </w:rPr>
  </w:style>
  <w:style w:type="character" w:customStyle="1" w:styleId="CommentTextChar">
    <w:name w:val="Comment Text Char"/>
    <w:basedOn w:val="DefaultParagraphFont"/>
    <w:link w:val="CommentText"/>
    <w:rsid w:val="008E708F"/>
    <w:rPr>
      <w:lang w:eastAsia="en-US"/>
    </w:rPr>
  </w:style>
  <w:style w:type="character" w:styleId="FollowedHyperlink">
    <w:name w:val="FollowedHyperlink"/>
    <w:basedOn w:val="DefaultParagraphFont"/>
    <w:rsid w:val="00971356"/>
    <w:rPr>
      <w:color w:val="800080" w:themeColor="followedHyperlink"/>
      <w:u w:val="single"/>
    </w:rPr>
  </w:style>
  <w:style w:type="character" w:customStyle="1" w:styleId="Heading1Char">
    <w:name w:val="Heading 1 Char"/>
    <w:basedOn w:val="DefaultParagraphFont"/>
    <w:link w:val="Heading1"/>
    <w:rsid w:val="006E51E5"/>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6E51E5"/>
    <w:pPr>
      <w:spacing w:line="276" w:lineRule="auto"/>
      <w:outlineLvl w:val="9"/>
    </w:pPr>
    <w:rPr>
      <w:lang w:val="en-US" w:eastAsia="ja-JP"/>
    </w:rPr>
  </w:style>
  <w:style w:type="paragraph" w:styleId="TOC1">
    <w:name w:val="toc 1"/>
    <w:basedOn w:val="Normal"/>
    <w:next w:val="Normal"/>
    <w:autoRedefine/>
    <w:uiPriority w:val="39"/>
    <w:rsid w:val="006E51E5"/>
    <w:pPr>
      <w:tabs>
        <w:tab w:val="right" w:leader="dot" w:pos="8296"/>
      </w:tabs>
      <w:spacing w:after="240"/>
      <w:ind w:left="426" w:hanging="4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004">
      <w:bodyDiv w:val="1"/>
      <w:marLeft w:val="0"/>
      <w:marRight w:val="0"/>
      <w:marTop w:val="0"/>
      <w:marBottom w:val="0"/>
      <w:divBdr>
        <w:top w:val="none" w:sz="0" w:space="0" w:color="auto"/>
        <w:left w:val="none" w:sz="0" w:space="0" w:color="auto"/>
        <w:bottom w:val="none" w:sz="0" w:space="0" w:color="auto"/>
        <w:right w:val="none" w:sz="0" w:space="0" w:color="auto"/>
      </w:divBdr>
      <w:divsChild>
        <w:div w:id="345987632">
          <w:marLeft w:val="0"/>
          <w:marRight w:val="0"/>
          <w:marTop w:val="0"/>
          <w:marBottom w:val="0"/>
          <w:divBdr>
            <w:top w:val="none" w:sz="0" w:space="0" w:color="auto"/>
            <w:left w:val="none" w:sz="0" w:space="0" w:color="auto"/>
            <w:bottom w:val="none" w:sz="0" w:space="0" w:color="auto"/>
            <w:right w:val="none" w:sz="0" w:space="0" w:color="auto"/>
          </w:divBdr>
          <w:divsChild>
            <w:div w:id="925070074">
              <w:marLeft w:val="0"/>
              <w:marRight w:val="0"/>
              <w:marTop w:val="0"/>
              <w:marBottom w:val="0"/>
              <w:divBdr>
                <w:top w:val="none" w:sz="0" w:space="0" w:color="auto"/>
                <w:left w:val="none" w:sz="0" w:space="0" w:color="auto"/>
                <w:bottom w:val="none" w:sz="0" w:space="0" w:color="auto"/>
                <w:right w:val="none" w:sz="0" w:space="0" w:color="auto"/>
              </w:divBdr>
              <w:divsChild>
                <w:div w:id="1703094339">
                  <w:marLeft w:val="0"/>
                  <w:marRight w:val="0"/>
                  <w:marTop w:val="0"/>
                  <w:marBottom w:val="0"/>
                  <w:divBdr>
                    <w:top w:val="none" w:sz="0" w:space="0" w:color="auto"/>
                    <w:left w:val="none" w:sz="0" w:space="0" w:color="auto"/>
                    <w:bottom w:val="none" w:sz="0" w:space="0" w:color="auto"/>
                    <w:right w:val="none" w:sz="0" w:space="0" w:color="auto"/>
                  </w:divBdr>
                  <w:divsChild>
                    <w:div w:id="1801532112">
                      <w:marLeft w:val="0"/>
                      <w:marRight w:val="0"/>
                      <w:marTop w:val="0"/>
                      <w:marBottom w:val="0"/>
                      <w:divBdr>
                        <w:top w:val="none" w:sz="0" w:space="0" w:color="auto"/>
                        <w:left w:val="none" w:sz="0" w:space="0" w:color="auto"/>
                        <w:bottom w:val="none" w:sz="0" w:space="0" w:color="auto"/>
                        <w:right w:val="none" w:sz="0" w:space="0" w:color="auto"/>
                      </w:divBdr>
                      <w:divsChild>
                        <w:div w:id="1860506848">
                          <w:marLeft w:val="0"/>
                          <w:marRight w:val="0"/>
                          <w:marTop w:val="0"/>
                          <w:marBottom w:val="0"/>
                          <w:divBdr>
                            <w:top w:val="none" w:sz="0" w:space="0" w:color="auto"/>
                            <w:left w:val="none" w:sz="0" w:space="0" w:color="auto"/>
                            <w:bottom w:val="none" w:sz="0" w:space="0" w:color="auto"/>
                            <w:right w:val="none" w:sz="0" w:space="0" w:color="auto"/>
                          </w:divBdr>
                          <w:divsChild>
                            <w:div w:id="1361781492">
                              <w:marLeft w:val="0"/>
                              <w:marRight w:val="0"/>
                              <w:marTop w:val="0"/>
                              <w:marBottom w:val="0"/>
                              <w:divBdr>
                                <w:top w:val="none" w:sz="0" w:space="0" w:color="auto"/>
                                <w:left w:val="none" w:sz="0" w:space="0" w:color="auto"/>
                                <w:bottom w:val="none" w:sz="0" w:space="0" w:color="auto"/>
                                <w:right w:val="none" w:sz="0" w:space="0" w:color="auto"/>
                              </w:divBdr>
                              <w:divsChild>
                                <w:div w:id="495002161">
                                  <w:marLeft w:val="0"/>
                                  <w:marRight w:val="0"/>
                                  <w:marTop w:val="0"/>
                                  <w:marBottom w:val="0"/>
                                  <w:divBdr>
                                    <w:top w:val="none" w:sz="0" w:space="0" w:color="auto"/>
                                    <w:left w:val="none" w:sz="0" w:space="0" w:color="auto"/>
                                    <w:bottom w:val="none" w:sz="0" w:space="0" w:color="auto"/>
                                    <w:right w:val="none" w:sz="0" w:space="0" w:color="auto"/>
                                  </w:divBdr>
                                  <w:divsChild>
                                    <w:div w:id="75517014">
                                      <w:marLeft w:val="0"/>
                                      <w:marRight w:val="0"/>
                                      <w:marTop w:val="0"/>
                                      <w:marBottom w:val="0"/>
                                      <w:divBdr>
                                        <w:top w:val="none" w:sz="0" w:space="0" w:color="auto"/>
                                        <w:left w:val="none" w:sz="0" w:space="0" w:color="auto"/>
                                        <w:bottom w:val="none" w:sz="0" w:space="0" w:color="auto"/>
                                        <w:right w:val="none" w:sz="0" w:space="0" w:color="auto"/>
                                      </w:divBdr>
                                      <w:divsChild>
                                        <w:div w:id="670719783">
                                          <w:marLeft w:val="0"/>
                                          <w:marRight w:val="0"/>
                                          <w:marTop w:val="0"/>
                                          <w:marBottom w:val="0"/>
                                          <w:divBdr>
                                            <w:top w:val="none" w:sz="0" w:space="0" w:color="auto"/>
                                            <w:left w:val="none" w:sz="0" w:space="0" w:color="auto"/>
                                            <w:bottom w:val="none" w:sz="0" w:space="0" w:color="auto"/>
                                            <w:right w:val="none" w:sz="0" w:space="0" w:color="auto"/>
                                          </w:divBdr>
                                          <w:divsChild>
                                            <w:div w:id="4895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8258910">
      <w:bodyDiv w:val="1"/>
      <w:marLeft w:val="0"/>
      <w:marRight w:val="0"/>
      <w:marTop w:val="0"/>
      <w:marBottom w:val="0"/>
      <w:divBdr>
        <w:top w:val="none" w:sz="0" w:space="0" w:color="auto"/>
        <w:left w:val="none" w:sz="0" w:space="0" w:color="auto"/>
        <w:bottom w:val="none" w:sz="0" w:space="0" w:color="auto"/>
        <w:right w:val="none" w:sz="0" w:space="0" w:color="auto"/>
      </w:divBdr>
      <w:divsChild>
        <w:div w:id="292834637">
          <w:marLeft w:val="0"/>
          <w:marRight w:val="0"/>
          <w:marTop w:val="0"/>
          <w:marBottom w:val="0"/>
          <w:divBdr>
            <w:top w:val="none" w:sz="0" w:space="0" w:color="auto"/>
            <w:left w:val="none" w:sz="0" w:space="0" w:color="auto"/>
            <w:bottom w:val="none" w:sz="0" w:space="0" w:color="auto"/>
            <w:right w:val="none" w:sz="0" w:space="0" w:color="auto"/>
          </w:divBdr>
          <w:divsChild>
            <w:div w:id="319886398">
              <w:marLeft w:val="0"/>
              <w:marRight w:val="0"/>
              <w:marTop w:val="0"/>
              <w:marBottom w:val="0"/>
              <w:divBdr>
                <w:top w:val="none" w:sz="0" w:space="0" w:color="auto"/>
                <w:left w:val="none" w:sz="0" w:space="0" w:color="auto"/>
                <w:bottom w:val="none" w:sz="0" w:space="0" w:color="auto"/>
                <w:right w:val="none" w:sz="0" w:space="0" w:color="auto"/>
              </w:divBdr>
              <w:divsChild>
                <w:div w:id="721056813">
                  <w:marLeft w:val="0"/>
                  <w:marRight w:val="0"/>
                  <w:marTop w:val="0"/>
                  <w:marBottom w:val="0"/>
                  <w:divBdr>
                    <w:top w:val="none" w:sz="0" w:space="0" w:color="auto"/>
                    <w:left w:val="none" w:sz="0" w:space="0" w:color="auto"/>
                    <w:bottom w:val="none" w:sz="0" w:space="0" w:color="auto"/>
                    <w:right w:val="none" w:sz="0" w:space="0" w:color="auto"/>
                  </w:divBdr>
                  <w:divsChild>
                    <w:div w:id="252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46758">
      <w:bodyDiv w:val="1"/>
      <w:marLeft w:val="0"/>
      <w:marRight w:val="0"/>
      <w:marTop w:val="0"/>
      <w:marBottom w:val="0"/>
      <w:divBdr>
        <w:top w:val="none" w:sz="0" w:space="0" w:color="auto"/>
        <w:left w:val="none" w:sz="0" w:space="0" w:color="auto"/>
        <w:bottom w:val="none" w:sz="0" w:space="0" w:color="auto"/>
        <w:right w:val="none" w:sz="0" w:space="0" w:color="auto"/>
      </w:divBdr>
      <w:divsChild>
        <w:div w:id="909071991">
          <w:marLeft w:val="0"/>
          <w:marRight w:val="0"/>
          <w:marTop w:val="0"/>
          <w:marBottom w:val="0"/>
          <w:divBdr>
            <w:top w:val="none" w:sz="0" w:space="0" w:color="auto"/>
            <w:left w:val="none" w:sz="0" w:space="0" w:color="auto"/>
            <w:bottom w:val="none" w:sz="0" w:space="0" w:color="auto"/>
            <w:right w:val="none" w:sz="0" w:space="0" w:color="auto"/>
          </w:divBdr>
          <w:divsChild>
            <w:div w:id="1081562856">
              <w:marLeft w:val="0"/>
              <w:marRight w:val="0"/>
              <w:marTop w:val="0"/>
              <w:marBottom w:val="0"/>
              <w:divBdr>
                <w:top w:val="none" w:sz="0" w:space="0" w:color="auto"/>
                <w:left w:val="none" w:sz="0" w:space="0" w:color="auto"/>
                <w:bottom w:val="none" w:sz="0" w:space="0" w:color="auto"/>
                <w:right w:val="none" w:sz="0" w:space="0" w:color="auto"/>
              </w:divBdr>
              <w:divsChild>
                <w:div w:id="276837311">
                  <w:marLeft w:val="0"/>
                  <w:marRight w:val="0"/>
                  <w:marTop w:val="0"/>
                  <w:marBottom w:val="0"/>
                  <w:divBdr>
                    <w:top w:val="none" w:sz="0" w:space="0" w:color="auto"/>
                    <w:left w:val="none" w:sz="0" w:space="0" w:color="auto"/>
                    <w:bottom w:val="none" w:sz="0" w:space="0" w:color="auto"/>
                    <w:right w:val="none" w:sz="0" w:space="0" w:color="auto"/>
                  </w:divBdr>
                  <w:divsChild>
                    <w:div w:id="1937247336">
                      <w:marLeft w:val="0"/>
                      <w:marRight w:val="0"/>
                      <w:marTop w:val="0"/>
                      <w:marBottom w:val="0"/>
                      <w:divBdr>
                        <w:top w:val="none" w:sz="0" w:space="0" w:color="auto"/>
                        <w:left w:val="none" w:sz="0" w:space="0" w:color="auto"/>
                        <w:bottom w:val="none" w:sz="0" w:space="0" w:color="auto"/>
                        <w:right w:val="none" w:sz="0" w:space="0" w:color="auto"/>
                      </w:divBdr>
                      <w:divsChild>
                        <w:div w:id="2025084924">
                          <w:marLeft w:val="0"/>
                          <w:marRight w:val="0"/>
                          <w:marTop w:val="0"/>
                          <w:marBottom w:val="0"/>
                          <w:divBdr>
                            <w:top w:val="none" w:sz="0" w:space="0" w:color="auto"/>
                            <w:left w:val="none" w:sz="0" w:space="0" w:color="auto"/>
                            <w:bottom w:val="none" w:sz="0" w:space="0" w:color="auto"/>
                            <w:right w:val="none" w:sz="0" w:space="0" w:color="auto"/>
                          </w:divBdr>
                          <w:divsChild>
                            <w:div w:id="1544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048261">
      <w:bodyDiv w:val="1"/>
      <w:marLeft w:val="0"/>
      <w:marRight w:val="0"/>
      <w:marTop w:val="0"/>
      <w:marBottom w:val="0"/>
      <w:divBdr>
        <w:top w:val="none" w:sz="0" w:space="0" w:color="auto"/>
        <w:left w:val="none" w:sz="0" w:space="0" w:color="auto"/>
        <w:bottom w:val="none" w:sz="0" w:space="0" w:color="auto"/>
        <w:right w:val="none" w:sz="0" w:space="0" w:color="auto"/>
      </w:divBdr>
      <w:divsChild>
        <w:div w:id="297954686">
          <w:marLeft w:val="0"/>
          <w:marRight w:val="0"/>
          <w:marTop w:val="0"/>
          <w:marBottom w:val="0"/>
          <w:divBdr>
            <w:top w:val="none" w:sz="0" w:space="0" w:color="auto"/>
            <w:left w:val="none" w:sz="0" w:space="0" w:color="auto"/>
            <w:bottom w:val="none" w:sz="0" w:space="0" w:color="auto"/>
            <w:right w:val="none" w:sz="0" w:space="0" w:color="auto"/>
          </w:divBdr>
          <w:divsChild>
            <w:div w:id="1136526023">
              <w:marLeft w:val="0"/>
              <w:marRight w:val="0"/>
              <w:marTop w:val="0"/>
              <w:marBottom w:val="0"/>
              <w:divBdr>
                <w:top w:val="none" w:sz="0" w:space="0" w:color="auto"/>
                <w:left w:val="none" w:sz="0" w:space="0" w:color="auto"/>
                <w:bottom w:val="none" w:sz="0" w:space="0" w:color="auto"/>
                <w:right w:val="none" w:sz="0" w:space="0" w:color="auto"/>
              </w:divBdr>
              <w:divsChild>
                <w:div w:id="842234610">
                  <w:marLeft w:val="0"/>
                  <w:marRight w:val="0"/>
                  <w:marTop w:val="0"/>
                  <w:marBottom w:val="0"/>
                  <w:divBdr>
                    <w:top w:val="none" w:sz="0" w:space="0" w:color="auto"/>
                    <w:left w:val="none" w:sz="0" w:space="0" w:color="auto"/>
                    <w:bottom w:val="none" w:sz="0" w:space="0" w:color="auto"/>
                    <w:right w:val="none" w:sz="0" w:space="0" w:color="auto"/>
                  </w:divBdr>
                  <w:divsChild>
                    <w:div w:id="1585921450">
                      <w:marLeft w:val="0"/>
                      <w:marRight w:val="0"/>
                      <w:marTop w:val="0"/>
                      <w:marBottom w:val="0"/>
                      <w:divBdr>
                        <w:top w:val="none" w:sz="0" w:space="0" w:color="auto"/>
                        <w:left w:val="none" w:sz="0" w:space="0" w:color="auto"/>
                        <w:bottom w:val="none" w:sz="0" w:space="0" w:color="auto"/>
                        <w:right w:val="none" w:sz="0" w:space="0" w:color="auto"/>
                      </w:divBdr>
                      <w:divsChild>
                        <w:div w:id="2048599609">
                          <w:marLeft w:val="0"/>
                          <w:marRight w:val="0"/>
                          <w:marTop w:val="0"/>
                          <w:marBottom w:val="0"/>
                          <w:divBdr>
                            <w:top w:val="none" w:sz="0" w:space="0" w:color="auto"/>
                            <w:left w:val="none" w:sz="0" w:space="0" w:color="auto"/>
                            <w:bottom w:val="none" w:sz="0" w:space="0" w:color="auto"/>
                            <w:right w:val="none" w:sz="0" w:space="0" w:color="auto"/>
                          </w:divBdr>
                          <w:divsChild>
                            <w:div w:id="540870416">
                              <w:marLeft w:val="0"/>
                              <w:marRight w:val="0"/>
                              <w:marTop w:val="0"/>
                              <w:marBottom w:val="0"/>
                              <w:divBdr>
                                <w:top w:val="none" w:sz="0" w:space="0" w:color="auto"/>
                                <w:left w:val="none" w:sz="0" w:space="0" w:color="auto"/>
                                <w:bottom w:val="none" w:sz="0" w:space="0" w:color="auto"/>
                                <w:right w:val="none" w:sz="0" w:space="0" w:color="auto"/>
                              </w:divBdr>
                              <w:divsChild>
                                <w:div w:id="837303358">
                                  <w:marLeft w:val="0"/>
                                  <w:marRight w:val="0"/>
                                  <w:marTop w:val="0"/>
                                  <w:marBottom w:val="0"/>
                                  <w:divBdr>
                                    <w:top w:val="none" w:sz="0" w:space="0" w:color="auto"/>
                                    <w:left w:val="none" w:sz="0" w:space="0" w:color="auto"/>
                                    <w:bottom w:val="none" w:sz="0" w:space="0" w:color="auto"/>
                                    <w:right w:val="none" w:sz="0" w:space="0" w:color="auto"/>
                                  </w:divBdr>
                                  <w:divsChild>
                                    <w:div w:id="1932467467">
                                      <w:marLeft w:val="0"/>
                                      <w:marRight w:val="0"/>
                                      <w:marTop w:val="0"/>
                                      <w:marBottom w:val="0"/>
                                      <w:divBdr>
                                        <w:top w:val="none" w:sz="0" w:space="0" w:color="auto"/>
                                        <w:left w:val="none" w:sz="0" w:space="0" w:color="auto"/>
                                        <w:bottom w:val="none" w:sz="0" w:space="0" w:color="auto"/>
                                        <w:right w:val="none" w:sz="0" w:space="0" w:color="auto"/>
                                      </w:divBdr>
                                      <w:divsChild>
                                        <w:div w:id="522787972">
                                          <w:marLeft w:val="0"/>
                                          <w:marRight w:val="0"/>
                                          <w:marTop w:val="0"/>
                                          <w:marBottom w:val="0"/>
                                          <w:divBdr>
                                            <w:top w:val="none" w:sz="0" w:space="0" w:color="auto"/>
                                            <w:left w:val="none" w:sz="0" w:space="0" w:color="auto"/>
                                            <w:bottom w:val="none" w:sz="0" w:space="0" w:color="auto"/>
                                            <w:right w:val="none" w:sz="0" w:space="0" w:color="auto"/>
                                          </w:divBdr>
                                          <w:divsChild>
                                            <w:div w:id="16953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530716">
      <w:bodyDiv w:val="1"/>
      <w:marLeft w:val="0"/>
      <w:marRight w:val="0"/>
      <w:marTop w:val="0"/>
      <w:marBottom w:val="0"/>
      <w:divBdr>
        <w:top w:val="none" w:sz="0" w:space="0" w:color="auto"/>
        <w:left w:val="none" w:sz="0" w:space="0" w:color="auto"/>
        <w:bottom w:val="none" w:sz="0" w:space="0" w:color="auto"/>
        <w:right w:val="none" w:sz="0" w:space="0" w:color="auto"/>
      </w:divBdr>
      <w:divsChild>
        <w:div w:id="1797215516">
          <w:marLeft w:val="0"/>
          <w:marRight w:val="0"/>
          <w:marTop w:val="0"/>
          <w:marBottom w:val="0"/>
          <w:divBdr>
            <w:top w:val="none" w:sz="0" w:space="0" w:color="auto"/>
            <w:left w:val="none" w:sz="0" w:space="0" w:color="auto"/>
            <w:bottom w:val="none" w:sz="0" w:space="0" w:color="auto"/>
            <w:right w:val="none" w:sz="0" w:space="0" w:color="auto"/>
          </w:divBdr>
          <w:divsChild>
            <w:div w:id="1481381939">
              <w:marLeft w:val="0"/>
              <w:marRight w:val="0"/>
              <w:marTop w:val="0"/>
              <w:marBottom w:val="0"/>
              <w:divBdr>
                <w:top w:val="none" w:sz="0" w:space="0" w:color="auto"/>
                <w:left w:val="none" w:sz="0" w:space="0" w:color="auto"/>
                <w:bottom w:val="none" w:sz="0" w:space="0" w:color="auto"/>
                <w:right w:val="none" w:sz="0" w:space="0" w:color="auto"/>
              </w:divBdr>
              <w:divsChild>
                <w:div w:id="86581272">
                  <w:marLeft w:val="0"/>
                  <w:marRight w:val="0"/>
                  <w:marTop w:val="0"/>
                  <w:marBottom w:val="0"/>
                  <w:divBdr>
                    <w:top w:val="none" w:sz="0" w:space="0" w:color="auto"/>
                    <w:left w:val="none" w:sz="0" w:space="0" w:color="auto"/>
                    <w:bottom w:val="none" w:sz="0" w:space="0" w:color="auto"/>
                    <w:right w:val="none" w:sz="0" w:space="0" w:color="auto"/>
                  </w:divBdr>
                  <w:divsChild>
                    <w:div w:id="21519570">
                      <w:marLeft w:val="0"/>
                      <w:marRight w:val="0"/>
                      <w:marTop w:val="0"/>
                      <w:marBottom w:val="0"/>
                      <w:divBdr>
                        <w:top w:val="none" w:sz="0" w:space="0" w:color="auto"/>
                        <w:left w:val="none" w:sz="0" w:space="0" w:color="auto"/>
                        <w:bottom w:val="none" w:sz="0" w:space="0" w:color="auto"/>
                        <w:right w:val="none" w:sz="0" w:space="0" w:color="auto"/>
                      </w:divBdr>
                      <w:divsChild>
                        <w:div w:id="1501121331">
                          <w:marLeft w:val="0"/>
                          <w:marRight w:val="0"/>
                          <w:marTop w:val="0"/>
                          <w:marBottom w:val="0"/>
                          <w:divBdr>
                            <w:top w:val="none" w:sz="0" w:space="0" w:color="auto"/>
                            <w:left w:val="none" w:sz="0" w:space="0" w:color="auto"/>
                            <w:bottom w:val="none" w:sz="0" w:space="0" w:color="auto"/>
                            <w:right w:val="none" w:sz="0" w:space="0" w:color="auto"/>
                          </w:divBdr>
                          <w:divsChild>
                            <w:div w:id="79331229">
                              <w:marLeft w:val="0"/>
                              <w:marRight w:val="0"/>
                              <w:marTop w:val="0"/>
                              <w:marBottom w:val="0"/>
                              <w:divBdr>
                                <w:top w:val="none" w:sz="0" w:space="0" w:color="auto"/>
                                <w:left w:val="none" w:sz="0" w:space="0" w:color="auto"/>
                                <w:bottom w:val="none" w:sz="0" w:space="0" w:color="auto"/>
                                <w:right w:val="none" w:sz="0" w:space="0" w:color="auto"/>
                              </w:divBdr>
                              <w:divsChild>
                                <w:div w:id="1592472920">
                                  <w:marLeft w:val="0"/>
                                  <w:marRight w:val="0"/>
                                  <w:marTop w:val="0"/>
                                  <w:marBottom w:val="0"/>
                                  <w:divBdr>
                                    <w:top w:val="none" w:sz="0" w:space="0" w:color="auto"/>
                                    <w:left w:val="none" w:sz="0" w:space="0" w:color="auto"/>
                                    <w:bottom w:val="none" w:sz="0" w:space="0" w:color="auto"/>
                                    <w:right w:val="none" w:sz="0" w:space="0" w:color="auto"/>
                                  </w:divBdr>
                                  <w:divsChild>
                                    <w:div w:id="17333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913277">
      <w:bodyDiv w:val="1"/>
      <w:marLeft w:val="0"/>
      <w:marRight w:val="0"/>
      <w:marTop w:val="0"/>
      <w:marBottom w:val="0"/>
      <w:divBdr>
        <w:top w:val="none" w:sz="0" w:space="0" w:color="auto"/>
        <w:left w:val="none" w:sz="0" w:space="0" w:color="auto"/>
        <w:bottom w:val="none" w:sz="0" w:space="0" w:color="auto"/>
        <w:right w:val="none" w:sz="0" w:space="0" w:color="auto"/>
      </w:divBdr>
      <w:divsChild>
        <w:div w:id="1937589381">
          <w:marLeft w:val="0"/>
          <w:marRight w:val="0"/>
          <w:marTop w:val="0"/>
          <w:marBottom w:val="0"/>
          <w:divBdr>
            <w:top w:val="none" w:sz="0" w:space="0" w:color="auto"/>
            <w:left w:val="none" w:sz="0" w:space="0" w:color="auto"/>
            <w:bottom w:val="none" w:sz="0" w:space="0" w:color="auto"/>
            <w:right w:val="none" w:sz="0" w:space="0" w:color="auto"/>
          </w:divBdr>
          <w:divsChild>
            <w:div w:id="461770739">
              <w:marLeft w:val="0"/>
              <w:marRight w:val="0"/>
              <w:marTop w:val="0"/>
              <w:marBottom w:val="0"/>
              <w:divBdr>
                <w:top w:val="none" w:sz="0" w:space="0" w:color="auto"/>
                <w:left w:val="none" w:sz="0" w:space="0" w:color="auto"/>
                <w:bottom w:val="none" w:sz="0" w:space="0" w:color="auto"/>
                <w:right w:val="none" w:sz="0" w:space="0" w:color="auto"/>
              </w:divBdr>
              <w:divsChild>
                <w:div w:id="1889560577">
                  <w:marLeft w:val="0"/>
                  <w:marRight w:val="0"/>
                  <w:marTop w:val="0"/>
                  <w:marBottom w:val="0"/>
                  <w:divBdr>
                    <w:top w:val="none" w:sz="0" w:space="0" w:color="auto"/>
                    <w:left w:val="none" w:sz="0" w:space="0" w:color="auto"/>
                    <w:bottom w:val="none" w:sz="0" w:space="0" w:color="auto"/>
                    <w:right w:val="none" w:sz="0" w:space="0" w:color="auto"/>
                  </w:divBdr>
                  <w:divsChild>
                    <w:div w:id="167329816">
                      <w:marLeft w:val="0"/>
                      <w:marRight w:val="0"/>
                      <w:marTop w:val="0"/>
                      <w:marBottom w:val="0"/>
                      <w:divBdr>
                        <w:top w:val="none" w:sz="0" w:space="0" w:color="auto"/>
                        <w:left w:val="none" w:sz="0" w:space="0" w:color="auto"/>
                        <w:bottom w:val="none" w:sz="0" w:space="0" w:color="auto"/>
                        <w:right w:val="none" w:sz="0" w:space="0" w:color="auto"/>
                      </w:divBdr>
                      <w:divsChild>
                        <w:div w:id="417482770">
                          <w:marLeft w:val="0"/>
                          <w:marRight w:val="0"/>
                          <w:marTop w:val="0"/>
                          <w:marBottom w:val="0"/>
                          <w:divBdr>
                            <w:top w:val="none" w:sz="0" w:space="0" w:color="auto"/>
                            <w:left w:val="none" w:sz="0" w:space="0" w:color="auto"/>
                            <w:bottom w:val="none" w:sz="0" w:space="0" w:color="auto"/>
                            <w:right w:val="none" w:sz="0" w:space="0" w:color="auto"/>
                          </w:divBdr>
                          <w:divsChild>
                            <w:div w:id="231624463">
                              <w:marLeft w:val="0"/>
                              <w:marRight w:val="0"/>
                              <w:marTop w:val="0"/>
                              <w:marBottom w:val="0"/>
                              <w:divBdr>
                                <w:top w:val="none" w:sz="0" w:space="0" w:color="auto"/>
                                <w:left w:val="none" w:sz="0" w:space="0" w:color="auto"/>
                                <w:bottom w:val="none" w:sz="0" w:space="0" w:color="auto"/>
                                <w:right w:val="none" w:sz="0" w:space="0" w:color="auto"/>
                              </w:divBdr>
                              <w:divsChild>
                                <w:div w:id="69740564">
                                  <w:marLeft w:val="0"/>
                                  <w:marRight w:val="0"/>
                                  <w:marTop w:val="0"/>
                                  <w:marBottom w:val="0"/>
                                  <w:divBdr>
                                    <w:top w:val="none" w:sz="0" w:space="0" w:color="auto"/>
                                    <w:left w:val="none" w:sz="0" w:space="0" w:color="auto"/>
                                    <w:bottom w:val="none" w:sz="0" w:space="0" w:color="auto"/>
                                    <w:right w:val="none" w:sz="0" w:space="0" w:color="auto"/>
                                  </w:divBdr>
                                  <w:divsChild>
                                    <w:div w:id="17831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890599">
      <w:bodyDiv w:val="1"/>
      <w:marLeft w:val="0"/>
      <w:marRight w:val="0"/>
      <w:marTop w:val="0"/>
      <w:marBottom w:val="0"/>
      <w:divBdr>
        <w:top w:val="none" w:sz="0" w:space="0" w:color="auto"/>
        <w:left w:val="none" w:sz="0" w:space="0" w:color="auto"/>
        <w:bottom w:val="none" w:sz="0" w:space="0" w:color="auto"/>
        <w:right w:val="none" w:sz="0" w:space="0" w:color="auto"/>
      </w:divBdr>
    </w:div>
    <w:div w:id="1231496892">
      <w:bodyDiv w:val="1"/>
      <w:marLeft w:val="0"/>
      <w:marRight w:val="0"/>
      <w:marTop w:val="0"/>
      <w:marBottom w:val="0"/>
      <w:divBdr>
        <w:top w:val="none" w:sz="0" w:space="0" w:color="auto"/>
        <w:left w:val="none" w:sz="0" w:space="0" w:color="auto"/>
        <w:bottom w:val="none" w:sz="0" w:space="0" w:color="auto"/>
        <w:right w:val="none" w:sz="0" w:space="0" w:color="auto"/>
      </w:divBdr>
      <w:divsChild>
        <w:div w:id="354041762">
          <w:marLeft w:val="0"/>
          <w:marRight w:val="0"/>
          <w:marTop w:val="0"/>
          <w:marBottom w:val="0"/>
          <w:divBdr>
            <w:top w:val="none" w:sz="0" w:space="0" w:color="auto"/>
            <w:left w:val="none" w:sz="0" w:space="0" w:color="auto"/>
            <w:bottom w:val="none" w:sz="0" w:space="0" w:color="auto"/>
            <w:right w:val="none" w:sz="0" w:space="0" w:color="auto"/>
          </w:divBdr>
          <w:divsChild>
            <w:div w:id="1103257831">
              <w:marLeft w:val="0"/>
              <w:marRight w:val="0"/>
              <w:marTop w:val="0"/>
              <w:marBottom w:val="0"/>
              <w:divBdr>
                <w:top w:val="none" w:sz="0" w:space="0" w:color="auto"/>
                <w:left w:val="none" w:sz="0" w:space="0" w:color="auto"/>
                <w:bottom w:val="none" w:sz="0" w:space="0" w:color="auto"/>
                <w:right w:val="none" w:sz="0" w:space="0" w:color="auto"/>
              </w:divBdr>
              <w:divsChild>
                <w:div w:id="657030478">
                  <w:marLeft w:val="0"/>
                  <w:marRight w:val="0"/>
                  <w:marTop w:val="225"/>
                  <w:marBottom w:val="0"/>
                  <w:divBdr>
                    <w:top w:val="none" w:sz="0" w:space="0" w:color="auto"/>
                    <w:left w:val="none" w:sz="0" w:space="0" w:color="auto"/>
                    <w:bottom w:val="none" w:sz="0" w:space="0" w:color="auto"/>
                    <w:right w:val="none" w:sz="0" w:space="0" w:color="auto"/>
                  </w:divBdr>
                  <w:divsChild>
                    <w:div w:id="498078168">
                      <w:marLeft w:val="0"/>
                      <w:marRight w:val="150"/>
                      <w:marTop w:val="900"/>
                      <w:marBottom w:val="0"/>
                      <w:divBdr>
                        <w:top w:val="none" w:sz="0" w:space="0" w:color="auto"/>
                        <w:left w:val="none" w:sz="0" w:space="0" w:color="auto"/>
                        <w:bottom w:val="none" w:sz="0" w:space="0" w:color="auto"/>
                        <w:right w:val="none" w:sz="0" w:space="0" w:color="auto"/>
                      </w:divBdr>
                      <w:divsChild>
                        <w:div w:id="1178890435">
                          <w:marLeft w:val="0"/>
                          <w:marRight w:val="0"/>
                          <w:marTop w:val="0"/>
                          <w:marBottom w:val="0"/>
                          <w:divBdr>
                            <w:top w:val="none" w:sz="0" w:space="0" w:color="auto"/>
                            <w:left w:val="none" w:sz="0" w:space="0" w:color="auto"/>
                            <w:bottom w:val="none" w:sz="0" w:space="0" w:color="auto"/>
                            <w:right w:val="none" w:sz="0" w:space="0" w:color="auto"/>
                          </w:divBdr>
                          <w:divsChild>
                            <w:div w:id="8058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25779">
      <w:bodyDiv w:val="1"/>
      <w:marLeft w:val="0"/>
      <w:marRight w:val="0"/>
      <w:marTop w:val="0"/>
      <w:marBottom w:val="0"/>
      <w:divBdr>
        <w:top w:val="none" w:sz="0" w:space="0" w:color="auto"/>
        <w:left w:val="none" w:sz="0" w:space="0" w:color="auto"/>
        <w:bottom w:val="none" w:sz="0" w:space="0" w:color="auto"/>
        <w:right w:val="none" w:sz="0" w:space="0" w:color="auto"/>
      </w:divBdr>
    </w:div>
    <w:div w:id="1589656599">
      <w:bodyDiv w:val="1"/>
      <w:marLeft w:val="0"/>
      <w:marRight w:val="0"/>
      <w:marTop w:val="0"/>
      <w:marBottom w:val="0"/>
      <w:divBdr>
        <w:top w:val="none" w:sz="0" w:space="0" w:color="auto"/>
        <w:left w:val="none" w:sz="0" w:space="0" w:color="auto"/>
        <w:bottom w:val="none" w:sz="0" w:space="0" w:color="auto"/>
        <w:right w:val="none" w:sz="0" w:space="0" w:color="auto"/>
      </w:divBdr>
      <w:divsChild>
        <w:div w:id="1765030041">
          <w:marLeft w:val="0"/>
          <w:marRight w:val="0"/>
          <w:marTop w:val="0"/>
          <w:marBottom w:val="0"/>
          <w:divBdr>
            <w:top w:val="none" w:sz="0" w:space="0" w:color="auto"/>
            <w:left w:val="none" w:sz="0" w:space="0" w:color="auto"/>
            <w:bottom w:val="none" w:sz="0" w:space="0" w:color="auto"/>
            <w:right w:val="none" w:sz="0" w:space="0" w:color="auto"/>
          </w:divBdr>
          <w:divsChild>
            <w:div w:id="217323151">
              <w:marLeft w:val="0"/>
              <w:marRight w:val="0"/>
              <w:marTop w:val="0"/>
              <w:marBottom w:val="0"/>
              <w:divBdr>
                <w:top w:val="none" w:sz="0" w:space="0" w:color="auto"/>
                <w:left w:val="none" w:sz="0" w:space="0" w:color="auto"/>
                <w:bottom w:val="none" w:sz="0" w:space="0" w:color="auto"/>
                <w:right w:val="none" w:sz="0" w:space="0" w:color="auto"/>
              </w:divBdr>
              <w:divsChild>
                <w:div w:id="1963925076">
                  <w:marLeft w:val="0"/>
                  <w:marRight w:val="0"/>
                  <w:marTop w:val="0"/>
                  <w:marBottom w:val="0"/>
                  <w:divBdr>
                    <w:top w:val="none" w:sz="0" w:space="0" w:color="auto"/>
                    <w:left w:val="none" w:sz="0" w:space="0" w:color="auto"/>
                    <w:bottom w:val="none" w:sz="0" w:space="0" w:color="auto"/>
                    <w:right w:val="none" w:sz="0" w:space="0" w:color="auto"/>
                  </w:divBdr>
                  <w:divsChild>
                    <w:div w:id="1080449684">
                      <w:marLeft w:val="0"/>
                      <w:marRight w:val="0"/>
                      <w:marTop w:val="0"/>
                      <w:marBottom w:val="0"/>
                      <w:divBdr>
                        <w:top w:val="none" w:sz="0" w:space="0" w:color="auto"/>
                        <w:left w:val="none" w:sz="0" w:space="0" w:color="auto"/>
                        <w:bottom w:val="none" w:sz="0" w:space="0" w:color="auto"/>
                        <w:right w:val="none" w:sz="0" w:space="0" w:color="auto"/>
                      </w:divBdr>
                      <w:divsChild>
                        <w:div w:id="369300950">
                          <w:marLeft w:val="0"/>
                          <w:marRight w:val="0"/>
                          <w:marTop w:val="0"/>
                          <w:marBottom w:val="0"/>
                          <w:divBdr>
                            <w:top w:val="none" w:sz="0" w:space="0" w:color="auto"/>
                            <w:left w:val="none" w:sz="0" w:space="0" w:color="auto"/>
                            <w:bottom w:val="none" w:sz="0" w:space="0" w:color="auto"/>
                            <w:right w:val="none" w:sz="0" w:space="0" w:color="auto"/>
                          </w:divBdr>
                          <w:divsChild>
                            <w:div w:id="741172305">
                              <w:marLeft w:val="0"/>
                              <w:marRight w:val="0"/>
                              <w:marTop w:val="0"/>
                              <w:marBottom w:val="0"/>
                              <w:divBdr>
                                <w:top w:val="none" w:sz="0" w:space="0" w:color="auto"/>
                                <w:left w:val="none" w:sz="0" w:space="0" w:color="auto"/>
                                <w:bottom w:val="none" w:sz="0" w:space="0" w:color="auto"/>
                                <w:right w:val="none" w:sz="0" w:space="0" w:color="auto"/>
                              </w:divBdr>
                              <w:divsChild>
                                <w:div w:id="2106609644">
                                  <w:marLeft w:val="0"/>
                                  <w:marRight w:val="0"/>
                                  <w:marTop w:val="0"/>
                                  <w:marBottom w:val="0"/>
                                  <w:divBdr>
                                    <w:top w:val="none" w:sz="0" w:space="0" w:color="auto"/>
                                    <w:left w:val="none" w:sz="0" w:space="0" w:color="auto"/>
                                    <w:bottom w:val="none" w:sz="0" w:space="0" w:color="auto"/>
                                    <w:right w:val="none" w:sz="0" w:space="0" w:color="auto"/>
                                  </w:divBdr>
                                  <w:divsChild>
                                    <w:div w:id="1292788559">
                                      <w:marLeft w:val="0"/>
                                      <w:marRight w:val="0"/>
                                      <w:marTop w:val="0"/>
                                      <w:marBottom w:val="0"/>
                                      <w:divBdr>
                                        <w:top w:val="none" w:sz="0" w:space="0" w:color="auto"/>
                                        <w:left w:val="none" w:sz="0" w:space="0" w:color="auto"/>
                                        <w:bottom w:val="none" w:sz="0" w:space="0" w:color="auto"/>
                                        <w:right w:val="none" w:sz="0" w:space="0" w:color="auto"/>
                                      </w:divBdr>
                                      <w:divsChild>
                                        <w:div w:id="678504830">
                                          <w:marLeft w:val="0"/>
                                          <w:marRight w:val="0"/>
                                          <w:marTop w:val="0"/>
                                          <w:marBottom w:val="0"/>
                                          <w:divBdr>
                                            <w:top w:val="none" w:sz="0" w:space="0" w:color="auto"/>
                                            <w:left w:val="none" w:sz="0" w:space="0" w:color="auto"/>
                                            <w:bottom w:val="none" w:sz="0" w:space="0" w:color="auto"/>
                                            <w:right w:val="none" w:sz="0" w:space="0" w:color="auto"/>
                                          </w:divBdr>
                                          <w:divsChild>
                                            <w:div w:id="679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14829">
      <w:bodyDiv w:val="1"/>
      <w:marLeft w:val="0"/>
      <w:marRight w:val="0"/>
      <w:marTop w:val="0"/>
      <w:marBottom w:val="0"/>
      <w:divBdr>
        <w:top w:val="none" w:sz="0" w:space="0" w:color="auto"/>
        <w:left w:val="none" w:sz="0" w:space="0" w:color="auto"/>
        <w:bottom w:val="none" w:sz="0" w:space="0" w:color="auto"/>
        <w:right w:val="none" w:sz="0" w:space="0" w:color="auto"/>
      </w:divBdr>
    </w:div>
    <w:div w:id="1984697422">
      <w:bodyDiv w:val="1"/>
      <w:marLeft w:val="0"/>
      <w:marRight w:val="0"/>
      <w:marTop w:val="0"/>
      <w:marBottom w:val="0"/>
      <w:divBdr>
        <w:top w:val="none" w:sz="0" w:space="0" w:color="auto"/>
        <w:left w:val="none" w:sz="0" w:space="0" w:color="auto"/>
        <w:bottom w:val="none" w:sz="0" w:space="0" w:color="auto"/>
        <w:right w:val="none" w:sz="0" w:space="0" w:color="auto"/>
      </w:divBdr>
      <w:divsChild>
        <w:div w:id="1204252573">
          <w:marLeft w:val="0"/>
          <w:marRight w:val="0"/>
          <w:marTop w:val="0"/>
          <w:marBottom w:val="0"/>
          <w:divBdr>
            <w:top w:val="none" w:sz="0" w:space="0" w:color="auto"/>
            <w:left w:val="none" w:sz="0" w:space="0" w:color="auto"/>
            <w:bottom w:val="none" w:sz="0" w:space="0" w:color="auto"/>
            <w:right w:val="none" w:sz="0" w:space="0" w:color="auto"/>
          </w:divBdr>
          <w:divsChild>
            <w:div w:id="1516194416">
              <w:marLeft w:val="0"/>
              <w:marRight w:val="0"/>
              <w:marTop w:val="0"/>
              <w:marBottom w:val="0"/>
              <w:divBdr>
                <w:top w:val="none" w:sz="0" w:space="0" w:color="auto"/>
                <w:left w:val="none" w:sz="0" w:space="0" w:color="auto"/>
                <w:bottom w:val="none" w:sz="0" w:space="0" w:color="auto"/>
                <w:right w:val="none" w:sz="0" w:space="0" w:color="auto"/>
              </w:divBdr>
              <w:divsChild>
                <w:div w:id="577324683">
                  <w:marLeft w:val="0"/>
                  <w:marRight w:val="0"/>
                  <w:marTop w:val="0"/>
                  <w:marBottom w:val="0"/>
                  <w:divBdr>
                    <w:top w:val="none" w:sz="0" w:space="0" w:color="auto"/>
                    <w:left w:val="none" w:sz="0" w:space="0" w:color="auto"/>
                    <w:bottom w:val="none" w:sz="0" w:space="0" w:color="auto"/>
                    <w:right w:val="none" w:sz="0" w:space="0" w:color="auto"/>
                  </w:divBdr>
                  <w:divsChild>
                    <w:div w:id="709577697">
                      <w:marLeft w:val="0"/>
                      <w:marRight w:val="0"/>
                      <w:marTop w:val="0"/>
                      <w:marBottom w:val="0"/>
                      <w:divBdr>
                        <w:top w:val="none" w:sz="0" w:space="0" w:color="auto"/>
                        <w:left w:val="none" w:sz="0" w:space="0" w:color="auto"/>
                        <w:bottom w:val="none" w:sz="0" w:space="0" w:color="auto"/>
                        <w:right w:val="none" w:sz="0" w:space="0" w:color="auto"/>
                      </w:divBdr>
                      <w:divsChild>
                        <w:div w:id="1057319114">
                          <w:marLeft w:val="0"/>
                          <w:marRight w:val="0"/>
                          <w:marTop w:val="0"/>
                          <w:marBottom w:val="0"/>
                          <w:divBdr>
                            <w:top w:val="none" w:sz="0" w:space="0" w:color="auto"/>
                            <w:left w:val="none" w:sz="0" w:space="0" w:color="auto"/>
                            <w:bottom w:val="none" w:sz="0" w:space="0" w:color="auto"/>
                            <w:right w:val="none" w:sz="0" w:space="0" w:color="auto"/>
                          </w:divBdr>
                          <w:divsChild>
                            <w:div w:id="596182221">
                              <w:marLeft w:val="0"/>
                              <w:marRight w:val="0"/>
                              <w:marTop w:val="0"/>
                              <w:marBottom w:val="0"/>
                              <w:divBdr>
                                <w:top w:val="none" w:sz="0" w:space="0" w:color="auto"/>
                                <w:left w:val="none" w:sz="0" w:space="0" w:color="auto"/>
                                <w:bottom w:val="none" w:sz="0" w:space="0" w:color="auto"/>
                                <w:right w:val="none" w:sz="0" w:space="0" w:color="auto"/>
                              </w:divBdr>
                              <w:divsChild>
                                <w:div w:id="1485857323">
                                  <w:marLeft w:val="0"/>
                                  <w:marRight w:val="0"/>
                                  <w:marTop w:val="0"/>
                                  <w:marBottom w:val="0"/>
                                  <w:divBdr>
                                    <w:top w:val="none" w:sz="0" w:space="0" w:color="auto"/>
                                    <w:left w:val="none" w:sz="0" w:space="0" w:color="auto"/>
                                    <w:bottom w:val="none" w:sz="0" w:space="0" w:color="auto"/>
                                    <w:right w:val="none" w:sz="0" w:space="0" w:color="auto"/>
                                  </w:divBdr>
                                  <w:divsChild>
                                    <w:div w:id="1348799124">
                                      <w:marLeft w:val="0"/>
                                      <w:marRight w:val="0"/>
                                      <w:marTop w:val="0"/>
                                      <w:marBottom w:val="0"/>
                                      <w:divBdr>
                                        <w:top w:val="none" w:sz="0" w:space="0" w:color="auto"/>
                                        <w:left w:val="none" w:sz="0" w:space="0" w:color="auto"/>
                                        <w:bottom w:val="none" w:sz="0" w:space="0" w:color="auto"/>
                                        <w:right w:val="none" w:sz="0" w:space="0" w:color="auto"/>
                                      </w:divBdr>
                                      <w:divsChild>
                                        <w:div w:id="544874023">
                                          <w:marLeft w:val="0"/>
                                          <w:marRight w:val="0"/>
                                          <w:marTop w:val="0"/>
                                          <w:marBottom w:val="0"/>
                                          <w:divBdr>
                                            <w:top w:val="none" w:sz="0" w:space="0" w:color="auto"/>
                                            <w:left w:val="none" w:sz="0" w:space="0" w:color="auto"/>
                                            <w:bottom w:val="none" w:sz="0" w:space="0" w:color="auto"/>
                                            <w:right w:val="none" w:sz="0" w:space="0" w:color="auto"/>
                                          </w:divBdr>
                                          <w:divsChild>
                                            <w:div w:id="13510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001274">
      <w:bodyDiv w:val="1"/>
      <w:marLeft w:val="0"/>
      <w:marRight w:val="0"/>
      <w:marTop w:val="0"/>
      <w:marBottom w:val="0"/>
      <w:divBdr>
        <w:top w:val="none" w:sz="0" w:space="0" w:color="auto"/>
        <w:left w:val="none" w:sz="0" w:space="0" w:color="auto"/>
        <w:bottom w:val="none" w:sz="0" w:space="0" w:color="auto"/>
        <w:right w:val="none" w:sz="0" w:space="0" w:color="auto"/>
      </w:divBdr>
      <w:divsChild>
        <w:div w:id="1587613660">
          <w:marLeft w:val="0"/>
          <w:marRight w:val="0"/>
          <w:marTop w:val="0"/>
          <w:marBottom w:val="0"/>
          <w:divBdr>
            <w:top w:val="none" w:sz="0" w:space="0" w:color="auto"/>
            <w:left w:val="none" w:sz="0" w:space="0" w:color="auto"/>
            <w:bottom w:val="none" w:sz="0" w:space="0" w:color="auto"/>
            <w:right w:val="none" w:sz="0" w:space="0" w:color="auto"/>
          </w:divBdr>
          <w:divsChild>
            <w:div w:id="1022780168">
              <w:marLeft w:val="0"/>
              <w:marRight w:val="0"/>
              <w:marTop w:val="0"/>
              <w:marBottom w:val="0"/>
              <w:divBdr>
                <w:top w:val="none" w:sz="0" w:space="0" w:color="auto"/>
                <w:left w:val="none" w:sz="0" w:space="0" w:color="auto"/>
                <w:bottom w:val="none" w:sz="0" w:space="0" w:color="auto"/>
                <w:right w:val="none" w:sz="0" w:space="0" w:color="auto"/>
              </w:divBdr>
              <w:divsChild>
                <w:div w:id="2026245623">
                  <w:marLeft w:val="2"/>
                  <w:marRight w:val="0"/>
                  <w:marTop w:val="0"/>
                  <w:marBottom w:val="0"/>
                  <w:divBdr>
                    <w:top w:val="none" w:sz="0" w:space="0" w:color="auto"/>
                    <w:left w:val="none" w:sz="0" w:space="0" w:color="auto"/>
                    <w:bottom w:val="none" w:sz="0" w:space="0" w:color="auto"/>
                    <w:right w:val="none" w:sz="0" w:space="0" w:color="auto"/>
                  </w:divBdr>
                  <w:divsChild>
                    <w:div w:id="5743174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2191-C0D6-4C0A-BCF1-6085FAD6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5302</Words>
  <Characters>32747</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Submission 65 - Department of Foreign Affairs and Trade - Intellectual Property Arrangements - Public inquiry</vt:lpstr>
    </vt:vector>
  </TitlesOfParts>
  <Company>Department of Foreign Affairs and Trade</Company>
  <LinksUpToDate>false</LinksUpToDate>
  <CharactersWithSpaces>37974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65 - Department of Foreign Affairs and Trade - Intellectual Property Arrangements - Public inquiry</dc:title>
  <dc:creator>Department of Foreign Affairs and Trade</dc:creator>
  <cp:lastModifiedBy>Productivity Commission</cp:lastModifiedBy>
  <cp:revision>3</cp:revision>
  <cp:lastPrinted>2015-12-03T05:14:00Z</cp:lastPrinted>
  <dcterms:created xsi:type="dcterms:W3CDTF">2015-12-03T05:20:00Z</dcterms:created>
  <dcterms:modified xsi:type="dcterms:W3CDTF">2015-12-07T02:42:00Z</dcterms:modified>
</cp:coreProperties>
</file>