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F7" w:rsidRDefault="005241F7" w:rsidP="005241F7"/>
    <w:p w:rsidR="009E0A3E" w:rsidRDefault="009E0A3E" w:rsidP="005241F7">
      <w:r>
        <w:t>15 February 2016</w:t>
      </w:r>
    </w:p>
    <w:p w:rsidR="00C01BCF" w:rsidRDefault="00C01BCF" w:rsidP="005241F7">
      <w:bookmarkStart w:id="0" w:name="_GoBack"/>
      <w:bookmarkEnd w:id="0"/>
    </w:p>
    <w:p w:rsidR="0062721C" w:rsidRDefault="00062425" w:rsidP="005241F7">
      <w:pPr>
        <w:rPr>
          <w:b/>
        </w:rPr>
      </w:pPr>
      <w:r>
        <w:rPr>
          <w:b/>
        </w:rPr>
        <w:t xml:space="preserve">PwC </w:t>
      </w:r>
      <w:r w:rsidR="00C01BCF">
        <w:rPr>
          <w:b/>
        </w:rPr>
        <w:t>report: Understanding the costs and benefits of introducing a ‘fair use’ exception</w:t>
      </w:r>
    </w:p>
    <w:p w:rsidR="00C01BCF" w:rsidRDefault="00C01BCF" w:rsidP="00062425">
      <w:r>
        <w:t>The attached report is provided to the Productivity Commission on behalf of the following organisations:</w:t>
      </w:r>
    </w:p>
    <w:p w:rsidR="00C01BCF" w:rsidRDefault="00C01BCF" w:rsidP="00C01BCF">
      <w:pPr>
        <w:pStyle w:val="ListBullet"/>
      </w:pPr>
      <w:r>
        <w:t>APRA AMCOS</w:t>
      </w:r>
    </w:p>
    <w:p w:rsidR="00C01BCF" w:rsidRDefault="00C01BCF" w:rsidP="00C01BCF">
      <w:pPr>
        <w:pStyle w:val="ListBullet"/>
      </w:pPr>
      <w:r>
        <w:t xml:space="preserve">Copyright Agency | </w:t>
      </w:r>
      <w:proofErr w:type="spellStart"/>
      <w:r>
        <w:t>Viscopy</w:t>
      </w:r>
      <w:proofErr w:type="spellEnd"/>
    </w:p>
    <w:p w:rsidR="00C01BCF" w:rsidRDefault="00C01BCF" w:rsidP="00C01BCF">
      <w:pPr>
        <w:pStyle w:val="ListBullet"/>
      </w:pPr>
      <w:r>
        <w:t>Foxtel</w:t>
      </w:r>
    </w:p>
    <w:p w:rsidR="00C01BCF" w:rsidRDefault="00C01BCF" w:rsidP="00C01BCF">
      <w:pPr>
        <w:pStyle w:val="ListBullet"/>
      </w:pPr>
      <w:r>
        <w:t>News Corp Australia</w:t>
      </w:r>
    </w:p>
    <w:p w:rsidR="00C01BCF" w:rsidRDefault="00C01BCF" w:rsidP="00C01BCF">
      <w:pPr>
        <w:pStyle w:val="ListBullet"/>
      </w:pPr>
      <w:r>
        <w:t>PPCA</w:t>
      </w:r>
    </w:p>
    <w:p w:rsidR="00C01BCF" w:rsidRDefault="00C01BCF" w:rsidP="00C01BCF">
      <w:pPr>
        <w:pStyle w:val="ListBullet"/>
      </w:pPr>
      <w:proofErr w:type="spellStart"/>
      <w:r>
        <w:t>Screenrights</w:t>
      </w:r>
      <w:proofErr w:type="spellEnd"/>
    </w:p>
    <w:p w:rsidR="00062425" w:rsidRDefault="00C01BCF" w:rsidP="00062425">
      <w:r>
        <w:t xml:space="preserve">The report is a </w:t>
      </w:r>
      <w:r w:rsidR="00062425">
        <w:t xml:space="preserve">cost-benefit analysis of </w:t>
      </w:r>
      <w:r>
        <w:t>a recommendation</w:t>
      </w:r>
      <w:r w:rsidR="00062425">
        <w:t xml:space="preserve"> by the Australian Law Reform Commission (ALRC) that Australia introduce a broad new copyright exception based on the US </w:t>
      </w:r>
      <w:r>
        <w:t>‘fair use’ exception known as ‘fair use’.</w:t>
      </w:r>
    </w:p>
    <w:p w:rsidR="00747CD4" w:rsidRDefault="00747CD4" w:rsidP="00747CD4">
      <w:r>
        <w:t>PwC’s report sets out the methodology for a CBA in this situation and finds that there would be significant costs associated with the introduction of fair use in Australia including: an increase in litigation costs, a reduction in Australian publishing and increa</w:t>
      </w:r>
      <w:r w:rsidR="00BD416B">
        <w:t>sed transaction costs for licens</w:t>
      </w:r>
      <w:r>
        <w:t>ing.</w:t>
      </w:r>
    </w:p>
    <w:p w:rsidR="00402CEB" w:rsidRPr="005A3C0F" w:rsidRDefault="00062425" w:rsidP="005A3C0F">
      <w:r>
        <w:t>PwC’s findings are based, in part, on the experience in two countries where changes similar to those recommended by the ALRC were introduced: Singapore and Canada. In Canada the effects for Canadian educational were severe: a 98% reduction in copyright fees for Canadian authors and publishers and the closure by a major publisher of its Canadian K to 12 publishing operations. PwC also finds no evidence to support offsetting benefits and no evidence that copyright impedes innovation. On the other hand, there is evidence that firms that use intellectual property are more successful and attract more investment than those that don’t, and that innovation is driven by certainty of regulation.</w:t>
      </w:r>
    </w:p>
    <w:sectPr w:rsidR="00402CEB" w:rsidRPr="005A3C0F" w:rsidSect="0064083B">
      <w:headerReference w:type="default" r:id="rId12"/>
      <w:footerReference w:type="default" r:id="rId13"/>
      <w:pgSz w:w="11906" w:h="16838"/>
      <w:pgMar w:top="993" w:right="1274" w:bottom="1440" w:left="1440" w:header="985"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B6" w:rsidRDefault="00B722B6" w:rsidP="005241F7">
      <w:pPr>
        <w:spacing w:after="0"/>
      </w:pPr>
      <w:r>
        <w:separator/>
      </w:r>
    </w:p>
  </w:endnote>
  <w:endnote w:type="continuationSeparator" w:id="0">
    <w:p w:rsidR="00B722B6" w:rsidRDefault="00B722B6" w:rsidP="00524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Rg">
    <w:altName w:val="Candara"/>
    <w:charset w:val="00"/>
    <w:family w:val="auto"/>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Bl">
    <w:altName w:val="Candara"/>
    <w:charset w:val="00"/>
    <w:family w:val="auto"/>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F7" w:rsidRPr="002216F9" w:rsidRDefault="00D82CAA" w:rsidP="002216F9">
    <w:pPr>
      <w:pStyle w:val="Footer"/>
      <w:tabs>
        <w:tab w:val="clear" w:pos="4513"/>
        <w:tab w:val="clear" w:pos="9026"/>
        <w:tab w:val="right" w:pos="9072"/>
      </w:tabs>
      <w:rPr>
        <w:sz w:val="17"/>
        <w:szCs w:val="17"/>
      </w:rPr>
    </w:pPr>
    <w:r w:rsidRPr="005241F7">
      <w:rPr>
        <w:sz w:val="17"/>
        <w:szCs w:val="17"/>
      </w:rPr>
      <w:t>Copyright Ag</w:t>
    </w:r>
    <w:r>
      <w:rPr>
        <w:sz w:val="17"/>
        <w:szCs w:val="17"/>
      </w:rPr>
      <w:t>ency Limited ABN 53 001 228 799</w:t>
    </w:r>
    <w:r>
      <w:rPr>
        <w:sz w:val="17"/>
        <w:szCs w:val="17"/>
      </w:rPr>
      <w:tab/>
    </w:r>
    <w:proofErr w:type="spellStart"/>
    <w:r w:rsidRPr="005241F7">
      <w:rPr>
        <w:sz w:val="17"/>
        <w:szCs w:val="17"/>
      </w:rPr>
      <w:t>Vis</w:t>
    </w:r>
    <w:r>
      <w:rPr>
        <w:sz w:val="17"/>
        <w:szCs w:val="17"/>
      </w:rPr>
      <w:t>copy</w:t>
    </w:r>
    <w:proofErr w:type="spellEnd"/>
    <w:r>
      <w:rPr>
        <w:sz w:val="17"/>
        <w:szCs w:val="17"/>
      </w:rPr>
      <w:t xml:space="preserve"> Limited ABN 98 069 759 922</w:t>
    </w:r>
  </w:p>
  <w:p w:rsidR="0064083B" w:rsidRPr="005241F7" w:rsidRDefault="0064083B" w:rsidP="005241F7">
    <w:pPr>
      <w:pStyle w:val="Foo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B6" w:rsidRDefault="00B722B6" w:rsidP="005241F7">
      <w:pPr>
        <w:spacing w:after="0"/>
      </w:pPr>
      <w:r>
        <w:separator/>
      </w:r>
    </w:p>
  </w:footnote>
  <w:footnote w:type="continuationSeparator" w:id="0">
    <w:p w:rsidR="00B722B6" w:rsidRDefault="00B722B6" w:rsidP="005241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F7" w:rsidRDefault="005241F7" w:rsidP="005241F7">
    <w:pPr>
      <w:pStyle w:val="Header"/>
      <w:ind w:left="-142"/>
    </w:pPr>
    <w:r w:rsidRPr="005241F7">
      <w:rPr>
        <w:noProof/>
        <w:lang w:eastAsia="en-AU"/>
      </w:rPr>
      <w:drawing>
        <wp:inline distT="0" distB="0" distL="0" distR="0">
          <wp:extent cx="1880733" cy="238125"/>
          <wp:effectExtent l="19050" t="0" r="5217" b="0"/>
          <wp:docPr id="3" name="Picture 2" descr="T:\Communications\Publications\Marketing Materials\Branding\New logo\CopyrightViscopy\HORIZONTAL\REGULAR LOGO\CMYK\POS\COPYRIGHT_VISCOPY LOGO POS 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Publications\Marketing Materials\Branding\New logo\CopyrightViscopy\HORIZONTAL\REGULAR LOGO\CMYK\POS\COPYRIGHT_VISCOPY LOGO POS CMYK.gif"/>
                  <pic:cNvPicPr>
                    <a:picLocks noChangeAspect="1" noChangeArrowheads="1"/>
                  </pic:cNvPicPr>
                </pic:nvPicPr>
                <pic:blipFill>
                  <a:blip r:embed="rId1"/>
                  <a:srcRect/>
                  <a:stretch>
                    <a:fillRect/>
                  </a:stretch>
                </pic:blipFill>
                <pic:spPr bwMode="auto">
                  <a:xfrm>
                    <a:off x="0" y="0"/>
                    <a:ext cx="1905000" cy="241198"/>
                  </a:xfrm>
                  <a:prstGeom prst="rect">
                    <a:avLst/>
                  </a:prstGeom>
                  <a:noFill/>
                  <a:ln w="9525">
                    <a:noFill/>
                    <a:miter lim="800000"/>
                    <a:headEnd/>
                    <a:tailEnd/>
                  </a:ln>
                </pic:spPr>
              </pic:pic>
            </a:graphicData>
          </a:graphic>
        </wp:inline>
      </w:drawing>
    </w:r>
  </w:p>
  <w:p w:rsidR="005241F7" w:rsidRPr="005241F7" w:rsidRDefault="00062425" w:rsidP="005241F7">
    <w:pPr>
      <w:pStyle w:val="Header"/>
      <w:rPr>
        <w:sz w:val="17"/>
        <w:szCs w:val="17"/>
      </w:rPr>
    </w:pPr>
    <w:r>
      <w:rPr>
        <w:sz w:val="17"/>
        <w:szCs w:val="17"/>
      </w:rPr>
      <w:t>Level 11</w:t>
    </w:r>
    <w:r w:rsidR="005241F7" w:rsidRPr="005241F7">
      <w:rPr>
        <w:sz w:val="17"/>
        <w:szCs w:val="17"/>
      </w:rPr>
      <w:t xml:space="preserve">, </w:t>
    </w:r>
    <w:r>
      <w:rPr>
        <w:sz w:val="17"/>
        <w:szCs w:val="17"/>
      </w:rPr>
      <w:t xml:space="preserve">66 Goulburn Street </w:t>
    </w:r>
    <w:r w:rsidR="005241F7" w:rsidRPr="005241F7">
      <w:rPr>
        <w:sz w:val="17"/>
        <w:szCs w:val="17"/>
      </w:rPr>
      <w:t>Sydney NSW 2000</w:t>
    </w:r>
  </w:p>
  <w:p w:rsidR="005241F7" w:rsidRDefault="005241F7" w:rsidP="005241F7">
    <w:pPr>
      <w:pStyle w:val="Header"/>
      <w:rPr>
        <w:sz w:val="17"/>
        <w:szCs w:val="17"/>
      </w:rPr>
    </w:pPr>
    <w:r w:rsidRPr="005241F7">
      <w:rPr>
        <w:rFonts w:ascii="Proxima Nova Bl" w:hAnsi="Proxima Nova Bl"/>
        <w:sz w:val="17"/>
        <w:szCs w:val="17"/>
      </w:rPr>
      <w:t>e:</w:t>
    </w:r>
    <w:r w:rsidRPr="005241F7">
      <w:rPr>
        <w:sz w:val="17"/>
        <w:szCs w:val="17"/>
      </w:rPr>
      <w:t xml:space="preserve"> </w:t>
    </w:r>
    <w:hyperlink r:id="rId2" w:history="1">
      <w:r w:rsidR="00062425" w:rsidRPr="00F647DF">
        <w:rPr>
          <w:rStyle w:val="Hyperlink"/>
          <w:sz w:val="17"/>
          <w:szCs w:val="17"/>
        </w:rPr>
        <w:t>info@copyright.com.au</w:t>
      </w:r>
    </w:hyperlink>
  </w:p>
  <w:p w:rsidR="00062425" w:rsidRPr="005241F7" w:rsidRDefault="00062425" w:rsidP="00062425">
    <w:pPr>
      <w:pStyle w:val="Header"/>
      <w:rPr>
        <w:sz w:val="17"/>
        <w:szCs w:val="17"/>
      </w:rPr>
    </w:pPr>
    <w:r w:rsidRPr="005241F7">
      <w:rPr>
        <w:rFonts w:ascii="Proxima Nova Bl" w:hAnsi="Proxima Nova Bl"/>
        <w:sz w:val="17"/>
        <w:szCs w:val="17"/>
      </w:rPr>
      <w:t xml:space="preserve">t: </w:t>
    </w:r>
    <w:r w:rsidRPr="005241F7">
      <w:rPr>
        <w:sz w:val="17"/>
        <w:szCs w:val="17"/>
      </w:rPr>
      <w:t>02 9394 7600</w:t>
    </w:r>
  </w:p>
  <w:p w:rsidR="00062425" w:rsidRPr="005241F7" w:rsidRDefault="00062425" w:rsidP="00062425">
    <w:pPr>
      <w:pStyle w:val="Header"/>
      <w:rPr>
        <w:sz w:val="17"/>
        <w:szCs w:val="17"/>
      </w:rPr>
    </w:pPr>
    <w:r w:rsidRPr="005241F7">
      <w:rPr>
        <w:rFonts w:ascii="Proxima Nova Bl" w:hAnsi="Proxima Nova Bl"/>
        <w:sz w:val="17"/>
        <w:szCs w:val="17"/>
      </w:rPr>
      <w:t xml:space="preserve">f: </w:t>
    </w:r>
    <w:r w:rsidRPr="005241F7">
      <w:rPr>
        <w:sz w:val="17"/>
        <w:szCs w:val="17"/>
      </w:rPr>
      <w:t>02 9394 7601</w:t>
    </w:r>
  </w:p>
  <w:p w:rsidR="005241F7" w:rsidRPr="0037677A" w:rsidRDefault="0064083B" w:rsidP="00062425">
    <w:pPr>
      <w:pStyle w:val="Header"/>
      <w:rPr>
        <w:sz w:val="17"/>
        <w:szCs w:val="17"/>
      </w:rPr>
    </w:pPr>
    <w:r>
      <w:rPr>
        <w:sz w:val="17"/>
        <w:szCs w:val="17"/>
      </w:rPr>
      <w:t>www.copyright.com.au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424E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B6"/>
    <w:rsid w:val="00062425"/>
    <w:rsid w:val="000D77BF"/>
    <w:rsid w:val="00191F33"/>
    <w:rsid w:val="001D624E"/>
    <w:rsid w:val="002216F9"/>
    <w:rsid w:val="00263E01"/>
    <w:rsid w:val="002B627E"/>
    <w:rsid w:val="002E5ABF"/>
    <w:rsid w:val="00314DEA"/>
    <w:rsid w:val="00334F95"/>
    <w:rsid w:val="003732C0"/>
    <w:rsid w:val="0037677A"/>
    <w:rsid w:val="003E09F8"/>
    <w:rsid w:val="003E37E9"/>
    <w:rsid w:val="00402CEB"/>
    <w:rsid w:val="004E48DC"/>
    <w:rsid w:val="004F58F0"/>
    <w:rsid w:val="005241F7"/>
    <w:rsid w:val="00524BCF"/>
    <w:rsid w:val="00554F4C"/>
    <w:rsid w:val="005A1061"/>
    <w:rsid w:val="005A21BA"/>
    <w:rsid w:val="005A3C0F"/>
    <w:rsid w:val="0062501A"/>
    <w:rsid w:val="0062721C"/>
    <w:rsid w:val="00635551"/>
    <w:rsid w:val="0064083B"/>
    <w:rsid w:val="006B4278"/>
    <w:rsid w:val="006B543B"/>
    <w:rsid w:val="006E2B91"/>
    <w:rsid w:val="00747CD4"/>
    <w:rsid w:val="00801199"/>
    <w:rsid w:val="00804070"/>
    <w:rsid w:val="00906E94"/>
    <w:rsid w:val="009735D9"/>
    <w:rsid w:val="00976CAC"/>
    <w:rsid w:val="00986770"/>
    <w:rsid w:val="009B6874"/>
    <w:rsid w:val="009C5376"/>
    <w:rsid w:val="009E0A3E"/>
    <w:rsid w:val="00A07873"/>
    <w:rsid w:val="00A83546"/>
    <w:rsid w:val="00B62F92"/>
    <w:rsid w:val="00B722B6"/>
    <w:rsid w:val="00B72E85"/>
    <w:rsid w:val="00BD416B"/>
    <w:rsid w:val="00C01BCF"/>
    <w:rsid w:val="00C370AD"/>
    <w:rsid w:val="00C538E1"/>
    <w:rsid w:val="00C53AA0"/>
    <w:rsid w:val="00C82034"/>
    <w:rsid w:val="00C93313"/>
    <w:rsid w:val="00CD23EE"/>
    <w:rsid w:val="00D10EF0"/>
    <w:rsid w:val="00D43BAB"/>
    <w:rsid w:val="00D743D2"/>
    <w:rsid w:val="00D82CAA"/>
    <w:rsid w:val="00DA39A9"/>
    <w:rsid w:val="00E65007"/>
    <w:rsid w:val="00E94298"/>
    <w:rsid w:val="00F6721E"/>
    <w:rsid w:val="00F77993"/>
    <w:rsid w:val="00F91069"/>
    <w:rsid w:val="00FE3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3B"/>
    <w:pPr>
      <w:spacing w:after="120" w:line="240" w:lineRule="auto"/>
    </w:pPr>
    <w:rPr>
      <w:rFonts w:ascii="Proxima Nova Rg" w:hAnsi="Proxima Nov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1F7"/>
    <w:pPr>
      <w:tabs>
        <w:tab w:val="center" w:pos="4513"/>
        <w:tab w:val="right" w:pos="9026"/>
      </w:tabs>
      <w:spacing w:after="0"/>
    </w:pPr>
  </w:style>
  <w:style w:type="character" w:customStyle="1" w:styleId="HeaderChar">
    <w:name w:val="Header Char"/>
    <w:basedOn w:val="DefaultParagraphFont"/>
    <w:link w:val="Header"/>
    <w:uiPriority w:val="99"/>
    <w:rsid w:val="005241F7"/>
  </w:style>
  <w:style w:type="paragraph" w:styleId="Footer">
    <w:name w:val="footer"/>
    <w:basedOn w:val="Normal"/>
    <w:link w:val="FooterChar"/>
    <w:uiPriority w:val="99"/>
    <w:unhideWhenUsed/>
    <w:rsid w:val="005241F7"/>
    <w:pPr>
      <w:tabs>
        <w:tab w:val="center" w:pos="4513"/>
        <w:tab w:val="right" w:pos="9026"/>
      </w:tabs>
      <w:spacing w:after="0"/>
    </w:pPr>
  </w:style>
  <w:style w:type="character" w:customStyle="1" w:styleId="FooterChar">
    <w:name w:val="Footer Char"/>
    <w:basedOn w:val="DefaultParagraphFont"/>
    <w:link w:val="Footer"/>
    <w:uiPriority w:val="99"/>
    <w:rsid w:val="005241F7"/>
  </w:style>
  <w:style w:type="paragraph" w:styleId="BalloonText">
    <w:name w:val="Balloon Text"/>
    <w:basedOn w:val="Normal"/>
    <w:link w:val="BalloonTextChar"/>
    <w:uiPriority w:val="99"/>
    <w:semiHidden/>
    <w:unhideWhenUsed/>
    <w:rsid w:val="00524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F7"/>
    <w:rPr>
      <w:rFonts w:ascii="Tahoma" w:hAnsi="Tahoma" w:cs="Tahoma"/>
      <w:sz w:val="16"/>
      <w:szCs w:val="16"/>
    </w:rPr>
  </w:style>
  <w:style w:type="character" w:styleId="Hyperlink">
    <w:name w:val="Hyperlink"/>
    <w:basedOn w:val="DefaultParagraphFont"/>
    <w:uiPriority w:val="99"/>
    <w:unhideWhenUsed/>
    <w:rsid w:val="005241F7"/>
    <w:rPr>
      <w:color w:val="0000FF" w:themeColor="hyperlink"/>
      <w:u w:val="single"/>
    </w:rPr>
  </w:style>
  <w:style w:type="table" w:styleId="TableGrid">
    <w:name w:val="Table Grid"/>
    <w:basedOn w:val="TableNormal"/>
    <w:uiPriority w:val="59"/>
    <w:rsid w:val="006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C01BC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3B"/>
    <w:pPr>
      <w:spacing w:after="120" w:line="240" w:lineRule="auto"/>
    </w:pPr>
    <w:rPr>
      <w:rFonts w:ascii="Proxima Nova Rg" w:hAnsi="Proxima Nov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1F7"/>
    <w:pPr>
      <w:tabs>
        <w:tab w:val="center" w:pos="4513"/>
        <w:tab w:val="right" w:pos="9026"/>
      </w:tabs>
      <w:spacing w:after="0"/>
    </w:pPr>
  </w:style>
  <w:style w:type="character" w:customStyle="1" w:styleId="HeaderChar">
    <w:name w:val="Header Char"/>
    <w:basedOn w:val="DefaultParagraphFont"/>
    <w:link w:val="Header"/>
    <w:uiPriority w:val="99"/>
    <w:rsid w:val="005241F7"/>
  </w:style>
  <w:style w:type="paragraph" w:styleId="Footer">
    <w:name w:val="footer"/>
    <w:basedOn w:val="Normal"/>
    <w:link w:val="FooterChar"/>
    <w:uiPriority w:val="99"/>
    <w:unhideWhenUsed/>
    <w:rsid w:val="005241F7"/>
    <w:pPr>
      <w:tabs>
        <w:tab w:val="center" w:pos="4513"/>
        <w:tab w:val="right" w:pos="9026"/>
      </w:tabs>
      <w:spacing w:after="0"/>
    </w:pPr>
  </w:style>
  <w:style w:type="character" w:customStyle="1" w:styleId="FooterChar">
    <w:name w:val="Footer Char"/>
    <w:basedOn w:val="DefaultParagraphFont"/>
    <w:link w:val="Footer"/>
    <w:uiPriority w:val="99"/>
    <w:rsid w:val="005241F7"/>
  </w:style>
  <w:style w:type="paragraph" w:styleId="BalloonText">
    <w:name w:val="Balloon Text"/>
    <w:basedOn w:val="Normal"/>
    <w:link w:val="BalloonTextChar"/>
    <w:uiPriority w:val="99"/>
    <w:semiHidden/>
    <w:unhideWhenUsed/>
    <w:rsid w:val="00524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F7"/>
    <w:rPr>
      <w:rFonts w:ascii="Tahoma" w:hAnsi="Tahoma" w:cs="Tahoma"/>
      <w:sz w:val="16"/>
      <w:szCs w:val="16"/>
    </w:rPr>
  </w:style>
  <w:style w:type="character" w:styleId="Hyperlink">
    <w:name w:val="Hyperlink"/>
    <w:basedOn w:val="DefaultParagraphFont"/>
    <w:uiPriority w:val="99"/>
    <w:unhideWhenUsed/>
    <w:rsid w:val="005241F7"/>
    <w:rPr>
      <w:color w:val="0000FF" w:themeColor="hyperlink"/>
      <w:u w:val="single"/>
    </w:rPr>
  </w:style>
  <w:style w:type="table" w:styleId="TableGrid">
    <w:name w:val="Table Grid"/>
    <w:basedOn w:val="TableNormal"/>
    <w:uiPriority w:val="59"/>
    <w:rsid w:val="006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C01BC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7822">
      <w:bodyDiv w:val="1"/>
      <w:marLeft w:val="0"/>
      <w:marRight w:val="0"/>
      <w:marTop w:val="0"/>
      <w:marBottom w:val="0"/>
      <w:divBdr>
        <w:top w:val="none" w:sz="0" w:space="0" w:color="auto"/>
        <w:left w:val="none" w:sz="0" w:space="0" w:color="auto"/>
        <w:bottom w:val="none" w:sz="0" w:space="0" w:color="auto"/>
        <w:right w:val="none" w:sz="0" w:space="0" w:color="auto"/>
      </w:divBdr>
    </w:div>
    <w:div w:id="13178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opyright.com.au"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ulch\Downloads\Copyright%20Agency%20Viscop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ADAA17ABB5940B67B51BC5A0954F0" ma:contentTypeVersion="0" ma:contentTypeDescription="Create a new document." ma:contentTypeScope="" ma:versionID="381eb03ded62921155ff4b480ac27b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A883A-DB55-4EB6-B3A0-7EDD7B3A9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0380A5-E32C-41BB-B72E-79CAC1F94AD8}">
  <ds:schemaRefs>
    <ds:schemaRef ds:uri="http://schemas.microsoft.com/sharepoint/v3/contenttype/forms"/>
  </ds:schemaRefs>
</ds:datastoreItem>
</file>

<file path=customXml/itemProps3.xml><?xml version="1.0" encoding="utf-8"?>
<ds:datastoreItem xmlns:ds="http://schemas.openxmlformats.org/officeDocument/2006/customXml" ds:itemID="{03BD17FC-C21C-4BA9-AA52-6B438AAEEB6C}">
  <ds:schemaRef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4AA0F35F-EA9A-4B24-8FB6-26BCB857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Copyright Agency Viscopy Letterhead.dotx</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133 - Copyright Agency | Viscopy with APRA AMCOS, Foxtel, News Corp Australia, PPCA, Screenrights - Intellectual Property Arrangements - Public inquiry</vt:lpstr>
    </vt:vector>
  </TitlesOfParts>
  <Company>Copyright Agency | Viscopy with APRA AMCOS, Foxtel, News Corp Australia, PPCA, Screenrights</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133 - Copyright Agency | Viscopy with APRA AMCOS, Foxtel, News Corp Australia, PPCA, Screenrights - Intellectual Property Arrangements - Public inquiry</dc:title>
  <dc:creator>Copyright Agency | Viscopy with APRA AMCOS, Foxtel, News Corp Australia, PPCA, Screenrights</dc:creator>
  <cp:lastModifiedBy>Productivity Commission</cp:lastModifiedBy>
  <cp:revision>3</cp:revision>
  <cp:lastPrinted>2015-06-22T02:32:00Z</cp:lastPrinted>
  <dcterms:created xsi:type="dcterms:W3CDTF">2016-02-15T22:44:00Z</dcterms:created>
  <dcterms:modified xsi:type="dcterms:W3CDTF">2016-02-16T02:38:00Z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0x010100A14ADAA17ABB5940B67B51BC5A0954F0</vt:lpwstr>
  </property>
</Properties>
</file>