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7D" w:rsidRPr="0055137D" w:rsidRDefault="0055137D" w:rsidP="0055137D">
      <w:pPr>
        <w:pStyle w:val="Header"/>
        <w:jc w:val="right"/>
        <w:rPr>
          <w:sz w:val="24"/>
        </w:rPr>
      </w:pPr>
      <w:r w:rsidRPr="0055137D">
        <w:rPr>
          <w:sz w:val="24"/>
        </w:rPr>
        <w:t>15 January 2020</w:t>
      </w:r>
    </w:p>
    <w:p w:rsidR="0090448C" w:rsidRPr="00B00A57" w:rsidRDefault="00CC4232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 xml:space="preserve">Members of the Productivity Commission, </w:t>
      </w:r>
    </w:p>
    <w:p w:rsidR="00CC4232" w:rsidRPr="00B00A57" w:rsidRDefault="00CC4232">
      <w:pPr>
        <w:rPr>
          <w:rFonts w:cstheme="minorHAnsi"/>
          <w:color w:val="000000"/>
          <w:sz w:val="23"/>
          <w:szCs w:val="23"/>
        </w:rPr>
      </w:pPr>
    </w:p>
    <w:p w:rsidR="00CC4232" w:rsidRPr="00B00A57" w:rsidRDefault="00CC4232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 xml:space="preserve">I am writing to you in response to the Mental Health Inquiry Draft Report. </w:t>
      </w:r>
    </w:p>
    <w:p w:rsidR="0055137D" w:rsidRPr="00B00A57" w:rsidRDefault="0055137D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>Firstly, I am not only ashamed at the fact that we are having to write submissions in the hope that it stops this inquiry going ahead, but I am scared. Scared that the proposal is to screen 1.25 million zero to three-year-old children for mental illness</w:t>
      </w:r>
      <w:r w:rsidR="00674389" w:rsidRPr="00B00A57">
        <w:rPr>
          <w:rFonts w:cstheme="minorHAnsi"/>
          <w:color w:val="000000"/>
          <w:sz w:val="23"/>
          <w:szCs w:val="23"/>
        </w:rPr>
        <w:t>, which leads to putting them on psychiatric drugs.</w:t>
      </w:r>
      <w:r w:rsidRPr="00B00A57">
        <w:rPr>
          <w:rFonts w:cstheme="minorHAnsi"/>
          <w:color w:val="000000"/>
          <w:sz w:val="23"/>
          <w:szCs w:val="23"/>
        </w:rPr>
        <w:t xml:space="preserve"> </w:t>
      </w:r>
      <w:r w:rsidR="00674389" w:rsidRPr="00B00A57">
        <w:rPr>
          <w:rFonts w:cstheme="minorHAnsi"/>
          <w:color w:val="000000"/>
          <w:sz w:val="23"/>
          <w:szCs w:val="23"/>
        </w:rPr>
        <w:t xml:space="preserve">This is completely outrageous. </w:t>
      </w:r>
    </w:p>
    <w:p w:rsidR="0055137D" w:rsidRPr="00B00A57" w:rsidRDefault="00674389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 xml:space="preserve">The ‘symptoms’ you’re saying are Psychiatric Disorders from zero to three year olds include: </w:t>
      </w:r>
      <w:r w:rsidR="0055137D" w:rsidRPr="00B00A57">
        <w:rPr>
          <w:rFonts w:cstheme="minorHAnsi"/>
          <w:color w:val="000000"/>
          <w:sz w:val="23"/>
          <w:szCs w:val="23"/>
        </w:rPr>
        <w:t>Irregular feeding patterns, difficulty sleeping, whining, crying, calling for absent parent, separation or stranger anxiety, temper tantrums, shyness, sleeping with the light on and hyperactivity.</w:t>
      </w:r>
      <w:r w:rsidRPr="00B00A57">
        <w:rPr>
          <w:rFonts w:cstheme="minorHAnsi"/>
          <w:color w:val="000000"/>
          <w:sz w:val="23"/>
          <w:szCs w:val="23"/>
        </w:rPr>
        <w:t xml:space="preserve"> Are you serious? Can you honestly tell me that these aren’t just normal toddler behaviour? Whining? Crying for an absent parent? It is utterly stupid and completely </w:t>
      </w:r>
      <w:r w:rsidR="000535E2" w:rsidRPr="00B00A57">
        <w:rPr>
          <w:rFonts w:cstheme="minorHAnsi"/>
          <w:color w:val="000000"/>
          <w:sz w:val="23"/>
          <w:szCs w:val="23"/>
        </w:rPr>
        <w:t xml:space="preserve">monstrous. </w:t>
      </w:r>
    </w:p>
    <w:p w:rsidR="00674389" w:rsidRPr="00B00A57" w:rsidRDefault="00674389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>Not to mention the effects that these screenings and psychiatric drugs will do to a developing child of that age. Since 2008/09 suicides in young people have increased by almost 40%, concurrent with the use of antidepressants increasing approximately 60% in young people</w:t>
      </w:r>
      <w:r w:rsidR="000535E2" w:rsidRPr="00B00A57">
        <w:rPr>
          <w:rStyle w:val="FootnoteReference"/>
          <w:rFonts w:cstheme="minorHAnsi"/>
          <w:color w:val="000000"/>
          <w:sz w:val="23"/>
          <w:szCs w:val="23"/>
        </w:rPr>
        <w:footnoteReference w:id="1"/>
      </w:r>
      <w:r w:rsidR="000535E2" w:rsidRPr="00B00A57">
        <w:rPr>
          <w:rFonts w:cstheme="minorHAnsi"/>
          <w:color w:val="000000"/>
          <w:sz w:val="23"/>
          <w:szCs w:val="23"/>
        </w:rPr>
        <w:t xml:space="preserve">. </w:t>
      </w:r>
      <w:r w:rsidRPr="00B00A57">
        <w:rPr>
          <w:rFonts w:cstheme="minorHAnsi"/>
          <w:color w:val="000000"/>
          <w:sz w:val="23"/>
          <w:szCs w:val="23"/>
        </w:rPr>
        <w:t>Australia’s drug regulatory agency has issued 67 psychiatric warnings with 7 of these to warn of the risk of suicidal behaviour with antidepressants</w:t>
      </w:r>
      <w:r w:rsidR="000535E2" w:rsidRPr="00B00A57">
        <w:rPr>
          <w:rStyle w:val="FootnoteReference"/>
          <w:rFonts w:cstheme="minorHAnsi"/>
          <w:color w:val="000000"/>
          <w:sz w:val="23"/>
          <w:szCs w:val="23"/>
        </w:rPr>
        <w:footnoteReference w:id="2"/>
      </w:r>
      <w:r w:rsidRPr="00B00A57">
        <w:rPr>
          <w:rFonts w:cstheme="minorHAnsi"/>
          <w:color w:val="000000"/>
          <w:sz w:val="23"/>
          <w:szCs w:val="23"/>
        </w:rPr>
        <w:t> and as previously mentioned they are not approved for use in children under 18 for depression</w:t>
      </w:r>
      <w:r w:rsidR="000535E2" w:rsidRPr="00B00A57">
        <w:rPr>
          <w:rStyle w:val="FootnoteReference"/>
          <w:rFonts w:cstheme="minorHAnsi"/>
          <w:color w:val="000000"/>
          <w:sz w:val="23"/>
          <w:szCs w:val="23"/>
        </w:rPr>
        <w:footnoteReference w:id="3"/>
      </w:r>
    </w:p>
    <w:p w:rsidR="0055137D" w:rsidRPr="00B00A57" w:rsidRDefault="000535E2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>Not to mention that children of that age will not have a say in this. They will be forced to undergo</w:t>
      </w:r>
      <w:r w:rsidRPr="00B00A57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B00A57">
        <w:rPr>
          <w:rFonts w:cstheme="minorHAnsi"/>
          <w:color w:val="000000"/>
          <w:sz w:val="23"/>
          <w:szCs w:val="23"/>
        </w:rPr>
        <w:t xml:space="preserve">these screenings without their consent and most likely end up on Psychiatric drugs which will destroy their lives before they have even had a chance to live them, like a happy being, including missing their parents when they’re gone, and not being able to sleep without a light on and crying when that’s the only way a baby of less than 12 months old knows how to communicate. </w:t>
      </w:r>
    </w:p>
    <w:p w:rsidR="000535E2" w:rsidRPr="00B00A57" w:rsidRDefault="000535E2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 xml:space="preserve">As an Australian Citizen, I ask that the Productivity Commission please stop this inquiry into screening our most vulnerable population, the future of our country. </w:t>
      </w:r>
    </w:p>
    <w:p w:rsidR="000535E2" w:rsidRPr="00B00A57" w:rsidRDefault="000535E2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>Regards,</w:t>
      </w:r>
    </w:p>
    <w:p w:rsidR="00CC4232" w:rsidRPr="00BE6132" w:rsidRDefault="000535E2">
      <w:pPr>
        <w:rPr>
          <w:rFonts w:cstheme="minorHAnsi"/>
          <w:color w:val="000000"/>
          <w:sz w:val="23"/>
          <w:szCs w:val="23"/>
        </w:rPr>
      </w:pPr>
      <w:r w:rsidRPr="00B00A57">
        <w:rPr>
          <w:rFonts w:cstheme="minorHAnsi"/>
          <w:color w:val="000000"/>
          <w:sz w:val="23"/>
          <w:szCs w:val="23"/>
        </w:rPr>
        <w:t xml:space="preserve">Alicia </w:t>
      </w:r>
      <w:bookmarkStart w:id="0" w:name="_GoBack"/>
      <w:bookmarkEnd w:id="0"/>
    </w:p>
    <w:sectPr w:rsidR="00CC4232" w:rsidRPr="00BE6132" w:rsidSect="000535E2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D8" w:rsidRDefault="007C45D8" w:rsidP="0055137D">
      <w:pPr>
        <w:spacing w:after="0" w:line="240" w:lineRule="auto"/>
      </w:pPr>
      <w:r>
        <w:separator/>
      </w:r>
    </w:p>
  </w:endnote>
  <w:endnote w:type="continuationSeparator" w:id="0">
    <w:p w:rsidR="007C45D8" w:rsidRDefault="007C45D8" w:rsidP="0055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D8" w:rsidRDefault="007C45D8" w:rsidP="0055137D">
      <w:pPr>
        <w:spacing w:after="0" w:line="240" w:lineRule="auto"/>
      </w:pPr>
      <w:r>
        <w:separator/>
      </w:r>
    </w:p>
  </w:footnote>
  <w:footnote w:type="continuationSeparator" w:id="0">
    <w:p w:rsidR="007C45D8" w:rsidRDefault="007C45D8" w:rsidP="0055137D">
      <w:pPr>
        <w:spacing w:after="0" w:line="240" w:lineRule="auto"/>
      </w:pPr>
      <w:r>
        <w:continuationSeparator/>
      </w:r>
    </w:p>
  </w:footnote>
  <w:footnote w:id="1">
    <w:p w:rsidR="000535E2" w:rsidRDefault="000535E2" w:rsidP="00BD5CFE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</w:pPr>
      <w:r w:rsidRPr="000535E2">
        <w:rPr>
          <w:rFonts w:ascii="Arial" w:hAnsi="Arial" w:cs="Arial"/>
          <w:color w:val="555555"/>
          <w:sz w:val="16"/>
          <w:szCs w:val="21"/>
        </w:rPr>
        <w:t>Sue Dunlevy, “Happy drugs in link with Suicide,” </w:t>
      </w:r>
      <w:r w:rsidRPr="000535E2">
        <w:rPr>
          <w:rStyle w:val="Emphasis"/>
          <w:rFonts w:ascii="Arial" w:hAnsi="Arial" w:cs="Arial"/>
          <w:color w:val="555555"/>
          <w:sz w:val="16"/>
          <w:szCs w:val="21"/>
        </w:rPr>
        <w:t>Courier Mail</w:t>
      </w:r>
      <w:r w:rsidRPr="000535E2">
        <w:rPr>
          <w:rFonts w:ascii="Arial" w:hAnsi="Arial" w:cs="Arial"/>
          <w:color w:val="555555"/>
          <w:sz w:val="16"/>
          <w:szCs w:val="21"/>
        </w:rPr>
        <w:t xml:space="preserve">, 2 June 2019, p. 5; Dr </w:t>
      </w:r>
      <w:proofErr w:type="spellStart"/>
      <w:r w:rsidRPr="000535E2">
        <w:rPr>
          <w:rFonts w:ascii="Arial" w:hAnsi="Arial" w:cs="Arial"/>
          <w:color w:val="555555"/>
          <w:sz w:val="16"/>
          <w:szCs w:val="21"/>
        </w:rPr>
        <w:t>MarCn</w:t>
      </w:r>
      <w:proofErr w:type="spellEnd"/>
      <w:r w:rsidRPr="000535E2">
        <w:rPr>
          <w:rFonts w:ascii="Arial" w:hAnsi="Arial" w:cs="Arial"/>
          <w:color w:val="555555"/>
          <w:sz w:val="16"/>
          <w:szCs w:val="21"/>
        </w:rPr>
        <w:t xml:space="preserve"> Whitely, Dr Melissa Raven, “More young Australians suicide/self-harm and use antidepressants while experts dismiss FDA warning,” </w:t>
      </w:r>
      <w:proofErr w:type="spellStart"/>
      <w:r w:rsidRPr="000535E2">
        <w:rPr>
          <w:rFonts w:ascii="Arial" w:hAnsi="Arial" w:cs="Arial"/>
          <w:color w:val="555555"/>
          <w:sz w:val="16"/>
          <w:szCs w:val="21"/>
        </w:rPr>
        <w:t>PsychWatch</w:t>
      </w:r>
      <w:proofErr w:type="spellEnd"/>
      <w:r w:rsidRPr="000535E2">
        <w:rPr>
          <w:rFonts w:ascii="Arial" w:hAnsi="Arial" w:cs="Arial"/>
          <w:color w:val="555555"/>
          <w:sz w:val="16"/>
          <w:szCs w:val="21"/>
        </w:rPr>
        <w:t xml:space="preserve"> Australia, 1 June 2019, </w:t>
      </w:r>
      <w:hyperlink r:id="rId1" w:tgtFrame="_blank" w:history="1">
        <w:r w:rsidRPr="000535E2">
          <w:rPr>
            <w:rStyle w:val="Hyperlink"/>
            <w:rFonts w:ascii="Arial" w:hAnsi="Arial" w:cs="Arial"/>
            <w:color w:val="FF9800"/>
            <w:sz w:val="16"/>
            <w:szCs w:val="21"/>
          </w:rPr>
          <w:t>https://www.psychwatchaustralia.com/post/more-young-australians-suicide-self-harm-and-use-antidepressants-while-experts-dismiss-fda-warning</w:t>
        </w:r>
      </w:hyperlink>
      <w:r>
        <w:rPr>
          <w:rFonts w:ascii="Arial" w:hAnsi="Arial" w:cs="Arial"/>
          <w:color w:val="555555"/>
          <w:sz w:val="16"/>
          <w:szCs w:val="21"/>
        </w:rPr>
        <w:br/>
      </w:r>
    </w:p>
  </w:footnote>
  <w:footnote w:id="2">
    <w:p w:rsidR="000535E2" w:rsidRDefault="000535E2" w:rsidP="000535E2">
      <w:pPr>
        <w:numPr>
          <w:ilvl w:val="0"/>
          <w:numId w:val="3"/>
        </w:numPr>
        <w:shd w:val="clear" w:color="auto" w:fill="FFFFFF"/>
        <w:spacing w:before="240" w:after="0" w:line="240" w:lineRule="auto"/>
      </w:pPr>
      <w:r w:rsidRPr="000535E2">
        <w:rPr>
          <w:rFonts w:ascii="Arial" w:hAnsi="Arial" w:cs="Arial"/>
          <w:color w:val="555555"/>
          <w:sz w:val="16"/>
          <w:szCs w:val="21"/>
        </w:rPr>
        <w:t>Department of Health and Ageing Therapeutic Goods Administration, Medicines Safety Update, “Medicines associated with a risk of neuropsychiatric adverse events,” Volume 9, Number 2, June 2018; Department of Health and Ageing Therapeutic Goods Administration, Medicines Safety Update, “Antidepressants – Communicating risks and benefits to patients,” Volume 7, Number 5, October-December 2016; Department of Health and Ageing Therapeutic Goods Administration, Medicines Safety Update, “Atomoxetine and suicidality in children and adolescents,” Volume 4, Number 5, October 2013; “Australian ADHD drug warnings are already in place: TGA,” AAP Newswire 22 February, 2007; “Suicidality with SSRIs: adults and children,” The Australian Therapeutic Goods Administration, Adverse Drug Reactions Bulletin, Vol. 24, No. 4, August 2005; “Use of SSRI antidepressants in children and adolescents” The Australian Therapeutic Goods Administration, Adverse Drug Reactions Bulletin, Vol. 23, No. 6, August 2004; “Warnings for high dose tricyclics antidepressants,” The Australian Therapeutic Goods Administration, Adverse Drug Reactions Bulletin, Vol. 23, No. 5, October 2004.</w:t>
      </w:r>
    </w:p>
  </w:footnote>
  <w:footnote w:id="3">
    <w:p w:rsidR="000535E2" w:rsidRPr="00674389" w:rsidRDefault="000535E2" w:rsidP="000535E2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Arial" w:hAnsi="Arial" w:cs="Arial"/>
          <w:color w:val="555555"/>
          <w:sz w:val="16"/>
          <w:szCs w:val="21"/>
        </w:rPr>
      </w:pPr>
      <w:r w:rsidRPr="00674389">
        <w:rPr>
          <w:rFonts w:ascii="Arial" w:hAnsi="Arial" w:cs="Arial"/>
          <w:color w:val="555555"/>
          <w:sz w:val="16"/>
          <w:szCs w:val="21"/>
        </w:rPr>
        <w:t>Suicidality with SSRIs: adults and children,” The Australian Therapeutic Goods Administration, Adverse Drug Reactions Bulletin, Vol. 24, No. 4, August 2005</w:t>
      </w:r>
    </w:p>
    <w:p w:rsidR="000535E2" w:rsidRDefault="000535E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05CD"/>
    <w:multiLevelType w:val="multilevel"/>
    <w:tmpl w:val="6494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68781F31"/>
    <w:multiLevelType w:val="multilevel"/>
    <w:tmpl w:val="9146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F0C4B"/>
    <w:multiLevelType w:val="multilevel"/>
    <w:tmpl w:val="7AD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32"/>
    <w:rsid w:val="00011A5A"/>
    <w:rsid w:val="00015698"/>
    <w:rsid w:val="00022D59"/>
    <w:rsid w:val="00027AD5"/>
    <w:rsid w:val="00044EAE"/>
    <w:rsid w:val="00046541"/>
    <w:rsid w:val="000472E7"/>
    <w:rsid w:val="000535E2"/>
    <w:rsid w:val="00053B7A"/>
    <w:rsid w:val="000633A0"/>
    <w:rsid w:val="00080974"/>
    <w:rsid w:val="000810AB"/>
    <w:rsid w:val="00085800"/>
    <w:rsid w:val="00087C80"/>
    <w:rsid w:val="00092EEA"/>
    <w:rsid w:val="00094088"/>
    <w:rsid w:val="00094810"/>
    <w:rsid w:val="000A5267"/>
    <w:rsid w:val="000B4F26"/>
    <w:rsid w:val="000B68FA"/>
    <w:rsid w:val="000D7133"/>
    <w:rsid w:val="000E4DFF"/>
    <w:rsid w:val="000F4B78"/>
    <w:rsid w:val="001205D4"/>
    <w:rsid w:val="0012481F"/>
    <w:rsid w:val="001860AE"/>
    <w:rsid w:val="001A1D4E"/>
    <w:rsid w:val="001C2638"/>
    <w:rsid w:val="001D52F7"/>
    <w:rsid w:val="001F1C75"/>
    <w:rsid w:val="001F303F"/>
    <w:rsid w:val="00207BBF"/>
    <w:rsid w:val="0021342D"/>
    <w:rsid w:val="00227128"/>
    <w:rsid w:val="002300A8"/>
    <w:rsid w:val="002348A2"/>
    <w:rsid w:val="002666B6"/>
    <w:rsid w:val="00274598"/>
    <w:rsid w:val="002929F9"/>
    <w:rsid w:val="002B1292"/>
    <w:rsid w:val="002C7485"/>
    <w:rsid w:val="002D1A90"/>
    <w:rsid w:val="00301263"/>
    <w:rsid w:val="00305A46"/>
    <w:rsid w:val="00320096"/>
    <w:rsid w:val="00320EDA"/>
    <w:rsid w:val="00330858"/>
    <w:rsid w:val="00361239"/>
    <w:rsid w:val="0037049F"/>
    <w:rsid w:val="0038564B"/>
    <w:rsid w:val="003B0A28"/>
    <w:rsid w:val="003B1298"/>
    <w:rsid w:val="003C1345"/>
    <w:rsid w:val="003C6975"/>
    <w:rsid w:val="003E2A40"/>
    <w:rsid w:val="00405DB4"/>
    <w:rsid w:val="00420689"/>
    <w:rsid w:val="0042093E"/>
    <w:rsid w:val="004276EB"/>
    <w:rsid w:val="00434251"/>
    <w:rsid w:val="00440FCE"/>
    <w:rsid w:val="004433AA"/>
    <w:rsid w:val="00446168"/>
    <w:rsid w:val="004568AE"/>
    <w:rsid w:val="004679D3"/>
    <w:rsid w:val="00477D85"/>
    <w:rsid w:val="0048367C"/>
    <w:rsid w:val="00484F49"/>
    <w:rsid w:val="004918F6"/>
    <w:rsid w:val="004B2BCC"/>
    <w:rsid w:val="004B4F8E"/>
    <w:rsid w:val="004B7504"/>
    <w:rsid w:val="004D1053"/>
    <w:rsid w:val="004D2901"/>
    <w:rsid w:val="004D5031"/>
    <w:rsid w:val="004F10DC"/>
    <w:rsid w:val="005439E4"/>
    <w:rsid w:val="0055137D"/>
    <w:rsid w:val="005656FD"/>
    <w:rsid w:val="005837AF"/>
    <w:rsid w:val="005937D7"/>
    <w:rsid w:val="0059514E"/>
    <w:rsid w:val="005B0485"/>
    <w:rsid w:val="005B2346"/>
    <w:rsid w:val="005B54C9"/>
    <w:rsid w:val="005C3745"/>
    <w:rsid w:val="005D32B1"/>
    <w:rsid w:val="005E4AD7"/>
    <w:rsid w:val="005E785D"/>
    <w:rsid w:val="006003DD"/>
    <w:rsid w:val="006010DD"/>
    <w:rsid w:val="00606477"/>
    <w:rsid w:val="00622162"/>
    <w:rsid w:val="00634F46"/>
    <w:rsid w:val="0063504E"/>
    <w:rsid w:val="00637DB9"/>
    <w:rsid w:val="006508F4"/>
    <w:rsid w:val="00651DD6"/>
    <w:rsid w:val="00653EDB"/>
    <w:rsid w:val="00655924"/>
    <w:rsid w:val="00674389"/>
    <w:rsid w:val="00674526"/>
    <w:rsid w:val="00682909"/>
    <w:rsid w:val="006830DC"/>
    <w:rsid w:val="00695734"/>
    <w:rsid w:val="006B362E"/>
    <w:rsid w:val="006E68BF"/>
    <w:rsid w:val="006E6FB4"/>
    <w:rsid w:val="006F0F3D"/>
    <w:rsid w:val="006F23CC"/>
    <w:rsid w:val="006F4366"/>
    <w:rsid w:val="00713524"/>
    <w:rsid w:val="00723FAE"/>
    <w:rsid w:val="00725082"/>
    <w:rsid w:val="00741D63"/>
    <w:rsid w:val="0074451C"/>
    <w:rsid w:val="00750AD6"/>
    <w:rsid w:val="00761F73"/>
    <w:rsid w:val="00774B9F"/>
    <w:rsid w:val="007A3336"/>
    <w:rsid w:val="007B1DAA"/>
    <w:rsid w:val="007B2ACF"/>
    <w:rsid w:val="007B505F"/>
    <w:rsid w:val="007C45D8"/>
    <w:rsid w:val="007E4FA6"/>
    <w:rsid w:val="00801F7E"/>
    <w:rsid w:val="008203C2"/>
    <w:rsid w:val="008254A5"/>
    <w:rsid w:val="0083373C"/>
    <w:rsid w:val="00834BDE"/>
    <w:rsid w:val="00840EFB"/>
    <w:rsid w:val="00843E8D"/>
    <w:rsid w:val="00861F69"/>
    <w:rsid w:val="00863704"/>
    <w:rsid w:val="00892931"/>
    <w:rsid w:val="00892AF8"/>
    <w:rsid w:val="008B3373"/>
    <w:rsid w:val="008B5F93"/>
    <w:rsid w:val="008C2D52"/>
    <w:rsid w:val="008C6BA7"/>
    <w:rsid w:val="008D2CD3"/>
    <w:rsid w:val="0090448C"/>
    <w:rsid w:val="00907F81"/>
    <w:rsid w:val="009162BE"/>
    <w:rsid w:val="00923A31"/>
    <w:rsid w:val="00933476"/>
    <w:rsid w:val="00934881"/>
    <w:rsid w:val="00955108"/>
    <w:rsid w:val="00962F9F"/>
    <w:rsid w:val="0098314A"/>
    <w:rsid w:val="009A0802"/>
    <w:rsid w:val="009A3EB5"/>
    <w:rsid w:val="009A741F"/>
    <w:rsid w:val="009C4662"/>
    <w:rsid w:val="009D41F2"/>
    <w:rsid w:val="009F715E"/>
    <w:rsid w:val="00A27060"/>
    <w:rsid w:val="00A30635"/>
    <w:rsid w:val="00A34AA3"/>
    <w:rsid w:val="00A41441"/>
    <w:rsid w:val="00A5139B"/>
    <w:rsid w:val="00A640E4"/>
    <w:rsid w:val="00A67688"/>
    <w:rsid w:val="00A72F9E"/>
    <w:rsid w:val="00A954A9"/>
    <w:rsid w:val="00A966FF"/>
    <w:rsid w:val="00AA5B99"/>
    <w:rsid w:val="00AD5352"/>
    <w:rsid w:val="00AF2BE2"/>
    <w:rsid w:val="00AF47F9"/>
    <w:rsid w:val="00AF6C1C"/>
    <w:rsid w:val="00AF79C2"/>
    <w:rsid w:val="00B006CC"/>
    <w:rsid w:val="00B00A57"/>
    <w:rsid w:val="00B043AF"/>
    <w:rsid w:val="00B04637"/>
    <w:rsid w:val="00B15F1E"/>
    <w:rsid w:val="00B34B2A"/>
    <w:rsid w:val="00B404E0"/>
    <w:rsid w:val="00B51E13"/>
    <w:rsid w:val="00B8166D"/>
    <w:rsid w:val="00B90FAE"/>
    <w:rsid w:val="00B92469"/>
    <w:rsid w:val="00BA2EB5"/>
    <w:rsid w:val="00BA6AA9"/>
    <w:rsid w:val="00BA7609"/>
    <w:rsid w:val="00BB0987"/>
    <w:rsid w:val="00BB5A40"/>
    <w:rsid w:val="00BD4BEB"/>
    <w:rsid w:val="00BD522A"/>
    <w:rsid w:val="00BD5D14"/>
    <w:rsid w:val="00BD7CFC"/>
    <w:rsid w:val="00BE2CC5"/>
    <w:rsid w:val="00BE6132"/>
    <w:rsid w:val="00C027BB"/>
    <w:rsid w:val="00C10F51"/>
    <w:rsid w:val="00C22894"/>
    <w:rsid w:val="00C41959"/>
    <w:rsid w:val="00C43EEB"/>
    <w:rsid w:val="00C92D8F"/>
    <w:rsid w:val="00CA51DB"/>
    <w:rsid w:val="00CC4232"/>
    <w:rsid w:val="00CC48E1"/>
    <w:rsid w:val="00CD0192"/>
    <w:rsid w:val="00CD77BE"/>
    <w:rsid w:val="00CE4A96"/>
    <w:rsid w:val="00CF0EB5"/>
    <w:rsid w:val="00CF75B5"/>
    <w:rsid w:val="00D11012"/>
    <w:rsid w:val="00D20B17"/>
    <w:rsid w:val="00D50D2D"/>
    <w:rsid w:val="00D51439"/>
    <w:rsid w:val="00D6026E"/>
    <w:rsid w:val="00D608D7"/>
    <w:rsid w:val="00D71693"/>
    <w:rsid w:val="00D77C77"/>
    <w:rsid w:val="00D92A26"/>
    <w:rsid w:val="00D96D6B"/>
    <w:rsid w:val="00DC604F"/>
    <w:rsid w:val="00DF7825"/>
    <w:rsid w:val="00E13C92"/>
    <w:rsid w:val="00E14CF6"/>
    <w:rsid w:val="00E24F12"/>
    <w:rsid w:val="00E32026"/>
    <w:rsid w:val="00E409C6"/>
    <w:rsid w:val="00E43C47"/>
    <w:rsid w:val="00E6551E"/>
    <w:rsid w:val="00E75365"/>
    <w:rsid w:val="00E76051"/>
    <w:rsid w:val="00E86D1E"/>
    <w:rsid w:val="00E948A6"/>
    <w:rsid w:val="00EA76A5"/>
    <w:rsid w:val="00EB3D35"/>
    <w:rsid w:val="00EF462C"/>
    <w:rsid w:val="00EF5677"/>
    <w:rsid w:val="00F06B1F"/>
    <w:rsid w:val="00F1523D"/>
    <w:rsid w:val="00F17C7C"/>
    <w:rsid w:val="00F3431E"/>
    <w:rsid w:val="00F5034E"/>
    <w:rsid w:val="00F55B40"/>
    <w:rsid w:val="00F630AA"/>
    <w:rsid w:val="00F64C5C"/>
    <w:rsid w:val="00F73655"/>
    <w:rsid w:val="00F77DD7"/>
    <w:rsid w:val="00F93343"/>
    <w:rsid w:val="00FA0044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55852-8031-40E5-92F6-86A4530A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C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D7CF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C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C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5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7D"/>
  </w:style>
  <w:style w:type="paragraph" w:styleId="Footer">
    <w:name w:val="footer"/>
    <w:basedOn w:val="Normal"/>
    <w:link w:val="FooterChar"/>
    <w:uiPriority w:val="99"/>
    <w:unhideWhenUsed/>
    <w:rsid w:val="0055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7D"/>
  </w:style>
  <w:style w:type="character" w:styleId="Emphasis">
    <w:name w:val="Emphasis"/>
    <w:basedOn w:val="DefaultParagraphFont"/>
    <w:uiPriority w:val="20"/>
    <w:qFormat/>
    <w:rsid w:val="0055137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5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5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5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35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35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35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12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6989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1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9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ychwatchaustralia.com/post/more-young-australians-suicide-self-harm-and-use-antidepressants-while-experts-dismiss-fda-w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PCDOC-1378080517-1309</_dlc_DocId>
    <_dlc_DocIdUrl xmlns="3f4bcce7-ac1a-4c9d-aa3e-7e77695652db">
      <Url>http://inet.pc.gov.au/pmo/inq/mentalhealth/_layouts/15/DocIdRedir.aspx?ID=PCDOC-1378080517-1309</Url>
      <Description>PCDOC-1378080517-1309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3751-2B23-4A98-842B-61D822E8CA5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71878C3-9E92-4673-9A65-06EBF08EDF29}">
  <ds:schemaRefs>
    <ds:schemaRef ds:uri="http://schemas.microsoft.com/office/2006/documentManagement/types"/>
    <ds:schemaRef ds:uri="3f4bcce7-ac1a-4c9d-aa3e-7e77695652d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4BF03A-6DDC-4F6A-ACC8-CCCDBD4E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0121-D0C1-4FC0-B35B-3FC6A8B5B5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5A65DA-52E5-482E-9EED-64CCC360A24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8C5AB1-5ECE-4FE6-B85B-A8AA925FE31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A90F1E9-2DB5-4048-899F-1D92D7AF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1025 - Alicia Badran - Mental Health - Public inquiry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1025 - Alicia Badran - Mental Health - Public inquiry</dc:title>
  <dc:subject/>
  <dc:creator>Alicia Badran</dc:creator>
  <cp:keywords/>
  <dc:description/>
  <cp:lastModifiedBy>Pimperl, Mark</cp:lastModifiedBy>
  <cp:revision>4</cp:revision>
  <dcterms:created xsi:type="dcterms:W3CDTF">2020-01-15T04:55:00Z</dcterms:created>
  <dcterms:modified xsi:type="dcterms:W3CDTF">2020-02-11T22:20:00Z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8f0ec94e-3f39-44c2-a334-411007ffe654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