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5" w:rsidRDefault="0008532A" w:rsidP="0008532A">
      <w:pPr>
        <w:jc w:val="center"/>
        <w:rPr>
          <w:b/>
          <w:sz w:val="22"/>
          <w:szCs w:val="22"/>
        </w:rPr>
      </w:pPr>
      <w:bookmarkStart w:id="0" w:name="start"/>
      <w:bookmarkStart w:id="1" w:name="_GoBack"/>
      <w:bookmarkEnd w:id="0"/>
      <w:bookmarkEnd w:id="1"/>
      <w:r w:rsidRPr="00496C5B">
        <w:rPr>
          <w:b/>
          <w:sz w:val="22"/>
          <w:szCs w:val="22"/>
        </w:rPr>
        <w:t>S</w:t>
      </w:r>
      <w:r w:rsidR="00C879E5">
        <w:rPr>
          <w:b/>
          <w:sz w:val="22"/>
          <w:szCs w:val="22"/>
        </w:rPr>
        <w:t>UBMISSION</w:t>
      </w:r>
    </w:p>
    <w:p w:rsidR="0008532A" w:rsidRDefault="0008532A" w:rsidP="0008532A">
      <w:pPr>
        <w:jc w:val="center"/>
        <w:rPr>
          <w:b/>
          <w:sz w:val="22"/>
          <w:szCs w:val="22"/>
        </w:rPr>
      </w:pPr>
      <w:r w:rsidRPr="00496C5B">
        <w:rPr>
          <w:b/>
          <w:sz w:val="22"/>
          <w:szCs w:val="22"/>
        </w:rPr>
        <w:t>PRODUCTIVITY COMMISSION DRAFT REPORT</w:t>
      </w:r>
    </w:p>
    <w:p w:rsidR="00C879E5" w:rsidRDefault="00C879E5" w:rsidP="0008532A">
      <w:pPr>
        <w:jc w:val="center"/>
        <w:rPr>
          <w:b/>
          <w:sz w:val="22"/>
          <w:szCs w:val="22"/>
        </w:rPr>
      </w:pPr>
      <w:r>
        <w:rPr>
          <w:b/>
          <w:sz w:val="22"/>
          <w:szCs w:val="22"/>
        </w:rPr>
        <w:t>Intellectual Property Arrangements</w:t>
      </w:r>
    </w:p>
    <w:p w:rsidR="00355746" w:rsidRPr="00496C5B" w:rsidRDefault="00355746" w:rsidP="0008532A">
      <w:pPr>
        <w:jc w:val="center"/>
      </w:pPr>
      <w:r>
        <w:rPr>
          <w:b/>
          <w:sz w:val="22"/>
          <w:szCs w:val="22"/>
        </w:rPr>
        <w:t>David Webber</w:t>
      </w:r>
    </w:p>
    <w:p w:rsidR="0008532A" w:rsidRDefault="0008532A" w:rsidP="0008532A">
      <w:pPr>
        <w:jc w:val="center"/>
      </w:pPr>
    </w:p>
    <w:p w:rsidR="0008532A" w:rsidRDefault="0008532A" w:rsidP="0008532A"/>
    <w:p w:rsidR="0008532A" w:rsidRDefault="00BF7EB6" w:rsidP="0008532A">
      <w:r>
        <w:t>I am an Electronics Engineer with experience in</w:t>
      </w:r>
      <w:r w:rsidR="007F4D80">
        <w:t xml:space="preserve"> semiconductor chip design and computer science.  I have grown up with computers and programmed them using marked instruction cards, machine code</w:t>
      </w:r>
      <w:r w:rsidR="00F3693D">
        <w:t>,</w:t>
      </w:r>
      <w:r w:rsidR="007F4D80">
        <w:t xml:space="preserve"> </w:t>
      </w:r>
      <w:r w:rsidR="00F3693D">
        <w:t>assembly language and a number</w:t>
      </w:r>
      <w:r w:rsidR="007F4D80">
        <w:t xml:space="preserve"> of </w:t>
      </w:r>
      <w:r w:rsidR="00F3693D">
        <w:t xml:space="preserve">high level </w:t>
      </w:r>
      <w:r w:rsidR="007F4D80">
        <w:t>program</w:t>
      </w:r>
      <w:r w:rsidR="00F3693D">
        <w:t>ming</w:t>
      </w:r>
      <w:r w:rsidR="007F4D80">
        <w:t xml:space="preserve"> langu</w:t>
      </w:r>
      <w:r w:rsidR="00373285">
        <w:t xml:space="preserve">ages, including Fortran, Pascal, </w:t>
      </w:r>
      <w:r w:rsidR="00F3693D">
        <w:t>Basic and Symbian</w:t>
      </w:r>
      <w:r w:rsidR="00373285">
        <w:t xml:space="preserve">.  </w:t>
      </w:r>
      <w:r w:rsidR="00F3693D">
        <w:t>I have seen c</w:t>
      </w:r>
      <w:r w:rsidR="00373285">
        <w:t>omputers develop from relying on programs that simply submit</w:t>
      </w:r>
      <w:r w:rsidR="00F3693D">
        <w:t>ted</w:t>
      </w:r>
      <w:r w:rsidR="00373285">
        <w:t xml:space="preserve"> </w:t>
      </w:r>
      <w:r w:rsidR="00C879E5">
        <w:t xml:space="preserve">basic operands </w:t>
      </w:r>
      <w:r w:rsidR="00BB79C9">
        <w:t>in</w:t>
      </w:r>
      <w:r w:rsidR="00373285">
        <w:t xml:space="preserve">to </w:t>
      </w:r>
      <w:r w:rsidR="001D5838">
        <w:t>machine</w:t>
      </w:r>
      <w:r w:rsidR="00C879E5">
        <w:t>s</w:t>
      </w:r>
      <w:r w:rsidR="001D5838">
        <w:t xml:space="preserve"> that have ceded</w:t>
      </w:r>
      <w:r w:rsidR="00373285">
        <w:t xml:space="preserve"> </w:t>
      </w:r>
      <w:r w:rsidR="003176DE">
        <w:t xml:space="preserve">many aspects of hardware control to software control.  To an </w:t>
      </w:r>
      <w:r w:rsidR="001D5838">
        <w:t>E</w:t>
      </w:r>
      <w:r w:rsidR="003176DE">
        <w:t>ngineer, hardware and software are interchangeable and are simply a means to an end, i.e. making a machine or device function as designed.  A computer program written in a high level la</w:t>
      </w:r>
      <w:r w:rsidR="00C879E5">
        <w:t xml:space="preserve">nguage has no value whatsoever </w:t>
      </w:r>
      <w:r w:rsidR="003176DE">
        <w:t xml:space="preserve">until it is compiled and stored as high and low bits in the memory of a computer for execution.  Once stored, it is a series of high and low voltage charges within a </w:t>
      </w:r>
      <w:r w:rsidR="00270654">
        <w:t>electronic</w:t>
      </w:r>
      <w:r w:rsidR="003176DE">
        <w:t xml:space="preserve"> circuit.</w:t>
      </w:r>
    </w:p>
    <w:p w:rsidR="003176DE" w:rsidRDefault="003176DE" w:rsidP="0008532A"/>
    <w:p w:rsidR="00192BA3" w:rsidRDefault="003176DE" w:rsidP="0008532A">
      <w:r>
        <w:t>I am also an Australian registered patent attorney and legal practitioner.</w:t>
      </w:r>
      <w:r w:rsidR="00C879E5">
        <w:t xml:space="preserve"> I </w:t>
      </w:r>
      <w:r w:rsidR="00192BA3">
        <w:t xml:space="preserve">have </w:t>
      </w:r>
      <w:r w:rsidR="00C879E5">
        <w:t>work</w:t>
      </w:r>
      <w:r w:rsidR="00192BA3">
        <w:t>ed</w:t>
      </w:r>
      <w:r w:rsidR="00C879E5">
        <w:t xml:space="preserve"> on computer related inventions for 30 years. I have acted for </w:t>
      </w:r>
      <w:r w:rsidR="00E22BDF">
        <w:t>individ</w:t>
      </w:r>
      <w:r w:rsidR="00104EEB">
        <w:t>uals</w:t>
      </w:r>
      <w:r w:rsidR="00E22BDF">
        <w:t xml:space="preserve">, start-ups, research </w:t>
      </w:r>
      <w:r w:rsidR="0011588D">
        <w:t xml:space="preserve">institutions (e.g. Universities </w:t>
      </w:r>
      <w:r w:rsidR="00E22BDF">
        <w:t>and CSIRO) and large corporates both in Australia and overseas.</w:t>
      </w:r>
      <w:r w:rsidR="00104EEB">
        <w:t xml:space="preserve"> I have created patent rights for clients and assisted clients </w:t>
      </w:r>
      <w:r w:rsidR="00192BA3">
        <w:t>navigate the patent rights of others.</w:t>
      </w:r>
    </w:p>
    <w:p w:rsidR="00192BA3" w:rsidRDefault="00192BA3" w:rsidP="0008532A"/>
    <w:p w:rsidR="00EF390A" w:rsidRDefault="003176DE" w:rsidP="0008532A">
      <w:r>
        <w:t>My first introduction to patent law was reading the Australian High Court's decision</w:t>
      </w:r>
      <w:r w:rsidR="009244CA">
        <w:t xml:space="preserve"> in </w:t>
      </w:r>
      <w:r w:rsidR="009244CA" w:rsidRPr="001A7385">
        <w:rPr>
          <w:i/>
        </w:rPr>
        <w:t>NRDC</w:t>
      </w:r>
      <w:r w:rsidR="00482E3A" w:rsidRPr="00482E3A">
        <w:rPr>
          <w:rStyle w:val="FootnoteReference"/>
        </w:rPr>
        <w:footnoteReference w:id="1"/>
      </w:r>
      <w:r w:rsidR="00482E3A">
        <w:rPr>
          <w:i/>
        </w:rPr>
        <w:t xml:space="preserve">.  </w:t>
      </w:r>
      <w:r w:rsidR="001A7385">
        <w:t>Chief Justice Dixon's C</w:t>
      </w:r>
      <w:r w:rsidR="0055133B">
        <w:t xml:space="preserve">ourt was highly regarded </w:t>
      </w:r>
      <w:r w:rsidR="001A7385">
        <w:t xml:space="preserve">and </w:t>
      </w:r>
      <w:r w:rsidR="0055133B">
        <w:t>commanded respect in various jurisdictions, particularly in the Commonwealth</w:t>
      </w:r>
      <w:r w:rsidR="00195483">
        <w:t>.</w:t>
      </w:r>
      <w:r w:rsidR="0055133B">
        <w:t xml:space="preserve"> </w:t>
      </w:r>
      <w:r w:rsidR="00D414CC">
        <w:rPr>
          <w:i/>
        </w:rPr>
        <w:t xml:space="preserve">NRDC </w:t>
      </w:r>
      <w:r w:rsidR="00D414CC">
        <w:t xml:space="preserve">is </w:t>
      </w:r>
      <w:r w:rsidR="00CE180B">
        <w:t>considered</w:t>
      </w:r>
      <w:r w:rsidR="00D414CC">
        <w:t xml:space="preserve"> a watershed decision. </w:t>
      </w:r>
      <w:r w:rsidR="00590B33">
        <w:t>T</w:t>
      </w:r>
      <w:r w:rsidR="00F26949">
        <w:t xml:space="preserve">he definition of "invention" in the </w:t>
      </w:r>
      <w:r w:rsidR="00176A83" w:rsidRPr="00F26949">
        <w:rPr>
          <w:i/>
        </w:rPr>
        <w:t xml:space="preserve">Patents </w:t>
      </w:r>
      <w:r w:rsidR="00DB272A" w:rsidRPr="00F26949">
        <w:rPr>
          <w:i/>
        </w:rPr>
        <w:t>Act</w:t>
      </w:r>
      <w:r w:rsidR="00F26949">
        <w:rPr>
          <w:i/>
        </w:rPr>
        <w:t xml:space="preserve"> 1990</w:t>
      </w:r>
      <w:r w:rsidR="00AB1557">
        <w:rPr>
          <w:i/>
        </w:rPr>
        <w:t xml:space="preserve"> </w:t>
      </w:r>
      <w:r w:rsidR="00AB1557">
        <w:t>(</w:t>
      </w:r>
      <w:proofErr w:type="spellStart"/>
      <w:r w:rsidR="00AB1557">
        <w:t>Cth</w:t>
      </w:r>
      <w:proofErr w:type="spellEnd"/>
      <w:r w:rsidR="00AB1557">
        <w:t xml:space="preserve">) </w:t>
      </w:r>
      <w:r w:rsidR="00176A83">
        <w:t xml:space="preserve">refers to </w:t>
      </w:r>
      <w:proofErr w:type="spellStart"/>
      <w:r w:rsidR="00BA2787">
        <w:t>s.</w:t>
      </w:r>
      <w:r w:rsidR="00176A83">
        <w:t>6</w:t>
      </w:r>
      <w:proofErr w:type="spellEnd"/>
      <w:r w:rsidR="00176A83">
        <w:t xml:space="preserve"> of the 1623 </w:t>
      </w:r>
      <w:r w:rsidR="00C06969">
        <w:t>Statute of M</w:t>
      </w:r>
      <w:r w:rsidR="00176A83">
        <w:t>onop</w:t>
      </w:r>
      <w:r w:rsidR="007322D2">
        <w:t>ol</w:t>
      </w:r>
      <w:r w:rsidR="00C06969">
        <w:t>ies</w:t>
      </w:r>
      <w:r w:rsidR="007322D2">
        <w:t xml:space="preserve"> because </w:t>
      </w:r>
      <w:r w:rsidR="00BA2787">
        <w:rPr>
          <w:i/>
        </w:rPr>
        <w:t>NRDC</w:t>
      </w:r>
      <w:r w:rsidR="00BA2787">
        <w:t xml:space="preserve"> allowed our </w:t>
      </w:r>
      <w:r w:rsidR="007322D2">
        <w:t>courts to develop the principles for determining what is the proper subject of a patent</w:t>
      </w:r>
      <w:r w:rsidR="00270654">
        <w:t>, and Parliament did not want this disturbed</w:t>
      </w:r>
      <w:r w:rsidR="00AC367C">
        <w:t>.</w:t>
      </w:r>
    </w:p>
    <w:p w:rsidR="00EF390A" w:rsidRDefault="00EF390A" w:rsidP="0008532A"/>
    <w:p w:rsidR="003176DE" w:rsidRDefault="00AC367C" w:rsidP="0008532A">
      <w:r>
        <w:t>Dixon's C</w:t>
      </w:r>
      <w:r w:rsidR="007322D2">
        <w:t>ourt wisely concluded that as the futu</w:t>
      </w:r>
      <w:r>
        <w:t>re could not be predicted;</w:t>
      </w:r>
      <w:r w:rsidR="007322D2">
        <w:t xml:space="preserve"> verbal constraints on the definition of patentable subject matt</w:t>
      </w:r>
      <w:r>
        <w:t>er should not be imposed.  The C</w:t>
      </w:r>
      <w:r w:rsidR="007322D2">
        <w:t>ourt said:</w:t>
      </w:r>
    </w:p>
    <w:p w:rsidR="007322D2" w:rsidRDefault="007322D2" w:rsidP="0008532A"/>
    <w:p w:rsidR="007322D2" w:rsidRDefault="00DB272A" w:rsidP="00DB272A">
      <w:pPr>
        <w:ind w:left="426" w:right="379"/>
      </w:pPr>
      <w:r>
        <w:t>"</w:t>
      </w:r>
      <w:r w:rsidR="000E3A11" w:rsidRPr="00CF4CBF">
        <w:rPr>
          <w:i/>
        </w:rPr>
        <w:t xml:space="preserve">The </w:t>
      </w:r>
      <w:r w:rsidR="007322D2" w:rsidRPr="00CF4CBF">
        <w:rPr>
          <w:i/>
        </w:rPr>
        <w:t>purpose of s</w:t>
      </w:r>
      <w:r w:rsidR="000E3A11" w:rsidRPr="00CF4CBF">
        <w:rPr>
          <w:i/>
        </w:rPr>
        <w:t>.</w:t>
      </w:r>
      <w:r w:rsidR="007322D2" w:rsidRPr="00CF4CBF">
        <w:rPr>
          <w:i/>
        </w:rPr>
        <w:t xml:space="preserve">6, it must be remembered, was to allow the use of the prerogative to encourage national development in a field which already, in 1623, was seen to be excitingly unpredictable.  To attempt to place upon the idea the </w:t>
      </w:r>
      <w:r w:rsidR="000E3A11" w:rsidRPr="00CF4CBF">
        <w:rPr>
          <w:i/>
        </w:rPr>
        <w:t>fetters</w:t>
      </w:r>
      <w:r w:rsidRPr="00CF4CBF">
        <w:rPr>
          <w:i/>
        </w:rPr>
        <w:t xml:space="preserve"> of </w:t>
      </w:r>
      <w:r w:rsidR="000E3A11" w:rsidRPr="00CF4CBF">
        <w:rPr>
          <w:i/>
        </w:rPr>
        <w:t>an</w:t>
      </w:r>
      <w:r w:rsidRPr="00CF4CBF">
        <w:rPr>
          <w:i/>
        </w:rPr>
        <w:t xml:space="preserve"> exact verbal formula could never </w:t>
      </w:r>
      <w:r w:rsidR="000E3A11" w:rsidRPr="00CF4CBF">
        <w:rPr>
          <w:i/>
        </w:rPr>
        <w:t xml:space="preserve">have </w:t>
      </w:r>
      <w:r w:rsidRPr="00CF4CBF">
        <w:rPr>
          <w:i/>
        </w:rPr>
        <w:t>be</w:t>
      </w:r>
      <w:r w:rsidR="000E3A11" w:rsidRPr="00CF4CBF">
        <w:rPr>
          <w:i/>
        </w:rPr>
        <w:t>en</w:t>
      </w:r>
      <w:r w:rsidRPr="00CF4CBF">
        <w:rPr>
          <w:i/>
        </w:rPr>
        <w:t xml:space="preserve"> sound.  It would be unsound to the point of folly to attempt to do so now</w:t>
      </w:r>
      <w:r w:rsidR="000E3A11" w:rsidRPr="00CF4CBF">
        <w:rPr>
          <w:i/>
        </w:rPr>
        <w:t>,…</w:t>
      </w:r>
      <w:r>
        <w:t>"</w:t>
      </w:r>
      <w:r>
        <w:rPr>
          <w:rStyle w:val="FootnoteReference"/>
        </w:rPr>
        <w:footnoteReference w:id="2"/>
      </w:r>
    </w:p>
    <w:p w:rsidR="00BF1F4C" w:rsidRDefault="00BF1F4C" w:rsidP="000E3A11">
      <w:pPr>
        <w:ind w:right="-46"/>
      </w:pPr>
    </w:p>
    <w:p w:rsidR="00B24F4D" w:rsidRDefault="00B24F4D" w:rsidP="000E3A11">
      <w:pPr>
        <w:ind w:right="-46"/>
      </w:pPr>
      <w:r>
        <w:t xml:space="preserve">The </w:t>
      </w:r>
      <w:r w:rsidRPr="000E5293">
        <w:rPr>
          <w:i/>
        </w:rPr>
        <w:t>NRDC</w:t>
      </w:r>
      <w:r>
        <w:rPr>
          <w:i/>
        </w:rPr>
        <w:t xml:space="preserve"> </w:t>
      </w:r>
      <w:r w:rsidRPr="00B24F4D">
        <w:t>decision</w:t>
      </w:r>
      <w:r w:rsidR="000E5293">
        <w:t>,</w:t>
      </w:r>
      <w:r>
        <w:t xml:space="preserve"> and </w:t>
      </w:r>
      <w:r w:rsidR="000E5293">
        <w:t xml:space="preserve">all of </w:t>
      </w:r>
      <w:r>
        <w:t>the subsequent court decisions that have followed it</w:t>
      </w:r>
      <w:r w:rsidR="00C14408">
        <w:rPr>
          <w:rStyle w:val="FootnoteReference"/>
        </w:rPr>
        <w:footnoteReference w:id="3"/>
      </w:r>
      <w:r w:rsidR="00590B33">
        <w:t>,</w:t>
      </w:r>
      <w:r>
        <w:t xml:space="preserve"> is the reason why a four century old definition is still referred to in </w:t>
      </w:r>
      <w:r w:rsidRPr="0099196C">
        <w:t xml:space="preserve">the </w:t>
      </w:r>
      <w:r w:rsidR="00521F2F" w:rsidRPr="00F26949">
        <w:rPr>
          <w:i/>
        </w:rPr>
        <w:t>Patents Act</w:t>
      </w:r>
      <w:r w:rsidR="00521F2F">
        <w:rPr>
          <w:i/>
        </w:rPr>
        <w:t xml:space="preserve"> 1990</w:t>
      </w:r>
      <w:r w:rsidR="00975354">
        <w:t>. I</w:t>
      </w:r>
      <w:r>
        <w:t>t is also why all previous reviews</w:t>
      </w:r>
      <w:r>
        <w:rPr>
          <w:rStyle w:val="FootnoteReference"/>
        </w:rPr>
        <w:footnoteReference w:id="4"/>
      </w:r>
      <w:r w:rsidR="00F644CA">
        <w:t xml:space="preserve"> have left this position unchanged and avoided the </w:t>
      </w:r>
      <w:r w:rsidR="00975354">
        <w:t xml:space="preserve">inherent </w:t>
      </w:r>
      <w:r w:rsidR="00F644CA">
        <w:t>risks</w:t>
      </w:r>
      <w:r w:rsidR="00496C5B">
        <w:t>,</w:t>
      </w:r>
      <w:r w:rsidR="00F644CA">
        <w:t xml:space="preserve"> </w:t>
      </w:r>
      <w:r w:rsidR="00975354">
        <w:t xml:space="preserve">uncertainty </w:t>
      </w:r>
      <w:r w:rsidR="00496C5B">
        <w:t xml:space="preserve">and negative consequences </w:t>
      </w:r>
      <w:r w:rsidR="00F644CA">
        <w:t xml:space="preserve">associated with amending </w:t>
      </w:r>
      <w:r w:rsidR="00521F2F">
        <w:t>s.</w:t>
      </w:r>
      <w:r w:rsidR="00F644CA">
        <w:t xml:space="preserve">18 </w:t>
      </w:r>
      <w:r w:rsidR="004F449C">
        <w:t xml:space="preserve">to exclude specific subject matter, </w:t>
      </w:r>
      <w:r w:rsidR="00F644CA">
        <w:t>as suggested by the Productivity Commission.</w:t>
      </w:r>
    </w:p>
    <w:p w:rsidR="004F449C" w:rsidRDefault="004F449C" w:rsidP="000E3A11">
      <w:pPr>
        <w:ind w:right="-46"/>
      </w:pPr>
    </w:p>
    <w:p w:rsidR="004F449C" w:rsidRDefault="004F449C" w:rsidP="000E3A11">
      <w:pPr>
        <w:ind w:right="-46"/>
      </w:pPr>
      <w:r>
        <w:t>We are after all dealing with the future, not the past.</w:t>
      </w:r>
    </w:p>
    <w:p w:rsidR="00F644CA" w:rsidRDefault="00F644CA" w:rsidP="000E3A11">
      <w:pPr>
        <w:ind w:right="-46"/>
      </w:pPr>
    </w:p>
    <w:p w:rsidR="00F644CA" w:rsidRDefault="0099196C" w:rsidP="000E3A11">
      <w:pPr>
        <w:ind w:right="-46"/>
      </w:pPr>
      <w:r>
        <w:lastRenderedPageBreak/>
        <w:t xml:space="preserve">Section </w:t>
      </w:r>
      <w:r w:rsidR="00F644CA">
        <w:t xml:space="preserve">101 of the </w:t>
      </w:r>
      <w:r w:rsidR="004F449C">
        <w:t xml:space="preserve">US </w:t>
      </w:r>
      <w:r w:rsidR="00F644CA">
        <w:t xml:space="preserve">Patents Act has similarly allowed US courts to develop principles to determine patent eligible subject matter.  </w:t>
      </w:r>
      <w:r w:rsidR="001B4EF8">
        <w:t>The US Supreme Court has said</w:t>
      </w:r>
      <w:r w:rsidR="008448D2">
        <w:t xml:space="preserve"> </w:t>
      </w:r>
      <w:r w:rsidR="001B4EF8">
        <w:t>s.</w:t>
      </w:r>
      <w:r w:rsidR="002576D5">
        <w:t xml:space="preserve">101 is a </w:t>
      </w:r>
      <w:r w:rsidR="001B4EF8">
        <w:t>"</w:t>
      </w:r>
      <w:r w:rsidR="002576D5">
        <w:t>dynamic provision</w:t>
      </w:r>
      <w:r w:rsidR="001B4EF8">
        <w:t xml:space="preserve"> designed to encompass new and unforeseen</w:t>
      </w:r>
      <w:r w:rsidR="002576D5">
        <w:t xml:space="preserve"> inventions</w:t>
      </w:r>
      <w:r w:rsidR="001B4EF8">
        <w:t>"</w:t>
      </w:r>
      <w:r w:rsidR="001B4EF8">
        <w:rPr>
          <w:rStyle w:val="FootnoteReference"/>
        </w:rPr>
        <w:footnoteReference w:id="5"/>
      </w:r>
      <w:r w:rsidR="002576D5">
        <w:t xml:space="preserve">.  But despite the breadth of that section, the Supreme Court has </w:t>
      </w:r>
      <w:r w:rsidR="00CC189D">
        <w:t xml:space="preserve">also </w:t>
      </w:r>
      <w:r w:rsidR="002576D5">
        <w:t xml:space="preserve">held the </w:t>
      </w:r>
      <w:r w:rsidR="00CC189D">
        <w:t>provision contains an implicit</w:t>
      </w:r>
      <w:r w:rsidR="00037CE0">
        <w:t xml:space="preserve"> exception: laws of nature, natur</w:t>
      </w:r>
      <w:r w:rsidR="008448D2">
        <w:t>al</w:t>
      </w:r>
      <w:r w:rsidR="00037CE0">
        <w:t xml:space="preserve"> phenomena and abstract ideas are not patentable</w:t>
      </w:r>
      <w:r w:rsidR="00AB1557">
        <w:rPr>
          <w:rStyle w:val="FootnoteReference"/>
        </w:rPr>
        <w:footnoteReference w:id="6"/>
      </w:r>
      <w:r w:rsidR="00037CE0">
        <w:t xml:space="preserve">.  The abstract idea exemption was </w:t>
      </w:r>
      <w:r w:rsidR="00F72095">
        <w:t>applied</w:t>
      </w:r>
      <w:r w:rsidR="00037CE0">
        <w:t xml:space="preserve"> by the US Supreme Court in </w:t>
      </w:r>
      <w:r w:rsidR="00037CE0" w:rsidRPr="00037CE0">
        <w:rPr>
          <w:i/>
        </w:rPr>
        <w:t>Alice Corporatio</w:t>
      </w:r>
      <w:r w:rsidR="00942656">
        <w:rPr>
          <w:i/>
        </w:rPr>
        <w:t>n</w:t>
      </w:r>
      <w:r w:rsidR="00942656">
        <w:rPr>
          <w:rStyle w:val="FootnoteReference"/>
          <w:i/>
        </w:rPr>
        <w:footnoteReference w:id="7"/>
      </w:r>
      <w:r w:rsidR="00942656">
        <w:rPr>
          <w:i/>
        </w:rPr>
        <w:t xml:space="preserve"> </w:t>
      </w:r>
      <w:r w:rsidR="00F72095">
        <w:t>which required</w:t>
      </w:r>
      <w:r w:rsidR="00037CE0">
        <w:t xml:space="preserve"> at least some improvement in technology</w:t>
      </w:r>
      <w:r w:rsidR="00942656">
        <w:rPr>
          <w:rStyle w:val="FootnoteReference"/>
        </w:rPr>
        <w:footnoteReference w:id="8"/>
      </w:r>
      <w:r w:rsidR="00037CE0">
        <w:t xml:space="preserve">.  </w:t>
      </w:r>
    </w:p>
    <w:p w:rsidR="00792A7A" w:rsidRDefault="00792A7A" w:rsidP="000E3A11">
      <w:pPr>
        <w:ind w:right="-46"/>
      </w:pPr>
    </w:p>
    <w:p w:rsidR="009126FA" w:rsidRDefault="00CC44E4" w:rsidP="000E3A11">
      <w:pPr>
        <w:ind w:right="-46"/>
      </w:pPr>
      <w:r>
        <w:t>The inherent flexibility of the Australian and US approach contrast</w:t>
      </w:r>
      <w:r w:rsidR="00A92129">
        <w:t>s</w:t>
      </w:r>
      <w:r>
        <w:t xml:space="preserve"> with the difficulties that can be encountered when a statutory exclusion is introduced, such as those of Article 52 of the European Patent Convention (EPC).  The approach in Europe has </w:t>
      </w:r>
      <w:r w:rsidR="000B7A39">
        <w:t>led to</w:t>
      </w:r>
      <w:r>
        <w:t xml:space="preserve"> considerable uncertainty and </w:t>
      </w:r>
      <w:r w:rsidR="000B7A39">
        <w:t>criticism</w:t>
      </w:r>
      <w:r w:rsidR="00CF16BD">
        <w:t xml:space="preserve"> amongst European industry, the </w:t>
      </w:r>
      <w:r w:rsidR="000B7A39">
        <w:t>European Patent Office and the C</w:t>
      </w:r>
      <w:r w:rsidR="00CF16BD">
        <w:t>ourts.  The approach is based on statutory exclusion</w:t>
      </w:r>
      <w:r w:rsidR="000B7A39" w:rsidRPr="000B7A39">
        <w:t xml:space="preserve"> </w:t>
      </w:r>
      <w:r w:rsidR="000B7A39">
        <w:t>introduced in 1977</w:t>
      </w:r>
      <w:r w:rsidR="00CF16BD">
        <w:t>, similar to that advo</w:t>
      </w:r>
      <w:r w:rsidR="000B7A39">
        <w:t>cated by the Productivity Commission</w:t>
      </w:r>
      <w:r w:rsidR="00CF16BD">
        <w:t>.</w:t>
      </w:r>
    </w:p>
    <w:p w:rsidR="009126FA" w:rsidRDefault="009126FA" w:rsidP="000E3A11">
      <w:pPr>
        <w:ind w:right="-46"/>
      </w:pPr>
    </w:p>
    <w:p w:rsidR="00792A7A" w:rsidRDefault="00CF16BD" w:rsidP="000E3A11">
      <w:pPr>
        <w:ind w:right="-46"/>
      </w:pPr>
      <w:r>
        <w:t xml:space="preserve">A direct contrast can be made between the development of the software industry </w:t>
      </w:r>
      <w:r w:rsidR="000B7A39">
        <w:t>in</w:t>
      </w:r>
      <w:r>
        <w:t xml:space="preserve"> Europe since that time and in the US, where there is no such exclusion.  </w:t>
      </w:r>
    </w:p>
    <w:p w:rsidR="00644B61" w:rsidRDefault="00644B61" w:rsidP="000E3A11">
      <w:pPr>
        <w:ind w:right="-46"/>
      </w:pPr>
    </w:p>
    <w:p w:rsidR="00CF4CBF" w:rsidRDefault="00CF4CBF" w:rsidP="00CF4CBF">
      <w:pPr>
        <w:tabs>
          <w:tab w:val="left" w:pos="550"/>
        </w:tabs>
        <w:rPr>
          <w:szCs w:val="22"/>
        </w:rPr>
      </w:pPr>
      <w:r>
        <w:rPr>
          <w:szCs w:val="22"/>
        </w:rPr>
        <w:t>The EPC of 1977 excludes computer programs “</w:t>
      </w:r>
      <w:r>
        <w:rPr>
          <w:i/>
          <w:szCs w:val="22"/>
        </w:rPr>
        <w:t>as such</w:t>
      </w:r>
      <w:r w:rsidR="00CE6C9E">
        <w:rPr>
          <w:szCs w:val="22"/>
        </w:rPr>
        <w:t>” from patent protection.  The</w:t>
      </w:r>
      <w:r>
        <w:rPr>
          <w:szCs w:val="22"/>
        </w:rPr>
        <w:t xml:space="preserve"> wording appears in Article 52(3) of the European Patent Convention and has enabled the EPO Board of Appeal to find that computer programs “</w:t>
      </w:r>
      <w:r>
        <w:rPr>
          <w:i/>
          <w:szCs w:val="22"/>
        </w:rPr>
        <w:t>as such</w:t>
      </w:r>
      <w:r>
        <w:rPr>
          <w:szCs w:val="22"/>
        </w:rPr>
        <w:t>” are excluded from patentability, but not if they produce a “</w:t>
      </w:r>
      <w:r>
        <w:rPr>
          <w:i/>
          <w:szCs w:val="22"/>
        </w:rPr>
        <w:t>further technical effect</w:t>
      </w:r>
      <w:r>
        <w:rPr>
          <w:szCs w:val="22"/>
        </w:rPr>
        <w:t>”.  The “</w:t>
      </w:r>
      <w:r>
        <w:rPr>
          <w:i/>
          <w:szCs w:val="22"/>
        </w:rPr>
        <w:t>technical effect</w:t>
      </w:r>
      <w:r>
        <w:rPr>
          <w:szCs w:val="22"/>
        </w:rPr>
        <w:t>” requirement comes from EPO Board of Appeal decisions interpreting Rule 43 of the EPC.  This rule defines that “</w:t>
      </w:r>
      <w:r>
        <w:rPr>
          <w:i/>
          <w:szCs w:val="22"/>
        </w:rPr>
        <w:t>the claims shall define the matter for which protection is sought in terms of the technical features of the invention</w:t>
      </w:r>
      <w:r>
        <w:rPr>
          <w:szCs w:val="22"/>
        </w:rPr>
        <w:t>”.</w:t>
      </w:r>
    </w:p>
    <w:p w:rsidR="00CF4CBF" w:rsidRDefault="00CF4CBF" w:rsidP="00CF4CBF">
      <w:pPr>
        <w:tabs>
          <w:tab w:val="left" w:pos="550"/>
        </w:tabs>
        <w:rPr>
          <w:szCs w:val="22"/>
        </w:rPr>
      </w:pPr>
    </w:p>
    <w:p w:rsidR="00CF4CBF" w:rsidRDefault="00CF4CBF" w:rsidP="00CF4CBF">
      <w:pPr>
        <w:tabs>
          <w:tab w:val="left" w:pos="550"/>
        </w:tabs>
        <w:rPr>
          <w:szCs w:val="22"/>
        </w:rPr>
      </w:pPr>
      <w:r>
        <w:rPr>
          <w:szCs w:val="22"/>
        </w:rPr>
        <w:t>The EPO approach has been developed over a considerable period of time</w:t>
      </w:r>
      <w:r w:rsidR="00794895">
        <w:rPr>
          <w:szCs w:val="22"/>
        </w:rPr>
        <w:t xml:space="preserve"> but</w:t>
      </w:r>
      <w:r>
        <w:rPr>
          <w:szCs w:val="22"/>
        </w:rPr>
        <w:t xml:space="preserve"> the approach has been often criticised as being inconsistent and contradictory to the EPC itself</w:t>
      </w:r>
      <w:r w:rsidR="00794895">
        <w:rPr>
          <w:rStyle w:val="FootnoteReference"/>
          <w:szCs w:val="22"/>
        </w:rPr>
        <w:footnoteReference w:id="9"/>
      </w:r>
      <w:r>
        <w:rPr>
          <w:szCs w:val="22"/>
        </w:rPr>
        <w:t>.  For example, the UK Court of Appeal has said "The decisions of the EPO Boards of Appeal are mutually contradictory" and its approach in two decisions "is si</w:t>
      </w:r>
      <w:r w:rsidR="00C756E7">
        <w:rPr>
          <w:szCs w:val="22"/>
        </w:rPr>
        <w:t>mply not intellectually honest"</w:t>
      </w:r>
      <w:r w:rsidR="00C756E7">
        <w:rPr>
          <w:rStyle w:val="FootnoteReference"/>
          <w:szCs w:val="22"/>
        </w:rPr>
        <w:footnoteReference w:id="10"/>
      </w:r>
      <w:r>
        <w:rPr>
          <w:szCs w:val="22"/>
        </w:rPr>
        <w:t>.  The EPO Board of Appeals in reply said the UK Court of Appeal approach "is not consistent with a good-faith interpretation of the European Patent Convention</w:t>
      </w:r>
      <w:r w:rsidR="00C756E7">
        <w:rPr>
          <w:rStyle w:val="FootnoteReference"/>
          <w:szCs w:val="22"/>
        </w:rPr>
        <w:footnoteReference w:id="11"/>
      </w:r>
      <w:r>
        <w:rPr>
          <w:szCs w:val="22"/>
        </w:rPr>
        <w:t xml:space="preserve">.  </w:t>
      </w:r>
    </w:p>
    <w:p w:rsidR="00CF4CBF" w:rsidRDefault="00CF4CBF" w:rsidP="00CF4CBF">
      <w:pPr>
        <w:tabs>
          <w:tab w:val="left" w:pos="550"/>
        </w:tabs>
        <w:rPr>
          <w:szCs w:val="22"/>
        </w:rPr>
      </w:pPr>
    </w:p>
    <w:p w:rsidR="00CF4CBF" w:rsidRDefault="00CF4CBF" w:rsidP="00CF4CBF">
      <w:pPr>
        <w:tabs>
          <w:tab w:val="left" w:pos="550"/>
        </w:tabs>
        <w:rPr>
          <w:szCs w:val="22"/>
        </w:rPr>
      </w:pPr>
      <w:r>
        <w:rPr>
          <w:szCs w:val="22"/>
        </w:rPr>
        <w:t xml:space="preserve">The complications and confusion that has arisen over </w:t>
      </w:r>
      <w:r w:rsidR="00B3010A">
        <w:rPr>
          <w:szCs w:val="22"/>
        </w:rPr>
        <w:t>the interpretation of Article 52</w:t>
      </w:r>
      <w:r>
        <w:rPr>
          <w:szCs w:val="22"/>
        </w:rPr>
        <w:t xml:space="preserve"> of the European Patent Convention, and the equivalent provisions in the UK, has seen the UK Intellectual Property Office exclude an entire class of subject matter from protection on 2 November 2006, only to have to overturn its practice 15 months later on 7 February 2008.  </w:t>
      </w:r>
    </w:p>
    <w:p w:rsidR="00CF4CBF" w:rsidRDefault="00CF4CBF" w:rsidP="00CF4CBF">
      <w:pPr>
        <w:tabs>
          <w:tab w:val="left" w:pos="550"/>
        </w:tabs>
        <w:rPr>
          <w:szCs w:val="22"/>
        </w:rPr>
      </w:pPr>
    </w:p>
    <w:p w:rsidR="009126FA" w:rsidRDefault="00CF4CBF" w:rsidP="00CF4CBF">
      <w:pPr>
        <w:tabs>
          <w:tab w:val="left" w:pos="550"/>
        </w:tabs>
        <w:rPr>
          <w:szCs w:val="22"/>
        </w:rPr>
      </w:pPr>
      <w:r>
        <w:rPr>
          <w:szCs w:val="22"/>
        </w:rPr>
        <w:t xml:space="preserve">In October 2008, the President of the EPO was so concerned she asked the EPO Enlarged Board of Appeal to consider a set of questions concerning the patentability of programs for computers.  </w:t>
      </w:r>
      <w:r w:rsidR="006041F7">
        <w:rPr>
          <w:szCs w:val="22"/>
        </w:rPr>
        <w:t>In its Opinion</w:t>
      </w:r>
      <w:r w:rsidR="006041F7">
        <w:rPr>
          <w:rStyle w:val="FootnoteReference"/>
          <w:szCs w:val="22"/>
        </w:rPr>
        <w:footnoteReference w:id="12"/>
      </w:r>
      <w:r w:rsidR="006041F7">
        <w:rPr>
          <w:szCs w:val="22"/>
        </w:rPr>
        <w:t xml:space="preserve"> of May 2010,</w:t>
      </w:r>
      <w:r>
        <w:rPr>
          <w:szCs w:val="22"/>
        </w:rPr>
        <w:t xml:space="preserve"> the Enlarged Board </w:t>
      </w:r>
      <w:r w:rsidR="006041F7">
        <w:rPr>
          <w:szCs w:val="22"/>
        </w:rPr>
        <w:t>justified the EPO approach and highlighted</w:t>
      </w:r>
      <w:r>
        <w:rPr>
          <w:szCs w:val="22"/>
        </w:rPr>
        <w:t xml:space="preserve"> t</w:t>
      </w:r>
      <w:r w:rsidR="000D3BBC">
        <w:rPr>
          <w:szCs w:val="22"/>
        </w:rPr>
        <w:t>he difficulties associated with a</w:t>
      </w:r>
      <w:r>
        <w:rPr>
          <w:szCs w:val="22"/>
        </w:rPr>
        <w:t xml:space="preserve"> statutory exclusion for computer programs</w:t>
      </w:r>
      <w:r w:rsidR="000D3BBC">
        <w:rPr>
          <w:rStyle w:val="FootnoteReference"/>
          <w:szCs w:val="22"/>
        </w:rPr>
        <w:footnoteReference w:id="13"/>
      </w:r>
      <w:r>
        <w:rPr>
          <w:szCs w:val="22"/>
        </w:rPr>
        <w:t>.</w:t>
      </w:r>
    </w:p>
    <w:p w:rsidR="009126FA" w:rsidRDefault="009126FA" w:rsidP="00CF4CBF">
      <w:pPr>
        <w:tabs>
          <w:tab w:val="left" w:pos="550"/>
        </w:tabs>
        <w:rPr>
          <w:szCs w:val="22"/>
        </w:rPr>
      </w:pPr>
    </w:p>
    <w:p w:rsidR="009126FA" w:rsidRDefault="009126FA" w:rsidP="00CF4CBF">
      <w:pPr>
        <w:tabs>
          <w:tab w:val="left" w:pos="550"/>
        </w:tabs>
        <w:rPr>
          <w:szCs w:val="22"/>
        </w:rPr>
      </w:pPr>
    </w:p>
    <w:p w:rsidR="009126FA" w:rsidRDefault="009126FA" w:rsidP="00CF4CBF">
      <w:pPr>
        <w:tabs>
          <w:tab w:val="left" w:pos="550"/>
        </w:tabs>
        <w:rPr>
          <w:szCs w:val="22"/>
        </w:rPr>
      </w:pPr>
    </w:p>
    <w:p w:rsidR="009126FA" w:rsidRDefault="009126FA" w:rsidP="00CF4CBF">
      <w:pPr>
        <w:tabs>
          <w:tab w:val="left" w:pos="550"/>
        </w:tabs>
        <w:rPr>
          <w:szCs w:val="22"/>
        </w:rPr>
      </w:pPr>
    </w:p>
    <w:p w:rsidR="00CF4CBF" w:rsidRDefault="00CF4CBF" w:rsidP="00CF4CBF">
      <w:pPr>
        <w:tabs>
          <w:tab w:val="left" w:pos="550"/>
        </w:tabs>
        <w:rPr>
          <w:szCs w:val="22"/>
        </w:rPr>
      </w:pPr>
      <w:r>
        <w:rPr>
          <w:szCs w:val="22"/>
        </w:rPr>
        <w:lastRenderedPageBreak/>
        <w:t xml:space="preserve">  </w:t>
      </w:r>
    </w:p>
    <w:p w:rsidR="00CF4CBF" w:rsidRDefault="00CF4CBF" w:rsidP="00CF4CBF">
      <w:pPr>
        <w:tabs>
          <w:tab w:val="left" w:pos="550"/>
        </w:tabs>
        <w:rPr>
          <w:szCs w:val="22"/>
        </w:rPr>
      </w:pPr>
      <w:r>
        <w:rPr>
          <w:b/>
          <w:szCs w:val="22"/>
        </w:rPr>
        <w:t>Draft Recommendation 8.1</w:t>
      </w:r>
    </w:p>
    <w:p w:rsidR="00CF4CBF" w:rsidRDefault="00CF4CBF" w:rsidP="00CF4CBF">
      <w:pPr>
        <w:tabs>
          <w:tab w:val="left" w:pos="550"/>
        </w:tabs>
        <w:rPr>
          <w:szCs w:val="22"/>
        </w:rPr>
      </w:pPr>
    </w:p>
    <w:p w:rsidR="00CF4CBF" w:rsidRDefault="00CF4CBF" w:rsidP="00CF4CBF">
      <w:pPr>
        <w:tabs>
          <w:tab w:val="left" w:pos="550"/>
        </w:tabs>
        <w:rPr>
          <w:szCs w:val="22"/>
        </w:rPr>
      </w:pPr>
      <w:r>
        <w:rPr>
          <w:szCs w:val="22"/>
        </w:rPr>
        <w:t xml:space="preserve">Amending the </w:t>
      </w:r>
      <w:r w:rsidRPr="009126FA">
        <w:rPr>
          <w:i/>
          <w:szCs w:val="22"/>
        </w:rPr>
        <w:t>Patents Act</w:t>
      </w:r>
      <w:r w:rsidR="009126FA" w:rsidRPr="009126FA">
        <w:rPr>
          <w:i/>
          <w:szCs w:val="22"/>
        </w:rPr>
        <w:t xml:space="preserve"> 1990</w:t>
      </w:r>
      <w:r w:rsidR="00EB07FF">
        <w:rPr>
          <w:szCs w:val="22"/>
        </w:rPr>
        <w:t>(</w:t>
      </w:r>
      <w:proofErr w:type="spellStart"/>
      <w:r w:rsidR="00EB07FF">
        <w:rPr>
          <w:szCs w:val="22"/>
        </w:rPr>
        <w:t>Cth</w:t>
      </w:r>
      <w:proofErr w:type="spellEnd"/>
      <w:r w:rsidR="00EB07FF">
        <w:rPr>
          <w:szCs w:val="22"/>
        </w:rPr>
        <w:t xml:space="preserve">) </w:t>
      </w:r>
      <w:r>
        <w:rPr>
          <w:szCs w:val="22"/>
        </w:rPr>
        <w:t>to explicit</w:t>
      </w:r>
      <w:r w:rsidR="00F37331">
        <w:rPr>
          <w:szCs w:val="22"/>
        </w:rPr>
        <w:t>l</w:t>
      </w:r>
      <w:r>
        <w:rPr>
          <w:szCs w:val="22"/>
        </w:rPr>
        <w:t xml:space="preserve">y </w:t>
      </w:r>
      <w:r w:rsidR="00F37331">
        <w:rPr>
          <w:szCs w:val="22"/>
        </w:rPr>
        <w:t>exclude business methods and software from being patentable subject matter is not only unwarranted, but it also risks introducing the considerable u</w:t>
      </w:r>
      <w:r w:rsidR="009126FA">
        <w:rPr>
          <w:szCs w:val="22"/>
        </w:rPr>
        <w:t>ncertainty that the Productivity Commission</w:t>
      </w:r>
      <w:r w:rsidR="00F37331">
        <w:rPr>
          <w:szCs w:val="22"/>
        </w:rPr>
        <w:t xml:space="preserve"> wishes to avoid.  No other jurisdiction has introduced </w:t>
      </w:r>
      <w:r w:rsidR="009126FA">
        <w:rPr>
          <w:szCs w:val="22"/>
        </w:rPr>
        <w:t>an exclusion in its patent statute</w:t>
      </w:r>
      <w:r w:rsidR="000D2AC0">
        <w:rPr>
          <w:szCs w:val="22"/>
        </w:rPr>
        <w:t xml:space="preserve"> i</w:t>
      </w:r>
      <w:r w:rsidR="00886910">
        <w:rPr>
          <w:szCs w:val="22"/>
        </w:rPr>
        <w:t>n the form that the Commission</w:t>
      </w:r>
      <w:r w:rsidR="000D2AC0">
        <w:rPr>
          <w:szCs w:val="22"/>
        </w:rPr>
        <w:t xml:space="preserve"> proposes, and the long and torturous experience in Europe sounds a clear warning that any exclusion should be avoided.  </w:t>
      </w:r>
    </w:p>
    <w:p w:rsidR="000D2AC0" w:rsidRDefault="000D2AC0" w:rsidP="00CF4CBF">
      <w:pPr>
        <w:tabs>
          <w:tab w:val="left" w:pos="550"/>
        </w:tabs>
        <w:rPr>
          <w:szCs w:val="22"/>
        </w:rPr>
      </w:pPr>
    </w:p>
    <w:p w:rsidR="00EF5203" w:rsidRDefault="000D2AC0" w:rsidP="00CF68B1">
      <w:pPr>
        <w:tabs>
          <w:tab w:val="left" w:pos="550"/>
        </w:tabs>
        <w:rPr>
          <w:szCs w:val="22"/>
        </w:rPr>
      </w:pPr>
      <w:r>
        <w:rPr>
          <w:szCs w:val="22"/>
        </w:rPr>
        <w:t>Treating business methods and softwa</w:t>
      </w:r>
      <w:r w:rsidR="00886910">
        <w:rPr>
          <w:szCs w:val="22"/>
        </w:rPr>
        <w:t>re together, as the Commission</w:t>
      </w:r>
      <w:r w:rsidR="00B6780D">
        <w:rPr>
          <w:szCs w:val="22"/>
        </w:rPr>
        <w:t xml:space="preserve"> has done in C</w:t>
      </w:r>
      <w:r>
        <w:rPr>
          <w:szCs w:val="22"/>
        </w:rPr>
        <w:t xml:space="preserve">hapter 8, is </w:t>
      </w:r>
      <w:r w:rsidR="00FD6282">
        <w:rPr>
          <w:szCs w:val="22"/>
        </w:rPr>
        <w:t xml:space="preserve">also </w:t>
      </w:r>
      <w:r>
        <w:rPr>
          <w:szCs w:val="22"/>
        </w:rPr>
        <w:t xml:space="preserve">nonsensical </w:t>
      </w:r>
      <w:r w:rsidR="00FD6282">
        <w:rPr>
          <w:szCs w:val="22"/>
        </w:rPr>
        <w:t>and illogical</w:t>
      </w:r>
      <w:r w:rsidR="00EF5203">
        <w:rPr>
          <w:szCs w:val="22"/>
        </w:rPr>
        <w:t>.</w:t>
      </w:r>
    </w:p>
    <w:p w:rsidR="00EF5203" w:rsidRDefault="00EF5203" w:rsidP="00CF68B1">
      <w:pPr>
        <w:tabs>
          <w:tab w:val="left" w:pos="550"/>
        </w:tabs>
        <w:rPr>
          <w:szCs w:val="22"/>
        </w:rPr>
      </w:pPr>
    </w:p>
    <w:p w:rsidR="00EF5203" w:rsidRDefault="00EF5203" w:rsidP="00CF68B1">
      <w:pPr>
        <w:tabs>
          <w:tab w:val="left" w:pos="550"/>
        </w:tabs>
        <w:rPr>
          <w:szCs w:val="22"/>
        </w:rPr>
      </w:pPr>
      <w:r>
        <w:rPr>
          <w:szCs w:val="22"/>
        </w:rPr>
        <w:t>B</w:t>
      </w:r>
      <w:r w:rsidR="000D2AC0">
        <w:rPr>
          <w:szCs w:val="22"/>
        </w:rPr>
        <w:t xml:space="preserve">usiness methods </w:t>
      </w:r>
      <w:r>
        <w:rPr>
          <w:szCs w:val="22"/>
        </w:rPr>
        <w:t>relate</w:t>
      </w:r>
      <w:r w:rsidR="000D2AC0">
        <w:rPr>
          <w:szCs w:val="22"/>
        </w:rPr>
        <w:t xml:space="preserve"> to </w:t>
      </w:r>
      <w:r>
        <w:rPr>
          <w:szCs w:val="22"/>
        </w:rPr>
        <w:t xml:space="preserve">operating an economic enterprise and are </w:t>
      </w:r>
      <w:r w:rsidR="005D5AFC">
        <w:rPr>
          <w:szCs w:val="22"/>
        </w:rPr>
        <w:t>economic and commercial processes</w:t>
      </w:r>
      <w:r>
        <w:rPr>
          <w:szCs w:val="22"/>
        </w:rPr>
        <w:t>.</w:t>
      </w:r>
    </w:p>
    <w:p w:rsidR="00EF5203" w:rsidRDefault="00EF5203" w:rsidP="00CF68B1">
      <w:pPr>
        <w:tabs>
          <w:tab w:val="left" w:pos="550"/>
        </w:tabs>
        <w:rPr>
          <w:szCs w:val="22"/>
        </w:rPr>
      </w:pPr>
    </w:p>
    <w:p w:rsidR="00CF68B1" w:rsidRDefault="00EF5203" w:rsidP="00CF68B1">
      <w:pPr>
        <w:tabs>
          <w:tab w:val="left" w:pos="550"/>
        </w:tabs>
        <w:rPr>
          <w:szCs w:val="22"/>
        </w:rPr>
      </w:pPr>
      <w:r>
        <w:rPr>
          <w:szCs w:val="22"/>
        </w:rPr>
        <w:t>S</w:t>
      </w:r>
      <w:r w:rsidR="004762F4">
        <w:rPr>
          <w:szCs w:val="22"/>
        </w:rPr>
        <w:t>oftware relates to computer science and is used to cause a machine to execute a wide variety of tasks, including</w:t>
      </w:r>
      <w:r w:rsidR="00CF68B1">
        <w:rPr>
          <w:szCs w:val="22"/>
        </w:rPr>
        <w:t xml:space="preserve"> </w:t>
      </w:r>
      <w:r w:rsidR="004762F4" w:rsidRPr="00CF68B1">
        <w:rPr>
          <w:szCs w:val="22"/>
        </w:rPr>
        <w:t>contr</w:t>
      </w:r>
      <w:r w:rsidR="00CF68B1" w:rsidRPr="00CF68B1">
        <w:rPr>
          <w:szCs w:val="22"/>
        </w:rPr>
        <w:t>olling</w:t>
      </w:r>
      <w:r w:rsidR="00CF68B1">
        <w:rPr>
          <w:szCs w:val="22"/>
        </w:rPr>
        <w:t>:</w:t>
      </w:r>
    </w:p>
    <w:p w:rsidR="00CF68B1" w:rsidRDefault="00CF68B1" w:rsidP="00CF68B1">
      <w:pPr>
        <w:pStyle w:val="ListParagraph"/>
        <w:numPr>
          <w:ilvl w:val="0"/>
          <w:numId w:val="30"/>
        </w:numPr>
        <w:tabs>
          <w:tab w:val="left" w:pos="550"/>
        </w:tabs>
        <w:rPr>
          <w:szCs w:val="22"/>
        </w:rPr>
      </w:pPr>
      <w:r w:rsidRPr="00CF68B1">
        <w:rPr>
          <w:szCs w:val="22"/>
        </w:rPr>
        <w:t>power and energy systems</w:t>
      </w:r>
      <w:r>
        <w:rPr>
          <w:szCs w:val="22"/>
        </w:rPr>
        <w:t>;</w:t>
      </w:r>
    </w:p>
    <w:p w:rsidR="00CF68B1" w:rsidRDefault="004762F4" w:rsidP="00CF68B1">
      <w:pPr>
        <w:pStyle w:val="ListParagraph"/>
        <w:numPr>
          <w:ilvl w:val="0"/>
          <w:numId w:val="30"/>
        </w:numPr>
        <w:tabs>
          <w:tab w:val="left" w:pos="550"/>
        </w:tabs>
        <w:rPr>
          <w:szCs w:val="22"/>
        </w:rPr>
      </w:pPr>
      <w:r w:rsidRPr="00CF68B1">
        <w:rPr>
          <w:szCs w:val="22"/>
        </w:rPr>
        <w:t>wireless</w:t>
      </w:r>
      <w:r w:rsidR="00CF68B1">
        <w:rPr>
          <w:szCs w:val="22"/>
        </w:rPr>
        <w:t xml:space="preserve">, </w:t>
      </w:r>
      <w:r w:rsidRPr="00CF68B1">
        <w:rPr>
          <w:szCs w:val="22"/>
        </w:rPr>
        <w:t>optical a</w:t>
      </w:r>
      <w:r w:rsidR="00CF68B1">
        <w:rPr>
          <w:szCs w:val="22"/>
        </w:rPr>
        <w:t>nd fixed communications systems;</w:t>
      </w:r>
    </w:p>
    <w:p w:rsidR="00CF68B1" w:rsidRDefault="004762F4" w:rsidP="00CF68B1">
      <w:pPr>
        <w:pStyle w:val="ListParagraph"/>
        <w:numPr>
          <w:ilvl w:val="0"/>
          <w:numId w:val="30"/>
        </w:numPr>
        <w:tabs>
          <w:tab w:val="left" w:pos="550"/>
        </w:tabs>
        <w:rPr>
          <w:szCs w:val="22"/>
        </w:rPr>
      </w:pPr>
      <w:r w:rsidRPr="00CF68B1">
        <w:rPr>
          <w:szCs w:val="22"/>
        </w:rPr>
        <w:t xml:space="preserve">signal, image and video processing, including </w:t>
      </w:r>
      <w:r w:rsidR="00B6780D" w:rsidRPr="00CF68B1">
        <w:rPr>
          <w:szCs w:val="22"/>
        </w:rPr>
        <w:t>pattern</w:t>
      </w:r>
      <w:r w:rsidRPr="00CF68B1">
        <w:rPr>
          <w:szCs w:val="22"/>
        </w:rPr>
        <w:t xml:space="preserve"> </w:t>
      </w:r>
      <w:r w:rsidR="00CF68B1">
        <w:rPr>
          <w:szCs w:val="22"/>
        </w:rPr>
        <w:t>recognition and object tracking;</w:t>
      </w:r>
    </w:p>
    <w:p w:rsidR="00CF68B1" w:rsidRDefault="004B201C" w:rsidP="00CF68B1">
      <w:pPr>
        <w:pStyle w:val="ListParagraph"/>
        <w:numPr>
          <w:ilvl w:val="0"/>
          <w:numId w:val="30"/>
        </w:numPr>
        <w:tabs>
          <w:tab w:val="left" w:pos="550"/>
        </w:tabs>
        <w:rPr>
          <w:szCs w:val="22"/>
        </w:rPr>
      </w:pPr>
      <w:r w:rsidRPr="00CF68B1">
        <w:rPr>
          <w:szCs w:val="22"/>
        </w:rPr>
        <w:t>bio</w:t>
      </w:r>
      <w:r w:rsidR="00CF68B1">
        <w:rPr>
          <w:szCs w:val="22"/>
        </w:rPr>
        <w:t>medical applications;</w:t>
      </w:r>
    </w:p>
    <w:p w:rsidR="00F00B75" w:rsidRDefault="00CF68B1" w:rsidP="00CF68B1">
      <w:pPr>
        <w:pStyle w:val="ListParagraph"/>
        <w:numPr>
          <w:ilvl w:val="0"/>
          <w:numId w:val="30"/>
        </w:numPr>
        <w:tabs>
          <w:tab w:val="left" w:pos="550"/>
        </w:tabs>
        <w:rPr>
          <w:szCs w:val="22"/>
        </w:rPr>
      </w:pPr>
      <w:r>
        <w:rPr>
          <w:szCs w:val="22"/>
        </w:rPr>
        <w:t>v</w:t>
      </w:r>
      <w:r w:rsidR="004B201C" w:rsidRPr="00CF68B1">
        <w:rPr>
          <w:szCs w:val="22"/>
        </w:rPr>
        <w:t>ehicle</w:t>
      </w:r>
      <w:r w:rsidR="00FD6282">
        <w:rPr>
          <w:szCs w:val="22"/>
        </w:rPr>
        <w:t>s</w:t>
      </w:r>
      <w:r w:rsidR="004B201C" w:rsidRPr="00CF68B1">
        <w:rPr>
          <w:szCs w:val="22"/>
        </w:rPr>
        <w:t xml:space="preserve">, including aerial, aerospace, </w:t>
      </w:r>
      <w:r>
        <w:rPr>
          <w:szCs w:val="22"/>
        </w:rPr>
        <w:t xml:space="preserve">and </w:t>
      </w:r>
      <w:r w:rsidR="00EE1F38">
        <w:rPr>
          <w:szCs w:val="22"/>
        </w:rPr>
        <w:t>marine vehicles</w:t>
      </w:r>
      <w:r w:rsidR="00F00B75">
        <w:rPr>
          <w:szCs w:val="22"/>
        </w:rPr>
        <w:t>;</w:t>
      </w:r>
    </w:p>
    <w:p w:rsidR="00EE1F38" w:rsidRDefault="00EE1F38" w:rsidP="00CF68B1">
      <w:pPr>
        <w:pStyle w:val="ListParagraph"/>
        <w:numPr>
          <w:ilvl w:val="0"/>
          <w:numId w:val="30"/>
        </w:numPr>
        <w:tabs>
          <w:tab w:val="left" w:pos="550"/>
        </w:tabs>
        <w:rPr>
          <w:szCs w:val="22"/>
        </w:rPr>
      </w:pPr>
      <w:r>
        <w:rPr>
          <w:szCs w:val="22"/>
        </w:rPr>
        <w:t>intelligent transportation systems;</w:t>
      </w:r>
    </w:p>
    <w:p w:rsidR="00EE1F38" w:rsidRDefault="004B201C" w:rsidP="00CF68B1">
      <w:pPr>
        <w:pStyle w:val="ListParagraph"/>
        <w:numPr>
          <w:ilvl w:val="0"/>
          <w:numId w:val="30"/>
        </w:numPr>
        <w:tabs>
          <w:tab w:val="left" w:pos="550"/>
        </w:tabs>
        <w:rPr>
          <w:szCs w:val="22"/>
        </w:rPr>
      </w:pPr>
      <w:r w:rsidRPr="00CF68B1">
        <w:rPr>
          <w:szCs w:val="22"/>
        </w:rPr>
        <w:t>robotics</w:t>
      </w:r>
      <w:r w:rsidR="00EE1F38">
        <w:rPr>
          <w:szCs w:val="22"/>
        </w:rPr>
        <w:t>;</w:t>
      </w:r>
    </w:p>
    <w:p w:rsidR="00EE1F38" w:rsidRDefault="00EE1F38" w:rsidP="00EE1F38">
      <w:pPr>
        <w:pStyle w:val="ListParagraph"/>
        <w:numPr>
          <w:ilvl w:val="0"/>
          <w:numId w:val="30"/>
        </w:numPr>
        <w:tabs>
          <w:tab w:val="left" w:pos="550"/>
        </w:tabs>
        <w:rPr>
          <w:szCs w:val="22"/>
        </w:rPr>
      </w:pPr>
      <w:r>
        <w:rPr>
          <w:szCs w:val="22"/>
        </w:rPr>
        <w:t xml:space="preserve">sensors; </w:t>
      </w:r>
      <w:r w:rsidR="004B201C" w:rsidRPr="00EE1F38">
        <w:rPr>
          <w:szCs w:val="22"/>
        </w:rPr>
        <w:t>and</w:t>
      </w:r>
    </w:p>
    <w:p w:rsidR="00EE1F38" w:rsidRDefault="004B201C" w:rsidP="00EE1F38">
      <w:pPr>
        <w:pStyle w:val="ListParagraph"/>
        <w:numPr>
          <w:ilvl w:val="0"/>
          <w:numId w:val="30"/>
        </w:numPr>
        <w:tabs>
          <w:tab w:val="left" w:pos="550"/>
        </w:tabs>
        <w:rPr>
          <w:szCs w:val="22"/>
        </w:rPr>
      </w:pPr>
      <w:r w:rsidRPr="00EE1F38">
        <w:rPr>
          <w:szCs w:val="22"/>
        </w:rPr>
        <w:t>data analytics.</w:t>
      </w:r>
    </w:p>
    <w:p w:rsidR="00EE1F38" w:rsidRDefault="00EE1F38" w:rsidP="00EE1F38">
      <w:pPr>
        <w:tabs>
          <w:tab w:val="left" w:pos="550"/>
        </w:tabs>
        <w:rPr>
          <w:szCs w:val="22"/>
        </w:rPr>
      </w:pPr>
    </w:p>
    <w:p w:rsidR="001D2E3D" w:rsidRDefault="004B201C" w:rsidP="00EE1F38">
      <w:pPr>
        <w:tabs>
          <w:tab w:val="left" w:pos="550"/>
        </w:tabs>
        <w:rPr>
          <w:szCs w:val="22"/>
        </w:rPr>
      </w:pPr>
      <w:r w:rsidRPr="00EE1F38">
        <w:rPr>
          <w:szCs w:val="22"/>
        </w:rPr>
        <w:t xml:space="preserve">Software is critical to solving many of the problems of today's society, including </w:t>
      </w:r>
      <w:r w:rsidR="002B3B17">
        <w:rPr>
          <w:szCs w:val="22"/>
        </w:rPr>
        <w:t xml:space="preserve">environmental applications and </w:t>
      </w:r>
      <w:r w:rsidRPr="00EE1F38">
        <w:rPr>
          <w:szCs w:val="22"/>
        </w:rPr>
        <w:t>applications to perform data analytics and pattern recognition on patient data to detect various conditions, including predisposition to physiological and psychological conditions.</w:t>
      </w:r>
    </w:p>
    <w:p w:rsidR="001D2E3D" w:rsidRDefault="001D2E3D" w:rsidP="00EE1F38">
      <w:pPr>
        <w:tabs>
          <w:tab w:val="left" w:pos="550"/>
        </w:tabs>
        <w:rPr>
          <w:szCs w:val="22"/>
        </w:rPr>
      </w:pPr>
    </w:p>
    <w:p w:rsidR="000D2AC0" w:rsidRPr="00EE1F38" w:rsidRDefault="004B201C" w:rsidP="00EE1F38">
      <w:pPr>
        <w:tabs>
          <w:tab w:val="left" w:pos="550"/>
        </w:tabs>
        <w:rPr>
          <w:szCs w:val="22"/>
        </w:rPr>
      </w:pPr>
      <w:r w:rsidRPr="00EE1F38">
        <w:rPr>
          <w:szCs w:val="22"/>
        </w:rPr>
        <w:t xml:space="preserve">Developers of business methods and software </w:t>
      </w:r>
      <w:r w:rsidR="00FD6282">
        <w:rPr>
          <w:szCs w:val="22"/>
        </w:rPr>
        <w:t xml:space="preserve">also </w:t>
      </w:r>
      <w:r w:rsidR="001D2E3D">
        <w:rPr>
          <w:szCs w:val="22"/>
        </w:rPr>
        <w:t xml:space="preserve">usually </w:t>
      </w:r>
      <w:r w:rsidR="00165CB1">
        <w:rPr>
          <w:szCs w:val="22"/>
        </w:rPr>
        <w:t xml:space="preserve">have </w:t>
      </w:r>
      <w:r w:rsidR="001D2E3D">
        <w:rPr>
          <w:szCs w:val="22"/>
        </w:rPr>
        <w:t>entirely different</w:t>
      </w:r>
      <w:r w:rsidR="00D767D4">
        <w:rPr>
          <w:szCs w:val="22"/>
        </w:rPr>
        <w:t xml:space="preserve"> educational</w:t>
      </w:r>
      <w:r w:rsidR="008D0C5E" w:rsidRPr="00EE1F38">
        <w:rPr>
          <w:szCs w:val="22"/>
        </w:rPr>
        <w:t xml:space="preserve"> backgrounds</w:t>
      </w:r>
      <w:r w:rsidR="00D767D4">
        <w:rPr>
          <w:szCs w:val="22"/>
        </w:rPr>
        <w:t xml:space="preserve"> and experience</w:t>
      </w:r>
      <w:r w:rsidR="008D0C5E" w:rsidRPr="00EE1F38">
        <w:rPr>
          <w:szCs w:val="22"/>
        </w:rPr>
        <w:t xml:space="preserve">.  </w:t>
      </w:r>
    </w:p>
    <w:p w:rsidR="008D0C5E" w:rsidRDefault="008D0C5E" w:rsidP="00CF4CBF">
      <w:pPr>
        <w:tabs>
          <w:tab w:val="left" w:pos="550"/>
        </w:tabs>
        <w:rPr>
          <w:szCs w:val="22"/>
        </w:rPr>
      </w:pPr>
    </w:p>
    <w:p w:rsidR="00F64CE1" w:rsidRDefault="002B3B17" w:rsidP="000E3A11">
      <w:pPr>
        <w:ind w:right="-46"/>
      </w:pPr>
      <w:r>
        <w:t>T</w:t>
      </w:r>
      <w:r w:rsidR="008D0C5E">
        <w:t xml:space="preserve">he Full Federal Court </w:t>
      </w:r>
      <w:r w:rsidR="00024470">
        <w:t xml:space="preserve">in </w:t>
      </w:r>
      <w:r w:rsidR="00024470" w:rsidRPr="00F64CE1">
        <w:rPr>
          <w:i/>
        </w:rPr>
        <w:t>Grant</w:t>
      </w:r>
      <w:r w:rsidR="00024470">
        <w:rPr>
          <w:rStyle w:val="FootnoteReference"/>
        </w:rPr>
        <w:footnoteReference w:id="14"/>
      </w:r>
      <w:r w:rsidR="00024470">
        <w:t xml:space="preserve"> </w:t>
      </w:r>
      <w:r w:rsidR="00E42212">
        <w:t xml:space="preserve">has </w:t>
      </w:r>
      <w:r w:rsidR="008D0C5E">
        <w:t xml:space="preserve">made it clear that </w:t>
      </w:r>
      <w:r w:rsidR="00165CB1">
        <w:t>"a mere scheme, an abstract idea, mere</w:t>
      </w:r>
      <w:r w:rsidR="00344212">
        <w:t xml:space="preserve"> </w:t>
      </w:r>
      <w:r w:rsidR="00165CB1">
        <w:t xml:space="preserve">intellectual information … </w:t>
      </w:r>
      <w:r w:rsidR="00344212">
        <w:t>has never been held to be patentable</w:t>
      </w:r>
      <w:r w:rsidR="00344212">
        <w:rPr>
          <w:rStyle w:val="FootnoteReference"/>
        </w:rPr>
        <w:footnoteReference w:id="15"/>
      </w:r>
      <w:r w:rsidR="00344212">
        <w:t>.</w:t>
      </w:r>
    </w:p>
    <w:p w:rsidR="00F64CE1" w:rsidRDefault="00F64CE1" w:rsidP="000E3A11">
      <w:pPr>
        <w:ind w:right="-46"/>
      </w:pPr>
    </w:p>
    <w:p w:rsidR="008D0C5E" w:rsidRDefault="00344212" w:rsidP="000E3A11">
      <w:pPr>
        <w:ind w:right="-46"/>
      </w:pPr>
      <w:r>
        <w:t xml:space="preserve">The Full Federal Court in </w:t>
      </w:r>
      <w:r w:rsidRPr="00F64CE1">
        <w:rPr>
          <w:i/>
        </w:rPr>
        <w:t>RPL Central</w:t>
      </w:r>
      <w:r w:rsidR="00F83586">
        <w:rPr>
          <w:rStyle w:val="FootnoteReference"/>
        </w:rPr>
        <w:footnoteReference w:id="16"/>
      </w:r>
      <w:r w:rsidR="00E42212">
        <w:t xml:space="preserve"> has further clarified</w:t>
      </w:r>
      <w:r w:rsidR="000D542D">
        <w:t xml:space="preserve"> </w:t>
      </w:r>
      <w:r>
        <w:t xml:space="preserve">that </w:t>
      </w:r>
      <w:r w:rsidRPr="000D542D">
        <w:rPr>
          <w:u w:val="single"/>
        </w:rPr>
        <w:t>a technical innovation is patentable but a business innovation is</w:t>
      </w:r>
      <w:r w:rsidR="00F83586" w:rsidRPr="000D542D">
        <w:rPr>
          <w:u w:val="single"/>
        </w:rPr>
        <w:t xml:space="preserve"> </w:t>
      </w:r>
      <w:r w:rsidR="00F83586" w:rsidRPr="009C6CAF">
        <w:rPr>
          <w:u w:val="single"/>
        </w:rPr>
        <w:t>not</w:t>
      </w:r>
      <w:r w:rsidR="000D542D" w:rsidRPr="001375AE">
        <w:rPr>
          <w:rStyle w:val="FootnoteReference"/>
        </w:rPr>
        <w:footnoteReference w:id="17"/>
      </w:r>
      <w:r w:rsidR="000D542D" w:rsidRPr="001375AE">
        <w:t>.</w:t>
      </w:r>
      <w:r w:rsidR="000D542D">
        <w:t xml:space="preserve">  </w:t>
      </w:r>
      <w:r w:rsidR="00E42212">
        <w:t xml:space="preserve">The Court concluded </w:t>
      </w:r>
      <w:r w:rsidR="001375AE">
        <w:t>"</w:t>
      </w:r>
      <w:r w:rsidR="001375AE" w:rsidRPr="001375AE">
        <w:t xml:space="preserve">the claimed invention is to a scheme or </w:t>
      </w:r>
      <w:r w:rsidR="001375AE" w:rsidRPr="001375AE">
        <w:rPr>
          <w:u w:val="single"/>
        </w:rPr>
        <w:t>a business method that is not properly the subject of letters patent</w:t>
      </w:r>
      <w:r w:rsidR="001375AE">
        <w:t>"</w:t>
      </w:r>
      <w:r w:rsidR="009C6CAF">
        <w:rPr>
          <w:rStyle w:val="FootnoteReference"/>
        </w:rPr>
        <w:footnoteReference w:id="18"/>
      </w:r>
      <w:r w:rsidR="001375AE">
        <w:t xml:space="preserve">  </w:t>
      </w:r>
      <w:r w:rsidR="000D542D" w:rsidRPr="001375AE">
        <w:t>T</w:t>
      </w:r>
      <w:r w:rsidR="004438EB" w:rsidRPr="001375AE">
        <w:t>he</w:t>
      </w:r>
      <w:r w:rsidR="004438EB">
        <w:t xml:space="preserve"> High Court has dismissed RPL Central's </w:t>
      </w:r>
      <w:r w:rsidR="009C6CAF">
        <w:t>application for special lea</w:t>
      </w:r>
      <w:r w:rsidR="000B1364">
        <w:t xml:space="preserve">ve to </w:t>
      </w:r>
      <w:r w:rsidR="004438EB">
        <w:t xml:space="preserve">appeal.  </w:t>
      </w:r>
    </w:p>
    <w:p w:rsidR="004438EB" w:rsidRDefault="004438EB" w:rsidP="000E3A11">
      <w:pPr>
        <w:ind w:right="-46"/>
      </w:pPr>
    </w:p>
    <w:p w:rsidR="004438EB" w:rsidRDefault="00680096" w:rsidP="000E3A11">
      <w:pPr>
        <w:ind w:right="-46"/>
      </w:pPr>
      <w:r>
        <w:t>Unlike business methods, s</w:t>
      </w:r>
      <w:r w:rsidR="00A60DD7">
        <w:t>oftware</w:t>
      </w:r>
      <w:r>
        <w:t xml:space="preserve"> (like hardware)</w:t>
      </w:r>
      <w:r w:rsidR="004438EB">
        <w:t xml:space="preserve"> lies in the technical arts and is susceptible to patent protection.</w:t>
      </w:r>
    </w:p>
    <w:p w:rsidR="004438EB" w:rsidRDefault="004438EB" w:rsidP="000E3A11">
      <w:pPr>
        <w:ind w:right="-46"/>
      </w:pPr>
    </w:p>
    <w:p w:rsidR="00CC2009" w:rsidRDefault="00CC2009" w:rsidP="000E3A11">
      <w:pPr>
        <w:ind w:right="-46"/>
      </w:pPr>
      <w:r>
        <w:t xml:space="preserve">Yet there are </w:t>
      </w:r>
      <w:r w:rsidR="004438EB">
        <w:t>a number of barriers associated with obtaining patent protection for</w:t>
      </w:r>
      <w:r>
        <w:t xml:space="preserve"> software in Australia.</w:t>
      </w:r>
    </w:p>
    <w:p w:rsidR="00CC2009" w:rsidRDefault="00CC2009" w:rsidP="000E3A11">
      <w:pPr>
        <w:ind w:right="-46"/>
      </w:pPr>
    </w:p>
    <w:p w:rsidR="00CC2009" w:rsidRDefault="00CC2009" w:rsidP="00CC2009">
      <w:pPr>
        <w:pStyle w:val="ListParagraph"/>
        <w:numPr>
          <w:ilvl w:val="0"/>
          <w:numId w:val="31"/>
        </w:numPr>
        <w:ind w:right="-46"/>
      </w:pPr>
      <w:r>
        <w:lastRenderedPageBreak/>
        <w:t>T</w:t>
      </w:r>
      <w:r w:rsidR="00FC6F31">
        <w:t>he cost and time</w:t>
      </w:r>
      <w:r w:rsidR="004438EB">
        <w:t xml:space="preserve"> associated with prosecuting a patent application and obtaining a patent</w:t>
      </w:r>
      <w:r w:rsidR="002B72E1">
        <w:t>.</w:t>
      </w:r>
    </w:p>
    <w:p w:rsidR="00CC2009" w:rsidRDefault="00CC2009" w:rsidP="00CC2009">
      <w:pPr>
        <w:pStyle w:val="ListParagraph"/>
        <w:numPr>
          <w:ilvl w:val="0"/>
          <w:numId w:val="31"/>
        </w:numPr>
        <w:ind w:right="-46"/>
      </w:pPr>
      <w:r>
        <w:t>T</w:t>
      </w:r>
      <w:r w:rsidR="004438EB">
        <w:t>he paten</w:t>
      </w:r>
      <w:r>
        <w:t>table</w:t>
      </w:r>
      <w:r w:rsidR="00DB2D37">
        <w:t xml:space="preserve"> subject matter requirements</w:t>
      </w:r>
      <w:r>
        <w:t>.  T</w:t>
      </w:r>
      <w:r w:rsidR="00DB2D37">
        <w:t>he invention must involve a technical innovation or contribution</w:t>
      </w:r>
      <w:r>
        <w:t>,</w:t>
      </w:r>
      <w:r w:rsidR="00DB2D37">
        <w:t xml:space="preserve"> or </w:t>
      </w:r>
      <w:r>
        <w:t xml:space="preserve">an improvement in </w:t>
      </w:r>
      <w:r w:rsidR="00DB2D37">
        <w:t>computer technology.</w:t>
      </w:r>
    </w:p>
    <w:p w:rsidR="009021F7" w:rsidRDefault="00CC2009" w:rsidP="00CC2009">
      <w:pPr>
        <w:pStyle w:val="ListParagraph"/>
        <w:numPr>
          <w:ilvl w:val="0"/>
          <w:numId w:val="31"/>
        </w:numPr>
        <w:ind w:right="-46"/>
      </w:pPr>
      <w:r>
        <w:t>The invention must be novel</w:t>
      </w:r>
      <w:r w:rsidR="00A60DD7">
        <w:t>.</w:t>
      </w:r>
    </w:p>
    <w:p w:rsidR="00EB4BCE" w:rsidRDefault="009021F7" w:rsidP="00CC2009">
      <w:pPr>
        <w:pStyle w:val="ListParagraph"/>
        <w:numPr>
          <w:ilvl w:val="0"/>
          <w:numId w:val="31"/>
        </w:numPr>
        <w:ind w:right="-46"/>
      </w:pPr>
      <w:r>
        <w:t xml:space="preserve">The invention must involve an inventive step, i.e. it cannot </w:t>
      </w:r>
      <w:r w:rsidR="004549BF">
        <w:t xml:space="preserve">have </w:t>
      </w:r>
      <w:r>
        <w:t>be</w:t>
      </w:r>
      <w:r w:rsidR="004549BF">
        <w:t>en</w:t>
      </w:r>
      <w:r>
        <w:t xml:space="preserve"> obvious to other software developers</w:t>
      </w:r>
      <w:r w:rsidR="00EB4BCE">
        <w:t>.</w:t>
      </w:r>
    </w:p>
    <w:p w:rsidR="00EB4BCE" w:rsidRDefault="00EB4BCE" w:rsidP="00EB4BCE">
      <w:pPr>
        <w:ind w:right="-46"/>
      </w:pPr>
    </w:p>
    <w:p w:rsidR="00416BDD" w:rsidRDefault="00416BDD" w:rsidP="00416BDD">
      <w:pPr>
        <w:ind w:right="-46"/>
      </w:pPr>
      <w:r>
        <w:t>A patent specification describing the invention is also published 18 months after the first patent application, regardless of whether a patent is granted or not. This facilitates the distribution of knowledge concerning developments. Without patent protection for software, this information will no longer be available and developers will seek to keep their work secret, thereby hampering further development.</w:t>
      </w:r>
    </w:p>
    <w:p w:rsidR="00416BDD" w:rsidRDefault="00416BDD" w:rsidP="00416BDD">
      <w:pPr>
        <w:ind w:right="-46"/>
      </w:pPr>
      <w:r>
        <w:t xml:space="preserve">  </w:t>
      </w:r>
    </w:p>
    <w:p w:rsidR="00124018" w:rsidRDefault="00A60DD7" w:rsidP="000E3A11">
      <w:pPr>
        <w:ind w:right="-46"/>
      </w:pPr>
      <w:r>
        <w:t>S</w:t>
      </w:r>
      <w:r w:rsidR="00DB2D37">
        <w:t>oftware, unlike hardware, can be easily replicated.  Whilst copyright protection is available for software, this only protects the expression o</w:t>
      </w:r>
      <w:r w:rsidR="00124018">
        <w:t>f the code and requires a</w:t>
      </w:r>
      <w:r>
        <w:t xml:space="preserve"> causal </w:t>
      </w:r>
      <w:r w:rsidR="00DB2D37">
        <w:t>connection</w:t>
      </w:r>
      <w:r w:rsidR="00680096">
        <w:t xml:space="preserve"> to</w:t>
      </w:r>
      <w:r w:rsidR="00DB2D37">
        <w:t xml:space="preserve"> </w:t>
      </w:r>
      <w:r>
        <w:t xml:space="preserve">be established </w:t>
      </w:r>
      <w:r w:rsidR="00DB2D37">
        <w:t xml:space="preserve">between that expression and the copy that is made.  </w:t>
      </w:r>
      <w:r w:rsidR="00B20B58">
        <w:t xml:space="preserve">Copyright does not protect what </w:t>
      </w:r>
      <w:r w:rsidR="008348A1">
        <w:t xml:space="preserve">the </w:t>
      </w:r>
      <w:r w:rsidR="00B20B58">
        <w:t xml:space="preserve">software developers care most about, and that is </w:t>
      </w:r>
      <w:r w:rsidR="008348A1">
        <w:t xml:space="preserve">the functional features and the processes that the software executes.  Without patent protection, these features and processes can be replicated </w:t>
      </w:r>
      <w:r w:rsidR="00124018">
        <w:t>without even sight</w:t>
      </w:r>
      <w:r w:rsidR="008348A1">
        <w:t xml:space="preserve">ing the code.  Only patents can protect these inventive features, and it </w:t>
      </w:r>
      <w:r w:rsidR="00D571DD">
        <w:t xml:space="preserve">is </w:t>
      </w:r>
      <w:r w:rsidR="008348A1">
        <w:t>certainly unjust and unwarranted to allow hardware developers to obtain protection, but not software developers.</w:t>
      </w:r>
    </w:p>
    <w:p w:rsidR="00330925" w:rsidRDefault="00330925" w:rsidP="000E3A11">
      <w:pPr>
        <w:ind w:right="-46"/>
      </w:pPr>
    </w:p>
    <w:p w:rsidR="00330925" w:rsidRDefault="00C567C3" w:rsidP="00B71304">
      <w:r>
        <w:t>Software</w:t>
      </w:r>
      <w:r w:rsidR="00330925">
        <w:t xml:space="preserve"> </w:t>
      </w:r>
      <w:r>
        <w:t>developers seek</w:t>
      </w:r>
      <w:r w:rsidR="00A851C2">
        <w:t xml:space="preserve"> patent protection to protect the commercially advantageous and inventive features of their software</w:t>
      </w:r>
      <w:r>
        <w:t xml:space="preserve"> product</w:t>
      </w:r>
      <w:r w:rsidR="00BA70AA">
        <w:t>s</w:t>
      </w:r>
      <w:r w:rsidR="00330925">
        <w:t xml:space="preserve"> </w:t>
      </w:r>
      <w:r w:rsidR="00A851C2">
        <w:t>so t</w:t>
      </w:r>
      <w:r w:rsidR="00BA70AA">
        <w:t>hey can</w:t>
      </w:r>
      <w:r w:rsidR="00A851C2">
        <w:t xml:space="preserve"> commit or attract the considerable capital </w:t>
      </w:r>
      <w:r>
        <w:t xml:space="preserve">required to develop </w:t>
      </w:r>
      <w:r w:rsidR="00BA70AA">
        <w:t>the products and their</w:t>
      </w:r>
      <w:r w:rsidR="00A851C2">
        <w:t xml:space="preserve"> business. </w:t>
      </w:r>
      <w:r w:rsidR="00BA70AA">
        <w:t>Without that protection investm</w:t>
      </w:r>
      <w:r w:rsidR="00B71304">
        <w:t>ent declines or is non-existent.</w:t>
      </w:r>
      <w:r w:rsidR="00BA70AA">
        <w:t xml:space="preserve"> </w:t>
      </w:r>
      <w:r w:rsidR="00B71304">
        <w:t>As these</w:t>
      </w:r>
      <w:r w:rsidR="00A851C2">
        <w:t xml:space="preserve"> business</w:t>
      </w:r>
      <w:r w:rsidR="00393034">
        <w:t>es grow</w:t>
      </w:r>
      <w:r w:rsidR="00B71304">
        <w:t xml:space="preserve"> they</w:t>
      </w:r>
      <w:r w:rsidR="00A851C2">
        <w:t xml:space="preserve"> employ more Australians and benefit the coun</w:t>
      </w:r>
      <w:r w:rsidR="00B71304">
        <w:t>try.</w:t>
      </w:r>
      <w:r w:rsidR="00330925">
        <w:t xml:space="preserve"> </w:t>
      </w:r>
    </w:p>
    <w:p w:rsidR="008348A1" w:rsidRDefault="008348A1" w:rsidP="000E3A11">
      <w:pPr>
        <w:ind w:right="-46"/>
      </w:pPr>
    </w:p>
    <w:p w:rsidR="0057169B" w:rsidRDefault="008348A1" w:rsidP="000E3A11">
      <w:pPr>
        <w:ind w:right="-46"/>
      </w:pPr>
      <w:r>
        <w:t>Software patents have been available in Australia for over 25 years, and there is no evidence that this has hampered the Australian software industry in any shape or form.</w:t>
      </w:r>
      <w:r w:rsidR="00B71304">
        <w:t xml:space="preserve"> In fact I have witnessed the opposite, with entrepreneurs and developers </w:t>
      </w:r>
      <w:r w:rsidR="0057169B">
        <w:t xml:space="preserve">building successful businesses relying on the security patent protection affords, and then investing further in other software developments. </w:t>
      </w:r>
      <w:r w:rsidR="00DE3AAE">
        <w:t xml:space="preserve">The rewards can be considerable. For example, CSIRO's </w:t>
      </w:r>
      <w:proofErr w:type="spellStart"/>
      <w:r w:rsidR="00DE3AAE">
        <w:t>WiFi</w:t>
      </w:r>
      <w:proofErr w:type="spellEnd"/>
      <w:r w:rsidR="00DE3AAE">
        <w:t xml:space="preserve"> patent</w:t>
      </w:r>
      <w:r w:rsidR="00146B62">
        <w:rPr>
          <w:rStyle w:val="FootnoteReference"/>
        </w:rPr>
        <w:footnoteReference w:id="19"/>
      </w:r>
      <w:r w:rsidR="00750CDC">
        <w:t>,</w:t>
      </w:r>
      <w:r w:rsidR="00ED1831">
        <w:t xml:space="preserve"> </w:t>
      </w:r>
      <w:r w:rsidR="00750CDC">
        <w:t>which covers data processing and transmission executed by software, has earned</w:t>
      </w:r>
      <w:r w:rsidR="006F2F99">
        <w:t xml:space="preserve"> over</w:t>
      </w:r>
      <w:r w:rsidR="00750CDC">
        <w:t xml:space="preserve"> $400 million</w:t>
      </w:r>
      <w:r w:rsidR="006F2F99">
        <w:t xml:space="preserve"> for Australian research</w:t>
      </w:r>
      <w:r w:rsidR="00750CDC">
        <w:t>.</w:t>
      </w:r>
    </w:p>
    <w:p w:rsidR="00393034" w:rsidRDefault="00393034" w:rsidP="000E3A11">
      <w:pPr>
        <w:ind w:right="-46"/>
      </w:pPr>
    </w:p>
    <w:p w:rsidR="00393034" w:rsidRDefault="00393034" w:rsidP="000E3A11">
      <w:pPr>
        <w:ind w:right="-46"/>
      </w:pPr>
      <w:r>
        <w:t xml:space="preserve">Some of the metrics referred to in the Draft Report to try and determine patent value (e.g. </w:t>
      </w:r>
      <w:r w:rsidR="009E1C07">
        <w:t xml:space="preserve">the measures of Box D.1) are </w:t>
      </w:r>
      <w:r w:rsidR="00A97DAF">
        <w:t xml:space="preserve">largely </w:t>
      </w:r>
      <w:r w:rsidR="009E1C07">
        <w:t xml:space="preserve">irrelevant. The value of a patent is determined by the scope and validity of </w:t>
      </w:r>
      <w:r w:rsidR="007E478F">
        <w:t>a</w:t>
      </w:r>
      <w:r w:rsidR="009E1C07">
        <w:t xml:space="preserve"> patent</w:t>
      </w:r>
      <w:r w:rsidR="007E478F">
        <w:t>'</w:t>
      </w:r>
      <w:r w:rsidR="009E1C07">
        <w:t>s claims and the extent they cover features or processes that</w:t>
      </w:r>
      <w:r w:rsidR="007E478F">
        <w:t xml:space="preserve"> have commercial value within the jurisdiction of the patent. </w:t>
      </w:r>
      <w:r w:rsidR="00E778C0">
        <w:t>It is that commercial value alone that represent the patent's value</w:t>
      </w:r>
      <w:r w:rsidR="00E45E5E">
        <w:t>, and there are a number of qu</w:t>
      </w:r>
      <w:r w:rsidR="00A97DAF">
        <w:t>antitative (cost-based, market-</w:t>
      </w:r>
      <w:r w:rsidR="00E45E5E">
        <w:t xml:space="preserve">based, income-based, </w:t>
      </w:r>
      <w:r w:rsidR="00A97DAF">
        <w:t xml:space="preserve">and </w:t>
      </w:r>
      <w:r w:rsidR="00E45E5E">
        <w:t>option-based methods) and qualitative approa</w:t>
      </w:r>
      <w:r w:rsidR="00A97DAF">
        <w:t>ches for determining that value</w:t>
      </w:r>
      <w:r w:rsidR="00E778C0">
        <w:t xml:space="preserve">. </w:t>
      </w:r>
      <w:r w:rsidR="009E1C07">
        <w:t xml:space="preserve"> </w:t>
      </w:r>
    </w:p>
    <w:p w:rsidR="00ED1831" w:rsidRDefault="00ED1831" w:rsidP="000E3A11">
      <w:pPr>
        <w:ind w:right="-46"/>
      </w:pPr>
    </w:p>
    <w:p w:rsidR="008348A1" w:rsidRDefault="008348A1" w:rsidP="000E3A11">
      <w:pPr>
        <w:ind w:right="-46"/>
      </w:pPr>
      <w:r>
        <w:t>Even</w:t>
      </w:r>
      <w:r w:rsidR="00051835">
        <w:t xml:space="preserve"> in the US, where </w:t>
      </w:r>
      <w:r w:rsidR="00A97DAF">
        <w:t>the unique peculiarities of US litigation practice</w:t>
      </w:r>
      <w:r w:rsidR="00051835">
        <w:t xml:space="preserve"> have</w:t>
      </w:r>
      <w:r w:rsidR="00C17F4A">
        <w:t xml:space="preserve"> in the past</w:t>
      </w:r>
      <w:r w:rsidR="00EA6891">
        <w:rPr>
          <w:rStyle w:val="FootnoteReference"/>
        </w:rPr>
        <w:footnoteReference w:id="20"/>
      </w:r>
      <w:r w:rsidR="00C17F4A">
        <w:t xml:space="preserve"> favoured patent owners</w:t>
      </w:r>
      <w:r w:rsidR="00051835">
        <w:t xml:space="preserve">, the software industry </w:t>
      </w:r>
      <w:r w:rsidR="00D767D4">
        <w:t xml:space="preserve">has flourished </w:t>
      </w:r>
      <w:r w:rsidR="00C17F4A">
        <w:t xml:space="preserve">spectacularly </w:t>
      </w:r>
      <w:r w:rsidR="00416BDD">
        <w:t>tog</w:t>
      </w:r>
      <w:r w:rsidR="00DE7D63">
        <w:t>e</w:t>
      </w:r>
      <w:r w:rsidR="00416BDD">
        <w:t>ther</w:t>
      </w:r>
      <w:r w:rsidR="00D767D4">
        <w:t xml:space="preserve"> with the open source</w:t>
      </w:r>
      <w:r w:rsidR="00A41466">
        <w:t xml:space="preserve"> community.</w:t>
      </w:r>
      <w:r w:rsidR="00326066">
        <w:t xml:space="preserve"> </w:t>
      </w:r>
    </w:p>
    <w:p w:rsidR="00326066" w:rsidRDefault="00326066" w:rsidP="000E3A11">
      <w:pPr>
        <w:ind w:right="-46"/>
      </w:pPr>
    </w:p>
    <w:p w:rsidR="00C17F4A" w:rsidRDefault="00326066" w:rsidP="000E3A11">
      <w:pPr>
        <w:ind w:right="-46"/>
      </w:pPr>
      <w:r>
        <w:t xml:space="preserve">Any change introduced to the Australian </w:t>
      </w:r>
      <w:r w:rsidRPr="007D22C8">
        <w:rPr>
          <w:i/>
        </w:rPr>
        <w:t>Patents Act</w:t>
      </w:r>
      <w:r w:rsidR="007D22C8">
        <w:t xml:space="preserve"> </w:t>
      </w:r>
      <w:r w:rsidR="007D22C8" w:rsidRPr="007D22C8">
        <w:rPr>
          <w:i/>
        </w:rPr>
        <w:t>1990</w:t>
      </w:r>
      <w:r>
        <w:t xml:space="preserve"> </w:t>
      </w:r>
      <w:r w:rsidR="007D22C8">
        <w:t xml:space="preserve">is unnecessary and </w:t>
      </w:r>
      <w:r>
        <w:t xml:space="preserve">will introduce uncertainty and risk, at a time when Australia needs to be </w:t>
      </w:r>
      <w:r w:rsidR="00C17F4A">
        <w:t>doing everything to encourage its innovators, not hamper</w:t>
      </w:r>
      <w:r>
        <w:t xml:space="preserve"> them.</w:t>
      </w:r>
    </w:p>
    <w:p w:rsidR="00C17F4A" w:rsidRDefault="00C17F4A" w:rsidP="000E3A11">
      <w:pPr>
        <w:ind w:right="-46"/>
      </w:pPr>
    </w:p>
    <w:p w:rsidR="00326066" w:rsidRDefault="00326066" w:rsidP="000E3A11">
      <w:pPr>
        <w:ind w:right="-46"/>
      </w:pPr>
      <w:r>
        <w:lastRenderedPageBreak/>
        <w:t xml:space="preserve">  </w:t>
      </w:r>
    </w:p>
    <w:p w:rsidR="00D61275" w:rsidRDefault="00D61275" w:rsidP="000E3A11">
      <w:pPr>
        <w:ind w:right="-46"/>
      </w:pPr>
    </w:p>
    <w:p w:rsidR="00D61275" w:rsidRDefault="00D61275" w:rsidP="000E3A11">
      <w:pPr>
        <w:ind w:right="-46"/>
      </w:pPr>
      <w:r>
        <w:rPr>
          <w:b/>
        </w:rPr>
        <w:t>Draft Recommendation 6.1</w:t>
      </w:r>
    </w:p>
    <w:p w:rsidR="00D61275" w:rsidRDefault="00D61275" w:rsidP="000E3A11">
      <w:pPr>
        <w:ind w:right="-46"/>
      </w:pPr>
    </w:p>
    <w:p w:rsidR="009709E3" w:rsidRDefault="007D22C8" w:rsidP="00831D27">
      <w:pPr>
        <w:ind w:right="-46"/>
      </w:pPr>
      <w:r>
        <w:t>I</w:t>
      </w:r>
      <w:r w:rsidR="00D61275">
        <w:t>nventive step</w:t>
      </w:r>
      <w:r w:rsidR="005470C6">
        <w:t xml:space="preserve"> is an important criteria that needs to be as objective as possible and set at a level that provides an appropriate balance.  The threshold, however, has only recently been adjusted following the extensive consultations that were undertaken and led</w:t>
      </w:r>
      <w:r>
        <w:t xml:space="preserve"> to the reforms introduced by</w:t>
      </w:r>
      <w:r w:rsidR="005470C6">
        <w:t xml:space="preserve"> the </w:t>
      </w:r>
      <w:r w:rsidR="005470C6" w:rsidRPr="00D571DD">
        <w:t>Raising the Bar Act</w:t>
      </w:r>
      <w:r w:rsidR="008056AD">
        <w:rPr>
          <w:rStyle w:val="FootnoteReference"/>
        </w:rPr>
        <w:footnoteReference w:id="21"/>
      </w:r>
      <w:r w:rsidR="00D14DAD">
        <w:t xml:space="preserve">.  Time is needed to determine the effect of these reforms, and allow Australian courts to interpret them, before any further adjustment is made. </w:t>
      </w:r>
    </w:p>
    <w:p w:rsidR="00831D27" w:rsidRDefault="00831D27" w:rsidP="00831D27">
      <w:pPr>
        <w:ind w:right="-46"/>
        <w:rPr>
          <w:b/>
        </w:rPr>
      </w:pPr>
    </w:p>
    <w:p w:rsidR="00D14DAD" w:rsidRDefault="00D14DAD" w:rsidP="000E3A11">
      <w:pPr>
        <w:ind w:right="-46"/>
      </w:pPr>
      <w:r>
        <w:rPr>
          <w:b/>
        </w:rPr>
        <w:t>Draft Recommendation 6.2</w:t>
      </w:r>
    </w:p>
    <w:p w:rsidR="00D14DAD" w:rsidRDefault="00D14DAD" w:rsidP="000E3A11">
      <w:pPr>
        <w:ind w:right="-46"/>
      </w:pPr>
    </w:p>
    <w:p w:rsidR="00ED34E6" w:rsidRDefault="00D14DAD" w:rsidP="000E3A11">
      <w:pPr>
        <w:ind w:right="-46"/>
      </w:pPr>
      <w:r>
        <w:t xml:space="preserve">IP Australia's proposed objects clause referred to on page 188 </w:t>
      </w:r>
      <w:r w:rsidR="00831D27">
        <w:t xml:space="preserve">of the Draft Report is </w:t>
      </w:r>
      <w:r>
        <w:t>acc</w:t>
      </w:r>
      <w:r w:rsidR="00831D27">
        <w:t>eptable, although</w:t>
      </w:r>
      <w:r>
        <w:t xml:space="preserve"> the reference to "competing"</w:t>
      </w:r>
      <w:r w:rsidR="00831D27">
        <w:t xml:space="preserve"> should be deleted</w:t>
      </w:r>
      <w:r>
        <w:t xml:space="preserve">. </w:t>
      </w:r>
    </w:p>
    <w:p w:rsidR="00ED34E6" w:rsidRDefault="00ED34E6" w:rsidP="000E3A11">
      <w:pPr>
        <w:ind w:right="-46"/>
      </w:pPr>
    </w:p>
    <w:p w:rsidR="00D14DAD" w:rsidRDefault="00C12D39" w:rsidP="000E3A11">
      <w:pPr>
        <w:ind w:right="-46"/>
      </w:pPr>
      <w:r>
        <w:t>T</w:t>
      </w:r>
      <w:r w:rsidR="003452F6">
        <w:t>he Commission's reference to "</w:t>
      </w:r>
      <w:r w:rsidR="003452F6" w:rsidRPr="003452F6">
        <w:t>socially valuable innovations that would not have otherwise occurred</w:t>
      </w:r>
      <w:r w:rsidR="003452F6">
        <w:t xml:space="preserve">" </w:t>
      </w:r>
      <w:r>
        <w:t xml:space="preserve">is </w:t>
      </w:r>
      <w:r w:rsidR="008F2496">
        <w:t xml:space="preserve">unfortunately </w:t>
      </w:r>
      <w:r>
        <w:t>impractical as it cannot</w:t>
      </w:r>
      <w:r w:rsidR="003452F6">
        <w:t xml:space="preserve"> be assessed </w:t>
      </w:r>
      <w:r>
        <w:t>objectively by a decision maker.</w:t>
      </w:r>
      <w:r w:rsidR="00D14DAD">
        <w:t xml:space="preserve"> </w:t>
      </w:r>
    </w:p>
    <w:p w:rsidR="00D14DAD" w:rsidRDefault="00D14DAD" w:rsidP="000E3A11">
      <w:pPr>
        <w:ind w:right="-46"/>
      </w:pPr>
    </w:p>
    <w:p w:rsidR="00D14DAD" w:rsidRDefault="00D14DAD" w:rsidP="000E3A11">
      <w:pPr>
        <w:ind w:right="-46"/>
      </w:pPr>
      <w:r>
        <w:rPr>
          <w:b/>
        </w:rPr>
        <w:t>Draft Recomm</w:t>
      </w:r>
      <w:r w:rsidR="00104ADF">
        <w:rPr>
          <w:b/>
        </w:rPr>
        <w:t>en</w:t>
      </w:r>
      <w:r>
        <w:rPr>
          <w:b/>
        </w:rPr>
        <w:t>dation 6.3</w:t>
      </w:r>
    </w:p>
    <w:p w:rsidR="00104ADF" w:rsidRDefault="00104ADF" w:rsidP="000E3A11">
      <w:pPr>
        <w:ind w:right="-46"/>
      </w:pPr>
    </w:p>
    <w:p w:rsidR="00104ADF" w:rsidRDefault="00104ADF" w:rsidP="000E3A11">
      <w:pPr>
        <w:ind w:right="-46"/>
      </w:pPr>
      <w:r>
        <w:t xml:space="preserve">IP Australia has recently explored the costs and benefits of using higher renewal fees, and </w:t>
      </w:r>
      <w:r w:rsidR="004C2B41">
        <w:t>IP Australia's</w:t>
      </w:r>
      <w:r>
        <w:t xml:space="preserve"> recent proposals are acceptable.  </w:t>
      </w:r>
    </w:p>
    <w:p w:rsidR="00104ADF" w:rsidRDefault="00104ADF" w:rsidP="000E3A11">
      <w:pPr>
        <w:ind w:right="-46"/>
      </w:pPr>
    </w:p>
    <w:p w:rsidR="00104ADF" w:rsidRDefault="00104ADF" w:rsidP="000E3A11">
      <w:pPr>
        <w:ind w:right="-46"/>
        <w:rPr>
          <w:b/>
        </w:rPr>
      </w:pPr>
      <w:r>
        <w:rPr>
          <w:b/>
        </w:rPr>
        <w:t>Draft Recommendation 7.1</w:t>
      </w:r>
    </w:p>
    <w:p w:rsidR="00104ADF" w:rsidRDefault="00104ADF" w:rsidP="000E3A11">
      <w:pPr>
        <w:ind w:right="-46"/>
      </w:pPr>
    </w:p>
    <w:p w:rsidR="00355746" w:rsidRDefault="00104ADF" w:rsidP="000E3A11">
      <w:pPr>
        <w:ind w:right="-46"/>
      </w:pPr>
      <w:r>
        <w:t>In line with the submissions of most participants to IP Australia's consultation on ACIP's proposal to abolish the</w:t>
      </w:r>
      <w:r w:rsidR="00AE5736">
        <w:t xml:space="preserve"> </w:t>
      </w:r>
      <w:r w:rsidR="007D1C7C">
        <w:t>innovation patent system</w:t>
      </w:r>
      <w:r w:rsidR="008F2496">
        <w:t>;</w:t>
      </w:r>
      <w:r w:rsidR="007D1C7C">
        <w:t xml:space="preserve"> the system</w:t>
      </w:r>
      <w:r w:rsidR="00C26688">
        <w:t xml:space="preserve"> </w:t>
      </w:r>
      <w:r w:rsidR="00AE5736">
        <w:t>should be retained but</w:t>
      </w:r>
      <w:r w:rsidR="00C26688">
        <w:t xml:space="preserve"> the threshold for meeting innovative step</w:t>
      </w:r>
      <w:r w:rsidR="00EA2069">
        <w:t xml:space="preserve"> should be raised</w:t>
      </w:r>
      <w:r w:rsidR="00C26688">
        <w:t xml:space="preserve">. </w:t>
      </w:r>
    </w:p>
    <w:p w:rsidR="00355746" w:rsidRDefault="00355746" w:rsidP="000E3A11">
      <w:pPr>
        <w:ind w:right="-46"/>
      </w:pPr>
    </w:p>
    <w:p w:rsidR="00355746" w:rsidRDefault="00355746" w:rsidP="000E3A11">
      <w:pPr>
        <w:ind w:right="-46"/>
      </w:pPr>
    </w:p>
    <w:p w:rsidR="00355746" w:rsidRDefault="00355746" w:rsidP="000E3A11">
      <w:pPr>
        <w:ind w:right="-46"/>
      </w:pPr>
    </w:p>
    <w:p w:rsidR="00355746" w:rsidRPr="00355746" w:rsidRDefault="00355746" w:rsidP="000E3A11">
      <w:pPr>
        <w:ind w:right="-46"/>
        <w:rPr>
          <w:b/>
        </w:rPr>
      </w:pPr>
    </w:p>
    <w:p w:rsidR="00104ADF" w:rsidRDefault="00355746" w:rsidP="000E3A11">
      <w:pPr>
        <w:ind w:right="-46"/>
      </w:pPr>
      <w:r>
        <w:t>3 June 2016</w:t>
      </w:r>
      <w:r w:rsidR="00C26688">
        <w:t xml:space="preserve"> </w:t>
      </w:r>
    </w:p>
    <w:p w:rsidR="00C26688" w:rsidRDefault="00C26688" w:rsidP="000E3A11">
      <w:pPr>
        <w:ind w:right="-46"/>
      </w:pPr>
    </w:p>
    <w:p w:rsidR="00C26688" w:rsidRPr="00104ADF" w:rsidRDefault="00C26688" w:rsidP="000E3A11">
      <w:pPr>
        <w:ind w:right="-46"/>
      </w:pPr>
    </w:p>
    <w:sectPr w:rsidR="00C26688" w:rsidRPr="00104ADF" w:rsidSect="00122C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3A" w:rsidRDefault="00482E3A" w:rsidP="00482E3A">
      <w:r>
        <w:separator/>
      </w:r>
    </w:p>
  </w:endnote>
  <w:endnote w:type="continuationSeparator" w:id="0">
    <w:p w:rsidR="00482E3A" w:rsidRDefault="00482E3A" w:rsidP="0048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Default="00122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Pr="00122C91" w:rsidRDefault="00122C91" w:rsidP="00122C91">
    <w:pPr>
      <w:pStyle w:val="Footer"/>
    </w:pPr>
    <w:r>
      <w:rPr>
        <w:sz w:val="12"/>
      </w:rPr>
      <w:fldChar w:fldCharType="begin"/>
    </w:r>
    <w:r>
      <w:rPr>
        <w:sz w:val="12"/>
      </w:rPr>
      <w:instrText xml:space="preserve"> filename \p </w:instrText>
    </w:r>
    <w:r>
      <w:rPr>
        <w:sz w:val="12"/>
      </w:rPr>
      <w:fldChar w:fldCharType="separate"/>
    </w:r>
    <w:r w:rsidR="004C0E0E">
      <w:rPr>
        <w:noProof/>
        <w:sz w:val="12"/>
      </w:rPr>
      <w:t>H:\DBW\Interwoven\NRPortbl\DCC\DBW\10239621_1.docx</w:t>
    </w:r>
    <w:r>
      <w:rPr>
        <w:sz w:val="12"/>
      </w:rPr>
      <w:fldChar w:fldCharType="end"/>
    </w:r>
    <w:r>
      <w:rPr>
        <w:sz w:val="12"/>
      </w:rPr>
      <w:t xml:space="preserve"> - </w:t>
    </w:r>
    <w:r>
      <w:rPr>
        <w:sz w:val="12"/>
      </w:rPr>
      <w:fldChar w:fldCharType="begin"/>
    </w:r>
    <w:r>
      <w:rPr>
        <w:sz w:val="12"/>
      </w:rPr>
      <w:instrText xml:space="preserve"> TIME \@ "d/M/yy" </w:instrText>
    </w:r>
    <w:r>
      <w:rPr>
        <w:sz w:val="12"/>
      </w:rPr>
      <w:fldChar w:fldCharType="separate"/>
    </w:r>
    <w:r w:rsidR="00BC6E42">
      <w:rPr>
        <w:noProof/>
        <w:sz w:val="12"/>
      </w:rPr>
      <w:t>10/6/16</w: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Pr="00122C91" w:rsidRDefault="00122C91" w:rsidP="00122C91">
    <w:pPr>
      <w:pStyle w:val="Footer"/>
    </w:pPr>
    <w:r>
      <w:rPr>
        <w:sz w:val="12"/>
      </w:rPr>
      <w:fldChar w:fldCharType="begin"/>
    </w:r>
    <w:r>
      <w:rPr>
        <w:sz w:val="12"/>
      </w:rPr>
      <w:instrText xml:space="preserve"> filename \p </w:instrText>
    </w:r>
    <w:r>
      <w:rPr>
        <w:sz w:val="12"/>
      </w:rPr>
      <w:fldChar w:fldCharType="separate"/>
    </w:r>
    <w:r w:rsidR="004C0E0E">
      <w:rPr>
        <w:noProof/>
        <w:sz w:val="12"/>
      </w:rPr>
      <w:t>H:\DBW\Interwoven\NRPortbl\DCC\DBW\10239621_1.docx</w:t>
    </w:r>
    <w:r>
      <w:rPr>
        <w:sz w:val="12"/>
      </w:rPr>
      <w:fldChar w:fldCharType="end"/>
    </w:r>
    <w:r>
      <w:rPr>
        <w:sz w:val="12"/>
      </w:rPr>
      <w:t xml:space="preserve"> - </w:t>
    </w:r>
    <w:r>
      <w:rPr>
        <w:sz w:val="12"/>
      </w:rPr>
      <w:fldChar w:fldCharType="begin"/>
    </w:r>
    <w:r>
      <w:rPr>
        <w:sz w:val="12"/>
      </w:rPr>
      <w:instrText xml:space="preserve"> TIME \@ "d/M/yy" </w:instrText>
    </w:r>
    <w:r>
      <w:rPr>
        <w:sz w:val="12"/>
      </w:rPr>
      <w:fldChar w:fldCharType="separate"/>
    </w:r>
    <w:r w:rsidR="00BC6E42">
      <w:rPr>
        <w:noProof/>
        <w:sz w:val="12"/>
      </w:rPr>
      <w:t>10/6/16</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3A" w:rsidRDefault="00482E3A" w:rsidP="00482E3A">
      <w:r>
        <w:separator/>
      </w:r>
    </w:p>
  </w:footnote>
  <w:footnote w:type="continuationSeparator" w:id="0">
    <w:p w:rsidR="00482E3A" w:rsidRDefault="00482E3A" w:rsidP="00482E3A">
      <w:r>
        <w:continuationSeparator/>
      </w:r>
    </w:p>
  </w:footnote>
  <w:footnote w:id="1">
    <w:p w:rsidR="00482E3A" w:rsidRPr="00BD5BF8" w:rsidRDefault="00482E3A">
      <w:pPr>
        <w:pStyle w:val="FootnoteText"/>
        <w:rPr>
          <w:sz w:val="18"/>
          <w:szCs w:val="18"/>
        </w:rPr>
      </w:pPr>
      <w:r>
        <w:rPr>
          <w:rStyle w:val="FootnoteReference"/>
        </w:rPr>
        <w:footnoteRef/>
      </w:r>
      <w:r>
        <w:t xml:space="preserve"> </w:t>
      </w:r>
      <w:r w:rsidRPr="00BD5BF8">
        <w:rPr>
          <w:i/>
          <w:sz w:val="18"/>
          <w:szCs w:val="18"/>
        </w:rPr>
        <w:t>National Research Development Corporation v Commissioner of Patents</w:t>
      </w:r>
      <w:r w:rsidRPr="00BD5BF8">
        <w:rPr>
          <w:sz w:val="18"/>
          <w:szCs w:val="18"/>
        </w:rPr>
        <w:t xml:space="preserve"> (1959) 102 CLR 252</w:t>
      </w:r>
    </w:p>
  </w:footnote>
  <w:footnote w:id="2">
    <w:p w:rsidR="00DB272A" w:rsidRPr="00BD5BF8" w:rsidRDefault="00DB272A">
      <w:pPr>
        <w:pStyle w:val="FootnoteText"/>
        <w:rPr>
          <w:sz w:val="18"/>
          <w:szCs w:val="18"/>
        </w:rPr>
      </w:pPr>
      <w:r w:rsidRPr="00BD5BF8">
        <w:rPr>
          <w:rStyle w:val="FootnoteReference"/>
          <w:sz w:val="18"/>
          <w:szCs w:val="18"/>
        </w:rPr>
        <w:footnoteRef/>
      </w:r>
      <w:r w:rsidRPr="00BD5BF8">
        <w:rPr>
          <w:sz w:val="18"/>
          <w:szCs w:val="18"/>
        </w:rPr>
        <w:t xml:space="preserve"> </w:t>
      </w:r>
      <w:r w:rsidRPr="00BD5BF8">
        <w:rPr>
          <w:i/>
          <w:sz w:val="18"/>
          <w:szCs w:val="18"/>
        </w:rPr>
        <w:t>Ibid</w:t>
      </w:r>
      <w:r w:rsidRPr="00BD5BF8">
        <w:rPr>
          <w:sz w:val="18"/>
          <w:szCs w:val="18"/>
        </w:rPr>
        <w:t xml:space="preserve"> at 271</w:t>
      </w:r>
    </w:p>
  </w:footnote>
  <w:footnote w:id="3">
    <w:p w:rsidR="00C14408" w:rsidRPr="00521F2F" w:rsidRDefault="00C14408">
      <w:pPr>
        <w:pStyle w:val="FootnoteText"/>
        <w:rPr>
          <w:sz w:val="18"/>
          <w:szCs w:val="18"/>
        </w:rPr>
      </w:pPr>
      <w:r>
        <w:rPr>
          <w:rStyle w:val="FootnoteReference"/>
        </w:rPr>
        <w:footnoteRef/>
      </w:r>
      <w:r>
        <w:t xml:space="preserve"> </w:t>
      </w:r>
      <w:r w:rsidRPr="00521F2F">
        <w:rPr>
          <w:sz w:val="18"/>
          <w:szCs w:val="18"/>
        </w:rPr>
        <w:t xml:space="preserve">Including </w:t>
      </w:r>
      <w:r w:rsidR="00521F2F" w:rsidRPr="00521F2F">
        <w:rPr>
          <w:i/>
          <w:sz w:val="18"/>
          <w:szCs w:val="18"/>
        </w:rPr>
        <w:t>D'Arcy v Myriad Genetics Inc</w:t>
      </w:r>
      <w:r w:rsidR="00521F2F" w:rsidRPr="00521F2F">
        <w:rPr>
          <w:sz w:val="18"/>
          <w:szCs w:val="18"/>
        </w:rPr>
        <w:t xml:space="preserve"> [2015] HCA 35</w:t>
      </w:r>
    </w:p>
  </w:footnote>
  <w:footnote w:id="4">
    <w:p w:rsidR="00B24F4D" w:rsidRDefault="00B24F4D">
      <w:pPr>
        <w:pStyle w:val="FootnoteText"/>
        <w:rPr>
          <w:b/>
          <w:sz w:val="18"/>
          <w:szCs w:val="18"/>
        </w:rPr>
      </w:pPr>
      <w:r w:rsidRPr="00BD5BF8">
        <w:rPr>
          <w:rStyle w:val="FootnoteReference"/>
          <w:sz w:val="18"/>
          <w:szCs w:val="18"/>
        </w:rPr>
        <w:footnoteRef/>
      </w:r>
      <w:r w:rsidRPr="00BD5BF8">
        <w:rPr>
          <w:sz w:val="18"/>
          <w:szCs w:val="18"/>
        </w:rPr>
        <w:t xml:space="preserve"> Industrial Property Advisory Committee (IPAC) 1994, Intellectual Property and Competition Review Committee (IPCRC) 2000, Advisory Council in Intellectual Pro</w:t>
      </w:r>
      <w:r w:rsidR="000C0F0F">
        <w:rPr>
          <w:sz w:val="18"/>
          <w:szCs w:val="18"/>
        </w:rPr>
        <w:t>perty (ACIP) 2003, and ACIP 2010</w:t>
      </w:r>
      <w:r w:rsidR="00D82C98">
        <w:rPr>
          <w:sz w:val="18"/>
          <w:szCs w:val="18"/>
        </w:rPr>
        <w:t>.</w:t>
      </w:r>
    </w:p>
    <w:p w:rsidR="00644B61" w:rsidRDefault="00644B61">
      <w:pPr>
        <w:pStyle w:val="FootnoteText"/>
        <w:rPr>
          <w:b/>
          <w:sz w:val="18"/>
          <w:szCs w:val="18"/>
        </w:rPr>
      </w:pPr>
    </w:p>
    <w:p w:rsidR="00644B61" w:rsidRPr="00BD5BF8" w:rsidRDefault="00644B61">
      <w:pPr>
        <w:pStyle w:val="FootnoteText"/>
        <w:rPr>
          <w:sz w:val="18"/>
          <w:szCs w:val="18"/>
        </w:rPr>
      </w:pPr>
    </w:p>
  </w:footnote>
  <w:footnote w:id="5">
    <w:p w:rsidR="001B4EF8" w:rsidRPr="000A3A04" w:rsidRDefault="001B4EF8">
      <w:pPr>
        <w:pStyle w:val="FootnoteText"/>
        <w:rPr>
          <w:sz w:val="18"/>
        </w:rPr>
      </w:pPr>
      <w:r>
        <w:rPr>
          <w:rStyle w:val="FootnoteReference"/>
        </w:rPr>
        <w:footnoteRef/>
      </w:r>
      <w:r>
        <w:t xml:space="preserve"> </w:t>
      </w:r>
      <w:proofErr w:type="spellStart"/>
      <w:r w:rsidR="000A3A04">
        <w:rPr>
          <w:i/>
          <w:sz w:val="18"/>
        </w:rPr>
        <w:t>Bilski</w:t>
      </w:r>
      <w:proofErr w:type="spellEnd"/>
      <w:r w:rsidR="000A3A04">
        <w:rPr>
          <w:i/>
          <w:sz w:val="18"/>
        </w:rPr>
        <w:t xml:space="preserve"> v </w:t>
      </w:r>
      <w:proofErr w:type="spellStart"/>
      <w:r w:rsidR="000A3A04">
        <w:rPr>
          <w:i/>
          <w:sz w:val="18"/>
        </w:rPr>
        <w:t>Kappos</w:t>
      </w:r>
      <w:proofErr w:type="spellEnd"/>
      <w:r w:rsidR="000A3A04">
        <w:rPr>
          <w:i/>
          <w:sz w:val="18"/>
        </w:rPr>
        <w:t>,</w:t>
      </w:r>
      <w:r w:rsidR="000A3A04">
        <w:rPr>
          <w:sz w:val="18"/>
        </w:rPr>
        <w:t xml:space="preserve"> 561 U.S. 593 (2010), page 8.</w:t>
      </w:r>
    </w:p>
  </w:footnote>
  <w:footnote w:id="6">
    <w:p w:rsidR="00AB1557" w:rsidRDefault="00AB1557">
      <w:pPr>
        <w:pStyle w:val="FootnoteText"/>
      </w:pPr>
      <w:r>
        <w:rPr>
          <w:rStyle w:val="FootnoteReference"/>
        </w:rPr>
        <w:footnoteRef/>
      </w:r>
      <w:r>
        <w:t xml:space="preserve"> </w:t>
      </w:r>
      <w:r w:rsidRPr="00AB1557">
        <w:rPr>
          <w:i/>
          <w:sz w:val="18"/>
        </w:rPr>
        <w:t>Alice Corporation Pty Ltd v CLS Bank International</w:t>
      </w:r>
      <w:r w:rsidRPr="00AB1557">
        <w:rPr>
          <w:sz w:val="18"/>
        </w:rPr>
        <w:t xml:space="preserve"> 134 </w:t>
      </w:r>
      <w:proofErr w:type="spellStart"/>
      <w:r w:rsidRPr="00AB1557">
        <w:rPr>
          <w:sz w:val="18"/>
        </w:rPr>
        <w:t>SCt</w:t>
      </w:r>
      <w:proofErr w:type="spellEnd"/>
      <w:r w:rsidRPr="00AB1557">
        <w:rPr>
          <w:sz w:val="18"/>
        </w:rPr>
        <w:t xml:space="preserve"> 2347 (2014)</w:t>
      </w:r>
      <w:r w:rsidR="00955E9C">
        <w:rPr>
          <w:sz w:val="18"/>
        </w:rPr>
        <w:t>, page 5</w:t>
      </w:r>
    </w:p>
  </w:footnote>
  <w:footnote w:id="7">
    <w:p w:rsidR="00942656" w:rsidRPr="00942656" w:rsidRDefault="00942656">
      <w:pPr>
        <w:pStyle w:val="FootnoteText"/>
        <w:rPr>
          <w:sz w:val="18"/>
          <w:szCs w:val="18"/>
        </w:rPr>
      </w:pPr>
      <w:r>
        <w:rPr>
          <w:rStyle w:val="FootnoteReference"/>
        </w:rPr>
        <w:footnoteRef/>
      </w:r>
      <w:r>
        <w:t xml:space="preserve"> </w:t>
      </w:r>
      <w:r w:rsidRPr="00942656">
        <w:rPr>
          <w:i/>
          <w:sz w:val="18"/>
          <w:szCs w:val="18"/>
        </w:rPr>
        <w:t>Alice Corporation Pty Ltd v CLS Bank International</w:t>
      </w:r>
      <w:r w:rsidRPr="00942656">
        <w:rPr>
          <w:sz w:val="18"/>
          <w:szCs w:val="18"/>
        </w:rPr>
        <w:t xml:space="preserve"> 134 </w:t>
      </w:r>
      <w:proofErr w:type="spellStart"/>
      <w:r w:rsidRPr="00942656">
        <w:rPr>
          <w:sz w:val="18"/>
          <w:szCs w:val="18"/>
        </w:rPr>
        <w:t>SCt</w:t>
      </w:r>
      <w:proofErr w:type="spellEnd"/>
      <w:r w:rsidRPr="00942656">
        <w:rPr>
          <w:sz w:val="18"/>
          <w:szCs w:val="18"/>
        </w:rPr>
        <w:t xml:space="preserve"> 2347 (2014)</w:t>
      </w:r>
    </w:p>
  </w:footnote>
  <w:footnote w:id="8">
    <w:p w:rsidR="00942656" w:rsidRPr="00942656" w:rsidRDefault="00942656">
      <w:pPr>
        <w:pStyle w:val="FootnoteText"/>
      </w:pPr>
      <w:r>
        <w:rPr>
          <w:rStyle w:val="FootnoteReference"/>
        </w:rPr>
        <w:footnoteRef/>
      </w:r>
      <w:r>
        <w:t xml:space="preserve"> </w:t>
      </w:r>
      <w:r w:rsidRPr="00942656">
        <w:rPr>
          <w:i/>
          <w:sz w:val="18"/>
        </w:rPr>
        <w:t xml:space="preserve">Ibid </w:t>
      </w:r>
      <w:r w:rsidRPr="00942656">
        <w:rPr>
          <w:sz w:val="18"/>
        </w:rPr>
        <w:t>at page 15</w:t>
      </w:r>
    </w:p>
  </w:footnote>
  <w:footnote w:id="9">
    <w:p w:rsidR="00794895" w:rsidRDefault="00794895">
      <w:pPr>
        <w:pStyle w:val="FootnoteText"/>
      </w:pPr>
      <w:r>
        <w:rPr>
          <w:rStyle w:val="FootnoteReference"/>
        </w:rPr>
        <w:footnoteRef/>
      </w:r>
      <w:r>
        <w:t xml:space="preserve"> </w:t>
      </w:r>
      <w:r w:rsidRPr="00794895">
        <w:rPr>
          <w:sz w:val="18"/>
        </w:rPr>
        <w:t xml:space="preserve">At a </w:t>
      </w:r>
      <w:hyperlink r:id="rId1" w:history="1">
        <w:r w:rsidRPr="00794895">
          <w:rPr>
            <w:rStyle w:val="Hyperlink"/>
            <w:sz w:val="18"/>
          </w:rPr>
          <w:t>Diplomatic Conference in Munich 2000</w:t>
        </w:r>
      </w:hyperlink>
      <w:r w:rsidR="00A41466">
        <w:rPr>
          <w:sz w:val="18"/>
        </w:rPr>
        <w:t xml:space="preserve"> a number of Countries</w:t>
      </w:r>
      <w:r w:rsidRPr="00794895">
        <w:rPr>
          <w:sz w:val="18"/>
        </w:rPr>
        <w:t xml:space="preserve"> and NGOs sought to remove the "computer programs" exclusion</w:t>
      </w:r>
      <w:r>
        <w:t>.</w:t>
      </w:r>
    </w:p>
  </w:footnote>
  <w:footnote w:id="10">
    <w:p w:rsidR="00C756E7" w:rsidRDefault="00C756E7">
      <w:pPr>
        <w:pStyle w:val="FootnoteText"/>
      </w:pPr>
      <w:r>
        <w:rPr>
          <w:rStyle w:val="FootnoteReference"/>
        </w:rPr>
        <w:footnoteRef/>
      </w:r>
      <w:r>
        <w:t xml:space="preserve"> </w:t>
      </w:r>
      <w:proofErr w:type="spellStart"/>
      <w:r w:rsidRPr="00C756E7">
        <w:rPr>
          <w:i/>
          <w:sz w:val="18"/>
          <w:szCs w:val="22"/>
        </w:rPr>
        <w:t>Aerotel</w:t>
      </w:r>
      <w:proofErr w:type="spellEnd"/>
      <w:r w:rsidRPr="00C756E7">
        <w:rPr>
          <w:i/>
          <w:sz w:val="18"/>
          <w:szCs w:val="22"/>
        </w:rPr>
        <w:t xml:space="preserve">/Macrossan </w:t>
      </w:r>
      <w:r w:rsidRPr="00C756E7">
        <w:rPr>
          <w:sz w:val="18"/>
          <w:szCs w:val="22"/>
        </w:rPr>
        <w:t xml:space="preserve">[2006] </w:t>
      </w:r>
      <w:proofErr w:type="spellStart"/>
      <w:r w:rsidRPr="00C756E7">
        <w:rPr>
          <w:sz w:val="18"/>
          <w:szCs w:val="22"/>
        </w:rPr>
        <w:t>EWCA</w:t>
      </w:r>
      <w:proofErr w:type="spellEnd"/>
      <w:r w:rsidRPr="00C756E7">
        <w:rPr>
          <w:sz w:val="18"/>
          <w:szCs w:val="22"/>
        </w:rPr>
        <w:t xml:space="preserve"> </w:t>
      </w:r>
      <w:proofErr w:type="spellStart"/>
      <w:r w:rsidRPr="00C756E7">
        <w:rPr>
          <w:sz w:val="18"/>
          <w:szCs w:val="22"/>
        </w:rPr>
        <w:t>CW</w:t>
      </w:r>
      <w:proofErr w:type="spellEnd"/>
      <w:r w:rsidRPr="00C756E7">
        <w:rPr>
          <w:sz w:val="18"/>
          <w:szCs w:val="22"/>
        </w:rPr>
        <w:t xml:space="preserve"> 1371, paras 25 and 27, 2006</w:t>
      </w:r>
    </w:p>
  </w:footnote>
  <w:footnote w:id="11">
    <w:p w:rsidR="00C756E7" w:rsidRDefault="00C756E7">
      <w:pPr>
        <w:pStyle w:val="FootnoteText"/>
      </w:pPr>
      <w:r>
        <w:rPr>
          <w:rStyle w:val="FootnoteReference"/>
        </w:rPr>
        <w:footnoteRef/>
      </w:r>
      <w:r>
        <w:t xml:space="preserve"> </w:t>
      </w:r>
      <w:r w:rsidRPr="00C756E7">
        <w:rPr>
          <w:i/>
          <w:sz w:val="18"/>
          <w:szCs w:val="22"/>
        </w:rPr>
        <w:t>Dunns Licensing Associates, L.P</w:t>
      </w:r>
      <w:r w:rsidRPr="00C756E7">
        <w:rPr>
          <w:sz w:val="18"/>
          <w:szCs w:val="22"/>
        </w:rPr>
        <w:t>., T 0154/04, 2007</w:t>
      </w:r>
    </w:p>
  </w:footnote>
  <w:footnote w:id="12">
    <w:p w:rsidR="006041F7" w:rsidRDefault="006041F7">
      <w:pPr>
        <w:pStyle w:val="FootnoteText"/>
      </w:pPr>
      <w:r>
        <w:rPr>
          <w:rStyle w:val="FootnoteReference"/>
        </w:rPr>
        <w:footnoteRef/>
      </w:r>
      <w:r>
        <w:t xml:space="preserve"> </w:t>
      </w:r>
      <w:r w:rsidRPr="006041F7">
        <w:rPr>
          <w:sz w:val="18"/>
        </w:rPr>
        <w:t>G 0003/08</w:t>
      </w:r>
      <w:r>
        <w:rPr>
          <w:sz w:val="18"/>
        </w:rPr>
        <w:t>, EPO Enlarged Board of Appeal, 12 May 2010</w:t>
      </w:r>
    </w:p>
  </w:footnote>
  <w:footnote w:id="13">
    <w:p w:rsidR="000D3BBC" w:rsidRPr="000D3BBC" w:rsidRDefault="000D3BBC">
      <w:pPr>
        <w:pStyle w:val="FootnoteText"/>
      </w:pPr>
      <w:r>
        <w:rPr>
          <w:rStyle w:val="FootnoteReference"/>
        </w:rPr>
        <w:footnoteRef/>
      </w:r>
      <w:r>
        <w:t xml:space="preserve"> </w:t>
      </w:r>
      <w:r w:rsidRPr="000D3BBC">
        <w:rPr>
          <w:i/>
          <w:sz w:val="18"/>
          <w:szCs w:val="18"/>
        </w:rPr>
        <w:t>Ibid</w:t>
      </w:r>
      <w:r>
        <w:rPr>
          <w:sz w:val="18"/>
          <w:szCs w:val="18"/>
        </w:rPr>
        <w:t xml:space="preserve"> at sections 13.5. and 13.5.1 for example. </w:t>
      </w:r>
    </w:p>
  </w:footnote>
  <w:footnote w:id="14">
    <w:p w:rsidR="00024470" w:rsidRPr="00F64CE1" w:rsidRDefault="00024470" w:rsidP="00024470">
      <w:pPr>
        <w:pStyle w:val="FootnoteText"/>
        <w:rPr>
          <w:i/>
          <w:sz w:val="18"/>
        </w:rPr>
      </w:pPr>
      <w:r>
        <w:rPr>
          <w:rStyle w:val="FootnoteReference"/>
        </w:rPr>
        <w:footnoteRef/>
      </w:r>
      <w:r>
        <w:t xml:space="preserve"> </w:t>
      </w:r>
      <w:r w:rsidRPr="00F64CE1">
        <w:rPr>
          <w:i/>
          <w:sz w:val="18"/>
        </w:rPr>
        <w:t xml:space="preserve">Grant v Commissioner of Patents </w:t>
      </w:r>
      <w:r w:rsidR="00F64CE1" w:rsidRPr="00F64CE1">
        <w:rPr>
          <w:sz w:val="18"/>
        </w:rPr>
        <w:t>[2006] FCA</w:t>
      </w:r>
      <w:r w:rsidRPr="00F64CE1">
        <w:rPr>
          <w:sz w:val="18"/>
        </w:rPr>
        <w:t>FC 120</w:t>
      </w:r>
    </w:p>
  </w:footnote>
  <w:footnote w:id="15">
    <w:p w:rsidR="00344212" w:rsidRPr="00F64CE1" w:rsidRDefault="00344212">
      <w:pPr>
        <w:pStyle w:val="FootnoteText"/>
        <w:rPr>
          <w:sz w:val="18"/>
        </w:rPr>
      </w:pPr>
      <w:r w:rsidRPr="00F64CE1">
        <w:rPr>
          <w:rStyle w:val="FootnoteReference"/>
          <w:sz w:val="18"/>
        </w:rPr>
        <w:footnoteRef/>
      </w:r>
      <w:r w:rsidRPr="00F64CE1">
        <w:rPr>
          <w:sz w:val="18"/>
        </w:rPr>
        <w:t xml:space="preserve"> </w:t>
      </w:r>
      <w:r w:rsidRPr="00F64CE1">
        <w:rPr>
          <w:i/>
          <w:sz w:val="18"/>
        </w:rPr>
        <w:t xml:space="preserve">Ibid </w:t>
      </w:r>
      <w:r w:rsidRPr="00F64CE1">
        <w:rPr>
          <w:sz w:val="18"/>
        </w:rPr>
        <w:t>para 32</w:t>
      </w:r>
    </w:p>
  </w:footnote>
  <w:footnote w:id="16">
    <w:p w:rsidR="00F83586" w:rsidRPr="00F64CE1" w:rsidRDefault="00F83586" w:rsidP="00F83586">
      <w:pPr>
        <w:pStyle w:val="FootnoteText"/>
        <w:rPr>
          <w:sz w:val="18"/>
        </w:rPr>
      </w:pPr>
      <w:r w:rsidRPr="00F64CE1">
        <w:rPr>
          <w:rStyle w:val="FootnoteReference"/>
          <w:sz w:val="18"/>
        </w:rPr>
        <w:footnoteRef/>
      </w:r>
      <w:r w:rsidRPr="00F64CE1">
        <w:rPr>
          <w:sz w:val="18"/>
        </w:rPr>
        <w:t xml:space="preserve"> </w:t>
      </w:r>
      <w:r w:rsidRPr="00F64CE1">
        <w:rPr>
          <w:i/>
          <w:sz w:val="18"/>
        </w:rPr>
        <w:t xml:space="preserve">Commissioner of Patents v RPL Central Pty Ltd </w:t>
      </w:r>
      <w:r>
        <w:rPr>
          <w:sz w:val="18"/>
        </w:rPr>
        <w:t>[2015] FCA FC 177</w:t>
      </w:r>
      <w:r w:rsidRPr="00F64CE1">
        <w:rPr>
          <w:sz w:val="18"/>
        </w:rPr>
        <w:t xml:space="preserve"> para 100</w:t>
      </w:r>
    </w:p>
  </w:footnote>
  <w:footnote w:id="17">
    <w:p w:rsidR="000D542D" w:rsidRPr="000D542D" w:rsidRDefault="000D542D">
      <w:pPr>
        <w:pStyle w:val="FootnoteText"/>
      </w:pPr>
      <w:r>
        <w:rPr>
          <w:rStyle w:val="FootnoteReference"/>
        </w:rPr>
        <w:footnoteRef/>
      </w:r>
      <w:r>
        <w:t xml:space="preserve"> </w:t>
      </w:r>
      <w:r w:rsidRPr="000D542D">
        <w:rPr>
          <w:i/>
          <w:sz w:val="18"/>
        </w:rPr>
        <w:t xml:space="preserve">Ibid </w:t>
      </w:r>
      <w:r w:rsidRPr="000D542D">
        <w:rPr>
          <w:sz w:val="18"/>
        </w:rPr>
        <w:t>para 100</w:t>
      </w:r>
    </w:p>
  </w:footnote>
  <w:footnote w:id="18">
    <w:p w:rsidR="009C6CAF" w:rsidRDefault="009C6CAF">
      <w:pPr>
        <w:pStyle w:val="FootnoteText"/>
      </w:pPr>
      <w:r>
        <w:rPr>
          <w:rStyle w:val="FootnoteReference"/>
        </w:rPr>
        <w:footnoteRef/>
      </w:r>
      <w:r>
        <w:t xml:space="preserve"> </w:t>
      </w:r>
      <w:r w:rsidRPr="000D542D">
        <w:rPr>
          <w:i/>
          <w:sz w:val="18"/>
        </w:rPr>
        <w:t xml:space="preserve">Ibid </w:t>
      </w:r>
      <w:r>
        <w:rPr>
          <w:sz w:val="18"/>
        </w:rPr>
        <w:t>para 113</w:t>
      </w:r>
    </w:p>
  </w:footnote>
  <w:footnote w:id="19">
    <w:p w:rsidR="00146B62" w:rsidRDefault="00146B62">
      <w:pPr>
        <w:pStyle w:val="FootnoteText"/>
      </w:pPr>
      <w:r>
        <w:rPr>
          <w:rStyle w:val="FootnoteReference"/>
        </w:rPr>
        <w:footnoteRef/>
      </w:r>
      <w:r>
        <w:t xml:space="preserve"> </w:t>
      </w:r>
      <w:hyperlink r:id="rId2" w:history="1">
        <w:r w:rsidRPr="00146B62">
          <w:rPr>
            <w:rStyle w:val="Hyperlink"/>
            <w:sz w:val="18"/>
          </w:rPr>
          <w:t>US Patent 5487069</w:t>
        </w:r>
      </w:hyperlink>
    </w:p>
  </w:footnote>
  <w:footnote w:id="20">
    <w:p w:rsidR="00EA6891" w:rsidRPr="00EA6891" w:rsidRDefault="00EA6891">
      <w:pPr>
        <w:pStyle w:val="FootnoteText"/>
        <w:rPr>
          <w:sz w:val="18"/>
        </w:rPr>
      </w:pPr>
      <w:r>
        <w:rPr>
          <w:rStyle w:val="FootnoteReference"/>
        </w:rPr>
        <w:footnoteRef/>
      </w:r>
      <w:r>
        <w:t xml:space="preserve"> </w:t>
      </w:r>
      <w:r w:rsidR="00BF5EB8">
        <w:rPr>
          <w:sz w:val="18"/>
        </w:rPr>
        <w:t>For example, previous l</w:t>
      </w:r>
      <w:r>
        <w:rPr>
          <w:sz w:val="18"/>
        </w:rPr>
        <w:t xml:space="preserve">ack </w:t>
      </w:r>
      <w:r w:rsidR="0086383A">
        <w:rPr>
          <w:sz w:val="18"/>
        </w:rPr>
        <w:t xml:space="preserve">of </w:t>
      </w:r>
      <w:r>
        <w:rPr>
          <w:sz w:val="18"/>
        </w:rPr>
        <w:t xml:space="preserve">cost awards against </w:t>
      </w:r>
      <w:r w:rsidR="0086383A">
        <w:rPr>
          <w:sz w:val="18"/>
        </w:rPr>
        <w:t>unsuccessful patentees</w:t>
      </w:r>
      <w:r>
        <w:rPr>
          <w:sz w:val="18"/>
        </w:rPr>
        <w:t xml:space="preserve"> </w:t>
      </w:r>
      <w:r w:rsidR="005C1FBC">
        <w:rPr>
          <w:sz w:val="18"/>
        </w:rPr>
        <w:t>and ease of referral back to the US PTO.</w:t>
      </w:r>
      <w:r>
        <w:rPr>
          <w:sz w:val="18"/>
        </w:rPr>
        <w:t xml:space="preserve"> </w:t>
      </w:r>
    </w:p>
  </w:footnote>
  <w:footnote w:id="21">
    <w:p w:rsidR="008056AD" w:rsidRDefault="008056AD">
      <w:pPr>
        <w:pStyle w:val="FootnoteText"/>
      </w:pPr>
      <w:r>
        <w:rPr>
          <w:rStyle w:val="FootnoteReference"/>
        </w:rPr>
        <w:footnoteRef/>
      </w:r>
      <w:r>
        <w:t xml:space="preserve"> </w:t>
      </w:r>
      <w:r w:rsidRPr="008056AD">
        <w:rPr>
          <w:i/>
          <w:iCs/>
          <w:sz w:val="18"/>
        </w:rPr>
        <w:t xml:space="preserve">Intellectual Property Laws Amendment (Raising the Bar) Act 2012 </w:t>
      </w:r>
      <w:r w:rsidRPr="008056AD">
        <w:rPr>
          <w:sz w:val="18"/>
        </w:rPr>
        <w:t>(</w:t>
      </w:r>
      <w:proofErr w:type="spellStart"/>
      <w:r w:rsidRPr="008056AD">
        <w:rPr>
          <w:sz w:val="18"/>
        </w:rPr>
        <w:t>Cth</w:t>
      </w:r>
      <w:proofErr w:type="spellEnd"/>
      <w:r w:rsidRPr="008056AD">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Default="00122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Default="00122C91">
    <w:pPr>
      <w:pStyle w:val="Header"/>
      <w:jc w:val="center"/>
    </w:pPr>
    <w:r>
      <w:t xml:space="preserve">- </w:t>
    </w:r>
    <w:sdt>
      <w:sdtPr>
        <w:id w:val="19911319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C6E42">
          <w:rPr>
            <w:noProof/>
          </w:rPr>
          <w:t>5</w:t>
        </w:r>
        <w:r>
          <w:rPr>
            <w:noProof/>
          </w:rPr>
          <w:fldChar w:fldCharType="end"/>
        </w:r>
        <w:r>
          <w:rPr>
            <w:noProof/>
          </w:rPr>
          <w:t xml:space="preserve"> -</w:t>
        </w:r>
      </w:sdtContent>
    </w:sdt>
  </w:p>
  <w:p w:rsidR="00122C91" w:rsidRDefault="00122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91" w:rsidRDefault="00122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1046CE"/>
    <w:lvl w:ilvl="0">
      <w:start w:val="1"/>
      <w:numFmt w:val="decimal"/>
      <w:lvlText w:val="%1."/>
      <w:lvlJc w:val="left"/>
      <w:pPr>
        <w:tabs>
          <w:tab w:val="num" w:pos="1492"/>
        </w:tabs>
        <w:ind w:left="1492" w:hanging="360"/>
      </w:pPr>
    </w:lvl>
  </w:abstractNum>
  <w:abstractNum w:abstractNumId="1">
    <w:nsid w:val="FFFFFF7D"/>
    <w:multiLevelType w:val="singleLevel"/>
    <w:tmpl w:val="B53AF262"/>
    <w:lvl w:ilvl="0">
      <w:start w:val="1"/>
      <w:numFmt w:val="decimal"/>
      <w:lvlText w:val="%1."/>
      <w:lvlJc w:val="left"/>
      <w:pPr>
        <w:tabs>
          <w:tab w:val="num" w:pos="1209"/>
        </w:tabs>
        <w:ind w:left="1209" w:hanging="360"/>
      </w:pPr>
    </w:lvl>
  </w:abstractNum>
  <w:abstractNum w:abstractNumId="2">
    <w:nsid w:val="FFFFFF7E"/>
    <w:multiLevelType w:val="singleLevel"/>
    <w:tmpl w:val="BC40988C"/>
    <w:lvl w:ilvl="0">
      <w:start w:val="1"/>
      <w:numFmt w:val="decimal"/>
      <w:lvlText w:val="%1."/>
      <w:lvlJc w:val="left"/>
      <w:pPr>
        <w:tabs>
          <w:tab w:val="num" w:pos="926"/>
        </w:tabs>
        <w:ind w:left="926" w:hanging="360"/>
      </w:pPr>
    </w:lvl>
  </w:abstractNum>
  <w:abstractNum w:abstractNumId="3">
    <w:nsid w:val="FFFFFF7F"/>
    <w:multiLevelType w:val="singleLevel"/>
    <w:tmpl w:val="1826E524"/>
    <w:lvl w:ilvl="0">
      <w:start w:val="1"/>
      <w:numFmt w:val="decimal"/>
      <w:lvlText w:val="%1."/>
      <w:lvlJc w:val="left"/>
      <w:pPr>
        <w:tabs>
          <w:tab w:val="num" w:pos="643"/>
        </w:tabs>
        <w:ind w:left="643" w:hanging="360"/>
      </w:pPr>
    </w:lvl>
  </w:abstractNum>
  <w:abstractNum w:abstractNumId="4">
    <w:nsid w:val="FFFFFF80"/>
    <w:multiLevelType w:val="singleLevel"/>
    <w:tmpl w:val="085CF4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7AA7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1C8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A6B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02FE6"/>
    <w:lvl w:ilvl="0">
      <w:start w:val="1"/>
      <w:numFmt w:val="decimal"/>
      <w:lvlText w:val="%1."/>
      <w:lvlJc w:val="left"/>
      <w:pPr>
        <w:tabs>
          <w:tab w:val="num" w:pos="360"/>
        </w:tabs>
        <w:ind w:left="360" w:hanging="360"/>
      </w:pPr>
    </w:lvl>
  </w:abstractNum>
  <w:abstractNum w:abstractNumId="9">
    <w:nsid w:val="FFFFFF89"/>
    <w:multiLevelType w:val="singleLevel"/>
    <w:tmpl w:val="6CAC732E"/>
    <w:lvl w:ilvl="0">
      <w:start w:val="1"/>
      <w:numFmt w:val="bullet"/>
      <w:lvlText w:val=""/>
      <w:lvlJc w:val="left"/>
      <w:pPr>
        <w:tabs>
          <w:tab w:val="num" w:pos="360"/>
        </w:tabs>
        <w:ind w:left="360" w:hanging="360"/>
      </w:pPr>
      <w:rPr>
        <w:rFonts w:ascii="Symbol" w:hAnsi="Symbol" w:hint="default"/>
      </w:rPr>
    </w:lvl>
  </w:abstractNum>
  <w:abstractNum w:abstractNumId="10">
    <w:nsid w:val="01CB79DC"/>
    <w:multiLevelType w:val="hybridMultilevel"/>
    <w:tmpl w:val="8E3E81DE"/>
    <w:lvl w:ilvl="0" w:tplc="33B40230">
      <w:start w:val="1"/>
      <w:numFmt w:val="bullet"/>
      <w:lvlText w:val="­"/>
      <w:lvlJc w:val="left"/>
      <w:pPr>
        <w:tabs>
          <w:tab w:val="num" w:pos="1083"/>
        </w:tabs>
        <w:ind w:left="1083" w:hanging="363"/>
      </w:pPr>
      <w:rPr>
        <w:rFonts w:ascii="Verdana" w:hAnsi="Verdana"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nsid w:val="062A2D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780091"/>
    <w:multiLevelType w:val="hybridMultilevel"/>
    <w:tmpl w:val="DB12052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3">
    <w:nsid w:val="0FA43B98"/>
    <w:multiLevelType w:val="hybridMultilevel"/>
    <w:tmpl w:val="00647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B564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9C5A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E3641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253A75"/>
    <w:multiLevelType w:val="hybridMultilevel"/>
    <w:tmpl w:val="A00A27E2"/>
    <w:lvl w:ilvl="0" w:tplc="ED4CFAA6">
      <w:start w:val="1000"/>
      <w:numFmt w:val="decimal"/>
      <w:pStyle w:val="1000-Paragraph"/>
      <w:lvlText w:val="[%1]"/>
      <w:lvlJc w:val="left"/>
      <w:pPr>
        <w:tabs>
          <w:tab w:val="num" w:pos="1134"/>
        </w:tabs>
        <w:ind w:left="0" w:firstLine="0"/>
      </w:pPr>
      <w:rPr>
        <w:rFonts w:ascii="Times New Roman" w:hAnsi="Times New Roman" w:hint="default"/>
        <w:b/>
        <w:i w:val="0"/>
        <w:spacing w:val="0"/>
        <w:w w:val="100"/>
        <w:position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DD81D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34B2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9554B8"/>
    <w:multiLevelType w:val="hybridMultilevel"/>
    <w:tmpl w:val="90D48C2C"/>
    <w:lvl w:ilvl="0" w:tplc="E26E5852">
      <w:start w:val="1"/>
      <w:numFmt w:val="decimalZero"/>
      <w:pStyle w:val="0001-0099Paragraph"/>
      <w:lvlText w:val="[00%1]"/>
      <w:lvlJc w:val="left"/>
      <w:pPr>
        <w:tabs>
          <w:tab w:val="num" w:pos="1134"/>
        </w:tabs>
        <w:ind w:left="0" w:firstLine="0"/>
      </w:pPr>
      <w:rPr>
        <w:rFonts w:ascii="Times New Roman" w:hAnsi="Times New Roman" w:hint="default"/>
        <w:b/>
        <w:i w:val="0"/>
        <w:spacing w:val="0"/>
        <w:w w:val="100"/>
        <w:position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51C4B10"/>
    <w:multiLevelType w:val="hybridMultilevel"/>
    <w:tmpl w:val="C9ECF29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nsid w:val="559B53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E81C87"/>
    <w:multiLevelType w:val="hybridMultilevel"/>
    <w:tmpl w:val="7C289F0E"/>
    <w:lvl w:ilvl="0" w:tplc="0AD2830A">
      <w:start w:val="1"/>
      <w:numFmt w:val="bullet"/>
      <w:pStyle w:val="4bSubbulletpoint"/>
      <w:lvlText w:val="­"/>
      <w:lvlJc w:val="left"/>
      <w:pPr>
        <w:tabs>
          <w:tab w:val="num" w:pos="1083"/>
        </w:tabs>
        <w:ind w:left="1083" w:hanging="36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EB14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2659EF"/>
    <w:multiLevelType w:val="hybridMultilevel"/>
    <w:tmpl w:val="D2022970"/>
    <w:lvl w:ilvl="0" w:tplc="72022C1E">
      <w:start w:val="100"/>
      <w:numFmt w:val="decimalZero"/>
      <w:pStyle w:val="0100-0999Paragraph"/>
      <w:lvlText w:val="[0%1]"/>
      <w:lvlJc w:val="left"/>
      <w:pPr>
        <w:tabs>
          <w:tab w:val="num" w:pos="1134"/>
        </w:tabs>
        <w:ind w:left="0" w:firstLine="0"/>
      </w:pPr>
      <w:rPr>
        <w:rFonts w:ascii="Times New Roman" w:hAnsi="Times New Roman" w:hint="default"/>
        <w:b/>
        <w:i w:val="0"/>
        <w:color w:val="auto"/>
        <w:spacing w:val="0"/>
        <w:w w:val="100"/>
        <w:position w:val="0"/>
        <w:sz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2A239C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nsid w:val="62F05E93"/>
    <w:multiLevelType w:val="hybridMultilevel"/>
    <w:tmpl w:val="DB16812C"/>
    <w:lvl w:ilvl="0" w:tplc="518CF6A0">
      <w:start w:val="1"/>
      <w:numFmt w:val="bullet"/>
      <w:lvlText w:val="­"/>
      <w:lvlJc w:val="left"/>
      <w:pPr>
        <w:tabs>
          <w:tab w:val="num" w:pos="720"/>
        </w:tabs>
        <w:ind w:left="720" w:hanging="363"/>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347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9C73E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D3769CD"/>
    <w:multiLevelType w:val="hybridMultilevel"/>
    <w:tmpl w:val="3CC47532"/>
    <w:lvl w:ilvl="0" w:tplc="A51C959E">
      <w:start w:val="1"/>
      <w:numFmt w:val="bullet"/>
      <w:pStyle w:val="4aBulletpoint"/>
      <w:lvlText w:val="­"/>
      <w:lvlJc w:val="left"/>
      <w:pPr>
        <w:tabs>
          <w:tab w:val="num" w:pos="720"/>
        </w:tabs>
        <w:ind w:left="720" w:hanging="36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0"/>
  </w:num>
  <w:num w:numId="13">
    <w:abstractNumId w:val="30"/>
  </w:num>
  <w:num w:numId="14">
    <w:abstractNumId w:val="19"/>
  </w:num>
  <w:num w:numId="15">
    <w:abstractNumId w:val="22"/>
  </w:num>
  <w:num w:numId="16">
    <w:abstractNumId w:val="14"/>
  </w:num>
  <w:num w:numId="17">
    <w:abstractNumId w:val="15"/>
  </w:num>
  <w:num w:numId="18">
    <w:abstractNumId w:val="24"/>
  </w:num>
  <w:num w:numId="19">
    <w:abstractNumId w:val="23"/>
  </w:num>
  <w:num w:numId="20">
    <w:abstractNumId w:val="18"/>
  </w:num>
  <w:num w:numId="21">
    <w:abstractNumId w:val="28"/>
  </w:num>
  <w:num w:numId="22">
    <w:abstractNumId w:val="11"/>
  </w:num>
  <w:num w:numId="23">
    <w:abstractNumId w:val="20"/>
  </w:num>
  <w:num w:numId="24">
    <w:abstractNumId w:val="25"/>
  </w:num>
  <w:num w:numId="25">
    <w:abstractNumId w:val="17"/>
  </w:num>
  <w:num w:numId="26">
    <w:abstractNumId w:val="29"/>
  </w:num>
  <w:num w:numId="27">
    <w:abstractNumId w:val="16"/>
  </w:num>
  <w:num w:numId="28">
    <w:abstractNumId w:val="26"/>
  </w:num>
  <w:num w:numId="29">
    <w:abstractNumId w:val="12"/>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2A"/>
    <w:rsid w:val="000004A5"/>
    <w:rsid w:val="00000C08"/>
    <w:rsid w:val="0001102E"/>
    <w:rsid w:val="00023C85"/>
    <w:rsid w:val="00024470"/>
    <w:rsid w:val="00031061"/>
    <w:rsid w:val="00033049"/>
    <w:rsid w:val="000355B2"/>
    <w:rsid w:val="00037CE0"/>
    <w:rsid w:val="000450BF"/>
    <w:rsid w:val="00050356"/>
    <w:rsid w:val="00051835"/>
    <w:rsid w:val="00065240"/>
    <w:rsid w:val="000654BE"/>
    <w:rsid w:val="00065E6F"/>
    <w:rsid w:val="00066A54"/>
    <w:rsid w:val="000678AB"/>
    <w:rsid w:val="00075573"/>
    <w:rsid w:val="00077D23"/>
    <w:rsid w:val="000841D4"/>
    <w:rsid w:val="0008532A"/>
    <w:rsid w:val="00087B2A"/>
    <w:rsid w:val="00094021"/>
    <w:rsid w:val="0009477D"/>
    <w:rsid w:val="000A3A04"/>
    <w:rsid w:val="000A44B7"/>
    <w:rsid w:val="000A51AD"/>
    <w:rsid w:val="000A6B2D"/>
    <w:rsid w:val="000B1364"/>
    <w:rsid w:val="000B412C"/>
    <w:rsid w:val="000B79F2"/>
    <w:rsid w:val="000B7A39"/>
    <w:rsid w:val="000C0F0F"/>
    <w:rsid w:val="000D2AC0"/>
    <w:rsid w:val="000D3BBC"/>
    <w:rsid w:val="000D4B14"/>
    <w:rsid w:val="000D542D"/>
    <w:rsid w:val="000D63C8"/>
    <w:rsid w:val="000E3A11"/>
    <w:rsid w:val="000E5293"/>
    <w:rsid w:val="000E5D10"/>
    <w:rsid w:val="000E6757"/>
    <w:rsid w:val="000F5C44"/>
    <w:rsid w:val="001013F1"/>
    <w:rsid w:val="001024F6"/>
    <w:rsid w:val="00104ADF"/>
    <w:rsid w:val="00104EEB"/>
    <w:rsid w:val="00107473"/>
    <w:rsid w:val="0011588D"/>
    <w:rsid w:val="001168AF"/>
    <w:rsid w:val="00122C91"/>
    <w:rsid w:val="00123348"/>
    <w:rsid w:val="001236A3"/>
    <w:rsid w:val="00124018"/>
    <w:rsid w:val="00124231"/>
    <w:rsid w:val="00126945"/>
    <w:rsid w:val="00130449"/>
    <w:rsid w:val="001327FA"/>
    <w:rsid w:val="00133F40"/>
    <w:rsid w:val="001375AE"/>
    <w:rsid w:val="00141162"/>
    <w:rsid w:val="00141D9A"/>
    <w:rsid w:val="00144EF8"/>
    <w:rsid w:val="00146B62"/>
    <w:rsid w:val="001479E4"/>
    <w:rsid w:val="00150296"/>
    <w:rsid w:val="001557FF"/>
    <w:rsid w:val="0015663A"/>
    <w:rsid w:val="00157F87"/>
    <w:rsid w:val="001631CE"/>
    <w:rsid w:val="00165CB1"/>
    <w:rsid w:val="001720F7"/>
    <w:rsid w:val="00176A83"/>
    <w:rsid w:val="00177F6F"/>
    <w:rsid w:val="001819D9"/>
    <w:rsid w:val="00185A62"/>
    <w:rsid w:val="00185AF8"/>
    <w:rsid w:val="00192BA3"/>
    <w:rsid w:val="00194778"/>
    <w:rsid w:val="00195483"/>
    <w:rsid w:val="001A332C"/>
    <w:rsid w:val="001A7385"/>
    <w:rsid w:val="001A74AF"/>
    <w:rsid w:val="001B1E5D"/>
    <w:rsid w:val="001B1E9E"/>
    <w:rsid w:val="001B4EF8"/>
    <w:rsid w:val="001B6767"/>
    <w:rsid w:val="001B7154"/>
    <w:rsid w:val="001B7345"/>
    <w:rsid w:val="001C0B52"/>
    <w:rsid w:val="001C0C75"/>
    <w:rsid w:val="001C253A"/>
    <w:rsid w:val="001D1448"/>
    <w:rsid w:val="001D2E3D"/>
    <w:rsid w:val="001D3E66"/>
    <w:rsid w:val="001D5838"/>
    <w:rsid w:val="001E342D"/>
    <w:rsid w:val="001F3F42"/>
    <w:rsid w:val="00200EE4"/>
    <w:rsid w:val="00205E53"/>
    <w:rsid w:val="002217A3"/>
    <w:rsid w:val="002219AD"/>
    <w:rsid w:val="0022298C"/>
    <w:rsid w:val="00226DB0"/>
    <w:rsid w:val="00233830"/>
    <w:rsid w:val="00237261"/>
    <w:rsid w:val="002418B4"/>
    <w:rsid w:val="002528A4"/>
    <w:rsid w:val="00255C82"/>
    <w:rsid w:val="00256080"/>
    <w:rsid w:val="002576D5"/>
    <w:rsid w:val="0026453D"/>
    <w:rsid w:val="002647DA"/>
    <w:rsid w:val="00270654"/>
    <w:rsid w:val="002720EB"/>
    <w:rsid w:val="00274D6A"/>
    <w:rsid w:val="00276404"/>
    <w:rsid w:val="002832EB"/>
    <w:rsid w:val="002858FB"/>
    <w:rsid w:val="00295145"/>
    <w:rsid w:val="002A5374"/>
    <w:rsid w:val="002A5D37"/>
    <w:rsid w:val="002A68A6"/>
    <w:rsid w:val="002B0613"/>
    <w:rsid w:val="002B3B17"/>
    <w:rsid w:val="002B72E1"/>
    <w:rsid w:val="002C677B"/>
    <w:rsid w:val="002C6849"/>
    <w:rsid w:val="002C69D8"/>
    <w:rsid w:val="002D33DD"/>
    <w:rsid w:val="002E2E2B"/>
    <w:rsid w:val="002F3ADE"/>
    <w:rsid w:val="002F3C01"/>
    <w:rsid w:val="0030041C"/>
    <w:rsid w:val="00302B8D"/>
    <w:rsid w:val="00305240"/>
    <w:rsid w:val="00305865"/>
    <w:rsid w:val="003127DF"/>
    <w:rsid w:val="0031425E"/>
    <w:rsid w:val="0031572A"/>
    <w:rsid w:val="003176DE"/>
    <w:rsid w:val="00326066"/>
    <w:rsid w:val="0032649A"/>
    <w:rsid w:val="00330925"/>
    <w:rsid w:val="00335DEB"/>
    <w:rsid w:val="003371B2"/>
    <w:rsid w:val="00344212"/>
    <w:rsid w:val="003452F6"/>
    <w:rsid w:val="00345CA0"/>
    <w:rsid w:val="00355746"/>
    <w:rsid w:val="003578A8"/>
    <w:rsid w:val="00363E64"/>
    <w:rsid w:val="00367DA4"/>
    <w:rsid w:val="00373285"/>
    <w:rsid w:val="00374B33"/>
    <w:rsid w:val="00377C29"/>
    <w:rsid w:val="0038329E"/>
    <w:rsid w:val="00385D84"/>
    <w:rsid w:val="00387458"/>
    <w:rsid w:val="00393034"/>
    <w:rsid w:val="003A02E8"/>
    <w:rsid w:val="003A0CCF"/>
    <w:rsid w:val="003A300E"/>
    <w:rsid w:val="003A6B0C"/>
    <w:rsid w:val="003B051B"/>
    <w:rsid w:val="003B173B"/>
    <w:rsid w:val="003B791B"/>
    <w:rsid w:val="003C34A4"/>
    <w:rsid w:val="003C7C0A"/>
    <w:rsid w:val="003D12D5"/>
    <w:rsid w:val="003D5841"/>
    <w:rsid w:val="003E157F"/>
    <w:rsid w:val="003E230D"/>
    <w:rsid w:val="003E76A1"/>
    <w:rsid w:val="003F0844"/>
    <w:rsid w:val="003F1591"/>
    <w:rsid w:val="003F61F6"/>
    <w:rsid w:val="003F6333"/>
    <w:rsid w:val="003F7F0B"/>
    <w:rsid w:val="00404C00"/>
    <w:rsid w:val="004077C8"/>
    <w:rsid w:val="00416BDD"/>
    <w:rsid w:val="00416D00"/>
    <w:rsid w:val="00431921"/>
    <w:rsid w:val="004438EB"/>
    <w:rsid w:val="004443AB"/>
    <w:rsid w:val="00453473"/>
    <w:rsid w:val="004549BF"/>
    <w:rsid w:val="00456803"/>
    <w:rsid w:val="00456A53"/>
    <w:rsid w:val="00466126"/>
    <w:rsid w:val="00470DD7"/>
    <w:rsid w:val="00472220"/>
    <w:rsid w:val="004753F9"/>
    <w:rsid w:val="004762F4"/>
    <w:rsid w:val="00477A04"/>
    <w:rsid w:val="00482447"/>
    <w:rsid w:val="00482E3A"/>
    <w:rsid w:val="0048346D"/>
    <w:rsid w:val="00485E13"/>
    <w:rsid w:val="00492DD5"/>
    <w:rsid w:val="00494FBE"/>
    <w:rsid w:val="004951B9"/>
    <w:rsid w:val="00496B06"/>
    <w:rsid w:val="00496C5B"/>
    <w:rsid w:val="0049715E"/>
    <w:rsid w:val="00497E7E"/>
    <w:rsid w:val="004A1083"/>
    <w:rsid w:val="004B0DDD"/>
    <w:rsid w:val="004B201C"/>
    <w:rsid w:val="004B348F"/>
    <w:rsid w:val="004B777F"/>
    <w:rsid w:val="004C0E0E"/>
    <w:rsid w:val="004C2B41"/>
    <w:rsid w:val="004D2FDF"/>
    <w:rsid w:val="004D39A2"/>
    <w:rsid w:val="004F3474"/>
    <w:rsid w:val="004F449C"/>
    <w:rsid w:val="004F5687"/>
    <w:rsid w:val="004F784D"/>
    <w:rsid w:val="00502C02"/>
    <w:rsid w:val="00503D20"/>
    <w:rsid w:val="00521F2F"/>
    <w:rsid w:val="00522B49"/>
    <w:rsid w:val="00526736"/>
    <w:rsid w:val="0053086A"/>
    <w:rsid w:val="00532F81"/>
    <w:rsid w:val="005431B4"/>
    <w:rsid w:val="0054389B"/>
    <w:rsid w:val="005470C6"/>
    <w:rsid w:val="0055133B"/>
    <w:rsid w:val="00552B9B"/>
    <w:rsid w:val="005671C1"/>
    <w:rsid w:val="00570553"/>
    <w:rsid w:val="0057169B"/>
    <w:rsid w:val="00582C19"/>
    <w:rsid w:val="00585F75"/>
    <w:rsid w:val="00590B33"/>
    <w:rsid w:val="00596CDF"/>
    <w:rsid w:val="005B1057"/>
    <w:rsid w:val="005B6062"/>
    <w:rsid w:val="005C1FBC"/>
    <w:rsid w:val="005D2D40"/>
    <w:rsid w:val="005D5AFC"/>
    <w:rsid w:val="005E511A"/>
    <w:rsid w:val="005E5FAB"/>
    <w:rsid w:val="005F2B14"/>
    <w:rsid w:val="005F4899"/>
    <w:rsid w:val="005F65E8"/>
    <w:rsid w:val="00601604"/>
    <w:rsid w:val="006041F7"/>
    <w:rsid w:val="006108ED"/>
    <w:rsid w:val="00610B1D"/>
    <w:rsid w:val="00613C79"/>
    <w:rsid w:val="00613F36"/>
    <w:rsid w:val="00620808"/>
    <w:rsid w:val="00620C50"/>
    <w:rsid w:val="00641562"/>
    <w:rsid w:val="006417E7"/>
    <w:rsid w:val="00641A6D"/>
    <w:rsid w:val="00642AC1"/>
    <w:rsid w:val="006435FF"/>
    <w:rsid w:val="00644B61"/>
    <w:rsid w:val="006642AD"/>
    <w:rsid w:val="0066791F"/>
    <w:rsid w:val="00672368"/>
    <w:rsid w:val="00677592"/>
    <w:rsid w:val="00680096"/>
    <w:rsid w:val="00683BB5"/>
    <w:rsid w:val="006955CC"/>
    <w:rsid w:val="00695AC2"/>
    <w:rsid w:val="006A41A1"/>
    <w:rsid w:val="006A730A"/>
    <w:rsid w:val="006B2A51"/>
    <w:rsid w:val="006C50CC"/>
    <w:rsid w:val="006C5932"/>
    <w:rsid w:val="006D3F1E"/>
    <w:rsid w:val="006E565E"/>
    <w:rsid w:val="006F2F99"/>
    <w:rsid w:val="006F5940"/>
    <w:rsid w:val="006F6D02"/>
    <w:rsid w:val="00705866"/>
    <w:rsid w:val="0071325F"/>
    <w:rsid w:val="00713F70"/>
    <w:rsid w:val="00715549"/>
    <w:rsid w:val="0071660B"/>
    <w:rsid w:val="007249E5"/>
    <w:rsid w:val="00727A01"/>
    <w:rsid w:val="007322D2"/>
    <w:rsid w:val="00734CFA"/>
    <w:rsid w:val="00735295"/>
    <w:rsid w:val="007412C0"/>
    <w:rsid w:val="007416F3"/>
    <w:rsid w:val="00744BFC"/>
    <w:rsid w:val="00745393"/>
    <w:rsid w:val="00746AEC"/>
    <w:rsid w:val="0074755A"/>
    <w:rsid w:val="00750CDC"/>
    <w:rsid w:val="0075122E"/>
    <w:rsid w:val="00751D40"/>
    <w:rsid w:val="00754C7E"/>
    <w:rsid w:val="00755394"/>
    <w:rsid w:val="007627A2"/>
    <w:rsid w:val="00763A61"/>
    <w:rsid w:val="00772C5C"/>
    <w:rsid w:val="007818B8"/>
    <w:rsid w:val="00785A5A"/>
    <w:rsid w:val="00787574"/>
    <w:rsid w:val="00787871"/>
    <w:rsid w:val="00790283"/>
    <w:rsid w:val="007929DF"/>
    <w:rsid w:val="00792A7A"/>
    <w:rsid w:val="00792CD8"/>
    <w:rsid w:val="00794895"/>
    <w:rsid w:val="00795F08"/>
    <w:rsid w:val="007A22EC"/>
    <w:rsid w:val="007A6154"/>
    <w:rsid w:val="007A6CF0"/>
    <w:rsid w:val="007B0A50"/>
    <w:rsid w:val="007B76A1"/>
    <w:rsid w:val="007B7D1C"/>
    <w:rsid w:val="007C1E33"/>
    <w:rsid w:val="007C304C"/>
    <w:rsid w:val="007D1C7C"/>
    <w:rsid w:val="007D22C8"/>
    <w:rsid w:val="007D7785"/>
    <w:rsid w:val="007E0703"/>
    <w:rsid w:val="007E1387"/>
    <w:rsid w:val="007E2E70"/>
    <w:rsid w:val="007E478F"/>
    <w:rsid w:val="007F27BC"/>
    <w:rsid w:val="007F436A"/>
    <w:rsid w:val="007F4D80"/>
    <w:rsid w:val="007F5415"/>
    <w:rsid w:val="007F64FD"/>
    <w:rsid w:val="007F6AB3"/>
    <w:rsid w:val="00800429"/>
    <w:rsid w:val="008033DF"/>
    <w:rsid w:val="008056AD"/>
    <w:rsid w:val="00823E09"/>
    <w:rsid w:val="00824742"/>
    <w:rsid w:val="00830BFE"/>
    <w:rsid w:val="00831D27"/>
    <w:rsid w:val="008348A1"/>
    <w:rsid w:val="008403CB"/>
    <w:rsid w:val="00841C39"/>
    <w:rsid w:val="0084211A"/>
    <w:rsid w:val="008448D2"/>
    <w:rsid w:val="00847480"/>
    <w:rsid w:val="008517B2"/>
    <w:rsid w:val="00851C65"/>
    <w:rsid w:val="00856284"/>
    <w:rsid w:val="0085685E"/>
    <w:rsid w:val="00856918"/>
    <w:rsid w:val="008603DA"/>
    <w:rsid w:val="0086383A"/>
    <w:rsid w:val="00873BC8"/>
    <w:rsid w:val="00876F0C"/>
    <w:rsid w:val="00881845"/>
    <w:rsid w:val="0088284B"/>
    <w:rsid w:val="00886910"/>
    <w:rsid w:val="008870D6"/>
    <w:rsid w:val="00887AF8"/>
    <w:rsid w:val="008A71B4"/>
    <w:rsid w:val="008A77D7"/>
    <w:rsid w:val="008B3712"/>
    <w:rsid w:val="008B4079"/>
    <w:rsid w:val="008B5CBB"/>
    <w:rsid w:val="008C3E80"/>
    <w:rsid w:val="008C4442"/>
    <w:rsid w:val="008C5F2F"/>
    <w:rsid w:val="008D0ADC"/>
    <w:rsid w:val="008D0C5E"/>
    <w:rsid w:val="008D1299"/>
    <w:rsid w:val="008D1A9F"/>
    <w:rsid w:val="008D7625"/>
    <w:rsid w:val="008E1241"/>
    <w:rsid w:val="008E5E0A"/>
    <w:rsid w:val="008F2496"/>
    <w:rsid w:val="009009E0"/>
    <w:rsid w:val="00901C84"/>
    <w:rsid w:val="009021F7"/>
    <w:rsid w:val="00903D6E"/>
    <w:rsid w:val="00905018"/>
    <w:rsid w:val="009126FA"/>
    <w:rsid w:val="009147B8"/>
    <w:rsid w:val="00917284"/>
    <w:rsid w:val="00920698"/>
    <w:rsid w:val="00923E8B"/>
    <w:rsid w:val="009244CA"/>
    <w:rsid w:val="00924516"/>
    <w:rsid w:val="00936BE0"/>
    <w:rsid w:val="00941C26"/>
    <w:rsid w:val="00942656"/>
    <w:rsid w:val="009529A0"/>
    <w:rsid w:val="00953AB8"/>
    <w:rsid w:val="00955E9C"/>
    <w:rsid w:val="00957BEC"/>
    <w:rsid w:val="00963A90"/>
    <w:rsid w:val="00964DD1"/>
    <w:rsid w:val="0096557F"/>
    <w:rsid w:val="00965EA1"/>
    <w:rsid w:val="00966168"/>
    <w:rsid w:val="009709E3"/>
    <w:rsid w:val="00972B8A"/>
    <w:rsid w:val="00975354"/>
    <w:rsid w:val="009754BE"/>
    <w:rsid w:val="00977CE1"/>
    <w:rsid w:val="00986060"/>
    <w:rsid w:val="009909F9"/>
    <w:rsid w:val="0099196C"/>
    <w:rsid w:val="009939FC"/>
    <w:rsid w:val="009B109E"/>
    <w:rsid w:val="009B288C"/>
    <w:rsid w:val="009B6232"/>
    <w:rsid w:val="009C20E0"/>
    <w:rsid w:val="009C6556"/>
    <w:rsid w:val="009C6CAF"/>
    <w:rsid w:val="009D0331"/>
    <w:rsid w:val="009D0731"/>
    <w:rsid w:val="009D173A"/>
    <w:rsid w:val="009D7B59"/>
    <w:rsid w:val="009D7BC3"/>
    <w:rsid w:val="009E1C07"/>
    <w:rsid w:val="009F13D6"/>
    <w:rsid w:val="009F18EB"/>
    <w:rsid w:val="009F6295"/>
    <w:rsid w:val="00A02180"/>
    <w:rsid w:val="00A0236F"/>
    <w:rsid w:val="00A21178"/>
    <w:rsid w:val="00A26F89"/>
    <w:rsid w:val="00A31F86"/>
    <w:rsid w:val="00A37485"/>
    <w:rsid w:val="00A4026D"/>
    <w:rsid w:val="00A411B1"/>
    <w:rsid w:val="00A41466"/>
    <w:rsid w:val="00A4269B"/>
    <w:rsid w:val="00A53AD9"/>
    <w:rsid w:val="00A602F6"/>
    <w:rsid w:val="00A60DD7"/>
    <w:rsid w:val="00A70E6F"/>
    <w:rsid w:val="00A7198D"/>
    <w:rsid w:val="00A726C0"/>
    <w:rsid w:val="00A72D7A"/>
    <w:rsid w:val="00A80E97"/>
    <w:rsid w:val="00A81E3E"/>
    <w:rsid w:val="00A8205C"/>
    <w:rsid w:val="00A851C2"/>
    <w:rsid w:val="00A85939"/>
    <w:rsid w:val="00A92129"/>
    <w:rsid w:val="00A94F31"/>
    <w:rsid w:val="00A96B68"/>
    <w:rsid w:val="00A97DAF"/>
    <w:rsid w:val="00AA13CC"/>
    <w:rsid w:val="00AA7A51"/>
    <w:rsid w:val="00AB1557"/>
    <w:rsid w:val="00AC06FC"/>
    <w:rsid w:val="00AC367C"/>
    <w:rsid w:val="00AC5CA4"/>
    <w:rsid w:val="00AE020C"/>
    <w:rsid w:val="00AE2519"/>
    <w:rsid w:val="00AE303D"/>
    <w:rsid w:val="00AE35AE"/>
    <w:rsid w:val="00AE5736"/>
    <w:rsid w:val="00AF0A0D"/>
    <w:rsid w:val="00AF51CE"/>
    <w:rsid w:val="00AF67D7"/>
    <w:rsid w:val="00B06C67"/>
    <w:rsid w:val="00B10653"/>
    <w:rsid w:val="00B13CF5"/>
    <w:rsid w:val="00B141F4"/>
    <w:rsid w:val="00B1614C"/>
    <w:rsid w:val="00B20B58"/>
    <w:rsid w:val="00B22266"/>
    <w:rsid w:val="00B23576"/>
    <w:rsid w:val="00B23C11"/>
    <w:rsid w:val="00B24F4D"/>
    <w:rsid w:val="00B3010A"/>
    <w:rsid w:val="00B30DAA"/>
    <w:rsid w:val="00B354BD"/>
    <w:rsid w:val="00B35669"/>
    <w:rsid w:val="00B37645"/>
    <w:rsid w:val="00B4285A"/>
    <w:rsid w:val="00B44397"/>
    <w:rsid w:val="00B54730"/>
    <w:rsid w:val="00B54B57"/>
    <w:rsid w:val="00B55460"/>
    <w:rsid w:val="00B60A96"/>
    <w:rsid w:val="00B667D5"/>
    <w:rsid w:val="00B6780D"/>
    <w:rsid w:val="00B71304"/>
    <w:rsid w:val="00B72B85"/>
    <w:rsid w:val="00B82C6C"/>
    <w:rsid w:val="00B86172"/>
    <w:rsid w:val="00B94A4A"/>
    <w:rsid w:val="00B95B58"/>
    <w:rsid w:val="00B95E9F"/>
    <w:rsid w:val="00B96FEF"/>
    <w:rsid w:val="00BA2787"/>
    <w:rsid w:val="00BA3085"/>
    <w:rsid w:val="00BA70AA"/>
    <w:rsid w:val="00BB2D1B"/>
    <w:rsid w:val="00BB321E"/>
    <w:rsid w:val="00BB3903"/>
    <w:rsid w:val="00BB4C13"/>
    <w:rsid w:val="00BB54F1"/>
    <w:rsid w:val="00BB79C9"/>
    <w:rsid w:val="00BC11C3"/>
    <w:rsid w:val="00BC64E9"/>
    <w:rsid w:val="00BC6E42"/>
    <w:rsid w:val="00BC722B"/>
    <w:rsid w:val="00BD00D9"/>
    <w:rsid w:val="00BD382D"/>
    <w:rsid w:val="00BD5BF8"/>
    <w:rsid w:val="00BE16B1"/>
    <w:rsid w:val="00BE532B"/>
    <w:rsid w:val="00BF1F4C"/>
    <w:rsid w:val="00BF5344"/>
    <w:rsid w:val="00BF5EB8"/>
    <w:rsid w:val="00BF6F20"/>
    <w:rsid w:val="00BF7EB6"/>
    <w:rsid w:val="00C033A7"/>
    <w:rsid w:val="00C06969"/>
    <w:rsid w:val="00C07B6B"/>
    <w:rsid w:val="00C12D39"/>
    <w:rsid w:val="00C14408"/>
    <w:rsid w:val="00C14A94"/>
    <w:rsid w:val="00C15469"/>
    <w:rsid w:val="00C17F4A"/>
    <w:rsid w:val="00C26688"/>
    <w:rsid w:val="00C26792"/>
    <w:rsid w:val="00C33789"/>
    <w:rsid w:val="00C3644E"/>
    <w:rsid w:val="00C45EDC"/>
    <w:rsid w:val="00C5025C"/>
    <w:rsid w:val="00C50508"/>
    <w:rsid w:val="00C55FC9"/>
    <w:rsid w:val="00C567C3"/>
    <w:rsid w:val="00C60404"/>
    <w:rsid w:val="00C60AEA"/>
    <w:rsid w:val="00C60D14"/>
    <w:rsid w:val="00C645F0"/>
    <w:rsid w:val="00C67DCB"/>
    <w:rsid w:val="00C72295"/>
    <w:rsid w:val="00C74B04"/>
    <w:rsid w:val="00C756E7"/>
    <w:rsid w:val="00C76CF7"/>
    <w:rsid w:val="00C804D6"/>
    <w:rsid w:val="00C82540"/>
    <w:rsid w:val="00C879E5"/>
    <w:rsid w:val="00C902E0"/>
    <w:rsid w:val="00C90C24"/>
    <w:rsid w:val="00C92A8E"/>
    <w:rsid w:val="00C975C8"/>
    <w:rsid w:val="00CA3FEC"/>
    <w:rsid w:val="00CA48B9"/>
    <w:rsid w:val="00CA532E"/>
    <w:rsid w:val="00CA67A9"/>
    <w:rsid w:val="00CB4737"/>
    <w:rsid w:val="00CC03D4"/>
    <w:rsid w:val="00CC189D"/>
    <w:rsid w:val="00CC2009"/>
    <w:rsid w:val="00CC44E4"/>
    <w:rsid w:val="00CC4FB7"/>
    <w:rsid w:val="00CC5D74"/>
    <w:rsid w:val="00CD124C"/>
    <w:rsid w:val="00CD323A"/>
    <w:rsid w:val="00CD5162"/>
    <w:rsid w:val="00CE083B"/>
    <w:rsid w:val="00CE180B"/>
    <w:rsid w:val="00CE2C8C"/>
    <w:rsid w:val="00CE6A04"/>
    <w:rsid w:val="00CE6A67"/>
    <w:rsid w:val="00CE6C9E"/>
    <w:rsid w:val="00CE727F"/>
    <w:rsid w:val="00CE7C40"/>
    <w:rsid w:val="00CF0362"/>
    <w:rsid w:val="00CF16BD"/>
    <w:rsid w:val="00CF2277"/>
    <w:rsid w:val="00CF4CBF"/>
    <w:rsid w:val="00CF591B"/>
    <w:rsid w:val="00CF68B1"/>
    <w:rsid w:val="00D06ECE"/>
    <w:rsid w:val="00D14DAD"/>
    <w:rsid w:val="00D31F91"/>
    <w:rsid w:val="00D33FE5"/>
    <w:rsid w:val="00D4080A"/>
    <w:rsid w:val="00D414CC"/>
    <w:rsid w:val="00D44AB1"/>
    <w:rsid w:val="00D45E2E"/>
    <w:rsid w:val="00D571DD"/>
    <w:rsid w:val="00D60E9E"/>
    <w:rsid w:val="00D61275"/>
    <w:rsid w:val="00D63F10"/>
    <w:rsid w:val="00D66D2A"/>
    <w:rsid w:val="00D70244"/>
    <w:rsid w:val="00D70E7C"/>
    <w:rsid w:val="00D70FF0"/>
    <w:rsid w:val="00D721E5"/>
    <w:rsid w:val="00D767D4"/>
    <w:rsid w:val="00D824B2"/>
    <w:rsid w:val="00D82C98"/>
    <w:rsid w:val="00D82F18"/>
    <w:rsid w:val="00D8529A"/>
    <w:rsid w:val="00DA0306"/>
    <w:rsid w:val="00DA5110"/>
    <w:rsid w:val="00DA7AA7"/>
    <w:rsid w:val="00DB1DEA"/>
    <w:rsid w:val="00DB272A"/>
    <w:rsid w:val="00DB2D37"/>
    <w:rsid w:val="00DB37E9"/>
    <w:rsid w:val="00DC05F8"/>
    <w:rsid w:val="00DC539C"/>
    <w:rsid w:val="00DC6089"/>
    <w:rsid w:val="00DC60F4"/>
    <w:rsid w:val="00DD19BF"/>
    <w:rsid w:val="00DD2E9C"/>
    <w:rsid w:val="00DD32AB"/>
    <w:rsid w:val="00DD68F4"/>
    <w:rsid w:val="00DE3AAE"/>
    <w:rsid w:val="00DE5418"/>
    <w:rsid w:val="00DE7D63"/>
    <w:rsid w:val="00DF42CD"/>
    <w:rsid w:val="00E009F1"/>
    <w:rsid w:val="00E038F7"/>
    <w:rsid w:val="00E06BFD"/>
    <w:rsid w:val="00E22BDF"/>
    <w:rsid w:val="00E25E9A"/>
    <w:rsid w:val="00E27F1D"/>
    <w:rsid w:val="00E32C96"/>
    <w:rsid w:val="00E33B6A"/>
    <w:rsid w:val="00E3511A"/>
    <w:rsid w:val="00E37963"/>
    <w:rsid w:val="00E42212"/>
    <w:rsid w:val="00E442B3"/>
    <w:rsid w:val="00E45E5E"/>
    <w:rsid w:val="00E4670E"/>
    <w:rsid w:val="00E60A68"/>
    <w:rsid w:val="00E63FB4"/>
    <w:rsid w:val="00E746D5"/>
    <w:rsid w:val="00E778C0"/>
    <w:rsid w:val="00E82302"/>
    <w:rsid w:val="00E87C54"/>
    <w:rsid w:val="00E95268"/>
    <w:rsid w:val="00EA0694"/>
    <w:rsid w:val="00EA2069"/>
    <w:rsid w:val="00EA3CB9"/>
    <w:rsid w:val="00EA6891"/>
    <w:rsid w:val="00EA793A"/>
    <w:rsid w:val="00EB07FF"/>
    <w:rsid w:val="00EB0D5D"/>
    <w:rsid w:val="00EB4BCE"/>
    <w:rsid w:val="00EC0192"/>
    <w:rsid w:val="00EC10AF"/>
    <w:rsid w:val="00EC53E6"/>
    <w:rsid w:val="00EC68AD"/>
    <w:rsid w:val="00ED1831"/>
    <w:rsid w:val="00ED34E6"/>
    <w:rsid w:val="00ED39D2"/>
    <w:rsid w:val="00EE063F"/>
    <w:rsid w:val="00EE1F38"/>
    <w:rsid w:val="00EE5CA1"/>
    <w:rsid w:val="00EE6BD7"/>
    <w:rsid w:val="00EF24C9"/>
    <w:rsid w:val="00EF390A"/>
    <w:rsid w:val="00EF4008"/>
    <w:rsid w:val="00EF5203"/>
    <w:rsid w:val="00EF728E"/>
    <w:rsid w:val="00F00B75"/>
    <w:rsid w:val="00F01AD7"/>
    <w:rsid w:val="00F02D60"/>
    <w:rsid w:val="00F041C7"/>
    <w:rsid w:val="00F11519"/>
    <w:rsid w:val="00F1624E"/>
    <w:rsid w:val="00F26949"/>
    <w:rsid w:val="00F27EDD"/>
    <w:rsid w:val="00F31986"/>
    <w:rsid w:val="00F325CE"/>
    <w:rsid w:val="00F3693D"/>
    <w:rsid w:val="00F36A93"/>
    <w:rsid w:val="00F37331"/>
    <w:rsid w:val="00F3734A"/>
    <w:rsid w:val="00F422CC"/>
    <w:rsid w:val="00F43229"/>
    <w:rsid w:val="00F540B9"/>
    <w:rsid w:val="00F571FE"/>
    <w:rsid w:val="00F644CA"/>
    <w:rsid w:val="00F64CE1"/>
    <w:rsid w:val="00F65E54"/>
    <w:rsid w:val="00F72095"/>
    <w:rsid w:val="00F72A1A"/>
    <w:rsid w:val="00F771DC"/>
    <w:rsid w:val="00F775DE"/>
    <w:rsid w:val="00F81C85"/>
    <w:rsid w:val="00F83586"/>
    <w:rsid w:val="00F839FD"/>
    <w:rsid w:val="00F85F89"/>
    <w:rsid w:val="00F93124"/>
    <w:rsid w:val="00F96C80"/>
    <w:rsid w:val="00FA4A5A"/>
    <w:rsid w:val="00FB003D"/>
    <w:rsid w:val="00FB018C"/>
    <w:rsid w:val="00FB2FEC"/>
    <w:rsid w:val="00FB33CD"/>
    <w:rsid w:val="00FB3B88"/>
    <w:rsid w:val="00FB3C4D"/>
    <w:rsid w:val="00FC4DDD"/>
    <w:rsid w:val="00FC6F31"/>
    <w:rsid w:val="00FD1489"/>
    <w:rsid w:val="00FD365C"/>
    <w:rsid w:val="00FD367A"/>
    <w:rsid w:val="00FD6282"/>
    <w:rsid w:val="00FE1468"/>
    <w:rsid w:val="00FE3B95"/>
    <w:rsid w:val="00FE6667"/>
    <w:rsid w:val="00FF2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67A"/>
    <w:pPr>
      <w:jc w:val="both"/>
    </w:pPr>
    <w:rPr>
      <w:rFonts w:ascii="Verdana" w:hAnsi="Verdana"/>
      <w:szCs w:val="24"/>
    </w:rPr>
  </w:style>
  <w:style w:type="paragraph" w:styleId="Heading1">
    <w:name w:val="heading 1"/>
    <w:aliases w:val="Heading 1 do not use"/>
    <w:basedOn w:val="Normal"/>
    <w:next w:val="Normal"/>
    <w:qFormat/>
    <w:rsid w:val="00FD367A"/>
    <w:pPr>
      <w:keepNext/>
      <w:spacing w:before="240" w:after="60"/>
      <w:outlineLvl w:val="0"/>
    </w:pPr>
    <w:rPr>
      <w:rFonts w:ascii="Arial" w:hAnsi="Arial" w:cs="Arial"/>
      <w:b/>
      <w:bCs/>
      <w:kern w:val="32"/>
      <w:sz w:val="32"/>
      <w:szCs w:val="32"/>
    </w:rPr>
  </w:style>
  <w:style w:type="paragraph" w:styleId="Heading2">
    <w:name w:val="heading 2"/>
    <w:aliases w:val="do not use"/>
    <w:basedOn w:val="Normal"/>
    <w:next w:val="Normal"/>
    <w:qFormat/>
    <w:rsid w:val="00FD367A"/>
    <w:pPr>
      <w:keepNext/>
      <w:spacing w:before="240" w:after="60"/>
      <w:outlineLvl w:val="1"/>
    </w:pPr>
    <w:rPr>
      <w:rFonts w:ascii="Arial" w:hAnsi="Arial" w:cs="Arial"/>
      <w:b/>
      <w:bCs/>
      <w:i/>
      <w:iCs/>
      <w:sz w:val="28"/>
      <w:szCs w:val="28"/>
    </w:rPr>
  </w:style>
  <w:style w:type="paragraph" w:styleId="Heading3">
    <w:name w:val="heading 3"/>
    <w:aliases w:val="Heading 3 - do not use"/>
    <w:basedOn w:val="Normal"/>
    <w:next w:val="Normal"/>
    <w:qFormat/>
    <w:rsid w:val="00FD367A"/>
    <w:pPr>
      <w:keepNext/>
      <w:spacing w:before="240" w:after="60"/>
      <w:outlineLvl w:val="2"/>
    </w:pPr>
    <w:rPr>
      <w:rFonts w:ascii="Arial" w:hAnsi="Arial" w:cs="Arial"/>
      <w:b/>
      <w:bCs/>
      <w:sz w:val="26"/>
      <w:szCs w:val="26"/>
    </w:rPr>
  </w:style>
  <w:style w:type="paragraph" w:styleId="Heading4">
    <w:name w:val="heading 4"/>
    <w:basedOn w:val="Normal"/>
    <w:next w:val="Normal"/>
    <w:qFormat/>
    <w:rsid w:val="00492DD5"/>
    <w:pPr>
      <w:keepNext/>
      <w:numPr>
        <w:ilvl w:val="3"/>
        <w:numId w:val="28"/>
      </w:numPr>
      <w:spacing w:before="240" w:after="60"/>
      <w:outlineLvl w:val="3"/>
    </w:pPr>
    <w:rPr>
      <w:rFonts w:ascii="Times New Roman" w:hAnsi="Times New Roman"/>
      <w:b/>
      <w:bCs/>
      <w:sz w:val="28"/>
      <w:szCs w:val="28"/>
    </w:rPr>
  </w:style>
  <w:style w:type="paragraph" w:styleId="Heading5">
    <w:name w:val="heading 5"/>
    <w:basedOn w:val="Normal"/>
    <w:next w:val="Normal"/>
    <w:qFormat/>
    <w:rsid w:val="00492DD5"/>
    <w:pPr>
      <w:numPr>
        <w:ilvl w:val="4"/>
        <w:numId w:val="28"/>
      </w:numPr>
      <w:spacing w:before="240" w:after="60"/>
      <w:outlineLvl w:val="4"/>
    </w:pPr>
    <w:rPr>
      <w:b/>
      <w:bCs/>
      <w:i/>
      <w:iCs/>
      <w:sz w:val="26"/>
      <w:szCs w:val="26"/>
    </w:rPr>
  </w:style>
  <w:style w:type="paragraph" w:styleId="Heading6">
    <w:name w:val="heading 6"/>
    <w:basedOn w:val="Normal"/>
    <w:next w:val="Normal"/>
    <w:qFormat/>
    <w:rsid w:val="00492DD5"/>
    <w:pPr>
      <w:numPr>
        <w:ilvl w:val="5"/>
        <w:numId w:val="28"/>
      </w:numPr>
      <w:spacing w:before="240" w:after="60"/>
      <w:outlineLvl w:val="5"/>
    </w:pPr>
    <w:rPr>
      <w:rFonts w:ascii="Times New Roman" w:hAnsi="Times New Roman"/>
      <w:b/>
      <w:bCs/>
      <w:sz w:val="22"/>
      <w:szCs w:val="22"/>
    </w:rPr>
  </w:style>
  <w:style w:type="paragraph" w:styleId="Heading7">
    <w:name w:val="heading 7"/>
    <w:basedOn w:val="Normal"/>
    <w:next w:val="Normal"/>
    <w:qFormat/>
    <w:rsid w:val="00492DD5"/>
    <w:pPr>
      <w:numPr>
        <w:ilvl w:val="6"/>
        <w:numId w:val="28"/>
      </w:numPr>
      <w:spacing w:before="240" w:after="60"/>
      <w:outlineLvl w:val="6"/>
    </w:pPr>
    <w:rPr>
      <w:rFonts w:ascii="Times New Roman" w:hAnsi="Times New Roman"/>
      <w:sz w:val="24"/>
    </w:rPr>
  </w:style>
  <w:style w:type="paragraph" w:styleId="Heading8">
    <w:name w:val="heading 8"/>
    <w:basedOn w:val="Normal"/>
    <w:next w:val="Normal"/>
    <w:qFormat/>
    <w:rsid w:val="00492DD5"/>
    <w:pPr>
      <w:numPr>
        <w:ilvl w:val="7"/>
        <w:numId w:val="28"/>
      </w:numPr>
      <w:spacing w:before="240" w:after="60"/>
      <w:outlineLvl w:val="7"/>
    </w:pPr>
    <w:rPr>
      <w:rFonts w:ascii="Times New Roman" w:hAnsi="Times New Roman"/>
      <w:i/>
      <w:iCs/>
      <w:sz w:val="24"/>
    </w:rPr>
  </w:style>
  <w:style w:type="paragraph" w:styleId="Heading9">
    <w:name w:val="heading 9"/>
    <w:basedOn w:val="Normal"/>
    <w:next w:val="Normal"/>
    <w:qFormat/>
    <w:rsid w:val="00492DD5"/>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HEADINGBOLD">
    <w:name w:val="1A. HEADING BOLD"/>
    <w:basedOn w:val="Normal"/>
    <w:rsid w:val="00FD367A"/>
    <w:pPr>
      <w:spacing w:before="240" w:after="400"/>
      <w:jc w:val="left"/>
    </w:pPr>
    <w:rPr>
      <w:b/>
      <w:caps/>
      <w:spacing w:val="24"/>
      <w:sz w:val="40"/>
      <w:szCs w:val="40"/>
    </w:rPr>
  </w:style>
  <w:style w:type="paragraph" w:customStyle="1" w:styleId="1BHEADINGPLAINLINE2">
    <w:name w:val="1B. HEADING PLAIN (LINE 2)"/>
    <w:basedOn w:val="Normal"/>
    <w:rsid w:val="00FD367A"/>
    <w:pPr>
      <w:spacing w:before="240" w:after="400"/>
      <w:jc w:val="left"/>
    </w:pPr>
    <w:rPr>
      <w:caps/>
      <w:spacing w:val="24"/>
      <w:sz w:val="40"/>
      <w:szCs w:val="40"/>
    </w:rPr>
  </w:style>
  <w:style w:type="paragraph" w:customStyle="1" w:styleId="1CHEADINGUNDERLINE">
    <w:name w:val="1C. HEADING UNDERLINE"/>
    <w:basedOn w:val="1BHEADINGPLAINLINE2"/>
    <w:rsid w:val="00FD367A"/>
    <w:pPr>
      <w:pBdr>
        <w:bottom w:val="single" w:sz="4" w:space="1" w:color="auto"/>
      </w:pBdr>
    </w:pPr>
  </w:style>
  <w:style w:type="paragraph" w:customStyle="1" w:styleId="2ASUBHEADINGUNDERLINELEVEL1">
    <w:name w:val="2A. SUBHEADING UNDERLINE (LEVEL 1)"/>
    <w:basedOn w:val="Normal"/>
    <w:rsid w:val="00FD367A"/>
    <w:pPr>
      <w:pBdr>
        <w:bottom w:val="single" w:sz="4" w:space="1" w:color="auto"/>
      </w:pBdr>
      <w:spacing w:before="360" w:after="200"/>
      <w:jc w:val="left"/>
    </w:pPr>
    <w:rPr>
      <w:b/>
      <w:caps/>
      <w:spacing w:val="20"/>
      <w:sz w:val="22"/>
    </w:rPr>
  </w:style>
  <w:style w:type="paragraph" w:customStyle="1" w:styleId="2BSUBHEADINGLEVEL1OR2">
    <w:name w:val="2B. SUBHEADING (LEVEL 1 OR 2)"/>
    <w:basedOn w:val="Normal"/>
    <w:rsid w:val="00FD367A"/>
    <w:pPr>
      <w:spacing w:before="360" w:after="200"/>
      <w:jc w:val="left"/>
    </w:pPr>
    <w:rPr>
      <w:b/>
      <w:caps/>
      <w:spacing w:val="20"/>
      <w:sz w:val="22"/>
    </w:rPr>
  </w:style>
  <w:style w:type="paragraph" w:customStyle="1" w:styleId="2CSubheadinglevel3">
    <w:name w:val="2C. Subheading (level 3)"/>
    <w:basedOn w:val="Normal"/>
    <w:rsid w:val="00FD367A"/>
    <w:pPr>
      <w:spacing w:before="120" w:after="120"/>
      <w:jc w:val="left"/>
    </w:pPr>
    <w:rPr>
      <w:b/>
    </w:rPr>
  </w:style>
  <w:style w:type="paragraph" w:customStyle="1" w:styleId="3Bodycopy">
    <w:name w:val="3. Body copy"/>
    <w:basedOn w:val="Normal"/>
    <w:rsid w:val="00FD367A"/>
    <w:pPr>
      <w:spacing w:after="200"/>
      <w:jc w:val="left"/>
    </w:pPr>
  </w:style>
  <w:style w:type="paragraph" w:customStyle="1" w:styleId="3aBodycopy14ptlinespacingfortextheavydocs">
    <w:name w:val="3a. Body copy 14pt line spacing for text heavy docs"/>
    <w:basedOn w:val="3Bodycopy"/>
    <w:rsid w:val="00FD367A"/>
    <w:pPr>
      <w:spacing w:before="120" w:line="280" w:lineRule="atLeast"/>
    </w:pPr>
  </w:style>
  <w:style w:type="paragraph" w:customStyle="1" w:styleId="4aBulletpoint">
    <w:name w:val="4a. Bullet point"/>
    <w:basedOn w:val="Normal"/>
    <w:rsid w:val="00FD367A"/>
    <w:pPr>
      <w:numPr>
        <w:numId w:val="13"/>
      </w:numPr>
      <w:spacing w:after="120"/>
      <w:jc w:val="left"/>
    </w:pPr>
  </w:style>
  <w:style w:type="paragraph" w:customStyle="1" w:styleId="4bSubbulletpoint">
    <w:name w:val="4b. Sub bullet point"/>
    <w:basedOn w:val="Normal"/>
    <w:rsid w:val="00FD367A"/>
    <w:pPr>
      <w:numPr>
        <w:numId w:val="19"/>
      </w:numPr>
      <w:spacing w:after="120"/>
      <w:jc w:val="left"/>
    </w:pPr>
    <w:rPr>
      <w:color w:val="000000"/>
      <w:szCs w:val="20"/>
    </w:rPr>
  </w:style>
  <w:style w:type="paragraph" w:customStyle="1" w:styleId="5CaptionDCC">
    <w:name w:val="5. Caption (DCC)"/>
    <w:basedOn w:val="Normal"/>
    <w:rsid w:val="00FD367A"/>
    <w:pPr>
      <w:spacing w:before="120" w:after="120"/>
      <w:jc w:val="left"/>
    </w:pPr>
    <w:rPr>
      <w:i/>
      <w:sz w:val="18"/>
      <w:lang w:val="en-US" w:eastAsia="en-US"/>
    </w:rPr>
  </w:style>
  <w:style w:type="table" w:customStyle="1" w:styleId="6aPatentsTable">
    <w:name w:val="6a. Patents Table"/>
    <w:basedOn w:val="TableNormal"/>
    <w:rsid w:val="00FD367A"/>
    <w:pPr>
      <w:spacing w:before="60" w:after="60"/>
    </w:pPr>
    <w:rPr>
      <w:rFonts w:ascii="Verdana" w:eastAsia="MS Mincho" w:hAnsi="Verdana"/>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C60C30"/>
      </w:tcPr>
    </w:tblStylePr>
  </w:style>
  <w:style w:type="table" w:customStyle="1" w:styleId="6bTradeMarkTable">
    <w:name w:val="6b. Trade Mark Table"/>
    <w:basedOn w:val="6aPatentsTable"/>
    <w:rsid w:val="00FD367A"/>
    <w:tblPr>
      <w:tblInd w:w="0" w:type="dxa"/>
      <w:tblBorders>
        <w:insideH w:val="single" w:sz="6"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2776"/>
      </w:tcPr>
    </w:tblStylePr>
  </w:style>
  <w:style w:type="table" w:customStyle="1" w:styleId="6cLawTable">
    <w:name w:val="6c. Law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5157"/>
      </w:tcPr>
    </w:tblStylePr>
  </w:style>
  <w:style w:type="table" w:customStyle="1" w:styleId="6dDCCBlueTable">
    <w:name w:val="6d. DCC (Blu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3095B4"/>
      </w:tcPr>
    </w:tblStylePr>
  </w:style>
  <w:style w:type="table" w:customStyle="1" w:styleId="6eDCCGreyTable">
    <w:name w:val="6e. DCC (Grey)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616365"/>
      </w:tcPr>
    </w:tblStylePr>
  </w:style>
  <w:style w:type="table" w:customStyle="1" w:styleId="6fDCCPurpleTable">
    <w:name w:val="6f. DCC (Purpl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57068C"/>
      </w:tcPr>
    </w:tblStylePr>
  </w:style>
  <w:style w:type="paragraph" w:styleId="Footer">
    <w:name w:val="footer"/>
    <w:aliases w:val="Footer font 8pt verdana"/>
    <w:basedOn w:val="Normal"/>
    <w:rsid w:val="00FD367A"/>
    <w:pPr>
      <w:tabs>
        <w:tab w:val="center" w:pos="4153"/>
        <w:tab w:val="right" w:pos="8306"/>
      </w:tabs>
    </w:pPr>
    <w:rPr>
      <w:sz w:val="16"/>
    </w:rPr>
  </w:style>
  <w:style w:type="paragraph" w:styleId="Header">
    <w:name w:val="header"/>
    <w:aliases w:val="Header font 10pt verdana"/>
    <w:basedOn w:val="Normal"/>
    <w:link w:val="HeaderChar"/>
    <w:uiPriority w:val="99"/>
    <w:rsid w:val="00FD367A"/>
    <w:pPr>
      <w:tabs>
        <w:tab w:val="center" w:pos="4520"/>
        <w:tab w:val="right" w:pos="9040"/>
      </w:tabs>
    </w:pPr>
  </w:style>
  <w:style w:type="paragraph" w:customStyle="1" w:styleId="0001-0099Paragraph">
    <w:name w:val="[0001] - [0099] Paragraph"/>
    <w:rsid w:val="00FD367A"/>
    <w:pPr>
      <w:numPr>
        <w:numId w:val="23"/>
      </w:numPr>
      <w:spacing w:after="240" w:line="360" w:lineRule="auto"/>
      <w:jc w:val="both"/>
    </w:pPr>
    <w:rPr>
      <w:sz w:val="24"/>
      <w:szCs w:val="24"/>
      <w:lang w:val="en-US"/>
    </w:rPr>
  </w:style>
  <w:style w:type="paragraph" w:customStyle="1" w:styleId="0100-0999Paragraph">
    <w:name w:val="[0100] - [0999] Paragraph"/>
    <w:rsid w:val="00FD367A"/>
    <w:pPr>
      <w:numPr>
        <w:numId w:val="24"/>
      </w:numPr>
      <w:spacing w:after="240" w:line="360" w:lineRule="auto"/>
      <w:jc w:val="both"/>
    </w:pPr>
    <w:rPr>
      <w:sz w:val="24"/>
      <w:szCs w:val="24"/>
    </w:rPr>
  </w:style>
  <w:style w:type="paragraph" w:customStyle="1" w:styleId="1000-Paragraph">
    <w:name w:val="[1000] -&gt; Paragraph"/>
    <w:rsid w:val="00FD367A"/>
    <w:pPr>
      <w:numPr>
        <w:numId w:val="25"/>
      </w:numPr>
      <w:spacing w:after="240" w:line="360" w:lineRule="auto"/>
      <w:jc w:val="both"/>
    </w:pPr>
    <w:rPr>
      <w:sz w:val="24"/>
      <w:szCs w:val="24"/>
      <w:lang w:val="en-US"/>
    </w:rPr>
  </w:style>
  <w:style w:type="table" w:styleId="TableGrid">
    <w:name w:val="Table Grid"/>
    <w:basedOn w:val="TableNormal"/>
    <w:rsid w:val="00FD36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92DD5"/>
    <w:pPr>
      <w:numPr>
        <w:numId w:val="26"/>
      </w:numPr>
    </w:pPr>
  </w:style>
  <w:style w:type="numbering" w:styleId="1ai">
    <w:name w:val="Outline List 1"/>
    <w:basedOn w:val="NoList"/>
    <w:rsid w:val="00492DD5"/>
    <w:pPr>
      <w:numPr>
        <w:numId w:val="27"/>
      </w:numPr>
    </w:pPr>
  </w:style>
  <w:style w:type="numbering" w:styleId="ArticleSection">
    <w:name w:val="Outline List 3"/>
    <w:basedOn w:val="NoList"/>
    <w:rsid w:val="00492DD5"/>
    <w:pPr>
      <w:numPr>
        <w:numId w:val="28"/>
      </w:numPr>
    </w:pPr>
  </w:style>
  <w:style w:type="paragraph" w:styleId="BalloonText">
    <w:name w:val="Balloon Text"/>
    <w:basedOn w:val="Normal"/>
    <w:semiHidden/>
    <w:rsid w:val="00492DD5"/>
    <w:rPr>
      <w:rFonts w:ascii="Tahoma" w:hAnsi="Tahoma" w:cs="Tahoma"/>
      <w:sz w:val="16"/>
      <w:szCs w:val="16"/>
    </w:rPr>
  </w:style>
  <w:style w:type="paragraph" w:styleId="BlockText">
    <w:name w:val="Block Text"/>
    <w:basedOn w:val="Normal"/>
    <w:rsid w:val="00492DD5"/>
    <w:pPr>
      <w:spacing w:after="120"/>
      <w:ind w:left="1440" w:right="1440"/>
    </w:pPr>
  </w:style>
  <w:style w:type="paragraph" w:styleId="BodyText">
    <w:name w:val="Body Text"/>
    <w:basedOn w:val="Normal"/>
    <w:rsid w:val="00492DD5"/>
    <w:pPr>
      <w:spacing w:after="120"/>
    </w:pPr>
  </w:style>
  <w:style w:type="paragraph" w:styleId="BodyText2">
    <w:name w:val="Body Text 2"/>
    <w:basedOn w:val="Normal"/>
    <w:rsid w:val="00492DD5"/>
    <w:pPr>
      <w:spacing w:after="120" w:line="480" w:lineRule="auto"/>
    </w:pPr>
  </w:style>
  <w:style w:type="paragraph" w:styleId="BodyText3">
    <w:name w:val="Body Text 3"/>
    <w:basedOn w:val="Normal"/>
    <w:rsid w:val="00492DD5"/>
    <w:pPr>
      <w:spacing w:after="120"/>
    </w:pPr>
    <w:rPr>
      <w:sz w:val="16"/>
      <w:szCs w:val="16"/>
    </w:rPr>
  </w:style>
  <w:style w:type="paragraph" w:styleId="BodyTextFirstIndent">
    <w:name w:val="Body Text First Indent"/>
    <w:basedOn w:val="BodyText"/>
    <w:rsid w:val="00492DD5"/>
    <w:pPr>
      <w:ind w:firstLine="210"/>
    </w:pPr>
  </w:style>
  <w:style w:type="paragraph" w:styleId="BodyTextIndent">
    <w:name w:val="Body Text Indent"/>
    <w:basedOn w:val="Normal"/>
    <w:rsid w:val="00492DD5"/>
    <w:pPr>
      <w:spacing w:after="120"/>
      <w:ind w:left="283"/>
    </w:pPr>
  </w:style>
  <w:style w:type="paragraph" w:styleId="BodyTextFirstIndent2">
    <w:name w:val="Body Text First Indent 2"/>
    <w:basedOn w:val="BodyTextIndent"/>
    <w:rsid w:val="00492DD5"/>
    <w:pPr>
      <w:ind w:firstLine="210"/>
    </w:pPr>
  </w:style>
  <w:style w:type="paragraph" w:styleId="BodyTextIndent2">
    <w:name w:val="Body Text Indent 2"/>
    <w:basedOn w:val="Normal"/>
    <w:rsid w:val="00492DD5"/>
    <w:pPr>
      <w:spacing w:after="120" w:line="480" w:lineRule="auto"/>
      <w:ind w:left="283"/>
    </w:pPr>
  </w:style>
  <w:style w:type="paragraph" w:styleId="BodyTextIndent3">
    <w:name w:val="Body Text Indent 3"/>
    <w:basedOn w:val="Normal"/>
    <w:rsid w:val="00492DD5"/>
    <w:pPr>
      <w:spacing w:after="120"/>
      <w:ind w:left="283"/>
    </w:pPr>
    <w:rPr>
      <w:sz w:val="16"/>
      <w:szCs w:val="16"/>
    </w:rPr>
  </w:style>
  <w:style w:type="paragraph" w:styleId="Caption">
    <w:name w:val="caption"/>
    <w:basedOn w:val="Normal"/>
    <w:next w:val="Normal"/>
    <w:qFormat/>
    <w:rsid w:val="00492DD5"/>
    <w:rPr>
      <w:b/>
      <w:bCs/>
      <w:szCs w:val="20"/>
    </w:rPr>
  </w:style>
  <w:style w:type="paragraph" w:styleId="Closing">
    <w:name w:val="Closing"/>
    <w:basedOn w:val="Normal"/>
    <w:rsid w:val="00492DD5"/>
    <w:pPr>
      <w:ind w:left="4252"/>
    </w:pPr>
  </w:style>
  <w:style w:type="character" w:styleId="CommentReference">
    <w:name w:val="annotation reference"/>
    <w:basedOn w:val="DefaultParagraphFont"/>
    <w:semiHidden/>
    <w:rsid w:val="00492DD5"/>
    <w:rPr>
      <w:sz w:val="16"/>
      <w:szCs w:val="16"/>
    </w:rPr>
  </w:style>
  <w:style w:type="paragraph" w:styleId="CommentText">
    <w:name w:val="annotation text"/>
    <w:basedOn w:val="Normal"/>
    <w:semiHidden/>
    <w:rsid w:val="00492DD5"/>
    <w:rPr>
      <w:szCs w:val="20"/>
    </w:rPr>
  </w:style>
  <w:style w:type="paragraph" w:styleId="CommentSubject">
    <w:name w:val="annotation subject"/>
    <w:basedOn w:val="CommentText"/>
    <w:next w:val="CommentText"/>
    <w:semiHidden/>
    <w:rsid w:val="00492DD5"/>
    <w:rPr>
      <w:b/>
      <w:bCs/>
    </w:rPr>
  </w:style>
  <w:style w:type="paragraph" w:styleId="Date">
    <w:name w:val="Date"/>
    <w:basedOn w:val="Normal"/>
    <w:next w:val="Normal"/>
    <w:rsid w:val="00492DD5"/>
  </w:style>
  <w:style w:type="paragraph" w:styleId="DocumentMap">
    <w:name w:val="Document Map"/>
    <w:basedOn w:val="Normal"/>
    <w:semiHidden/>
    <w:rsid w:val="00492DD5"/>
    <w:pPr>
      <w:shd w:val="clear" w:color="auto" w:fill="000080"/>
    </w:pPr>
    <w:rPr>
      <w:rFonts w:ascii="Tahoma" w:hAnsi="Tahoma" w:cs="Tahoma"/>
      <w:szCs w:val="20"/>
    </w:rPr>
  </w:style>
  <w:style w:type="paragraph" w:styleId="E-mailSignature">
    <w:name w:val="E-mail Signature"/>
    <w:basedOn w:val="Normal"/>
    <w:rsid w:val="00492DD5"/>
  </w:style>
  <w:style w:type="character" w:styleId="Emphasis">
    <w:name w:val="Emphasis"/>
    <w:basedOn w:val="DefaultParagraphFont"/>
    <w:qFormat/>
    <w:rsid w:val="00492DD5"/>
    <w:rPr>
      <w:i/>
      <w:iCs/>
    </w:rPr>
  </w:style>
  <w:style w:type="character" w:styleId="EndnoteReference">
    <w:name w:val="endnote reference"/>
    <w:basedOn w:val="DefaultParagraphFont"/>
    <w:semiHidden/>
    <w:rsid w:val="00492DD5"/>
    <w:rPr>
      <w:vertAlign w:val="superscript"/>
    </w:rPr>
  </w:style>
  <w:style w:type="paragraph" w:styleId="EndnoteText">
    <w:name w:val="endnote text"/>
    <w:basedOn w:val="Normal"/>
    <w:semiHidden/>
    <w:rsid w:val="00492DD5"/>
    <w:rPr>
      <w:szCs w:val="20"/>
    </w:rPr>
  </w:style>
  <w:style w:type="paragraph" w:styleId="EnvelopeAddress">
    <w:name w:val="envelope address"/>
    <w:basedOn w:val="Normal"/>
    <w:rsid w:val="00492DD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492DD5"/>
    <w:rPr>
      <w:rFonts w:ascii="Arial" w:hAnsi="Arial" w:cs="Arial"/>
      <w:szCs w:val="20"/>
    </w:rPr>
  </w:style>
  <w:style w:type="character" w:styleId="FollowedHyperlink">
    <w:name w:val="FollowedHyperlink"/>
    <w:basedOn w:val="DefaultParagraphFont"/>
    <w:rsid w:val="00492DD5"/>
    <w:rPr>
      <w:color w:val="800080"/>
      <w:u w:val="single"/>
    </w:rPr>
  </w:style>
  <w:style w:type="character" w:styleId="FootnoteReference">
    <w:name w:val="footnote reference"/>
    <w:basedOn w:val="DefaultParagraphFont"/>
    <w:semiHidden/>
    <w:rsid w:val="00492DD5"/>
    <w:rPr>
      <w:vertAlign w:val="superscript"/>
    </w:rPr>
  </w:style>
  <w:style w:type="paragraph" w:styleId="FootnoteText">
    <w:name w:val="footnote text"/>
    <w:basedOn w:val="Normal"/>
    <w:semiHidden/>
    <w:rsid w:val="00492DD5"/>
    <w:rPr>
      <w:szCs w:val="20"/>
    </w:rPr>
  </w:style>
  <w:style w:type="paragraph" w:styleId="Bibliography">
    <w:name w:val="Bibliography"/>
    <w:basedOn w:val="Normal"/>
    <w:next w:val="Normal"/>
    <w:uiPriority w:val="37"/>
    <w:semiHidden/>
    <w:unhideWhenUsed/>
    <w:rsid w:val="00FD367A"/>
  </w:style>
  <w:style w:type="character" w:styleId="BookTitle">
    <w:name w:val="Book Title"/>
    <w:basedOn w:val="DefaultParagraphFont"/>
    <w:uiPriority w:val="33"/>
    <w:qFormat/>
    <w:rsid w:val="00FD367A"/>
    <w:rPr>
      <w:b/>
      <w:bCs/>
      <w:smallCaps/>
      <w:spacing w:val="5"/>
    </w:rPr>
  </w:style>
  <w:style w:type="table" w:styleId="ColorfulGrid">
    <w:name w:val="Colorful Grid"/>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367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D367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367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367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HeaderChar">
    <w:name w:val="Header Char"/>
    <w:aliases w:val="Header font 10pt verdana Char"/>
    <w:basedOn w:val="DefaultParagraphFont"/>
    <w:link w:val="Header"/>
    <w:uiPriority w:val="99"/>
    <w:rsid w:val="00122C91"/>
    <w:rPr>
      <w:rFonts w:ascii="Verdana" w:hAnsi="Verdana"/>
      <w:szCs w:val="24"/>
    </w:rPr>
  </w:style>
  <w:style w:type="character" w:styleId="Hyperlink">
    <w:name w:val="Hyperlink"/>
    <w:basedOn w:val="DefaultParagraphFont"/>
    <w:rsid w:val="00794895"/>
    <w:rPr>
      <w:color w:val="0000FF" w:themeColor="hyperlink"/>
      <w:u w:val="single"/>
    </w:rPr>
  </w:style>
  <w:style w:type="paragraph" w:styleId="ListParagraph">
    <w:name w:val="List Paragraph"/>
    <w:basedOn w:val="Normal"/>
    <w:uiPriority w:val="34"/>
    <w:qFormat/>
    <w:rsid w:val="00CF6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67A"/>
    <w:pPr>
      <w:jc w:val="both"/>
    </w:pPr>
    <w:rPr>
      <w:rFonts w:ascii="Verdana" w:hAnsi="Verdana"/>
      <w:szCs w:val="24"/>
    </w:rPr>
  </w:style>
  <w:style w:type="paragraph" w:styleId="Heading1">
    <w:name w:val="heading 1"/>
    <w:aliases w:val="Heading 1 do not use"/>
    <w:basedOn w:val="Normal"/>
    <w:next w:val="Normal"/>
    <w:qFormat/>
    <w:rsid w:val="00FD367A"/>
    <w:pPr>
      <w:keepNext/>
      <w:spacing w:before="240" w:after="60"/>
      <w:outlineLvl w:val="0"/>
    </w:pPr>
    <w:rPr>
      <w:rFonts w:ascii="Arial" w:hAnsi="Arial" w:cs="Arial"/>
      <w:b/>
      <w:bCs/>
      <w:kern w:val="32"/>
      <w:sz w:val="32"/>
      <w:szCs w:val="32"/>
    </w:rPr>
  </w:style>
  <w:style w:type="paragraph" w:styleId="Heading2">
    <w:name w:val="heading 2"/>
    <w:aliases w:val="do not use"/>
    <w:basedOn w:val="Normal"/>
    <w:next w:val="Normal"/>
    <w:qFormat/>
    <w:rsid w:val="00FD367A"/>
    <w:pPr>
      <w:keepNext/>
      <w:spacing w:before="240" w:after="60"/>
      <w:outlineLvl w:val="1"/>
    </w:pPr>
    <w:rPr>
      <w:rFonts w:ascii="Arial" w:hAnsi="Arial" w:cs="Arial"/>
      <w:b/>
      <w:bCs/>
      <w:i/>
      <w:iCs/>
      <w:sz w:val="28"/>
      <w:szCs w:val="28"/>
    </w:rPr>
  </w:style>
  <w:style w:type="paragraph" w:styleId="Heading3">
    <w:name w:val="heading 3"/>
    <w:aliases w:val="Heading 3 - do not use"/>
    <w:basedOn w:val="Normal"/>
    <w:next w:val="Normal"/>
    <w:qFormat/>
    <w:rsid w:val="00FD367A"/>
    <w:pPr>
      <w:keepNext/>
      <w:spacing w:before="240" w:after="60"/>
      <w:outlineLvl w:val="2"/>
    </w:pPr>
    <w:rPr>
      <w:rFonts w:ascii="Arial" w:hAnsi="Arial" w:cs="Arial"/>
      <w:b/>
      <w:bCs/>
      <w:sz w:val="26"/>
      <w:szCs w:val="26"/>
    </w:rPr>
  </w:style>
  <w:style w:type="paragraph" w:styleId="Heading4">
    <w:name w:val="heading 4"/>
    <w:basedOn w:val="Normal"/>
    <w:next w:val="Normal"/>
    <w:qFormat/>
    <w:rsid w:val="00492DD5"/>
    <w:pPr>
      <w:keepNext/>
      <w:numPr>
        <w:ilvl w:val="3"/>
        <w:numId w:val="28"/>
      </w:numPr>
      <w:spacing w:before="240" w:after="60"/>
      <w:outlineLvl w:val="3"/>
    </w:pPr>
    <w:rPr>
      <w:rFonts w:ascii="Times New Roman" w:hAnsi="Times New Roman"/>
      <w:b/>
      <w:bCs/>
      <w:sz w:val="28"/>
      <w:szCs w:val="28"/>
    </w:rPr>
  </w:style>
  <w:style w:type="paragraph" w:styleId="Heading5">
    <w:name w:val="heading 5"/>
    <w:basedOn w:val="Normal"/>
    <w:next w:val="Normal"/>
    <w:qFormat/>
    <w:rsid w:val="00492DD5"/>
    <w:pPr>
      <w:numPr>
        <w:ilvl w:val="4"/>
        <w:numId w:val="28"/>
      </w:numPr>
      <w:spacing w:before="240" w:after="60"/>
      <w:outlineLvl w:val="4"/>
    </w:pPr>
    <w:rPr>
      <w:b/>
      <w:bCs/>
      <w:i/>
      <w:iCs/>
      <w:sz w:val="26"/>
      <w:szCs w:val="26"/>
    </w:rPr>
  </w:style>
  <w:style w:type="paragraph" w:styleId="Heading6">
    <w:name w:val="heading 6"/>
    <w:basedOn w:val="Normal"/>
    <w:next w:val="Normal"/>
    <w:qFormat/>
    <w:rsid w:val="00492DD5"/>
    <w:pPr>
      <w:numPr>
        <w:ilvl w:val="5"/>
        <w:numId w:val="28"/>
      </w:numPr>
      <w:spacing w:before="240" w:after="60"/>
      <w:outlineLvl w:val="5"/>
    </w:pPr>
    <w:rPr>
      <w:rFonts w:ascii="Times New Roman" w:hAnsi="Times New Roman"/>
      <w:b/>
      <w:bCs/>
      <w:sz w:val="22"/>
      <w:szCs w:val="22"/>
    </w:rPr>
  </w:style>
  <w:style w:type="paragraph" w:styleId="Heading7">
    <w:name w:val="heading 7"/>
    <w:basedOn w:val="Normal"/>
    <w:next w:val="Normal"/>
    <w:qFormat/>
    <w:rsid w:val="00492DD5"/>
    <w:pPr>
      <w:numPr>
        <w:ilvl w:val="6"/>
        <w:numId w:val="28"/>
      </w:numPr>
      <w:spacing w:before="240" w:after="60"/>
      <w:outlineLvl w:val="6"/>
    </w:pPr>
    <w:rPr>
      <w:rFonts w:ascii="Times New Roman" w:hAnsi="Times New Roman"/>
      <w:sz w:val="24"/>
    </w:rPr>
  </w:style>
  <w:style w:type="paragraph" w:styleId="Heading8">
    <w:name w:val="heading 8"/>
    <w:basedOn w:val="Normal"/>
    <w:next w:val="Normal"/>
    <w:qFormat/>
    <w:rsid w:val="00492DD5"/>
    <w:pPr>
      <w:numPr>
        <w:ilvl w:val="7"/>
        <w:numId w:val="28"/>
      </w:numPr>
      <w:spacing w:before="240" w:after="60"/>
      <w:outlineLvl w:val="7"/>
    </w:pPr>
    <w:rPr>
      <w:rFonts w:ascii="Times New Roman" w:hAnsi="Times New Roman"/>
      <w:i/>
      <w:iCs/>
      <w:sz w:val="24"/>
    </w:rPr>
  </w:style>
  <w:style w:type="paragraph" w:styleId="Heading9">
    <w:name w:val="heading 9"/>
    <w:basedOn w:val="Normal"/>
    <w:next w:val="Normal"/>
    <w:qFormat/>
    <w:rsid w:val="00492DD5"/>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HEADINGBOLD">
    <w:name w:val="1A. HEADING BOLD"/>
    <w:basedOn w:val="Normal"/>
    <w:rsid w:val="00FD367A"/>
    <w:pPr>
      <w:spacing w:before="240" w:after="400"/>
      <w:jc w:val="left"/>
    </w:pPr>
    <w:rPr>
      <w:b/>
      <w:caps/>
      <w:spacing w:val="24"/>
      <w:sz w:val="40"/>
      <w:szCs w:val="40"/>
    </w:rPr>
  </w:style>
  <w:style w:type="paragraph" w:customStyle="1" w:styleId="1BHEADINGPLAINLINE2">
    <w:name w:val="1B. HEADING PLAIN (LINE 2)"/>
    <w:basedOn w:val="Normal"/>
    <w:rsid w:val="00FD367A"/>
    <w:pPr>
      <w:spacing w:before="240" w:after="400"/>
      <w:jc w:val="left"/>
    </w:pPr>
    <w:rPr>
      <w:caps/>
      <w:spacing w:val="24"/>
      <w:sz w:val="40"/>
      <w:szCs w:val="40"/>
    </w:rPr>
  </w:style>
  <w:style w:type="paragraph" w:customStyle="1" w:styleId="1CHEADINGUNDERLINE">
    <w:name w:val="1C. HEADING UNDERLINE"/>
    <w:basedOn w:val="1BHEADINGPLAINLINE2"/>
    <w:rsid w:val="00FD367A"/>
    <w:pPr>
      <w:pBdr>
        <w:bottom w:val="single" w:sz="4" w:space="1" w:color="auto"/>
      </w:pBdr>
    </w:pPr>
  </w:style>
  <w:style w:type="paragraph" w:customStyle="1" w:styleId="2ASUBHEADINGUNDERLINELEVEL1">
    <w:name w:val="2A. SUBHEADING UNDERLINE (LEVEL 1)"/>
    <w:basedOn w:val="Normal"/>
    <w:rsid w:val="00FD367A"/>
    <w:pPr>
      <w:pBdr>
        <w:bottom w:val="single" w:sz="4" w:space="1" w:color="auto"/>
      </w:pBdr>
      <w:spacing w:before="360" w:after="200"/>
      <w:jc w:val="left"/>
    </w:pPr>
    <w:rPr>
      <w:b/>
      <w:caps/>
      <w:spacing w:val="20"/>
      <w:sz w:val="22"/>
    </w:rPr>
  </w:style>
  <w:style w:type="paragraph" w:customStyle="1" w:styleId="2BSUBHEADINGLEVEL1OR2">
    <w:name w:val="2B. SUBHEADING (LEVEL 1 OR 2)"/>
    <w:basedOn w:val="Normal"/>
    <w:rsid w:val="00FD367A"/>
    <w:pPr>
      <w:spacing w:before="360" w:after="200"/>
      <w:jc w:val="left"/>
    </w:pPr>
    <w:rPr>
      <w:b/>
      <w:caps/>
      <w:spacing w:val="20"/>
      <w:sz w:val="22"/>
    </w:rPr>
  </w:style>
  <w:style w:type="paragraph" w:customStyle="1" w:styleId="2CSubheadinglevel3">
    <w:name w:val="2C. Subheading (level 3)"/>
    <w:basedOn w:val="Normal"/>
    <w:rsid w:val="00FD367A"/>
    <w:pPr>
      <w:spacing w:before="120" w:after="120"/>
      <w:jc w:val="left"/>
    </w:pPr>
    <w:rPr>
      <w:b/>
    </w:rPr>
  </w:style>
  <w:style w:type="paragraph" w:customStyle="1" w:styleId="3Bodycopy">
    <w:name w:val="3. Body copy"/>
    <w:basedOn w:val="Normal"/>
    <w:rsid w:val="00FD367A"/>
    <w:pPr>
      <w:spacing w:after="200"/>
      <w:jc w:val="left"/>
    </w:pPr>
  </w:style>
  <w:style w:type="paragraph" w:customStyle="1" w:styleId="3aBodycopy14ptlinespacingfortextheavydocs">
    <w:name w:val="3a. Body copy 14pt line spacing for text heavy docs"/>
    <w:basedOn w:val="3Bodycopy"/>
    <w:rsid w:val="00FD367A"/>
    <w:pPr>
      <w:spacing w:before="120" w:line="280" w:lineRule="atLeast"/>
    </w:pPr>
  </w:style>
  <w:style w:type="paragraph" w:customStyle="1" w:styleId="4aBulletpoint">
    <w:name w:val="4a. Bullet point"/>
    <w:basedOn w:val="Normal"/>
    <w:rsid w:val="00FD367A"/>
    <w:pPr>
      <w:numPr>
        <w:numId w:val="13"/>
      </w:numPr>
      <w:spacing w:after="120"/>
      <w:jc w:val="left"/>
    </w:pPr>
  </w:style>
  <w:style w:type="paragraph" w:customStyle="1" w:styleId="4bSubbulletpoint">
    <w:name w:val="4b. Sub bullet point"/>
    <w:basedOn w:val="Normal"/>
    <w:rsid w:val="00FD367A"/>
    <w:pPr>
      <w:numPr>
        <w:numId w:val="19"/>
      </w:numPr>
      <w:spacing w:after="120"/>
      <w:jc w:val="left"/>
    </w:pPr>
    <w:rPr>
      <w:color w:val="000000"/>
      <w:szCs w:val="20"/>
    </w:rPr>
  </w:style>
  <w:style w:type="paragraph" w:customStyle="1" w:styleId="5CaptionDCC">
    <w:name w:val="5. Caption (DCC)"/>
    <w:basedOn w:val="Normal"/>
    <w:rsid w:val="00FD367A"/>
    <w:pPr>
      <w:spacing w:before="120" w:after="120"/>
      <w:jc w:val="left"/>
    </w:pPr>
    <w:rPr>
      <w:i/>
      <w:sz w:val="18"/>
      <w:lang w:val="en-US" w:eastAsia="en-US"/>
    </w:rPr>
  </w:style>
  <w:style w:type="table" w:customStyle="1" w:styleId="6aPatentsTable">
    <w:name w:val="6a. Patents Table"/>
    <w:basedOn w:val="TableNormal"/>
    <w:rsid w:val="00FD367A"/>
    <w:pPr>
      <w:spacing w:before="60" w:after="60"/>
    </w:pPr>
    <w:rPr>
      <w:rFonts w:ascii="Verdana" w:eastAsia="MS Mincho" w:hAnsi="Verdana"/>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C60C30"/>
      </w:tcPr>
    </w:tblStylePr>
  </w:style>
  <w:style w:type="table" w:customStyle="1" w:styleId="6bTradeMarkTable">
    <w:name w:val="6b. Trade Mark Table"/>
    <w:basedOn w:val="6aPatentsTable"/>
    <w:rsid w:val="00FD367A"/>
    <w:tblPr>
      <w:tblInd w:w="0" w:type="dxa"/>
      <w:tblBorders>
        <w:insideH w:val="single" w:sz="6"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2776"/>
      </w:tcPr>
    </w:tblStylePr>
  </w:style>
  <w:style w:type="table" w:customStyle="1" w:styleId="6cLawTable">
    <w:name w:val="6c. Law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5157"/>
      </w:tcPr>
    </w:tblStylePr>
  </w:style>
  <w:style w:type="table" w:customStyle="1" w:styleId="6dDCCBlueTable">
    <w:name w:val="6d. DCC (Blu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3095B4"/>
      </w:tcPr>
    </w:tblStylePr>
  </w:style>
  <w:style w:type="table" w:customStyle="1" w:styleId="6eDCCGreyTable">
    <w:name w:val="6e. DCC (Grey)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616365"/>
      </w:tcPr>
    </w:tblStylePr>
  </w:style>
  <w:style w:type="table" w:customStyle="1" w:styleId="6fDCCPurpleTable">
    <w:name w:val="6f. DCC (Purpl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57068C"/>
      </w:tcPr>
    </w:tblStylePr>
  </w:style>
  <w:style w:type="paragraph" w:styleId="Footer">
    <w:name w:val="footer"/>
    <w:aliases w:val="Footer font 8pt verdana"/>
    <w:basedOn w:val="Normal"/>
    <w:rsid w:val="00FD367A"/>
    <w:pPr>
      <w:tabs>
        <w:tab w:val="center" w:pos="4153"/>
        <w:tab w:val="right" w:pos="8306"/>
      </w:tabs>
    </w:pPr>
    <w:rPr>
      <w:sz w:val="16"/>
    </w:rPr>
  </w:style>
  <w:style w:type="paragraph" w:styleId="Header">
    <w:name w:val="header"/>
    <w:aliases w:val="Header font 10pt verdana"/>
    <w:basedOn w:val="Normal"/>
    <w:link w:val="HeaderChar"/>
    <w:uiPriority w:val="99"/>
    <w:rsid w:val="00FD367A"/>
    <w:pPr>
      <w:tabs>
        <w:tab w:val="center" w:pos="4520"/>
        <w:tab w:val="right" w:pos="9040"/>
      </w:tabs>
    </w:pPr>
  </w:style>
  <w:style w:type="paragraph" w:customStyle="1" w:styleId="0001-0099Paragraph">
    <w:name w:val="[0001] - [0099] Paragraph"/>
    <w:rsid w:val="00FD367A"/>
    <w:pPr>
      <w:numPr>
        <w:numId w:val="23"/>
      </w:numPr>
      <w:spacing w:after="240" w:line="360" w:lineRule="auto"/>
      <w:jc w:val="both"/>
    </w:pPr>
    <w:rPr>
      <w:sz w:val="24"/>
      <w:szCs w:val="24"/>
      <w:lang w:val="en-US"/>
    </w:rPr>
  </w:style>
  <w:style w:type="paragraph" w:customStyle="1" w:styleId="0100-0999Paragraph">
    <w:name w:val="[0100] - [0999] Paragraph"/>
    <w:rsid w:val="00FD367A"/>
    <w:pPr>
      <w:numPr>
        <w:numId w:val="24"/>
      </w:numPr>
      <w:spacing w:after="240" w:line="360" w:lineRule="auto"/>
      <w:jc w:val="both"/>
    </w:pPr>
    <w:rPr>
      <w:sz w:val="24"/>
      <w:szCs w:val="24"/>
    </w:rPr>
  </w:style>
  <w:style w:type="paragraph" w:customStyle="1" w:styleId="1000-Paragraph">
    <w:name w:val="[1000] -&gt; Paragraph"/>
    <w:rsid w:val="00FD367A"/>
    <w:pPr>
      <w:numPr>
        <w:numId w:val="25"/>
      </w:numPr>
      <w:spacing w:after="240" w:line="360" w:lineRule="auto"/>
      <w:jc w:val="both"/>
    </w:pPr>
    <w:rPr>
      <w:sz w:val="24"/>
      <w:szCs w:val="24"/>
      <w:lang w:val="en-US"/>
    </w:rPr>
  </w:style>
  <w:style w:type="table" w:styleId="TableGrid">
    <w:name w:val="Table Grid"/>
    <w:basedOn w:val="TableNormal"/>
    <w:rsid w:val="00FD36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92DD5"/>
    <w:pPr>
      <w:numPr>
        <w:numId w:val="26"/>
      </w:numPr>
    </w:pPr>
  </w:style>
  <w:style w:type="numbering" w:styleId="1ai">
    <w:name w:val="Outline List 1"/>
    <w:basedOn w:val="NoList"/>
    <w:rsid w:val="00492DD5"/>
    <w:pPr>
      <w:numPr>
        <w:numId w:val="27"/>
      </w:numPr>
    </w:pPr>
  </w:style>
  <w:style w:type="numbering" w:styleId="ArticleSection">
    <w:name w:val="Outline List 3"/>
    <w:basedOn w:val="NoList"/>
    <w:rsid w:val="00492DD5"/>
    <w:pPr>
      <w:numPr>
        <w:numId w:val="28"/>
      </w:numPr>
    </w:pPr>
  </w:style>
  <w:style w:type="paragraph" w:styleId="BalloonText">
    <w:name w:val="Balloon Text"/>
    <w:basedOn w:val="Normal"/>
    <w:semiHidden/>
    <w:rsid w:val="00492DD5"/>
    <w:rPr>
      <w:rFonts w:ascii="Tahoma" w:hAnsi="Tahoma" w:cs="Tahoma"/>
      <w:sz w:val="16"/>
      <w:szCs w:val="16"/>
    </w:rPr>
  </w:style>
  <w:style w:type="paragraph" w:styleId="BlockText">
    <w:name w:val="Block Text"/>
    <w:basedOn w:val="Normal"/>
    <w:rsid w:val="00492DD5"/>
    <w:pPr>
      <w:spacing w:after="120"/>
      <w:ind w:left="1440" w:right="1440"/>
    </w:pPr>
  </w:style>
  <w:style w:type="paragraph" w:styleId="BodyText">
    <w:name w:val="Body Text"/>
    <w:basedOn w:val="Normal"/>
    <w:rsid w:val="00492DD5"/>
    <w:pPr>
      <w:spacing w:after="120"/>
    </w:pPr>
  </w:style>
  <w:style w:type="paragraph" w:styleId="BodyText2">
    <w:name w:val="Body Text 2"/>
    <w:basedOn w:val="Normal"/>
    <w:rsid w:val="00492DD5"/>
    <w:pPr>
      <w:spacing w:after="120" w:line="480" w:lineRule="auto"/>
    </w:pPr>
  </w:style>
  <w:style w:type="paragraph" w:styleId="BodyText3">
    <w:name w:val="Body Text 3"/>
    <w:basedOn w:val="Normal"/>
    <w:rsid w:val="00492DD5"/>
    <w:pPr>
      <w:spacing w:after="120"/>
    </w:pPr>
    <w:rPr>
      <w:sz w:val="16"/>
      <w:szCs w:val="16"/>
    </w:rPr>
  </w:style>
  <w:style w:type="paragraph" w:styleId="BodyTextFirstIndent">
    <w:name w:val="Body Text First Indent"/>
    <w:basedOn w:val="BodyText"/>
    <w:rsid w:val="00492DD5"/>
    <w:pPr>
      <w:ind w:firstLine="210"/>
    </w:pPr>
  </w:style>
  <w:style w:type="paragraph" w:styleId="BodyTextIndent">
    <w:name w:val="Body Text Indent"/>
    <w:basedOn w:val="Normal"/>
    <w:rsid w:val="00492DD5"/>
    <w:pPr>
      <w:spacing w:after="120"/>
      <w:ind w:left="283"/>
    </w:pPr>
  </w:style>
  <w:style w:type="paragraph" w:styleId="BodyTextFirstIndent2">
    <w:name w:val="Body Text First Indent 2"/>
    <w:basedOn w:val="BodyTextIndent"/>
    <w:rsid w:val="00492DD5"/>
    <w:pPr>
      <w:ind w:firstLine="210"/>
    </w:pPr>
  </w:style>
  <w:style w:type="paragraph" w:styleId="BodyTextIndent2">
    <w:name w:val="Body Text Indent 2"/>
    <w:basedOn w:val="Normal"/>
    <w:rsid w:val="00492DD5"/>
    <w:pPr>
      <w:spacing w:after="120" w:line="480" w:lineRule="auto"/>
      <w:ind w:left="283"/>
    </w:pPr>
  </w:style>
  <w:style w:type="paragraph" w:styleId="BodyTextIndent3">
    <w:name w:val="Body Text Indent 3"/>
    <w:basedOn w:val="Normal"/>
    <w:rsid w:val="00492DD5"/>
    <w:pPr>
      <w:spacing w:after="120"/>
      <w:ind w:left="283"/>
    </w:pPr>
    <w:rPr>
      <w:sz w:val="16"/>
      <w:szCs w:val="16"/>
    </w:rPr>
  </w:style>
  <w:style w:type="paragraph" w:styleId="Caption">
    <w:name w:val="caption"/>
    <w:basedOn w:val="Normal"/>
    <w:next w:val="Normal"/>
    <w:qFormat/>
    <w:rsid w:val="00492DD5"/>
    <w:rPr>
      <w:b/>
      <w:bCs/>
      <w:szCs w:val="20"/>
    </w:rPr>
  </w:style>
  <w:style w:type="paragraph" w:styleId="Closing">
    <w:name w:val="Closing"/>
    <w:basedOn w:val="Normal"/>
    <w:rsid w:val="00492DD5"/>
    <w:pPr>
      <w:ind w:left="4252"/>
    </w:pPr>
  </w:style>
  <w:style w:type="character" w:styleId="CommentReference">
    <w:name w:val="annotation reference"/>
    <w:basedOn w:val="DefaultParagraphFont"/>
    <w:semiHidden/>
    <w:rsid w:val="00492DD5"/>
    <w:rPr>
      <w:sz w:val="16"/>
      <w:szCs w:val="16"/>
    </w:rPr>
  </w:style>
  <w:style w:type="paragraph" w:styleId="CommentText">
    <w:name w:val="annotation text"/>
    <w:basedOn w:val="Normal"/>
    <w:semiHidden/>
    <w:rsid w:val="00492DD5"/>
    <w:rPr>
      <w:szCs w:val="20"/>
    </w:rPr>
  </w:style>
  <w:style w:type="paragraph" w:styleId="CommentSubject">
    <w:name w:val="annotation subject"/>
    <w:basedOn w:val="CommentText"/>
    <w:next w:val="CommentText"/>
    <w:semiHidden/>
    <w:rsid w:val="00492DD5"/>
    <w:rPr>
      <w:b/>
      <w:bCs/>
    </w:rPr>
  </w:style>
  <w:style w:type="paragraph" w:styleId="Date">
    <w:name w:val="Date"/>
    <w:basedOn w:val="Normal"/>
    <w:next w:val="Normal"/>
    <w:rsid w:val="00492DD5"/>
  </w:style>
  <w:style w:type="paragraph" w:styleId="DocumentMap">
    <w:name w:val="Document Map"/>
    <w:basedOn w:val="Normal"/>
    <w:semiHidden/>
    <w:rsid w:val="00492DD5"/>
    <w:pPr>
      <w:shd w:val="clear" w:color="auto" w:fill="000080"/>
    </w:pPr>
    <w:rPr>
      <w:rFonts w:ascii="Tahoma" w:hAnsi="Tahoma" w:cs="Tahoma"/>
      <w:szCs w:val="20"/>
    </w:rPr>
  </w:style>
  <w:style w:type="paragraph" w:styleId="E-mailSignature">
    <w:name w:val="E-mail Signature"/>
    <w:basedOn w:val="Normal"/>
    <w:rsid w:val="00492DD5"/>
  </w:style>
  <w:style w:type="character" w:styleId="Emphasis">
    <w:name w:val="Emphasis"/>
    <w:basedOn w:val="DefaultParagraphFont"/>
    <w:qFormat/>
    <w:rsid w:val="00492DD5"/>
    <w:rPr>
      <w:i/>
      <w:iCs/>
    </w:rPr>
  </w:style>
  <w:style w:type="character" w:styleId="EndnoteReference">
    <w:name w:val="endnote reference"/>
    <w:basedOn w:val="DefaultParagraphFont"/>
    <w:semiHidden/>
    <w:rsid w:val="00492DD5"/>
    <w:rPr>
      <w:vertAlign w:val="superscript"/>
    </w:rPr>
  </w:style>
  <w:style w:type="paragraph" w:styleId="EndnoteText">
    <w:name w:val="endnote text"/>
    <w:basedOn w:val="Normal"/>
    <w:semiHidden/>
    <w:rsid w:val="00492DD5"/>
    <w:rPr>
      <w:szCs w:val="20"/>
    </w:rPr>
  </w:style>
  <w:style w:type="paragraph" w:styleId="EnvelopeAddress">
    <w:name w:val="envelope address"/>
    <w:basedOn w:val="Normal"/>
    <w:rsid w:val="00492DD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492DD5"/>
    <w:rPr>
      <w:rFonts w:ascii="Arial" w:hAnsi="Arial" w:cs="Arial"/>
      <w:szCs w:val="20"/>
    </w:rPr>
  </w:style>
  <w:style w:type="character" w:styleId="FollowedHyperlink">
    <w:name w:val="FollowedHyperlink"/>
    <w:basedOn w:val="DefaultParagraphFont"/>
    <w:rsid w:val="00492DD5"/>
    <w:rPr>
      <w:color w:val="800080"/>
      <w:u w:val="single"/>
    </w:rPr>
  </w:style>
  <w:style w:type="character" w:styleId="FootnoteReference">
    <w:name w:val="footnote reference"/>
    <w:basedOn w:val="DefaultParagraphFont"/>
    <w:semiHidden/>
    <w:rsid w:val="00492DD5"/>
    <w:rPr>
      <w:vertAlign w:val="superscript"/>
    </w:rPr>
  </w:style>
  <w:style w:type="paragraph" w:styleId="FootnoteText">
    <w:name w:val="footnote text"/>
    <w:basedOn w:val="Normal"/>
    <w:semiHidden/>
    <w:rsid w:val="00492DD5"/>
    <w:rPr>
      <w:szCs w:val="20"/>
    </w:rPr>
  </w:style>
  <w:style w:type="paragraph" w:styleId="Bibliography">
    <w:name w:val="Bibliography"/>
    <w:basedOn w:val="Normal"/>
    <w:next w:val="Normal"/>
    <w:uiPriority w:val="37"/>
    <w:semiHidden/>
    <w:unhideWhenUsed/>
    <w:rsid w:val="00FD367A"/>
  </w:style>
  <w:style w:type="character" w:styleId="BookTitle">
    <w:name w:val="Book Title"/>
    <w:basedOn w:val="DefaultParagraphFont"/>
    <w:uiPriority w:val="33"/>
    <w:qFormat/>
    <w:rsid w:val="00FD367A"/>
    <w:rPr>
      <w:b/>
      <w:bCs/>
      <w:smallCaps/>
      <w:spacing w:val="5"/>
    </w:rPr>
  </w:style>
  <w:style w:type="table" w:styleId="ColorfulGrid">
    <w:name w:val="Colorful Grid"/>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367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D367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367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367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HeaderChar">
    <w:name w:val="Header Char"/>
    <w:aliases w:val="Header font 10pt verdana Char"/>
    <w:basedOn w:val="DefaultParagraphFont"/>
    <w:link w:val="Header"/>
    <w:uiPriority w:val="99"/>
    <w:rsid w:val="00122C91"/>
    <w:rPr>
      <w:rFonts w:ascii="Verdana" w:hAnsi="Verdana"/>
      <w:szCs w:val="24"/>
    </w:rPr>
  </w:style>
  <w:style w:type="character" w:styleId="Hyperlink">
    <w:name w:val="Hyperlink"/>
    <w:basedOn w:val="DefaultParagraphFont"/>
    <w:rsid w:val="00794895"/>
    <w:rPr>
      <w:color w:val="0000FF" w:themeColor="hyperlink"/>
      <w:u w:val="single"/>
    </w:rPr>
  </w:style>
  <w:style w:type="paragraph" w:styleId="ListParagraph">
    <w:name w:val="List Paragraph"/>
    <w:basedOn w:val="Normal"/>
    <w:uiPriority w:val="34"/>
    <w:qFormat/>
    <w:rsid w:val="00CF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4750">
      <w:bodyDiv w:val="1"/>
      <w:marLeft w:val="0"/>
      <w:marRight w:val="0"/>
      <w:marTop w:val="0"/>
      <w:marBottom w:val="0"/>
      <w:divBdr>
        <w:top w:val="none" w:sz="0" w:space="0" w:color="auto"/>
        <w:left w:val="none" w:sz="0" w:space="0" w:color="auto"/>
        <w:bottom w:val="none" w:sz="0" w:space="0" w:color="auto"/>
        <w:right w:val="none" w:sz="0" w:space="0" w:color="auto"/>
      </w:divBdr>
    </w:div>
    <w:div w:id="933855193">
      <w:bodyDiv w:val="1"/>
      <w:marLeft w:val="0"/>
      <w:marRight w:val="0"/>
      <w:marTop w:val="0"/>
      <w:marBottom w:val="0"/>
      <w:divBdr>
        <w:top w:val="none" w:sz="0" w:space="0" w:color="auto"/>
        <w:left w:val="none" w:sz="0" w:space="0" w:color="auto"/>
        <w:bottom w:val="none" w:sz="0" w:space="0" w:color="auto"/>
        <w:right w:val="none" w:sz="0" w:space="0" w:color="auto"/>
      </w:divBdr>
    </w:div>
    <w:div w:id="1519347363">
      <w:bodyDiv w:val="1"/>
      <w:marLeft w:val="0"/>
      <w:marRight w:val="0"/>
      <w:marTop w:val="0"/>
      <w:marBottom w:val="0"/>
      <w:divBdr>
        <w:top w:val="none" w:sz="0" w:space="0" w:color="auto"/>
        <w:left w:val="none" w:sz="0" w:space="0" w:color="auto"/>
        <w:bottom w:val="none" w:sz="0" w:space="0" w:color="auto"/>
        <w:right w:val="none" w:sz="0" w:space="0" w:color="auto"/>
      </w:divBdr>
    </w:div>
    <w:div w:id="198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au/patents/US5487069" TargetMode="External"/><Relationship Id="rId1" Type="http://schemas.openxmlformats.org/officeDocument/2006/relationships/hyperlink" Target="https://www.epo.org/law-practice/legal-texts/archive/documentation/diplomatic-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8409-9E98-409B-8214-8BFC719B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5</Pages>
  <Words>2018</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DR447 - David Webber - Intellectual Property Arrangements - Public inquiry</vt:lpstr>
    </vt:vector>
  </TitlesOfParts>
  <Company>David Webber</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DR447 - David Webber - Intellectual Property Arrangements - Public inquiry</dc:title>
  <dc:subject/>
  <dc:creator>David Webber</dc:creator>
  <cp:keywords/>
  <dc:description/>
  <cp:lastModifiedBy>Productivity Commission</cp:lastModifiedBy>
  <cp:revision>32</cp:revision>
  <cp:lastPrinted>2016-06-01T07:36:00Z</cp:lastPrinted>
  <dcterms:created xsi:type="dcterms:W3CDTF">2016-05-31T04:06:00Z</dcterms:created>
  <dcterms:modified xsi:type="dcterms:W3CDTF">2016-06-10T04:22:00Z</dcterms:modified>
</cp:coreProperties>
</file>