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0DD1F" w14:textId="77777777" w:rsidR="008C3D55" w:rsidRPr="00FD4D85" w:rsidRDefault="008C3D55" w:rsidP="00712F31">
      <w:pPr>
        <w:rPr>
          <w:rFonts w:cstheme="minorHAnsi"/>
          <w:sz w:val="22"/>
          <w:szCs w:val="22"/>
        </w:rPr>
      </w:pPr>
      <w:bookmarkStart w:id="0" w:name="_GoBack"/>
      <w:bookmarkEnd w:id="0"/>
    </w:p>
    <w:p w14:paraId="6C3FD43D" w14:textId="77777777" w:rsidR="008C3D55" w:rsidRPr="00FD4D85" w:rsidRDefault="008C3D55" w:rsidP="00712F31">
      <w:pPr>
        <w:rPr>
          <w:rFonts w:cstheme="minorHAnsi"/>
          <w:sz w:val="22"/>
          <w:szCs w:val="22"/>
        </w:rPr>
      </w:pPr>
    </w:p>
    <w:p w14:paraId="67BE0A2A" w14:textId="77777777" w:rsidR="008C3D55" w:rsidRPr="00FD4D85" w:rsidRDefault="008C3D55" w:rsidP="00712F31">
      <w:pPr>
        <w:rPr>
          <w:rFonts w:cstheme="minorHAnsi"/>
          <w:sz w:val="22"/>
          <w:szCs w:val="22"/>
        </w:rPr>
      </w:pPr>
    </w:p>
    <w:p w14:paraId="0098DD94" w14:textId="77777777" w:rsidR="008C3D55" w:rsidRPr="00FD4D85" w:rsidRDefault="008C3D55" w:rsidP="00712F31">
      <w:pPr>
        <w:rPr>
          <w:rFonts w:cstheme="minorHAnsi"/>
          <w:sz w:val="22"/>
          <w:szCs w:val="22"/>
        </w:rPr>
      </w:pPr>
    </w:p>
    <w:p w14:paraId="037934F6" w14:textId="1F95B7C0" w:rsidR="008C3D55" w:rsidRPr="00FD4D85" w:rsidRDefault="00F9294F" w:rsidP="00712F31">
      <w:pPr>
        <w:rPr>
          <w:rFonts w:cstheme="minorHAnsi"/>
          <w:sz w:val="22"/>
          <w:szCs w:val="22"/>
        </w:rPr>
      </w:pPr>
      <w:r w:rsidRPr="00FD4D85">
        <w:rPr>
          <w:rFonts w:cstheme="minorHAnsi"/>
          <w:b/>
          <w:noProof/>
          <w:color w:val="298C91"/>
          <w:sz w:val="22"/>
          <w:szCs w:val="22"/>
          <w:lang w:eastAsia="en-AU"/>
        </w:rPr>
        <w:drawing>
          <wp:anchor distT="0" distB="0" distL="114300" distR="114300" simplePos="0" relativeHeight="251659264" behindDoc="1" locked="1" layoutInCell="1" allowOverlap="1" wp14:anchorId="4DB6F3C7" wp14:editId="6B57A523">
            <wp:simplePos x="0" y="0"/>
            <wp:positionH relativeFrom="page">
              <wp:align>right</wp:align>
            </wp:positionH>
            <wp:positionV relativeFrom="page">
              <wp:align>bottom</wp:align>
            </wp:positionV>
            <wp:extent cx="7667625" cy="10838180"/>
            <wp:effectExtent l="0" t="0" r="952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berra.png"/>
                    <pic:cNvPicPr/>
                  </pic:nvPicPr>
                  <pic:blipFill>
                    <a:blip r:embed="rId11">
                      <a:extLst>
                        <a:ext uri="{28A0092B-C50C-407E-A947-70E740481C1C}">
                          <a14:useLocalDpi xmlns:a14="http://schemas.microsoft.com/office/drawing/2010/main" val="0"/>
                        </a:ext>
                      </a:extLst>
                    </a:blip>
                    <a:stretch>
                      <a:fillRect/>
                    </a:stretch>
                  </pic:blipFill>
                  <pic:spPr>
                    <a:xfrm>
                      <a:off x="0" y="0"/>
                      <a:ext cx="7667625" cy="10838180"/>
                    </a:xfrm>
                    <a:prstGeom prst="rect">
                      <a:avLst/>
                    </a:prstGeom>
                  </pic:spPr>
                </pic:pic>
              </a:graphicData>
            </a:graphic>
            <wp14:sizeRelH relativeFrom="page">
              <wp14:pctWidth>0</wp14:pctWidth>
            </wp14:sizeRelH>
            <wp14:sizeRelV relativeFrom="page">
              <wp14:pctHeight>0</wp14:pctHeight>
            </wp14:sizeRelV>
          </wp:anchor>
        </w:drawing>
      </w:r>
    </w:p>
    <w:p w14:paraId="5BF16BB4" w14:textId="77777777" w:rsidR="008C3D55" w:rsidRPr="00FD4D85" w:rsidRDefault="008C3D55" w:rsidP="00712F31">
      <w:pPr>
        <w:rPr>
          <w:rFonts w:cstheme="minorHAnsi"/>
          <w:sz w:val="22"/>
          <w:szCs w:val="22"/>
        </w:rPr>
      </w:pPr>
    </w:p>
    <w:p w14:paraId="57BDAF6A" w14:textId="77777777" w:rsidR="008C3D55" w:rsidRPr="00FD4D85" w:rsidRDefault="008C3D55" w:rsidP="00712F31">
      <w:pPr>
        <w:rPr>
          <w:rFonts w:cstheme="minorHAnsi"/>
          <w:sz w:val="44"/>
          <w:szCs w:val="44"/>
        </w:rPr>
      </w:pPr>
    </w:p>
    <w:p w14:paraId="392C08A4" w14:textId="77777777" w:rsidR="008C3D55" w:rsidRPr="00FD4D85" w:rsidRDefault="008C3D55" w:rsidP="00712F31">
      <w:pPr>
        <w:rPr>
          <w:rFonts w:cstheme="minorHAnsi"/>
          <w:sz w:val="22"/>
          <w:szCs w:val="22"/>
        </w:rPr>
      </w:pPr>
    </w:p>
    <w:p w14:paraId="69544B3A" w14:textId="1B9A20F4" w:rsidR="00AE4546" w:rsidRPr="00FD4D85" w:rsidRDefault="00AE4546" w:rsidP="00A8414A">
      <w:pPr>
        <w:pStyle w:val="HSD-Title2"/>
      </w:pPr>
    </w:p>
    <w:p w14:paraId="61D6CD21" w14:textId="77777777" w:rsidR="008C3D55" w:rsidRPr="00FD4D85" w:rsidRDefault="008C3D55" w:rsidP="00712F31">
      <w:pPr>
        <w:rPr>
          <w:rFonts w:cstheme="minorHAnsi"/>
          <w:sz w:val="22"/>
          <w:szCs w:val="22"/>
        </w:rPr>
      </w:pPr>
    </w:p>
    <w:sdt>
      <w:sdtPr>
        <w:rPr>
          <w:rFonts w:ascii="Calibri" w:hAnsi="Calibri"/>
          <w:bCs/>
          <w:color w:val="000000"/>
          <w:szCs w:val="44"/>
          <w:lang w:eastAsia="en-GB"/>
        </w:rPr>
        <w:alias w:val="Title"/>
        <w:tag w:val=""/>
        <w:id w:val="1792780855"/>
        <w:placeholder>
          <w:docPart w:val="F9A347D4ED32440FA1F13434EA8899BB"/>
        </w:placeholder>
        <w:dataBinding w:prefixMappings="xmlns:ns0='http://purl.org/dc/elements/1.1/' xmlns:ns1='http://schemas.openxmlformats.org/package/2006/metadata/core-properties' " w:xpath="/ns1:coreProperties[1]/ns0:title[1]" w:storeItemID="{6C3C8BC8-F283-45AE-878A-BAB7291924A1}"/>
        <w:text/>
      </w:sdtPr>
      <w:sdtEndPr/>
      <w:sdtContent>
        <w:p w14:paraId="611900F4" w14:textId="764B3F09" w:rsidR="00EB1476" w:rsidRPr="00FD4D85" w:rsidRDefault="007F39A2" w:rsidP="00EB1476">
          <w:pPr>
            <w:pStyle w:val="HSD-Title"/>
            <w:rPr>
              <w:rFonts w:eastAsiaTheme="minorHAnsi"/>
              <w:szCs w:val="44"/>
            </w:rPr>
          </w:pPr>
          <w:r>
            <w:rPr>
              <w:rFonts w:ascii="Calibri" w:hAnsi="Calibri"/>
              <w:bCs/>
              <w:color w:val="000000"/>
              <w:szCs w:val="44"/>
              <w:lang w:eastAsia="en-GB"/>
            </w:rPr>
            <w:t>Submission IR79 - Hammond Street Developments Pty Ltd - Skills and Workforce Agreement - Commissioned study</w:t>
          </w:r>
        </w:p>
      </w:sdtContent>
    </w:sdt>
    <w:p w14:paraId="08885BC2" w14:textId="77777777" w:rsidR="008C3D55" w:rsidRPr="00FD4D85" w:rsidRDefault="008C3D55" w:rsidP="00EB1476">
      <w:pPr>
        <w:rPr>
          <w:rFonts w:cstheme="minorHAnsi"/>
          <w:sz w:val="22"/>
          <w:szCs w:val="22"/>
        </w:rPr>
      </w:pPr>
    </w:p>
    <w:p w14:paraId="7234E31C" w14:textId="77777777" w:rsidR="008C3D55" w:rsidRPr="00FD4D85" w:rsidRDefault="008C3D55" w:rsidP="00712F31">
      <w:pPr>
        <w:rPr>
          <w:rFonts w:cstheme="minorHAnsi"/>
          <w:sz w:val="22"/>
          <w:szCs w:val="22"/>
        </w:rPr>
      </w:pPr>
    </w:p>
    <w:p w14:paraId="71F9ADDE" w14:textId="77777777" w:rsidR="008C3D55" w:rsidRPr="00FD4D85" w:rsidRDefault="008C3D55" w:rsidP="00712F31">
      <w:pPr>
        <w:rPr>
          <w:rFonts w:cstheme="minorHAnsi"/>
          <w:sz w:val="22"/>
          <w:szCs w:val="22"/>
        </w:rPr>
      </w:pPr>
    </w:p>
    <w:p w14:paraId="129011DE" w14:textId="77777777" w:rsidR="00A3243B" w:rsidRPr="00FD4D85" w:rsidRDefault="00A3243B" w:rsidP="00712F31">
      <w:pPr>
        <w:rPr>
          <w:rFonts w:cstheme="minorHAnsi"/>
          <w:sz w:val="22"/>
          <w:szCs w:val="22"/>
        </w:rPr>
      </w:pPr>
    </w:p>
    <w:p w14:paraId="3C0A1AA3" w14:textId="77777777" w:rsidR="008C3D55" w:rsidRPr="00FD4D85" w:rsidRDefault="008C3D55" w:rsidP="00712F31">
      <w:pPr>
        <w:rPr>
          <w:rFonts w:cstheme="minorHAnsi"/>
          <w:sz w:val="22"/>
          <w:szCs w:val="22"/>
        </w:rPr>
      </w:pPr>
    </w:p>
    <w:p w14:paraId="6AACA066" w14:textId="77777777" w:rsidR="008C3D55" w:rsidRPr="00FD4D85" w:rsidRDefault="008C3D55" w:rsidP="00712F31">
      <w:pPr>
        <w:rPr>
          <w:rFonts w:cstheme="minorHAnsi"/>
          <w:sz w:val="22"/>
          <w:szCs w:val="22"/>
        </w:rPr>
      </w:pPr>
    </w:p>
    <w:p w14:paraId="7B926A4D" w14:textId="77777777" w:rsidR="008C3D55" w:rsidRPr="00FD4D85" w:rsidRDefault="008C3D55" w:rsidP="00712F31">
      <w:pPr>
        <w:rPr>
          <w:rFonts w:cstheme="minorHAnsi"/>
          <w:sz w:val="22"/>
          <w:szCs w:val="22"/>
        </w:rPr>
      </w:pPr>
    </w:p>
    <w:p w14:paraId="3B0518D7" w14:textId="77777777" w:rsidR="008C3D55" w:rsidRPr="00FD4D85" w:rsidRDefault="008C3D55" w:rsidP="00712F31">
      <w:pPr>
        <w:rPr>
          <w:rFonts w:cstheme="minorHAnsi"/>
          <w:sz w:val="22"/>
          <w:szCs w:val="22"/>
        </w:rPr>
      </w:pPr>
    </w:p>
    <w:p w14:paraId="53DE29B2" w14:textId="77777777" w:rsidR="008C3D55" w:rsidRPr="00FD4D85" w:rsidRDefault="008C3D55" w:rsidP="00712F31">
      <w:pPr>
        <w:rPr>
          <w:rFonts w:cstheme="minorHAnsi"/>
          <w:sz w:val="22"/>
          <w:szCs w:val="22"/>
        </w:rPr>
      </w:pPr>
    </w:p>
    <w:p w14:paraId="0CF26BF5" w14:textId="77777777" w:rsidR="008C3D55" w:rsidRPr="00FD4D85" w:rsidRDefault="008C3D55" w:rsidP="00712F31">
      <w:pPr>
        <w:rPr>
          <w:rFonts w:cstheme="minorHAnsi"/>
          <w:sz w:val="22"/>
          <w:szCs w:val="22"/>
        </w:rPr>
      </w:pPr>
    </w:p>
    <w:p w14:paraId="4B2444C2" w14:textId="77777777" w:rsidR="00FE3DEA" w:rsidRPr="00FD4D85" w:rsidRDefault="00FE3DEA" w:rsidP="00712F31">
      <w:pPr>
        <w:tabs>
          <w:tab w:val="left" w:pos="5670"/>
        </w:tabs>
        <w:rPr>
          <w:rFonts w:cstheme="minorHAnsi"/>
          <w:sz w:val="22"/>
          <w:szCs w:val="22"/>
        </w:rPr>
      </w:pPr>
    </w:p>
    <w:p w14:paraId="496EAD81" w14:textId="77777777" w:rsidR="00595E60" w:rsidRPr="00FD4D85" w:rsidRDefault="00595E60" w:rsidP="00712F31">
      <w:pPr>
        <w:tabs>
          <w:tab w:val="left" w:pos="5670"/>
        </w:tabs>
        <w:rPr>
          <w:rFonts w:cstheme="minorHAnsi"/>
          <w:sz w:val="22"/>
          <w:szCs w:val="22"/>
        </w:rPr>
      </w:pPr>
    </w:p>
    <w:p w14:paraId="3602FE56" w14:textId="77777777" w:rsidR="00A3243B" w:rsidRPr="00FD4D85" w:rsidRDefault="00A3243B" w:rsidP="00712F31">
      <w:pPr>
        <w:tabs>
          <w:tab w:val="left" w:pos="5670"/>
        </w:tabs>
        <w:rPr>
          <w:rFonts w:cstheme="minorHAnsi"/>
          <w:sz w:val="22"/>
          <w:szCs w:val="22"/>
        </w:rPr>
      </w:pPr>
    </w:p>
    <w:p w14:paraId="40216823" w14:textId="77777777" w:rsidR="00EB1476" w:rsidRPr="00FD4D85" w:rsidRDefault="00EB1476" w:rsidP="00EB1476">
      <w:pPr>
        <w:spacing w:after="0"/>
        <w:rPr>
          <w:color w:val="000000"/>
          <w:szCs w:val="22"/>
          <w:lang w:eastAsia="en-GB"/>
        </w:rPr>
      </w:pPr>
      <w:r w:rsidRPr="00FD4D85">
        <w:rPr>
          <w:color w:val="000000"/>
          <w:szCs w:val="22"/>
          <w:lang w:eastAsia="en-GB"/>
        </w:rPr>
        <w:lastRenderedPageBreak/>
        <w:t>Commissioners Coppel and Roberts</w:t>
      </w:r>
    </w:p>
    <w:p w14:paraId="5CA4CF2B" w14:textId="77777777" w:rsidR="00EB1476" w:rsidRPr="00FD4D85" w:rsidRDefault="00EB1476" w:rsidP="00EB1476">
      <w:pPr>
        <w:spacing w:after="0"/>
        <w:rPr>
          <w:color w:val="000000"/>
          <w:szCs w:val="22"/>
          <w:lang w:eastAsia="en-GB"/>
        </w:rPr>
      </w:pPr>
      <w:r w:rsidRPr="00FD4D85">
        <w:rPr>
          <w:color w:val="000000"/>
          <w:szCs w:val="22"/>
          <w:lang w:eastAsia="en-GB"/>
        </w:rPr>
        <w:t xml:space="preserve">Productivity Commission </w:t>
      </w:r>
    </w:p>
    <w:p w14:paraId="39AC9743" w14:textId="77777777" w:rsidR="00EB1476" w:rsidRPr="00FD4D85" w:rsidRDefault="00EB1476" w:rsidP="00EB1476">
      <w:pPr>
        <w:spacing w:after="0"/>
        <w:rPr>
          <w:color w:val="000000"/>
          <w:szCs w:val="22"/>
          <w:lang w:eastAsia="en-GB"/>
        </w:rPr>
      </w:pPr>
      <w:r w:rsidRPr="00FD4D85">
        <w:rPr>
          <w:color w:val="000000"/>
          <w:szCs w:val="22"/>
          <w:lang w:eastAsia="en-GB"/>
        </w:rPr>
        <w:t>Level 12, 530 Collins Street</w:t>
      </w:r>
    </w:p>
    <w:p w14:paraId="2D33BBBC" w14:textId="77777777" w:rsidR="00EB1476" w:rsidRPr="00FD4D85" w:rsidRDefault="00EB1476" w:rsidP="00EB1476">
      <w:pPr>
        <w:spacing w:after="0"/>
        <w:rPr>
          <w:color w:val="000000"/>
          <w:szCs w:val="22"/>
          <w:lang w:eastAsia="en-GB"/>
        </w:rPr>
      </w:pPr>
      <w:r w:rsidRPr="00FD4D85">
        <w:rPr>
          <w:color w:val="000000"/>
          <w:szCs w:val="22"/>
          <w:lang w:eastAsia="en-GB"/>
        </w:rPr>
        <w:t>Melbourne  VIC  3000</w:t>
      </w:r>
    </w:p>
    <w:p w14:paraId="34B5DF55" w14:textId="77777777" w:rsidR="00EB1476" w:rsidRPr="00FD4D85" w:rsidRDefault="00EB1476" w:rsidP="00EB1476">
      <w:pPr>
        <w:rPr>
          <w:color w:val="000000"/>
          <w:szCs w:val="22"/>
          <w:lang w:eastAsia="en-GB"/>
        </w:rPr>
      </w:pPr>
    </w:p>
    <w:p w14:paraId="75583247" w14:textId="347323EF" w:rsidR="00EB1476" w:rsidRPr="00FD4D85" w:rsidRDefault="00EB1476" w:rsidP="00EB1476">
      <w:pPr>
        <w:rPr>
          <w:color w:val="000000"/>
          <w:szCs w:val="22"/>
          <w:lang w:eastAsia="en-GB"/>
        </w:rPr>
      </w:pPr>
      <w:r w:rsidRPr="00FD4D85">
        <w:rPr>
          <w:color w:val="000000"/>
          <w:szCs w:val="22"/>
          <w:lang w:eastAsia="en-GB"/>
        </w:rPr>
        <w:t>1</w:t>
      </w:r>
      <w:r w:rsidR="00FD4D85" w:rsidRPr="00FD4D85">
        <w:rPr>
          <w:color w:val="000000"/>
          <w:szCs w:val="22"/>
          <w:lang w:eastAsia="en-GB"/>
        </w:rPr>
        <w:t>5</w:t>
      </w:r>
      <w:r w:rsidRPr="00FD4D85">
        <w:rPr>
          <w:color w:val="000000"/>
          <w:szCs w:val="22"/>
          <w:lang w:eastAsia="en-GB"/>
        </w:rPr>
        <w:t xml:space="preserve"> July 2020</w:t>
      </w:r>
    </w:p>
    <w:p w14:paraId="538DB4E5" w14:textId="77777777" w:rsidR="00EB1476" w:rsidRPr="00FD4D85" w:rsidRDefault="00EB1476" w:rsidP="00EB1476">
      <w:pPr>
        <w:jc w:val="center"/>
        <w:rPr>
          <w:b/>
          <w:bCs/>
          <w:color w:val="000000"/>
          <w:szCs w:val="22"/>
          <w:lang w:eastAsia="en-GB"/>
        </w:rPr>
      </w:pPr>
      <w:r w:rsidRPr="00FD4D85">
        <w:rPr>
          <w:b/>
          <w:bCs/>
          <w:color w:val="000000"/>
          <w:szCs w:val="22"/>
          <w:lang w:eastAsia="en-GB"/>
        </w:rPr>
        <w:t xml:space="preserve">Submission to the </w:t>
      </w:r>
      <w:r w:rsidRPr="00FD4D85">
        <w:rPr>
          <w:b/>
          <w:bCs/>
          <w:i/>
          <w:iCs/>
          <w:color w:val="000000"/>
          <w:szCs w:val="22"/>
          <w:lang w:eastAsia="en-GB"/>
        </w:rPr>
        <w:t>Review of the National Agreement for Skills and Workforce Development</w:t>
      </w:r>
      <w:r w:rsidRPr="00FD4D85">
        <w:rPr>
          <w:b/>
          <w:bCs/>
          <w:color w:val="000000"/>
          <w:szCs w:val="22"/>
          <w:lang w:eastAsia="en-GB"/>
        </w:rPr>
        <w:t>.</w:t>
      </w:r>
    </w:p>
    <w:p w14:paraId="7F5CFBB7" w14:textId="77777777" w:rsidR="00EB1476" w:rsidRPr="00FD4D85" w:rsidRDefault="00EB1476" w:rsidP="00EB1476">
      <w:pPr>
        <w:rPr>
          <w:color w:val="000000"/>
          <w:szCs w:val="22"/>
          <w:lang w:eastAsia="en-GB"/>
        </w:rPr>
      </w:pPr>
      <w:r w:rsidRPr="00FD4D85">
        <w:rPr>
          <w:color w:val="000000"/>
          <w:szCs w:val="22"/>
          <w:lang w:eastAsia="en-GB"/>
        </w:rPr>
        <w:t>HSD is a technology company with over 20 years’ experience working with government and private organisations, in a number of sectors such as education (including vocational education and training), regulation, lawful interception (of telecommunications) and health care.</w:t>
      </w:r>
    </w:p>
    <w:p w14:paraId="5FE70015" w14:textId="77777777" w:rsidR="00EB1476" w:rsidRPr="00FD4D85" w:rsidRDefault="00EB1476" w:rsidP="00EB1476">
      <w:pPr>
        <w:rPr>
          <w:color w:val="000000"/>
          <w:szCs w:val="22"/>
          <w:lang w:eastAsia="en-GB"/>
        </w:rPr>
      </w:pPr>
      <w:r w:rsidRPr="00FD4D85">
        <w:rPr>
          <w:color w:val="000000"/>
          <w:szCs w:val="22"/>
          <w:lang w:eastAsia="en-GB"/>
        </w:rPr>
        <w:t>Our experience in the VET sector includes design, implementation and ongoing support for the following critical systems:</w:t>
      </w:r>
    </w:p>
    <w:p w14:paraId="2A3DECB4" w14:textId="77777777" w:rsidR="00EB1476" w:rsidRPr="00FD4D85" w:rsidRDefault="00EB1476" w:rsidP="00EB1476">
      <w:pPr>
        <w:pStyle w:val="ListParagraph"/>
        <w:numPr>
          <w:ilvl w:val="0"/>
          <w:numId w:val="45"/>
        </w:numPr>
        <w:spacing w:after="0"/>
        <w:rPr>
          <w:color w:val="000000"/>
          <w:szCs w:val="22"/>
          <w:lang w:eastAsia="en-GB"/>
        </w:rPr>
      </w:pPr>
      <w:r w:rsidRPr="00FD4D85">
        <w:rPr>
          <w:b/>
          <w:color w:val="000000"/>
          <w:szCs w:val="22"/>
          <w:lang w:eastAsia="en-GB"/>
        </w:rPr>
        <w:t>Training.gov.au (TGA) System</w:t>
      </w:r>
      <w:r w:rsidRPr="00FD4D85">
        <w:rPr>
          <w:color w:val="000000"/>
          <w:szCs w:val="22"/>
          <w:lang w:eastAsia="en-GB"/>
        </w:rPr>
        <w:t xml:space="preserve"> – TGA is the national register for VET which allows VET regulators to meet their obligations under the respective pieces of legislation and policy. The TGA system, through its CMS allows Skills Service Organisation to publish training packages and their components to the register. </w:t>
      </w:r>
    </w:p>
    <w:p w14:paraId="24AE7A07" w14:textId="77777777" w:rsidR="00EB1476" w:rsidRPr="00FD4D85" w:rsidRDefault="00EB1476" w:rsidP="00EB1476">
      <w:pPr>
        <w:pStyle w:val="ListParagraph"/>
        <w:numPr>
          <w:ilvl w:val="0"/>
          <w:numId w:val="45"/>
        </w:numPr>
        <w:spacing w:after="0"/>
        <w:rPr>
          <w:color w:val="000000"/>
          <w:szCs w:val="22"/>
          <w:lang w:eastAsia="en-GB"/>
        </w:rPr>
      </w:pPr>
      <w:r w:rsidRPr="00FD4D85">
        <w:rPr>
          <w:b/>
          <w:color w:val="000000"/>
          <w:szCs w:val="22"/>
          <w:lang w:eastAsia="en-GB"/>
        </w:rPr>
        <w:t>ASQAnet</w:t>
      </w:r>
      <w:r w:rsidRPr="00FD4D85">
        <w:rPr>
          <w:color w:val="000000"/>
          <w:szCs w:val="22"/>
          <w:lang w:eastAsia="en-GB"/>
        </w:rPr>
        <w:t xml:space="preserve"> – ASQAnet is ASQA’s core regulatory system, it allows ASQA and their stakeholders (namely RTO’s) to handle the streams of work – applications, complaints, enquiries. ASQAnet has transformed ASQA’s regulatory processes and provided a greater level of audit reporting.  </w:t>
      </w:r>
    </w:p>
    <w:p w14:paraId="548C20B4" w14:textId="77777777" w:rsidR="00EB1476" w:rsidRPr="00FD4D85" w:rsidRDefault="00EB1476" w:rsidP="00EB1476">
      <w:pPr>
        <w:pStyle w:val="ListParagraph"/>
        <w:numPr>
          <w:ilvl w:val="0"/>
          <w:numId w:val="45"/>
        </w:numPr>
        <w:spacing w:after="0"/>
        <w:rPr>
          <w:color w:val="000000"/>
          <w:szCs w:val="22"/>
          <w:lang w:eastAsia="en-GB"/>
        </w:rPr>
      </w:pPr>
      <w:r w:rsidRPr="00FD4D85">
        <w:rPr>
          <w:b/>
          <w:color w:val="000000"/>
          <w:szCs w:val="22"/>
          <w:lang w:eastAsia="en-GB"/>
        </w:rPr>
        <w:t>Skills Victoria Training System (SVTS)</w:t>
      </w:r>
      <w:r w:rsidRPr="00FD4D85">
        <w:rPr>
          <w:color w:val="000000"/>
          <w:szCs w:val="22"/>
          <w:lang w:eastAsia="en-GB"/>
        </w:rPr>
        <w:t xml:space="preserve"> – Is a secure database for Victorian Government funded training activity data. It allows training providers to submit their training data to the Department which allows the Government to make necessary payments to providers for their activity and enables the Department to analyse the performance of providers and their programs in general. </w:t>
      </w:r>
    </w:p>
    <w:p w14:paraId="1ECF8225" w14:textId="77777777" w:rsidR="00EB1476" w:rsidRPr="00FD4D85" w:rsidRDefault="00EB1476" w:rsidP="00EB1476">
      <w:pPr>
        <w:pStyle w:val="ListParagraph"/>
        <w:numPr>
          <w:ilvl w:val="0"/>
          <w:numId w:val="45"/>
        </w:numPr>
        <w:spacing w:after="0"/>
        <w:rPr>
          <w:color w:val="000000"/>
          <w:szCs w:val="22"/>
          <w:lang w:eastAsia="en-GB"/>
        </w:rPr>
      </w:pPr>
      <w:r w:rsidRPr="00FD4D85">
        <w:rPr>
          <w:b/>
          <w:color w:val="000000"/>
          <w:szCs w:val="22"/>
          <w:lang w:eastAsia="en-GB"/>
        </w:rPr>
        <w:t>Victorian State Register</w:t>
      </w:r>
      <w:r w:rsidRPr="00FD4D85">
        <w:rPr>
          <w:color w:val="000000"/>
          <w:szCs w:val="22"/>
          <w:lang w:eastAsia="en-GB"/>
        </w:rPr>
        <w:t xml:space="preserve"> – The Victorian State Register allows the VRQA to manage their processes relating to the management of the organisations under their jurisdiction. The state register supports a number of processes including (but not limited to): accreditation of qualifications and courses, registration of providers and monitoring and review of providers. </w:t>
      </w:r>
    </w:p>
    <w:p w14:paraId="19C0765F" w14:textId="77777777" w:rsidR="00EB1476" w:rsidRPr="00FD4D85" w:rsidRDefault="00EB1476" w:rsidP="00EB1476">
      <w:pPr>
        <w:pStyle w:val="ListParagraph"/>
        <w:numPr>
          <w:ilvl w:val="0"/>
          <w:numId w:val="45"/>
        </w:numPr>
        <w:spacing w:after="0"/>
        <w:rPr>
          <w:color w:val="000000"/>
          <w:szCs w:val="22"/>
          <w:lang w:eastAsia="en-GB"/>
        </w:rPr>
      </w:pPr>
      <w:r w:rsidRPr="00FD4D85">
        <w:rPr>
          <w:b/>
          <w:color w:val="000000"/>
          <w:szCs w:val="22"/>
          <w:lang w:eastAsia="en-GB"/>
        </w:rPr>
        <w:t>EPSILON</w:t>
      </w:r>
      <w:r w:rsidRPr="00FD4D85">
        <w:rPr>
          <w:color w:val="000000"/>
          <w:szCs w:val="22"/>
          <w:lang w:eastAsia="en-GB"/>
        </w:rPr>
        <w:t xml:space="preserve"> – EPSILON is VRQA’s apprenticeship management system that ensures they’re meeting their responsibilities to maintain a register of apprentices and trainees under the applicable legislation. EPSILON enables VRQA to manage apprentices and is designed to manage, store and report on all relevant apprenticeship program data. </w:t>
      </w:r>
    </w:p>
    <w:p w14:paraId="0789E572" w14:textId="23CAC82E" w:rsidR="00EB1476" w:rsidRPr="00FD4D85" w:rsidRDefault="00EB1476" w:rsidP="00EB1476">
      <w:pPr>
        <w:pStyle w:val="ListParagraph"/>
        <w:numPr>
          <w:ilvl w:val="0"/>
          <w:numId w:val="45"/>
        </w:numPr>
        <w:spacing w:after="0"/>
        <w:rPr>
          <w:b/>
          <w:color w:val="000000"/>
          <w:szCs w:val="22"/>
          <w:lang w:eastAsia="en-GB"/>
        </w:rPr>
      </w:pPr>
      <w:r w:rsidRPr="00FD4D85">
        <w:rPr>
          <w:b/>
          <w:color w:val="000000"/>
          <w:szCs w:val="22"/>
          <w:lang w:eastAsia="en-GB"/>
        </w:rPr>
        <w:t xml:space="preserve">ATLAS – </w:t>
      </w:r>
      <w:r w:rsidRPr="00FD4D85">
        <w:rPr>
          <w:color w:val="000000"/>
          <w:szCs w:val="22"/>
          <w:lang w:eastAsia="en-GB"/>
        </w:rPr>
        <w:t xml:space="preserve">ATLAS is South Australia’s apprenticeship system. HSD is responsible for the ongoing support, maintenance and enhancement of the system. Like EPSILON, ATLAS is responsible for the management of South Australian apprentices and provides a platform for Government, Employers and Apprentices to manage their progression and information through the process. </w:t>
      </w:r>
    </w:p>
    <w:p w14:paraId="2D9219B1" w14:textId="6C6C9A77" w:rsidR="00FD4D85" w:rsidRPr="00FD4D85" w:rsidRDefault="00FD4D85" w:rsidP="00EB1476">
      <w:pPr>
        <w:pStyle w:val="ListParagraph"/>
        <w:numPr>
          <w:ilvl w:val="0"/>
          <w:numId w:val="45"/>
        </w:numPr>
        <w:spacing w:after="0"/>
        <w:rPr>
          <w:b/>
          <w:color w:val="000000"/>
          <w:szCs w:val="22"/>
          <w:lang w:eastAsia="en-GB"/>
        </w:rPr>
      </w:pPr>
      <w:r w:rsidRPr="00FD4D85">
        <w:rPr>
          <w:b/>
          <w:color w:val="000000"/>
          <w:szCs w:val="22"/>
          <w:lang w:eastAsia="en-GB"/>
        </w:rPr>
        <w:t xml:space="preserve">Other related systems – </w:t>
      </w:r>
      <w:r w:rsidRPr="00FD4D85">
        <w:rPr>
          <w:color w:val="000000"/>
          <w:szCs w:val="22"/>
          <w:lang w:eastAsia="en-GB"/>
        </w:rPr>
        <w:t xml:space="preserve">Over the last 10 years HSD also developed systems for various agencies, some of </w:t>
      </w:r>
      <w:r w:rsidR="00DE1E84">
        <w:rPr>
          <w:color w:val="000000"/>
          <w:szCs w:val="22"/>
          <w:lang w:eastAsia="en-GB"/>
        </w:rPr>
        <w:t xml:space="preserve">which </w:t>
      </w:r>
      <w:r w:rsidRPr="00FD4D85">
        <w:rPr>
          <w:color w:val="000000"/>
          <w:szCs w:val="22"/>
          <w:lang w:eastAsia="en-GB"/>
        </w:rPr>
        <w:t>have attained end of life</w:t>
      </w:r>
      <w:r w:rsidR="00DE1E84">
        <w:rPr>
          <w:color w:val="000000"/>
          <w:szCs w:val="22"/>
          <w:lang w:eastAsia="en-GB"/>
        </w:rPr>
        <w:t xml:space="preserve"> or subsumed in some of the systems</w:t>
      </w:r>
      <w:r w:rsidR="00CD5E22">
        <w:rPr>
          <w:color w:val="000000"/>
          <w:szCs w:val="22"/>
          <w:lang w:eastAsia="en-GB"/>
        </w:rPr>
        <w:t xml:space="preserve"> above</w:t>
      </w:r>
      <w:r w:rsidRPr="00FD4D85">
        <w:rPr>
          <w:color w:val="000000"/>
          <w:szCs w:val="22"/>
          <w:lang w:eastAsia="en-GB"/>
        </w:rPr>
        <w:t>.  These are</w:t>
      </w:r>
      <w:r w:rsidR="00DE1E84">
        <w:rPr>
          <w:color w:val="000000"/>
          <w:szCs w:val="22"/>
          <w:lang w:eastAsia="en-GB"/>
        </w:rPr>
        <w:t>:</w:t>
      </w:r>
    </w:p>
    <w:p w14:paraId="25D39C34" w14:textId="496F2E56" w:rsidR="00FD4D85" w:rsidRPr="00FD4D85" w:rsidRDefault="00FD4D85" w:rsidP="00FD4D85">
      <w:pPr>
        <w:pStyle w:val="ListParagraph"/>
        <w:numPr>
          <w:ilvl w:val="1"/>
          <w:numId w:val="45"/>
        </w:numPr>
        <w:spacing w:after="0"/>
        <w:rPr>
          <w:b/>
          <w:color w:val="000000"/>
          <w:szCs w:val="22"/>
          <w:lang w:eastAsia="en-GB"/>
        </w:rPr>
      </w:pPr>
      <w:r w:rsidRPr="00FD4D85">
        <w:rPr>
          <w:b/>
          <w:color w:val="000000"/>
          <w:szCs w:val="22"/>
          <w:lang w:eastAsia="en-GB"/>
        </w:rPr>
        <w:t>VET Student Register –</w:t>
      </w:r>
      <w:r w:rsidR="00DE1E84">
        <w:rPr>
          <w:b/>
          <w:color w:val="000000"/>
          <w:szCs w:val="22"/>
          <w:lang w:eastAsia="en-GB"/>
        </w:rPr>
        <w:t xml:space="preserve"> </w:t>
      </w:r>
      <w:r w:rsidRPr="00FD4D85">
        <w:rPr>
          <w:color w:val="000000"/>
          <w:szCs w:val="22"/>
          <w:lang w:eastAsia="en-GB"/>
        </w:rPr>
        <w:t>Victorian Registration and Qualification</w:t>
      </w:r>
      <w:r>
        <w:rPr>
          <w:color w:val="000000"/>
          <w:szCs w:val="22"/>
          <w:lang w:eastAsia="en-GB"/>
        </w:rPr>
        <w:t xml:space="preserve"> </w:t>
      </w:r>
      <w:r w:rsidRPr="00FD4D85">
        <w:rPr>
          <w:color w:val="000000"/>
          <w:szCs w:val="22"/>
          <w:lang w:eastAsia="en-GB"/>
        </w:rPr>
        <w:t xml:space="preserve">Authority (VRQA) </w:t>
      </w:r>
    </w:p>
    <w:p w14:paraId="356E4AE7" w14:textId="0BB731BB" w:rsidR="00FD4D85" w:rsidRPr="00FD4D85" w:rsidRDefault="00FD4D85" w:rsidP="00FD4D85">
      <w:pPr>
        <w:pStyle w:val="ListParagraph"/>
        <w:numPr>
          <w:ilvl w:val="1"/>
          <w:numId w:val="45"/>
        </w:numPr>
        <w:spacing w:after="0"/>
        <w:rPr>
          <w:b/>
          <w:color w:val="000000"/>
          <w:szCs w:val="22"/>
          <w:lang w:eastAsia="en-GB"/>
        </w:rPr>
      </w:pPr>
      <w:r w:rsidRPr="00FD4D85">
        <w:rPr>
          <w:b/>
          <w:color w:val="000000"/>
          <w:szCs w:val="22"/>
          <w:lang w:eastAsia="en-GB"/>
        </w:rPr>
        <w:t xml:space="preserve">VET </w:t>
      </w:r>
      <w:r w:rsidR="00DE1E84">
        <w:rPr>
          <w:b/>
          <w:color w:val="000000"/>
          <w:szCs w:val="22"/>
          <w:lang w:eastAsia="en-GB"/>
        </w:rPr>
        <w:t xml:space="preserve">Training </w:t>
      </w:r>
      <w:r w:rsidRPr="00FD4D85">
        <w:rPr>
          <w:b/>
          <w:color w:val="000000"/>
          <w:szCs w:val="22"/>
          <w:lang w:eastAsia="en-GB"/>
        </w:rPr>
        <w:t>Marketplace</w:t>
      </w:r>
      <w:r w:rsidRPr="00FD4D85">
        <w:rPr>
          <w:color w:val="000000"/>
          <w:szCs w:val="22"/>
          <w:lang w:eastAsia="en-GB"/>
        </w:rPr>
        <w:t xml:space="preserve"> – Victoria’s Higher Edu</w:t>
      </w:r>
      <w:r>
        <w:rPr>
          <w:color w:val="000000"/>
          <w:szCs w:val="22"/>
          <w:lang w:eastAsia="en-GB"/>
        </w:rPr>
        <w:t>c</w:t>
      </w:r>
      <w:r w:rsidRPr="00FD4D85">
        <w:rPr>
          <w:color w:val="000000"/>
          <w:szCs w:val="22"/>
          <w:lang w:eastAsia="en-GB"/>
        </w:rPr>
        <w:t>ation and Skills Group</w:t>
      </w:r>
    </w:p>
    <w:p w14:paraId="79DB7E6B" w14:textId="5EB38A91" w:rsidR="00FD4D85" w:rsidRPr="00DE1E84" w:rsidRDefault="00DE1E84" w:rsidP="00DE1E84">
      <w:pPr>
        <w:pStyle w:val="ListParagraph"/>
        <w:numPr>
          <w:ilvl w:val="1"/>
          <w:numId w:val="45"/>
        </w:numPr>
        <w:spacing w:after="0"/>
        <w:rPr>
          <w:b/>
          <w:color w:val="000000"/>
          <w:szCs w:val="22"/>
          <w:lang w:eastAsia="en-GB"/>
        </w:rPr>
      </w:pPr>
      <w:r>
        <w:rPr>
          <w:b/>
          <w:color w:val="000000"/>
          <w:szCs w:val="22"/>
          <w:lang w:eastAsia="en-GB"/>
        </w:rPr>
        <w:t xml:space="preserve">RTO Register – </w:t>
      </w:r>
      <w:r w:rsidRPr="00DE1E84">
        <w:rPr>
          <w:rFonts w:ascii="Calibri" w:hAnsi="Calibri"/>
          <w:bCs/>
          <w:color w:val="000000"/>
          <w:szCs w:val="44"/>
          <w:lang w:eastAsia="en-GB"/>
        </w:rPr>
        <w:t>National Audit and Registration Agency</w:t>
      </w:r>
      <w:r>
        <w:rPr>
          <w:rFonts w:ascii="Calibri" w:hAnsi="Calibri"/>
          <w:bCs/>
          <w:color w:val="000000"/>
          <w:szCs w:val="44"/>
          <w:lang w:eastAsia="en-GB"/>
        </w:rPr>
        <w:t xml:space="preserve"> (NARA) </w:t>
      </w:r>
    </w:p>
    <w:p w14:paraId="72F5894B" w14:textId="2B13C5D6" w:rsidR="00EB1476" w:rsidRPr="00DE1E84" w:rsidRDefault="00DE1E84" w:rsidP="00CE6197">
      <w:pPr>
        <w:pStyle w:val="ListParagraph"/>
        <w:numPr>
          <w:ilvl w:val="1"/>
          <w:numId w:val="45"/>
        </w:numPr>
        <w:spacing w:after="0"/>
        <w:rPr>
          <w:color w:val="000000"/>
          <w:szCs w:val="22"/>
          <w:lang w:eastAsia="en-GB"/>
        </w:rPr>
      </w:pPr>
      <w:r w:rsidRPr="00DE1E84">
        <w:rPr>
          <w:b/>
          <w:color w:val="000000"/>
          <w:szCs w:val="22"/>
          <w:lang w:eastAsia="en-GB"/>
        </w:rPr>
        <w:t xml:space="preserve">Skills Store Management System – </w:t>
      </w:r>
      <w:r w:rsidRPr="00DE1E84">
        <w:rPr>
          <w:color w:val="000000"/>
          <w:szCs w:val="22"/>
          <w:lang w:eastAsia="en-GB"/>
        </w:rPr>
        <w:t>Victorian Department of Education and Training</w:t>
      </w:r>
    </w:p>
    <w:p w14:paraId="30997564" w14:textId="77777777" w:rsidR="00DE1E84" w:rsidRPr="00DE1E84" w:rsidRDefault="00DE1E84" w:rsidP="00DE1E84">
      <w:pPr>
        <w:pStyle w:val="ListParagraph"/>
        <w:spacing w:after="0"/>
        <w:ind w:left="1440"/>
        <w:rPr>
          <w:color w:val="000000"/>
          <w:szCs w:val="22"/>
          <w:lang w:eastAsia="en-GB"/>
        </w:rPr>
      </w:pPr>
    </w:p>
    <w:p w14:paraId="50A0F902" w14:textId="41E49F64" w:rsidR="00EB1476" w:rsidRPr="00FD4D85" w:rsidRDefault="00EB1476" w:rsidP="00EB1476">
      <w:pPr>
        <w:rPr>
          <w:color w:val="000000"/>
          <w:szCs w:val="22"/>
          <w:lang w:eastAsia="en-GB"/>
        </w:rPr>
      </w:pPr>
      <w:r w:rsidRPr="00FD4D85">
        <w:rPr>
          <w:color w:val="000000"/>
          <w:szCs w:val="22"/>
          <w:lang w:eastAsia="en-GB"/>
        </w:rPr>
        <w:t xml:space="preserve">It is on the basis of our experience across the VET sector that we provide this submission in response to the </w:t>
      </w:r>
      <w:r w:rsidRPr="00FD4D85">
        <w:rPr>
          <w:i/>
          <w:iCs/>
          <w:color w:val="000000"/>
          <w:szCs w:val="22"/>
          <w:lang w:eastAsia="en-GB"/>
        </w:rPr>
        <w:t>Interim Report of the Review of the National Agreement for Skills and Workforce Development</w:t>
      </w:r>
      <w:r w:rsidRPr="00FD4D85">
        <w:rPr>
          <w:color w:val="000000"/>
          <w:szCs w:val="22"/>
          <w:lang w:eastAsia="en-GB"/>
        </w:rPr>
        <w:t xml:space="preserve">. </w:t>
      </w:r>
      <w:r w:rsidR="00DE1E84">
        <w:rPr>
          <w:color w:val="000000"/>
          <w:szCs w:val="22"/>
          <w:lang w:eastAsia="en-GB"/>
        </w:rPr>
        <w:t xml:space="preserve"> </w:t>
      </w:r>
      <w:r w:rsidRPr="00FD4D85">
        <w:rPr>
          <w:color w:val="000000"/>
          <w:szCs w:val="22"/>
          <w:lang w:eastAsia="en-GB"/>
        </w:rPr>
        <w:t xml:space="preserve">We do not have specific comments or observations relating to the Commission’s proposed recommendations and options. </w:t>
      </w:r>
      <w:r w:rsidR="00DE1E84">
        <w:rPr>
          <w:color w:val="000000"/>
          <w:szCs w:val="22"/>
          <w:lang w:eastAsia="en-GB"/>
        </w:rPr>
        <w:t xml:space="preserve"> </w:t>
      </w:r>
      <w:r w:rsidRPr="00FD4D85">
        <w:rPr>
          <w:color w:val="000000"/>
          <w:szCs w:val="22"/>
          <w:lang w:eastAsia="en-GB"/>
        </w:rPr>
        <w:t>However changes and improvements to the data, systems and related processes the VET system relies on will be important in ensuring the success of any future reforms and it is here that we are pleased to share our insights and observations.</w:t>
      </w:r>
    </w:p>
    <w:p w14:paraId="4F3621D0" w14:textId="270913A9" w:rsidR="00EB1476" w:rsidRPr="00FD4D85" w:rsidRDefault="00EB1476" w:rsidP="00EB1476">
      <w:pPr>
        <w:rPr>
          <w:b/>
          <w:bCs/>
          <w:color w:val="000000"/>
          <w:szCs w:val="22"/>
          <w:lang w:eastAsia="en-GB"/>
        </w:rPr>
      </w:pPr>
      <w:r w:rsidRPr="00FD4D85">
        <w:rPr>
          <w:b/>
          <w:bCs/>
          <w:color w:val="000000"/>
          <w:szCs w:val="22"/>
          <w:lang w:eastAsia="en-GB"/>
        </w:rPr>
        <w:lastRenderedPageBreak/>
        <w:t>Timely, accurate data</w:t>
      </w:r>
    </w:p>
    <w:p w14:paraId="6ABC1030" w14:textId="02FD788A" w:rsidR="00EB1476" w:rsidRPr="00FD4D85" w:rsidRDefault="00EB1476" w:rsidP="00EB1476">
      <w:pPr>
        <w:rPr>
          <w:color w:val="000000"/>
          <w:szCs w:val="22"/>
          <w:lang w:eastAsia="en-GB"/>
        </w:rPr>
      </w:pPr>
      <w:r w:rsidRPr="00FD4D85">
        <w:rPr>
          <w:color w:val="000000"/>
          <w:szCs w:val="22"/>
          <w:lang w:eastAsia="en-GB"/>
        </w:rPr>
        <w:t xml:space="preserve">The Commission’s Interim Report makes a number of interim recommendations and proposes various options for the next National Agreement. </w:t>
      </w:r>
      <w:r w:rsidR="00DE1E84">
        <w:rPr>
          <w:color w:val="000000"/>
          <w:szCs w:val="22"/>
          <w:lang w:eastAsia="en-GB"/>
        </w:rPr>
        <w:t xml:space="preserve"> </w:t>
      </w:r>
      <w:r w:rsidRPr="00FD4D85">
        <w:rPr>
          <w:color w:val="000000"/>
          <w:szCs w:val="22"/>
          <w:lang w:eastAsia="en-GB"/>
        </w:rPr>
        <w:t>Irrespective of the final set of recommendations proposed by the Commission, the availability of timely, accurate data (or the lack thereof) is the biggest inhibitor for governments in being able to adequately track the effectiveness of any new programs and policies which may be</w:t>
      </w:r>
      <w:r w:rsidR="00DE1E84">
        <w:rPr>
          <w:color w:val="000000"/>
          <w:szCs w:val="22"/>
          <w:lang w:eastAsia="en-GB"/>
        </w:rPr>
        <w:t xml:space="preserve"> implemented.</w:t>
      </w:r>
    </w:p>
    <w:p w14:paraId="01AD96A2" w14:textId="03F22D52" w:rsidR="00EB1476" w:rsidRPr="00FD4D85" w:rsidRDefault="00EB1476" w:rsidP="00EB1476">
      <w:pPr>
        <w:rPr>
          <w:color w:val="000000"/>
          <w:szCs w:val="22"/>
          <w:lang w:eastAsia="en-GB"/>
        </w:rPr>
      </w:pPr>
      <w:r w:rsidRPr="00FD4D85">
        <w:rPr>
          <w:color w:val="000000"/>
          <w:szCs w:val="22"/>
          <w:lang w:eastAsia="en-GB"/>
        </w:rPr>
        <w:t>The expansion of the national data collection on VET students and courses, to cover ‘Total VET Activity’ rather than just government funded activity, has been a useful tool for policymakers and other stakeholders interested in the VET sector.</w:t>
      </w:r>
      <w:r w:rsidR="00B8364E">
        <w:rPr>
          <w:color w:val="000000"/>
          <w:szCs w:val="22"/>
          <w:lang w:eastAsia="en-GB"/>
        </w:rPr>
        <w:t xml:space="preserve"> </w:t>
      </w:r>
      <w:r w:rsidRPr="00FD4D85">
        <w:rPr>
          <w:color w:val="000000"/>
          <w:szCs w:val="22"/>
          <w:lang w:eastAsia="en-GB"/>
        </w:rPr>
        <w:t xml:space="preserve"> However the three-month time lag between the submission of data and its publication means that government funders, policymakers and regulators are severely inhibited in their ability to identify and action any emerging issues. </w:t>
      </w:r>
      <w:r w:rsidR="00B8364E">
        <w:rPr>
          <w:color w:val="000000"/>
          <w:szCs w:val="22"/>
          <w:lang w:eastAsia="en-GB"/>
        </w:rPr>
        <w:t xml:space="preserve"> </w:t>
      </w:r>
      <w:r w:rsidRPr="00FD4D85">
        <w:rPr>
          <w:color w:val="000000"/>
          <w:szCs w:val="22"/>
          <w:lang w:eastAsia="en-GB"/>
        </w:rPr>
        <w:t>It should also be noted that while the collection has been expanded from just government-funded students – it still only paints part of the picture of activity in the VET sector, that is the performance of students and RTOs.</w:t>
      </w:r>
    </w:p>
    <w:p w14:paraId="54C481AF" w14:textId="120BB972" w:rsidR="00EB1476" w:rsidRPr="00FD4D85" w:rsidRDefault="00EB1476" w:rsidP="00EB1476">
      <w:pPr>
        <w:rPr>
          <w:color w:val="000000"/>
          <w:szCs w:val="22"/>
          <w:lang w:eastAsia="en-GB"/>
        </w:rPr>
      </w:pPr>
      <w:r w:rsidRPr="00FD4D85">
        <w:rPr>
          <w:color w:val="000000"/>
          <w:szCs w:val="22"/>
          <w:lang w:eastAsia="en-GB"/>
        </w:rPr>
        <w:t>States and territories survey government-funded students in an attempt to monitor the satisfaction and outcomes from the training they fund.</w:t>
      </w:r>
      <w:r w:rsidR="00B8364E">
        <w:rPr>
          <w:color w:val="000000"/>
          <w:szCs w:val="22"/>
          <w:lang w:eastAsia="en-GB"/>
        </w:rPr>
        <w:t xml:space="preserve"> </w:t>
      </w:r>
      <w:r w:rsidRPr="00FD4D85">
        <w:rPr>
          <w:color w:val="000000"/>
          <w:szCs w:val="22"/>
          <w:lang w:eastAsia="en-GB"/>
        </w:rPr>
        <w:t xml:space="preserve"> Some states publish the outcomes of (some) of these surveys. </w:t>
      </w:r>
      <w:r w:rsidR="00B8364E">
        <w:rPr>
          <w:color w:val="000000"/>
          <w:szCs w:val="22"/>
          <w:lang w:eastAsia="en-GB"/>
        </w:rPr>
        <w:t xml:space="preserve"> </w:t>
      </w:r>
      <w:r w:rsidRPr="00FD4D85">
        <w:rPr>
          <w:color w:val="000000"/>
          <w:szCs w:val="22"/>
          <w:lang w:eastAsia="en-GB"/>
        </w:rPr>
        <w:t>Other</w:t>
      </w:r>
      <w:r w:rsidR="00BC4954" w:rsidRPr="00FD4D85">
        <w:rPr>
          <w:color w:val="000000"/>
          <w:szCs w:val="22"/>
          <w:lang w:eastAsia="en-GB"/>
        </w:rPr>
        <w:t>s</w:t>
      </w:r>
      <w:r w:rsidRPr="00FD4D85">
        <w:rPr>
          <w:color w:val="000000"/>
          <w:szCs w:val="22"/>
          <w:lang w:eastAsia="en-GB"/>
        </w:rPr>
        <w:t xml:space="preserve"> do not. </w:t>
      </w:r>
      <w:r w:rsidR="00B8364E">
        <w:rPr>
          <w:color w:val="000000"/>
          <w:szCs w:val="22"/>
          <w:lang w:eastAsia="en-GB"/>
        </w:rPr>
        <w:t xml:space="preserve"> </w:t>
      </w:r>
      <w:r w:rsidRPr="00FD4D85">
        <w:rPr>
          <w:color w:val="000000"/>
          <w:szCs w:val="22"/>
          <w:lang w:eastAsia="en-GB"/>
        </w:rPr>
        <w:t xml:space="preserve">The National Centre for Vocational Education Research runs a national Student Outcome Survey which covers both government-funded and fee-for-service students and the differences between those completing full qualifications and ‘subject completers’ </w:t>
      </w:r>
      <w:r w:rsidR="00B8364E" w:rsidRPr="00FD4D85">
        <w:rPr>
          <w:color w:val="000000"/>
          <w:szCs w:val="22"/>
          <w:lang w:eastAsia="en-GB"/>
        </w:rPr>
        <w:t>i.e.</w:t>
      </w:r>
      <w:r w:rsidRPr="00FD4D85">
        <w:rPr>
          <w:color w:val="000000"/>
          <w:szCs w:val="22"/>
          <w:lang w:eastAsia="en-GB"/>
        </w:rPr>
        <w:t xml:space="preserve"> those who do not</w:t>
      </w:r>
      <w:r w:rsidR="00B8364E">
        <w:rPr>
          <w:color w:val="000000"/>
          <w:szCs w:val="22"/>
          <w:lang w:eastAsia="en-GB"/>
        </w:rPr>
        <w:t xml:space="preserve"> complete a full qualification.</w:t>
      </w:r>
    </w:p>
    <w:p w14:paraId="28028906" w14:textId="46E7E4EF" w:rsidR="00EB1476" w:rsidRPr="00FD4D85" w:rsidRDefault="00EB1476" w:rsidP="00EB1476">
      <w:pPr>
        <w:rPr>
          <w:color w:val="000000"/>
          <w:szCs w:val="22"/>
          <w:lang w:eastAsia="en-GB"/>
        </w:rPr>
      </w:pPr>
      <w:r w:rsidRPr="00FD4D85">
        <w:rPr>
          <w:color w:val="000000"/>
          <w:szCs w:val="22"/>
          <w:lang w:eastAsia="en-GB"/>
        </w:rPr>
        <w:t xml:space="preserve">To ensure the survey has ‘acceptable response rates’ it is focussed on providers with 100 or more domestic graduates and/or 850 or more domestic subject completers. </w:t>
      </w:r>
      <w:r w:rsidR="00B8364E">
        <w:rPr>
          <w:color w:val="000000"/>
          <w:szCs w:val="22"/>
          <w:lang w:eastAsia="en-GB"/>
        </w:rPr>
        <w:t xml:space="preserve"> </w:t>
      </w:r>
      <w:r w:rsidRPr="00FD4D85">
        <w:rPr>
          <w:color w:val="000000"/>
          <w:szCs w:val="22"/>
          <w:lang w:eastAsia="en-GB"/>
        </w:rPr>
        <w:t>This limits the ability for policymakers to gain a more detailed understanding of performance across the sector, as well as the NCVER’s ability to publish statistically valid data at the RTO level (with many RTOs not big enough for their students to be included in the survey).</w:t>
      </w:r>
    </w:p>
    <w:p w14:paraId="76678840" w14:textId="77777777" w:rsidR="00EB1476" w:rsidRPr="00FD4D85" w:rsidRDefault="00EB1476" w:rsidP="00EB1476">
      <w:pPr>
        <w:rPr>
          <w:b/>
          <w:bCs/>
          <w:color w:val="000000"/>
          <w:szCs w:val="22"/>
          <w:lang w:eastAsia="en-GB"/>
        </w:rPr>
      </w:pPr>
      <w:r w:rsidRPr="00FD4D85">
        <w:rPr>
          <w:b/>
          <w:bCs/>
          <w:color w:val="000000"/>
          <w:szCs w:val="22"/>
          <w:lang w:eastAsia="en-GB"/>
        </w:rPr>
        <w:t>Reporting burden</w:t>
      </w:r>
    </w:p>
    <w:p w14:paraId="7CE2E6B9" w14:textId="594EC86B" w:rsidR="00EB1476" w:rsidRPr="00FD4D85" w:rsidRDefault="00EB1476" w:rsidP="00EB1476">
      <w:pPr>
        <w:rPr>
          <w:color w:val="000000"/>
          <w:szCs w:val="22"/>
          <w:lang w:eastAsia="en-GB"/>
        </w:rPr>
      </w:pPr>
      <w:r w:rsidRPr="00FD4D85">
        <w:rPr>
          <w:color w:val="000000"/>
          <w:szCs w:val="22"/>
          <w:lang w:eastAsia="en-GB"/>
        </w:rPr>
        <w:t>Reporting has long been a burden on RTOs.</w:t>
      </w:r>
      <w:r w:rsidR="00B8364E">
        <w:rPr>
          <w:color w:val="000000"/>
          <w:szCs w:val="22"/>
          <w:lang w:eastAsia="en-GB"/>
        </w:rPr>
        <w:t xml:space="preserve"> </w:t>
      </w:r>
      <w:r w:rsidRPr="00FD4D85">
        <w:rPr>
          <w:color w:val="000000"/>
          <w:szCs w:val="22"/>
          <w:lang w:eastAsia="en-GB"/>
        </w:rPr>
        <w:t xml:space="preserve"> One of the key issues is the statistical standard that the data needs to be reported against (the AVETMIS standard).</w:t>
      </w:r>
      <w:r w:rsidR="00B8364E">
        <w:rPr>
          <w:color w:val="000000"/>
          <w:szCs w:val="22"/>
          <w:lang w:eastAsia="en-GB"/>
        </w:rPr>
        <w:t xml:space="preserve"> </w:t>
      </w:r>
      <w:r w:rsidRPr="00FD4D85">
        <w:rPr>
          <w:color w:val="000000"/>
          <w:szCs w:val="22"/>
          <w:lang w:eastAsia="en-GB"/>
        </w:rPr>
        <w:t xml:space="preserve"> It was first implemented in 1994 and while it has been updated since then with, for example, the addition of new fields; in essence, it remains largely the same tool as when it was first introduced.</w:t>
      </w:r>
    </w:p>
    <w:p w14:paraId="2F7222FB" w14:textId="2DEA4768" w:rsidR="00EB1476" w:rsidRPr="00FD4D85" w:rsidRDefault="00EB1476" w:rsidP="00EB1476">
      <w:pPr>
        <w:rPr>
          <w:color w:val="000000"/>
          <w:szCs w:val="22"/>
          <w:lang w:eastAsia="en-GB"/>
        </w:rPr>
      </w:pPr>
      <w:r w:rsidRPr="00FD4D85">
        <w:rPr>
          <w:color w:val="000000"/>
          <w:szCs w:val="22"/>
          <w:lang w:eastAsia="en-GB"/>
        </w:rPr>
        <w:t xml:space="preserve">An example of how the age of the AVETMIS Standard adds to the reporting burden on providers can be understood when looking at what is now a common course design principle. </w:t>
      </w:r>
      <w:r w:rsidR="00B8364E">
        <w:rPr>
          <w:color w:val="000000"/>
          <w:szCs w:val="22"/>
          <w:lang w:eastAsia="en-GB"/>
        </w:rPr>
        <w:t xml:space="preserve"> </w:t>
      </w:r>
      <w:r w:rsidRPr="00FD4D85">
        <w:rPr>
          <w:color w:val="000000"/>
          <w:szCs w:val="22"/>
          <w:lang w:eastAsia="en-GB"/>
        </w:rPr>
        <w:t xml:space="preserve">Historically many VET providers taught one subject (or unit) after another, in a linear fashion (and it should be noted, some providers still do).  Today many RTOs “cluster” different groups of units to provide for a richer, more authentic learning experience – by having students learn inter-related skills in one ‘block’ of learning. </w:t>
      </w:r>
      <w:r w:rsidR="00B8364E">
        <w:rPr>
          <w:color w:val="000000"/>
          <w:szCs w:val="22"/>
          <w:lang w:eastAsia="en-GB"/>
        </w:rPr>
        <w:t xml:space="preserve"> </w:t>
      </w:r>
      <w:r w:rsidRPr="00FD4D85">
        <w:rPr>
          <w:color w:val="000000"/>
          <w:szCs w:val="22"/>
          <w:lang w:eastAsia="en-GB"/>
        </w:rPr>
        <w:t xml:space="preserve">Clustering also improves the efficiency of delivery. </w:t>
      </w:r>
      <w:r w:rsidR="00B8364E">
        <w:rPr>
          <w:color w:val="000000"/>
          <w:szCs w:val="22"/>
          <w:lang w:eastAsia="en-GB"/>
        </w:rPr>
        <w:t xml:space="preserve"> </w:t>
      </w:r>
      <w:r w:rsidRPr="00FD4D85">
        <w:rPr>
          <w:color w:val="000000"/>
          <w:szCs w:val="22"/>
          <w:lang w:eastAsia="en-GB"/>
        </w:rPr>
        <w:t>The consequence for RTOs using a clustering delivery model is that students cannot be assessed as being competent in a particular unit until the entire cluster is completed.</w:t>
      </w:r>
    </w:p>
    <w:p w14:paraId="592BA2B9" w14:textId="6D01FC5D" w:rsidR="00EB1476" w:rsidRPr="00FD4D85" w:rsidRDefault="00EB1476" w:rsidP="00EB1476">
      <w:pPr>
        <w:rPr>
          <w:color w:val="000000"/>
          <w:szCs w:val="22"/>
          <w:lang w:eastAsia="en-GB"/>
        </w:rPr>
      </w:pPr>
      <w:r w:rsidRPr="00FD4D85">
        <w:rPr>
          <w:color w:val="000000"/>
          <w:szCs w:val="22"/>
          <w:lang w:eastAsia="en-GB"/>
        </w:rPr>
        <w:t xml:space="preserve">This causes problems when it comes to the different reporting cycles built into the software/used by government funding agencies, as it can appear that enrolled students have not completed the expected units within the requisite period. </w:t>
      </w:r>
      <w:r w:rsidR="00B8364E">
        <w:rPr>
          <w:color w:val="000000"/>
          <w:szCs w:val="22"/>
          <w:lang w:eastAsia="en-GB"/>
        </w:rPr>
        <w:t xml:space="preserve"> </w:t>
      </w:r>
      <w:r w:rsidRPr="00FD4D85">
        <w:rPr>
          <w:color w:val="000000"/>
          <w:szCs w:val="22"/>
          <w:lang w:eastAsia="en-GB"/>
        </w:rPr>
        <w:t>As a result, providers amend the data in the database so that it ‘fits’, and in turn reporting and performance data does not reflect what is occurring on the ground i</w:t>
      </w:r>
      <w:r w:rsidR="00B8364E">
        <w:rPr>
          <w:color w:val="000000"/>
          <w:szCs w:val="22"/>
          <w:lang w:eastAsia="en-GB"/>
        </w:rPr>
        <w:t>n terms of student progression.</w:t>
      </w:r>
    </w:p>
    <w:p w14:paraId="1B17A1E2" w14:textId="64ADDB68" w:rsidR="00EB1476" w:rsidRPr="00FD4D85" w:rsidRDefault="00EB1476" w:rsidP="00EB1476">
      <w:pPr>
        <w:rPr>
          <w:color w:val="000000"/>
          <w:szCs w:val="22"/>
          <w:lang w:eastAsia="en-GB"/>
        </w:rPr>
      </w:pPr>
      <w:r w:rsidRPr="00FD4D85">
        <w:rPr>
          <w:color w:val="000000"/>
          <w:szCs w:val="22"/>
          <w:lang w:eastAsia="en-GB"/>
        </w:rPr>
        <w:t xml:space="preserve">Other issues which add to the reporting burden on RTOs include the frequency and format the data needs to be provided in, the differing requirements imposed on an RTO where it has to report to government funding agencies in different jurisdictions (each has their own reporting requirements) and the manual cleansing of the data </w:t>
      </w:r>
      <w:r w:rsidR="00B8364E">
        <w:rPr>
          <w:color w:val="000000"/>
          <w:szCs w:val="22"/>
          <w:lang w:eastAsia="en-GB"/>
        </w:rPr>
        <w:t>that needs to occur.</w:t>
      </w:r>
    </w:p>
    <w:p w14:paraId="3A12600B" w14:textId="45F7850D" w:rsidR="00EB1476" w:rsidRPr="00FD4D85" w:rsidRDefault="00EB1476" w:rsidP="00EB1476">
      <w:pPr>
        <w:rPr>
          <w:color w:val="000000"/>
          <w:szCs w:val="22"/>
          <w:lang w:eastAsia="en-GB"/>
        </w:rPr>
      </w:pPr>
      <w:r w:rsidRPr="00FD4D85">
        <w:rPr>
          <w:color w:val="000000"/>
          <w:szCs w:val="22"/>
          <w:lang w:eastAsia="en-GB"/>
        </w:rPr>
        <w:lastRenderedPageBreak/>
        <w:t>It is our experience that RTOs, especially large RTOs, report having teams dedicated to running the required reports, cleansing and checking data and then manipulating it to meet the required format of the relevant jurisdiction or organisation that they are providing data to.</w:t>
      </w:r>
      <w:r w:rsidR="00B8364E">
        <w:rPr>
          <w:color w:val="000000"/>
          <w:szCs w:val="22"/>
          <w:lang w:eastAsia="en-GB"/>
        </w:rPr>
        <w:t xml:space="preserve"> </w:t>
      </w:r>
      <w:r w:rsidRPr="00FD4D85">
        <w:rPr>
          <w:color w:val="000000"/>
          <w:szCs w:val="22"/>
          <w:lang w:eastAsia="en-GB"/>
        </w:rPr>
        <w:t xml:space="preserve"> In some cases, RTOs are required to report exactly the same data, but in different formats, to different agencies.</w:t>
      </w:r>
    </w:p>
    <w:p w14:paraId="5E6D73DD" w14:textId="67CF27D8" w:rsidR="00EB1476" w:rsidRPr="00FD4D85" w:rsidRDefault="00EB1476" w:rsidP="00EB1476">
      <w:pPr>
        <w:rPr>
          <w:color w:val="000000"/>
          <w:szCs w:val="22"/>
          <w:lang w:eastAsia="en-GB"/>
        </w:rPr>
      </w:pPr>
      <w:r w:rsidRPr="00FD4D85">
        <w:rPr>
          <w:color w:val="000000"/>
          <w:szCs w:val="22"/>
          <w:lang w:eastAsia="en-GB"/>
        </w:rPr>
        <w:t xml:space="preserve">It is our understanding that there is work underway looking at the streamlining of VET data reporting, which aims to eliminate the cyclical reporting periods and potentially move to automatic/nightly updates. </w:t>
      </w:r>
      <w:r w:rsidR="00B8364E">
        <w:rPr>
          <w:color w:val="000000"/>
          <w:szCs w:val="22"/>
          <w:lang w:eastAsia="en-GB"/>
        </w:rPr>
        <w:t xml:space="preserve"> </w:t>
      </w:r>
      <w:r w:rsidRPr="00FD4D85">
        <w:rPr>
          <w:color w:val="000000"/>
          <w:szCs w:val="22"/>
          <w:lang w:eastAsia="en-GB"/>
        </w:rPr>
        <w:t>However it is also our understanding that there may not be uniform support for this approach across all jurisdictions. Without greater harmonisation and centralisation of the collection and storing of datasets, it is likely that any changes in some jurisdictions to move to automatic/overnight updates will add to the frustration in the sector with regards to reporting.</w:t>
      </w:r>
    </w:p>
    <w:p w14:paraId="0D5C7570" w14:textId="77777777" w:rsidR="00EB1476" w:rsidRPr="00FD4D85" w:rsidRDefault="00EB1476" w:rsidP="00EB1476">
      <w:pPr>
        <w:rPr>
          <w:b/>
          <w:bCs/>
          <w:color w:val="000000"/>
          <w:szCs w:val="22"/>
          <w:lang w:eastAsia="en-GB"/>
        </w:rPr>
      </w:pPr>
      <w:r w:rsidRPr="00FD4D85">
        <w:rPr>
          <w:b/>
          <w:bCs/>
          <w:color w:val="000000"/>
          <w:szCs w:val="22"/>
          <w:lang w:eastAsia="en-GB"/>
        </w:rPr>
        <w:t>Data integration</w:t>
      </w:r>
    </w:p>
    <w:p w14:paraId="2F11FBD1" w14:textId="790EF103" w:rsidR="00EB1476" w:rsidRPr="00FD4D85" w:rsidRDefault="00EB1476" w:rsidP="00EB1476">
      <w:pPr>
        <w:rPr>
          <w:color w:val="000000"/>
          <w:szCs w:val="22"/>
          <w:lang w:eastAsia="en-GB"/>
        </w:rPr>
      </w:pPr>
      <w:r w:rsidRPr="00FD4D85">
        <w:rPr>
          <w:color w:val="000000"/>
          <w:szCs w:val="22"/>
          <w:lang w:eastAsia="en-GB"/>
        </w:rPr>
        <w:t xml:space="preserve">HSD understands that there are projects and programs underway examining the integration of data sets not only within VET itself (i.e. the unique student identifier), but with datasets such as tax records/single touch payroll and ABS/Census data. </w:t>
      </w:r>
      <w:r w:rsidR="00B8364E">
        <w:rPr>
          <w:color w:val="000000"/>
          <w:szCs w:val="22"/>
          <w:lang w:eastAsia="en-GB"/>
        </w:rPr>
        <w:t xml:space="preserve"> T</w:t>
      </w:r>
      <w:r w:rsidRPr="00FD4D85">
        <w:rPr>
          <w:color w:val="000000"/>
          <w:szCs w:val="22"/>
          <w:lang w:eastAsia="en-GB"/>
        </w:rPr>
        <w:t xml:space="preserve">hese types of projects will be useful in determining the longitudinal impact of VET study and the benefits to different learners. </w:t>
      </w:r>
      <w:r w:rsidR="00B8364E">
        <w:rPr>
          <w:color w:val="000000"/>
          <w:szCs w:val="22"/>
          <w:lang w:eastAsia="en-GB"/>
        </w:rPr>
        <w:t xml:space="preserve"> </w:t>
      </w:r>
      <w:r w:rsidRPr="00FD4D85">
        <w:rPr>
          <w:color w:val="000000"/>
          <w:szCs w:val="22"/>
          <w:lang w:eastAsia="en-GB"/>
        </w:rPr>
        <w:t>However gaps are still likely to remain in assessing the impact and benefit of government-funded training in real time (or near real time).</w:t>
      </w:r>
    </w:p>
    <w:p w14:paraId="063EE2D3" w14:textId="77777777" w:rsidR="00EB1476" w:rsidRPr="00FD4D85" w:rsidRDefault="00EB1476" w:rsidP="00EB1476">
      <w:pPr>
        <w:rPr>
          <w:b/>
          <w:bCs/>
          <w:color w:val="000000"/>
          <w:szCs w:val="22"/>
          <w:lang w:eastAsia="en-GB"/>
        </w:rPr>
      </w:pPr>
      <w:r w:rsidRPr="00FD4D85">
        <w:rPr>
          <w:b/>
          <w:bCs/>
          <w:color w:val="000000"/>
          <w:szCs w:val="22"/>
          <w:lang w:eastAsia="en-GB"/>
        </w:rPr>
        <w:t>Data to support student choice</w:t>
      </w:r>
    </w:p>
    <w:p w14:paraId="359059C6" w14:textId="1C4C9FE8" w:rsidR="00EB1476" w:rsidRPr="00FD4D85" w:rsidRDefault="00EB1476" w:rsidP="00EB1476">
      <w:pPr>
        <w:rPr>
          <w:color w:val="000000"/>
          <w:szCs w:val="22"/>
          <w:lang w:eastAsia="en-GB"/>
        </w:rPr>
      </w:pPr>
      <w:r w:rsidRPr="00FD4D85">
        <w:rPr>
          <w:color w:val="000000"/>
          <w:szCs w:val="22"/>
          <w:lang w:eastAsia="en-GB"/>
        </w:rPr>
        <w:t xml:space="preserve">There have been a number of studies examining what drives user choice when it comes to making decisions on VET. </w:t>
      </w:r>
      <w:r w:rsidR="00B8364E">
        <w:rPr>
          <w:color w:val="000000"/>
          <w:szCs w:val="22"/>
          <w:lang w:eastAsia="en-GB"/>
        </w:rPr>
        <w:t xml:space="preserve"> </w:t>
      </w:r>
      <w:r w:rsidRPr="00FD4D85">
        <w:rPr>
          <w:color w:val="000000"/>
          <w:szCs w:val="22"/>
          <w:lang w:eastAsia="en-GB"/>
        </w:rPr>
        <w:t>While the results vary somewhat depending on an individual’s demographics and their reason for study, relevant factors include the geographical location of a training provider (i</w:t>
      </w:r>
      <w:r w:rsidR="00B8364E">
        <w:rPr>
          <w:color w:val="000000"/>
          <w:szCs w:val="22"/>
          <w:lang w:eastAsia="en-GB"/>
        </w:rPr>
        <w:t>.</w:t>
      </w:r>
      <w:r w:rsidRPr="00FD4D85">
        <w:rPr>
          <w:color w:val="000000"/>
          <w:szCs w:val="22"/>
          <w:lang w:eastAsia="en-GB"/>
        </w:rPr>
        <w:t>e</w:t>
      </w:r>
      <w:r w:rsidR="00B8364E">
        <w:rPr>
          <w:color w:val="000000"/>
          <w:szCs w:val="22"/>
          <w:lang w:eastAsia="en-GB"/>
        </w:rPr>
        <w:t>.</w:t>
      </w:r>
      <w:r w:rsidRPr="00FD4D85">
        <w:rPr>
          <w:color w:val="000000"/>
          <w:szCs w:val="22"/>
          <w:lang w:eastAsia="en-GB"/>
        </w:rPr>
        <w:t xml:space="preserve"> proximity to the student), fees, timetables and the perceived quality of the provider.</w:t>
      </w:r>
      <w:r w:rsidRPr="00FD4D85">
        <w:rPr>
          <w:rStyle w:val="FootnoteReference"/>
          <w:color w:val="000000"/>
          <w:szCs w:val="22"/>
          <w:lang w:eastAsia="en-GB"/>
        </w:rPr>
        <w:footnoteReference w:id="1"/>
      </w:r>
    </w:p>
    <w:p w14:paraId="4C497892" w14:textId="77777777" w:rsidR="00EB1476" w:rsidRPr="00FD4D85" w:rsidRDefault="00EB1476" w:rsidP="00EB1476">
      <w:pPr>
        <w:rPr>
          <w:color w:val="000000"/>
          <w:szCs w:val="22"/>
          <w:lang w:eastAsia="en-GB"/>
        </w:rPr>
      </w:pPr>
      <w:r w:rsidRPr="00FD4D85">
        <w:rPr>
          <w:color w:val="000000"/>
          <w:szCs w:val="22"/>
          <w:lang w:eastAsia="en-GB"/>
        </w:rPr>
        <w:t>In the absence of complete datasets on course price, duration, location, provider performance, timetables and other factors (i.e. facilities) to enable consumers to make informed decisions on the course that is best for them, students typically rely on the advice of their family, friends and peers.</w:t>
      </w:r>
      <w:r w:rsidRPr="00FD4D85">
        <w:rPr>
          <w:rStyle w:val="FootnoteReference"/>
          <w:color w:val="000000"/>
          <w:szCs w:val="22"/>
          <w:lang w:eastAsia="en-GB"/>
        </w:rPr>
        <w:footnoteReference w:id="2"/>
      </w:r>
    </w:p>
    <w:p w14:paraId="4B6FBF3C" w14:textId="2DE7F171" w:rsidR="00EB1476" w:rsidRPr="00FD4D85" w:rsidRDefault="00EB1476" w:rsidP="00EB1476">
      <w:pPr>
        <w:rPr>
          <w:color w:val="000000"/>
          <w:szCs w:val="22"/>
          <w:lang w:eastAsia="en-GB"/>
        </w:rPr>
      </w:pPr>
      <w:r w:rsidRPr="00FD4D85">
        <w:rPr>
          <w:color w:val="000000"/>
          <w:szCs w:val="22"/>
          <w:lang w:eastAsia="en-GB"/>
        </w:rPr>
        <w:t xml:space="preserve">Access to timely, relevant data will therefore be very important in supporting informed student choices, particularly with respect to the possible introduction of a “voucher” system for VET in the future. </w:t>
      </w:r>
      <w:r w:rsidR="00B8364E">
        <w:rPr>
          <w:color w:val="000000"/>
          <w:szCs w:val="22"/>
          <w:lang w:eastAsia="en-GB"/>
        </w:rPr>
        <w:t xml:space="preserve"> </w:t>
      </w:r>
      <w:r w:rsidRPr="00FD4D85">
        <w:rPr>
          <w:color w:val="000000"/>
          <w:szCs w:val="22"/>
          <w:lang w:eastAsia="en-GB"/>
        </w:rPr>
        <w:t xml:space="preserve">A further consideration in relation to a voucher scheme might be the potential lack of data to determine which students have the greatest need for vouchers. </w:t>
      </w:r>
    </w:p>
    <w:p w14:paraId="6D1181A0" w14:textId="77777777" w:rsidR="00EB1476" w:rsidRPr="00FD4D85" w:rsidRDefault="00EB1476" w:rsidP="00EB1476">
      <w:pPr>
        <w:rPr>
          <w:color w:val="000000"/>
          <w:szCs w:val="22"/>
          <w:lang w:eastAsia="en-GB"/>
        </w:rPr>
      </w:pPr>
      <w:r w:rsidRPr="00FD4D85">
        <w:rPr>
          <w:color w:val="000000"/>
          <w:szCs w:val="22"/>
          <w:lang w:eastAsia="en-GB"/>
        </w:rPr>
        <w:t>HSD acknowledges the Federal government’s efforts to provide more information to prospective students through sites like My Skills (</w:t>
      </w:r>
      <w:hyperlink r:id="rId12" w:history="1">
        <w:r w:rsidRPr="00FD4D85">
          <w:rPr>
            <w:rStyle w:val="Hyperlink"/>
            <w:szCs w:val="22"/>
            <w:lang w:eastAsia="en-GB"/>
          </w:rPr>
          <w:t>www.myskills.gov.au</w:t>
        </w:r>
      </w:hyperlink>
      <w:r w:rsidRPr="00FD4D85">
        <w:rPr>
          <w:color w:val="000000"/>
          <w:szCs w:val="22"/>
          <w:lang w:eastAsia="en-GB"/>
        </w:rPr>
        <w:t>) and new initiatives like the National Careers Institute. Unfortunately though these initiatives can only utilise the datasets that are currently available, many of which are incomplete.</w:t>
      </w:r>
    </w:p>
    <w:p w14:paraId="3EABB0C9" w14:textId="77777777" w:rsidR="00EB1476" w:rsidRPr="00FD4D85" w:rsidRDefault="00EB1476" w:rsidP="00EB1476">
      <w:pPr>
        <w:rPr>
          <w:b/>
          <w:bCs/>
          <w:color w:val="000000"/>
          <w:szCs w:val="22"/>
          <w:lang w:eastAsia="en-GB"/>
        </w:rPr>
      </w:pPr>
      <w:r w:rsidRPr="00FD4D85">
        <w:rPr>
          <w:b/>
          <w:bCs/>
          <w:color w:val="000000"/>
          <w:szCs w:val="22"/>
          <w:lang w:eastAsia="en-GB"/>
        </w:rPr>
        <w:t>Apprenticeship data</w:t>
      </w:r>
    </w:p>
    <w:p w14:paraId="5BA9E82F" w14:textId="6384ED7D" w:rsidR="00EB1476" w:rsidRPr="00FD4D85" w:rsidRDefault="00EB1476" w:rsidP="00EB1476">
      <w:pPr>
        <w:rPr>
          <w:color w:val="000000"/>
          <w:szCs w:val="22"/>
          <w:lang w:eastAsia="en-GB"/>
        </w:rPr>
      </w:pPr>
      <w:r w:rsidRPr="00FD4D85">
        <w:rPr>
          <w:color w:val="000000"/>
          <w:szCs w:val="22"/>
          <w:lang w:eastAsia="en-GB"/>
        </w:rPr>
        <w:t>HSD provides development, support and maintenance services for the apprenticeship systems in two states in Australia.</w:t>
      </w:r>
      <w:r w:rsidR="00B8364E">
        <w:rPr>
          <w:color w:val="000000"/>
          <w:szCs w:val="22"/>
          <w:lang w:eastAsia="en-GB"/>
        </w:rPr>
        <w:t xml:space="preserve"> </w:t>
      </w:r>
      <w:r w:rsidRPr="00FD4D85">
        <w:rPr>
          <w:color w:val="000000"/>
          <w:szCs w:val="22"/>
          <w:lang w:eastAsia="en-GB"/>
        </w:rPr>
        <w:t xml:space="preserve"> As a result, we have seen first-hand the frustrations in managing apprenticeship data. </w:t>
      </w:r>
      <w:r w:rsidR="00B8364E">
        <w:rPr>
          <w:color w:val="000000"/>
          <w:szCs w:val="22"/>
          <w:lang w:eastAsia="en-GB"/>
        </w:rPr>
        <w:t xml:space="preserve"> </w:t>
      </w:r>
      <w:r w:rsidRPr="00FD4D85">
        <w:rPr>
          <w:color w:val="000000"/>
          <w:szCs w:val="22"/>
          <w:lang w:eastAsia="en-GB"/>
        </w:rPr>
        <w:t xml:space="preserve">A key issue is the Federal government’ apprenticeship management system (TYIMS). </w:t>
      </w:r>
      <w:r w:rsidR="00B8364E">
        <w:rPr>
          <w:color w:val="000000"/>
          <w:szCs w:val="22"/>
          <w:lang w:eastAsia="en-GB"/>
        </w:rPr>
        <w:t xml:space="preserve"> </w:t>
      </w:r>
      <w:r w:rsidRPr="00FD4D85">
        <w:rPr>
          <w:color w:val="000000"/>
          <w:szCs w:val="22"/>
          <w:lang w:eastAsia="en-GB"/>
        </w:rPr>
        <w:t xml:space="preserve">It is a legacy system and unfortunately a recent project to replace it was unsuccessful and had to be shelved. </w:t>
      </w:r>
    </w:p>
    <w:p w14:paraId="66D11497" w14:textId="17650028" w:rsidR="00EB1476" w:rsidRPr="00FD4D85" w:rsidRDefault="00EB1476" w:rsidP="00EB1476">
      <w:pPr>
        <w:rPr>
          <w:color w:val="000000"/>
          <w:szCs w:val="22"/>
          <w:lang w:eastAsia="en-GB"/>
        </w:rPr>
      </w:pPr>
      <w:r w:rsidRPr="00FD4D85">
        <w:rPr>
          <w:color w:val="000000"/>
          <w:szCs w:val="22"/>
          <w:lang w:eastAsia="en-GB"/>
        </w:rPr>
        <w:lastRenderedPageBreak/>
        <w:t xml:space="preserve">TYIMS is the “source of truth” when it comes to the management of both apprenticeship contracts and the financial details associated with apprenticeship incentives. </w:t>
      </w:r>
      <w:r w:rsidR="00B8364E">
        <w:rPr>
          <w:color w:val="000000"/>
          <w:szCs w:val="22"/>
          <w:lang w:eastAsia="en-GB"/>
        </w:rPr>
        <w:t xml:space="preserve"> </w:t>
      </w:r>
      <w:r w:rsidRPr="00FD4D85">
        <w:rPr>
          <w:color w:val="000000"/>
          <w:szCs w:val="22"/>
          <w:lang w:eastAsia="en-GB"/>
        </w:rPr>
        <w:t>However, there are a number of well documented issues surrounding data accuracy, availability and system documentation with the TYIMS system.</w:t>
      </w:r>
    </w:p>
    <w:p w14:paraId="40945BFD" w14:textId="485DEAC7" w:rsidR="00EB1476" w:rsidRPr="00FD4D85" w:rsidRDefault="00EB1476" w:rsidP="00EB1476">
      <w:pPr>
        <w:rPr>
          <w:color w:val="000000"/>
          <w:szCs w:val="22"/>
          <w:lang w:eastAsia="en-GB"/>
        </w:rPr>
      </w:pPr>
      <w:r w:rsidRPr="00FD4D85">
        <w:rPr>
          <w:color w:val="000000"/>
          <w:szCs w:val="22"/>
          <w:lang w:eastAsia="en-GB"/>
        </w:rPr>
        <w:t xml:space="preserve">HSD is aware that the Department of Education, Skills and Employment has commenced a new project to replace TYIMS. </w:t>
      </w:r>
      <w:r w:rsidR="00B8364E">
        <w:rPr>
          <w:color w:val="000000"/>
          <w:szCs w:val="22"/>
          <w:lang w:eastAsia="en-GB"/>
        </w:rPr>
        <w:t xml:space="preserve"> </w:t>
      </w:r>
      <w:r w:rsidRPr="00FD4D85">
        <w:rPr>
          <w:color w:val="000000"/>
          <w:szCs w:val="22"/>
          <w:lang w:eastAsia="en-GB"/>
        </w:rPr>
        <w:t xml:space="preserve">We consider that conservatively a new system is still at least 18 months away. </w:t>
      </w:r>
      <w:r w:rsidR="00B8364E">
        <w:rPr>
          <w:color w:val="000000"/>
          <w:szCs w:val="22"/>
          <w:lang w:eastAsia="en-GB"/>
        </w:rPr>
        <w:t xml:space="preserve"> </w:t>
      </w:r>
      <w:r w:rsidRPr="00FD4D85">
        <w:rPr>
          <w:color w:val="000000"/>
          <w:szCs w:val="22"/>
          <w:lang w:eastAsia="en-GB"/>
        </w:rPr>
        <w:t>Whilst there are other mechanisms in place to collect apprenticeship data, such as state and territory systems and the NCVER’s Apprentices and Trainee collection, the lack of a centralised source of apprenticeship data will continue to impact the Federal government’s ability to effectively track the performance of the apprenticeship system until TYIMS is replaced.</w:t>
      </w:r>
    </w:p>
    <w:p w14:paraId="23348415" w14:textId="77777777" w:rsidR="00EB1476" w:rsidRPr="00FD4D85" w:rsidRDefault="00EB1476" w:rsidP="00EB1476">
      <w:pPr>
        <w:rPr>
          <w:b/>
          <w:bCs/>
          <w:color w:val="000000"/>
          <w:szCs w:val="22"/>
          <w:lang w:eastAsia="en-GB"/>
        </w:rPr>
      </w:pPr>
      <w:r w:rsidRPr="00FD4D85">
        <w:rPr>
          <w:b/>
          <w:bCs/>
          <w:color w:val="000000"/>
          <w:szCs w:val="22"/>
          <w:lang w:eastAsia="en-GB"/>
        </w:rPr>
        <w:t>Training packages data</w:t>
      </w:r>
    </w:p>
    <w:p w14:paraId="30BBEAED" w14:textId="77777777" w:rsidR="00EB1476" w:rsidRPr="00FD4D85" w:rsidRDefault="00EB1476" w:rsidP="00EB1476">
      <w:pPr>
        <w:rPr>
          <w:color w:val="000000"/>
          <w:szCs w:val="22"/>
          <w:lang w:eastAsia="en-GB"/>
        </w:rPr>
      </w:pPr>
      <w:r w:rsidRPr="00FD4D85">
        <w:rPr>
          <w:color w:val="000000"/>
          <w:szCs w:val="22"/>
          <w:lang w:eastAsia="en-GB"/>
        </w:rPr>
        <w:t>HSD manages the training.gov.au (TGA) website (the national database on VET content). This includes the Training Package Content Management System (TPCMS). The TPCMS manages all of the data and content associated with national training packages and publishes them to TGA. It includes the details on ~1,400 qualifications and almost 16,800 of units of competency.</w:t>
      </w:r>
    </w:p>
    <w:p w14:paraId="3F53268F" w14:textId="585A621F" w:rsidR="00EB1476" w:rsidRPr="00FD4D85" w:rsidRDefault="00EB1476" w:rsidP="00EB1476">
      <w:pPr>
        <w:rPr>
          <w:color w:val="000000"/>
          <w:szCs w:val="22"/>
          <w:lang w:eastAsia="en-GB"/>
        </w:rPr>
      </w:pPr>
      <w:r w:rsidRPr="00FD4D85">
        <w:rPr>
          <w:color w:val="000000"/>
          <w:szCs w:val="22"/>
          <w:lang w:eastAsia="en-GB"/>
        </w:rPr>
        <w:t>Since the system went live in 2011, HSD has worked with the Federal government to manage the changes in the authorising environment (as responsibility shifted from Industry Skills Councils to the Skills Service Organisations, the establishment of the Australian Industry Skills Committee and the Industry Reference Committees).</w:t>
      </w:r>
    </w:p>
    <w:p w14:paraId="001B739B" w14:textId="77777777" w:rsidR="00EB1476" w:rsidRPr="00FD4D85" w:rsidRDefault="00EB1476" w:rsidP="00EB1476">
      <w:pPr>
        <w:rPr>
          <w:color w:val="000000"/>
          <w:szCs w:val="22"/>
          <w:lang w:eastAsia="en-GB"/>
        </w:rPr>
      </w:pPr>
      <w:r w:rsidRPr="00FD4D85">
        <w:rPr>
          <w:color w:val="000000"/>
          <w:szCs w:val="22"/>
          <w:lang w:eastAsia="en-GB"/>
        </w:rPr>
        <w:t>We note the Commission’s recommendation to improve the timeliness of changes to Training Packages by providing more authority to IRCs, as well as the introduction of the new Skills Organisation pilots in Digital Technology, Human Services and Mining. Both of these are likely to require further changes within the TPCMS.</w:t>
      </w:r>
    </w:p>
    <w:p w14:paraId="721C9D3A" w14:textId="1A89E125" w:rsidR="00EB1476" w:rsidRPr="00FD4D85" w:rsidRDefault="00EB1476" w:rsidP="00EB1476">
      <w:pPr>
        <w:rPr>
          <w:color w:val="000000"/>
          <w:szCs w:val="22"/>
          <w:lang w:eastAsia="en-GB"/>
        </w:rPr>
      </w:pPr>
      <w:r w:rsidRPr="00FD4D85">
        <w:rPr>
          <w:color w:val="000000"/>
          <w:szCs w:val="22"/>
          <w:lang w:eastAsia="en-GB"/>
        </w:rPr>
        <w:t xml:space="preserve">We also note that one of the criticisms of the former ISCs was the frequency of change to training packages, which impacted directly on the training practices and processes of RTOs. </w:t>
      </w:r>
      <w:r w:rsidR="0053530A">
        <w:rPr>
          <w:color w:val="000000"/>
          <w:szCs w:val="22"/>
          <w:lang w:eastAsia="en-GB"/>
        </w:rPr>
        <w:t xml:space="preserve"> </w:t>
      </w:r>
      <w:r w:rsidRPr="00FD4D85">
        <w:rPr>
          <w:color w:val="000000"/>
          <w:szCs w:val="22"/>
          <w:lang w:eastAsia="en-GB"/>
        </w:rPr>
        <w:t xml:space="preserve">The current arrangements (under the AISC) attempted to resolve this by scheduling changes to training packages. </w:t>
      </w:r>
      <w:r w:rsidR="0053530A">
        <w:rPr>
          <w:color w:val="000000"/>
          <w:szCs w:val="22"/>
          <w:lang w:eastAsia="en-GB"/>
        </w:rPr>
        <w:t xml:space="preserve"> </w:t>
      </w:r>
      <w:r w:rsidRPr="00FD4D85">
        <w:rPr>
          <w:color w:val="000000"/>
          <w:szCs w:val="22"/>
          <w:lang w:eastAsia="en-GB"/>
        </w:rPr>
        <w:t>Unfortunately this process has now drawn criticism due to the lack of responsiveness and currency of training package content. Governments will need to find the balance between responsiveness to industry and training providers’ abilities to accommodate training package changes. It should be noted that there are also industries where change has been slower, for example, the Construction, Plumbing and Services Training Package (CPC08) and the Electro</w:t>
      </w:r>
      <w:r w:rsidR="0053530A">
        <w:rPr>
          <w:color w:val="000000"/>
          <w:szCs w:val="22"/>
          <w:lang w:eastAsia="en-GB"/>
        </w:rPr>
        <w:t>-</w:t>
      </w:r>
      <w:r w:rsidRPr="00FD4D85">
        <w:rPr>
          <w:color w:val="000000"/>
          <w:szCs w:val="22"/>
          <w:lang w:eastAsia="en-GB"/>
        </w:rPr>
        <w:t xml:space="preserve">technology Training Package (UEE11), are still to be transitioned to the new standards. </w:t>
      </w:r>
    </w:p>
    <w:p w14:paraId="027A0564" w14:textId="0DF8790E" w:rsidR="00EB1476" w:rsidRPr="00FD4D85" w:rsidRDefault="00EB1476" w:rsidP="00EB1476">
      <w:pPr>
        <w:rPr>
          <w:color w:val="000000"/>
          <w:szCs w:val="22"/>
          <w:lang w:eastAsia="en-GB"/>
        </w:rPr>
      </w:pPr>
      <w:r w:rsidRPr="00FD4D85">
        <w:rPr>
          <w:color w:val="000000"/>
          <w:szCs w:val="22"/>
          <w:lang w:eastAsia="en-GB"/>
        </w:rPr>
        <w:t xml:space="preserve">HSD is proud of the role it has played in the past two decades in the VET sector. </w:t>
      </w:r>
      <w:r w:rsidR="0053530A">
        <w:rPr>
          <w:color w:val="000000"/>
          <w:szCs w:val="22"/>
          <w:lang w:eastAsia="en-GB"/>
        </w:rPr>
        <w:t xml:space="preserve"> </w:t>
      </w:r>
      <w:r w:rsidRPr="00FD4D85">
        <w:rPr>
          <w:color w:val="000000"/>
          <w:szCs w:val="22"/>
          <w:lang w:eastAsia="en-GB"/>
        </w:rPr>
        <w:t xml:space="preserve">We have helped governments to provide funding for skills development, implemented and maintained the national database, supported VET regulators, and assisted the apprenticeship sector. </w:t>
      </w:r>
      <w:r w:rsidR="0053530A">
        <w:rPr>
          <w:color w:val="000000"/>
          <w:szCs w:val="22"/>
          <w:lang w:eastAsia="en-GB"/>
        </w:rPr>
        <w:t xml:space="preserve"> </w:t>
      </w:r>
      <w:r w:rsidRPr="00FD4D85">
        <w:rPr>
          <w:color w:val="000000"/>
          <w:szCs w:val="22"/>
          <w:lang w:eastAsia="en-GB"/>
        </w:rPr>
        <w:t>We look forward to continuing that work in the decade ahead.</w:t>
      </w:r>
    </w:p>
    <w:p w14:paraId="54204016" w14:textId="51888165" w:rsidR="00EB1476" w:rsidRPr="00FD4D85" w:rsidRDefault="00EB1476" w:rsidP="00EB1476">
      <w:pPr>
        <w:rPr>
          <w:color w:val="000000"/>
          <w:szCs w:val="22"/>
          <w:lang w:eastAsia="en-GB"/>
        </w:rPr>
      </w:pPr>
      <w:r w:rsidRPr="00FD4D85">
        <w:rPr>
          <w:color w:val="000000"/>
          <w:szCs w:val="22"/>
          <w:lang w:eastAsia="en-GB"/>
        </w:rPr>
        <w:t xml:space="preserve">I trust that our observations are useful to the Commission as it prepares its Final Report and recommendations on the next VET funding agreement. </w:t>
      </w:r>
      <w:r w:rsidR="0053530A">
        <w:rPr>
          <w:color w:val="000000"/>
          <w:szCs w:val="22"/>
          <w:lang w:eastAsia="en-GB"/>
        </w:rPr>
        <w:t xml:space="preserve"> </w:t>
      </w:r>
      <w:r w:rsidRPr="00FD4D85">
        <w:rPr>
          <w:color w:val="000000"/>
          <w:szCs w:val="22"/>
          <w:lang w:eastAsia="en-GB"/>
        </w:rPr>
        <w:t>Strong, timely data collection and reporting systems will be crucial in determining the success of future reform of the VET sector.</w:t>
      </w:r>
    </w:p>
    <w:p w14:paraId="71C9F1AB" w14:textId="77777777" w:rsidR="00EB1476" w:rsidRPr="00FD4D85" w:rsidRDefault="00EB1476" w:rsidP="00EB1476">
      <w:pPr>
        <w:rPr>
          <w:color w:val="000000"/>
          <w:szCs w:val="22"/>
          <w:lang w:eastAsia="en-GB"/>
        </w:rPr>
      </w:pPr>
      <w:r w:rsidRPr="00FD4D85">
        <w:rPr>
          <w:color w:val="000000"/>
          <w:szCs w:val="22"/>
          <w:lang w:eastAsia="en-GB"/>
        </w:rPr>
        <w:t>I would be pleased to discuss this submission with you further should the Review team have any questions.</w:t>
      </w:r>
    </w:p>
    <w:p w14:paraId="47B6400F" w14:textId="77777777" w:rsidR="00EB1476" w:rsidRPr="00FD4D85" w:rsidRDefault="00EB1476" w:rsidP="00EB1476">
      <w:pPr>
        <w:rPr>
          <w:color w:val="000000"/>
          <w:szCs w:val="22"/>
          <w:lang w:eastAsia="en-GB"/>
        </w:rPr>
      </w:pPr>
    </w:p>
    <w:p w14:paraId="35C44E6D" w14:textId="77777777" w:rsidR="00EB1476" w:rsidRPr="00FD4D85" w:rsidRDefault="00EB1476" w:rsidP="0053530A">
      <w:pPr>
        <w:spacing w:after="120"/>
        <w:rPr>
          <w:b/>
          <w:color w:val="000000"/>
          <w:szCs w:val="22"/>
          <w:lang w:eastAsia="en-GB"/>
        </w:rPr>
      </w:pPr>
      <w:r w:rsidRPr="00FD4D85">
        <w:rPr>
          <w:b/>
          <w:color w:val="000000"/>
          <w:szCs w:val="22"/>
          <w:lang w:eastAsia="en-GB"/>
        </w:rPr>
        <w:t>Narendra Tomar</w:t>
      </w:r>
    </w:p>
    <w:p w14:paraId="4701704F" w14:textId="77777777" w:rsidR="00EB1476" w:rsidRPr="00FD4D85" w:rsidRDefault="00EB1476" w:rsidP="0053530A">
      <w:pPr>
        <w:spacing w:after="120"/>
        <w:rPr>
          <w:bCs/>
          <w:color w:val="000000"/>
          <w:szCs w:val="22"/>
          <w:lang w:eastAsia="en-GB"/>
        </w:rPr>
      </w:pPr>
      <w:r w:rsidRPr="00FD4D85">
        <w:rPr>
          <w:bCs/>
          <w:color w:val="000000"/>
          <w:szCs w:val="22"/>
          <w:lang w:eastAsia="en-GB"/>
        </w:rPr>
        <w:t>Chief Executive Officer</w:t>
      </w:r>
    </w:p>
    <w:p w14:paraId="52674D4D" w14:textId="4D28CDB8" w:rsidR="00BA0C67" w:rsidRPr="00FD4D85" w:rsidRDefault="00EB1476" w:rsidP="0053530A">
      <w:pPr>
        <w:spacing w:after="120"/>
        <w:rPr>
          <w:sz w:val="22"/>
          <w:szCs w:val="22"/>
        </w:rPr>
      </w:pPr>
      <w:r w:rsidRPr="00FD4D85">
        <w:rPr>
          <w:bCs/>
          <w:color w:val="000000"/>
          <w:szCs w:val="22"/>
          <w:lang w:eastAsia="en-GB"/>
        </w:rPr>
        <w:t>Hammond Street Developments (HSD)</w:t>
      </w:r>
    </w:p>
    <w:sectPr w:rsidR="00BA0C67" w:rsidRPr="00FD4D85" w:rsidSect="00F71253">
      <w:footerReference w:type="default" r:id="rId13"/>
      <w:pgSz w:w="11906" w:h="16838"/>
      <w:pgMar w:top="1985" w:right="1134" w:bottom="1440" w:left="1843" w:header="39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41351" w14:textId="77777777" w:rsidR="001E499D" w:rsidRDefault="001E499D" w:rsidP="00E275C8">
      <w:pPr>
        <w:spacing w:after="0"/>
      </w:pPr>
      <w:r>
        <w:separator/>
      </w:r>
    </w:p>
  </w:endnote>
  <w:endnote w:type="continuationSeparator" w:id="0">
    <w:p w14:paraId="65BFA5A2" w14:textId="77777777" w:rsidR="001E499D" w:rsidRDefault="001E499D" w:rsidP="00E275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font>
  <w:font w:name="Arial">
    <w:panose1 w:val="020B0604020202020204"/>
    <w:charset w:val="00"/>
    <w:family w:val="swiss"/>
    <w:pitch w:val="variable"/>
    <w:sig w:usb0="E0002EFF" w:usb1="C0007843" w:usb2="00000009" w:usb3="00000000" w:csb0="000001FF" w:csb1="00000000"/>
  </w:font>
  <w:font w:name="Segoe Semibold">
    <w:charset w:val="00"/>
    <w:family w:val="swiss"/>
    <w:pitch w:val="variable"/>
    <w:sig w:usb0="00000003" w:usb1="00000000" w:usb2="00000000" w:usb3="00000000" w:csb0="00000001" w:csb1="00000000"/>
  </w:font>
  <w:font w:name="Segoe">
    <w:charset w:val="00"/>
    <w:family w:val="swiss"/>
    <w:pitch w:val="variable"/>
    <w:sig w:usb0="00000087"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817586"/>
      <w:docPartObj>
        <w:docPartGallery w:val="Page Numbers (Bottom of Page)"/>
        <w:docPartUnique/>
      </w:docPartObj>
    </w:sdtPr>
    <w:sdtEndPr>
      <w:rPr>
        <w:noProof/>
      </w:rPr>
    </w:sdtEndPr>
    <w:sdtContent>
      <w:p w14:paraId="7B1C1078" w14:textId="0D929CD2" w:rsidR="00A454C2" w:rsidRDefault="00A454C2" w:rsidP="005F2F08">
        <w:pPr>
          <w:pStyle w:val="Footer"/>
        </w:pPr>
        <w:r w:rsidRPr="00AD4218">
          <w:t xml:space="preserve">Page </w:t>
        </w:r>
        <w:r w:rsidRPr="00AD4218">
          <w:fldChar w:fldCharType="begin"/>
        </w:r>
        <w:r w:rsidRPr="00AD4218">
          <w:instrText xml:space="preserve"> PAGE </w:instrText>
        </w:r>
        <w:r w:rsidRPr="00AD4218">
          <w:fldChar w:fldCharType="separate"/>
        </w:r>
        <w:r w:rsidR="004E7C1E">
          <w:rPr>
            <w:noProof/>
          </w:rPr>
          <w:t>1</w:t>
        </w:r>
        <w:r w:rsidRPr="00AD4218">
          <w:fldChar w:fldCharType="end"/>
        </w:r>
        <w:r w:rsidRPr="00AD4218">
          <w:t xml:space="preserve"> of </w:t>
        </w:r>
        <w:fldSimple w:instr=" NUMPAGES  ">
          <w:r w:rsidR="004E7C1E">
            <w:rPr>
              <w:noProof/>
            </w:rPr>
            <w:t>5</w:t>
          </w:r>
        </w:fldSimple>
      </w:p>
    </w:sdtContent>
  </w:sdt>
  <w:p w14:paraId="7EB0C6C6" w14:textId="3A03045A" w:rsidR="00A454C2" w:rsidRPr="00A72B27" w:rsidRDefault="00A454C2" w:rsidP="00A72B27">
    <w:pPr>
      <w:jc w:val="center"/>
    </w:pPr>
    <w:r w:rsidRPr="00A72B27">
      <w:rPr>
        <w:rStyle w:val="FooterChar"/>
      </w:rPr>
      <w:fldChar w:fldCharType="begin"/>
    </w:r>
    <w:r w:rsidRPr="00A72B27">
      <w:rPr>
        <w:rStyle w:val="FooterChar"/>
      </w:rPr>
      <w:instrText xml:space="preserve"> IF </w:instrText>
    </w:r>
    <w:r w:rsidRPr="00A72B27">
      <w:rPr>
        <w:rStyle w:val="FooterChar"/>
      </w:rPr>
      <w:fldChar w:fldCharType="begin"/>
    </w:r>
    <w:r w:rsidRPr="00A72B27">
      <w:rPr>
        <w:rStyle w:val="FooterChar"/>
      </w:rPr>
      <w:instrText xml:space="preserve"> PAGE  \* Arabic  \* MERGEFORMAT </w:instrText>
    </w:r>
    <w:r w:rsidRPr="00A72B27">
      <w:rPr>
        <w:rStyle w:val="FooterChar"/>
      </w:rPr>
      <w:fldChar w:fldCharType="separate"/>
    </w:r>
    <w:r w:rsidR="004E7C1E">
      <w:rPr>
        <w:rStyle w:val="FooterChar"/>
        <w:noProof/>
      </w:rPr>
      <w:instrText>1</w:instrText>
    </w:r>
    <w:r w:rsidRPr="00A72B27">
      <w:rPr>
        <w:rStyle w:val="FooterChar"/>
      </w:rPr>
      <w:fldChar w:fldCharType="end"/>
    </w:r>
    <w:r w:rsidRPr="00A72B27">
      <w:rPr>
        <w:rStyle w:val="FooterChar"/>
      </w:rPr>
      <w:instrText>=</w:instrText>
    </w:r>
    <w:r w:rsidRPr="00A72B27">
      <w:rPr>
        <w:rStyle w:val="FooterChar"/>
      </w:rPr>
      <w:fldChar w:fldCharType="begin"/>
    </w:r>
    <w:r w:rsidRPr="00A72B27">
      <w:rPr>
        <w:rStyle w:val="FooterChar"/>
      </w:rPr>
      <w:instrText xml:space="preserve"> NUMPAGES   \* MERGEFORMAT </w:instrText>
    </w:r>
    <w:r w:rsidRPr="00A72B27">
      <w:rPr>
        <w:rStyle w:val="FooterChar"/>
      </w:rPr>
      <w:fldChar w:fldCharType="separate"/>
    </w:r>
    <w:r w:rsidR="004E7C1E">
      <w:rPr>
        <w:rStyle w:val="FooterChar"/>
        <w:noProof/>
      </w:rPr>
      <w:instrText>5</w:instrText>
    </w:r>
    <w:r w:rsidRPr="00A72B27">
      <w:rPr>
        <w:rStyle w:val="FooterChar"/>
      </w:rPr>
      <w:fldChar w:fldCharType="end"/>
    </w:r>
    <w:r w:rsidRPr="00A72B27">
      <w:rPr>
        <w:rStyle w:val="FooterChar"/>
      </w:rPr>
      <w:instrText xml:space="preserve">"© Hammond Street Developments Pty. Ltd. </w:instrText>
    </w:r>
    <w:r w:rsidRPr="00A72B27">
      <w:rPr>
        <w:rStyle w:val="FooterChar"/>
      </w:rPr>
      <w:fldChar w:fldCharType="begin"/>
    </w:r>
    <w:r w:rsidRPr="00A72B27">
      <w:rPr>
        <w:rStyle w:val="FooterChar"/>
      </w:rPr>
      <w:instrText xml:space="preserve"> =</w:instrText>
    </w:r>
    <w:r w:rsidRPr="00A72B27">
      <w:rPr>
        <w:rStyle w:val="FooterChar"/>
      </w:rPr>
      <w:fldChar w:fldCharType="begin"/>
    </w:r>
    <w:r w:rsidRPr="00A72B27">
      <w:rPr>
        <w:rStyle w:val="FooterChar"/>
      </w:rPr>
      <w:instrText xml:space="preserve"> DATE  \@YYYY \* MERGEFORMAT </w:instrText>
    </w:r>
    <w:r w:rsidRPr="00A72B27">
      <w:rPr>
        <w:rStyle w:val="FooterChar"/>
      </w:rPr>
      <w:fldChar w:fldCharType="separate"/>
    </w:r>
    <w:r w:rsidR="004E7C1E">
      <w:rPr>
        <w:rStyle w:val="FooterChar"/>
        <w:noProof/>
        <w:lang w:eastAsia="en-AU"/>
      </w:rPr>
      <w:instrText>2020</w:instrText>
    </w:r>
    <w:r w:rsidRPr="00A72B27">
      <w:rPr>
        <w:rStyle w:val="FooterChar"/>
      </w:rPr>
      <w:fldChar w:fldCharType="end"/>
    </w:r>
    <w:r w:rsidRPr="00A72B27">
      <w:rPr>
        <w:rStyle w:val="FooterChar"/>
      </w:rPr>
      <w:instrText xml:space="preserve"> </w:instrText>
    </w:r>
    <w:r w:rsidRPr="00A72B27">
      <w:rPr>
        <w:rStyle w:val="FooterChar"/>
      </w:rPr>
      <w:fldChar w:fldCharType="separate"/>
    </w:r>
    <w:r w:rsidR="004E7C1E">
      <w:rPr>
        <w:rStyle w:val="FooterChar"/>
        <w:noProof/>
      </w:rPr>
      <w:instrText>2020</w:instrText>
    </w:r>
    <w:r w:rsidRPr="00A72B27">
      <w:rPr>
        <w:rStyle w:val="FooterChar"/>
      </w:rPr>
      <w:fldChar w:fldCharType="end"/>
    </w:r>
    <w:r w:rsidRPr="00A72B27">
      <w:rPr>
        <w:rStyle w:val="FooterChar"/>
      </w:rPr>
      <w:instrText xml:space="preserve">"" " </w:instrText>
    </w:r>
    <w:r w:rsidRPr="00A72B27">
      <w:rPr>
        <w:rStyle w:val="FooterChar"/>
      </w:rPr>
      <w:fldChar w:fldCharType="separate"/>
    </w:r>
    <w:r w:rsidR="004E7C1E" w:rsidRPr="00A72B27">
      <w:rPr>
        <w:rStyle w:val="FooterChar"/>
        <w:noProof/>
      </w:rPr>
      <w:t xml:space="preserve"> </w:t>
    </w:r>
    <w:r w:rsidRPr="00A72B27">
      <w:rPr>
        <w:rStyle w:val="FooterCha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60DB5" w14:textId="77777777" w:rsidR="001E499D" w:rsidRDefault="001E499D" w:rsidP="00E275C8">
      <w:pPr>
        <w:spacing w:after="0"/>
      </w:pPr>
      <w:r>
        <w:separator/>
      </w:r>
    </w:p>
  </w:footnote>
  <w:footnote w:type="continuationSeparator" w:id="0">
    <w:p w14:paraId="1F009C0A" w14:textId="77777777" w:rsidR="001E499D" w:rsidRDefault="001E499D" w:rsidP="00E275C8">
      <w:pPr>
        <w:spacing w:after="0"/>
      </w:pPr>
      <w:r>
        <w:continuationSeparator/>
      </w:r>
    </w:p>
  </w:footnote>
  <w:footnote w:id="1">
    <w:p w14:paraId="7A895CA4" w14:textId="77777777" w:rsidR="00EB1476" w:rsidRPr="004C2759" w:rsidRDefault="00EB1476" w:rsidP="00EB1476">
      <w:pPr>
        <w:pStyle w:val="FootnoteText"/>
      </w:pPr>
      <w:r>
        <w:rPr>
          <w:rStyle w:val="FootnoteReference"/>
        </w:rPr>
        <w:footnoteRef/>
      </w:r>
      <w:r>
        <w:t xml:space="preserve"> Brown, J, 2017 </w:t>
      </w:r>
      <w:r>
        <w:rPr>
          <w:i/>
          <w:iCs/>
        </w:rPr>
        <w:t xml:space="preserve">In their own words: student choice in training markets – Victorian examples, </w:t>
      </w:r>
      <w:r>
        <w:t xml:space="preserve">NCVER, Adelaide </w:t>
      </w:r>
      <w:hyperlink r:id="rId1" w:history="1">
        <w:r w:rsidRPr="00B13090">
          <w:rPr>
            <w:rStyle w:val="Hyperlink"/>
          </w:rPr>
          <w:t>https://www.ncver.edu.au/research-and-statistics/publications/all-publications/in-their-words-student-choice-in-training-markets-victorian-examples</w:t>
        </w:r>
      </w:hyperlink>
      <w:r>
        <w:t xml:space="preserve"> </w:t>
      </w:r>
    </w:p>
  </w:footnote>
  <w:footnote w:id="2">
    <w:p w14:paraId="02B3FD9D" w14:textId="77777777" w:rsidR="00EB1476" w:rsidRDefault="00EB1476" w:rsidP="00EB1476">
      <w:pPr>
        <w:pStyle w:val="FootnoteText"/>
      </w:pPr>
      <w:r>
        <w:rPr>
          <w:rStyle w:val="FootnoteReference"/>
        </w:rPr>
        <w:footnoteRef/>
      </w:r>
      <w:r>
        <w:t xml:space="preserve"> </w:t>
      </w:r>
      <w:r w:rsidRPr="008733DA">
        <w:t xml:space="preserve">Hargreaves, J, Osborne, K 2017, </w:t>
      </w:r>
      <w:r w:rsidRPr="008733DA">
        <w:rPr>
          <w:i/>
          <w:iCs/>
        </w:rPr>
        <w:t>Choosing VET: aspirations, intentions and choice,</w:t>
      </w:r>
      <w:r w:rsidRPr="008733DA">
        <w:t xml:space="preserve"> NCVER, Adelaide</w:t>
      </w:r>
      <w:r>
        <w:t xml:space="preserve"> </w:t>
      </w:r>
      <w:hyperlink r:id="rId2" w:history="1">
        <w:r w:rsidRPr="00B13090">
          <w:rPr>
            <w:rStyle w:val="Hyperlink"/>
          </w:rPr>
          <w:t>https://files.eric.ed.gov/fulltext/ED577595.pdf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14E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282D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021B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F63D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4A4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0CB7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2AA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0A27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2D6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24AC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93756"/>
    <w:multiLevelType w:val="hybridMultilevel"/>
    <w:tmpl w:val="38D49808"/>
    <w:lvl w:ilvl="0" w:tplc="C9EAABDC">
      <w:numFmt w:val="bullet"/>
      <w:lvlText w:val="•"/>
      <w:lvlJc w:val="left"/>
      <w:pPr>
        <w:ind w:left="927" w:hanging="360"/>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05D43823"/>
    <w:multiLevelType w:val="hybridMultilevel"/>
    <w:tmpl w:val="DBD28DAC"/>
    <w:lvl w:ilvl="0" w:tplc="8C54F2FA">
      <w:start w:val="1"/>
      <w:numFmt w:val="bullet"/>
      <w:lvlText w:val="o"/>
      <w:lvlJc w:val="left"/>
      <w:pPr>
        <w:ind w:left="1004" w:hanging="360"/>
      </w:pPr>
      <w:rPr>
        <w:rFonts w:ascii="Courier New" w:hAnsi="Courier New" w:cs="Courier New" w:hint="default"/>
      </w:rPr>
    </w:lvl>
    <w:lvl w:ilvl="1" w:tplc="F8B24AC4">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06B87F46"/>
    <w:multiLevelType w:val="multilevel"/>
    <w:tmpl w:val="9EC692DC"/>
    <w:styleLink w:val="ListBullets"/>
    <w:lvl w:ilvl="0">
      <w:start w:val="1"/>
      <w:numFmt w:val="bullet"/>
      <w:lvlText w:val=""/>
      <w:lvlJc w:val="left"/>
      <w:pPr>
        <w:ind w:left="359" w:hanging="357"/>
      </w:pPr>
      <w:rPr>
        <w:rFonts w:ascii="Symbol" w:hAnsi="Symbol" w:hint="default"/>
        <w:color w:val="auto"/>
      </w:rPr>
    </w:lvl>
    <w:lvl w:ilvl="1">
      <w:start w:val="1"/>
      <w:numFmt w:val="bullet"/>
      <w:lvlText w:val="৹"/>
      <w:lvlJc w:val="left"/>
      <w:pPr>
        <w:tabs>
          <w:tab w:val="num" w:pos="1006"/>
        </w:tabs>
        <w:ind w:left="643" w:hanging="357"/>
      </w:pPr>
      <w:rPr>
        <w:rFonts w:ascii="Vrinda" w:hAnsi="Vrinda" w:hint="default"/>
        <w:color w:val="auto"/>
      </w:rPr>
    </w:lvl>
    <w:lvl w:ilvl="2">
      <w:start w:val="1"/>
      <w:numFmt w:val="bullet"/>
      <w:lvlText w:val=""/>
      <w:lvlJc w:val="left"/>
      <w:pPr>
        <w:tabs>
          <w:tab w:val="num" w:pos="1289"/>
        </w:tabs>
        <w:ind w:left="927" w:hanging="357"/>
      </w:pPr>
      <w:rPr>
        <w:rFonts w:ascii="Wingdings" w:hAnsi="Wingdings" w:hint="default"/>
        <w:color w:val="auto"/>
      </w:rPr>
    </w:lvl>
    <w:lvl w:ilvl="3">
      <w:start w:val="1"/>
      <w:numFmt w:val="none"/>
      <w:lvlText w:val=""/>
      <w:lvlJc w:val="left"/>
      <w:pPr>
        <w:tabs>
          <w:tab w:val="num" w:pos="3014"/>
        </w:tabs>
        <w:ind w:left="1211" w:hanging="357"/>
      </w:pPr>
      <w:rPr>
        <w:rFonts w:hint="default"/>
      </w:rPr>
    </w:lvl>
    <w:lvl w:ilvl="4">
      <w:start w:val="1"/>
      <w:numFmt w:val="none"/>
      <w:lvlText w:val=""/>
      <w:lvlJc w:val="left"/>
      <w:pPr>
        <w:tabs>
          <w:tab w:val="num" w:pos="3374"/>
        </w:tabs>
        <w:ind w:left="1495" w:hanging="357"/>
      </w:pPr>
      <w:rPr>
        <w:rFonts w:hint="default"/>
      </w:rPr>
    </w:lvl>
    <w:lvl w:ilvl="5">
      <w:start w:val="1"/>
      <w:numFmt w:val="none"/>
      <w:lvlText w:val="%1"/>
      <w:lvlJc w:val="left"/>
      <w:pPr>
        <w:tabs>
          <w:tab w:val="num" w:pos="4094"/>
        </w:tabs>
        <w:ind w:left="1779" w:hanging="357"/>
      </w:pPr>
      <w:rPr>
        <w:rFonts w:hint="default"/>
      </w:rPr>
    </w:lvl>
    <w:lvl w:ilvl="6">
      <w:start w:val="1"/>
      <w:numFmt w:val="none"/>
      <w:lvlText w:val="%1"/>
      <w:lvlJc w:val="left"/>
      <w:pPr>
        <w:tabs>
          <w:tab w:val="num" w:pos="4814"/>
        </w:tabs>
        <w:ind w:left="2063" w:hanging="357"/>
      </w:pPr>
      <w:rPr>
        <w:rFonts w:hint="default"/>
      </w:rPr>
    </w:lvl>
    <w:lvl w:ilvl="7">
      <w:start w:val="1"/>
      <w:numFmt w:val="none"/>
      <w:lvlText w:val="%1"/>
      <w:lvlJc w:val="left"/>
      <w:pPr>
        <w:tabs>
          <w:tab w:val="num" w:pos="5174"/>
        </w:tabs>
        <w:ind w:left="2347" w:hanging="357"/>
      </w:pPr>
      <w:rPr>
        <w:rFonts w:hint="default"/>
      </w:rPr>
    </w:lvl>
    <w:lvl w:ilvl="8">
      <w:start w:val="1"/>
      <w:numFmt w:val="none"/>
      <w:lvlText w:val="%1"/>
      <w:lvlJc w:val="left"/>
      <w:pPr>
        <w:tabs>
          <w:tab w:val="num" w:pos="5894"/>
        </w:tabs>
        <w:ind w:left="2631" w:hanging="357"/>
      </w:pPr>
      <w:rPr>
        <w:rFonts w:hint="default"/>
      </w:rPr>
    </w:lvl>
  </w:abstractNum>
  <w:abstractNum w:abstractNumId="13" w15:restartNumberingAfterBreak="0">
    <w:nsid w:val="08FA104C"/>
    <w:multiLevelType w:val="hybridMultilevel"/>
    <w:tmpl w:val="BE32106E"/>
    <w:lvl w:ilvl="0" w:tplc="B1626FC4">
      <w:start w:val="1"/>
      <w:numFmt w:val="bullet"/>
      <w:lvlText w:val="o"/>
      <w:lvlJc w:val="left"/>
      <w:pPr>
        <w:ind w:left="1366" w:hanging="360"/>
      </w:pPr>
      <w:rPr>
        <w:rFonts w:ascii="Courier New" w:hAnsi="Courier New" w:cs="Courier New" w:hint="default"/>
      </w:rPr>
    </w:lvl>
    <w:lvl w:ilvl="1" w:tplc="0C090003" w:tentative="1">
      <w:start w:val="1"/>
      <w:numFmt w:val="bullet"/>
      <w:lvlText w:val="o"/>
      <w:lvlJc w:val="left"/>
      <w:pPr>
        <w:ind w:left="2086" w:hanging="360"/>
      </w:pPr>
      <w:rPr>
        <w:rFonts w:ascii="Courier New" w:hAnsi="Courier New" w:cs="Courier New" w:hint="default"/>
      </w:rPr>
    </w:lvl>
    <w:lvl w:ilvl="2" w:tplc="0C090005" w:tentative="1">
      <w:start w:val="1"/>
      <w:numFmt w:val="bullet"/>
      <w:lvlText w:val=""/>
      <w:lvlJc w:val="left"/>
      <w:pPr>
        <w:ind w:left="2806" w:hanging="360"/>
      </w:pPr>
      <w:rPr>
        <w:rFonts w:ascii="Wingdings" w:hAnsi="Wingdings" w:hint="default"/>
      </w:rPr>
    </w:lvl>
    <w:lvl w:ilvl="3" w:tplc="0C090001" w:tentative="1">
      <w:start w:val="1"/>
      <w:numFmt w:val="bullet"/>
      <w:lvlText w:val=""/>
      <w:lvlJc w:val="left"/>
      <w:pPr>
        <w:ind w:left="3526" w:hanging="360"/>
      </w:pPr>
      <w:rPr>
        <w:rFonts w:ascii="Symbol" w:hAnsi="Symbol" w:hint="default"/>
      </w:rPr>
    </w:lvl>
    <w:lvl w:ilvl="4" w:tplc="0C090003" w:tentative="1">
      <w:start w:val="1"/>
      <w:numFmt w:val="bullet"/>
      <w:lvlText w:val="o"/>
      <w:lvlJc w:val="left"/>
      <w:pPr>
        <w:ind w:left="4246" w:hanging="360"/>
      </w:pPr>
      <w:rPr>
        <w:rFonts w:ascii="Courier New" w:hAnsi="Courier New" w:cs="Courier New" w:hint="default"/>
      </w:rPr>
    </w:lvl>
    <w:lvl w:ilvl="5" w:tplc="0C090005" w:tentative="1">
      <w:start w:val="1"/>
      <w:numFmt w:val="bullet"/>
      <w:lvlText w:val=""/>
      <w:lvlJc w:val="left"/>
      <w:pPr>
        <w:ind w:left="4966" w:hanging="360"/>
      </w:pPr>
      <w:rPr>
        <w:rFonts w:ascii="Wingdings" w:hAnsi="Wingdings" w:hint="default"/>
      </w:rPr>
    </w:lvl>
    <w:lvl w:ilvl="6" w:tplc="0C090001" w:tentative="1">
      <w:start w:val="1"/>
      <w:numFmt w:val="bullet"/>
      <w:lvlText w:val=""/>
      <w:lvlJc w:val="left"/>
      <w:pPr>
        <w:ind w:left="5686" w:hanging="360"/>
      </w:pPr>
      <w:rPr>
        <w:rFonts w:ascii="Symbol" w:hAnsi="Symbol" w:hint="default"/>
      </w:rPr>
    </w:lvl>
    <w:lvl w:ilvl="7" w:tplc="0C090003" w:tentative="1">
      <w:start w:val="1"/>
      <w:numFmt w:val="bullet"/>
      <w:lvlText w:val="o"/>
      <w:lvlJc w:val="left"/>
      <w:pPr>
        <w:ind w:left="6406" w:hanging="360"/>
      </w:pPr>
      <w:rPr>
        <w:rFonts w:ascii="Courier New" w:hAnsi="Courier New" w:cs="Courier New" w:hint="default"/>
      </w:rPr>
    </w:lvl>
    <w:lvl w:ilvl="8" w:tplc="0C090005" w:tentative="1">
      <w:start w:val="1"/>
      <w:numFmt w:val="bullet"/>
      <w:lvlText w:val=""/>
      <w:lvlJc w:val="left"/>
      <w:pPr>
        <w:ind w:left="7126" w:hanging="360"/>
      </w:pPr>
      <w:rPr>
        <w:rFonts w:ascii="Wingdings" w:hAnsi="Wingdings" w:hint="default"/>
      </w:rPr>
    </w:lvl>
  </w:abstractNum>
  <w:abstractNum w:abstractNumId="14" w15:restartNumberingAfterBreak="0">
    <w:nsid w:val="150341BB"/>
    <w:multiLevelType w:val="hybridMultilevel"/>
    <w:tmpl w:val="C596A6DC"/>
    <w:lvl w:ilvl="0" w:tplc="8C54F2FA">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1A41CC"/>
    <w:multiLevelType w:val="hybridMultilevel"/>
    <w:tmpl w:val="9E4AEC74"/>
    <w:lvl w:ilvl="0" w:tplc="A65E0AEE">
      <w:start w:val="1"/>
      <w:numFmt w:val="decimal"/>
      <w:pStyle w:val="Normal-3NumberedList1"/>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1921464F"/>
    <w:multiLevelType w:val="hybridMultilevel"/>
    <w:tmpl w:val="0832C31E"/>
    <w:lvl w:ilvl="0" w:tplc="C79E867C">
      <w:start w:val="1"/>
      <w:numFmt w:val="decimal"/>
      <w:pStyle w:val="Normal-2NumberedList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1C2C685F"/>
    <w:multiLevelType w:val="multilevel"/>
    <w:tmpl w:val="12546284"/>
    <w:lvl w:ilvl="0">
      <w:start w:val="1"/>
      <w:numFmt w:val="decimal"/>
      <w:pStyle w:val="Heading1"/>
      <w:lvlText w:val="%1.0"/>
      <w:lvlJc w:val="left"/>
      <w:pPr>
        <w:tabs>
          <w:tab w:val="num" w:pos="720"/>
        </w:tabs>
        <w:ind w:left="0" w:firstLine="0"/>
      </w:pPr>
      <w:rPr>
        <w:rFonts w:hint="default"/>
      </w:rPr>
    </w:lvl>
    <w:lvl w:ilvl="1">
      <w:start w:val="1"/>
      <w:numFmt w:val="decimal"/>
      <w:pStyle w:val="Heading2"/>
      <w:lvlText w:val="%1.%2"/>
      <w:lvlJc w:val="left"/>
      <w:pPr>
        <w:tabs>
          <w:tab w:val="num" w:pos="1004"/>
        </w:tabs>
        <w:ind w:left="284" w:firstLine="0"/>
      </w:pPr>
      <w:rPr>
        <w:rFonts w:hint="default"/>
      </w:rPr>
    </w:lvl>
    <w:lvl w:ilvl="2">
      <w:start w:val="1"/>
      <w:numFmt w:val="decimal"/>
      <w:pStyle w:val="Heading3"/>
      <w:lvlText w:val="%1.%2.%3"/>
      <w:lvlJc w:val="left"/>
      <w:pPr>
        <w:tabs>
          <w:tab w:val="num" w:pos="1287"/>
        </w:tabs>
        <w:ind w:left="567" w:firstLine="0"/>
      </w:pPr>
      <w:rPr>
        <w:rFonts w:hint="default"/>
        <w:i w:val="0"/>
      </w:rPr>
    </w:lvl>
    <w:lvl w:ilvl="3">
      <w:start w:val="1"/>
      <w:numFmt w:val="decimal"/>
      <w:lvlText w:val="%1.%2.%3.%4."/>
      <w:lvlJc w:val="left"/>
      <w:pPr>
        <w:tabs>
          <w:tab w:val="num" w:pos="3012"/>
        </w:tabs>
        <w:ind w:left="2580" w:hanging="648"/>
      </w:pPr>
      <w:rPr>
        <w:rFonts w:hint="default"/>
      </w:rPr>
    </w:lvl>
    <w:lvl w:ilvl="4">
      <w:start w:val="1"/>
      <w:numFmt w:val="decimal"/>
      <w:lvlText w:val="%1.%2.%3.%4.%5."/>
      <w:lvlJc w:val="left"/>
      <w:pPr>
        <w:tabs>
          <w:tab w:val="num" w:pos="3372"/>
        </w:tabs>
        <w:ind w:left="3084" w:hanging="792"/>
      </w:pPr>
      <w:rPr>
        <w:rFonts w:hint="default"/>
      </w:rPr>
    </w:lvl>
    <w:lvl w:ilvl="5">
      <w:start w:val="1"/>
      <w:numFmt w:val="decimal"/>
      <w:lvlText w:val="%1.%2.%3.%4.%5.%6."/>
      <w:lvlJc w:val="left"/>
      <w:pPr>
        <w:tabs>
          <w:tab w:val="num" w:pos="4092"/>
        </w:tabs>
        <w:ind w:left="3588" w:hanging="936"/>
      </w:pPr>
      <w:rPr>
        <w:rFonts w:hint="default"/>
      </w:rPr>
    </w:lvl>
    <w:lvl w:ilvl="6">
      <w:start w:val="1"/>
      <w:numFmt w:val="decimal"/>
      <w:lvlText w:val="%1.%2.%3.%4.%5.%6.%7."/>
      <w:lvlJc w:val="left"/>
      <w:pPr>
        <w:tabs>
          <w:tab w:val="num" w:pos="4812"/>
        </w:tabs>
        <w:ind w:left="4092" w:hanging="1080"/>
      </w:pPr>
      <w:rPr>
        <w:rFonts w:hint="default"/>
      </w:rPr>
    </w:lvl>
    <w:lvl w:ilvl="7">
      <w:start w:val="1"/>
      <w:numFmt w:val="decimal"/>
      <w:lvlText w:val="%1.%2.%3.%4.%5.%6.%7.%8."/>
      <w:lvlJc w:val="left"/>
      <w:pPr>
        <w:tabs>
          <w:tab w:val="num" w:pos="5172"/>
        </w:tabs>
        <w:ind w:left="4596" w:hanging="1224"/>
      </w:pPr>
      <w:rPr>
        <w:rFonts w:hint="default"/>
      </w:rPr>
    </w:lvl>
    <w:lvl w:ilvl="8">
      <w:start w:val="1"/>
      <w:numFmt w:val="decimal"/>
      <w:lvlText w:val="%1.%2.%3.%4.%5.%6.%7.%8.%9."/>
      <w:lvlJc w:val="left"/>
      <w:pPr>
        <w:tabs>
          <w:tab w:val="num" w:pos="5892"/>
        </w:tabs>
        <w:ind w:left="5172" w:hanging="1440"/>
      </w:pPr>
      <w:rPr>
        <w:rFonts w:hint="default"/>
      </w:rPr>
    </w:lvl>
  </w:abstractNum>
  <w:abstractNum w:abstractNumId="18" w15:restartNumberingAfterBreak="0">
    <w:nsid w:val="21D938DF"/>
    <w:multiLevelType w:val="hybridMultilevel"/>
    <w:tmpl w:val="9ABA6F6A"/>
    <w:lvl w:ilvl="0" w:tplc="0E5AEA2E">
      <w:start w:val="3"/>
      <w:numFmt w:val="bullet"/>
      <w:lvlText w:val="-"/>
      <w:lvlJc w:val="left"/>
      <w:pPr>
        <w:ind w:left="927" w:hanging="360"/>
      </w:pPr>
      <w:rPr>
        <w:rFonts w:ascii="Calibri" w:eastAsiaTheme="minorHAnsi" w:hAnsi="Calibri"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223E59F4"/>
    <w:multiLevelType w:val="hybridMultilevel"/>
    <w:tmpl w:val="4E625850"/>
    <w:lvl w:ilvl="0" w:tplc="7ECA98B0">
      <w:start w:val="1"/>
      <w:numFmt w:val="bullet"/>
      <w:lvlText w:val=""/>
      <w:lvlJc w:val="left"/>
      <w:pPr>
        <w:ind w:left="1627" w:hanging="360"/>
      </w:pPr>
      <w:rPr>
        <w:rFonts w:ascii="Wingdings" w:hAnsi="Wingdings"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20" w15:restartNumberingAfterBreak="0">
    <w:nsid w:val="24701B8D"/>
    <w:multiLevelType w:val="hybridMultilevel"/>
    <w:tmpl w:val="956CD7B8"/>
    <w:lvl w:ilvl="0" w:tplc="3FDA05AC">
      <w:start w:val="1"/>
      <w:numFmt w:val="bullet"/>
      <w:pStyle w:val="Norm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D92261"/>
    <w:multiLevelType w:val="hybridMultilevel"/>
    <w:tmpl w:val="58A88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583F96"/>
    <w:multiLevelType w:val="hybridMultilevel"/>
    <w:tmpl w:val="29785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AE1803"/>
    <w:multiLevelType w:val="hybridMultilevel"/>
    <w:tmpl w:val="7004DE16"/>
    <w:lvl w:ilvl="0" w:tplc="8E526420">
      <w:start w:val="1"/>
      <w:numFmt w:val="decimal"/>
      <w:pStyle w:val="NormalNumberedList1"/>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3D0BC4"/>
    <w:multiLevelType w:val="hybridMultilevel"/>
    <w:tmpl w:val="43487EDC"/>
    <w:lvl w:ilvl="0" w:tplc="C9EAABDC">
      <w:numFmt w:val="bullet"/>
      <w:lvlText w:val="•"/>
      <w:lvlJc w:val="left"/>
      <w:pPr>
        <w:ind w:left="927" w:hanging="360"/>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37450847"/>
    <w:multiLevelType w:val="hybridMultilevel"/>
    <w:tmpl w:val="19C4C38A"/>
    <w:lvl w:ilvl="0" w:tplc="3D323B32">
      <w:start w:val="1"/>
      <w:numFmt w:val="bullet"/>
      <w:lvlText w:val="o"/>
      <w:lvlJc w:val="left"/>
      <w:pPr>
        <w:ind w:left="1344" w:hanging="360"/>
      </w:pPr>
      <w:rPr>
        <w:rFonts w:ascii="Courier New" w:hAnsi="Courier New" w:cs="Courier New"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26" w15:restartNumberingAfterBreak="0">
    <w:nsid w:val="3A9402EB"/>
    <w:multiLevelType w:val="hybridMultilevel"/>
    <w:tmpl w:val="1D021B44"/>
    <w:lvl w:ilvl="0" w:tplc="C9EAABDC">
      <w:numFmt w:val="bullet"/>
      <w:lvlText w:val="•"/>
      <w:lvlJc w:val="left"/>
      <w:pPr>
        <w:ind w:left="927"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C32F5D"/>
    <w:multiLevelType w:val="hybridMultilevel"/>
    <w:tmpl w:val="2326E080"/>
    <w:lvl w:ilvl="0" w:tplc="1566607C">
      <w:start w:val="1"/>
      <w:numFmt w:val="bullet"/>
      <w:lvlText w:val=""/>
      <w:lvlJc w:val="left"/>
      <w:pPr>
        <w:ind w:left="1366" w:hanging="360"/>
      </w:pPr>
      <w:rPr>
        <w:rFonts w:ascii="Wingdings" w:hAnsi="Wingdings" w:hint="default"/>
      </w:rPr>
    </w:lvl>
    <w:lvl w:ilvl="1" w:tplc="0C090003" w:tentative="1">
      <w:start w:val="1"/>
      <w:numFmt w:val="bullet"/>
      <w:lvlText w:val="o"/>
      <w:lvlJc w:val="left"/>
      <w:pPr>
        <w:ind w:left="2086" w:hanging="360"/>
      </w:pPr>
      <w:rPr>
        <w:rFonts w:ascii="Courier New" w:hAnsi="Courier New" w:cs="Courier New" w:hint="default"/>
      </w:rPr>
    </w:lvl>
    <w:lvl w:ilvl="2" w:tplc="0C090005" w:tentative="1">
      <w:start w:val="1"/>
      <w:numFmt w:val="bullet"/>
      <w:lvlText w:val=""/>
      <w:lvlJc w:val="left"/>
      <w:pPr>
        <w:ind w:left="2806" w:hanging="360"/>
      </w:pPr>
      <w:rPr>
        <w:rFonts w:ascii="Wingdings" w:hAnsi="Wingdings" w:hint="default"/>
      </w:rPr>
    </w:lvl>
    <w:lvl w:ilvl="3" w:tplc="0C090001" w:tentative="1">
      <w:start w:val="1"/>
      <w:numFmt w:val="bullet"/>
      <w:lvlText w:val=""/>
      <w:lvlJc w:val="left"/>
      <w:pPr>
        <w:ind w:left="3526" w:hanging="360"/>
      </w:pPr>
      <w:rPr>
        <w:rFonts w:ascii="Symbol" w:hAnsi="Symbol" w:hint="default"/>
      </w:rPr>
    </w:lvl>
    <w:lvl w:ilvl="4" w:tplc="0C090003" w:tentative="1">
      <w:start w:val="1"/>
      <w:numFmt w:val="bullet"/>
      <w:lvlText w:val="o"/>
      <w:lvlJc w:val="left"/>
      <w:pPr>
        <w:ind w:left="4246" w:hanging="360"/>
      </w:pPr>
      <w:rPr>
        <w:rFonts w:ascii="Courier New" w:hAnsi="Courier New" w:cs="Courier New" w:hint="default"/>
      </w:rPr>
    </w:lvl>
    <w:lvl w:ilvl="5" w:tplc="0C090005" w:tentative="1">
      <w:start w:val="1"/>
      <w:numFmt w:val="bullet"/>
      <w:lvlText w:val=""/>
      <w:lvlJc w:val="left"/>
      <w:pPr>
        <w:ind w:left="4966" w:hanging="360"/>
      </w:pPr>
      <w:rPr>
        <w:rFonts w:ascii="Wingdings" w:hAnsi="Wingdings" w:hint="default"/>
      </w:rPr>
    </w:lvl>
    <w:lvl w:ilvl="6" w:tplc="0C090001" w:tentative="1">
      <w:start w:val="1"/>
      <w:numFmt w:val="bullet"/>
      <w:lvlText w:val=""/>
      <w:lvlJc w:val="left"/>
      <w:pPr>
        <w:ind w:left="5686" w:hanging="360"/>
      </w:pPr>
      <w:rPr>
        <w:rFonts w:ascii="Symbol" w:hAnsi="Symbol" w:hint="default"/>
      </w:rPr>
    </w:lvl>
    <w:lvl w:ilvl="7" w:tplc="0C090003" w:tentative="1">
      <w:start w:val="1"/>
      <w:numFmt w:val="bullet"/>
      <w:lvlText w:val="o"/>
      <w:lvlJc w:val="left"/>
      <w:pPr>
        <w:ind w:left="6406" w:hanging="360"/>
      </w:pPr>
      <w:rPr>
        <w:rFonts w:ascii="Courier New" w:hAnsi="Courier New" w:cs="Courier New" w:hint="default"/>
      </w:rPr>
    </w:lvl>
    <w:lvl w:ilvl="8" w:tplc="0C090005" w:tentative="1">
      <w:start w:val="1"/>
      <w:numFmt w:val="bullet"/>
      <w:lvlText w:val=""/>
      <w:lvlJc w:val="left"/>
      <w:pPr>
        <w:ind w:left="7126" w:hanging="360"/>
      </w:pPr>
      <w:rPr>
        <w:rFonts w:ascii="Wingdings" w:hAnsi="Wingdings" w:hint="default"/>
      </w:rPr>
    </w:lvl>
  </w:abstractNum>
  <w:abstractNum w:abstractNumId="28" w15:restartNumberingAfterBreak="0">
    <w:nsid w:val="532B57C8"/>
    <w:multiLevelType w:val="hybridMultilevel"/>
    <w:tmpl w:val="DD1E6896"/>
    <w:lvl w:ilvl="0" w:tplc="56B00986">
      <w:start w:val="1"/>
      <w:numFmt w:val="decimal"/>
      <w:lvlText w:val="%1.0"/>
      <w:lvlJc w:val="left"/>
      <w:pPr>
        <w:ind w:left="720" w:hanging="360"/>
      </w:pPr>
      <w:rPr>
        <w:rFonts w:ascii="Arial" w:hAnsi="Arial"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295F6A"/>
    <w:multiLevelType w:val="hybridMultilevel"/>
    <w:tmpl w:val="40B6F56C"/>
    <w:lvl w:ilvl="0" w:tplc="0C090003">
      <w:start w:val="1"/>
      <w:numFmt w:val="bullet"/>
      <w:lvlText w:val="o"/>
      <w:lvlJc w:val="left"/>
      <w:pPr>
        <w:ind w:left="1006" w:hanging="360"/>
      </w:pPr>
      <w:rPr>
        <w:rFonts w:ascii="Courier New" w:hAnsi="Courier New" w:cs="Courier New" w:hint="default"/>
      </w:rPr>
    </w:lvl>
    <w:lvl w:ilvl="1" w:tplc="0C090003" w:tentative="1">
      <w:start w:val="1"/>
      <w:numFmt w:val="bullet"/>
      <w:lvlText w:val="o"/>
      <w:lvlJc w:val="left"/>
      <w:pPr>
        <w:ind w:left="1726" w:hanging="360"/>
      </w:pPr>
      <w:rPr>
        <w:rFonts w:ascii="Courier New" w:hAnsi="Courier New" w:cs="Courier New" w:hint="default"/>
      </w:rPr>
    </w:lvl>
    <w:lvl w:ilvl="2" w:tplc="0C090005" w:tentative="1">
      <w:start w:val="1"/>
      <w:numFmt w:val="bullet"/>
      <w:lvlText w:val=""/>
      <w:lvlJc w:val="left"/>
      <w:pPr>
        <w:ind w:left="2446" w:hanging="360"/>
      </w:pPr>
      <w:rPr>
        <w:rFonts w:ascii="Wingdings" w:hAnsi="Wingdings" w:hint="default"/>
      </w:rPr>
    </w:lvl>
    <w:lvl w:ilvl="3" w:tplc="0C090001" w:tentative="1">
      <w:start w:val="1"/>
      <w:numFmt w:val="bullet"/>
      <w:lvlText w:val=""/>
      <w:lvlJc w:val="left"/>
      <w:pPr>
        <w:ind w:left="3166" w:hanging="360"/>
      </w:pPr>
      <w:rPr>
        <w:rFonts w:ascii="Symbol" w:hAnsi="Symbol" w:hint="default"/>
      </w:rPr>
    </w:lvl>
    <w:lvl w:ilvl="4" w:tplc="0C090003" w:tentative="1">
      <w:start w:val="1"/>
      <w:numFmt w:val="bullet"/>
      <w:lvlText w:val="o"/>
      <w:lvlJc w:val="left"/>
      <w:pPr>
        <w:ind w:left="3886" w:hanging="360"/>
      </w:pPr>
      <w:rPr>
        <w:rFonts w:ascii="Courier New" w:hAnsi="Courier New" w:cs="Courier New" w:hint="default"/>
      </w:rPr>
    </w:lvl>
    <w:lvl w:ilvl="5" w:tplc="0C090005" w:tentative="1">
      <w:start w:val="1"/>
      <w:numFmt w:val="bullet"/>
      <w:lvlText w:val=""/>
      <w:lvlJc w:val="left"/>
      <w:pPr>
        <w:ind w:left="4606" w:hanging="360"/>
      </w:pPr>
      <w:rPr>
        <w:rFonts w:ascii="Wingdings" w:hAnsi="Wingdings" w:hint="default"/>
      </w:rPr>
    </w:lvl>
    <w:lvl w:ilvl="6" w:tplc="0C090001" w:tentative="1">
      <w:start w:val="1"/>
      <w:numFmt w:val="bullet"/>
      <w:lvlText w:val=""/>
      <w:lvlJc w:val="left"/>
      <w:pPr>
        <w:ind w:left="5326" w:hanging="360"/>
      </w:pPr>
      <w:rPr>
        <w:rFonts w:ascii="Symbol" w:hAnsi="Symbol" w:hint="default"/>
      </w:rPr>
    </w:lvl>
    <w:lvl w:ilvl="7" w:tplc="0C090003" w:tentative="1">
      <w:start w:val="1"/>
      <w:numFmt w:val="bullet"/>
      <w:lvlText w:val="o"/>
      <w:lvlJc w:val="left"/>
      <w:pPr>
        <w:ind w:left="6046" w:hanging="360"/>
      </w:pPr>
      <w:rPr>
        <w:rFonts w:ascii="Courier New" w:hAnsi="Courier New" w:cs="Courier New" w:hint="default"/>
      </w:rPr>
    </w:lvl>
    <w:lvl w:ilvl="8" w:tplc="0C090005" w:tentative="1">
      <w:start w:val="1"/>
      <w:numFmt w:val="bullet"/>
      <w:lvlText w:val=""/>
      <w:lvlJc w:val="left"/>
      <w:pPr>
        <w:ind w:left="6766" w:hanging="360"/>
      </w:pPr>
      <w:rPr>
        <w:rFonts w:ascii="Wingdings" w:hAnsi="Wingdings" w:hint="default"/>
      </w:rPr>
    </w:lvl>
  </w:abstractNum>
  <w:abstractNum w:abstractNumId="30" w15:restartNumberingAfterBreak="0">
    <w:nsid w:val="694D6FEA"/>
    <w:multiLevelType w:val="hybridMultilevel"/>
    <w:tmpl w:val="6A4077AE"/>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DF471E"/>
    <w:multiLevelType w:val="hybridMultilevel"/>
    <w:tmpl w:val="3A344BA4"/>
    <w:lvl w:ilvl="0" w:tplc="C9EAABDC">
      <w:numFmt w:val="bullet"/>
      <w:lvlText w:val="•"/>
      <w:lvlJc w:val="left"/>
      <w:pPr>
        <w:ind w:left="927" w:hanging="360"/>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2" w15:restartNumberingAfterBreak="0">
    <w:nsid w:val="7122688F"/>
    <w:multiLevelType w:val="hybridMultilevel"/>
    <w:tmpl w:val="B9CA22FA"/>
    <w:lvl w:ilvl="0" w:tplc="C9EAABDC">
      <w:numFmt w:val="bullet"/>
      <w:lvlText w:val="•"/>
      <w:lvlJc w:val="left"/>
      <w:pPr>
        <w:ind w:left="1080" w:hanging="72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8330D9"/>
    <w:multiLevelType w:val="hybridMultilevel"/>
    <w:tmpl w:val="7A406D68"/>
    <w:lvl w:ilvl="0" w:tplc="54128A42">
      <w:start w:val="1"/>
      <w:numFmt w:val="bullet"/>
      <w:pStyle w:val="Normal-3ListBullet1"/>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8B334CD"/>
    <w:multiLevelType w:val="hybridMultilevel"/>
    <w:tmpl w:val="78443B0C"/>
    <w:lvl w:ilvl="0" w:tplc="A2F2901E">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7CC01311"/>
    <w:multiLevelType w:val="hybridMultilevel"/>
    <w:tmpl w:val="3050E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17"/>
  </w:num>
  <w:num w:numId="4">
    <w:abstractNumId w:val="17"/>
  </w:num>
  <w:num w:numId="5">
    <w:abstractNumId w:val="22"/>
  </w:num>
  <w:num w:numId="6">
    <w:abstractNumId w:val="17"/>
  </w:num>
  <w:num w:numId="7">
    <w:abstractNumId w:val="17"/>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lvlOverride w:ilvl="1">
      <w:lvl w:ilvl="1">
        <w:start w:val="1"/>
        <w:numFmt w:val="bullet"/>
        <w:lvlText w:val="৹"/>
        <w:lvlJc w:val="left"/>
        <w:pPr>
          <w:tabs>
            <w:tab w:val="num" w:pos="1006"/>
          </w:tabs>
          <w:ind w:left="643" w:hanging="357"/>
        </w:pPr>
        <w:rPr>
          <w:rFonts w:ascii="Vrinda" w:hAnsi="Vrinda" w:hint="default"/>
          <w:color w:val="auto"/>
        </w:rPr>
      </w:lvl>
    </w:lvlOverride>
  </w:num>
  <w:num w:numId="20">
    <w:abstractNumId w:val="11"/>
  </w:num>
  <w:num w:numId="21">
    <w:abstractNumId w:val="34"/>
  </w:num>
  <w:num w:numId="22">
    <w:abstractNumId w:val="33"/>
  </w:num>
  <w:num w:numId="23">
    <w:abstractNumId w:val="25"/>
  </w:num>
  <w:num w:numId="24">
    <w:abstractNumId w:val="19"/>
  </w:num>
  <w:num w:numId="25">
    <w:abstractNumId w:val="13"/>
  </w:num>
  <w:num w:numId="26">
    <w:abstractNumId w:val="27"/>
  </w:num>
  <w:num w:numId="27">
    <w:abstractNumId w:val="14"/>
  </w:num>
  <w:num w:numId="28">
    <w:abstractNumId w:val="18"/>
  </w:num>
  <w:num w:numId="29">
    <w:abstractNumId w:val="32"/>
  </w:num>
  <w:num w:numId="30">
    <w:abstractNumId w:val="26"/>
  </w:num>
  <w:num w:numId="31">
    <w:abstractNumId w:val="10"/>
  </w:num>
  <w:num w:numId="32">
    <w:abstractNumId w:val="30"/>
  </w:num>
  <w:num w:numId="33">
    <w:abstractNumId w:val="31"/>
  </w:num>
  <w:num w:numId="34">
    <w:abstractNumId w:val="24"/>
  </w:num>
  <w:num w:numId="35">
    <w:abstractNumId w:val="33"/>
  </w:num>
  <w:num w:numId="36">
    <w:abstractNumId w:val="17"/>
  </w:num>
  <w:num w:numId="37">
    <w:abstractNumId w:val="17"/>
  </w:num>
  <w:num w:numId="38">
    <w:abstractNumId w:val="23"/>
  </w:num>
  <w:num w:numId="39">
    <w:abstractNumId w:val="16"/>
  </w:num>
  <w:num w:numId="40">
    <w:abstractNumId w:val="15"/>
  </w:num>
  <w:num w:numId="41">
    <w:abstractNumId w:val="21"/>
  </w:num>
  <w:num w:numId="42">
    <w:abstractNumId w:val="20"/>
  </w:num>
  <w:num w:numId="43">
    <w:abstractNumId w:val="29"/>
  </w:num>
  <w:num w:numId="44">
    <w:abstractNumId w:val="12"/>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D9E"/>
    <w:rsid w:val="0000467F"/>
    <w:rsid w:val="00012886"/>
    <w:rsid w:val="00015C74"/>
    <w:rsid w:val="00024AE5"/>
    <w:rsid w:val="000507B9"/>
    <w:rsid w:val="000539E0"/>
    <w:rsid w:val="0006453F"/>
    <w:rsid w:val="00066A03"/>
    <w:rsid w:val="00081E13"/>
    <w:rsid w:val="00087425"/>
    <w:rsid w:val="000A559B"/>
    <w:rsid w:val="000B61E2"/>
    <w:rsid w:val="000D36B5"/>
    <w:rsid w:val="000F4A0C"/>
    <w:rsid w:val="0010144F"/>
    <w:rsid w:val="001023A6"/>
    <w:rsid w:val="00107317"/>
    <w:rsid w:val="00112548"/>
    <w:rsid w:val="00155B42"/>
    <w:rsid w:val="001639C9"/>
    <w:rsid w:val="00165D87"/>
    <w:rsid w:val="00195D7C"/>
    <w:rsid w:val="001B0740"/>
    <w:rsid w:val="001D0965"/>
    <w:rsid w:val="001D47E1"/>
    <w:rsid w:val="001E3F4E"/>
    <w:rsid w:val="001E499D"/>
    <w:rsid w:val="001F1E75"/>
    <w:rsid w:val="00203871"/>
    <w:rsid w:val="00217726"/>
    <w:rsid w:val="00221113"/>
    <w:rsid w:val="00225267"/>
    <w:rsid w:val="0023506D"/>
    <w:rsid w:val="002666F8"/>
    <w:rsid w:val="00277BA8"/>
    <w:rsid w:val="00294CDA"/>
    <w:rsid w:val="002A6666"/>
    <w:rsid w:val="002B1489"/>
    <w:rsid w:val="002C2339"/>
    <w:rsid w:val="002D04FC"/>
    <w:rsid w:val="002D05B5"/>
    <w:rsid w:val="002D502D"/>
    <w:rsid w:val="002E366C"/>
    <w:rsid w:val="00313A92"/>
    <w:rsid w:val="00350DC7"/>
    <w:rsid w:val="00380D10"/>
    <w:rsid w:val="00385F23"/>
    <w:rsid w:val="00396618"/>
    <w:rsid w:val="003A41C1"/>
    <w:rsid w:val="003C1851"/>
    <w:rsid w:val="003C5C18"/>
    <w:rsid w:val="003D1173"/>
    <w:rsid w:val="003E0E42"/>
    <w:rsid w:val="003E2E71"/>
    <w:rsid w:val="003F0D48"/>
    <w:rsid w:val="004134DA"/>
    <w:rsid w:val="0041771C"/>
    <w:rsid w:val="00423E9A"/>
    <w:rsid w:val="0043119A"/>
    <w:rsid w:val="0043246A"/>
    <w:rsid w:val="00445CBE"/>
    <w:rsid w:val="0045574D"/>
    <w:rsid w:val="0046021E"/>
    <w:rsid w:val="00465211"/>
    <w:rsid w:val="00465BA5"/>
    <w:rsid w:val="0048327B"/>
    <w:rsid w:val="00486E46"/>
    <w:rsid w:val="004923B2"/>
    <w:rsid w:val="004B50F1"/>
    <w:rsid w:val="004C0A12"/>
    <w:rsid w:val="004C2B80"/>
    <w:rsid w:val="004D1B2A"/>
    <w:rsid w:val="004E7C1E"/>
    <w:rsid w:val="004F6656"/>
    <w:rsid w:val="005342F6"/>
    <w:rsid w:val="0053530A"/>
    <w:rsid w:val="005479C9"/>
    <w:rsid w:val="0055441E"/>
    <w:rsid w:val="00557365"/>
    <w:rsid w:val="005573E5"/>
    <w:rsid w:val="00581D4C"/>
    <w:rsid w:val="005913CB"/>
    <w:rsid w:val="00595E60"/>
    <w:rsid w:val="005A0647"/>
    <w:rsid w:val="005A31AB"/>
    <w:rsid w:val="005B13D9"/>
    <w:rsid w:val="005C4F41"/>
    <w:rsid w:val="005C5B2C"/>
    <w:rsid w:val="005D0344"/>
    <w:rsid w:val="005D0DB7"/>
    <w:rsid w:val="005D2414"/>
    <w:rsid w:val="005D4751"/>
    <w:rsid w:val="005E2490"/>
    <w:rsid w:val="005E7C8A"/>
    <w:rsid w:val="005F2F08"/>
    <w:rsid w:val="006022A6"/>
    <w:rsid w:val="006119EB"/>
    <w:rsid w:val="00624230"/>
    <w:rsid w:val="006335BF"/>
    <w:rsid w:val="006347D8"/>
    <w:rsid w:val="0064252E"/>
    <w:rsid w:val="006609B9"/>
    <w:rsid w:val="006629BC"/>
    <w:rsid w:val="00663157"/>
    <w:rsid w:val="00666670"/>
    <w:rsid w:val="006A60F9"/>
    <w:rsid w:val="006A6139"/>
    <w:rsid w:val="006B13E7"/>
    <w:rsid w:val="006C762D"/>
    <w:rsid w:val="006D1AA4"/>
    <w:rsid w:val="006E461F"/>
    <w:rsid w:val="006F1067"/>
    <w:rsid w:val="006F2495"/>
    <w:rsid w:val="006F4751"/>
    <w:rsid w:val="00712F31"/>
    <w:rsid w:val="00732C17"/>
    <w:rsid w:val="007351C6"/>
    <w:rsid w:val="00735C8F"/>
    <w:rsid w:val="00737DF7"/>
    <w:rsid w:val="007432EE"/>
    <w:rsid w:val="0075197E"/>
    <w:rsid w:val="00754BC6"/>
    <w:rsid w:val="0076383D"/>
    <w:rsid w:val="00792B50"/>
    <w:rsid w:val="007F39A2"/>
    <w:rsid w:val="007F6778"/>
    <w:rsid w:val="00811648"/>
    <w:rsid w:val="0082793A"/>
    <w:rsid w:val="00832FD9"/>
    <w:rsid w:val="008365F8"/>
    <w:rsid w:val="008452FE"/>
    <w:rsid w:val="00857A1F"/>
    <w:rsid w:val="00866C50"/>
    <w:rsid w:val="008723D6"/>
    <w:rsid w:val="00881933"/>
    <w:rsid w:val="008A15CD"/>
    <w:rsid w:val="008B13A2"/>
    <w:rsid w:val="008C3D55"/>
    <w:rsid w:val="008C7C3E"/>
    <w:rsid w:val="008D2AEE"/>
    <w:rsid w:val="008D61B6"/>
    <w:rsid w:val="008D6900"/>
    <w:rsid w:val="008F3B8C"/>
    <w:rsid w:val="008F6726"/>
    <w:rsid w:val="00911806"/>
    <w:rsid w:val="00921F12"/>
    <w:rsid w:val="0094028D"/>
    <w:rsid w:val="009549A3"/>
    <w:rsid w:val="00984E96"/>
    <w:rsid w:val="009858DF"/>
    <w:rsid w:val="00992CF5"/>
    <w:rsid w:val="00993629"/>
    <w:rsid w:val="009A1A45"/>
    <w:rsid w:val="009C4DE5"/>
    <w:rsid w:val="009D4682"/>
    <w:rsid w:val="009E3260"/>
    <w:rsid w:val="009E5AAC"/>
    <w:rsid w:val="009F5E3D"/>
    <w:rsid w:val="00A069D4"/>
    <w:rsid w:val="00A1097A"/>
    <w:rsid w:val="00A13E15"/>
    <w:rsid w:val="00A21C27"/>
    <w:rsid w:val="00A23DA4"/>
    <w:rsid w:val="00A3243B"/>
    <w:rsid w:val="00A378DF"/>
    <w:rsid w:val="00A409B3"/>
    <w:rsid w:val="00A42BF2"/>
    <w:rsid w:val="00A454C2"/>
    <w:rsid w:val="00A55510"/>
    <w:rsid w:val="00A72B27"/>
    <w:rsid w:val="00A8414A"/>
    <w:rsid w:val="00A93C87"/>
    <w:rsid w:val="00AC0790"/>
    <w:rsid w:val="00AD4218"/>
    <w:rsid w:val="00AE4546"/>
    <w:rsid w:val="00AF1576"/>
    <w:rsid w:val="00AF4FDB"/>
    <w:rsid w:val="00B10D75"/>
    <w:rsid w:val="00B25805"/>
    <w:rsid w:val="00B25F75"/>
    <w:rsid w:val="00B43910"/>
    <w:rsid w:val="00B47BBD"/>
    <w:rsid w:val="00B7293C"/>
    <w:rsid w:val="00B76267"/>
    <w:rsid w:val="00B77E0C"/>
    <w:rsid w:val="00B8364E"/>
    <w:rsid w:val="00B87077"/>
    <w:rsid w:val="00B93977"/>
    <w:rsid w:val="00B96084"/>
    <w:rsid w:val="00BA0C67"/>
    <w:rsid w:val="00BA5E43"/>
    <w:rsid w:val="00BC4954"/>
    <w:rsid w:val="00BC4F3F"/>
    <w:rsid w:val="00BD700F"/>
    <w:rsid w:val="00BF5916"/>
    <w:rsid w:val="00C2248D"/>
    <w:rsid w:val="00C24827"/>
    <w:rsid w:val="00C561F4"/>
    <w:rsid w:val="00C62215"/>
    <w:rsid w:val="00C720EB"/>
    <w:rsid w:val="00C82C48"/>
    <w:rsid w:val="00CB2FA0"/>
    <w:rsid w:val="00CD2C86"/>
    <w:rsid w:val="00CD591E"/>
    <w:rsid w:val="00CD5E22"/>
    <w:rsid w:val="00D01668"/>
    <w:rsid w:val="00D02575"/>
    <w:rsid w:val="00D075C1"/>
    <w:rsid w:val="00D121FF"/>
    <w:rsid w:val="00D20D9E"/>
    <w:rsid w:val="00D2445A"/>
    <w:rsid w:val="00D62F9D"/>
    <w:rsid w:val="00D83853"/>
    <w:rsid w:val="00DA2FA7"/>
    <w:rsid w:val="00DA307A"/>
    <w:rsid w:val="00DE1E84"/>
    <w:rsid w:val="00DE6FB8"/>
    <w:rsid w:val="00E10FD3"/>
    <w:rsid w:val="00E14FD6"/>
    <w:rsid w:val="00E275C8"/>
    <w:rsid w:val="00E36E49"/>
    <w:rsid w:val="00E376AD"/>
    <w:rsid w:val="00E62BBA"/>
    <w:rsid w:val="00E900AF"/>
    <w:rsid w:val="00EA0C1B"/>
    <w:rsid w:val="00EB0F12"/>
    <w:rsid w:val="00EB1476"/>
    <w:rsid w:val="00EE290F"/>
    <w:rsid w:val="00EE3EBF"/>
    <w:rsid w:val="00F2027D"/>
    <w:rsid w:val="00F24899"/>
    <w:rsid w:val="00F327CF"/>
    <w:rsid w:val="00F71253"/>
    <w:rsid w:val="00F9294F"/>
    <w:rsid w:val="00FA16A0"/>
    <w:rsid w:val="00FB5299"/>
    <w:rsid w:val="00FD4D85"/>
    <w:rsid w:val="00FE3DEA"/>
    <w:rsid w:val="00FE79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63D9BE"/>
  <w15:docId w15:val="{35F34938-C9BD-5640-A4DB-359DFB042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imes New Roman"/>
        <w:lang w:val="en-AU"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6"/>
    <w:pPr>
      <w:spacing w:before="0" w:after="240" w:line="240" w:lineRule="auto"/>
    </w:pPr>
    <w:rPr>
      <w:rFonts w:asciiTheme="minorHAnsi" w:hAnsiTheme="minorHAnsi"/>
    </w:rPr>
  </w:style>
  <w:style w:type="paragraph" w:styleId="Heading1">
    <w:name w:val="heading 1"/>
    <w:basedOn w:val="Normal"/>
    <w:next w:val="Normal"/>
    <w:link w:val="Heading1Char"/>
    <w:qFormat/>
    <w:rsid w:val="00E36E49"/>
    <w:pPr>
      <w:keepNext/>
      <w:numPr>
        <w:numId w:val="37"/>
      </w:numPr>
      <w:spacing w:before="240" w:after="120" w:line="276" w:lineRule="auto"/>
      <w:outlineLvl w:val="0"/>
    </w:pPr>
    <w:rPr>
      <w:rFonts w:cstheme="minorHAnsi"/>
      <w:kern w:val="28"/>
      <w:sz w:val="32"/>
    </w:rPr>
  </w:style>
  <w:style w:type="paragraph" w:styleId="Heading2">
    <w:name w:val="heading 2"/>
    <w:basedOn w:val="Normal"/>
    <w:next w:val="Normal-2"/>
    <w:link w:val="Heading2Char"/>
    <w:qFormat/>
    <w:rsid w:val="00E36E49"/>
    <w:pPr>
      <w:keepNext/>
      <w:numPr>
        <w:ilvl w:val="1"/>
        <w:numId w:val="37"/>
      </w:numPr>
      <w:spacing w:before="240" w:after="120"/>
      <w:outlineLvl w:val="1"/>
    </w:pPr>
    <w:rPr>
      <w:sz w:val="28"/>
    </w:rPr>
  </w:style>
  <w:style w:type="paragraph" w:styleId="Heading3">
    <w:name w:val="heading 3"/>
    <w:basedOn w:val="Normal"/>
    <w:next w:val="Normal-3"/>
    <w:link w:val="Heading3Char"/>
    <w:qFormat/>
    <w:rsid w:val="00E36E49"/>
    <w:pPr>
      <w:keepNext/>
      <w:numPr>
        <w:ilvl w:val="2"/>
        <w:numId w:val="37"/>
      </w:numPr>
      <w:spacing w:before="240" w:after="120"/>
      <w:outlineLvl w:val="2"/>
    </w:pPr>
    <w:rPr>
      <w:i/>
      <w:sz w:val="24"/>
    </w:rPr>
  </w:style>
  <w:style w:type="paragraph" w:styleId="Heading4">
    <w:name w:val="heading 4"/>
    <w:basedOn w:val="Heading3"/>
    <w:next w:val="Normal-3"/>
    <w:link w:val="Heading4Char"/>
    <w:qFormat/>
    <w:rsid w:val="00E36E49"/>
    <w:pPr>
      <w:numPr>
        <w:ilvl w:val="0"/>
        <w:numId w:val="0"/>
      </w:numPr>
      <w:ind w:left="567"/>
      <w:outlineLvl w:val="3"/>
    </w:pPr>
    <w:rPr>
      <w:b/>
      <w:i w:val="0"/>
      <w:sz w:val="20"/>
      <w:lang w:eastAsia="en-AU"/>
    </w:rPr>
  </w:style>
  <w:style w:type="paragraph" w:styleId="Heading5">
    <w:name w:val="heading 5"/>
    <w:basedOn w:val="Heading4"/>
    <w:next w:val="Normal-3"/>
    <w:link w:val="Heading5Char"/>
    <w:qFormat/>
    <w:rsid w:val="00E36E49"/>
    <w:pPr>
      <w:outlineLvl w:val="4"/>
    </w:pPr>
    <w:rPr>
      <w:i/>
    </w:rPr>
  </w:style>
  <w:style w:type="paragraph" w:styleId="Heading6">
    <w:name w:val="heading 6"/>
    <w:basedOn w:val="Heading5"/>
    <w:next w:val="Normal-3"/>
    <w:link w:val="Heading6Char"/>
    <w:autoRedefine/>
    <w:semiHidden/>
    <w:rsid w:val="00735C8F"/>
    <w:pPr>
      <w:outlineLvl w:val="5"/>
    </w:pPr>
    <w:rPr>
      <w:bCs/>
    </w:rPr>
  </w:style>
  <w:style w:type="paragraph" w:styleId="Heading7">
    <w:name w:val="heading 7"/>
    <w:basedOn w:val="Heading6"/>
    <w:next w:val="Normal-3"/>
    <w:link w:val="Heading7Char"/>
    <w:semiHidden/>
    <w:rsid w:val="00380D10"/>
    <w:pPr>
      <w:outlineLvl w:val="6"/>
    </w:pPr>
    <w:rPr>
      <w:b w:val="0"/>
      <w:bCs w:val="0"/>
      <w:i w:val="0"/>
    </w:rPr>
  </w:style>
  <w:style w:type="paragraph" w:styleId="Heading8">
    <w:name w:val="heading 8"/>
    <w:basedOn w:val="Heading7"/>
    <w:next w:val="Normal-3"/>
    <w:link w:val="Heading8Char"/>
    <w:autoRedefine/>
    <w:uiPriority w:val="9"/>
    <w:semiHidden/>
    <w:rsid w:val="007432EE"/>
    <w:pPr>
      <w:keepLines/>
      <w:spacing w:before="200" w:after="0"/>
      <w:outlineLvl w:val="7"/>
    </w:pPr>
    <w:rPr>
      <w:rFonts w:eastAsiaTheme="majorEastAsia" w:cstheme="majorBidi"/>
      <w:color w:val="404040" w:themeColor="text1" w:themeTint="BF"/>
    </w:rPr>
  </w:style>
  <w:style w:type="paragraph" w:styleId="Heading9">
    <w:name w:val="heading 9"/>
    <w:basedOn w:val="Heading7"/>
    <w:next w:val="Normal-3"/>
    <w:link w:val="Heading9Char"/>
    <w:autoRedefine/>
    <w:uiPriority w:val="9"/>
    <w:semiHidden/>
    <w:rsid w:val="00D01668"/>
    <w:pPr>
      <w:keepLines/>
      <w:spacing w:before="200" w:after="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C87"/>
    <w:pPr>
      <w:tabs>
        <w:tab w:val="center" w:pos="4153"/>
        <w:tab w:val="right" w:pos="8306"/>
      </w:tabs>
      <w:spacing w:after="0"/>
      <w:jc w:val="center"/>
    </w:pPr>
    <w:rPr>
      <w:sz w:val="18"/>
    </w:rPr>
  </w:style>
  <w:style w:type="character" w:customStyle="1" w:styleId="HeaderChar">
    <w:name w:val="Header Char"/>
    <w:basedOn w:val="DefaultParagraphFont"/>
    <w:link w:val="Header"/>
    <w:rsid w:val="00A93C87"/>
    <w:rPr>
      <w:rFonts w:ascii="Tahoma" w:hAnsi="Tahoma"/>
      <w:sz w:val="18"/>
    </w:rPr>
  </w:style>
  <w:style w:type="paragraph" w:styleId="Footer">
    <w:name w:val="footer"/>
    <w:basedOn w:val="Normal"/>
    <w:link w:val="FooterChar"/>
    <w:uiPriority w:val="99"/>
    <w:unhideWhenUsed/>
    <w:qFormat/>
    <w:rsid w:val="005F2F08"/>
    <w:pPr>
      <w:tabs>
        <w:tab w:val="center" w:pos="4513"/>
        <w:tab w:val="right" w:pos="9026"/>
      </w:tabs>
      <w:spacing w:after="0"/>
      <w:jc w:val="right"/>
    </w:pPr>
  </w:style>
  <w:style w:type="character" w:customStyle="1" w:styleId="FooterChar">
    <w:name w:val="Footer Char"/>
    <w:basedOn w:val="DefaultParagraphFont"/>
    <w:link w:val="Footer"/>
    <w:uiPriority w:val="99"/>
    <w:rsid w:val="005F2F08"/>
    <w:rPr>
      <w:rFonts w:asciiTheme="minorHAnsi" w:hAnsiTheme="minorHAnsi"/>
    </w:rPr>
  </w:style>
  <w:style w:type="paragraph" w:styleId="BalloonText">
    <w:name w:val="Balloon Text"/>
    <w:basedOn w:val="Normal"/>
    <w:link w:val="BalloonTextChar"/>
    <w:uiPriority w:val="99"/>
    <w:semiHidden/>
    <w:unhideWhenUsed/>
    <w:rsid w:val="00E275C8"/>
    <w:pPr>
      <w:spacing w:after="0"/>
    </w:pPr>
    <w:rPr>
      <w:rFonts w:cs="Tahoma"/>
      <w:sz w:val="16"/>
      <w:szCs w:val="16"/>
    </w:rPr>
  </w:style>
  <w:style w:type="character" w:customStyle="1" w:styleId="BalloonTextChar">
    <w:name w:val="Balloon Text Char"/>
    <w:basedOn w:val="DefaultParagraphFont"/>
    <w:link w:val="BalloonText"/>
    <w:uiPriority w:val="99"/>
    <w:semiHidden/>
    <w:rsid w:val="00E275C8"/>
    <w:rPr>
      <w:rFonts w:ascii="Tahoma" w:hAnsi="Tahoma" w:cs="Tahoma"/>
      <w:sz w:val="16"/>
      <w:szCs w:val="16"/>
    </w:rPr>
  </w:style>
  <w:style w:type="table" w:styleId="TableGrid">
    <w:name w:val="Table Grid"/>
    <w:basedOn w:val="TableNormal"/>
    <w:rsid w:val="00CB2FA0"/>
    <w:pPr>
      <w:spacing w:before="0" w:after="0" w:line="240" w:lineRule="auto"/>
    </w:pPr>
    <w:rPr>
      <w:rFonts w:asciiTheme="minorHAnsi" w:eastAsia="Times New Roman" w:hAnsiTheme="minorHAns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0"/>
      </w:rPr>
      <w:tblPr/>
      <w:tcPr>
        <w:shd w:val="clear" w:color="auto" w:fill="23777B"/>
      </w:tcPr>
    </w:tblStylePr>
    <w:tblStylePr w:type="firstCol">
      <w:rPr>
        <w:rFonts w:asciiTheme="minorHAnsi" w:hAnsiTheme="minorHAnsi"/>
        <w:b/>
        <w:sz w:val="20"/>
      </w:rPr>
    </w:tblStylePr>
  </w:style>
  <w:style w:type="character" w:styleId="PlaceholderText">
    <w:name w:val="Placeholder Text"/>
    <w:basedOn w:val="DefaultParagraphFont"/>
    <w:uiPriority w:val="99"/>
    <w:semiHidden/>
    <w:rsid w:val="009D4682"/>
    <w:rPr>
      <w:color w:val="808080"/>
    </w:rPr>
  </w:style>
  <w:style w:type="character" w:customStyle="1" w:styleId="Heading1Char">
    <w:name w:val="Heading 1 Char"/>
    <w:basedOn w:val="DefaultParagraphFont"/>
    <w:link w:val="Heading1"/>
    <w:rsid w:val="00E36E49"/>
    <w:rPr>
      <w:rFonts w:asciiTheme="minorHAnsi" w:hAnsiTheme="minorHAnsi" w:cstheme="minorHAnsi"/>
      <w:kern w:val="28"/>
      <w:sz w:val="32"/>
    </w:rPr>
  </w:style>
  <w:style w:type="paragraph" w:styleId="TOCHeading">
    <w:name w:val="TOC Heading"/>
    <w:basedOn w:val="Heading1"/>
    <w:next w:val="Normal"/>
    <w:uiPriority w:val="39"/>
    <w:unhideWhenUsed/>
    <w:qFormat/>
    <w:rsid w:val="0043119A"/>
    <w:pPr>
      <w:outlineLvl w:val="9"/>
    </w:pPr>
    <w:rPr>
      <w:lang w:val="en-US" w:eastAsia="ja-JP"/>
    </w:rPr>
  </w:style>
  <w:style w:type="paragraph" w:styleId="TOC1">
    <w:name w:val="toc 1"/>
    <w:basedOn w:val="Normal"/>
    <w:next w:val="Normal"/>
    <w:uiPriority w:val="39"/>
    <w:unhideWhenUsed/>
    <w:qFormat/>
    <w:rsid w:val="00DA307A"/>
    <w:pPr>
      <w:spacing w:before="40" w:after="40"/>
    </w:pPr>
    <w:rPr>
      <w:b/>
      <w:noProof/>
      <w:szCs w:val="24"/>
    </w:rPr>
  </w:style>
  <w:style w:type="character" w:styleId="Hyperlink">
    <w:name w:val="Hyperlink"/>
    <w:basedOn w:val="DefaultParagraphFont"/>
    <w:uiPriority w:val="99"/>
    <w:unhideWhenUsed/>
    <w:rsid w:val="005573E5"/>
    <w:rPr>
      <w:color w:val="0000FF" w:themeColor="hyperlink"/>
      <w:u w:val="single"/>
    </w:rPr>
  </w:style>
  <w:style w:type="character" w:customStyle="1" w:styleId="Heading2Char">
    <w:name w:val="Heading 2 Char"/>
    <w:basedOn w:val="DefaultParagraphFont"/>
    <w:link w:val="Heading2"/>
    <w:rsid w:val="00E36E49"/>
    <w:rPr>
      <w:rFonts w:asciiTheme="minorHAnsi" w:hAnsiTheme="minorHAnsi"/>
      <w:sz w:val="28"/>
    </w:rPr>
  </w:style>
  <w:style w:type="character" w:customStyle="1" w:styleId="Heading3Char">
    <w:name w:val="Heading 3 Char"/>
    <w:basedOn w:val="DefaultParagraphFont"/>
    <w:link w:val="Heading3"/>
    <w:rsid w:val="00E36E49"/>
    <w:rPr>
      <w:rFonts w:asciiTheme="minorHAnsi" w:hAnsiTheme="minorHAnsi"/>
      <w:i/>
      <w:sz w:val="24"/>
    </w:rPr>
  </w:style>
  <w:style w:type="character" w:customStyle="1" w:styleId="Heading4Char">
    <w:name w:val="Heading 4 Char"/>
    <w:basedOn w:val="DefaultParagraphFont"/>
    <w:link w:val="Heading4"/>
    <w:rsid w:val="00E36E49"/>
    <w:rPr>
      <w:rFonts w:asciiTheme="minorHAnsi" w:hAnsiTheme="minorHAnsi"/>
      <w:b/>
      <w:lang w:eastAsia="en-AU"/>
    </w:rPr>
  </w:style>
  <w:style w:type="character" w:customStyle="1" w:styleId="Heading5Char">
    <w:name w:val="Heading 5 Char"/>
    <w:basedOn w:val="DefaultParagraphFont"/>
    <w:link w:val="Heading5"/>
    <w:rsid w:val="00E36E49"/>
    <w:rPr>
      <w:rFonts w:asciiTheme="minorHAnsi" w:hAnsiTheme="minorHAnsi"/>
      <w:b/>
      <w:i/>
      <w:lang w:eastAsia="en-AU"/>
    </w:rPr>
  </w:style>
  <w:style w:type="character" w:customStyle="1" w:styleId="Heading6Char">
    <w:name w:val="Heading 6 Char"/>
    <w:basedOn w:val="DefaultParagraphFont"/>
    <w:link w:val="Heading6"/>
    <w:semiHidden/>
    <w:rsid w:val="00735C8F"/>
    <w:rPr>
      <w:rFonts w:ascii="Segoe Semibold" w:hAnsi="Segoe Semibold"/>
      <w:bCs/>
      <w:i/>
    </w:rPr>
  </w:style>
  <w:style w:type="character" w:customStyle="1" w:styleId="Heading7Char">
    <w:name w:val="Heading 7 Char"/>
    <w:basedOn w:val="DefaultParagraphFont"/>
    <w:link w:val="Heading7"/>
    <w:semiHidden/>
    <w:rsid w:val="002E366C"/>
    <w:rPr>
      <w:b/>
    </w:rPr>
  </w:style>
  <w:style w:type="paragraph" w:customStyle="1" w:styleId="HSD-Title">
    <w:name w:val="HSD-Title"/>
    <w:qFormat/>
    <w:rsid w:val="00CD2C86"/>
    <w:pPr>
      <w:widowControl w:val="0"/>
      <w:suppressAutoHyphens/>
      <w:spacing w:before="240" w:after="60" w:line="240" w:lineRule="auto"/>
      <w:jc w:val="center"/>
    </w:pPr>
    <w:rPr>
      <w:rFonts w:asciiTheme="minorHAnsi" w:eastAsia="Times New Roman" w:hAnsiTheme="minorHAnsi"/>
      <w:b/>
      <w:kern w:val="28"/>
      <w:sz w:val="44"/>
    </w:rPr>
  </w:style>
  <w:style w:type="paragraph" w:customStyle="1" w:styleId="HSD-Title2">
    <w:name w:val="HSD-Title 2"/>
    <w:next w:val="Normal"/>
    <w:qFormat/>
    <w:rsid w:val="00CD2C86"/>
    <w:pPr>
      <w:spacing w:before="60" w:after="60" w:line="240" w:lineRule="auto"/>
      <w:jc w:val="center"/>
    </w:pPr>
    <w:rPr>
      <w:rFonts w:asciiTheme="minorHAnsi" w:eastAsia="Times New Roman" w:hAnsiTheme="minorHAnsi"/>
      <w:b/>
      <w:sz w:val="36"/>
    </w:rPr>
  </w:style>
  <w:style w:type="character" w:customStyle="1" w:styleId="Heading8Char">
    <w:name w:val="Heading 8 Char"/>
    <w:basedOn w:val="DefaultParagraphFont"/>
    <w:link w:val="Heading8"/>
    <w:uiPriority w:val="9"/>
    <w:semiHidden/>
    <w:rsid w:val="002E366C"/>
    <w:rPr>
      <w:rFonts w:eastAsiaTheme="majorEastAsia" w:cstheme="majorBidi"/>
      <w:b/>
      <w:color w:val="404040" w:themeColor="text1" w:themeTint="BF"/>
    </w:rPr>
  </w:style>
  <w:style w:type="paragraph" w:customStyle="1" w:styleId="Normal-2">
    <w:name w:val="Normal-2"/>
    <w:basedOn w:val="Normal"/>
    <w:qFormat/>
    <w:rsid w:val="00385F23"/>
    <w:pPr>
      <w:ind w:left="284"/>
    </w:pPr>
  </w:style>
  <w:style w:type="paragraph" w:customStyle="1" w:styleId="Normal-3">
    <w:name w:val="Normal-3"/>
    <w:basedOn w:val="Normal"/>
    <w:link w:val="Normal-3Char"/>
    <w:qFormat/>
    <w:rsid w:val="00754BC6"/>
    <w:pPr>
      <w:ind w:left="567"/>
    </w:pPr>
  </w:style>
  <w:style w:type="character" w:customStyle="1" w:styleId="Normal-3Char">
    <w:name w:val="Normal-3 Char"/>
    <w:basedOn w:val="DefaultParagraphFont"/>
    <w:link w:val="Normal-3"/>
    <w:rsid w:val="00754BC6"/>
  </w:style>
  <w:style w:type="table" w:customStyle="1" w:styleId="HSDTable">
    <w:name w:val="HSD Table"/>
    <w:basedOn w:val="TableNormal"/>
    <w:uiPriority w:val="99"/>
    <w:rsid w:val="003D117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Segoe" w:hAnsi="Segoe"/>
        <w:b/>
        <w:sz w:val="22"/>
      </w:rPr>
      <w:tblPr/>
      <w:tcPr>
        <w:shd w:val="clear" w:color="auto" w:fill="D9D9D9" w:themeFill="background1" w:themeFillShade="D9"/>
      </w:tcPr>
    </w:tblStylePr>
  </w:style>
  <w:style w:type="paragraph" w:styleId="Caption">
    <w:name w:val="caption"/>
    <w:basedOn w:val="Normal"/>
    <w:next w:val="Normal"/>
    <w:uiPriority w:val="35"/>
    <w:unhideWhenUsed/>
    <w:qFormat/>
    <w:rsid w:val="004F6656"/>
    <w:pPr>
      <w:spacing w:after="200"/>
    </w:pPr>
    <w:rPr>
      <w:bCs/>
      <w:i/>
      <w:color w:val="23777B"/>
      <w:szCs w:val="18"/>
    </w:rPr>
  </w:style>
  <w:style w:type="paragraph" w:styleId="TOC2">
    <w:name w:val="toc 2"/>
    <w:basedOn w:val="Normal"/>
    <w:next w:val="Normal"/>
    <w:uiPriority w:val="39"/>
    <w:qFormat/>
    <w:rsid w:val="00DA307A"/>
    <w:pPr>
      <w:spacing w:before="40" w:after="40"/>
      <w:ind w:left="113" w:right="1134"/>
    </w:pPr>
    <w:rPr>
      <w:noProof/>
      <w:szCs w:val="28"/>
    </w:rPr>
  </w:style>
  <w:style w:type="paragraph" w:styleId="TOC3">
    <w:name w:val="toc 3"/>
    <w:basedOn w:val="Normal"/>
    <w:next w:val="Normal"/>
    <w:uiPriority w:val="39"/>
    <w:qFormat/>
    <w:rsid w:val="00DA307A"/>
    <w:pPr>
      <w:spacing w:before="40" w:after="40"/>
      <w:ind w:left="227" w:right="1440"/>
    </w:pPr>
    <w:rPr>
      <w:i/>
      <w:noProof/>
    </w:rPr>
  </w:style>
  <w:style w:type="paragraph" w:styleId="TOC4">
    <w:name w:val="toc 4"/>
    <w:basedOn w:val="Normal"/>
    <w:next w:val="Normal"/>
    <w:autoRedefine/>
    <w:semiHidden/>
    <w:rsid w:val="00380D10"/>
    <w:pPr>
      <w:ind w:left="600"/>
    </w:pPr>
  </w:style>
  <w:style w:type="paragraph" w:styleId="TOC5">
    <w:name w:val="toc 5"/>
    <w:basedOn w:val="Normal"/>
    <w:next w:val="Normal"/>
    <w:autoRedefine/>
    <w:semiHidden/>
    <w:rsid w:val="00380D10"/>
    <w:pPr>
      <w:ind w:left="800"/>
    </w:pPr>
  </w:style>
  <w:style w:type="paragraph" w:styleId="TOC6">
    <w:name w:val="toc 6"/>
    <w:basedOn w:val="Normal"/>
    <w:next w:val="Normal"/>
    <w:autoRedefine/>
    <w:semiHidden/>
    <w:rsid w:val="00380D10"/>
    <w:pPr>
      <w:ind w:left="1000"/>
    </w:pPr>
  </w:style>
  <w:style w:type="paragraph" w:styleId="TOC7">
    <w:name w:val="toc 7"/>
    <w:basedOn w:val="Normal"/>
    <w:next w:val="Normal"/>
    <w:autoRedefine/>
    <w:semiHidden/>
    <w:rsid w:val="00380D10"/>
    <w:pPr>
      <w:ind w:left="1200"/>
    </w:pPr>
  </w:style>
  <w:style w:type="paragraph" w:styleId="TOC8">
    <w:name w:val="toc 8"/>
    <w:basedOn w:val="Normal"/>
    <w:next w:val="Normal"/>
    <w:autoRedefine/>
    <w:semiHidden/>
    <w:rsid w:val="00380D10"/>
    <w:pPr>
      <w:ind w:left="1400"/>
    </w:pPr>
  </w:style>
  <w:style w:type="paragraph" w:styleId="TOC9">
    <w:name w:val="toc 9"/>
    <w:basedOn w:val="Normal"/>
    <w:next w:val="Normal"/>
    <w:autoRedefine/>
    <w:semiHidden/>
    <w:rsid w:val="00380D10"/>
    <w:pPr>
      <w:ind w:left="1600"/>
    </w:pPr>
  </w:style>
  <w:style w:type="paragraph" w:styleId="Title">
    <w:name w:val="Title"/>
    <w:basedOn w:val="Normal"/>
    <w:next w:val="Normal"/>
    <w:link w:val="TitleChar"/>
    <w:uiPriority w:val="10"/>
    <w:semiHidden/>
    <w:qFormat/>
    <w:rsid w:val="007432EE"/>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8A15CD"/>
    <w:rPr>
      <w:rFonts w:eastAsiaTheme="majorEastAsia" w:cstheme="majorBidi"/>
      <w:color w:val="17365D" w:themeColor="text2" w:themeShade="BF"/>
      <w:spacing w:val="5"/>
      <w:kern w:val="28"/>
      <w:sz w:val="52"/>
      <w:szCs w:val="52"/>
    </w:rPr>
  </w:style>
  <w:style w:type="paragraph" w:styleId="ListParagraph">
    <w:name w:val="List Paragraph"/>
    <w:basedOn w:val="Normal"/>
    <w:uiPriority w:val="34"/>
    <w:qFormat/>
    <w:rsid w:val="005D0DB7"/>
    <w:pPr>
      <w:ind w:left="720"/>
      <w:contextualSpacing/>
    </w:pPr>
  </w:style>
  <w:style w:type="character" w:customStyle="1" w:styleId="Heading9Char">
    <w:name w:val="Heading 9 Char"/>
    <w:basedOn w:val="DefaultParagraphFont"/>
    <w:link w:val="Heading9"/>
    <w:uiPriority w:val="9"/>
    <w:semiHidden/>
    <w:rsid w:val="002E366C"/>
    <w:rPr>
      <w:rFonts w:eastAsiaTheme="majorEastAsia" w:cstheme="majorBidi"/>
      <w:b/>
      <w:i/>
      <w:iCs/>
      <w:color w:val="404040" w:themeColor="text1" w:themeTint="BF"/>
    </w:rPr>
  </w:style>
  <w:style w:type="paragraph" w:styleId="Subtitle">
    <w:name w:val="Subtitle"/>
    <w:basedOn w:val="Normal"/>
    <w:next w:val="Normal"/>
    <w:link w:val="SubtitleChar"/>
    <w:uiPriority w:val="11"/>
    <w:semiHidden/>
    <w:qFormat/>
    <w:rsid w:val="007432EE"/>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F2027D"/>
    <w:rPr>
      <w:rFonts w:eastAsiaTheme="majorEastAsia" w:cstheme="majorBidi"/>
      <w:i/>
      <w:iCs/>
      <w:color w:val="4F81BD" w:themeColor="accent1"/>
      <w:spacing w:val="15"/>
      <w:sz w:val="24"/>
      <w:szCs w:val="24"/>
    </w:rPr>
  </w:style>
  <w:style w:type="character" w:styleId="SubtleEmphasis">
    <w:name w:val="Subtle Emphasis"/>
    <w:basedOn w:val="DefaultParagraphFont"/>
    <w:uiPriority w:val="19"/>
    <w:semiHidden/>
    <w:rsid w:val="007432EE"/>
    <w:rPr>
      <w:i/>
      <w:iCs/>
      <w:color w:val="808080" w:themeColor="text1" w:themeTint="7F"/>
    </w:rPr>
  </w:style>
  <w:style w:type="table" w:styleId="LightList-Accent1">
    <w:name w:val="Light List Accent 1"/>
    <w:basedOn w:val="TableNormal"/>
    <w:uiPriority w:val="61"/>
    <w:rsid w:val="00385F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Bullets">
    <w:name w:val="List Bullets"/>
    <w:uiPriority w:val="99"/>
    <w:rsid w:val="00087425"/>
    <w:pPr>
      <w:numPr>
        <w:numId w:val="44"/>
      </w:numPr>
    </w:pPr>
  </w:style>
  <w:style w:type="paragraph" w:customStyle="1" w:styleId="Normal-2ListBullet1">
    <w:name w:val="Normal-2 List Bullet 1"/>
    <w:basedOn w:val="NormalListBullet1"/>
    <w:qFormat/>
    <w:rsid w:val="00F71253"/>
    <w:pPr>
      <w:ind w:left="993"/>
    </w:pPr>
  </w:style>
  <w:style w:type="paragraph" w:customStyle="1" w:styleId="NormalListBullet1">
    <w:name w:val="Normal List Bullet 1"/>
    <w:basedOn w:val="ListParagraph"/>
    <w:qFormat/>
    <w:rsid w:val="00F71253"/>
    <w:pPr>
      <w:numPr>
        <w:numId w:val="42"/>
      </w:numPr>
    </w:pPr>
  </w:style>
  <w:style w:type="paragraph" w:customStyle="1" w:styleId="Normal-3ListBullet1">
    <w:name w:val="Normal-3 List Bullet 1"/>
    <w:basedOn w:val="Normal"/>
    <w:qFormat/>
    <w:rsid w:val="00F71253"/>
    <w:pPr>
      <w:numPr>
        <w:numId w:val="35"/>
      </w:numPr>
      <w:ind w:left="1264" w:hanging="357"/>
      <w:contextualSpacing/>
    </w:pPr>
    <w:rPr>
      <w:noProof/>
    </w:rPr>
  </w:style>
  <w:style w:type="paragraph" w:styleId="NoSpacing">
    <w:name w:val="No Spacing"/>
    <w:link w:val="NoSpacingChar"/>
    <w:uiPriority w:val="1"/>
    <w:qFormat/>
    <w:rsid w:val="001D0965"/>
    <w:pPr>
      <w:spacing w:before="0" w:after="0" w:line="240" w:lineRule="auto"/>
    </w:pPr>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1D0965"/>
    <w:rPr>
      <w:rFonts w:asciiTheme="minorHAnsi" w:eastAsiaTheme="minorEastAsia" w:hAnsiTheme="minorHAnsi" w:cstheme="minorBidi"/>
      <w:lang w:val="en-US" w:eastAsia="ja-JP"/>
    </w:rPr>
  </w:style>
  <w:style w:type="table" w:styleId="TableGridLight">
    <w:name w:val="Grid Table Light"/>
    <w:basedOn w:val="TableNormal"/>
    <w:uiPriority w:val="40"/>
    <w:rsid w:val="00B939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939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939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9397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939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939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Heading">
    <w:name w:val="Table Heading"/>
    <w:basedOn w:val="Normal"/>
    <w:qFormat/>
    <w:rsid w:val="008452FE"/>
    <w:pPr>
      <w:spacing w:after="120"/>
    </w:pPr>
    <w:rPr>
      <w:rFonts w:eastAsia="Times New Roman"/>
      <w:b/>
      <w:color w:val="FFFFFF" w:themeColor="background1"/>
      <w:lang w:eastAsia="en-AU"/>
    </w:rPr>
  </w:style>
  <w:style w:type="paragraph" w:customStyle="1" w:styleId="TableData">
    <w:name w:val="Table Data"/>
    <w:basedOn w:val="Normal"/>
    <w:qFormat/>
    <w:rsid w:val="00E36E49"/>
    <w:pPr>
      <w:spacing w:after="120"/>
    </w:pPr>
  </w:style>
  <w:style w:type="character" w:styleId="CommentReference">
    <w:name w:val="annotation reference"/>
    <w:basedOn w:val="DefaultParagraphFont"/>
    <w:uiPriority w:val="99"/>
    <w:semiHidden/>
    <w:unhideWhenUsed/>
    <w:rsid w:val="008D2AEE"/>
    <w:rPr>
      <w:sz w:val="16"/>
      <w:szCs w:val="16"/>
    </w:rPr>
  </w:style>
  <w:style w:type="paragraph" w:styleId="CommentText">
    <w:name w:val="annotation text"/>
    <w:basedOn w:val="Normal"/>
    <w:link w:val="CommentTextChar"/>
    <w:uiPriority w:val="99"/>
    <w:semiHidden/>
    <w:unhideWhenUsed/>
    <w:rsid w:val="008D2AEE"/>
  </w:style>
  <w:style w:type="character" w:customStyle="1" w:styleId="CommentTextChar">
    <w:name w:val="Comment Text Char"/>
    <w:basedOn w:val="DefaultParagraphFont"/>
    <w:link w:val="CommentText"/>
    <w:uiPriority w:val="99"/>
    <w:semiHidden/>
    <w:rsid w:val="008D2AEE"/>
  </w:style>
  <w:style w:type="paragraph" w:styleId="CommentSubject">
    <w:name w:val="annotation subject"/>
    <w:basedOn w:val="CommentText"/>
    <w:next w:val="CommentText"/>
    <w:link w:val="CommentSubjectChar"/>
    <w:uiPriority w:val="99"/>
    <w:semiHidden/>
    <w:unhideWhenUsed/>
    <w:rsid w:val="008D2AEE"/>
    <w:rPr>
      <w:b/>
      <w:bCs/>
    </w:rPr>
  </w:style>
  <w:style w:type="character" w:customStyle="1" w:styleId="CommentSubjectChar">
    <w:name w:val="Comment Subject Char"/>
    <w:basedOn w:val="CommentTextChar"/>
    <w:link w:val="CommentSubject"/>
    <w:uiPriority w:val="99"/>
    <w:semiHidden/>
    <w:rsid w:val="008D2AEE"/>
    <w:rPr>
      <w:b/>
      <w:bCs/>
    </w:rPr>
  </w:style>
  <w:style w:type="paragraph" w:customStyle="1" w:styleId="NormalNumberedList1">
    <w:name w:val="Normal Numbered List 1"/>
    <w:basedOn w:val="ListParagraph"/>
    <w:qFormat/>
    <w:rsid w:val="00A72B27"/>
    <w:pPr>
      <w:numPr>
        <w:numId w:val="38"/>
      </w:numPr>
    </w:pPr>
  </w:style>
  <w:style w:type="paragraph" w:customStyle="1" w:styleId="Normal-2NumberedList1">
    <w:name w:val="Normal-2 Numbered List 1"/>
    <w:basedOn w:val="Normal-2"/>
    <w:qFormat/>
    <w:rsid w:val="00F71253"/>
    <w:pPr>
      <w:numPr>
        <w:numId w:val="39"/>
      </w:numPr>
      <w:ind w:left="1003" w:hanging="357"/>
      <w:contextualSpacing/>
    </w:pPr>
  </w:style>
  <w:style w:type="paragraph" w:customStyle="1" w:styleId="Normal-3NumberedList1">
    <w:name w:val="Normal-3 Numbered List 1"/>
    <w:basedOn w:val="Normal-3"/>
    <w:qFormat/>
    <w:rsid w:val="00F71253"/>
    <w:pPr>
      <w:numPr>
        <w:numId w:val="40"/>
      </w:numPr>
      <w:ind w:left="1281" w:hanging="357"/>
      <w:contextualSpacing/>
    </w:pPr>
  </w:style>
  <w:style w:type="character" w:styleId="FollowedHyperlink">
    <w:name w:val="FollowedHyperlink"/>
    <w:basedOn w:val="DefaultParagraphFont"/>
    <w:uiPriority w:val="99"/>
    <w:semiHidden/>
    <w:unhideWhenUsed/>
    <w:rsid w:val="00D20D9E"/>
    <w:rPr>
      <w:color w:val="800080" w:themeColor="followedHyperlink"/>
      <w:u w:val="single"/>
    </w:rPr>
  </w:style>
  <w:style w:type="paragraph" w:styleId="FootnoteText">
    <w:name w:val="footnote text"/>
    <w:basedOn w:val="Normal"/>
    <w:link w:val="FootnoteTextChar"/>
    <w:uiPriority w:val="99"/>
    <w:semiHidden/>
    <w:unhideWhenUsed/>
    <w:rsid w:val="00EB1476"/>
    <w:pPr>
      <w:spacing w:after="0"/>
    </w:pPr>
    <w:rPr>
      <w:rFonts w:ascii="Calibri" w:eastAsia="Times New Roman" w:hAnsi="Calibri"/>
    </w:rPr>
  </w:style>
  <w:style w:type="character" w:customStyle="1" w:styleId="FootnoteTextChar">
    <w:name w:val="Footnote Text Char"/>
    <w:basedOn w:val="DefaultParagraphFont"/>
    <w:link w:val="FootnoteText"/>
    <w:uiPriority w:val="99"/>
    <w:semiHidden/>
    <w:rsid w:val="00EB1476"/>
    <w:rPr>
      <w:rFonts w:ascii="Calibri" w:eastAsia="Times New Roman" w:hAnsi="Calibri"/>
    </w:rPr>
  </w:style>
  <w:style w:type="character" w:styleId="FootnoteReference">
    <w:name w:val="footnote reference"/>
    <w:basedOn w:val="DefaultParagraphFont"/>
    <w:uiPriority w:val="99"/>
    <w:semiHidden/>
    <w:unhideWhenUsed/>
    <w:rsid w:val="00EB14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99318">
      <w:bodyDiv w:val="1"/>
      <w:marLeft w:val="0"/>
      <w:marRight w:val="0"/>
      <w:marTop w:val="0"/>
      <w:marBottom w:val="0"/>
      <w:divBdr>
        <w:top w:val="none" w:sz="0" w:space="0" w:color="auto"/>
        <w:left w:val="none" w:sz="0" w:space="0" w:color="auto"/>
        <w:bottom w:val="none" w:sz="0" w:space="0" w:color="auto"/>
        <w:right w:val="none" w:sz="0" w:space="0" w:color="auto"/>
      </w:divBdr>
    </w:div>
    <w:div w:id="835607088">
      <w:bodyDiv w:val="1"/>
      <w:marLeft w:val="0"/>
      <w:marRight w:val="0"/>
      <w:marTop w:val="0"/>
      <w:marBottom w:val="0"/>
      <w:divBdr>
        <w:top w:val="none" w:sz="0" w:space="0" w:color="auto"/>
        <w:left w:val="none" w:sz="0" w:space="0" w:color="auto"/>
        <w:bottom w:val="none" w:sz="0" w:space="0" w:color="auto"/>
        <w:right w:val="none" w:sz="0" w:space="0" w:color="auto"/>
      </w:divBdr>
    </w:div>
    <w:div w:id="157096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yskill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files.eric.ed.gov/fulltext/ED577595.pdf" TargetMode="External"/><Relationship Id="rId1" Type="http://schemas.openxmlformats.org/officeDocument/2006/relationships/hyperlink" Target="https://www.ncver.edu.au/research-and-statistics/publications/all-publications/in-their-words-student-choice-in-training-markets-victorian-examp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A347D4ED32440FA1F13434EA8899BB"/>
        <w:category>
          <w:name w:val="General"/>
          <w:gallery w:val="placeholder"/>
        </w:category>
        <w:types>
          <w:type w:val="bbPlcHdr"/>
        </w:types>
        <w:behaviors>
          <w:behavior w:val="content"/>
        </w:behaviors>
        <w:guid w:val="{87EA4562-FE40-400D-AB47-2EED537A84CB}"/>
      </w:docPartPr>
      <w:docPartBody>
        <w:p w:rsidR="00AD5ECD" w:rsidRDefault="009B3B84" w:rsidP="009B3B84">
          <w:pPr>
            <w:pStyle w:val="F9A347D4ED32440FA1F13434EA8899BB"/>
          </w:pPr>
          <w:r w:rsidRPr="008C542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font>
  <w:font w:name="Arial">
    <w:panose1 w:val="020B0604020202020204"/>
    <w:charset w:val="00"/>
    <w:family w:val="swiss"/>
    <w:pitch w:val="variable"/>
    <w:sig w:usb0="E0002EFF" w:usb1="C0007843" w:usb2="00000009" w:usb3="00000000" w:csb0="000001FF" w:csb1="00000000"/>
  </w:font>
  <w:font w:name="Segoe Semibold">
    <w:charset w:val="00"/>
    <w:family w:val="swiss"/>
    <w:pitch w:val="variable"/>
    <w:sig w:usb0="00000003" w:usb1="00000000" w:usb2="00000000" w:usb3="00000000" w:csb0="00000001" w:csb1="00000000"/>
  </w:font>
  <w:font w:name="Segoe">
    <w:charset w:val="00"/>
    <w:family w:val="swiss"/>
    <w:pitch w:val="variable"/>
    <w:sig w:usb0="00000087"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842"/>
    <w:rsid w:val="000A268C"/>
    <w:rsid w:val="007A3842"/>
    <w:rsid w:val="007D1257"/>
    <w:rsid w:val="009B3B84"/>
    <w:rsid w:val="00A04FC8"/>
    <w:rsid w:val="00AD5ECD"/>
    <w:rsid w:val="00B03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3B84"/>
    <w:rPr>
      <w:color w:val="808080"/>
    </w:rPr>
  </w:style>
  <w:style w:type="paragraph" w:customStyle="1" w:styleId="1EC71D4261857343987C665A50BFAA8C">
    <w:name w:val="1EC71D4261857343987C665A50BFAA8C"/>
  </w:style>
  <w:style w:type="paragraph" w:customStyle="1" w:styleId="73E870FB1CDF39488DE37FD2013608E4">
    <w:name w:val="73E870FB1CDF39488DE37FD2013608E4"/>
  </w:style>
  <w:style w:type="paragraph" w:customStyle="1" w:styleId="EFE960CA2C8E4621BC80F0EF328E2E99">
    <w:name w:val="EFE960CA2C8E4621BC80F0EF328E2E99"/>
    <w:rsid w:val="009B3B84"/>
    <w:pPr>
      <w:spacing w:after="160" w:line="259" w:lineRule="auto"/>
    </w:pPr>
    <w:rPr>
      <w:sz w:val="22"/>
      <w:szCs w:val="22"/>
      <w:lang w:eastAsia="en-AU"/>
    </w:rPr>
  </w:style>
  <w:style w:type="paragraph" w:customStyle="1" w:styleId="637CF9BA43BF463983ADF7C573929865">
    <w:name w:val="637CF9BA43BF463983ADF7C573929865"/>
    <w:rsid w:val="009B3B84"/>
    <w:pPr>
      <w:spacing w:after="160" w:line="259" w:lineRule="auto"/>
    </w:pPr>
    <w:rPr>
      <w:sz w:val="22"/>
      <w:szCs w:val="22"/>
      <w:lang w:eastAsia="en-AU"/>
    </w:rPr>
  </w:style>
  <w:style w:type="paragraph" w:customStyle="1" w:styleId="F9A347D4ED32440FA1F13434EA8899BB">
    <w:name w:val="F9A347D4ED32440FA1F13434EA8899BB"/>
    <w:rsid w:val="009B3B84"/>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80BF903F1EB144A70CB06D186D27B8" ma:contentTypeVersion="8" ma:contentTypeDescription="Create a new document." ma:contentTypeScope="" ma:versionID="a6a203843cac45eba24650b9c2ed3d19">
  <xsd:schema xmlns:xsd="http://www.w3.org/2001/XMLSchema" xmlns:xs="http://www.w3.org/2001/XMLSchema" xmlns:p="http://schemas.microsoft.com/office/2006/metadata/properties" xmlns:ns2="08b95fb1-924e-4085-b540-ee9ef5208a58" xmlns:ns3="0a6c7d19-76be-4169-ba3d-748504577470" targetNamespace="http://schemas.microsoft.com/office/2006/metadata/properties" ma:root="true" ma:fieldsID="2cea165440ebbcd00af7847457cc20a5" ns2:_="" ns3:_="">
    <xsd:import namespace="08b95fb1-924e-4085-b540-ee9ef5208a58"/>
    <xsd:import namespace="0a6c7d19-76be-4169-ba3d-7485045774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95fb1-924e-4085-b540-ee9ef5208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c7d19-76be-4169-ba3d-7485045774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1F3F9-FC80-44B7-9066-A9BF629EB191}">
  <ds:schemaRefs>
    <ds:schemaRef ds:uri="http://schemas.microsoft.com/office/infopath/2007/PartnerControls"/>
    <ds:schemaRef ds:uri="http://schemas.openxmlformats.org/package/2006/metadata/core-properties"/>
    <ds:schemaRef ds:uri="http://purl.org/dc/terms/"/>
    <ds:schemaRef ds:uri="http://purl.org/dc/dcmitype/"/>
    <ds:schemaRef ds:uri="08b95fb1-924e-4085-b540-ee9ef5208a58"/>
    <ds:schemaRef ds:uri="http://schemas.microsoft.com/office/2006/documentManagement/types"/>
    <ds:schemaRef ds:uri="http://schemas.microsoft.com/office/2006/metadata/properties"/>
    <ds:schemaRef ds:uri="http://purl.org/dc/elements/1.1/"/>
    <ds:schemaRef ds:uri="0a6c7d19-76be-4169-ba3d-748504577470"/>
    <ds:schemaRef ds:uri="http://www.w3.org/XML/1998/namespace"/>
  </ds:schemaRefs>
</ds:datastoreItem>
</file>

<file path=customXml/itemProps2.xml><?xml version="1.0" encoding="utf-8"?>
<ds:datastoreItem xmlns:ds="http://schemas.openxmlformats.org/officeDocument/2006/customXml" ds:itemID="{1923341A-F035-4501-B784-D741CCFB09A5}">
  <ds:schemaRefs>
    <ds:schemaRef ds:uri="http://schemas.microsoft.com/sharepoint/v3/contenttype/forms"/>
  </ds:schemaRefs>
</ds:datastoreItem>
</file>

<file path=customXml/itemProps3.xml><?xml version="1.0" encoding="utf-8"?>
<ds:datastoreItem xmlns:ds="http://schemas.openxmlformats.org/officeDocument/2006/customXml" ds:itemID="{EC0966FC-0BBD-4E6A-BF1B-541DA2821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95fb1-924e-4085-b540-ee9ef5208a58"/>
    <ds:schemaRef ds:uri="0a6c7d19-76be-4169-ba3d-74850457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7AF5E-79E7-49A7-9F2D-8A7962D7A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79CC1CF0.dotm</Template>
  <TotalTime>4</TotalTime>
  <Pages>5</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Submission IR79 - Hammond Street Developments Pty Ltd - Skills and Workforce Agreement - Commissioned study</vt:lpstr>
    </vt:vector>
  </TitlesOfParts>
  <Company>Hammond Street Developments Pty Ltd</Company>
  <LinksUpToDate>false</LinksUpToDate>
  <CharactersWithSpaces>14727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IR79 - Hammond Street Developments Pty Ltd - Skills and Workforce Agreement - Commissioned study</dc:title>
  <dc:subject/>
  <dc:creator>Hammond Street Developments Pty Ltd</dc:creator>
  <cp:lastModifiedBy>Productivity Commission</cp:lastModifiedBy>
  <cp:revision>6</cp:revision>
  <cp:lastPrinted>2020-07-16T02:44:00Z</cp:lastPrinted>
  <dcterms:created xsi:type="dcterms:W3CDTF">2020-07-15T02:15:00Z</dcterms:created>
  <dcterms:modified xsi:type="dcterms:W3CDTF">2020-07-16T02:46:00Z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0x0101005580BF903F1EB144A70CB06D186D27B8</vt:lpwstr>
  </property>
</Properties>
</file>