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044951967"/>
        <w:docPartObj>
          <w:docPartGallery w:val="Cover Pages"/>
          <w:docPartUnique/>
        </w:docPartObj>
      </w:sdtPr>
      <w:sdtEndPr>
        <w:rPr>
          <w:b/>
          <w:color w:val="0070C0"/>
          <w:sz w:val="44"/>
          <w:szCs w:val="44"/>
        </w:rPr>
      </w:sdtEndPr>
      <w:sdtContent>
        <w:bookmarkStart w:id="0" w:name="_GoBack" w:displacedByCustomXml="prev"/>
        <w:bookmarkEnd w:id="0" w:displacedByCustomXml="prev"/>
        <w:p w14:paraId="73C07411" w14:textId="579A18C7" w:rsidR="00766FF5" w:rsidRDefault="008D2673" w:rsidP="00F81884">
          <w:pPr>
            <w:ind w:left="-993"/>
          </w:pPr>
          <w:r>
            <w:rPr>
              <w:noProof/>
            </w:rPr>
            <w:drawing>
              <wp:inline distT="0" distB="0" distL="0" distR="0" wp14:anchorId="4DB57238" wp14:editId="0B39486D">
                <wp:extent cx="1994563" cy="682388"/>
                <wp:effectExtent l="0" t="0" r="5715" b="3810"/>
                <wp:docPr id="11" name="Picture 11"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ll-it Logo.png"/>
                        <pic:cNvPicPr/>
                      </pic:nvPicPr>
                      <pic:blipFill>
                        <a:blip r:embed="rId8"/>
                        <a:stretch>
                          <a:fillRect/>
                        </a:stretch>
                      </pic:blipFill>
                      <pic:spPr>
                        <a:xfrm>
                          <a:off x="0" y="0"/>
                          <a:ext cx="2022470" cy="691936"/>
                        </a:xfrm>
                        <a:prstGeom prst="rect">
                          <a:avLst/>
                        </a:prstGeom>
                      </pic:spPr>
                    </pic:pic>
                  </a:graphicData>
                </a:graphic>
              </wp:inline>
            </w:drawing>
          </w:r>
        </w:p>
        <w:p w14:paraId="71CE46EC" w14:textId="7CBCAF7C" w:rsidR="00766FF5" w:rsidRDefault="00565B3E">
          <w:pPr>
            <w:rPr>
              <w:b/>
              <w:color w:val="0070C0"/>
              <w:sz w:val="44"/>
              <w:szCs w:val="44"/>
            </w:rPr>
          </w:pPr>
        </w:p>
      </w:sdtContent>
    </w:sdt>
    <w:p w14:paraId="47C20425" w14:textId="16D723FF" w:rsidR="00766FF5" w:rsidRDefault="009A1B05">
      <w:pPr>
        <w:rPr>
          <w:b/>
          <w:color w:val="0070C0"/>
          <w:sz w:val="44"/>
          <w:szCs w:val="44"/>
        </w:rPr>
      </w:pPr>
      <w:r w:rsidRPr="00B3153D">
        <w:rPr>
          <w:b/>
          <w:noProof/>
          <w:color w:val="0070C0"/>
          <w:sz w:val="44"/>
          <w:szCs w:val="44"/>
        </w:rPr>
        <mc:AlternateContent>
          <mc:Choice Requires="wps">
            <w:drawing>
              <wp:anchor distT="45720" distB="45720" distL="114300" distR="114300" simplePos="0" relativeHeight="251671552" behindDoc="1" locked="0" layoutInCell="1" allowOverlap="1" wp14:anchorId="5C3BE39B" wp14:editId="519F51C7">
                <wp:simplePos x="0" y="0"/>
                <wp:positionH relativeFrom="column">
                  <wp:posOffset>-666750</wp:posOffset>
                </wp:positionH>
                <wp:positionV relativeFrom="paragraph">
                  <wp:posOffset>1540510</wp:posOffset>
                </wp:positionV>
                <wp:extent cx="7124065" cy="1404620"/>
                <wp:effectExtent l="0" t="0" r="635" b="1905"/>
                <wp:wrapTight wrapText="bothSides">
                  <wp:wrapPolygon edited="0">
                    <wp:start x="0" y="0"/>
                    <wp:lineTo x="0" y="21167"/>
                    <wp:lineTo x="21544" y="21167"/>
                    <wp:lineTo x="21544"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065" cy="1404620"/>
                        </a:xfrm>
                        <a:prstGeom prst="rect">
                          <a:avLst/>
                        </a:prstGeom>
                        <a:solidFill>
                          <a:srgbClr val="FFFFFF"/>
                        </a:solidFill>
                        <a:ln w="9525">
                          <a:noFill/>
                          <a:miter lim="800000"/>
                          <a:headEnd/>
                          <a:tailEnd/>
                        </a:ln>
                      </wps:spPr>
                      <wps:txbx>
                        <w:txbxContent>
                          <w:p w14:paraId="72B79489" w14:textId="77777777" w:rsidR="00067198" w:rsidRDefault="00067198" w:rsidP="00B3153D">
                            <w:pPr>
                              <w:pBdr>
                                <w:top w:val="none" w:sz="0" w:space="0" w:color="auto"/>
                                <w:left w:val="none" w:sz="0" w:space="0" w:color="auto"/>
                                <w:bottom w:val="none" w:sz="0" w:space="0" w:color="auto"/>
                                <w:right w:val="none" w:sz="0" w:space="0" w:color="auto"/>
                                <w:between w:val="none" w:sz="0" w:space="0" w:color="auto"/>
                              </w:pBdr>
                              <w:rPr>
                                <w:b/>
                                <w:caps/>
                                <w:color w:val="0070C0"/>
                                <w:sz w:val="32"/>
                                <w:szCs w:val="44"/>
                              </w:rPr>
                            </w:pPr>
                            <w:r w:rsidRPr="009A1B05">
                              <w:rPr>
                                <w:b/>
                                <w:caps/>
                                <w:color w:val="1B365F"/>
                                <w:sz w:val="32"/>
                                <w:szCs w:val="44"/>
                              </w:rPr>
                              <w:t xml:space="preserve">SUBMISSION TO THE PRODUCTIVITY COMMISSION </w:t>
                            </w:r>
                            <w:r w:rsidRPr="009A1B05">
                              <w:rPr>
                                <w:b/>
                                <w:caps/>
                                <w:color w:val="1B365F"/>
                                <w:sz w:val="32"/>
                                <w:szCs w:val="44"/>
                              </w:rPr>
                              <w:br/>
                            </w:r>
                            <w:r w:rsidRPr="00951FC0">
                              <w:rPr>
                                <w:b/>
                                <w:caps/>
                                <w:color w:val="0070C0"/>
                                <w:sz w:val="32"/>
                                <w:szCs w:val="44"/>
                              </w:rPr>
                              <w:t>SUPERANNUATION: ASSESSING EFFICIENCY AND COMPETITIVENESS</w:t>
                            </w:r>
                          </w:p>
                          <w:p w14:paraId="1810726D" w14:textId="639ED6AC" w:rsidR="00067198" w:rsidRPr="009A1B05" w:rsidRDefault="00067198" w:rsidP="00B3153D">
                            <w:pPr>
                              <w:pBdr>
                                <w:top w:val="none" w:sz="0" w:space="0" w:color="auto"/>
                                <w:left w:val="none" w:sz="0" w:space="0" w:color="auto"/>
                                <w:bottom w:val="none" w:sz="0" w:space="0" w:color="auto"/>
                                <w:right w:val="none" w:sz="0" w:space="0" w:color="auto"/>
                                <w:between w:val="none" w:sz="0" w:space="0" w:color="auto"/>
                              </w:pBdr>
                              <w:rPr>
                                <w:caps/>
                                <w:color w:val="7F7F7F" w:themeColor="text1" w:themeTint="80"/>
                                <w:sz w:val="24"/>
                                <w:szCs w:val="44"/>
                              </w:rPr>
                            </w:pPr>
                            <w:r w:rsidRPr="009A1B05">
                              <w:rPr>
                                <w:caps/>
                                <w:color w:val="7F7F7F" w:themeColor="text1" w:themeTint="80"/>
                                <w:sz w:val="24"/>
                                <w:szCs w:val="44"/>
                              </w:rPr>
                              <w:t xml:space="preserve">MARK MACLEOD, </w:t>
                            </w:r>
                            <w:r w:rsidR="00E94BC3">
                              <w:rPr>
                                <w:caps/>
                                <w:color w:val="7F7F7F" w:themeColor="text1" w:themeTint="80"/>
                                <w:sz w:val="24"/>
                                <w:szCs w:val="44"/>
                              </w:rPr>
                              <w:t xml:space="preserve">ROLL-IT SUPER. </w:t>
                            </w:r>
                            <w:r w:rsidRPr="009A1B05">
                              <w:rPr>
                                <w:caps/>
                                <w:color w:val="7F7F7F" w:themeColor="text1" w:themeTint="80"/>
                                <w:sz w:val="24"/>
                                <w:szCs w:val="44"/>
                              </w:rPr>
                              <w:t>JUNE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C3BE39B" id="_x0000_t202" coordsize="21600,21600" o:spt="202" path="m,l,21600r21600,l21600,xe">
                <v:stroke joinstyle="miter"/>
                <v:path gradientshapeok="t" o:connecttype="rect"/>
              </v:shapetype>
              <v:shape id="Text Box 2" o:spid="_x0000_s1026" type="#_x0000_t202" style="position:absolute;margin-left:-52.5pt;margin-top:121.3pt;width:560.95pt;height:110.6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" stroked="f">
                <v:textbox style="mso-fit-shape-to-text:t">
                  <w:txbxContent>
                    <w:p w14:paraId="72B79489" w14:textId="77777777" w:rsidR="00067198" w:rsidRDefault="00067198" w:rsidP="00B3153D">
                      <w:pPr>
                        <w:pBdr>
                          <w:top w:val="none" w:sz="0" w:space="0" w:color="auto"/>
                          <w:left w:val="none" w:sz="0" w:space="0" w:color="auto"/>
                          <w:bottom w:val="none" w:sz="0" w:space="0" w:color="auto"/>
                          <w:right w:val="none" w:sz="0" w:space="0" w:color="auto"/>
                          <w:between w:val="none" w:sz="0" w:space="0" w:color="auto"/>
                        </w:pBdr>
                        <w:rPr>
                          <w:b/>
                          <w:caps/>
                          <w:color w:val="0070C0"/>
                          <w:sz w:val="32"/>
                          <w:szCs w:val="44"/>
                        </w:rPr>
                      </w:pPr>
                      <w:r w:rsidRPr="009A1B05">
                        <w:rPr>
                          <w:b/>
                          <w:caps/>
                          <w:color w:val="1B365F"/>
                          <w:sz w:val="32"/>
                          <w:szCs w:val="44"/>
                        </w:rPr>
                        <w:t xml:space="preserve">SUBMISSION TO THE PRODUCTIVITY COMMISSION </w:t>
                      </w:r>
                      <w:r w:rsidRPr="009A1B05">
                        <w:rPr>
                          <w:b/>
                          <w:caps/>
                          <w:color w:val="1B365F"/>
                          <w:sz w:val="32"/>
                          <w:szCs w:val="44"/>
                        </w:rPr>
                        <w:br/>
                      </w:r>
                      <w:r w:rsidRPr="00951FC0">
                        <w:rPr>
                          <w:b/>
                          <w:caps/>
                          <w:color w:val="0070C0"/>
                          <w:sz w:val="32"/>
                          <w:szCs w:val="44"/>
                        </w:rPr>
                        <w:t>SUPERANNUATION: ASSESSING EFFICIENCY AND COMPETITIVENESS</w:t>
                      </w:r>
                    </w:p>
                    <w:p w14:paraId="1810726D" w14:textId="639ED6AC" w:rsidR="00067198" w:rsidRPr="009A1B05" w:rsidRDefault="00067198" w:rsidP="00B3153D">
                      <w:pPr>
                        <w:pBdr>
                          <w:top w:val="none" w:sz="0" w:space="0" w:color="auto"/>
                          <w:left w:val="none" w:sz="0" w:space="0" w:color="auto"/>
                          <w:bottom w:val="none" w:sz="0" w:space="0" w:color="auto"/>
                          <w:right w:val="none" w:sz="0" w:space="0" w:color="auto"/>
                          <w:between w:val="none" w:sz="0" w:space="0" w:color="auto"/>
                        </w:pBdr>
                        <w:rPr>
                          <w:caps/>
                          <w:color w:val="7F7F7F" w:themeColor="text1" w:themeTint="80"/>
                          <w:sz w:val="24"/>
                          <w:szCs w:val="44"/>
                        </w:rPr>
                      </w:pPr>
                      <w:r w:rsidRPr="009A1B05">
                        <w:rPr>
                          <w:caps/>
                          <w:color w:val="7F7F7F" w:themeColor="text1" w:themeTint="80"/>
                          <w:sz w:val="24"/>
                          <w:szCs w:val="44"/>
                        </w:rPr>
                        <w:t xml:space="preserve">MARK MACLEOD, </w:t>
                      </w:r>
                      <w:r w:rsidR="00E94BC3">
                        <w:rPr>
                          <w:caps/>
                          <w:color w:val="7F7F7F" w:themeColor="text1" w:themeTint="80"/>
                          <w:sz w:val="24"/>
                          <w:szCs w:val="44"/>
                        </w:rPr>
                        <w:t xml:space="preserve">ROLL-IT SUPER. </w:t>
                      </w:r>
                      <w:r w:rsidRPr="009A1B05">
                        <w:rPr>
                          <w:caps/>
                          <w:color w:val="7F7F7F" w:themeColor="text1" w:themeTint="80"/>
                          <w:sz w:val="24"/>
                          <w:szCs w:val="44"/>
                        </w:rPr>
                        <w:t>JUNE 2018</w:t>
                      </w:r>
                    </w:p>
                  </w:txbxContent>
                </v:textbox>
                <w10:wrap type="tight"/>
              </v:shape>
            </w:pict>
          </mc:Fallback>
        </mc:AlternateContent>
      </w:r>
      <w:r w:rsidR="00AC7315" w:rsidRPr="00766FF5">
        <w:rPr>
          <w:b/>
          <w:noProof/>
          <w:color w:val="0070C0"/>
          <w:sz w:val="44"/>
          <w:szCs w:val="44"/>
        </w:rPr>
        <mc:AlternateContent>
          <mc:Choice Requires="wps">
            <w:drawing>
              <wp:anchor distT="45720" distB="45720" distL="114300" distR="114300" simplePos="0" relativeHeight="251669504" behindDoc="0" locked="0" layoutInCell="1" allowOverlap="1" wp14:anchorId="2C1153A9" wp14:editId="26F1CBFC">
                <wp:simplePos x="0" y="0"/>
                <wp:positionH relativeFrom="page">
                  <wp:posOffset>154305</wp:posOffset>
                </wp:positionH>
                <wp:positionV relativeFrom="paragraph">
                  <wp:posOffset>2570480</wp:posOffset>
                </wp:positionV>
                <wp:extent cx="7255510" cy="5390515"/>
                <wp:effectExtent l="0" t="0" r="2540" b="63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5510" cy="5390515"/>
                        </a:xfrm>
                        <a:prstGeom prst="rect">
                          <a:avLst/>
                        </a:prstGeom>
                        <a:solidFill>
                          <a:srgbClr val="FFFFFF"/>
                        </a:solidFill>
                        <a:ln w="9525">
                          <a:noFill/>
                          <a:miter lim="800000"/>
                          <a:headEnd/>
                          <a:tailEnd/>
                        </a:ln>
                      </wps:spPr>
                      <wps:txbx>
                        <w:txbxContent>
                          <w:p w14:paraId="723070E1" w14:textId="454D78D6" w:rsidR="00067198" w:rsidRDefault="00067198" w:rsidP="00E84969">
                            <w:pPr>
                              <w:jc w:val="center"/>
                            </w:pPr>
                            <w:r>
                              <w:rPr>
                                <w:noProof/>
                              </w:rPr>
                              <w:drawing>
                                <wp:inline distT="0" distB="0" distL="0" distR="0" wp14:anchorId="0B50D524" wp14:editId="41EEC820">
                                  <wp:extent cx="6899563" cy="5337101"/>
                                  <wp:effectExtent l="0" t="0" r="0" b="0"/>
                                  <wp:docPr id="2" name="Picture 2" descr="A person jumping into the wat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llit-leap01.jpg"/>
                                          <pic:cNvPicPr/>
                                        </pic:nvPicPr>
                                        <pic:blipFill rotWithShape="1">
                                          <a:blip r:embed="rId9"/>
                                          <a:srcRect l="9206" r="26155"/>
                                          <a:stretch/>
                                        </pic:blipFill>
                                        <pic:spPr bwMode="auto">
                                          <a:xfrm>
                                            <a:off x="0" y="0"/>
                                            <a:ext cx="6917255" cy="5350786"/>
                                          </a:xfrm>
                                          <a:prstGeom prst="rect">
                                            <a:avLst/>
                                          </a:prstGeom>
                                          <a:ln>
                                            <a:noFill/>
                                          </a:ln>
                                          <a:extLst>
                                            <a:ext uri="{53640926-AAD7-44D8-BBD7-CCE9431645EC}">
                                              <a14:shadowObscured xmlns:a14="http://schemas.microsoft.com/office/drawing/2010/main"/>
                                            </a:ext>
                                          </a:extLst>
                                        </pic:spPr>
                                      </pic:pic>
                                    </a:graphicData>
                                  </a:graphic>
                                </wp:inline>
                              </w:drawing>
                            </w:r>
                          </w:p>
                          <w:p w14:paraId="48218B39" w14:textId="77777777" w:rsidR="00067198" w:rsidRDefault="00067198" w:rsidP="00E8496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C1153A9" id="_x0000_s1027" type="#_x0000_t202" style="position:absolute;margin-left:12.15pt;margin-top:202.4pt;width:571.3pt;height:424.4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" stroked="f">
                <v:textbox>
                  <w:txbxContent>
                    <w:p w14:paraId="723070E1" w14:textId="454D78D6" w:rsidR="00067198" w:rsidRDefault="00067198" w:rsidP="00E84969">
                      <w:pPr>
                        <w:jc w:val="center"/>
                      </w:pPr>
                      <w:r>
                        <w:rPr>
                          <w:noProof/>
                        </w:rPr>
                        <w:drawing>
                          <wp:inline distT="0" distB="0" distL="0" distR="0" wp14:anchorId="0B50D524" wp14:editId="41EEC820">
                            <wp:extent cx="6899563" cy="5337101"/>
                            <wp:effectExtent l="0" t="0" r="0" b="0"/>
                            <wp:docPr id="2" name="Picture 2" descr="A person jumping into the wat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llit-leap01.jpg"/>
                                    <pic:cNvPicPr/>
                                  </pic:nvPicPr>
                                  <pic:blipFill rotWithShape="1">
                                    <a:blip r:embed="rId10"/>
                                    <a:srcRect l="9206" r="26155"/>
                                    <a:stretch/>
                                  </pic:blipFill>
                                  <pic:spPr bwMode="auto">
                                    <a:xfrm>
                                      <a:off x="0" y="0"/>
                                      <a:ext cx="6917255" cy="5350786"/>
                                    </a:xfrm>
                                    <a:prstGeom prst="rect">
                                      <a:avLst/>
                                    </a:prstGeom>
                                    <a:ln>
                                      <a:noFill/>
                                    </a:ln>
                                    <a:extLst>
                                      <a:ext uri="{53640926-AAD7-44D8-BBD7-CCE9431645EC}">
                                        <a14:shadowObscured xmlns:a14="http://schemas.microsoft.com/office/drawing/2010/main"/>
                                      </a:ext>
                                    </a:extLst>
                                  </pic:spPr>
                                </pic:pic>
                              </a:graphicData>
                            </a:graphic>
                          </wp:inline>
                        </w:drawing>
                      </w:r>
                    </w:p>
                    <w:p w14:paraId="48218B39" w14:textId="77777777" w:rsidR="00067198" w:rsidRDefault="00067198" w:rsidP="00E84969">
                      <w:pPr>
                        <w:jc w:val="center"/>
                      </w:pPr>
                    </w:p>
                  </w:txbxContent>
                </v:textbox>
                <w10:wrap type="square" anchorx="page"/>
              </v:shape>
            </w:pict>
          </mc:Fallback>
        </mc:AlternateContent>
      </w:r>
      <w:r w:rsidR="00766FF5">
        <w:rPr>
          <w:b/>
          <w:color w:val="0070C0"/>
          <w:sz w:val="44"/>
          <w:szCs w:val="44"/>
        </w:rPr>
        <w:br w:type="page"/>
      </w:r>
    </w:p>
    <w:p w14:paraId="45CDDDB6" w14:textId="77777777" w:rsidR="005F4D18" w:rsidRDefault="005F4D18">
      <w:pPr>
        <w:rPr>
          <w:b/>
          <w:color w:val="0070C0"/>
          <w:sz w:val="44"/>
          <w:szCs w:val="44"/>
        </w:rPr>
        <w:sectPr w:rsidR="005F4D18" w:rsidSect="00A41B66">
          <w:footerReference w:type="default" r:id="rId11"/>
          <w:footerReference w:type="first" r:id="rId12"/>
          <w:pgSz w:w="11906" w:h="16838"/>
          <w:pgMar w:top="851" w:right="566" w:bottom="1440" w:left="1440" w:header="708" w:footer="708" w:gutter="0"/>
          <w:pgNumType w:start="0"/>
          <w:cols w:space="720"/>
          <w:titlePg/>
          <w:docGrid w:linePitch="299"/>
        </w:sectPr>
      </w:pPr>
    </w:p>
    <w:p w14:paraId="1CD56A1A" w14:textId="18E9CDA6" w:rsidR="00A12927" w:rsidRPr="00D97A54" w:rsidRDefault="00A12927">
      <w:pPr>
        <w:rPr>
          <w:color w:val="595959" w:themeColor="text1" w:themeTint="A6"/>
          <w:sz w:val="20"/>
          <w:szCs w:val="20"/>
        </w:rPr>
      </w:pPr>
      <w:r w:rsidRPr="00D97A54">
        <w:rPr>
          <w:color w:val="595959" w:themeColor="text1" w:themeTint="A6"/>
          <w:sz w:val="20"/>
          <w:szCs w:val="20"/>
        </w:rPr>
        <w:lastRenderedPageBreak/>
        <w:t>16 June 2018</w:t>
      </w:r>
    </w:p>
    <w:p w14:paraId="0A9BCAC3" w14:textId="37D079B6" w:rsidR="00D97A54" w:rsidRPr="00D97A54" w:rsidRDefault="00A12927">
      <w:pPr>
        <w:rPr>
          <w:color w:val="595959" w:themeColor="text1" w:themeTint="A6"/>
          <w:sz w:val="20"/>
          <w:szCs w:val="20"/>
        </w:rPr>
      </w:pPr>
      <w:r w:rsidRPr="00D97A54">
        <w:rPr>
          <w:color w:val="595959" w:themeColor="text1" w:themeTint="A6"/>
          <w:sz w:val="20"/>
          <w:szCs w:val="20"/>
        </w:rPr>
        <w:t xml:space="preserve">Productivity Commission </w:t>
      </w:r>
      <w:r w:rsidR="006D29AF" w:rsidRPr="00D97A54">
        <w:rPr>
          <w:color w:val="595959" w:themeColor="text1" w:themeTint="A6"/>
          <w:sz w:val="20"/>
          <w:szCs w:val="20"/>
        </w:rPr>
        <w:br/>
      </w:r>
      <w:r w:rsidRPr="00D97A54">
        <w:rPr>
          <w:color w:val="595959" w:themeColor="text1" w:themeTint="A6"/>
          <w:sz w:val="20"/>
          <w:szCs w:val="20"/>
        </w:rPr>
        <w:t xml:space="preserve">Locked Bag 2, Collins St East </w:t>
      </w:r>
      <w:r w:rsidR="006D29AF" w:rsidRPr="00D97A54">
        <w:rPr>
          <w:color w:val="595959" w:themeColor="text1" w:themeTint="A6"/>
          <w:sz w:val="20"/>
          <w:szCs w:val="20"/>
        </w:rPr>
        <w:br/>
      </w:r>
      <w:r w:rsidRPr="00D97A54">
        <w:rPr>
          <w:color w:val="595959" w:themeColor="text1" w:themeTint="A6"/>
          <w:sz w:val="20"/>
          <w:szCs w:val="20"/>
        </w:rPr>
        <w:t>Melbourne VIC 8003</w:t>
      </w:r>
    </w:p>
    <w:p w14:paraId="751A31BD" w14:textId="77777777" w:rsidR="00CD0981" w:rsidRDefault="00CD0981">
      <w:pPr>
        <w:rPr>
          <w:color w:val="595959" w:themeColor="text1" w:themeTint="A6"/>
          <w:sz w:val="20"/>
          <w:szCs w:val="20"/>
        </w:rPr>
      </w:pPr>
    </w:p>
    <w:p w14:paraId="2CEA7004" w14:textId="50317C0B" w:rsidR="00CD0981" w:rsidRPr="00CD0981" w:rsidRDefault="00A12927">
      <w:pPr>
        <w:rPr>
          <w:color w:val="595959" w:themeColor="text1" w:themeTint="A6"/>
          <w:sz w:val="20"/>
          <w:szCs w:val="20"/>
        </w:rPr>
      </w:pPr>
      <w:r w:rsidRPr="00D97A54">
        <w:rPr>
          <w:color w:val="595959" w:themeColor="text1" w:themeTint="A6"/>
          <w:sz w:val="20"/>
          <w:szCs w:val="20"/>
        </w:rPr>
        <w:t>Dear Commissioners</w:t>
      </w:r>
      <w:r w:rsidR="0091725C" w:rsidRPr="00D97A54">
        <w:rPr>
          <w:color w:val="595959" w:themeColor="text1" w:themeTint="A6"/>
          <w:sz w:val="20"/>
          <w:szCs w:val="20"/>
        </w:rPr>
        <w:t>,</w:t>
      </w:r>
      <w:r w:rsidRPr="00D97A54">
        <w:rPr>
          <w:color w:val="595959" w:themeColor="text1" w:themeTint="A6"/>
          <w:sz w:val="20"/>
          <w:szCs w:val="20"/>
        </w:rPr>
        <w:t xml:space="preserve"> </w:t>
      </w:r>
    </w:p>
    <w:p w14:paraId="3B424085" w14:textId="4715DDCA" w:rsidR="00906345" w:rsidRPr="00D97A54" w:rsidRDefault="0007090A">
      <w:pPr>
        <w:rPr>
          <w:b/>
          <w:color w:val="0070C0"/>
          <w:sz w:val="20"/>
          <w:szCs w:val="20"/>
        </w:rPr>
      </w:pPr>
      <w:r w:rsidRPr="00D97A54">
        <w:rPr>
          <w:b/>
          <w:color w:val="0070C0"/>
          <w:sz w:val="20"/>
          <w:szCs w:val="20"/>
        </w:rPr>
        <w:t>RE: Productivity Commission Draft Report “Superannuation: Assessing Efficiency and Competitiveness”</w:t>
      </w:r>
    </w:p>
    <w:p w14:paraId="54F47B41" w14:textId="157095E1" w:rsidR="00CD0981" w:rsidRPr="00CD0981" w:rsidRDefault="00EE6F5B">
      <w:pPr>
        <w:rPr>
          <w:color w:val="595959" w:themeColor="text1" w:themeTint="A6"/>
          <w:sz w:val="20"/>
          <w:szCs w:val="20"/>
        </w:rPr>
      </w:pPr>
      <w:r w:rsidRPr="00D97A54">
        <w:rPr>
          <w:color w:val="595959" w:themeColor="text1" w:themeTint="A6"/>
          <w:sz w:val="20"/>
          <w:szCs w:val="20"/>
        </w:rPr>
        <w:t xml:space="preserve">Roll-it </w:t>
      </w:r>
      <w:proofErr w:type="gramStart"/>
      <w:r w:rsidRPr="00D97A54">
        <w:rPr>
          <w:color w:val="595959" w:themeColor="text1" w:themeTint="A6"/>
          <w:sz w:val="20"/>
          <w:szCs w:val="20"/>
        </w:rPr>
        <w:t>Super</w:t>
      </w:r>
      <w:proofErr w:type="gramEnd"/>
      <w:r w:rsidRPr="00D97A54">
        <w:rPr>
          <w:color w:val="595959" w:themeColor="text1" w:themeTint="A6"/>
          <w:sz w:val="20"/>
          <w:szCs w:val="20"/>
        </w:rPr>
        <w:t xml:space="preserve"> welcomes the opportunity to provide a post-draft submission for </w:t>
      </w:r>
      <w:r w:rsidR="008E7665" w:rsidRPr="00D97A54">
        <w:rPr>
          <w:color w:val="595959" w:themeColor="text1" w:themeTint="A6"/>
          <w:sz w:val="20"/>
          <w:szCs w:val="20"/>
        </w:rPr>
        <w:t xml:space="preserve">the </w:t>
      </w:r>
      <w:r w:rsidRPr="00D97A54">
        <w:rPr>
          <w:color w:val="595959" w:themeColor="text1" w:themeTint="A6"/>
          <w:sz w:val="20"/>
          <w:szCs w:val="20"/>
        </w:rPr>
        <w:t>Superannuation Assessing Competitiveness and Efficiency public inquiry</w:t>
      </w:r>
      <w:r w:rsidR="008E7665" w:rsidRPr="00D97A54">
        <w:rPr>
          <w:color w:val="595959" w:themeColor="text1" w:themeTint="A6"/>
          <w:sz w:val="20"/>
          <w:szCs w:val="20"/>
        </w:rPr>
        <w:t xml:space="preserve">. </w:t>
      </w:r>
    </w:p>
    <w:p w14:paraId="230A99B0" w14:textId="38D816EE" w:rsidR="008B5765" w:rsidRPr="00D97A54" w:rsidRDefault="008D4B50">
      <w:pPr>
        <w:rPr>
          <w:b/>
          <w:color w:val="0070C0"/>
          <w:sz w:val="20"/>
          <w:szCs w:val="20"/>
        </w:rPr>
      </w:pPr>
      <w:r w:rsidRPr="00D97A54">
        <w:rPr>
          <w:b/>
          <w:color w:val="0070C0"/>
          <w:sz w:val="20"/>
          <w:szCs w:val="20"/>
        </w:rPr>
        <w:t>A</w:t>
      </w:r>
      <w:r w:rsidR="008E7665" w:rsidRPr="00D97A54">
        <w:rPr>
          <w:b/>
          <w:color w:val="0070C0"/>
          <w:sz w:val="20"/>
          <w:szCs w:val="20"/>
        </w:rPr>
        <w:t xml:space="preserve"> strong advocate of </w:t>
      </w:r>
      <w:r w:rsidR="006B0F7A" w:rsidRPr="00D97A54">
        <w:rPr>
          <w:b/>
          <w:color w:val="0070C0"/>
          <w:sz w:val="20"/>
          <w:szCs w:val="20"/>
        </w:rPr>
        <w:t xml:space="preserve">draft </w:t>
      </w:r>
      <w:r w:rsidR="0014572E" w:rsidRPr="00D97A54">
        <w:rPr>
          <w:b/>
          <w:color w:val="0070C0"/>
          <w:sz w:val="20"/>
          <w:szCs w:val="20"/>
        </w:rPr>
        <w:t xml:space="preserve">report </w:t>
      </w:r>
      <w:r w:rsidR="008E7665" w:rsidRPr="00D97A54">
        <w:rPr>
          <w:b/>
          <w:color w:val="0070C0"/>
          <w:sz w:val="20"/>
          <w:szCs w:val="20"/>
        </w:rPr>
        <w:t>recommendations</w:t>
      </w:r>
    </w:p>
    <w:p w14:paraId="697FA106" w14:textId="21CEB68C" w:rsidR="00794682" w:rsidRDefault="00E8069D">
      <w:pPr>
        <w:rPr>
          <w:color w:val="595959" w:themeColor="text1" w:themeTint="A6"/>
          <w:sz w:val="20"/>
          <w:szCs w:val="20"/>
        </w:rPr>
      </w:pPr>
      <w:r w:rsidRPr="00D97A54">
        <w:rPr>
          <w:color w:val="595959" w:themeColor="text1" w:themeTint="A6"/>
          <w:sz w:val="20"/>
          <w:szCs w:val="20"/>
        </w:rPr>
        <w:t xml:space="preserve">Superannuation is </w:t>
      </w:r>
      <w:r w:rsidR="00456384" w:rsidRPr="00D97A54">
        <w:rPr>
          <w:color w:val="595959" w:themeColor="text1" w:themeTint="A6"/>
          <w:sz w:val="20"/>
          <w:szCs w:val="20"/>
        </w:rPr>
        <w:t>a universal good</w:t>
      </w:r>
      <w:r w:rsidR="00375A1F" w:rsidRPr="00D97A54">
        <w:rPr>
          <w:color w:val="595959" w:themeColor="text1" w:themeTint="A6"/>
          <w:sz w:val="20"/>
          <w:szCs w:val="20"/>
        </w:rPr>
        <w:t xml:space="preserve"> and works to better the </w:t>
      </w:r>
      <w:r w:rsidR="007F0867" w:rsidRPr="00D97A54">
        <w:rPr>
          <w:color w:val="595959" w:themeColor="text1" w:themeTint="A6"/>
          <w:sz w:val="20"/>
          <w:szCs w:val="20"/>
        </w:rPr>
        <w:t xml:space="preserve">social fabric and overall quality of life for </w:t>
      </w:r>
      <w:r w:rsidR="00FD4FCA" w:rsidRPr="00D97A54">
        <w:rPr>
          <w:color w:val="595959" w:themeColor="text1" w:themeTint="A6"/>
          <w:sz w:val="20"/>
          <w:szCs w:val="20"/>
        </w:rPr>
        <w:t xml:space="preserve">all </w:t>
      </w:r>
      <w:r w:rsidR="00375A1F" w:rsidRPr="00D97A54">
        <w:rPr>
          <w:color w:val="595959" w:themeColor="text1" w:themeTint="A6"/>
          <w:sz w:val="20"/>
          <w:szCs w:val="20"/>
        </w:rPr>
        <w:t>Australians</w:t>
      </w:r>
      <w:r w:rsidR="00456384" w:rsidRPr="00D97A54">
        <w:rPr>
          <w:color w:val="595959" w:themeColor="text1" w:themeTint="A6"/>
          <w:sz w:val="20"/>
          <w:szCs w:val="20"/>
        </w:rPr>
        <w:t xml:space="preserve">. </w:t>
      </w:r>
      <w:r w:rsidR="00375A1F" w:rsidRPr="00D97A54">
        <w:rPr>
          <w:color w:val="595959" w:themeColor="text1" w:themeTint="A6"/>
          <w:sz w:val="20"/>
          <w:szCs w:val="20"/>
        </w:rPr>
        <w:t xml:space="preserve">Further, </w:t>
      </w:r>
      <w:r w:rsidR="007F0867" w:rsidRPr="00D97A54">
        <w:rPr>
          <w:color w:val="595959" w:themeColor="text1" w:themeTint="A6"/>
          <w:sz w:val="20"/>
          <w:szCs w:val="20"/>
        </w:rPr>
        <w:t xml:space="preserve">the </w:t>
      </w:r>
      <w:r w:rsidRPr="00D97A54">
        <w:rPr>
          <w:color w:val="595959" w:themeColor="text1" w:themeTint="A6"/>
          <w:sz w:val="20"/>
          <w:szCs w:val="20"/>
        </w:rPr>
        <w:t>Australia</w:t>
      </w:r>
      <w:r w:rsidR="007F0867" w:rsidRPr="00D97A54">
        <w:rPr>
          <w:color w:val="595959" w:themeColor="text1" w:themeTint="A6"/>
          <w:sz w:val="20"/>
          <w:szCs w:val="20"/>
        </w:rPr>
        <w:t>n</w:t>
      </w:r>
      <w:r w:rsidRPr="00D97A54">
        <w:rPr>
          <w:color w:val="595959" w:themeColor="text1" w:themeTint="A6"/>
          <w:sz w:val="20"/>
          <w:szCs w:val="20"/>
        </w:rPr>
        <w:t xml:space="preserve"> </w:t>
      </w:r>
      <w:r w:rsidR="007F0867" w:rsidRPr="00D97A54">
        <w:rPr>
          <w:color w:val="595959" w:themeColor="text1" w:themeTint="A6"/>
          <w:sz w:val="20"/>
          <w:szCs w:val="20"/>
        </w:rPr>
        <w:t>default superannuation model has been exceptionally successful in raising individual participation. However, the passivity of employers and employees has resulted in weak competition between suppliers.</w:t>
      </w:r>
      <w:r w:rsidR="00D16A21" w:rsidRPr="00D97A54">
        <w:rPr>
          <w:color w:val="595959" w:themeColor="text1" w:themeTint="A6"/>
          <w:sz w:val="20"/>
          <w:szCs w:val="20"/>
        </w:rPr>
        <w:t xml:space="preserve"> Super fund complacency is rife</w:t>
      </w:r>
      <w:r w:rsidR="00EA35F7" w:rsidRPr="00D97A54">
        <w:rPr>
          <w:color w:val="595959" w:themeColor="text1" w:themeTint="A6"/>
          <w:sz w:val="20"/>
          <w:szCs w:val="20"/>
        </w:rPr>
        <w:t>, with</w:t>
      </w:r>
      <w:r w:rsidR="00D16A21" w:rsidRPr="00D97A54">
        <w:rPr>
          <w:color w:val="595959" w:themeColor="text1" w:themeTint="A6"/>
          <w:sz w:val="20"/>
          <w:szCs w:val="20"/>
        </w:rPr>
        <w:t xml:space="preserve"> </w:t>
      </w:r>
      <w:r w:rsidR="00EA35F7" w:rsidRPr="00D97A54">
        <w:rPr>
          <w:color w:val="595959" w:themeColor="text1" w:themeTint="A6"/>
          <w:sz w:val="20"/>
          <w:szCs w:val="20"/>
        </w:rPr>
        <w:t xml:space="preserve">underperforming </w:t>
      </w:r>
      <w:r w:rsidR="00D16A21" w:rsidRPr="00D97A54">
        <w:rPr>
          <w:color w:val="595959" w:themeColor="text1" w:themeTint="A6"/>
          <w:sz w:val="20"/>
          <w:szCs w:val="20"/>
        </w:rPr>
        <w:t>funds exploit</w:t>
      </w:r>
      <w:r w:rsidR="00EA35F7" w:rsidRPr="00D97A54">
        <w:rPr>
          <w:color w:val="595959" w:themeColor="text1" w:themeTint="A6"/>
          <w:sz w:val="20"/>
          <w:szCs w:val="20"/>
        </w:rPr>
        <w:t>ing</w:t>
      </w:r>
      <w:r w:rsidR="00D16A21" w:rsidRPr="00D97A54">
        <w:rPr>
          <w:color w:val="595959" w:themeColor="text1" w:themeTint="A6"/>
          <w:sz w:val="20"/>
          <w:szCs w:val="20"/>
        </w:rPr>
        <w:t xml:space="preserve"> member apathy and disengagement, collecting increasing contribution inflows </w:t>
      </w:r>
      <w:r w:rsidR="00407DE6" w:rsidRPr="00D97A54">
        <w:rPr>
          <w:color w:val="595959" w:themeColor="text1" w:themeTint="A6"/>
          <w:sz w:val="20"/>
          <w:szCs w:val="20"/>
        </w:rPr>
        <w:t>while</w:t>
      </w:r>
      <w:r w:rsidR="00D16A21" w:rsidRPr="00D97A54">
        <w:rPr>
          <w:color w:val="595959" w:themeColor="text1" w:themeTint="A6"/>
          <w:sz w:val="20"/>
          <w:szCs w:val="20"/>
        </w:rPr>
        <w:t xml:space="preserve"> delivering utility-oriented products.</w:t>
      </w:r>
    </w:p>
    <w:p w14:paraId="59C0FBB9" w14:textId="77777777" w:rsidR="008D206D" w:rsidRDefault="00AD3843">
      <w:pPr>
        <w:rPr>
          <w:color w:val="595959" w:themeColor="text1" w:themeTint="A6"/>
          <w:sz w:val="20"/>
          <w:szCs w:val="20"/>
        </w:rPr>
      </w:pPr>
      <w:r>
        <w:rPr>
          <w:color w:val="595959" w:themeColor="text1" w:themeTint="A6"/>
          <w:sz w:val="20"/>
          <w:szCs w:val="20"/>
        </w:rPr>
        <w:t xml:space="preserve">The Productivity Commission Draft Report was an exceptional assessment </w:t>
      </w:r>
      <w:r w:rsidR="0082516D">
        <w:rPr>
          <w:color w:val="595959" w:themeColor="text1" w:themeTint="A6"/>
          <w:sz w:val="20"/>
          <w:szCs w:val="20"/>
        </w:rPr>
        <w:t xml:space="preserve">of the sector, </w:t>
      </w:r>
      <w:r w:rsidR="00051DA6">
        <w:rPr>
          <w:color w:val="595959" w:themeColor="text1" w:themeTint="A6"/>
          <w:sz w:val="20"/>
          <w:szCs w:val="20"/>
        </w:rPr>
        <w:t>despite the challenges of establishing a sufficient evidence base</w:t>
      </w:r>
      <w:r w:rsidR="0086321D">
        <w:rPr>
          <w:color w:val="595959" w:themeColor="text1" w:themeTint="A6"/>
          <w:sz w:val="20"/>
          <w:szCs w:val="20"/>
        </w:rPr>
        <w:t xml:space="preserve"> in some areas</w:t>
      </w:r>
      <w:r w:rsidR="00051DA6">
        <w:rPr>
          <w:color w:val="595959" w:themeColor="text1" w:themeTint="A6"/>
          <w:sz w:val="20"/>
          <w:szCs w:val="20"/>
        </w:rPr>
        <w:t>. W</w:t>
      </w:r>
      <w:r>
        <w:rPr>
          <w:color w:val="595959" w:themeColor="text1" w:themeTint="A6"/>
          <w:sz w:val="20"/>
          <w:szCs w:val="20"/>
        </w:rPr>
        <w:t xml:space="preserve">e are a strong advocate of </w:t>
      </w:r>
      <w:r w:rsidR="003E52BB">
        <w:rPr>
          <w:color w:val="595959" w:themeColor="text1" w:themeTint="A6"/>
          <w:sz w:val="20"/>
          <w:szCs w:val="20"/>
        </w:rPr>
        <w:t xml:space="preserve">the </w:t>
      </w:r>
      <w:r>
        <w:rPr>
          <w:color w:val="595959" w:themeColor="text1" w:themeTint="A6"/>
          <w:sz w:val="20"/>
          <w:szCs w:val="20"/>
        </w:rPr>
        <w:t>recommendations</w:t>
      </w:r>
      <w:r w:rsidR="008D206D">
        <w:rPr>
          <w:color w:val="595959" w:themeColor="text1" w:themeTint="A6"/>
          <w:sz w:val="20"/>
          <w:szCs w:val="20"/>
        </w:rPr>
        <w:t xml:space="preserve">. </w:t>
      </w:r>
    </w:p>
    <w:p w14:paraId="65EBCAD9" w14:textId="329BF129" w:rsidR="00635554" w:rsidRDefault="001042C0">
      <w:pPr>
        <w:rPr>
          <w:color w:val="595959" w:themeColor="text1" w:themeTint="A6"/>
          <w:sz w:val="20"/>
          <w:szCs w:val="20"/>
        </w:rPr>
      </w:pPr>
      <w:r>
        <w:rPr>
          <w:color w:val="595959" w:themeColor="text1" w:themeTint="A6"/>
          <w:sz w:val="20"/>
          <w:szCs w:val="20"/>
        </w:rPr>
        <w:t>Solving i</w:t>
      </w:r>
      <w:r w:rsidR="004A50ED">
        <w:rPr>
          <w:color w:val="595959" w:themeColor="text1" w:themeTint="A6"/>
          <w:sz w:val="20"/>
          <w:szCs w:val="20"/>
        </w:rPr>
        <w:t xml:space="preserve">mplementation </w:t>
      </w:r>
      <w:r>
        <w:rPr>
          <w:color w:val="595959" w:themeColor="text1" w:themeTint="A6"/>
          <w:sz w:val="20"/>
          <w:szCs w:val="20"/>
        </w:rPr>
        <w:t xml:space="preserve">challenges and reaching members to </w:t>
      </w:r>
      <w:r w:rsidR="00635554">
        <w:rPr>
          <w:color w:val="595959" w:themeColor="text1" w:themeTint="A6"/>
          <w:sz w:val="20"/>
          <w:szCs w:val="20"/>
        </w:rPr>
        <w:t>achiev</w:t>
      </w:r>
      <w:r>
        <w:rPr>
          <w:color w:val="595959" w:themeColor="text1" w:themeTint="A6"/>
          <w:sz w:val="20"/>
          <w:szCs w:val="20"/>
        </w:rPr>
        <w:t xml:space="preserve">e </w:t>
      </w:r>
      <w:r w:rsidR="004A50ED">
        <w:rPr>
          <w:color w:val="595959" w:themeColor="text1" w:themeTint="A6"/>
          <w:sz w:val="20"/>
          <w:szCs w:val="20"/>
        </w:rPr>
        <w:t xml:space="preserve">universal participation </w:t>
      </w:r>
      <w:r>
        <w:rPr>
          <w:color w:val="595959" w:themeColor="text1" w:themeTint="A6"/>
          <w:sz w:val="20"/>
          <w:szCs w:val="20"/>
        </w:rPr>
        <w:t xml:space="preserve">is an innovation </w:t>
      </w:r>
      <w:r w:rsidR="00635554">
        <w:rPr>
          <w:color w:val="595959" w:themeColor="text1" w:themeTint="A6"/>
          <w:sz w:val="20"/>
          <w:szCs w:val="20"/>
        </w:rPr>
        <w:t>opportunit</w:t>
      </w:r>
      <w:r>
        <w:rPr>
          <w:color w:val="595959" w:themeColor="text1" w:themeTint="A6"/>
          <w:sz w:val="20"/>
          <w:szCs w:val="20"/>
        </w:rPr>
        <w:t xml:space="preserve">y </w:t>
      </w:r>
      <w:r w:rsidR="00635554">
        <w:rPr>
          <w:color w:val="595959" w:themeColor="text1" w:themeTint="A6"/>
          <w:sz w:val="20"/>
          <w:szCs w:val="20"/>
        </w:rPr>
        <w:t xml:space="preserve">for </w:t>
      </w:r>
      <w:r>
        <w:rPr>
          <w:color w:val="595959" w:themeColor="text1" w:themeTint="A6"/>
          <w:sz w:val="20"/>
          <w:szCs w:val="20"/>
        </w:rPr>
        <w:t xml:space="preserve">private enterprise. As evidenced with </w:t>
      </w:r>
      <w:proofErr w:type="spellStart"/>
      <w:r>
        <w:rPr>
          <w:color w:val="595959" w:themeColor="text1" w:themeTint="A6"/>
          <w:sz w:val="20"/>
          <w:szCs w:val="20"/>
        </w:rPr>
        <w:t>Super</w:t>
      </w:r>
      <w:r w:rsidR="00D14E4E">
        <w:rPr>
          <w:color w:val="595959" w:themeColor="text1" w:themeTint="A6"/>
          <w:sz w:val="20"/>
          <w:szCs w:val="20"/>
        </w:rPr>
        <w:t>s</w:t>
      </w:r>
      <w:r>
        <w:rPr>
          <w:color w:val="595959" w:themeColor="text1" w:themeTint="A6"/>
          <w:sz w:val="20"/>
          <w:szCs w:val="20"/>
        </w:rPr>
        <w:t>tream</w:t>
      </w:r>
      <w:proofErr w:type="spellEnd"/>
      <w:r>
        <w:rPr>
          <w:color w:val="595959" w:themeColor="text1" w:themeTint="A6"/>
          <w:sz w:val="20"/>
          <w:szCs w:val="20"/>
        </w:rPr>
        <w:t xml:space="preserve">, </w:t>
      </w:r>
      <w:r w:rsidR="00CE54FC">
        <w:rPr>
          <w:color w:val="595959" w:themeColor="text1" w:themeTint="A6"/>
          <w:sz w:val="20"/>
          <w:szCs w:val="20"/>
        </w:rPr>
        <w:t xml:space="preserve">employer </w:t>
      </w:r>
      <w:r>
        <w:rPr>
          <w:color w:val="595959" w:themeColor="text1" w:themeTint="A6"/>
          <w:sz w:val="20"/>
          <w:szCs w:val="20"/>
        </w:rPr>
        <w:t>clearing</w:t>
      </w:r>
      <w:r w:rsidR="00CE54FC">
        <w:rPr>
          <w:color w:val="595959" w:themeColor="text1" w:themeTint="A6"/>
          <w:sz w:val="20"/>
          <w:szCs w:val="20"/>
        </w:rPr>
        <w:t xml:space="preserve"> house services</w:t>
      </w:r>
      <w:r>
        <w:rPr>
          <w:color w:val="595959" w:themeColor="text1" w:themeTint="A6"/>
          <w:sz w:val="20"/>
          <w:szCs w:val="20"/>
        </w:rPr>
        <w:t>, and Single Touch Payroll</w:t>
      </w:r>
      <w:r w:rsidR="00707FA0">
        <w:rPr>
          <w:color w:val="595959" w:themeColor="text1" w:themeTint="A6"/>
          <w:sz w:val="20"/>
          <w:szCs w:val="20"/>
        </w:rPr>
        <w:t>,</w:t>
      </w:r>
      <w:r w:rsidR="001F395C">
        <w:rPr>
          <w:color w:val="595959" w:themeColor="text1" w:themeTint="A6"/>
          <w:sz w:val="20"/>
          <w:szCs w:val="20"/>
        </w:rPr>
        <w:t xml:space="preserve"> </w:t>
      </w:r>
      <w:r w:rsidR="00707FA0">
        <w:rPr>
          <w:color w:val="595959" w:themeColor="text1" w:themeTint="A6"/>
          <w:sz w:val="20"/>
          <w:szCs w:val="20"/>
        </w:rPr>
        <w:t xml:space="preserve">private enterprise </w:t>
      </w:r>
      <w:r w:rsidR="00D57ECB">
        <w:rPr>
          <w:color w:val="595959" w:themeColor="text1" w:themeTint="A6"/>
          <w:sz w:val="20"/>
          <w:szCs w:val="20"/>
        </w:rPr>
        <w:t>and</w:t>
      </w:r>
      <w:r w:rsidR="001F395C">
        <w:rPr>
          <w:color w:val="595959" w:themeColor="text1" w:themeTint="A6"/>
          <w:sz w:val="20"/>
          <w:szCs w:val="20"/>
        </w:rPr>
        <w:t xml:space="preserve"> </w:t>
      </w:r>
      <w:r w:rsidR="00273488">
        <w:rPr>
          <w:color w:val="595959" w:themeColor="text1" w:themeTint="A6"/>
          <w:sz w:val="20"/>
          <w:szCs w:val="20"/>
        </w:rPr>
        <w:t>ATO</w:t>
      </w:r>
      <w:r w:rsidR="00CE54FC">
        <w:rPr>
          <w:color w:val="595959" w:themeColor="text1" w:themeTint="A6"/>
          <w:sz w:val="20"/>
          <w:szCs w:val="20"/>
        </w:rPr>
        <w:t xml:space="preserve"> </w:t>
      </w:r>
      <w:r w:rsidR="00D57ECB">
        <w:rPr>
          <w:color w:val="595959" w:themeColor="text1" w:themeTint="A6"/>
          <w:sz w:val="20"/>
          <w:szCs w:val="20"/>
        </w:rPr>
        <w:t xml:space="preserve">services </w:t>
      </w:r>
      <w:r w:rsidR="00F10F0B">
        <w:rPr>
          <w:color w:val="595959" w:themeColor="text1" w:themeTint="A6"/>
          <w:sz w:val="20"/>
          <w:szCs w:val="20"/>
        </w:rPr>
        <w:t xml:space="preserve">collectively </w:t>
      </w:r>
      <w:r w:rsidR="00D57ECB">
        <w:rPr>
          <w:color w:val="595959" w:themeColor="text1" w:themeTint="A6"/>
          <w:sz w:val="20"/>
          <w:szCs w:val="20"/>
        </w:rPr>
        <w:t>achieve greater market reach and engagement.</w:t>
      </w:r>
    </w:p>
    <w:p w14:paraId="4899D29C" w14:textId="7E3861AC" w:rsidR="00CD0981" w:rsidRPr="00CD0981" w:rsidRDefault="00581342" w:rsidP="00494772">
      <w:pPr>
        <w:rPr>
          <w:color w:val="595959" w:themeColor="text1" w:themeTint="A6"/>
          <w:sz w:val="20"/>
          <w:szCs w:val="20"/>
        </w:rPr>
      </w:pPr>
      <w:r>
        <w:rPr>
          <w:color w:val="595959" w:themeColor="text1" w:themeTint="A6"/>
          <w:sz w:val="20"/>
          <w:szCs w:val="20"/>
        </w:rPr>
        <w:t xml:space="preserve">Our submission responds to Productivity Commission recommendations with suggestions </w:t>
      </w:r>
      <w:r w:rsidR="001E3CCE">
        <w:rPr>
          <w:color w:val="595959" w:themeColor="text1" w:themeTint="A6"/>
          <w:sz w:val="20"/>
          <w:szCs w:val="20"/>
        </w:rPr>
        <w:t xml:space="preserve">that </w:t>
      </w:r>
      <w:r w:rsidR="00315667">
        <w:rPr>
          <w:color w:val="595959" w:themeColor="text1" w:themeTint="A6"/>
          <w:sz w:val="20"/>
          <w:szCs w:val="20"/>
        </w:rPr>
        <w:t xml:space="preserve">facilitate </w:t>
      </w:r>
      <w:r>
        <w:rPr>
          <w:color w:val="595959" w:themeColor="text1" w:themeTint="A6"/>
          <w:sz w:val="20"/>
          <w:szCs w:val="20"/>
        </w:rPr>
        <w:t>private enterprise innovation</w:t>
      </w:r>
      <w:r w:rsidR="001E3CCE">
        <w:rPr>
          <w:color w:val="595959" w:themeColor="text1" w:themeTint="A6"/>
          <w:sz w:val="20"/>
          <w:szCs w:val="20"/>
        </w:rPr>
        <w:t xml:space="preserve"> </w:t>
      </w:r>
      <w:r w:rsidR="00620481">
        <w:rPr>
          <w:color w:val="595959" w:themeColor="text1" w:themeTint="A6"/>
          <w:sz w:val="20"/>
          <w:szCs w:val="20"/>
        </w:rPr>
        <w:t xml:space="preserve">to </w:t>
      </w:r>
      <w:r w:rsidR="001E3CCE">
        <w:rPr>
          <w:color w:val="595959" w:themeColor="text1" w:themeTint="A6"/>
          <w:sz w:val="20"/>
          <w:szCs w:val="20"/>
        </w:rPr>
        <w:t xml:space="preserve">further member </w:t>
      </w:r>
      <w:r w:rsidR="00315667">
        <w:rPr>
          <w:color w:val="595959" w:themeColor="text1" w:themeTint="A6"/>
          <w:sz w:val="20"/>
          <w:szCs w:val="20"/>
        </w:rPr>
        <w:t>interests.</w:t>
      </w:r>
    </w:p>
    <w:p w14:paraId="498D2784" w14:textId="422961CD" w:rsidR="001E05B0" w:rsidRPr="00D97A54" w:rsidRDefault="0038789A" w:rsidP="00494772">
      <w:pPr>
        <w:rPr>
          <w:b/>
          <w:bCs/>
          <w:color w:val="0070C0"/>
          <w:sz w:val="20"/>
          <w:szCs w:val="20"/>
        </w:rPr>
      </w:pPr>
      <w:r w:rsidRPr="00D97A54">
        <w:rPr>
          <w:b/>
          <w:bCs/>
          <w:color w:val="0070C0"/>
          <w:sz w:val="20"/>
          <w:szCs w:val="20"/>
        </w:rPr>
        <w:t xml:space="preserve">The </w:t>
      </w:r>
      <w:r w:rsidR="006D0B39" w:rsidRPr="00D97A54">
        <w:rPr>
          <w:b/>
          <w:bCs/>
          <w:color w:val="0070C0"/>
          <w:sz w:val="20"/>
          <w:szCs w:val="20"/>
        </w:rPr>
        <w:t>pursuit of consumer led competition</w:t>
      </w:r>
      <w:r w:rsidR="000B127A" w:rsidRPr="00D97A54">
        <w:rPr>
          <w:b/>
          <w:bCs/>
          <w:color w:val="0070C0"/>
          <w:sz w:val="20"/>
          <w:szCs w:val="20"/>
        </w:rPr>
        <w:t xml:space="preserve"> in superannuation</w:t>
      </w:r>
    </w:p>
    <w:p w14:paraId="4DB48D58" w14:textId="3F4BFFED" w:rsidR="00494772" w:rsidRPr="00D97A54" w:rsidRDefault="00DB722B" w:rsidP="00494772">
      <w:pPr>
        <w:rPr>
          <w:bCs/>
          <w:color w:val="595959" w:themeColor="text1" w:themeTint="A6"/>
          <w:sz w:val="20"/>
          <w:szCs w:val="20"/>
        </w:rPr>
      </w:pPr>
      <w:r w:rsidRPr="00D97A54">
        <w:rPr>
          <w:bCs/>
          <w:color w:val="595959" w:themeColor="text1" w:themeTint="A6"/>
          <w:sz w:val="20"/>
          <w:szCs w:val="20"/>
        </w:rPr>
        <w:t xml:space="preserve">In the absence of strong consumer led competition </w:t>
      </w:r>
      <w:r w:rsidR="00197C1B" w:rsidRPr="00D97A54">
        <w:rPr>
          <w:bCs/>
          <w:color w:val="595959" w:themeColor="text1" w:themeTint="A6"/>
          <w:sz w:val="20"/>
          <w:szCs w:val="20"/>
        </w:rPr>
        <w:t>in the default segment</w:t>
      </w:r>
      <w:r w:rsidR="00E12262">
        <w:rPr>
          <w:bCs/>
          <w:color w:val="595959" w:themeColor="text1" w:themeTint="A6"/>
          <w:sz w:val="20"/>
          <w:szCs w:val="20"/>
        </w:rPr>
        <w:t>,</w:t>
      </w:r>
      <w:r w:rsidR="00197C1B" w:rsidRPr="00D97A54">
        <w:rPr>
          <w:bCs/>
          <w:color w:val="595959" w:themeColor="text1" w:themeTint="A6"/>
          <w:sz w:val="20"/>
          <w:szCs w:val="20"/>
        </w:rPr>
        <w:t xml:space="preserve"> the proposed </w:t>
      </w:r>
      <w:r w:rsidR="003C6648" w:rsidRPr="00D97A54">
        <w:rPr>
          <w:bCs/>
          <w:color w:val="595959" w:themeColor="text1" w:themeTint="A6"/>
          <w:sz w:val="20"/>
          <w:szCs w:val="20"/>
        </w:rPr>
        <w:t xml:space="preserve">assisted employee choice model </w:t>
      </w:r>
      <w:r w:rsidR="0041311D" w:rsidRPr="00D97A54">
        <w:rPr>
          <w:bCs/>
          <w:color w:val="595959" w:themeColor="text1" w:themeTint="A6"/>
          <w:sz w:val="20"/>
          <w:szCs w:val="20"/>
        </w:rPr>
        <w:t xml:space="preserve">is an excellent step towards improving retirement outcomes </w:t>
      </w:r>
      <w:r w:rsidR="008846D0" w:rsidRPr="00D97A54">
        <w:rPr>
          <w:bCs/>
          <w:color w:val="595959" w:themeColor="text1" w:themeTint="A6"/>
          <w:sz w:val="20"/>
          <w:szCs w:val="20"/>
        </w:rPr>
        <w:t xml:space="preserve">for </w:t>
      </w:r>
      <w:r w:rsidR="002007D1" w:rsidRPr="00D97A54">
        <w:rPr>
          <w:bCs/>
          <w:color w:val="595959" w:themeColor="text1" w:themeTint="A6"/>
          <w:sz w:val="20"/>
          <w:szCs w:val="20"/>
        </w:rPr>
        <w:t xml:space="preserve">everyday </w:t>
      </w:r>
      <w:r w:rsidR="008846D0" w:rsidRPr="00D97A54">
        <w:rPr>
          <w:bCs/>
          <w:color w:val="595959" w:themeColor="text1" w:themeTint="A6"/>
          <w:sz w:val="20"/>
          <w:szCs w:val="20"/>
        </w:rPr>
        <w:t>Australians</w:t>
      </w:r>
      <w:r w:rsidR="0041311D" w:rsidRPr="00D97A54">
        <w:rPr>
          <w:bCs/>
          <w:color w:val="595959" w:themeColor="text1" w:themeTint="A6"/>
          <w:sz w:val="20"/>
          <w:szCs w:val="20"/>
        </w:rPr>
        <w:t xml:space="preserve">. The model </w:t>
      </w:r>
      <w:r w:rsidR="009E11C2" w:rsidRPr="00D97A54">
        <w:rPr>
          <w:bCs/>
          <w:color w:val="595959" w:themeColor="text1" w:themeTint="A6"/>
          <w:sz w:val="20"/>
          <w:szCs w:val="20"/>
        </w:rPr>
        <w:t>protect</w:t>
      </w:r>
      <w:r w:rsidR="0041311D" w:rsidRPr="00D97A54">
        <w:rPr>
          <w:bCs/>
          <w:color w:val="595959" w:themeColor="text1" w:themeTint="A6"/>
          <w:sz w:val="20"/>
          <w:szCs w:val="20"/>
        </w:rPr>
        <w:t>s</w:t>
      </w:r>
      <w:r w:rsidR="009E11C2" w:rsidRPr="00D97A54">
        <w:rPr>
          <w:bCs/>
          <w:color w:val="595959" w:themeColor="text1" w:themeTint="A6"/>
          <w:sz w:val="20"/>
          <w:szCs w:val="20"/>
        </w:rPr>
        <w:t xml:space="preserve"> members </w:t>
      </w:r>
      <w:r w:rsidR="0041311D" w:rsidRPr="00D97A54">
        <w:rPr>
          <w:bCs/>
          <w:color w:val="595959" w:themeColor="text1" w:themeTint="A6"/>
          <w:sz w:val="20"/>
          <w:szCs w:val="20"/>
        </w:rPr>
        <w:t xml:space="preserve">from multiple accounts by </w:t>
      </w:r>
      <w:r w:rsidR="009E11C2" w:rsidRPr="00D97A54">
        <w:rPr>
          <w:bCs/>
          <w:color w:val="595959" w:themeColor="text1" w:themeTint="A6"/>
          <w:sz w:val="20"/>
          <w:szCs w:val="20"/>
        </w:rPr>
        <w:t>only default</w:t>
      </w:r>
      <w:r w:rsidR="003C6648" w:rsidRPr="00D97A54">
        <w:rPr>
          <w:bCs/>
          <w:color w:val="595959" w:themeColor="text1" w:themeTint="A6"/>
          <w:sz w:val="20"/>
          <w:szCs w:val="20"/>
        </w:rPr>
        <w:t>ing</w:t>
      </w:r>
      <w:r w:rsidR="009E11C2" w:rsidRPr="00D97A54">
        <w:rPr>
          <w:bCs/>
          <w:color w:val="595959" w:themeColor="text1" w:themeTint="A6"/>
          <w:sz w:val="20"/>
          <w:szCs w:val="20"/>
        </w:rPr>
        <w:t xml:space="preserve"> </w:t>
      </w:r>
      <w:r w:rsidR="003C6648" w:rsidRPr="00D97A54">
        <w:rPr>
          <w:bCs/>
          <w:color w:val="595959" w:themeColor="text1" w:themeTint="A6"/>
          <w:sz w:val="20"/>
          <w:szCs w:val="20"/>
        </w:rPr>
        <w:t xml:space="preserve">them </w:t>
      </w:r>
      <w:r w:rsidR="009E11C2" w:rsidRPr="00D97A54">
        <w:rPr>
          <w:bCs/>
          <w:color w:val="595959" w:themeColor="text1" w:themeTint="A6"/>
          <w:sz w:val="20"/>
          <w:szCs w:val="20"/>
        </w:rPr>
        <w:t>once</w:t>
      </w:r>
      <w:r w:rsidR="003C6648" w:rsidRPr="00D97A54">
        <w:rPr>
          <w:bCs/>
          <w:color w:val="595959" w:themeColor="text1" w:themeTint="A6"/>
          <w:sz w:val="20"/>
          <w:szCs w:val="20"/>
        </w:rPr>
        <w:t xml:space="preserve"> when they enter the workforce</w:t>
      </w:r>
      <w:r w:rsidR="00992D84" w:rsidRPr="00D97A54">
        <w:rPr>
          <w:bCs/>
          <w:color w:val="595959" w:themeColor="text1" w:themeTint="A6"/>
          <w:sz w:val="20"/>
          <w:szCs w:val="20"/>
        </w:rPr>
        <w:t>. T</w:t>
      </w:r>
      <w:r w:rsidR="004A4E75" w:rsidRPr="00D97A54">
        <w:rPr>
          <w:bCs/>
          <w:color w:val="595959" w:themeColor="text1" w:themeTint="A6"/>
          <w:sz w:val="20"/>
          <w:szCs w:val="20"/>
        </w:rPr>
        <w:t xml:space="preserve">he </w:t>
      </w:r>
      <w:r w:rsidR="0041311D" w:rsidRPr="00D97A54">
        <w:rPr>
          <w:bCs/>
          <w:color w:val="595959" w:themeColor="text1" w:themeTint="A6"/>
          <w:sz w:val="20"/>
          <w:szCs w:val="20"/>
        </w:rPr>
        <w:t xml:space="preserve">curated short-list of ‘best in show’ products ensures disengaged members </w:t>
      </w:r>
      <w:r w:rsidR="004A4E75" w:rsidRPr="00D97A54">
        <w:rPr>
          <w:bCs/>
          <w:color w:val="595959" w:themeColor="text1" w:themeTint="A6"/>
          <w:sz w:val="20"/>
          <w:szCs w:val="20"/>
        </w:rPr>
        <w:t xml:space="preserve">are </w:t>
      </w:r>
      <w:r w:rsidR="0041311D" w:rsidRPr="00D97A54">
        <w:rPr>
          <w:bCs/>
          <w:color w:val="595959" w:themeColor="text1" w:themeTint="A6"/>
          <w:sz w:val="20"/>
          <w:szCs w:val="20"/>
        </w:rPr>
        <w:t>not default</w:t>
      </w:r>
      <w:r w:rsidR="004A4E75" w:rsidRPr="00D97A54">
        <w:rPr>
          <w:bCs/>
          <w:color w:val="595959" w:themeColor="text1" w:themeTint="A6"/>
          <w:sz w:val="20"/>
          <w:szCs w:val="20"/>
        </w:rPr>
        <w:t>ed</w:t>
      </w:r>
      <w:r w:rsidR="0041311D" w:rsidRPr="00D97A54">
        <w:rPr>
          <w:bCs/>
          <w:color w:val="595959" w:themeColor="text1" w:themeTint="A6"/>
          <w:sz w:val="20"/>
          <w:szCs w:val="20"/>
        </w:rPr>
        <w:t xml:space="preserve"> into underperforming </w:t>
      </w:r>
      <w:r w:rsidR="004A4E75" w:rsidRPr="00D97A54">
        <w:rPr>
          <w:bCs/>
          <w:color w:val="595959" w:themeColor="text1" w:themeTint="A6"/>
          <w:sz w:val="20"/>
          <w:szCs w:val="20"/>
        </w:rPr>
        <w:t xml:space="preserve">products </w:t>
      </w:r>
      <w:r w:rsidR="00080419" w:rsidRPr="00D97A54">
        <w:rPr>
          <w:bCs/>
          <w:color w:val="595959" w:themeColor="text1" w:themeTint="A6"/>
          <w:sz w:val="20"/>
          <w:szCs w:val="20"/>
        </w:rPr>
        <w:t xml:space="preserve">by </w:t>
      </w:r>
      <w:r w:rsidR="00B40A18" w:rsidRPr="00D97A54">
        <w:rPr>
          <w:bCs/>
          <w:color w:val="595959" w:themeColor="text1" w:themeTint="A6"/>
          <w:sz w:val="20"/>
          <w:szCs w:val="20"/>
        </w:rPr>
        <w:t>employers</w:t>
      </w:r>
      <w:r w:rsidR="00D120F2" w:rsidRPr="00D97A54">
        <w:rPr>
          <w:bCs/>
          <w:color w:val="595959" w:themeColor="text1" w:themeTint="A6"/>
          <w:sz w:val="20"/>
          <w:szCs w:val="20"/>
        </w:rPr>
        <w:t xml:space="preserve"> </w:t>
      </w:r>
      <w:r w:rsidR="00992D84" w:rsidRPr="00D97A54">
        <w:rPr>
          <w:bCs/>
          <w:color w:val="595959" w:themeColor="text1" w:themeTint="A6"/>
          <w:sz w:val="20"/>
          <w:szCs w:val="20"/>
        </w:rPr>
        <w:t xml:space="preserve">either </w:t>
      </w:r>
      <w:r w:rsidR="00D120F2" w:rsidRPr="00D97A54">
        <w:rPr>
          <w:bCs/>
          <w:color w:val="595959" w:themeColor="text1" w:themeTint="A6"/>
          <w:sz w:val="20"/>
          <w:szCs w:val="20"/>
        </w:rPr>
        <w:t xml:space="preserve">ill-equipped to select </w:t>
      </w:r>
      <w:r w:rsidR="00080419" w:rsidRPr="00D97A54">
        <w:rPr>
          <w:bCs/>
          <w:color w:val="595959" w:themeColor="text1" w:themeTint="A6"/>
          <w:sz w:val="20"/>
          <w:szCs w:val="20"/>
        </w:rPr>
        <w:t>a fund</w:t>
      </w:r>
      <w:r w:rsidR="009E4B7D">
        <w:rPr>
          <w:bCs/>
          <w:color w:val="595959" w:themeColor="text1" w:themeTint="A6"/>
          <w:sz w:val="20"/>
          <w:szCs w:val="20"/>
        </w:rPr>
        <w:t>,</w:t>
      </w:r>
      <w:r w:rsidR="00992D84" w:rsidRPr="00D97A54">
        <w:rPr>
          <w:bCs/>
          <w:color w:val="595959" w:themeColor="text1" w:themeTint="A6"/>
          <w:sz w:val="20"/>
          <w:szCs w:val="20"/>
        </w:rPr>
        <w:t xml:space="preserve"> </w:t>
      </w:r>
      <w:r w:rsidR="00D120F2" w:rsidRPr="00D97A54">
        <w:rPr>
          <w:bCs/>
          <w:color w:val="595959" w:themeColor="text1" w:themeTint="A6"/>
          <w:sz w:val="20"/>
          <w:szCs w:val="20"/>
        </w:rPr>
        <w:t>or conflict</w:t>
      </w:r>
      <w:r w:rsidR="00992D84" w:rsidRPr="00D97A54">
        <w:rPr>
          <w:bCs/>
          <w:color w:val="595959" w:themeColor="text1" w:themeTint="A6"/>
          <w:sz w:val="20"/>
          <w:szCs w:val="20"/>
        </w:rPr>
        <w:t>ed</w:t>
      </w:r>
      <w:r w:rsidR="00D120F2" w:rsidRPr="00D97A54">
        <w:rPr>
          <w:bCs/>
          <w:color w:val="595959" w:themeColor="text1" w:themeTint="A6"/>
          <w:sz w:val="20"/>
          <w:szCs w:val="20"/>
        </w:rPr>
        <w:t xml:space="preserve"> </w:t>
      </w:r>
      <w:r w:rsidR="00080419" w:rsidRPr="00D97A54">
        <w:rPr>
          <w:bCs/>
          <w:color w:val="595959" w:themeColor="text1" w:themeTint="A6"/>
          <w:sz w:val="20"/>
          <w:szCs w:val="20"/>
        </w:rPr>
        <w:t>and fail</w:t>
      </w:r>
      <w:r w:rsidR="00992D84" w:rsidRPr="00D97A54">
        <w:rPr>
          <w:bCs/>
          <w:color w:val="595959" w:themeColor="text1" w:themeTint="A6"/>
          <w:sz w:val="20"/>
          <w:szCs w:val="20"/>
        </w:rPr>
        <w:t xml:space="preserve">ing </w:t>
      </w:r>
      <w:r w:rsidR="00080419" w:rsidRPr="00D97A54">
        <w:rPr>
          <w:bCs/>
          <w:color w:val="595959" w:themeColor="text1" w:themeTint="A6"/>
          <w:sz w:val="20"/>
          <w:szCs w:val="20"/>
        </w:rPr>
        <w:t xml:space="preserve">to </w:t>
      </w:r>
      <w:r w:rsidR="00A241B9" w:rsidRPr="00D97A54">
        <w:rPr>
          <w:bCs/>
          <w:color w:val="595959" w:themeColor="text1" w:themeTint="A6"/>
          <w:sz w:val="20"/>
          <w:szCs w:val="20"/>
        </w:rPr>
        <w:t xml:space="preserve">act </w:t>
      </w:r>
      <w:r w:rsidR="00690011" w:rsidRPr="00D97A54">
        <w:rPr>
          <w:bCs/>
          <w:color w:val="595959" w:themeColor="text1" w:themeTint="A6"/>
          <w:sz w:val="20"/>
          <w:szCs w:val="20"/>
        </w:rPr>
        <w:t xml:space="preserve">for the </w:t>
      </w:r>
      <w:r w:rsidR="00E7328E" w:rsidRPr="00D97A54">
        <w:rPr>
          <w:bCs/>
          <w:color w:val="595959" w:themeColor="text1" w:themeTint="A6"/>
          <w:sz w:val="20"/>
          <w:szCs w:val="20"/>
        </w:rPr>
        <w:t xml:space="preserve">sole </w:t>
      </w:r>
      <w:r w:rsidR="00690011" w:rsidRPr="00D97A54">
        <w:rPr>
          <w:bCs/>
          <w:color w:val="595959" w:themeColor="text1" w:themeTint="A6"/>
          <w:sz w:val="20"/>
          <w:szCs w:val="20"/>
        </w:rPr>
        <w:t xml:space="preserve">benefit </w:t>
      </w:r>
      <w:r w:rsidR="00A241B9" w:rsidRPr="00D97A54">
        <w:rPr>
          <w:bCs/>
          <w:color w:val="595959" w:themeColor="text1" w:themeTint="A6"/>
          <w:sz w:val="20"/>
          <w:szCs w:val="20"/>
        </w:rPr>
        <w:t>of employees</w:t>
      </w:r>
      <w:r w:rsidR="008033D8" w:rsidRPr="00D97A54">
        <w:rPr>
          <w:bCs/>
          <w:color w:val="595959" w:themeColor="text1" w:themeTint="A6"/>
          <w:sz w:val="20"/>
          <w:szCs w:val="20"/>
        </w:rPr>
        <w:t>.</w:t>
      </w:r>
    </w:p>
    <w:p w14:paraId="7239A3FB" w14:textId="08DE99A8" w:rsidR="00F12550" w:rsidRDefault="004C2B36">
      <w:pPr>
        <w:rPr>
          <w:color w:val="595959" w:themeColor="text1" w:themeTint="A6"/>
          <w:sz w:val="20"/>
          <w:szCs w:val="20"/>
        </w:rPr>
      </w:pPr>
      <w:r>
        <w:rPr>
          <w:color w:val="595959" w:themeColor="text1" w:themeTint="A6"/>
          <w:sz w:val="20"/>
          <w:szCs w:val="20"/>
        </w:rPr>
        <w:t xml:space="preserve">We </w:t>
      </w:r>
      <w:r w:rsidR="00DE675F">
        <w:rPr>
          <w:color w:val="595959" w:themeColor="text1" w:themeTint="A6"/>
          <w:sz w:val="20"/>
          <w:szCs w:val="20"/>
        </w:rPr>
        <w:t xml:space="preserve">recommend </w:t>
      </w:r>
      <w:r w:rsidR="00F12550">
        <w:rPr>
          <w:color w:val="595959" w:themeColor="text1" w:themeTint="A6"/>
          <w:sz w:val="20"/>
          <w:szCs w:val="20"/>
        </w:rPr>
        <w:t xml:space="preserve">the </w:t>
      </w:r>
      <w:r w:rsidR="00DE675F">
        <w:rPr>
          <w:color w:val="595959" w:themeColor="text1" w:themeTint="A6"/>
          <w:sz w:val="20"/>
          <w:szCs w:val="20"/>
        </w:rPr>
        <w:t xml:space="preserve">Government and ATO allow authorised service providers to integrate with </w:t>
      </w:r>
      <w:r w:rsidR="007819BB">
        <w:rPr>
          <w:color w:val="595959" w:themeColor="text1" w:themeTint="A6"/>
          <w:sz w:val="20"/>
          <w:szCs w:val="20"/>
        </w:rPr>
        <w:t>the</w:t>
      </w:r>
      <w:r>
        <w:rPr>
          <w:color w:val="595959" w:themeColor="text1" w:themeTint="A6"/>
          <w:sz w:val="20"/>
          <w:szCs w:val="20"/>
        </w:rPr>
        <w:t xml:space="preserve"> </w:t>
      </w:r>
      <w:r w:rsidR="00DE675F">
        <w:rPr>
          <w:color w:val="595959" w:themeColor="text1" w:themeTint="A6"/>
          <w:sz w:val="20"/>
          <w:szCs w:val="20"/>
        </w:rPr>
        <w:t xml:space="preserve">centralised online service to support </w:t>
      </w:r>
      <w:r w:rsidR="007819BB">
        <w:rPr>
          <w:color w:val="595959" w:themeColor="text1" w:themeTint="A6"/>
          <w:sz w:val="20"/>
          <w:szCs w:val="20"/>
        </w:rPr>
        <w:t xml:space="preserve">the </w:t>
      </w:r>
      <w:r w:rsidR="00DE675F">
        <w:rPr>
          <w:color w:val="595959" w:themeColor="text1" w:themeTint="A6"/>
          <w:sz w:val="20"/>
          <w:szCs w:val="20"/>
        </w:rPr>
        <w:t>open</w:t>
      </w:r>
      <w:r w:rsidR="007819BB">
        <w:rPr>
          <w:color w:val="595959" w:themeColor="text1" w:themeTint="A6"/>
          <w:sz w:val="20"/>
          <w:szCs w:val="20"/>
        </w:rPr>
        <w:t>ing</w:t>
      </w:r>
      <w:r w:rsidR="00DE675F">
        <w:rPr>
          <w:color w:val="595959" w:themeColor="text1" w:themeTint="A6"/>
          <w:sz w:val="20"/>
          <w:szCs w:val="20"/>
        </w:rPr>
        <w:t>, clos</w:t>
      </w:r>
      <w:r w:rsidR="007819BB">
        <w:rPr>
          <w:color w:val="595959" w:themeColor="text1" w:themeTint="A6"/>
          <w:sz w:val="20"/>
          <w:szCs w:val="20"/>
        </w:rPr>
        <w:t>ing</w:t>
      </w:r>
      <w:r w:rsidR="0028181D">
        <w:rPr>
          <w:color w:val="595959" w:themeColor="text1" w:themeTint="A6"/>
          <w:sz w:val="20"/>
          <w:szCs w:val="20"/>
        </w:rPr>
        <w:t xml:space="preserve">, </w:t>
      </w:r>
      <w:r w:rsidR="007819BB">
        <w:rPr>
          <w:color w:val="595959" w:themeColor="text1" w:themeTint="A6"/>
          <w:sz w:val="20"/>
          <w:szCs w:val="20"/>
        </w:rPr>
        <w:t>consolidation</w:t>
      </w:r>
      <w:r w:rsidR="00DE675F">
        <w:rPr>
          <w:color w:val="595959" w:themeColor="text1" w:themeTint="A6"/>
          <w:sz w:val="20"/>
          <w:szCs w:val="20"/>
        </w:rPr>
        <w:t xml:space="preserve"> </w:t>
      </w:r>
      <w:r w:rsidR="0028181D">
        <w:rPr>
          <w:color w:val="595959" w:themeColor="text1" w:themeTint="A6"/>
          <w:sz w:val="20"/>
          <w:szCs w:val="20"/>
        </w:rPr>
        <w:t xml:space="preserve">or carryover </w:t>
      </w:r>
      <w:r w:rsidR="007819BB">
        <w:rPr>
          <w:color w:val="595959" w:themeColor="text1" w:themeTint="A6"/>
          <w:sz w:val="20"/>
          <w:szCs w:val="20"/>
        </w:rPr>
        <w:t xml:space="preserve">of </w:t>
      </w:r>
      <w:r w:rsidR="00DE675F">
        <w:rPr>
          <w:color w:val="595959" w:themeColor="text1" w:themeTint="A6"/>
          <w:sz w:val="20"/>
          <w:szCs w:val="20"/>
        </w:rPr>
        <w:t xml:space="preserve">accounts. </w:t>
      </w:r>
      <w:r w:rsidR="000A252F">
        <w:rPr>
          <w:color w:val="595959" w:themeColor="text1" w:themeTint="A6"/>
          <w:sz w:val="20"/>
          <w:szCs w:val="20"/>
        </w:rPr>
        <w:t>S</w:t>
      </w:r>
      <w:r w:rsidR="00DE675F">
        <w:rPr>
          <w:color w:val="595959" w:themeColor="text1" w:themeTint="A6"/>
          <w:sz w:val="20"/>
          <w:szCs w:val="20"/>
        </w:rPr>
        <w:t xml:space="preserve">ervice providers may </w:t>
      </w:r>
      <w:r w:rsidR="007819BB">
        <w:rPr>
          <w:color w:val="595959" w:themeColor="text1" w:themeTint="A6"/>
          <w:sz w:val="20"/>
          <w:szCs w:val="20"/>
        </w:rPr>
        <w:t xml:space="preserve">also </w:t>
      </w:r>
      <w:r w:rsidR="00DE675F">
        <w:rPr>
          <w:color w:val="595959" w:themeColor="text1" w:themeTint="A6"/>
          <w:sz w:val="20"/>
          <w:szCs w:val="20"/>
        </w:rPr>
        <w:t xml:space="preserve">have greater reach with employers </w:t>
      </w:r>
      <w:r w:rsidR="00D00817">
        <w:rPr>
          <w:color w:val="595959" w:themeColor="text1" w:themeTint="A6"/>
          <w:sz w:val="20"/>
          <w:szCs w:val="20"/>
        </w:rPr>
        <w:t>and be able to extend the benefits of the assisted choice model to existing employees, not just those new to the workforce</w:t>
      </w:r>
      <w:r w:rsidR="00406F64">
        <w:rPr>
          <w:color w:val="595959" w:themeColor="text1" w:themeTint="A6"/>
          <w:sz w:val="20"/>
          <w:szCs w:val="20"/>
        </w:rPr>
        <w:t>.</w:t>
      </w:r>
    </w:p>
    <w:p w14:paraId="70820565" w14:textId="77777777" w:rsidR="00CD0981" w:rsidRDefault="00CD0981">
      <w:pPr>
        <w:rPr>
          <w:color w:val="595959" w:themeColor="text1" w:themeTint="A6"/>
          <w:sz w:val="20"/>
          <w:szCs w:val="20"/>
        </w:rPr>
      </w:pPr>
    </w:p>
    <w:p w14:paraId="23493F12" w14:textId="3418F729" w:rsidR="00906345" w:rsidRPr="00D97A54" w:rsidRDefault="00906345">
      <w:pPr>
        <w:rPr>
          <w:color w:val="595959" w:themeColor="text1" w:themeTint="A6"/>
          <w:sz w:val="20"/>
          <w:szCs w:val="20"/>
        </w:rPr>
      </w:pPr>
      <w:r w:rsidRPr="00D97A54">
        <w:rPr>
          <w:color w:val="595959" w:themeColor="text1" w:themeTint="A6"/>
          <w:sz w:val="20"/>
          <w:szCs w:val="20"/>
        </w:rPr>
        <w:t xml:space="preserve">Kind regards </w:t>
      </w:r>
      <w:r w:rsidR="00396C21" w:rsidRPr="00D97A54">
        <w:rPr>
          <w:color w:val="595959" w:themeColor="text1" w:themeTint="A6"/>
          <w:sz w:val="20"/>
          <w:szCs w:val="20"/>
        </w:rPr>
        <w:br/>
      </w:r>
    </w:p>
    <w:p w14:paraId="2DF9C0DA" w14:textId="1B0B47A9" w:rsidR="001F5779" w:rsidRPr="00D97A54" w:rsidRDefault="001F5779">
      <w:pPr>
        <w:rPr>
          <w:color w:val="595959" w:themeColor="text1" w:themeTint="A6"/>
          <w:sz w:val="20"/>
          <w:szCs w:val="20"/>
        </w:rPr>
      </w:pPr>
      <w:r w:rsidRPr="00D97A54">
        <w:rPr>
          <w:b/>
          <w:color w:val="595959" w:themeColor="text1" w:themeTint="A6"/>
          <w:sz w:val="20"/>
          <w:szCs w:val="20"/>
        </w:rPr>
        <w:t>Mark MacLeod</w:t>
      </w:r>
      <w:r w:rsidR="00253364">
        <w:rPr>
          <w:b/>
          <w:color w:val="595959" w:themeColor="text1" w:themeTint="A6"/>
          <w:sz w:val="20"/>
          <w:szCs w:val="20"/>
        </w:rPr>
        <w:t>.</w:t>
      </w:r>
      <w:r w:rsidR="00AA4CD5" w:rsidRPr="00D97A54">
        <w:rPr>
          <w:color w:val="595959" w:themeColor="text1" w:themeTint="A6"/>
          <w:sz w:val="20"/>
          <w:szCs w:val="20"/>
        </w:rPr>
        <w:t xml:space="preserve"> </w:t>
      </w:r>
      <w:r w:rsidRPr="00D97A54">
        <w:rPr>
          <w:color w:val="595959" w:themeColor="text1" w:themeTint="A6"/>
          <w:sz w:val="20"/>
          <w:szCs w:val="20"/>
        </w:rPr>
        <w:t>Founder</w:t>
      </w:r>
      <w:r w:rsidR="005861BA">
        <w:rPr>
          <w:color w:val="595959" w:themeColor="text1" w:themeTint="A6"/>
          <w:sz w:val="20"/>
          <w:szCs w:val="20"/>
        </w:rPr>
        <w:t xml:space="preserve"> &amp; CEO</w:t>
      </w:r>
      <w:r w:rsidRPr="00D97A54">
        <w:rPr>
          <w:color w:val="595959" w:themeColor="text1" w:themeTint="A6"/>
          <w:sz w:val="20"/>
          <w:szCs w:val="20"/>
        </w:rPr>
        <w:t>, Roll-it Super</w:t>
      </w:r>
    </w:p>
    <w:p w14:paraId="4124C3D6" w14:textId="05B33E7C" w:rsidR="008042A9" w:rsidRDefault="00D97A54">
      <w:pPr>
        <w:rPr>
          <w:b/>
          <w:color w:val="1B365F"/>
          <w:sz w:val="36"/>
          <w:szCs w:val="36"/>
        </w:rPr>
      </w:pPr>
      <w:r>
        <w:rPr>
          <w:b/>
          <w:color w:val="1B365F"/>
          <w:sz w:val="36"/>
          <w:szCs w:val="36"/>
        </w:rPr>
        <w:br w:type="page"/>
      </w:r>
      <w:r w:rsidR="009E0550">
        <w:rPr>
          <w:b/>
          <w:color w:val="1B365F"/>
          <w:sz w:val="36"/>
          <w:szCs w:val="36"/>
        </w:rPr>
        <w:lastRenderedPageBreak/>
        <w:t>ABOUT ROLL-IT SUPER</w:t>
      </w:r>
      <w:r w:rsidR="008042A9" w:rsidRPr="0063208D">
        <w:rPr>
          <w:b/>
          <w:color w:val="1B365F"/>
          <w:sz w:val="36"/>
          <w:szCs w:val="36"/>
        </w:rPr>
        <w:t xml:space="preserve"> </w:t>
      </w:r>
    </w:p>
    <w:p w14:paraId="2AB51D37" w14:textId="4720D65D" w:rsidR="008E45ED" w:rsidRPr="0016513E" w:rsidRDefault="00272623">
      <w:pPr>
        <w:rPr>
          <w:b/>
          <w:color w:val="0070C0"/>
          <w:sz w:val="20"/>
          <w:szCs w:val="20"/>
        </w:rPr>
      </w:pPr>
      <w:r w:rsidRPr="0016513E">
        <w:rPr>
          <w:b/>
          <w:color w:val="0070C0"/>
          <w:sz w:val="20"/>
          <w:szCs w:val="20"/>
        </w:rPr>
        <w:t>HELPING GREAT EMPLOYERS TO FINANCIALLY EMPOWER EMPLOYEES</w:t>
      </w:r>
    </w:p>
    <w:p w14:paraId="70392F1A" w14:textId="2328C1CB" w:rsidR="00A87908" w:rsidRPr="0016513E" w:rsidRDefault="00E05399">
      <w:pPr>
        <w:rPr>
          <w:color w:val="595959" w:themeColor="text1" w:themeTint="A6"/>
          <w:sz w:val="20"/>
          <w:szCs w:val="20"/>
        </w:rPr>
      </w:pPr>
      <w:r>
        <w:rPr>
          <w:color w:val="595959" w:themeColor="text1" w:themeTint="A6"/>
          <w:sz w:val="20"/>
          <w:szCs w:val="20"/>
        </w:rPr>
        <w:t xml:space="preserve">Launching in 2018, </w:t>
      </w:r>
      <w:r w:rsidR="00154294" w:rsidRPr="0016513E">
        <w:rPr>
          <w:color w:val="595959" w:themeColor="text1" w:themeTint="A6"/>
          <w:sz w:val="20"/>
          <w:szCs w:val="20"/>
        </w:rPr>
        <w:t>Roll-it Super has re-imagined superannuation</w:t>
      </w:r>
      <w:r w:rsidR="00D762F5" w:rsidRPr="0016513E">
        <w:rPr>
          <w:color w:val="595959" w:themeColor="text1" w:themeTint="A6"/>
          <w:sz w:val="20"/>
          <w:szCs w:val="20"/>
        </w:rPr>
        <w:t xml:space="preserve">. We’ve incorporated employee rewards, financial wellbeing, financial literacy and superannuation into a platform that employers can provide their employees for free. Employers </w:t>
      </w:r>
      <w:r w:rsidR="00894E9B" w:rsidRPr="0016513E">
        <w:rPr>
          <w:color w:val="595959" w:themeColor="text1" w:themeTint="A6"/>
          <w:sz w:val="20"/>
          <w:szCs w:val="20"/>
        </w:rPr>
        <w:t xml:space="preserve">are able </w:t>
      </w:r>
      <w:r w:rsidR="00D762F5" w:rsidRPr="0016513E">
        <w:rPr>
          <w:color w:val="595959" w:themeColor="text1" w:themeTint="A6"/>
          <w:sz w:val="20"/>
          <w:szCs w:val="20"/>
        </w:rPr>
        <w:t xml:space="preserve">demonstrate they care about </w:t>
      </w:r>
      <w:r w:rsidR="003601CE" w:rsidRPr="0016513E">
        <w:rPr>
          <w:color w:val="595959" w:themeColor="text1" w:themeTint="A6"/>
          <w:sz w:val="20"/>
          <w:szCs w:val="20"/>
        </w:rPr>
        <w:t xml:space="preserve">an employee’s </w:t>
      </w:r>
      <w:r w:rsidR="00D762F5" w:rsidRPr="0016513E">
        <w:rPr>
          <w:color w:val="595959" w:themeColor="text1" w:themeTint="A6"/>
          <w:sz w:val="20"/>
          <w:szCs w:val="20"/>
        </w:rPr>
        <w:t xml:space="preserve">personal and family financial wellbeing, unrelated to company profits and performance. </w:t>
      </w:r>
      <w:r w:rsidR="00C01740">
        <w:rPr>
          <w:color w:val="595959" w:themeColor="text1" w:themeTint="A6"/>
          <w:sz w:val="20"/>
          <w:szCs w:val="20"/>
        </w:rPr>
        <w:t xml:space="preserve">In return, </w:t>
      </w:r>
      <w:r w:rsidR="003601CE" w:rsidRPr="0016513E">
        <w:rPr>
          <w:color w:val="595959" w:themeColor="text1" w:themeTint="A6"/>
          <w:sz w:val="20"/>
          <w:szCs w:val="20"/>
        </w:rPr>
        <w:t>r</w:t>
      </w:r>
      <w:r w:rsidR="000770E1" w:rsidRPr="0016513E">
        <w:rPr>
          <w:color w:val="595959" w:themeColor="text1" w:themeTint="A6"/>
          <w:sz w:val="20"/>
          <w:szCs w:val="20"/>
        </w:rPr>
        <w:t>esearch has proven that e</w:t>
      </w:r>
      <w:r w:rsidR="00D762F5" w:rsidRPr="0016513E">
        <w:rPr>
          <w:color w:val="595959" w:themeColor="text1" w:themeTint="A6"/>
          <w:sz w:val="20"/>
          <w:szCs w:val="20"/>
        </w:rPr>
        <w:t xml:space="preserve">mployees </w:t>
      </w:r>
      <w:r w:rsidR="008A45A6" w:rsidRPr="0016513E">
        <w:rPr>
          <w:color w:val="595959" w:themeColor="text1" w:themeTint="A6"/>
          <w:sz w:val="20"/>
          <w:szCs w:val="20"/>
        </w:rPr>
        <w:t xml:space="preserve">reciprocate </w:t>
      </w:r>
      <w:r w:rsidR="000770E1" w:rsidRPr="0016513E">
        <w:rPr>
          <w:color w:val="595959" w:themeColor="text1" w:themeTint="A6"/>
          <w:sz w:val="20"/>
          <w:szCs w:val="20"/>
        </w:rPr>
        <w:t xml:space="preserve">the ‘gift’ of financial empowerment </w:t>
      </w:r>
      <w:r w:rsidR="008A45A6" w:rsidRPr="0016513E">
        <w:rPr>
          <w:color w:val="595959" w:themeColor="text1" w:themeTint="A6"/>
          <w:sz w:val="20"/>
          <w:szCs w:val="20"/>
        </w:rPr>
        <w:t xml:space="preserve">with higher </w:t>
      </w:r>
      <w:r w:rsidR="00D762F5" w:rsidRPr="0016513E">
        <w:rPr>
          <w:color w:val="595959" w:themeColor="text1" w:themeTint="A6"/>
          <w:sz w:val="20"/>
          <w:szCs w:val="20"/>
        </w:rPr>
        <w:t xml:space="preserve">organisational commitment and productivity. </w:t>
      </w:r>
    </w:p>
    <w:p w14:paraId="68EBC0AF" w14:textId="3B524D60" w:rsidR="00B6436E" w:rsidRPr="0016513E" w:rsidRDefault="00553B97" w:rsidP="00B6436E">
      <w:pPr>
        <w:rPr>
          <w:color w:val="0070C0"/>
          <w:sz w:val="20"/>
          <w:szCs w:val="20"/>
        </w:rPr>
      </w:pPr>
      <w:r>
        <w:rPr>
          <w:b/>
          <w:bCs/>
          <w:color w:val="0070C0"/>
          <w:sz w:val="20"/>
          <w:szCs w:val="20"/>
        </w:rPr>
        <w:t>Supporting e</w:t>
      </w:r>
      <w:r w:rsidR="00B6436E" w:rsidRPr="0016513E">
        <w:rPr>
          <w:b/>
          <w:bCs/>
          <w:color w:val="0070C0"/>
          <w:sz w:val="20"/>
          <w:szCs w:val="20"/>
        </w:rPr>
        <w:t>mployees to find and invest in high performing funds.</w:t>
      </w:r>
    </w:p>
    <w:p w14:paraId="1DED8773" w14:textId="642F8C5D" w:rsidR="00B6436E" w:rsidRPr="0016513E" w:rsidRDefault="001B662E" w:rsidP="00B6436E">
      <w:pPr>
        <w:rPr>
          <w:color w:val="595959" w:themeColor="text1" w:themeTint="A6"/>
          <w:sz w:val="20"/>
          <w:szCs w:val="20"/>
        </w:rPr>
      </w:pPr>
      <w:r w:rsidRPr="0016513E">
        <w:rPr>
          <w:color w:val="595959" w:themeColor="text1" w:themeTint="A6"/>
          <w:sz w:val="20"/>
          <w:szCs w:val="20"/>
        </w:rPr>
        <w:t xml:space="preserve">Most </w:t>
      </w:r>
      <w:r w:rsidR="00B6436E" w:rsidRPr="0016513E">
        <w:rPr>
          <w:color w:val="595959" w:themeColor="text1" w:themeTint="A6"/>
          <w:sz w:val="20"/>
          <w:szCs w:val="20"/>
        </w:rPr>
        <w:t xml:space="preserve">employees leave </w:t>
      </w:r>
      <w:r w:rsidRPr="0016513E">
        <w:rPr>
          <w:color w:val="595959" w:themeColor="text1" w:themeTint="A6"/>
          <w:sz w:val="20"/>
          <w:szCs w:val="20"/>
        </w:rPr>
        <w:t xml:space="preserve">their choice of </w:t>
      </w:r>
      <w:r w:rsidR="00D2240B">
        <w:rPr>
          <w:color w:val="595959" w:themeColor="text1" w:themeTint="A6"/>
          <w:sz w:val="20"/>
          <w:szCs w:val="20"/>
        </w:rPr>
        <w:t xml:space="preserve">super </w:t>
      </w:r>
      <w:r w:rsidRPr="0016513E">
        <w:rPr>
          <w:color w:val="595959" w:themeColor="text1" w:themeTint="A6"/>
          <w:sz w:val="20"/>
          <w:szCs w:val="20"/>
        </w:rPr>
        <w:t xml:space="preserve">fund, </w:t>
      </w:r>
      <w:r w:rsidR="00B6436E" w:rsidRPr="0016513E">
        <w:rPr>
          <w:color w:val="595959" w:themeColor="text1" w:themeTint="A6"/>
          <w:sz w:val="20"/>
          <w:szCs w:val="20"/>
        </w:rPr>
        <w:t>one of the most important financial decisions of their lives</w:t>
      </w:r>
      <w:r w:rsidR="00A5470A">
        <w:rPr>
          <w:color w:val="595959" w:themeColor="text1" w:themeTint="A6"/>
          <w:sz w:val="20"/>
          <w:szCs w:val="20"/>
        </w:rPr>
        <w:t xml:space="preserve">, </w:t>
      </w:r>
      <w:r w:rsidR="00B6436E" w:rsidRPr="0016513E">
        <w:rPr>
          <w:color w:val="595959" w:themeColor="text1" w:themeTint="A6"/>
          <w:sz w:val="20"/>
          <w:szCs w:val="20"/>
        </w:rPr>
        <w:t>to employers. At Roll-it Super, we don’t expect employers to be able to find the best super fund for every employee. Only an individual can know their financial situation, risk appetite and investment values. </w:t>
      </w:r>
    </w:p>
    <w:p w14:paraId="2852324F" w14:textId="6DEA26F3" w:rsidR="007D1A22" w:rsidRPr="0016513E" w:rsidRDefault="00D11E95">
      <w:pPr>
        <w:rPr>
          <w:color w:val="595959" w:themeColor="text1" w:themeTint="A6"/>
          <w:sz w:val="20"/>
          <w:szCs w:val="20"/>
        </w:rPr>
      </w:pPr>
      <w:r w:rsidRPr="0016513E">
        <w:rPr>
          <w:color w:val="595959" w:themeColor="text1" w:themeTint="A6"/>
          <w:sz w:val="20"/>
          <w:szCs w:val="20"/>
        </w:rPr>
        <w:t>W</w:t>
      </w:r>
      <w:r w:rsidR="00B6436E" w:rsidRPr="0016513E">
        <w:rPr>
          <w:color w:val="595959" w:themeColor="text1" w:themeTint="A6"/>
          <w:sz w:val="20"/>
          <w:szCs w:val="20"/>
        </w:rPr>
        <w:t>e</w:t>
      </w:r>
      <w:r w:rsidRPr="0016513E">
        <w:rPr>
          <w:color w:val="595959" w:themeColor="text1" w:themeTint="A6"/>
          <w:sz w:val="20"/>
          <w:szCs w:val="20"/>
        </w:rPr>
        <w:t>’ve</w:t>
      </w:r>
      <w:r w:rsidR="00B6436E" w:rsidRPr="0016513E">
        <w:rPr>
          <w:color w:val="595959" w:themeColor="text1" w:themeTint="A6"/>
          <w:sz w:val="20"/>
          <w:szCs w:val="20"/>
        </w:rPr>
        <w:t xml:space="preserve"> made it </w:t>
      </w:r>
      <w:r w:rsidR="00477623" w:rsidRPr="0016513E">
        <w:rPr>
          <w:color w:val="595959" w:themeColor="text1" w:themeTint="A6"/>
          <w:sz w:val="20"/>
          <w:szCs w:val="20"/>
        </w:rPr>
        <w:t xml:space="preserve">easy for </w:t>
      </w:r>
      <w:r w:rsidR="00B6436E" w:rsidRPr="0016513E">
        <w:rPr>
          <w:color w:val="595959" w:themeColor="text1" w:themeTint="A6"/>
          <w:sz w:val="20"/>
          <w:szCs w:val="20"/>
        </w:rPr>
        <w:t xml:space="preserve">employees to </w:t>
      </w:r>
      <w:r w:rsidRPr="0016513E">
        <w:rPr>
          <w:color w:val="595959" w:themeColor="text1" w:themeTint="A6"/>
          <w:sz w:val="20"/>
          <w:szCs w:val="20"/>
        </w:rPr>
        <w:t>act</w:t>
      </w:r>
      <w:r w:rsidR="00B6436E" w:rsidRPr="0016513E">
        <w:rPr>
          <w:color w:val="595959" w:themeColor="text1" w:themeTint="A6"/>
          <w:sz w:val="20"/>
          <w:szCs w:val="20"/>
        </w:rPr>
        <w:t xml:space="preserve"> and feel confident their super savings are in the right place.</w:t>
      </w:r>
      <w:r w:rsidR="00B6436E" w:rsidRPr="0016513E">
        <w:rPr>
          <w:rFonts w:eastAsia="Arial"/>
          <w:color w:val="595959" w:themeColor="text1" w:themeTint="A6"/>
          <w:sz w:val="20"/>
          <w:szCs w:val="20"/>
        </w:rPr>
        <w:t xml:space="preserve"> </w:t>
      </w:r>
      <w:r w:rsidRPr="0016513E">
        <w:rPr>
          <w:rFonts w:eastAsia="Arial"/>
          <w:color w:val="595959" w:themeColor="text1" w:themeTint="A6"/>
          <w:sz w:val="20"/>
          <w:szCs w:val="20"/>
        </w:rPr>
        <w:t xml:space="preserve">Our platform </w:t>
      </w:r>
      <w:r w:rsidR="00477623" w:rsidRPr="0016513E">
        <w:rPr>
          <w:rFonts w:eastAsia="Arial"/>
          <w:color w:val="595959" w:themeColor="text1" w:themeTint="A6"/>
          <w:sz w:val="20"/>
          <w:szCs w:val="20"/>
        </w:rPr>
        <w:t xml:space="preserve">enables </w:t>
      </w:r>
      <w:r w:rsidR="00477623" w:rsidRPr="0016513E">
        <w:rPr>
          <w:color w:val="595959" w:themeColor="text1" w:themeTint="A6"/>
          <w:sz w:val="20"/>
          <w:szCs w:val="20"/>
        </w:rPr>
        <w:t>e</w:t>
      </w:r>
      <w:r w:rsidR="00B6436E" w:rsidRPr="0016513E">
        <w:rPr>
          <w:color w:val="595959" w:themeColor="text1" w:themeTint="A6"/>
          <w:sz w:val="20"/>
          <w:szCs w:val="20"/>
        </w:rPr>
        <w:t xml:space="preserve">mployees </w:t>
      </w:r>
      <w:r w:rsidR="00477623" w:rsidRPr="0016513E">
        <w:rPr>
          <w:color w:val="595959" w:themeColor="text1" w:themeTint="A6"/>
          <w:sz w:val="20"/>
          <w:szCs w:val="20"/>
        </w:rPr>
        <w:t xml:space="preserve">to </w:t>
      </w:r>
      <w:r w:rsidR="00B6436E" w:rsidRPr="0016513E">
        <w:rPr>
          <w:color w:val="595959" w:themeColor="text1" w:themeTint="A6"/>
          <w:sz w:val="20"/>
          <w:szCs w:val="20"/>
        </w:rPr>
        <w:t xml:space="preserve">easily compare and switch to their choice of fund at a push of a button. </w:t>
      </w:r>
      <w:r w:rsidR="000770E1" w:rsidRPr="0016513E">
        <w:rPr>
          <w:color w:val="595959" w:themeColor="text1" w:themeTint="A6"/>
          <w:sz w:val="20"/>
          <w:szCs w:val="20"/>
        </w:rPr>
        <w:t xml:space="preserve">We provide </w:t>
      </w:r>
      <w:r w:rsidR="00477623" w:rsidRPr="0016513E">
        <w:rPr>
          <w:color w:val="595959" w:themeColor="text1" w:themeTint="A6"/>
          <w:sz w:val="20"/>
          <w:szCs w:val="20"/>
        </w:rPr>
        <w:t xml:space="preserve">unbiased, independent information on </w:t>
      </w:r>
      <w:r w:rsidR="000770E1" w:rsidRPr="0016513E">
        <w:rPr>
          <w:color w:val="595959" w:themeColor="text1" w:themeTint="A6"/>
          <w:sz w:val="20"/>
          <w:szCs w:val="20"/>
        </w:rPr>
        <w:t xml:space="preserve">every public offer super fund and do not receive commissions </w:t>
      </w:r>
      <w:r w:rsidR="00104FE4">
        <w:rPr>
          <w:color w:val="595959" w:themeColor="text1" w:themeTint="A6"/>
          <w:sz w:val="20"/>
          <w:szCs w:val="20"/>
        </w:rPr>
        <w:t>from product issuers</w:t>
      </w:r>
      <w:r w:rsidR="00477623" w:rsidRPr="0016513E">
        <w:rPr>
          <w:color w:val="595959" w:themeColor="text1" w:themeTint="A6"/>
          <w:sz w:val="20"/>
          <w:szCs w:val="20"/>
        </w:rPr>
        <w:t>.</w:t>
      </w:r>
      <w:r w:rsidR="000770E1" w:rsidRPr="0016513E">
        <w:rPr>
          <w:color w:val="595959" w:themeColor="text1" w:themeTint="A6"/>
          <w:sz w:val="20"/>
          <w:szCs w:val="20"/>
        </w:rPr>
        <w:t xml:space="preserve"> </w:t>
      </w:r>
      <w:r w:rsidR="00477623" w:rsidRPr="0016513E">
        <w:rPr>
          <w:color w:val="595959" w:themeColor="text1" w:themeTint="A6"/>
          <w:sz w:val="20"/>
          <w:szCs w:val="20"/>
        </w:rPr>
        <w:t>T</w:t>
      </w:r>
      <w:r w:rsidR="000770E1" w:rsidRPr="0016513E">
        <w:rPr>
          <w:color w:val="595959" w:themeColor="text1" w:themeTint="A6"/>
          <w:sz w:val="20"/>
          <w:szCs w:val="20"/>
        </w:rPr>
        <w:t xml:space="preserve">he decision to stay or leave a super fund is 100% up to </w:t>
      </w:r>
      <w:r w:rsidR="00D20E87">
        <w:rPr>
          <w:color w:val="595959" w:themeColor="text1" w:themeTint="A6"/>
          <w:sz w:val="20"/>
          <w:szCs w:val="20"/>
        </w:rPr>
        <w:t xml:space="preserve">the </w:t>
      </w:r>
      <w:r w:rsidR="0062177D">
        <w:rPr>
          <w:color w:val="595959" w:themeColor="text1" w:themeTint="A6"/>
          <w:sz w:val="20"/>
          <w:szCs w:val="20"/>
        </w:rPr>
        <w:t>individual</w:t>
      </w:r>
      <w:r w:rsidR="000770E1" w:rsidRPr="0016513E">
        <w:rPr>
          <w:color w:val="595959" w:themeColor="text1" w:themeTint="A6"/>
          <w:sz w:val="20"/>
          <w:szCs w:val="20"/>
        </w:rPr>
        <w:t xml:space="preserve">. We simply want to make it easy to </w:t>
      </w:r>
      <w:r w:rsidR="00EA7FAA">
        <w:rPr>
          <w:color w:val="595959" w:themeColor="text1" w:themeTint="A6"/>
          <w:sz w:val="20"/>
          <w:szCs w:val="20"/>
        </w:rPr>
        <w:t xml:space="preserve">take control of your super </w:t>
      </w:r>
      <w:r w:rsidR="000770E1" w:rsidRPr="0016513E">
        <w:rPr>
          <w:color w:val="595959" w:themeColor="text1" w:themeTint="A6"/>
          <w:sz w:val="20"/>
          <w:szCs w:val="20"/>
        </w:rPr>
        <w:t xml:space="preserve">and </w:t>
      </w:r>
      <w:r w:rsidR="00BD77BF" w:rsidRPr="0016513E">
        <w:rPr>
          <w:color w:val="595959" w:themeColor="text1" w:themeTint="A6"/>
          <w:sz w:val="20"/>
          <w:szCs w:val="20"/>
        </w:rPr>
        <w:t xml:space="preserve">have the </w:t>
      </w:r>
      <w:r w:rsidR="00402229" w:rsidRPr="0016513E">
        <w:rPr>
          <w:color w:val="595959" w:themeColor="text1" w:themeTint="A6"/>
          <w:sz w:val="20"/>
          <w:szCs w:val="20"/>
        </w:rPr>
        <w:t xml:space="preserve">super funds </w:t>
      </w:r>
      <w:r w:rsidR="000770E1" w:rsidRPr="0016513E">
        <w:rPr>
          <w:color w:val="595959" w:themeColor="text1" w:themeTint="A6"/>
          <w:sz w:val="20"/>
          <w:szCs w:val="20"/>
        </w:rPr>
        <w:t xml:space="preserve">work hard for </w:t>
      </w:r>
      <w:r w:rsidR="001D57D7">
        <w:rPr>
          <w:color w:val="595959" w:themeColor="text1" w:themeTint="A6"/>
          <w:sz w:val="20"/>
          <w:szCs w:val="20"/>
        </w:rPr>
        <w:t>y</w:t>
      </w:r>
      <w:r w:rsidR="00827FC9">
        <w:rPr>
          <w:color w:val="595959" w:themeColor="text1" w:themeTint="A6"/>
          <w:sz w:val="20"/>
          <w:szCs w:val="20"/>
        </w:rPr>
        <w:t xml:space="preserve">our </w:t>
      </w:r>
      <w:r w:rsidR="000770E1" w:rsidRPr="0016513E">
        <w:rPr>
          <w:color w:val="595959" w:themeColor="text1" w:themeTint="A6"/>
          <w:sz w:val="20"/>
          <w:szCs w:val="20"/>
        </w:rPr>
        <w:t>money.</w:t>
      </w:r>
    </w:p>
    <w:p w14:paraId="4295B2D7" w14:textId="77777777" w:rsidR="009E0550" w:rsidRPr="0016513E" w:rsidRDefault="009E0550">
      <w:pPr>
        <w:rPr>
          <w:sz w:val="20"/>
          <w:szCs w:val="20"/>
        </w:rPr>
      </w:pPr>
    </w:p>
    <w:p w14:paraId="675F4539" w14:textId="569684F6" w:rsidR="00E252DF" w:rsidRPr="00D505A2" w:rsidRDefault="009E0550" w:rsidP="007C0136">
      <w:pPr>
        <w:rPr>
          <w:b/>
          <w:color w:val="1B365F"/>
          <w:sz w:val="36"/>
          <w:szCs w:val="36"/>
        </w:rPr>
      </w:pPr>
      <w:r>
        <w:rPr>
          <w:b/>
          <w:color w:val="1B365F"/>
          <w:sz w:val="36"/>
          <w:szCs w:val="36"/>
        </w:rPr>
        <w:t>RESPONSE TO DRAFT REPORT</w:t>
      </w:r>
    </w:p>
    <w:p w14:paraId="21D2BAF2" w14:textId="3C3C10DA" w:rsidR="007C0136" w:rsidRPr="007C0136" w:rsidRDefault="007C0136" w:rsidP="007C0136">
      <w:pPr>
        <w:rPr>
          <w:b/>
          <w:caps/>
          <w:color w:val="0070C0"/>
          <w:sz w:val="20"/>
          <w:szCs w:val="20"/>
        </w:rPr>
      </w:pPr>
      <w:r w:rsidRPr="007C0136">
        <w:rPr>
          <w:b/>
          <w:caps/>
          <w:color w:val="0070C0"/>
          <w:sz w:val="20"/>
          <w:szCs w:val="20"/>
        </w:rPr>
        <w:t>Draft Recommendation 1: Defaulting only once for new workforce entrants</w:t>
      </w:r>
    </w:p>
    <w:p w14:paraId="5367D59C" w14:textId="77777777" w:rsidR="007C0136" w:rsidRPr="008F575A" w:rsidRDefault="007C0136" w:rsidP="007C0136">
      <w:pPr>
        <w:rPr>
          <w:i/>
          <w:color w:val="595959" w:themeColor="text1" w:themeTint="A6"/>
          <w:sz w:val="20"/>
          <w:szCs w:val="20"/>
        </w:rPr>
      </w:pPr>
      <w:r w:rsidRPr="008F575A">
        <w:rPr>
          <w:i/>
          <w:color w:val="595959" w:themeColor="text1" w:themeTint="A6"/>
          <w:sz w:val="20"/>
          <w:szCs w:val="20"/>
        </w:rPr>
        <w:t>Default superannuation accounts should only be created for members who are new to the workforce or do not already have a superannuation account (and do not nominate a fund of their own).</w:t>
      </w:r>
    </w:p>
    <w:p w14:paraId="517A9D62" w14:textId="7B436EA5" w:rsidR="007C0136" w:rsidRPr="008F575A" w:rsidRDefault="007C0136" w:rsidP="007C0136">
      <w:pPr>
        <w:rPr>
          <w:i/>
          <w:color w:val="595959" w:themeColor="text1" w:themeTint="A6"/>
          <w:sz w:val="20"/>
          <w:szCs w:val="20"/>
        </w:rPr>
      </w:pPr>
      <w:r w:rsidRPr="008F575A">
        <w:rPr>
          <w:i/>
          <w:color w:val="595959" w:themeColor="text1" w:themeTint="A6"/>
          <w:sz w:val="20"/>
          <w:szCs w:val="20"/>
        </w:rPr>
        <w:t>To facilitate this, the Australian Government and the ATO should continue work towards establishing a centralised online service for members, e</w:t>
      </w:r>
      <w:r w:rsidR="000A1590">
        <w:rPr>
          <w:i/>
          <w:color w:val="595959" w:themeColor="text1" w:themeTint="A6"/>
          <w:sz w:val="20"/>
          <w:szCs w:val="20"/>
        </w:rPr>
        <w:t>m</w:t>
      </w:r>
      <w:r w:rsidRPr="008F575A">
        <w:rPr>
          <w:i/>
          <w:color w:val="595959" w:themeColor="text1" w:themeTint="A6"/>
          <w:sz w:val="20"/>
          <w:szCs w:val="20"/>
        </w:rPr>
        <w:t xml:space="preserve">ployers and the Government that builds on the existing functionality of </w:t>
      </w:r>
      <w:proofErr w:type="spellStart"/>
      <w:r w:rsidRPr="008F575A">
        <w:rPr>
          <w:i/>
          <w:color w:val="595959" w:themeColor="text1" w:themeTint="A6"/>
          <w:sz w:val="20"/>
          <w:szCs w:val="20"/>
        </w:rPr>
        <w:t>myGov</w:t>
      </w:r>
      <w:proofErr w:type="spellEnd"/>
      <w:r w:rsidRPr="008F575A">
        <w:rPr>
          <w:i/>
          <w:color w:val="595959" w:themeColor="text1" w:themeTint="A6"/>
          <w:sz w:val="20"/>
          <w:szCs w:val="20"/>
        </w:rPr>
        <w:t xml:space="preserve"> and Single Touch Payroll. The service should: </w:t>
      </w:r>
    </w:p>
    <w:p w14:paraId="67F49F07" w14:textId="77777777" w:rsidR="007C0136" w:rsidRPr="008F575A" w:rsidRDefault="007C0136" w:rsidP="007C0136">
      <w:pPr>
        <w:pStyle w:val="ListParagraph"/>
        <w:numPr>
          <w:ilvl w:val="0"/>
          <w:numId w:val="9"/>
        </w:numPr>
        <w:rPr>
          <w:i/>
          <w:color w:val="595959" w:themeColor="text1" w:themeTint="A6"/>
          <w:sz w:val="20"/>
          <w:szCs w:val="20"/>
        </w:rPr>
      </w:pPr>
      <w:r w:rsidRPr="008F575A">
        <w:rPr>
          <w:i/>
          <w:color w:val="595959" w:themeColor="text1" w:themeTint="A6"/>
          <w:sz w:val="20"/>
          <w:szCs w:val="20"/>
        </w:rPr>
        <w:t xml:space="preserve">allow members to register online their choice to open, close or consolidate accounts when they are submitting their Tax File Number when starting a new job </w:t>
      </w:r>
    </w:p>
    <w:p w14:paraId="2E85B4FF" w14:textId="77777777" w:rsidR="007C0136" w:rsidRPr="008F575A" w:rsidRDefault="007C0136" w:rsidP="007C0136">
      <w:pPr>
        <w:pStyle w:val="ListParagraph"/>
        <w:numPr>
          <w:ilvl w:val="0"/>
          <w:numId w:val="9"/>
        </w:numPr>
        <w:rPr>
          <w:i/>
          <w:color w:val="595959" w:themeColor="text1" w:themeTint="A6"/>
          <w:sz w:val="20"/>
          <w:szCs w:val="20"/>
        </w:rPr>
      </w:pPr>
      <w:r w:rsidRPr="008F575A">
        <w:rPr>
          <w:i/>
          <w:color w:val="595959" w:themeColor="text1" w:themeTint="A6"/>
          <w:sz w:val="20"/>
          <w:szCs w:val="20"/>
        </w:rPr>
        <w:t xml:space="preserve">facilitate the carryover of existing member accounts when members change jobs </w:t>
      </w:r>
    </w:p>
    <w:p w14:paraId="5A7D723A" w14:textId="77777777" w:rsidR="007C0136" w:rsidRPr="008F575A" w:rsidRDefault="007C0136" w:rsidP="007C0136">
      <w:pPr>
        <w:pStyle w:val="ListParagraph"/>
        <w:numPr>
          <w:ilvl w:val="0"/>
          <w:numId w:val="9"/>
        </w:numPr>
        <w:rPr>
          <w:i/>
          <w:color w:val="595959" w:themeColor="text1" w:themeTint="A6"/>
          <w:sz w:val="20"/>
          <w:szCs w:val="20"/>
        </w:rPr>
      </w:pPr>
      <w:proofErr w:type="gramStart"/>
      <w:r w:rsidRPr="008F575A">
        <w:rPr>
          <w:i/>
          <w:color w:val="595959" w:themeColor="text1" w:themeTint="A6"/>
          <w:sz w:val="20"/>
          <w:szCs w:val="20"/>
        </w:rPr>
        <w:t>collect</w:t>
      </w:r>
      <w:proofErr w:type="gramEnd"/>
      <w:r w:rsidRPr="008F575A">
        <w:rPr>
          <w:i/>
          <w:color w:val="595959" w:themeColor="text1" w:themeTint="A6"/>
          <w:sz w:val="20"/>
          <w:szCs w:val="20"/>
        </w:rPr>
        <w:t xml:space="preserve"> information about member choices (including on whether they are electing to open a default account) for the Government. </w:t>
      </w:r>
    </w:p>
    <w:p w14:paraId="6B47B885" w14:textId="3C34E74D" w:rsidR="008009A5" w:rsidRDefault="007C0136" w:rsidP="002056B7">
      <w:pPr>
        <w:rPr>
          <w:i/>
          <w:color w:val="595959" w:themeColor="text1" w:themeTint="A6"/>
          <w:sz w:val="20"/>
          <w:szCs w:val="20"/>
        </w:rPr>
      </w:pPr>
      <w:r w:rsidRPr="008F575A">
        <w:rPr>
          <w:i/>
          <w:color w:val="595959" w:themeColor="text1" w:themeTint="A6"/>
          <w:sz w:val="20"/>
          <w:szCs w:val="20"/>
        </w:rPr>
        <w:t>There should be universal participation in this process by employees and employers.</w:t>
      </w:r>
    </w:p>
    <w:p w14:paraId="549A3DA7" w14:textId="77777777" w:rsidR="00E252DF" w:rsidRDefault="00E252DF" w:rsidP="002056B7">
      <w:pPr>
        <w:rPr>
          <w:i/>
          <w:color w:val="595959" w:themeColor="text1" w:themeTint="A6"/>
          <w:sz w:val="20"/>
          <w:szCs w:val="20"/>
        </w:rPr>
      </w:pPr>
    </w:p>
    <w:p w14:paraId="0DE896D3" w14:textId="65EFD114" w:rsidR="00E252DF" w:rsidRPr="00E252DF" w:rsidRDefault="00E252DF" w:rsidP="002056B7">
      <w:pPr>
        <w:rPr>
          <w:b/>
          <w:color w:val="0070C0"/>
          <w:sz w:val="20"/>
          <w:szCs w:val="20"/>
        </w:rPr>
      </w:pPr>
      <w:r>
        <w:rPr>
          <w:b/>
          <w:color w:val="0070C0"/>
          <w:sz w:val="20"/>
          <w:szCs w:val="20"/>
        </w:rPr>
        <w:t>Roll-it Super r</w:t>
      </w:r>
      <w:r w:rsidRPr="008009A5">
        <w:rPr>
          <w:b/>
          <w:color w:val="0070C0"/>
          <w:sz w:val="20"/>
          <w:szCs w:val="20"/>
        </w:rPr>
        <w:t>esponse</w:t>
      </w:r>
    </w:p>
    <w:p w14:paraId="4B3028BC" w14:textId="1362AB37" w:rsidR="00E252DF" w:rsidRDefault="00E252DF" w:rsidP="00E252DF">
      <w:pPr>
        <w:rPr>
          <w:color w:val="595959" w:themeColor="text1" w:themeTint="A6"/>
          <w:sz w:val="20"/>
          <w:szCs w:val="20"/>
        </w:rPr>
      </w:pPr>
      <w:r>
        <w:rPr>
          <w:color w:val="595959" w:themeColor="text1" w:themeTint="A6"/>
          <w:sz w:val="20"/>
          <w:szCs w:val="20"/>
        </w:rPr>
        <w:t>We recommend the Government and ATO allow authorised service providers to integrate with a centralised online service for members and employers to support members to open, close, consolidate or carryover accounts. Service providers may have greater reach and engagement with employers, new and existing employees</w:t>
      </w:r>
      <w:r w:rsidR="00FF7B37">
        <w:rPr>
          <w:color w:val="595959" w:themeColor="text1" w:themeTint="A6"/>
          <w:sz w:val="20"/>
          <w:szCs w:val="20"/>
        </w:rPr>
        <w:t xml:space="preserve">. This will </w:t>
      </w:r>
      <w:r>
        <w:rPr>
          <w:color w:val="595959" w:themeColor="text1" w:themeTint="A6"/>
          <w:sz w:val="20"/>
          <w:szCs w:val="20"/>
        </w:rPr>
        <w:t xml:space="preserve">improve the chances of universal participation – as evidenced with </w:t>
      </w:r>
      <w:proofErr w:type="spellStart"/>
      <w:r>
        <w:rPr>
          <w:color w:val="595959" w:themeColor="text1" w:themeTint="A6"/>
          <w:sz w:val="20"/>
          <w:szCs w:val="20"/>
        </w:rPr>
        <w:t>Super</w:t>
      </w:r>
      <w:r w:rsidR="00D14E4E">
        <w:rPr>
          <w:color w:val="595959" w:themeColor="text1" w:themeTint="A6"/>
          <w:sz w:val="20"/>
          <w:szCs w:val="20"/>
        </w:rPr>
        <w:t>s</w:t>
      </w:r>
      <w:r>
        <w:rPr>
          <w:color w:val="595959" w:themeColor="text1" w:themeTint="A6"/>
          <w:sz w:val="20"/>
          <w:szCs w:val="20"/>
        </w:rPr>
        <w:t>tream</w:t>
      </w:r>
      <w:proofErr w:type="spellEnd"/>
      <w:r>
        <w:rPr>
          <w:color w:val="595959" w:themeColor="text1" w:themeTint="A6"/>
          <w:sz w:val="20"/>
          <w:szCs w:val="20"/>
        </w:rPr>
        <w:t>, Payment Clearing and Single Touch Payroll.</w:t>
      </w:r>
    </w:p>
    <w:p w14:paraId="1FFDD1FF" w14:textId="67FEB35E" w:rsidR="00E252DF" w:rsidRDefault="00E73844" w:rsidP="00E252DF">
      <w:pPr>
        <w:rPr>
          <w:color w:val="595959" w:themeColor="text1" w:themeTint="A6"/>
          <w:sz w:val="20"/>
          <w:szCs w:val="20"/>
        </w:rPr>
      </w:pPr>
      <w:r w:rsidRPr="00EE0D0B">
        <w:rPr>
          <w:color w:val="595959" w:themeColor="text1" w:themeTint="A6"/>
          <w:sz w:val="20"/>
          <w:szCs w:val="20"/>
        </w:rPr>
        <w:t xml:space="preserve">We </w:t>
      </w:r>
      <w:r>
        <w:rPr>
          <w:color w:val="595959" w:themeColor="text1" w:themeTint="A6"/>
          <w:sz w:val="20"/>
          <w:szCs w:val="20"/>
        </w:rPr>
        <w:t xml:space="preserve">also </w:t>
      </w:r>
      <w:r w:rsidRPr="00EE0D0B">
        <w:rPr>
          <w:color w:val="595959" w:themeColor="text1" w:themeTint="A6"/>
          <w:sz w:val="20"/>
          <w:szCs w:val="20"/>
        </w:rPr>
        <w:t xml:space="preserve">recommend a change to </w:t>
      </w:r>
      <w:proofErr w:type="spellStart"/>
      <w:r w:rsidRPr="00EE0D0B">
        <w:rPr>
          <w:color w:val="595959" w:themeColor="text1" w:themeTint="A6"/>
          <w:sz w:val="20"/>
          <w:szCs w:val="20"/>
        </w:rPr>
        <w:t>Superstream</w:t>
      </w:r>
      <w:proofErr w:type="spellEnd"/>
      <w:r w:rsidRPr="00EE0D0B">
        <w:rPr>
          <w:color w:val="595959" w:themeColor="text1" w:themeTint="A6"/>
          <w:sz w:val="20"/>
          <w:szCs w:val="20"/>
        </w:rPr>
        <w:t xml:space="preserve"> rollovers to reduce ‘friction’ when members wish to change funds. </w:t>
      </w:r>
      <w:r>
        <w:rPr>
          <w:color w:val="595959" w:themeColor="text1" w:themeTint="A6"/>
          <w:sz w:val="20"/>
          <w:szCs w:val="20"/>
        </w:rPr>
        <w:t xml:space="preserve">Currently, the only ‘easy’ way for members to switch funds is to initiate a rollover from their new fund’s website. Service providers who are </w:t>
      </w:r>
      <w:proofErr w:type="spellStart"/>
      <w:r>
        <w:rPr>
          <w:color w:val="595959" w:themeColor="text1" w:themeTint="A6"/>
          <w:sz w:val="20"/>
          <w:szCs w:val="20"/>
        </w:rPr>
        <w:t>Superstream</w:t>
      </w:r>
      <w:proofErr w:type="spellEnd"/>
      <w:r>
        <w:rPr>
          <w:color w:val="595959" w:themeColor="text1" w:themeTint="A6"/>
          <w:sz w:val="20"/>
          <w:szCs w:val="20"/>
        </w:rPr>
        <w:t xml:space="preserve"> authorised should be able to initiate a rollover from and to any super fund product on a member’s instruction. This model works for employer contribution payments, where employers can pay any fund from a single clearing house. Members should also be able to switch to any fund from a single service.</w:t>
      </w:r>
    </w:p>
    <w:p w14:paraId="20CC4589" w14:textId="69BD8F41" w:rsidR="00E252DF" w:rsidRDefault="00E252DF" w:rsidP="00E252DF">
      <w:pPr>
        <w:rPr>
          <w:b/>
          <w:caps/>
          <w:color w:val="0070C0"/>
          <w:sz w:val="20"/>
          <w:szCs w:val="20"/>
        </w:rPr>
      </w:pPr>
      <w:r w:rsidRPr="007C0136">
        <w:rPr>
          <w:b/>
          <w:caps/>
          <w:color w:val="0070C0"/>
          <w:sz w:val="20"/>
          <w:szCs w:val="20"/>
        </w:rPr>
        <w:t xml:space="preserve">Draft Recommendation </w:t>
      </w:r>
      <w:r>
        <w:rPr>
          <w:b/>
          <w:caps/>
          <w:color w:val="0070C0"/>
          <w:sz w:val="20"/>
          <w:szCs w:val="20"/>
        </w:rPr>
        <w:t>2</w:t>
      </w:r>
      <w:r w:rsidRPr="007C0136">
        <w:rPr>
          <w:b/>
          <w:caps/>
          <w:color w:val="0070C0"/>
          <w:sz w:val="20"/>
          <w:szCs w:val="20"/>
        </w:rPr>
        <w:t xml:space="preserve">: </w:t>
      </w:r>
      <w:r w:rsidRPr="00E252DF">
        <w:rPr>
          <w:b/>
          <w:caps/>
          <w:color w:val="0070C0"/>
          <w:sz w:val="20"/>
          <w:szCs w:val="20"/>
        </w:rPr>
        <w:t>‘Best in show’ shortlist for new members</w:t>
      </w:r>
    </w:p>
    <w:p w14:paraId="5C465DDB" w14:textId="77777777" w:rsidR="00E252DF" w:rsidRPr="00E252DF" w:rsidRDefault="00E252DF" w:rsidP="00E252DF">
      <w:pPr>
        <w:rPr>
          <w:i/>
          <w:color w:val="595959" w:themeColor="text1" w:themeTint="A6"/>
          <w:sz w:val="20"/>
          <w:szCs w:val="20"/>
        </w:rPr>
      </w:pPr>
      <w:r w:rsidRPr="00E252DF">
        <w:rPr>
          <w:i/>
          <w:color w:val="595959" w:themeColor="text1" w:themeTint="A6"/>
          <w:sz w:val="20"/>
          <w:szCs w:val="20"/>
        </w:rPr>
        <w:t>A single shortlist of up to 10 superannuation products should be presented to all members who are new to the workforce (or do not have a superannuation account), from which they can choose a product. Clear and comparable information on the key features of each shortlisted product should also be presented. Members should not be prevented from choosing any other fund (including an SMSF).</w:t>
      </w:r>
    </w:p>
    <w:p w14:paraId="128B6FAE" w14:textId="77777777" w:rsidR="00E252DF" w:rsidRPr="00E252DF" w:rsidRDefault="00E252DF" w:rsidP="00E252DF">
      <w:pPr>
        <w:rPr>
          <w:i/>
          <w:color w:val="595959" w:themeColor="text1" w:themeTint="A6"/>
          <w:sz w:val="20"/>
          <w:szCs w:val="20"/>
        </w:rPr>
      </w:pPr>
      <w:r w:rsidRPr="00E252DF">
        <w:rPr>
          <w:i/>
          <w:color w:val="595959" w:themeColor="text1" w:themeTint="A6"/>
          <w:sz w:val="20"/>
          <w:szCs w:val="20"/>
        </w:rPr>
        <w:t>Any member who fails to make a choice within 60 days should be defaulted to one of the products on the shortlist, selected via sequential allocation.</w:t>
      </w:r>
    </w:p>
    <w:p w14:paraId="044C5EE7" w14:textId="7870A59D" w:rsidR="00DA0D21" w:rsidRDefault="00E252DF" w:rsidP="00AC4543">
      <w:pPr>
        <w:rPr>
          <w:i/>
          <w:color w:val="595959" w:themeColor="text1" w:themeTint="A6"/>
          <w:sz w:val="20"/>
          <w:szCs w:val="20"/>
        </w:rPr>
      </w:pPr>
      <w:r w:rsidRPr="00E252DF">
        <w:rPr>
          <w:i/>
          <w:color w:val="595959" w:themeColor="text1" w:themeTint="A6"/>
          <w:sz w:val="20"/>
          <w:szCs w:val="20"/>
        </w:rPr>
        <w:t>The ATO should embed the shortlist and accompanying information into the centralised online service.</w:t>
      </w:r>
    </w:p>
    <w:p w14:paraId="148E7B50" w14:textId="77777777" w:rsidR="00E252DF" w:rsidRPr="00DA0D21" w:rsidRDefault="00E252DF" w:rsidP="00AC4543">
      <w:pPr>
        <w:rPr>
          <w:i/>
          <w:color w:val="595959" w:themeColor="text1" w:themeTint="A6"/>
          <w:sz w:val="20"/>
          <w:szCs w:val="20"/>
        </w:rPr>
      </w:pPr>
    </w:p>
    <w:p w14:paraId="18F6BF1E" w14:textId="139102B4" w:rsidR="002056B7" w:rsidRDefault="00700CA6">
      <w:pPr>
        <w:rPr>
          <w:b/>
          <w:color w:val="0070C0"/>
          <w:sz w:val="20"/>
          <w:szCs w:val="20"/>
        </w:rPr>
      </w:pPr>
      <w:r>
        <w:rPr>
          <w:b/>
          <w:color w:val="0070C0"/>
          <w:sz w:val="20"/>
          <w:szCs w:val="20"/>
        </w:rPr>
        <w:t>Roll-it Super r</w:t>
      </w:r>
      <w:r w:rsidR="008009A5" w:rsidRPr="008009A5">
        <w:rPr>
          <w:b/>
          <w:color w:val="0070C0"/>
          <w:sz w:val="20"/>
          <w:szCs w:val="20"/>
        </w:rPr>
        <w:t>esponse</w:t>
      </w:r>
    </w:p>
    <w:p w14:paraId="354C8280" w14:textId="186AE696" w:rsidR="00C72B72" w:rsidRDefault="00C72B72" w:rsidP="001016FD">
      <w:pPr>
        <w:rPr>
          <w:color w:val="595959" w:themeColor="text1" w:themeTint="A6"/>
          <w:sz w:val="20"/>
          <w:szCs w:val="20"/>
        </w:rPr>
      </w:pPr>
      <w:r>
        <w:rPr>
          <w:color w:val="595959" w:themeColor="text1" w:themeTint="A6"/>
          <w:sz w:val="20"/>
          <w:szCs w:val="20"/>
        </w:rPr>
        <w:t>Default bias in superannuation is especially powerful due to another behavioural bias – temporal discounting. Simply put, p</w:t>
      </w:r>
      <w:r w:rsidRPr="00447E6E">
        <w:rPr>
          <w:color w:val="595959" w:themeColor="text1" w:themeTint="A6"/>
          <w:sz w:val="20"/>
          <w:szCs w:val="20"/>
        </w:rPr>
        <w:t>eople value benefits the closer those benefits are to now</w:t>
      </w:r>
      <w:r>
        <w:rPr>
          <w:color w:val="595959" w:themeColor="text1" w:themeTint="A6"/>
          <w:sz w:val="20"/>
          <w:szCs w:val="20"/>
        </w:rPr>
        <w:t xml:space="preserve">. Temporal discounting is hyperbolic, such that </w:t>
      </w:r>
      <w:r w:rsidRPr="00447E6E">
        <w:rPr>
          <w:color w:val="595959" w:themeColor="text1" w:themeTint="A6"/>
          <w:sz w:val="20"/>
          <w:szCs w:val="20"/>
        </w:rPr>
        <w:t xml:space="preserve">superannuation benefits are realised </w:t>
      </w:r>
      <w:r>
        <w:rPr>
          <w:color w:val="595959" w:themeColor="text1" w:themeTint="A6"/>
          <w:sz w:val="20"/>
          <w:szCs w:val="20"/>
        </w:rPr>
        <w:t xml:space="preserve">so far into the </w:t>
      </w:r>
      <w:r w:rsidRPr="00447E6E">
        <w:rPr>
          <w:color w:val="595959" w:themeColor="text1" w:themeTint="A6"/>
          <w:sz w:val="20"/>
          <w:szCs w:val="20"/>
        </w:rPr>
        <w:t xml:space="preserve">distant future (at retirement), </w:t>
      </w:r>
      <w:r>
        <w:rPr>
          <w:color w:val="595959" w:themeColor="text1" w:themeTint="A6"/>
          <w:sz w:val="20"/>
          <w:szCs w:val="20"/>
        </w:rPr>
        <w:t xml:space="preserve">many </w:t>
      </w:r>
      <w:r w:rsidRPr="00447E6E">
        <w:rPr>
          <w:color w:val="595959" w:themeColor="text1" w:themeTint="A6"/>
          <w:sz w:val="20"/>
          <w:szCs w:val="20"/>
        </w:rPr>
        <w:t xml:space="preserve">people discount </w:t>
      </w:r>
      <w:r>
        <w:rPr>
          <w:color w:val="595959" w:themeColor="text1" w:themeTint="A6"/>
          <w:sz w:val="20"/>
          <w:szCs w:val="20"/>
        </w:rPr>
        <w:t xml:space="preserve">those </w:t>
      </w:r>
      <w:r w:rsidRPr="00447E6E">
        <w:rPr>
          <w:color w:val="595959" w:themeColor="text1" w:themeTint="A6"/>
          <w:sz w:val="20"/>
          <w:szCs w:val="20"/>
        </w:rPr>
        <w:t>benefits to the point of indifference</w:t>
      </w:r>
      <w:r>
        <w:rPr>
          <w:color w:val="595959" w:themeColor="text1" w:themeTint="A6"/>
          <w:sz w:val="20"/>
          <w:szCs w:val="20"/>
        </w:rPr>
        <w:t xml:space="preserve">, </w:t>
      </w:r>
      <w:proofErr w:type="gramStart"/>
      <w:r>
        <w:rPr>
          <w:color w:val="595959" w:themeColor="text1" w:themeTint="A6"/>
          <w:sz w:val="20"/>
          <w:szCs w:val="20"/>
        </w:rPr>
        <w:t>the</w:t>
      </w:r>
      <w:proofErr w:type="gramEnd"/>
      <w:r>
        <w:rPr>
          <w:color w:val="595959" w:themeColor="text1" w:themeTint="A6"/>
          <w:sz w:val="20"/>
          <w:szCs w:val="20"/>
        </w:rPr>
        <w:t xml:space="preserve"> </w:t>
      </w:r>
      <w:r w:rsidRPr="00447E6E">
        <w:rPr>
          <w:color w:val="595959" w:themeColor="text1" w:themeTint="A6"/>
          <w:sz w:val="20"/>
          <w:szCs w:val="20"/>
        </w:rPr>
        <w:t xml:space="preserve">size of the reward </w:t>
      </w:r>
      <w:r w:rsidR="00A0323C">
        <w:rPr>
          <w:color w:val="595959" w:themeColor="text1" w:themeTint="A6"/>
          <w:sz w:val="20"/>
          <w:szCs w:val="20"/>
        </w:rPr>
        <w:t xml:space="preserve">becomes </w:t>
      </w:r>
      <w:r w:rsidRPr="00447E6E">
        <w:rPr>
          <w:color w:val="595959" w:themeColor="text1" w:themeTint="A6"/>
          <w:sz w:val="20"/>
          <w:szCs w:val="20"/>
        </w:rPr>
        <w:t xml:space="preserve">irrelevant. </w:t>
      </w:r>
    </w:p>
    <w:p w14:paraId="3320EAD9" w14:textId="749B6947" w:rsidR="00C72B72" w:rsidRDefault="00C72B72" w:rsidP="001016FD">
      <w:pPr>
        <w:rPr>
          <w:color w:val="595959" w:themeColor="text1" w:themeTint="A6"/>
          <w:sz w:val="20"/>
          <w:szCs w:val="20"/>
        </w:rPr>
      </w:pPr>
      <w:r>
        <w:rPr>
          <w:color w:val="595959" w:themeColor="text1" w:themeTint="A6"/>
          <w:sz w:val="20"/>
          <w:szCs w:val="20"/>
        </w:rPr>
        <w:t xml:space="preserve">The opportunity for </w:t>
      </w:r>
      <w:r w:rsidR="00A0323C">
        <w:rPr>
          <w:color w:val="595959" w:themeColor="text1" w:themeTint="A6"/>
          <w:sz w:val="20"/>
          <w:szCs w:val="20"/>
        </w:rPr>
        <w:t xml:space="preserve">authorised </w:t>
      </w:r>
      <w:r>
        <w:rPr>
          <w:color w:val="595959" w:themeColor="text1" w:themeTint="A6"/>
          <w:sz w:val="20"/>
          <w:szCs w:val="20"/>
        </w:rPr>
        <w:t xml:space="preserve">service providers to engage members with information on the </w:t>
      </w:r>
      <w:r w:rsidR="009107D6">
        <w:rPr>
          <w:color w:val="595959" w:themeColor="text1" w:themeTint="A6"/>
          <w:sz w:val="20"/>
          <w:szCs w:val="20"/>
        </w:rPr>
        <w:t xml:space="preserve">assisted choice </w:t>
      </w:r>
      <w:r>
        <w:rPr>
          <w:color w:val="595959" w:themeColor="text1" w:themeTint="A6"/>
          <w:sz w:val="20"/>
          <w:szCs w:val="20"/>
        </w:rPr>
        <w:t xml:space="preserve">short-list should be </w:t>
      </w:r>
      <w:r w:rsidR="00A0323C">
        <w:rPr>
          <w:color w:val="595959" w:themeColor="text1" w:themeTint="A6"/>
          <w:sz w:val="20"/>
          <w:szCs w:val="20"/>
        </w:rPr>
        <w:t xml:space="preserve">made </w:t>
      </w:r>
      <w:r>
        <w:rPr>
          <w:color w:val="595959" w:themeColor="text1" w:themeTint="A6"/>
          <w:sz w:val="20"/>
          <w:szCs w:val="20"/>
        </w:rPr>
        <w:t xml:space="preserve">available. </w:t>
      </w:r>
      <w:r w:rsidR="00FD79E6">
        <w:rPr>
          <w:color w:val="595959" w:themeColor="text1" w:themeTint="A6"/>
          <w:sz w:val="20"/>
          <w:szCs w:val="20"/>
        </w:rPr>
        <w:t>S</w:t>
      </w:r>
      <w:r>
        <w:rPr>
          <w:color w:val="595959" w:themeColor="text1" w:themeTint="A6"/>
          <w:sz w:val="20"/>
          <w:szCs w:val="20"/>
        </w:rPr>
        <w:t xml:space="preserve">ervice providers </w:t>
      </w:r>
      <w:r w:rsidR="00FD79E6">
        <w:rPr>
          <w:color w:val="595959" w:themeColor="text1" w:themeTint="A6"/>
          <w:sz w:val="20"/>
          <w:szCs w:val="20"/>
        </w:rPr>
        <w:t xml:space="preserve">authorised to access </w:t>
      </w:r>
      <w:proofErr w:type="spellStart"/>
      <w:r w:rsidR="00FD79E6">
        <w:rPr>
          <w:color w:val="595959" w:themeColor="text1" w:themeTint="A6"/>
          <w:sz w:val="20"/>
          <w:szCs w:val="20"/>
        </w:rPr>
        <w:t>Superstream</w:t>
      </w:r>
      <w:proofErr w:type="spellEnd"/>
      <w:r w:rsidR="00FD79E6">
        <w:rPr>
          <w:color w:val="595959" w:themeColor="text1" w:themeTint="A6"/>
          <w:sz w:val="20"/>
          <w:szCs w:val="20"/>
        </w:rPr>
        <w:t xml:space="preserve"> </w:t>
      </w:r>
      <w:r>
        <w:rPr>
          <w:color w:val="595959" w:themeColor="text1" w:themeTint="A6"/>
          <w:sz w:val="20"/>
          <w:szCs w:val="20"/>
        </w:rPr>
        <w:t>should also be able to accept a member’s fund selection and open an account with the fund or rollover the member to the selected fund.</w:t>
      </w:r>
    </w:p>
    <w:p w14:paraId="3FF2D862" w14:textId="4C0C6FCA" w:rsidR="00FD79E6" w:rsidRDefault="00C72B72" w:rsidP="00C72B72">
      <w:pPr>
        <w:rPr>
          <w:color w:val="595959" w:themeColor="text1" w:themeTint="A6"/>
          <w:sz w:val="20"/>
          <w:szCs w:val="20"/>
        </w:rPr>
      </w:pPr>
      <w:r>
        <w:rPr>
          <w:color w:val="595959" w:themeColor="text1" w:themeTint="A6"/>
          <w:sz w:val="20"/>
          <w:szCs w:val="20"/>
        </w:rPr>
        <w:t xml:space="preserve">Behaviourally, it is doubtful the recommended </w:t>
      </w:r>
      <w:r w:rsidRPr="000138BA">
        <w:rPr>
          <w:color w:val="595959" w:themeColor="text1" w:themeTint="A6"/>
          <w:sz w:val="20"/>
          <w:szCs w:val="20"/>
        </w:rPr>
        <w:t xml:space="preserve">default reforms </w:t>
      </w:r>
      <w:r>
        <w:rPr>
          <w:color w:val="595959" w:themeColor="text1" w:themeTint="A6"/>
          <w:sz w:val="20"/>
          <w:szCs w:val="20"/>
        </w:rPr>
        <w:t xml:space="preserve">will address our default bias to ‘do nothing’ or increase </w:t>
      </w:r>
      <w:r w:rsidRPr="000138BA">
        <w:rPr>
          <w:color w:val="595959" w:themeColor="text1" w:themeTint="A6"/>
          <w:sz w:val="20"/>
          <w:szCs w:val="20"/>
        </w:rPr>
        <w:t xml:space="preserve">strong consumer-driven (demand-side) competition </w:t>
      </w:r>
      <w:r>
        <w:rPr>
          <w:color w:val="595959" w:themeColor="text1" w:themeTint="A6"/>
          <w:sz w:val="20"/>
          <w:szCs w:val="20"/>
        </w:rPr>
        <w:t xml:space="preserve">in </w:t>
      </w:r>
      <w:r w:rsidRPr="000138BA">
        <w:rPr>
          <w:color w:val="595959" w:themeColor="text1" w:themeTint="A6"/>
          <w:sz w:val="20"/>
          <w:szCs w:val="20"/>
        </w:rPr>
        <w:t>the sector</w:t>
      </w:r>
      <w:r>
        <w:rPr>
          <w:color w:val="595959" w:themeColor="text1" w:themeTint="A6"/>
          <w:sz w:val="20"/>
          <w:szCs w:val="20"/>
        </w:rPr>
        <w:t xml:space="preserve">. Without convenient, immediate and frictionless services, </w:t>
      </w:r>
      <w:r w:rsidR="00C60D44">
        <w:rPr>
          <w:color w:val="595959" w:themeColor="text1" w:themeTint="A6"/>
          <w:sz w:val="20"/>
          <w:szCs w:val="20"/>
        </w:rPr>
        <w:t>most</w:t>
      </w:r>
      <w:r>
        <w:rPr>
          <w:color w:val="595959" w:themeColor="text1" w:themeTint="A6"/>
          <w:sz w:val="20"/>
          <w:szCs w:val="20"/>
        </w:rPr>
        <w:t xml:space="preserve"> members will default to </w:t>
      </w:r>
      <w:r w:rsidR="00FD79E6">
        <w:rPr>
          <w:color w:val="595959" w:themeColor="text1" w:themeTint="A6"/>
          <w:sz w:val="20"/>
          <w:szCs w:val="20"/>
        </w:rPr>
        <w:t xml:space="preserve">a </w:t>
      </w:r>
      <w:r>
        <w:rPr>
          <w:color w:val="595959" w:themeColor="text1" w:themeTint="A6"/>
          <w:sz w:val="20"/>
          <w:szCs w:val="20"/>
        </w:rPr>
        <w:t>short list product via sequential allocation</w:t>
      </w:r>
      <w:r w:rsidR="0098351A">
        <w:rPr>
          <w:color w:val="595959" w:themeColor="text1" w:themeTint="A6"/>
          <w:sz w:val="20"/>
          <w:szCs w:val="20"/>
        </w:rPr>
        <w:t xml:space="preserve">. </w:t>
      </w:r>
      <w:r w:rsidR="00FD79E6">
        <w:rPr>
          <w:color w:val="595959" w:themeColor="text1" w:themeTint="A6"/>
          <w:sz w:val="20"/>
          <w:szCs w:val="20"/>
        </w:rPr>
        <w:t xml:space="preserve">While far from ideal, this still </w:t>
      </w:r>
      <w:r>
        <w:rPr>
          <w:color w:val="595959" w:themeColor="text1" w:themeTint="A6"/>
          <w:sz w:val="20"/>
          <w:szCs w:val="20"/>
        </w:rPr>
        <w:t>address</w:t>
      </w:r>
      <w:r w:rsidR="00FD79E6">
        <w:rPr>
          <w:color w:val="595959" w:themeColor="text1" w:themeTint="A6"/>
          <w:sz w:val="20"/>
          <w:szCs w:val="20"/>
        </w:rPr>
        <w:t>es</w:t>
      </w:r>
      <w:r>
        <w:rPr>
          <w:color w:val="595959" w:themeColor="text1" w:themeTint="A6"/>
          <w:sz w:val="20"/>
          <w:szCs w:val="20"/>
        </w:rPr>
        <w:t xml:space="preserve"> </w:t>
      </w:r>
      <w:r w:rsidRPr="000138BA">
        <w:rPr>
          <w:color w:val="595959" w:themeColor="text1" w:themeTint="A6"/>
          <w:sz w:val="20"/>
          <w:szCs w:val="20"/>
        </w:rPr>
        <w:t>supply-side market failure</w:t>
      </w:r>
      <w:r>
        <w:rPr>
          <w:color w:val="595959" w:themeColor="text1" w:themeTint="A6"/>
          <w:sz w:val="20"/>
          <w:szCs w:val="20"/>
        </w:rPr>
        <w:t>s</w:t>
      </w:r>
      <w:r w:rsidR="00FD79E6">
        <w:rPr>
          <w:color w:val="595959" w:themeColor="text1" w:themeTint="A6"/>
          <w:sz w:val="20"/>
          <w:szCs w:val="20"/>
        </w:rPr>
        <w:t xml:space="preserve"> with a </w:t>
      </w:r>
      <w:r w:rsidRPr="000138BA">
        <w:rPr>
          <w:color w:val="595959" w:themeColor="text1" w:themeTint="A6"/>
          <w:sz w:val="20"/>
          <w:szCs w:val="20"/>
        </w:rPr>
        <w:t>blunt, yet practical approach to protecting member interests.</w:t>
      </w:r>
      <w:r w:rsidR="00FD79E6">
        <w:rPr>
          <w:color w:val="595959" w:themeColor="text1" w:themeTint="A6"/>
          <w:sz w:val="20"/>
          <w:szCs w:val="20"/>
        </w:rPr>
        <w:t xml:space="preserve"> </w:t>
      </w:r>
    </w:p>
    <w:p w14:paraId="0865151C" w14:textId="1D8CA73A" w:rsidR="00E252DF" w:rsidRDefault="00FD79E6" w:rsidP="00FD79E6">
      <w:pPr>
        <w:rPr>
          <w:color w:val="595959" w:themeColor="text1" w:themeTint="A6"/>
          <w:sz w:val="20"/>
          <w:szCs w:val="20"/>
        </w:rPr>
      </w:pPr>
      <w:r>
        <w:rPr>
          <w:color w:val="595959" w:themeColor="text1" w:themeTint="A6"/>
          <w:sz w:val="20"/>
          <w:szCs w:val="20"/>
        </w:rPr>
        <w:t xml:space="preserve">Innovation from service providers will greatly improve universal participation and member engagement with the </w:t>
      </w:r>
      <w:r w:rsidR="00E252DF" w:rsidRPr="00D97A54">
        <w:rPr>
          <w:color w:val="595959" w:themeColor="text1" w:themeTint="A6"/>
          <w:sz w:val="20"/>
          <w:szCs w:val="20"/>
        </w:rPr>
        <w:t>assisted choice list of ‘simple and safe’ products</w:t>
      </w:r>
      <w:r>
        <w:rPr>
          <w:color w:val="595959" w:themeColor="text1" w:themeTint="A6"/>
          <w:sz w:val="20"/>
          <w:szCs w:val="20"/>
        </w:rPr>
        <w:t xml:space="preserve">, or </w:t>
      </w:r>
      <w:r w:rsidR="00E252DF" w:rsidRPr="00D97A54">
        <w:rPr>
          <w:color w:val="595959" w:themeColor="text1" w:themeTint="A6"/>
          <w:sz w:val="20"/>
          <w:szCs w:val="20"/>
        </w:rPr>
        <w:t xml:space="preserve">alternatively </w:t>
      </w:r>
      <w:r w:rsidR="00B14F91">
        <w:rPr>
          <w:color w:val="595959" w:themeColor="text1" w:themeTint="A6"/>
          <w:sz w:val="20"/>
          <w:szCs w:val="20"/>
        </w:rPr>
        <w:t xml:space="preserve">help them </w:t>
      </w:r>
      <w:r w:rsidR="00E252DF" w:rsidRPr="00D97A54">
        <w:rPr>
          <w:color w:val="595959" w:themeColor="text1" w:themeTint="A6"/>
          <w:sz w:val="20"/>
          <w:szCs w:val="20"/>
        </w:rPr>
        <w:t>find choice products that may better meet their risk appetite, ethical investment values, or desire for a low fee</w:t>
      </w:r>
      <w:r w:rsidR="00E252DF">
        <w:rPr>
          <w:color w:val="595959" w:themeColor="text1" w:themeTint="A6"/>
          <w:sz w:val="20"/>
          <w:szCs w:val="20"/>
        </w:rPr>
        <w:t xml:space="preserve">, indexed </w:t>
      </w:r>
      <w:r w:rsidR="00E252DF" w:rsidRPr="00D97A54">
        <w:rPr>
          <w:color w:val="595959" w:themeColor="text1" w:themeTint="A6"/>
          <w:sz w:val="20"/>
          <w:szCs w:val="20"/>
        </w:rPr>
        <w:t xml:space="preserve">investment </w:t>
      </w:r>
      <w:r w:rsidR="00E252DF">
        <w:rPr>
          <w:color w:val="595959" w:themeColor="text1" w:themeTint="A6"/>
          <w:sz w:val="20"/>
          <w:szCs w:val="20"/>
        </w:rPr>
        <w:t>strategy</w:t>
      </w:r>
      <w:r w:rsidR="00E252DF" w:rsidRPr="00D97A54">
        <w:rPr>
          <w:color w:val="595959" w:themeColor="text1" w:themeTint="A6"/>
          <w:sz w:val="20"/>
          <w:szCs w:val="20"/>
        </w:rPr>
        <w:t>.</w:t>
      </w:r>
      <w:r w:rsidR="00C72B72">
        <w:rPr>
          <w:color w:val="595959" w:themeColor="text1" w:themeTint="A6"/>
          <w:sz w:val="20"/>
          <w:szCs w:val="20"/>
        </w:rPr>
        <w:t xml:space="preserve"> </w:t>
      </w:r>
    </w:p>
    <w:p w14:paraId="60F822DE" w14:textId="2A5E8DD8" w:rsidR="00C92AFE" w:rsidRDefault="00C92AFE" w:rsidP="00920E37">
      <w:pPr>
        <w:rPr>
          <w:color w:val="595959" w:themeColor="text1" w:themeTint="A6"/>
          <w:sz w:val="20"/>
          <w:szCs w:val="20"/>
        </w:rPr>
      </w:pPr>
    </w:p>
    <w:p w14:paraId="0874603A" w14:textId="7B58E393" w:rsidR="00C92AFE" w:rsidRPr="003C3FA2" w:rsidRDefault="00C92AFE" w:rsidP="00920E37">
      <w:pPr>
        <w:rPr>
          <w:b/>
          <w:caps/>
          <w:color w:val="0070C0"/>
          <w:sz w:val="20"/>
          <w:szCs w:val="20"/>
        </w:rPr>
      </w:pPr>
      <w:r w:rsidRPr="003C3FA2">
        <w:rPr>
          <w:b/>
          <w:caps/>
          <w:color w:val="0070C0"/>
          <w:sz w:val="20"/>
          <w:szCs w:val="20"/>
        </w:rPr>
        <w:t xml:space="preserve">Remove employers from default selection </w:t>
      </w:r>
    </w:p>
    <w:p w14:paraId="6685DDD7" w14:textId="3BFEF2EA" w:rsidR="003B7533" w:rsidRDefault="003B7533" w:rsidP="003B7533">
      <w:pPr>
        <w:rPr>
          <w:i/>
          <w:color w:val="595959" w:themeColor="text1" w:themeTint="A6"/>
          <w:sz w:val="20"/>
          <w:szCs w:val="20"/>
        </w:rPr>
      </w:pPr>
      <w:r w:rsidRPr="003B7533">
        <w:rPr>
          <w:i/>
          <w:color w:val="595959" w:themeColor="text1" w:themeTint="A6"/>
          <w:sz w:val="20"/>
          <w:szCs w:val="20"/>
        </w:rPr>
        <w:t>One of the biggest failings of the current default allocation is the proliferation of accounts and insurance policies that it generates (chapter 12). To better serve the needs of members, they should not be defaulted into a new super fund whenever they change jobs or industries. Instead, defaulting should only be an option for members who do not have an existing account — a solution to the multiple</w:t>
      </w:r>
      <w:r w:rsidRPr="003B7533">
        <w:rPr>
          <w:i/>
          <w:color w:val="595959" w:themeColor="text1" w:themeTint="A6"/>
          <w:sz w:val="20"/>
          <w:szCs w:val="20"/>
        </w:rPr>
        <w:noBreakHyphen/>
        <w:t>accounts problem that was recommended by the Financial System Inquiry, but has not been taken up (Murray et al. 2014).</w:t>
      </w:r>
    </w:p>
    <w:p w14:paraId="3EB9BFDE" w14:textId="3A65B369" w:rsidR="00932304" w:rsidRPr="003B7533" w:rsidRDefault="00932304" w:rsidP="003B7533">
      <w:pPr>
        <w:rPr>
          <w:i/>
          <w:color w:val="595959" w:themeColor="text1" w:themeTint="A6"/>
          <w:sz w:val="20"/>
          <w:szCs w:val="20"/>
        </w:rPr>
      </w:pPr>
      <w:r w:rsidRPr="00932304">
        <w:rPr>
          <w:i/>
          <w:color w:val="595959" w:themeColor="text1" w:themeTint="A6"/>
          <w:sz w:val="20"/>
          <w:szCs w:val="20"/>
        </w:rPr>
        <w:t xml:space="preserve">While embedding the choice of default super products in the workplace relations system may have made sense in the past, the existence of different lists of funds in different awards is fuelling the creation of unintended accounts (by having different funds for different industries), and poses barriers to new funds entering the default market (chapter 7). Moreover, enterprise and workplace agreements that restrict an estimated 1 million individuals from exercising their own choice of fund serve no purpose in a modern super system, and should be prohibited by legislation (chapter 12). </w:t>
      </w:r>
    </w:p>
    <w:p w14:paraId="37299631" w14:textId="77777777" w:rsidR="0007249E" w:rsidRPr="003B7533" w:rsidRDefault="0007249E" w:rsidP="003B7533">
      <w:pPr>
        <w:rPr>
          <w:i/>
          <w:color w:val="595959" w:themeColor="text1" w:themeTint="A6"/>
          <w:sz w:val="20"/>
          <w:szCs w:val="20"/>
        </w:rPr>
      </w:pPr>
      <w:r w:rsidRPr="003B7533">
        <w:rPr>
          <w:i/>
          <w:color w:val="595959" w:themeColor="text1" w:themeTint="A6"/>
          <w:sz w:val="20"/>
          <w:szCs w:val="20"/>
        </w:rPr>
        <w:t>The current system fails to mitigate the risk of defaulting a member into a poor performing product (chapters 2 and 12). In a modern super system, members should not be at the mercy of their employer to choose a default product. While some employers are capable and well</w:t>
      </w:r>
      <w:r w:rsidRPr="003B7533">
        <w:rPr>
          <w:i/>
          <w:color w:val="595959" w:themeColor="text1" w:themeTint="A6"/>
          <w:sz w:val="20"/>
          <w:szCs w:val="20"/>
        </w:rPr>
        <w:noBreakHyphen/>
        <w:t>intentioned when it comes to choosing a default, many struggle or do not have sufficient incentive to find the best product for their employees. It is an historical oddity that employers can select financial products for their workers without needing to hold an Australian Financial Services Licence or indeed any financial advice qualifications at all.</w:t>
      </w:r>
    </w:p>
    <w:p w14:paraId="2DD7D52A" w14:textId="77777777" w:rsidR="0050016F" w:rsidRDefault="0050016F" w:rsidP="003B7533">
      <w:pPr>
        <w:rPr>
          <w:b/>
          <w:color w:val="0070C0"/>
          <w:sz w:val="20"/>
          <w:szCs w:val="20"/>
        </w:rPr>
      </w:pPr>
    </w:p>
    <w:p w14:paraId="3751CC5B" w14:textId="20A67B60" w:rsidR="003B7533" w:rsidRDefault="003B7533" w:rsidP="003B7533">
      <w:pPr>
        <w:rPr>
          <w:b/>
          <w:color w:val="0070C0"/>
          <w:sz w:val="20"/>
          <w:szCs w:val="20"/>
        </w:rPr>
      </w:pPr>
      <w:r>
        <w:rPr>
          <w:b/>
          <w:color w:val="0070C0"/>
          <w:sz w:val="20"/>
          <w:szCs w:val="20"/>
        </w:rPr>
        <w:t>Roll-it Super r</w:t>
      </w:r>
      <w:r w:rsidRPr="008009A5">
        <w:rPr>
          <w:b/>
          <w:color w:val="0070C0"/>
          <w:sz w:val="20"/>
          <w:szCs w:val="20"/>
        </w:rPr>
        <w:t>esponse</w:t>
      </w:r>
    </w:p>
    <w:p w14:paraId="01C4F402" w14:textId="09FE7315" w:rsidR="00304B93" w:rsidRDefault="00097438" w:rsidP="00304B93">
      <w:pPr>
        <w:rPr>
          <w:color w:val="595959" w:themeColor="text1" w:themeTint="A6"/>
          <w:sz w:val="20"/>
          <w:szCs w:val="20"/>
        </w:rPr>
      </w:pPr>
      <w:r>
        <w:rPr>
          <w:color w:val="595959" w:themeColor="text1" w:themeTint="A6"/>
          <w:sz w:val="20"/>
          <w:szCs w:val="20"/>
        </w:rPr>
        <w:t>We couldn’t agree more</w:t>
      </w:r>
      <w:r w:rsidR="00932304">
        <w:rPr>
          <w:color w:val="595959" w:themeColor="text1" w:themeTint="A6"/>
          <w:sz w:val="20"/>
          <w:szCs w:val="20"/>
        </w:rPr>
        <w:t xml:space="preserve"> on all three points. </w:t>
      </w:r>
      <w:r w:rsidR="00304B93">
        <w:rPr>
          <w:color w:val="595959" w:themeColor="text1" w:themeTint="A6"/>
          <w:sz w:val="20"/>
          <w:szCs w:val="20"/>
        </w:rPr>
        <w:t xml:space="preserve">Unlike the US 401(k) Employer sponsored retirement savings plan, Australian </w:t>
      </w:r>
      <w:r w:rsidR="00304B93" w:rsidRPr="00304B93">
        <w:rPr>
          <w:color w:val="595959" w:themeColor="text1" w:themeTint="A6"/>
          <w:sz w:val="20"/>
          <w:szCs w:val="20"/>
        </w:rPr>
        <w:t xml:space="preserve">employers </w:t>
      </w:r>
      <w:r w:rsidR="00304B93">
        <w:rPr>
          <w:color w:val="595959" w:themeColor="text1" w:themeTint="A6"/>
          <w:sz w:val="20"/>
          <w:szCs w:val="20"/>
        </w:rPr>
        <w:t xml:space="preserve">do not have </w:t>
      </w:r>
      <w:r w:rsidR="00304B93" w:rsidRPr="00304B93">
        <w:rPr>
          <w:color w:val="595959" w:themeColor="text1" w:themeTint="A6"/>
          <w:sz w:val="20"/>
          <w:szCs w:val="20"/>
        </w:rPr>
        <w:t xml:space="preserve">a fiduciary responsibility to act in the interests of employees when selecting a provider. </w:t>
      </w:r>
      <w:r w:rsidR="00304B93">
        <w:rPr>
          <w:color w:val="595959" w:themeColor="text1" w:themeTint="A6"/>
          <w:sz w:val="20"/>
          <w:szCs w:val="20"/>
        </w:rPr>
        <w:t xml:space="preserve">In the US, employers who </w:t>
      </w:r>
      <w:r w:rsidR="00304B93" w:rsidRPr="00304B93">
        <w:rPr>
          <w:color w:val="595959" w:themeColor="text1" w:themeTint="A6"/>
          <w:sz w:val="20"/>
          <w:szCs w:val="20"/>
        </w:rPr>
        <w:t>fail to meet their duties have faced high-profile lawsuits</w:t>
      </w:r>
      <w:r w:rsidR="00304B93">
        <w:rPr>
          <w:color w:val="595959" w:themeColor="text1" w:themeTint="A6"/>
          <w:sz w:val="20"/>
          <w:szCs w:val="20"/>
        </w:rPr>
        <w:t xml:space="preserve">, while in </w:t>
      </w:r>
      <w:r w:rsidR="00304B93" w:rsidRPr="00304B93">
        <w:rPr>
          <w:color w:val="595959" w:themeColor="text1" w:themeTint="A6"/>
          <w:sz w:val="20"/>
          <w:szCs w:val="20"/>
        </w:rPr>
        <w:t xml:space="preserve">Australia 75% of employers never check default fund performance or fees on behalf of employees and less than 7% switch </w:t>
      </w:r>
      <w:r w:rsidR="00933312">
        <w:rPr>
          <w:color w:val="595959" w:themeColor="text1" w:themeTint="A6"/>
          <w:sz w:val="20"/>
          <w:szCs w:val="20"/>
        </w:rPr>
        <w:t>funds</w:t>
      </w:r>
      <w:r w:rsidR="00304B93" w:rsidRPr="00304B93">
        <w:rPr>
          <w:color w:val="595959" w:themeColor="text1" w:themeTint="A6"/>
          <w:sz w:val="20"/>
          <w:szCs w:val="20"/>
        </w:rPr>
        <w:t xml:space="preserve">. </w:t>
      </w:r>
    </w:p>
    <w:p w14:paraId="791CE307" w14:textId="12A5DC49" w:rsidR="00E52A18" w:rsidRPr="00E52A18" w:rsidRDefault="00304B93" w:rsidP="00304B93">
      <w:pPr>
        <w:rPr>
          <w:bCs/>
          <w:color w:val="595959" w:themeColor="text1" w:themeTint="A6"/>
          <w:sz w:val="20"/>
          <w:szCs w:val="20"/>
        </w:rPr>
      </w:pPr>
      <w:r w:rsidRPr="00304B93">
        <w:rPr>
          <w:bCs/>
          <w:color w:val="595959" w:themeColor="text1" w:themeTint="A6"/>
          <w:sz w:val="20"/>
          <w:szCs w:val="20"/>
        </w:rPr>
        <w:t xml:space="preserve">Most employers want to act in the financial interests of employees, but </w:t>
      </w:r>
      <w:r w:rsidR="00933312">
        <w:rPr>
          <w:bCs/>
          <w:color w:val="595959" w:themeColor="text1" w:themeTint="A6"/>
          <w:sz w:val="20"/>
          <w:szCs w:val="20"/>
        </w:rPr>
        <w:t xml:space="preserve">the majority </w:t>
      </w:r>
      <w:r>
        <w:rPr>
          <w:bCs/>
          <w:color w:val="595959" w:themeColor="text1" w:themeTint="A6"/>
          <w:sz w:val="20"/>
          <w:szCs w:val="20"/>
        </w:rPr>
        <w:t xml:space="preserve">have not </w:t>
      </w:r>
      <w:r w:rsidRPr="00304B93">
        <w:rPr>
          <w:bCs/>
          <w:color w:val="595959" w:themeColor="text1" w:themeTint="A6"/>
          <w:sz w:val="20"/>
          <w:szCs w:val="20"/>
        </w:rPr>
        <w:t xml:space="preserve">recognised the importance of </w:t>
      </w:r>
      <w:r w:rsidR="00933312">
        <w:rPr>
          <w:bCs/>
          <w:color w:val="595959" w:themeColor="text1" w:themeTint="A6"/>
          <w:sz w:val="20"/>
          <w:szCs w:val="20"/>
        </w:rPr>
        <w:t xml:space="preserve">their default </w:t>
      </w:r>
      <w:r w:rsidRPr="00304B93">
        <w:rPr>
          <w:bCs/>
          <w:color w:val="595959" w:themeColor="text1" w:themeTint="A6"/>
          <w:sz w:val="20"/>
          <w:szCs w:val="20"/>
        </w:rPr>
        <w:t>super</w:t>
      </w:r>
      <w:r w:rsidR="00933312">
        <w:rPr>
          <w:bCs/>
          <w:color w:val="595959" w:themeColor="text1" w:themeTint="A6"/>
          <w:sz w:val="20"/>
          <w:szCs w:val="20"/>
        </w:rPr>
        <w:t xml:space="preserve"> fund choice</w:t>
      </w:r>
      <w:r w:rsidR="00E52A18">
        <w:rPr>
          <w:bCs/>
          <w:color w:val="595959" w:themeColor="text1" w:themeTint="A6"/>
          <w:sz w:val="20"/>
          <w:szCs w:val="20"/>
        </w:rPr>
        <w:t xml:space="preserve">. Super is not a strategic priority for employers. </w:t>
      </w:r>
      <w:r w:rsidR="00933312">
        <w:rPr>
          <w:bCs/>
          <w:color w:val="595959" w:themeColor="text1" w:themeTint="A6"/>
          <w:sz w:val="20"/>
          <w:szCs w:val="20"/>
        </w:rPr>
        <w:t>T</w:t>
      </w:r>
      <w:r>
        <w:rPr>
          <w:bCs/>
          <w:color w:val="595959" w:themeColor="text1" w:themeTint="A6"/>
          <w:sz w:val="20"/>
          <w:szCs w:val="20"/>
        </w:rPr>
        <w:t xml:space="preserve">aking </w:t>
      </w:r>
      <w:r w:rsidR="00E52A18">
        <w:rPr>
          <w:bCs/>
          <w:color w:val="595959" w:themeColor="text1" w:themeTint="A6"/>
          <w:sz w:val="20"/>
          <w:szCs w:val="20"/>
        </w:rPr>
        <w:t xml:space="preserve">an </w:t>
      </w:r>
      <w:r w:rsidR="00835918">
        <w:rPr>
          <w:bCs/>
          <w:color w:val="595959" w:themeColor="text1" w:themeTint="A6"/>
          <w:sz w:val="20"/>
          <w:szCs w:val="20"/>
        </w:rPr>
        <w:t xml:space="preserve">employer out of the decision-making process </w:t>
      </w:r>
      <w:r w:rsidR="00E52A18">
        <w:rPr>
          <w:bCs/>
          <w:color w:val="595959" w:themeColor="text1" w:themeTint="A6"/>
          <w:sz w:val="20"/>
          <w:szCs w:val="20"/>
        </w:rPr>
        <w:t xml:space="preserve">benefits both employers and </w:t>
      </w:r>
      <w:r w:rsidR="00933312">
        <w:rPr>
          <w:bCs/>
          <w:color w:val="595959" w:themeColor="text1" w:themeTint="A6"/>
          <w:sz w:val="20"/>
          <w:szCs w:val="20"/>
        </w:rPr>
        <w:t>employees and</w:t>
      </w:r>
      <w:r w:rsidR="00E52A18">
        <w:rPr>
          <w:bCs/>
          <w:color w:val="595959" w:themeColor="text1" w:themeTint="A6"/>
          <w:sz w:val="20"/>
          <w:szCs w:val="20"/>
        </w:rPr>
        <w:t xml:space="preserve"> remov</w:t>
      </w:r>
      <w:r w:rsidR="00933312">
        <w:rPr>
          <w:bCs/>
          <w:color w:val="595959" w:themeColor="text1" w:themeTint="A6"/>
          <w:sz w:val="20"/>
          <w:szCs w:val="20"/>
        </w:rPr>
        <w:t>es a systemic risk</w:t>
      </w:r>
      <w:r w:rsidR="00835918">
        <w:rPr>
          <w:bCs/>
          <w:color w:val="595959" w:themeColor="text1" w:themeTint="A6"/>
          <w:sz w:val="20"/>
          <w:szCs w:val="20"/>
        </w:rPr>
        <w:t>.</w:t>
      </w:r>
      <w:r w:rsidR="00E52A18">
        <w:rPr>
          <w:bCs/>
          <w:color w:val="595959" w:themeColor="text1" w:themeTint="A6"/>
          <w:sz w:val="20"/>
          <w:szCs w:val="20"/>
        </w:rPr>
        <w:t xml:space="preserve"> </w:t>
      </w:r>
    </w:p>
    <w:p w14:paraId="0D006610" w14:textId="752B9D26" w:rsidR="00E52A18" w:rsidRDefault="00E52A18" w:rsidP="00E52A18">
      <w:pPr>
        <w:rPr>
          <w:color w:val="595959" w:themeColor="text1" w:themeTint="A6"/>
          <w:sz w:val="20"/>
          <w:szCs w:val="20"/>
        </w:rPr>
      </w:pPr>
      <w:r w:rsidRPr="00E52A18">
        <w:rPr>
          <w:color w:val="595959" w:themeColor="text1" w:themeTint="A6"/>
          <w:sz w:val="20"/>
          <w:szCs w:val="20"/>
        </w:rPr>
        <w:t>36% of working Australians are employed under an EBA</w:t>
      </w:r>
      <w:r w:rsidR="00933312">
        <w:rPr>
          <w:color w:val="595959" w:themeColor="text1" w:themeTint="A6"/>
          <w:sz w:val="20"/>
          <w:szCs w:val="20"/>
        </w:rPr>
        <w:t xml:space="preserve">, with </w:t>
      </w:r>
      <w:r w:rsidRPr="00E52A18">
        <w:rPr>
          <w:color w:val="595959" w:themeColor="text1" w:themeTint="A6"/>
          <w:sz w:val="20"/>
          <w:szCs w:val="20"/>
        </w:rPr>
        <w:t>19% of EBAs prevent</w:t>
      </w:r>
      <w:r w:rsidR="00933312">
        <w:rPr>
          <w:color w:val="595959" w:themeColor="text1" w:themeTint="A6"/>
          <w:sz w:val="20"/>
          <w:szCs w:val="20"/>
        </w:rPr>
        <w:t xml:space="preserve">ing </w:t>
      </w:r>
      <w:r w:rsidRPr="00E52A18">
        <w:rPr>
          <w:color w:val="595959" w:themeColor="text1" w:themeTint="A6"/>
          <w:sz w:val="20"/>
          <w:szCs w:val="20"/>
        </w:rPr>
        <w:t xml:space="preserve">employees from selecting their choice of fund. The inclusion of super within an EBA </w:t>
      </w:r>
      <w:r w:rsidR="00881BB6">
        <w:rPr>
          <w:color w:val="595959" w:themeColor="text1" w:themeTint="A6"/>
          <w:sz w:val="20"/>
          <w:szCs w:val="20"/>
        </w:rPr>
        <w:t>is an endorsement of</w:t>
      </w:r>
      <w:r w:rsidR="00933312">
        <w:rPr>
          <w:color w:val="595959" w:themeColor="text1" w:themeTint="A6"/>
          <w:sz w:val="20"/>
          <w:szCs w:val="20"/>
        </w:rPr>
        <w:t xml:space="preserve"> trade restrictions</w:t>
      </w:r>
      <w:r w:rsidR="00805AB6">
        <w:rPr>
          <w:color w:val="595959" w:themeColor="text1" w:themeTint="A6"/>
          <w:sz w:val="20"/>
          <w:szCs w:val="20"/>
        </w:rPr>
        <w:t xml:space="preserve"> and has no place in an efficient, competitive market. Given the proposed changes prevent an employer nominating a default fund, the conflict of interest </w:t>
      </w:r>
      <w:r w:rsidR="00304053">
        <w:rPr>
          <w:color w:val="595959" w:themeColor="text1" w:themeTint="A6"/>
          <w:sz w:val="20"/>
          <w:szCs w:val="20"/>
        </w:rPr>
        <w:t xml:space="preserve">risk </w:t>
      </w:r>
      <w:r w:rsidR="00805AB6">
        <w:rPr>
          <w:color w:val="595959" w:themeColor="text1" w:themeTint="A6"/>
          <w:sz w:val="20"/>
          <w:szCs w:val="20"/>
        </w:rPr>
        <w:t xml:space="preserve">marketed by certain industry funds and representative bodies </w:t>
      </w:r>
      <w:r w:rsidR="00774B5D">
        <w:rPr>
          <w:color w:val="595959" w:themeColor="text1" w:themeTint="A6"/>
          <w:sz w:val="20"/>
          <w:szCs w:val="20"/>
        </w:rPr>
        <w:t>has been mitigated</w:t>
      </w:r>
      <w:r w:rsidR="00805AB6">
        <w:rPr>
          <w:color w:val="595959" w:themeColor="text1" w:themeTint="A6"/>
          <w:sz w:val="20"/>
          <w:szCs w:val="20"/>
        </w:rPr>
        <w:t>.</w:t>
      </w:r>
    </w:p>
    <w:p w14:paraId="2225CFBD" w14:textId="35EC90A7" w:rsidR="008F575A" w:rsidRDefault="008F575A" w:rsidP="00E52A18">
      <w:pPr>
        <w:rPr>
          <w:color w:val="595959" w:themeColor="text1" w:themeTint="A6"/>
          <w:sz w:val="20"/>
          <w:szCs w:val="20"/>
        </w:rPr>
      </w:pPr>
    </w:p>
    <w:p w14:paraId="4F763381" w14:textId="04A2B7BB" w:rsidR="0022130F" w:rsidRPr="0022130F" w:rsidRDefault="0022130F" w:rsidP="00E52A18">
      <w:pPr>
        <w:rPr>
          <w:b/>
          <w:bCs/>
          <w:caps/>
          <w:color w:val="0070C0"/>
          <w:sz w:val="20"/>
          <w:szCs w:val="20"/>
        </w:rPr>
      </w:pPr>
      <w:r w:rsidRPr="0022130F">
        <w:rPr>
          <w:b/>
          <w:bCs/>
          <w:caps/>
          <w:color w:val="0070C0"/>
          <w:sz w:val="20"/>
          <w:szCs w:val="20"/>
        </w:rPr>
        <w:t>Draft Recommendation 3 Independent expert panel for ‘best in show’ selection</w:t>
      </w:r>
    </w:p>
    <w:p w14:paraId="3C3E050B" w14:textId="77777777" w:rsidR="0022130F" w:rsidRPr="0022130F" w:rsidRDefault="0022130F" w:rsidP="0022130F">
      <w:pPr>
        <w:rPr>
          <w:bCs/>
          <w:i/>
          <w:color w:val="595959" w:themeColor="text1" w:themeTint="A6"/>
          <w:sz w:val="20"/>
          <w:szCs w:val="20"/>
        </w:rPr>
      </w:pPr>
      <w:r w:rsidRPr="0022130F">
        <w:rPr>
          <w:bCs/>
          <w:i/>
          <w:color w:val="595959" w:themeColor="text1" w:themeTint="A6"/>
          <w:sz w:val="20"/>
          <w:szCs w:val="20"/>
        </w:rPr>
        <w:t>The Australian Government should establish an independent expert panel to run a competitive process for listing superannuation products on the online shortlist. This panel should select from products submitted by funds that meet a clear set of criteria (established beforehand by the panel) and are judged to deliver the best outcomes for members, with a high weighting placed on investment strategy and performance.</w:t>
      </w:r>
    </w:p>
    <w:p w14:paraId="32544466" w14:textId="77777777" w:rsidR="0022130F" w:rsidRPr="0022130F" w:rsidRDefault="0022130F" w:rsidP="0022130F">
      <w:pPr>
        <w:rPr>
          <w:bCs/>
          <w:i/>
          <w:color w:val="595959" w:themeColor="text1" w:themeTint="A6"/>
          <w:sz w:val="20"/>
          <w:szCs w:val="20"/>
        </w:rPr>
      </w:pPr>
      <w:r w:rsidRPr="0022130F">
        <w:rPr>
          <w:bCs/>
          <w:i/>
          <w:color w:val="595959" w:themeColor="text1" w:themeTint="A6"/>
          <w:sz w:val="20"/>
          <w:szCs w:val="20"/>
        </w:rPr>
        <w:t>The panel should have flexibility to select up to 10 products, with the exact number at the discretion of the panel based on the merit of each product and what is most tractable for members, while maintaining a competitive dynamic between funds for inclusion.</w:t>
      </w:r>
    </w:p>
    <w:p w14:paraId="65D0C8E1" w14:textId="77777777" w:rsidR="0022130F" w:rsidRPr="0022130F" w:rsidRDefault="0022130F" w:rsidP="0022130F">
      <w:pPr>
        <w:rPr>
          <w:bCs/>
          <w:i/>
          <w:color w:val="595959" w:themeColor="text1" w:themeTint="A6"/>
          <w:sz w:val="20"/>
          <w:szCs w:val="20"/>
        </w:rPr>
      </w:pPr>
      <w:r w:rsidRPr="0022130F">
        <w:rPr>
          <w:bCs/>
          <w:i/>
          <w:color w:val="595959" w:themeColor="text1" w:themeTint="A6"/>
          <w:sz w:val="20"/>
          <w:szCs w:val="20"/>
        </w:rPr>
        <w:t>The panel should be comprised of independent experts who are appointed through a robust selection process and held accountable to Government through adequate reporting and oversight.</w:t>
      </w:r>
    </w:p>
    <w:p w14:paraId="36B7978E" w14:textId="15B7590D" w:rsidR="0022130F" w:rsidRPr="0022130F" w:rsidRDefault="0022130F" w:rsidP="0022130F">
      <w:pPr>
        <w:rPr>
          <w:bCs/>
          <w:i/>
          <w:color w:val="595959" w:themeColor="text1" w:themeTint="A6"/>
          <w:sz w:val="20"/>
          <w:szCs w:val="20"/>
        </w:rPr>
      </w:pPr>
      <w:r w:rsidRPr="0022130F">
        <w:rPr>
          <w:bCs/>
          <w:i/>
          <w:color w:val="595959" w:themeColor="text1" w:themeTint="A6"/>
          <w:sz w:val="20"/>
          <w:szCs w:val="20"/>
        </w:rPr>
        <w:t>The process should be repeated, and the panel reconstituted, every four years.</w:t>
      </w:r>
    </w:p>
    <w:p w14:paraId="485E6869" w14:textId="4C62D4B8" w:rsidR="001016FD" w:rsidRPr="008F575A" w:rsidRDefault="001016FD" w:rsidP="001016FD">
      <w:pPr>
        <w:rPr>
          <w:b/>
          <w:color w:val="0070C0"/>
          <w:sz w:val="20"/>
          <w:szCs w:val="20"/>
        </w:rPr>
      </w:pPr>
    </w:p>
    <w:p w14:paraId="672410D4" w14:textId="77777777" w:rsidR="0022130F" w:rsidRDefault="0022130F" w:rsidP="0022130F">
      <w:pPr>
        <w:rPr>
          <w:b/>
          <w:color w:val="0070C0"/>
          <w:sz w:val="20"/>
          <w:szCs w:val="20"/>
        </w:rPr>
      </w:pPr>
      <w:r>
        <w:rPr>
          <w:b/>
          <w:color w:val="0070C0"/>
          <w:sz w:val="20"/>
          <w:szCs w:val="20"/>
        </w:rPr>
        <w:t>Roll-it Super r</w:t>
      </w:r>
      <w:r w:rsidRPr="008009A5">
        <w:rPr>
          <w:b/>
          <w:color w:val="0070C0"/>
          <w:sz w:val="20"/>
          <w:szCs w:val="20"/>
        </w:rPr>
        <w:t>esponse</w:t>
      </w:r>
    </w:p>
    <w:p w14:paraId="1D01C6B2" w14:textId="24AA6133" w:rsidR="008009A5" w:rsidRDefault="003F25CF">
      <w:pPr>
        <w:rPr>
          <w:color w:val="595959" w:themeColor="text1" w:themeTint="A6"/>
          <w:sz w:val="20"/>
          <w:szCs w:val="20"/>
        </w:rPr>
      </w:pPr>
      <w:r>
        <w:rPr>
          <w:color w:val="595959" w:themeColor="text1" w:themeTint="A6"/>
          <w:sz w:val="20"/>
          <w:szCs w:val="20"/>
        </w:rPr>
        <w:t xml:space="preserve">We agree with the process, but suggest a four-year cycle could be too long. The risk </w:t>
      </w:r>
      <w:r w:rsidR="00D65D68">
        <w:rPr>
          <w:color w:val="595959" w:themeColor="text1" w:themeTint="A6"/>
          <w:sz w:val="20"/>
          <w:szCs w:val="20"/>
        </w:rPr>
        <w:t>is that the number of suppliers and resultant competitive tension will diminish overtime</w:t>
      </w:r>
      <w:r w:rsidR="007B73FD">
        <w:rPr>
          <w:color w:val="595959" w:themeColor="text1" w:themeTint="A6"/>
          <w:sz w:val="20"/>
          <w:szCs w:val="20"/>
        </w:rPr>
        <w:t xml:space="preserve"> if the duration forces suppliers to consolidate or exit</w:t>
      </w:r>
      <w:r w:rsidR="002350D7">
        <w:rPr>
          <w:color w:val="595959" w:themeColor="text1" w:themeTint="A6"/>
          <w:sz w:val="20"/>
          <w:szCs w:val="20"/>
        </w:rPr>
        <w:t xml:space="preserve"> between cycles</w:t>
      </w:r>
      <w:r w:rsidR="007B73FD">
        <w:rPr>
          <w:color w:val="595959" w:themeColor="text1" w:themeTint="A6"/>
          <w:sz w:val="20"/>
          <w:szCs w:val="20"/>
        </w:rPr>
        <w:t xml:space="preserve">. Additionally, </w:t>
      </w:r>
      <w:r w:rsidR="00CC54CE">
        <w:rPr>
          <w:color w:val="595959" w:themeColor="text1" w:themeTint="A6"/>
          <w:sz w:val="20"/>
          <w:szCs w:val="20"/>
        </w:rPr>
        <w:t xml:space="preserve">new entrants with </w:t>
      </w:r>
      <w:r w:rsidR="001F4C0B">
        <w:rPr>
          <w:color w:val="595959" w:themeColor="text1" w:themeTint="A6"/>
          <w:sz w:val="20"/>
          <w:szCs w:val="20"/>
        </w:rPr>
        <w:t xml:space="preserve">superior investment or </w:t>
      </w:r>
      <w:r w:rsidR="007F557C">
        <w:rPr>
          <w:color w:val="595959" w:themeColor="text1" w:themeTint="A6"/>
          <w:sz w:val="20"/>
          <w:szCs w:val="20"/>
        </w:rPr>
        <w:t>performance strategies will be locked out of the market for an extended period</w:t>
      </w:r>
      <w:r w:rsidR="00D65D68">
        <w:rPr>
          <w:color w:val="595959" w:themeColor="text1" w:themeTint="A6"/>
          <w:sz w:val="20"/>
          <w:szCs w:val="20"/>
        </w:rPr>
        <w:t xml:space="preserve">. </w:t>
      </w:r>
      <w:r w:rsidR="00CC54CE">
        <w:rPr>
          <w:color w:val="595959" w:themeColor="text1" w:themeTint="A6"/>
          <w:sz w:val="20"/>
          <w:szCs w:val="20"/>
        </w:rPr>
        <w:t xml:space="preserve">A short cycle (2 or 3 years) will </w:t>
      </w:r>
      <w:r w:rsidR="007F557C">
        <w:rPr>
          <w:color w:val="595959" w:themeColor="text1" w:themeTint="A6"/>
          <w:sz w:val="20"/>
          <w:szCs w:val="20"/>
        </w:rPr>
        <w:t xml:space="preserve">help </w:t>
      </w:r>
      <w:r w:rsidR="00CC54CE">
        <w:rPr>
          <w:color w:val="595959" w:themeColor="text1" w:themeTint="A6"/>
          <w:sz w:val="20"/>
          <w:szCs w:val="20"/>
        </w:rPr>
        <w:t>unsuccessful</w:t>
      </w:r>
      <w:r w:rsidR="007F557C">
        <w:rPr>
          <w:color w:val="595959" w:themeColor="text1" w:themeTint="A6"/>
          <w:sz w:val="20"/>
          <w:szCs w:val="20"/>
        </w:rPr>
        <w:t xml:space="preserve"> suppliers to remain viable between cycles and support innovation from new entrants</w:t>
      </w:r>
      <w:r w:rsidR="007A44AD">
        <w:rPr>
          <w:color w:val="595959" w:themeColor="text1" w:themeTint="A6"/>
          <w:sz w:val="20"/>
          <w:szCs w:val="20"/>
        </w:rPr>
        <w:t>.</w:t>
      </w:r>
    </w:p>
    <w:p w14:paraId="3F7141F9" w14:textId="77777777" w:rsidR="00D25B7E" w:rsidRDefault="00D25B7E">
      <w:pPr>
        <w:rPr>
          <w:i/>
          <w:color w:val="595959" w:themeColor="text1" w:themeTint="A6"/>
          <w:sz w:val="20"/>
          <w:szCs w:val="20"/>
        </w:rPr>
      </w:pPr>
    </w:p>
    <w:p w14:paraId="595CCCF4" w14:textId="002A0F36" w:rsidR="00D25B7E" w:rsidRPr="00D25B7E" w:rsidRDefault="00D25B7E">
      <w:pPr>
        <w:rPr>
          <w:b/>
          <w:bCs/>
          <w:caps/>
          <w:color w:val="0070C0"/>
          <w:sz w:val="20"/>
          <w:szCs w:val="20"/>
        </w:rPr>
      </w:pPr>
      <w:r w:rsidRPr="00D25B7E">
        <w:rPr>
          <w:b/>
          <w:bCs/>
          <w:caps/>
          <w:color w:val="0070C0"/>
          <w:sz w:val="20"/>
          <w:szCs w:val="20"/>
        </w:rPr>
        <w:t>Draft Recommendation 9</w:t>
      </w:r>
      <w:r>
        <w:rPr>
          <w:b/>
          <w:bCs/>
          <w:caps/>
          <w:color w:val="0070C0"/>
          <w:sz w:val="20"/>
          <w:szCs w:val="20"/>
        </w:rPr>
        <w:t>:</w:t>
      </w:r>
      <w:r w:rsidRPr="00D25B7E">
        <w:rPr>
          <w:b/>
          <w:bCs/>
          <w:caps/>
          <w:color w:val="0070C0"/>
          <w:sz w:val="20"/>
          <w:szCs w:val="20"/>
        </w:rPr>
        <w:t xml:space="preserve"> A Member</w:t>
      </w:r>
      <w:r w:rsidRPr="00D25B7E">
        <w:rPr>
          <w:b/>
          <w:bCs/>
          <w:caps/>
          <w:color w:val="0070C0"/>
          <w:sz w:val="20"/>
          <w:szCs w:val="20"/>
        </w:rPr>
        <w:noBreakHyphen/>
        <w:t>friendly dashboard for all products</w:t>
      </w:r>
    </w:p>
    <w:p w14:paraId="582F9A42" w14:textId="77777777" w:rsidR="00D25B7E" w:rsidRPr="00D25B7E" w:rsidRDefault="00D25B7E" w:rsidP="00D25B7E">
      <w:pPr>
        <w:rPr>
          <w:bCs/>
          <w:i/>
          <w:color w:val="595959" w:themeColor="text1" w:themeTint="A6"/>
          <w:sz w:val="20"/>
          <w:szCs w:val="20"/>
        </w:rPr>
      </w:pPr>
      <w:r w:rsidRPr="00D25B7E">
        <w:rPr>
          <w:bCs/>
          <w:i/>
          <w:color w:val="595959" w:themeColor="text1" w:themeTint="A6"/>
          <w:sz w:val="20"/>
          <w:szCs w:val="20"/>
        </w:rPr>
        <w:t>The Australian Government should require funds to publish simple, single</w:t>
      </w:r>
      <w:r w:rsidRPr="00D25B7E">
        <w:rPr>
          <w:bCs/>
          <w:i/>
          <w:color w:val="595959" w:themeColor="text1" w:themeTint="A6"/>
          <w:sz w:val="20"/>
          <w:szCs w:val="20"/>
        </w:rPr>
        <w:noBreakHyphen/>
        <w:t>page product dashboards for all superannuation products.</w:t>
      </w:r>
    </w:p>
    <w:p w14:paraId="353DCC37" w14:textId="77777777" w:rsidR="00D25B7E" w:rsidRPr="00D25B7E" w:rsidRDefault="00D25B7E" w:rsidP="00D25B7E">
      <w:pPr>
        <w:rPr>
          <w:bCs/>
          <w:i/>
          <w:color w:val="595959" w:themeColor="text1" w:themeTint="A6"/>
          <w:sz w:val="20"/>
          <w:szCs w:val="20"/>
        </w:rPr>
      </w:pPr>
      <w:r w:rsidRPr="00D25B7E">
        <w:rPr>
          <w:bCs/>
          <w:i/>
          <w:color w:val="595959" w:themeColor="text1" w:themeTint="A6"/>
          <w:sz w:val="20"/>
          <w:szCs w:val="20"/>
        </w:rPr>
        <w:t>ASIC should:</w:t>
      </w:r>
    </w:p>
    <w:p w14:paraId="1ED02596" w14:textId="77777777" w:rsidR="00D25B7E" w:rsidRPr="00D25B7E" w:rsidRDefault="00D25B7E" w:rsidP="00D25B7E">
      <w:pPr>
        <w:pStyle w:val="ListParagraph"/>
        <w:numPr>
          <w:ilvl w:val="0"/>
          <w:numId w:val="10"/>
        </w:numPr>
        <w:rPr>
          <w:bCs/>
          <w:i/>
          <w:color w:val="595959" w:themeColor="text1" w:themeTint="A6"/>
          <w:sz w:val="20"/>
          <w:szCs w:val="20"/>
        </w:rPr>
      </w:pPr>
      <w:r w:rsidRPr="00D25B7E">
        <w:rPr>
          <w:bCs/>
          <w:i/>
          <w:color w:val="595959" w:themeColor="text1" w:themeTint="A6"/>
          <w:sz w:val="20"/>
          <w:szCs w:val="20"/>
        </w:rPr>
        <w:t>prioritise the implementation of choice product dashboards to achieve full compliance by 1 July 2019</w:t>
      </w:r>
    </w:p>
    <w:p w14:paraId="323EA989" w14:textId="77777777" w:rsidR="00D25B7E" w:rsidRPr="00D25B7E" w:rsidRDefault="00D25B7E" w:rsidP="00D25B7E">
      <w:pPr>
        <w:pStyle w:val="ListParagraph"/>
        <w:numPr>
          <w:ilvl w:val="0"/>
          <w:numId w:val="10"/>
        </w:numPr>
        <w:rPr>
          <w:bCs/>
          <w:i/>
          <w:color w:val="595959" w:themeColor="text1" w:themeTint="A6"/>
          <w:sz w:val="20"/>
          <w:szCs w:val="20"/>
        </w:rPr>
      </w:pPr>
      <w:r w:rsidRPr="00D25B7E">
        <w:rPr>
          <w:bCs/>
          <w:i/>
          <w:color w:val="595959" w:themeColor="text1" w:themeTint="A6"/>
          <w:sz w:val="20"/>
          <w:szCs w:val="20"/>
        </w:rPr>
        <w:t>revise the dashboards to simplify the content and provide more easily comprehensible metrics (drawing on robust consumer testing) by end 2019</w:t>
      </w:r>
    </w:p>
    <w:p w14:paraId="590406BB" w14:textId="77777777" w:rsidR="00D25B7E" w:rsidRDefault="00D25B7E" w:rsidP="00D25B7E">
      <w:pPr>
        <w:pStyle w:val="ListParagraph"/>
        <w:numPr>
          <w:ilvl w:val="0"/>
          <w:numId w:val="10"/>
        </w:numPr>
        <w:rPr>
          <w:bCs/>
          <w:i/>
          <w:color w:val="595959" w:themeColor="text1" w:themeTint="A6"/>
          <w:sz w:val="20"/>
          <w:szCs w:val="20"/>
        </w:rPr>
      </w:pPr>
      <w:proofErr w:type="gramStart"/>
      <w:r w:rsidRPr="00D25B7E">
        <w:rPr>
          <w:bCs/>
          <w:i/>
          <w:color w:val="595959" w:themeColor="text1" w:themeTint="A6"/>
          <w:sz w:val="20"/>
          <w:szCs w:val="20"/>
        </w:rPr>
        <w:t>immediately</w:t>
      </w:r>
      <w:proofErr w:type="gramEnd"/>
      <w:r w:rsidRPr="00D25B7E">
        <w:rPr>
          <w:bCs/>
          <w:i/>
          <w:color w:val="595959" w:themeColor="text1" w:themeTint="A6"/>
          <w:sz w:val="20"/>
          <w:szCs w:val="20"/>
        </w:rPr>
        <w:t xml:space="preserve"> publish all available </w:t>
      </w:r>
      <w:proofErr w:type="spellStart"/>
      <w:r w:rsidRPr="00D25B7E">
        <w:rPr>
          <w:bCs/>
          <w:i/>
          <w:color w:val="595959" w:themeColor="text1" w:themeTint="A6"/>
          <w:sz w:val="20"/>
          <w:szCs w:val="20"/>
        </w:rPr>
        <w:t>MySuper</w:t>
      </w:r>
      <w:proofErr w:type="spellEnd"/>
      <w:r w:rsidRPr="00D25B7E">
        <w:rPr>
          <w:bCs/>
          <w:i/>
          <w:color w:val="595959" w:themeColor="text1" w:themeTint="A6"/>
          <w:sz w:val="20"/>
          <w:szCs w:val="20"/>
        </w:rPr>
        <w:t xml:space="preserve"> and choice product dashboards on a single website, with the information clearly and readily accessible from the area of </w:t>
      </w:r>
      <w:proofErr w:type="spellStart"/>
      <w:r w:rsidRPr="00D25B7E">
        <w:rPr>
          <w:bCs/>
          <w:i/>
          <w:color w:val="595959" w:themeColor="text1" w:themeTint="A6"/>
          <w:sz w:val="20"/>
          <w:szCs w:val="20"/>
        </w:rPr>
        <w:t>myGov</w:t>
      </w:r>
      <w:proofErr w:type="spellEnd"/>
      <w:r w:rsidRPr="00D25B7E">
        <w:rPr>
          <w:bCs/>
          <w:i/>
          <w:color w:val="595959" w:themeColor="text1" w:themeTint="A6"/>
          <w:sz w:val="20"/>
          <w:szCs w:val="20"/>
        </w:rPr>
        <w:t xml:space="preserve"> that allows for consolidation of accounts.</w:t>
      </w:r>
    </w:p>
    <w:p w14:paraId="77446AE8" w14:textId="77777777" w:rsidR="00D25B7E" w:rsidRDefault="00D25B7E" w:rsidP="00D25B7E">
      <w:pPr>
        <w:rPr>
          <w:bCs/>
          <w:i/>
          <w:color w:val="595959" w:themeColor="text1" w:themeTint="A6"/>
          <w:sz w:val="20"/>
          <w:szCs w:val="20"/>
        </w:rPr>
      </w:pPr>
    </w:p>
    <w:p w14:paraId="602E36BD" w14:textId="67F6E8FE" w:rsidR="00D25B7E" w:rsidRPr="00D25B7E" w:rsidRDefault="00D25B7E" w:rsidP="00D25B7E">
      <w:pPr>
        <w:rPr>
          <w:b/>
          <w:bCs/>
          <w:caps/>
          <w:color w:val="0070C0"/>
          <w:sz w:val="20"/>
          <w:szCs w:val="20"/>
        </w:rPr>
      </w:pPr>
      <w:r w:rsidRPr="00D25B7E">
        <w:rPr>
          <w:b/>
          <w:bCs/>
          <w:caps/>
          <w:color w:val="0070C0"/>
          <w:sz w:val="20"/>
          <w:szCs w:val="20"/>
        </w:rPr>
        <w:t>Draft Recommendation 10 Delivering dashboards to members</w:t>
      </w:r>
    </w:p>
    <w:p w14:paraId="6E8EC81E" w14:textId="0ED017D0" w:rsidR="00D25B7E" w:rsidRPr="00D25B7E" w:rsidRDefault="00D25B7E" w:rsidP="00D25B7E">
      <w:pPr>
        <w:rPr>
          <w:bCs/>
          <w:i/>
          <w:color w:val="595959" w:themeColor="text1" w:themeTint="A6"/>
          <w:sz w:val="20"/>
          <w:szCs w:val="20"/>
        </w:rPr>
      </w:pPr>
      <w:r w:rsidRPr="00D25B7E">
        <w:rPr>
          <w:bCs/>
          <w:i/>
          <w:color w:val="595959" w:themeColor="text1" w:themeTint="A6"/>
          <w:sz w:val="20"/>
          <w:szCs w:val="20"/>
        </w:rPr>
        <w:t>The Australian Government should require the ATO to present the relevant (single page) product dashboard on a member’s existing account(s) on its centralised online service.</w:t>
      </w:r>
    </w:p>
    <w:p w14:paraId="76A00FDF" w14:textId="77777777" w:rsidR="00D25B7E" w:rsidRPr="00D25B7E" w:rsidRDefault="00D25B7E" w:rsidP="00D25B7E">
      <w:pPr>
        <w:rPr>
          <w:bCs/>
          <w:i/>
          <w:color w:val="595959" w:themeColor="text1" w:themeTint="A6"/>
          <w:sz w:val="20"/>
          <w:szCs w:val="20"/>
        </w:rPr>
      </w:pPr>
      <w:r w:rsidRPr="00D25B7E">
        <w:rPr>
          <w:bCs/>
          <w:i/>
          <w:color w:val="595959" w:themeColor="text1" w:themeTint="A6"/>
          <w:sz w:val="20"/>
          <w:szCs w:val="20"/>
        </w:rPr>
        <w:t xml:space="preserve">The Government should also require all superannuation funds to actively provide their members with superannuation product dashboards when a member requests to switch from a </w:t>
      </w:r>
      <w:proofErr w:type="spellStart"/>
      <w:r w:rsidRPr="00D25B7E">
        <w:rPr>
          <w:bCs/>
          <w:i/>
          <w:color w:val="595959" w:themeColor="text1" w:themeTint="A6"/>
          <w:sz w:val="20"/>
          <w:szCs w:val="20"/>
        </w:rPr>
        <w:t>MySuper</w:t>
      </w:r>
      <w:proofErr w:type="spellEnd"/>
      <w:r w:rsidRPr="00D25B7E">
        <w:rPr>
          <w:bCs/>
          <w:i/>
          <w:color w:val="595959" w:themeColor="text1" w:themeTint="A6"/>
          <w:sz w:val="20"/>
          <w:szCs w:val="20"/>
        </w:rPr>
        <w:t xml:space="preserve"> product to a choice product within the fund. This should include:</w:t>
      </w:r>
    </w:p>
    <w:p w14:paraId="758DCA48" w14:textId="77777777" w:rsidR="00D25B7E" w:rsidRPr="00D25B7E" w:rsidRDefault="00D25B7E" w:rsidP="00D25B7E">
      <w:pPr>
        <w:pStyle w:val="ListParagraph"/>
        <w:numPr>
          <w:ilvl w:val="0"/>
          <w:numId w:val="11"/>
        </w:numPr>
        <w:rPr>
          <w:bCs/>
          <w:i/>
          <w:color w:val="595959" w:themeColor="text1" w:themeTint="A6"/>
          <w:sz w:val="20"/>
          <w:szCs w:val="20"/>
        </w:rPr>
      </w:pPr>
      <w:r w:rsidRPr="00D25B7E">
        <w:rPr>
          <w:bCs/>
          <w:i/>
          <w:color w:val="595959" w:themeColor="text1" w:themeTint="A6"/>
          <w:sz w:val="20"/>
          <w:szCs w:val="20"/>
        </w:rPr>
        <w:t xml:space="preserve">the dashboard for the </w:t>
      </w:r>
      <w:proofErr w:type="spellStart"/>
      <w:r w:rsidRPr="00D25B7E">
        <w:rPr>
          <w:bCs/>
          <w:i/>
          <w:color w:val="595959" w:themeColor="text1" w:themeTint="A6"/>
          <w:sz w:val="20"/>
          <w:szCs w:val="20"/>
        </w:rPr>
        <w:t>MySuper</w:t>
      </w:r>
      <w:proofErr w:type="spellEnd"/>
      <w:r w:rsidRPr="00D25B7E">
        <w:rPr>
          <w:bCs/>
          <w:i/>
          <w:color w:val="595959" w:themeColor="text1" w:themeTint="A6"/>
          <w:sz w:val="20"/>
          <w:szCs w:val="20"/>
        </w:rPr>
        <w:t xml:space="preserve"> product</w:t>
      </w:r>
    </w:p>
    <w:p w14:paraId="3F670745" w14:textId="4661CC8A" w:rsidR="00D25B7E" w:rsidRPr="00D25B7E" w:rsidRDefault="00D25B7E" w:rsidP="00D25B7E">
      <w:pPr>
        <w:pStyle w:val="ListParagraph"/>
        <w:numPr>
          <w:ilvl w:val="0"/>
          <w:numId w:val="11"/>
        </w:numPr>
        <w:rPr>
          <w:bCs/>
          <w:i/>
          <w:color w:val="595959" w:themeColor="text1" w:themeTint="A6"/>
          <w:sz w:val="20"/>
          <w:szCs w:val="20"/>
        </w:rPr>
      </w:pPr>
      <w:proofErr w:type="gramStart"/>
      <w:r w:rsidRPr="00D25B7E">
        <w:rPr>
          <w:bCs/>
          <w:i/>
          <w:color w:val="595959" w:themeColor="text1" w:themeTint="A6"/>
          <w:sz w:val="20"/>
          <w:szCs w:val="20"/>
        </w:rPr>
        <w:t>the</w:t>
      </w:r>
      <w:proofErr w:type="gramEnd"/>
      <w:r w:rsidRPr="00D25B7E">
        <w:rPr>
          <w:bCs/>
          <w:i/>
          <w:color w:val="595959" w:themeColor="text1" w:themeTint="A6"/>
          <w:sz w:val="20"/>
          <w:szCs w:val="20"/>
        </w:rPr>
        <w:t xml:space="preserve"> dashboard for the choice product the member wants to switch to.</w:t>
      </w:r>
    </w:p>
    <w:p w14:paraId="30F0B462" w14:textId="77777777" w:rsidR="00D25B7E" w:rsidRPr="00D25B7E" w:rsidRDefault="00D25B7E" w:rsidP="00D25B7E">
      <w:pPr>
        <w:rPr>
          <w:bCs/>
          <w:i/>
          <w:color w:val="595959" w:themeColor="text1" w:themeTint="A6"/>
          <w:sz w:val="20"/>
          <w:szCs w:val="20"/>
        </w:rPr>
      </w:pPr>
    </w:p>
    <w:p w14:paraId="16C646F0" w14:textId="17C36E31" w:rsidR="00D25B7E" w:rsidRDefault="00D25B7E" w:rsidP="00D25B7E">
      <w:pPr>
        <w:rPr>
          <w:b/>
          <w:color w:val="0070C0"/>
          <w:sz w:val="20"/>
          <w:szCs w:val="20"/>
        </w:rPr>
      </w:pPr>
      <w:r>
        <w:rPr>
          <w:b/>
          <w:color w:val="0070C0"/>
          <w:sz w:val="20"/>
          <w:szCs w:val="20"/>
        </w:rPr>
        <w:t>Roll-it Super r</w:t>
      </w:r>
      <w:r w:rsidRPr="008009A5">
        <w:rPr>
          <w:b/>
          <w:color w:val="0070C0"/>
          <w:sz w:val="20"/>
          <w:szCs w:val="20"/>
        </w:rPr>
        <w:t>esponse</w:t>
      </w:r>
    </w:p>
    <w:p w14:paraId="5995DB5A" w14:textId="13286B48" w:rsidR="00852AB7" w:rsidRDefault="00D25B7E" w:rsidP="00D25B7E">
      <w:pPr>
        <w:rPr>
          <w:color w:val="595959" w:themeColor="text1" w:themeTint="A6"/>
          <w:sz w:val="20"/>
          <w:szCs w:val="20"/>
        </w:rPr>
      </w:pPr>
      <w:r>
        <w:rPr>
          <w:color w:val="595959" w:themeColor="text1" w:themeTint="A6"/>
          <w:sz w:val="20"/>
          <w:szCs w:val="20"/>
        </w:rPr>
        <w:t xml:space="preserve">Simplified dashboards would be highly valuable to members. Authorised servicer providers should be able to publish all product dashboards </w:t>
      </w:r>
      <w:r w:rsidR="00C95327">
        <w:rPr>
          <w:color w:val="595959" w:themeColor="text1" w:themeTint="A6"/>
          <w:sz w:val="20"/>
          <w:szCs w:val="20"/>
        </w:rPr>
        <w:t xml:space="preserve">and switch members between products upon </w:t>
      </w:r>
      <w:r w:rsidR="00852AB7">
        <w:rPr>
          <w:color w:val="595959" w:themeColor="text1" w:themeTint="A6"/>
          <w:sz w:val="20"/>
          <w:szCs w:val="20"/>
        </w:rPr>
        <w:t xml:space="preserve">member </w:t>
      </w:r>
      <w:r w:rsidR="00C95327">
        <w:rPr>
          <w:color w:val="595959" w:themeColor="text1" w:themeTint="A6"/>
          <w:sz w:val="20"/>
          <w:szCs w:val="20"/>
        </w:rPr>
        <w:t>instruction.</w:t>
      </w:r>
    </w:p>
    <w:p w14:paraId="2F0A918A" w14:textId="37FD10C3" w:rsidR="00040F60" w:rsidRDefault="00040F60" w:rsidP="00D25B7E">
      <w:pPr>
        <w:rPr>
          <w:color w:val="595959" w:themeColor="text1" w:themeTint="A6"/>
          <w:sz w:val="20"/>
          <w:szCs w:val="20"/>
        </w:rPr>
      </w:pPr>
    </w:p>
    <w:p w14:paraId="0278D63F" w14:textId="70BFD459" w:rsidR="00FC6A59" w:rsidRPr="00FC6A59" w:rsidRDefault="00FC6A59" w:rsidP="00D25B7E">
      <w:pPr>
        <w:rPr>
          <w:b/>
          <w:bCs/>
          <w:caps/>
          <w:color w:val="0070C0"/>
          <w:sz w:val="20"/>
          <w:szCs w:val="20"/>
        </w:rPr>
      </w:pPr>
      <w:r w:rsidRPr="00FC6A59">
        <w:rPr>
          <w:b/>
          <w:bCs/>
          <w:caps/>
          <w:color w:val="0070C0"/>
          <w:sz w:val="20"/>
          <w:szCs w:val="20"/>
        </w:rPr>
        <w:t>Draft Recommendation 11 Guidance for pre</w:t>
      </w:r>
      <w:r w:rsidRPr="00FC6A59">
        <w:rPr>
          <w:b/>
          <w:bCs/>
          <w:caps/>
          <w:color w:val="0070C0"/>
          <w:sz w:val="20"/>
          <w:szCs w:val="20"/>
        </w:rPr>
        <w:noBreakHyphen/>
        <w:t>retirees</w:t>
      </w:r>
    </w:p>
    <w:p w14:paraId="392D396A" w14:textId="77777777" w:rsidR="00FC6A59" w:rsidRPr="00FC6A59" w:rsidRDefault="00FC6A59" w:rsidP="00FC6A59">
      <w:pPr>
        <w:rPr>
          <w:bCs/>
          <w:i/>
          <w:color w:val="595959" w:themeColor="text1" w:themeTint="A6"/>
          <w:sz w:val="20"/>
          <w:szCs w:val="20"/>
        </w:rPr>
      </w:pPr>
      <w:r w:rsidRPr="00FC6A59">
        <w:rPr>
          <w:bCs/>
          <w:i/>
          <w:color w:val="595959" w:themeColor="text1" w:themeTint="A6"/>
          <w:sz w:val="20"/>
          <w:szCs w:val="20"/>
        </w:rPr>
        <w:t xml:space="preserve">The Australian Government should require the ATO to guide all superannuation members when they reach age 55 to: </w:t>
      </w:r>
    </w:p>
    <w:p w14:paraId="17006523" w14:textId="77777777" w:rsidR="00FC6A59" w:rsidRPr="00FC6A59" w:rsidRDefault="00FC6A59" w:rsidP="00FC6A59">
      <w:pPr>
        <w:pStyle w:val="ListParagraph"/>
        <w:numPr>
          <w:ilvl w:val="0"/>
          <w:numId w:val="12"/>
        </w:numPr>
        <w:rPr>
          <w:bCs/>
          <w:i/>
          <w:color w:val="595959" w:themeColor="text1" w:themeTint="A6"/>
          <w:sz w:val="20"/>
          <w:szCs w:val="20"/>
        </w:rPr>
      </w:pPr>
      <w:r w:rsidRPr="00FC6A59">
        <w:rPr>
          <w:bCs/>
          <w:i/>
          <w:color w:val="595959" w:themeColor="text1" w:themeTint="A6"/>
          <w:sz w:val="20"/>
          <w:szCs w:val="20"/>
        </w:rPr>
        <w:t xml:space="preserve">the ‘Retirement and Superannuation’ section of ASIC’s </w:t>
      </w:r>
      <w:proofErr w:type="spellStart"/>
      <w:r w:rsidRPr="00FC6A59">
        <w:rPr>
          <w:bCs/>
          <w:i/>
          <w:color w:val="595959" w:themeColor="text1" w:themeTint="A6"/>
          <w:sz w:val="20"/>
          <w:szCs w:val="20"/>
        </w:rPr>
        <w:t>MoneySmart</w:t>
      </w:r>
      <w:proofErr w:type="spellEnd"/>
      <w:r w:rsidRPr="00FC6A59">
        <w:rPr>
          <w:bCs/>
          <w:i/>
          <w:color w:val="595959" w:themeColor="text1" w:themeTint="A6"/>
          <w:sz w:val="20"/>
          <w:szCs w:val="20"/>
        </w:rPr>
        <w:t xml:space="preserve"> website</w:t>
      </w:r>
    </w:p>
    <w:p w14:paraId="3EBE7412" w14:textId="77777777" w:rsidR="00D25B7E" w:rsidRDefault="00FC6A59" w:rsidP="00FC6A59">
      <w:pPr>
        <w:pStyle w:val="ListParagraph"/>
        <w:numPr>
          <w:ilvl w:val="0"/>
          <w:numId w:val="12"/>
        </w:numPr>
        <w:rPr>
          <w:bCs/>
          <w:i/>
          <w:color w:val="595959" w:themeColor="text1" w:themeTint="A6"/>
          <w:sz w:val="20"/>
          <w:szCs w:val="20"/>
        </w:rPr>
      </w:pPr>
      <w:proofErr w:type="gramStart"/>
      <w:r w:rsidRPr="00FC6A59">
        <w:rPr>
          <w:bCs/>
          <w:i/>
          <w:color w:val="595959" w:themeColor="text1" w:themeTint="A6"/>
          <w:sz w:val="20"/>
          <w:szCs w:val="20"/>
        </w:rPr>
        <w:t>the</w:t>
      </w:r>
      <w:proofErr w:type="gramEnd"/>
      <w:r w:rsidRPr="00FC6A59">
        <w:rPr>
          <w:bCs/>
          <w:i/>
          <w:color w:val="595959" w:themeColor="text1" w:themeTint="A6"/>
          <w:sz w:val="20"/>
          <w:szCs w:val="20"/>
        </w:rPr>
        <w:t xml:space="preserve"> Department of Human Services’ Financial Information Service website.</w:t>
      </w:r>
      <w:r w:rsidR="00C95327" w:rsidRPr="00FC6A59">
        <w:rPr>
          <w:bCs/>
          <w:i/>
          <w:color w:val="595959" w:themeColor="text1" w:themeTint="A6"/>
          <w:sz w:val="20"/>
          <w:szCs w:val="20"/>
        </w:rPr>
        <w:t xml:space="preserve"> </w:t>
      </w:r>
    </w:p>
    <w:p w14:paraId="42F533BA" w14:textId="77777777" w:rsidR="00FC6A59" w:rsidRDefault="00FC6A59" w:rsidP="00FC6A59">
      <w:pPr>
        <w:rPr>
          <w:bCs/>
          <w:i/>
          <w:color w:val="595959" w:themeColor="text1" w:themeTint="A6"/>
          <w:sz w:val="20"/>
          <w:szCs w:val="20"/>
        </w:rPr>
      </w:pPr>
    </w:p>
    <w:p w14:paraId="53CE3146" w14:textId="77777777" w:rsidR="00FC6A59" w:rsidRDefault="00FC6A59" w:rsidP="00FC6A59">
      <w:pPr>
        <w:rPr>
          <w:b/>
          <w:color w:val="0070C0"/>
          <w:sz w:val="20"/>
          <w:szCs w:val="20"/>
        </w:rPr>
      </w:pPr>
      <w:bookmarkStart w:id="1" w:name="_Hlk516933003"/>
      <w:r>
        <w:rPr>
          <w:b/>
          <w:color w:val="0070C0"/>
          <w:sz w:val="20"/>
          <w:szCs w:val="20"/>
        </w:rPr>
        <w:t>Roll-it Super r</w:t>
      </w:r>
      <w:r w:rsidRPr="008009A5">
        <w:rPr>
          <w:b/>
          <w:color w:val="0070C0"/>
          <w:sz w:val="20"/>
          <w:szCs w:val="20"/>
        </w:rPr>
        <w:t>esponse</w:t>
      </w:r>
    </w:p>
    <w:p w14:paraId="28E81521" w14:textId="1B7DE289" w:rsidR="00FC6A59" w:rsidRDefault="00FC6A59" w:rsidP="00FC6A59">
      <w:pPr>
        <w:rPr>
          <w:color w:val="595959" w:themeColor="text1" w:themeTint="A6"/>
          <w:sz w:val="20"/>
          <w:szCs w:val="20"/>
        </w:rPr>
      </w:pPr>
      <w:r>
        <w:rPr>
          <w:color w:val="595959" w:themeColor="text1" w:themeTint="A6"/>
          <w:sz w:val="20"/>
          <w:szCs w:val="20"/>
        </w:rPr>
        <w:t xml:space="preserve">Permission </w:t>
      </w:r>
      <w:bookmarkEnd w:id="1"/>
      <w:r>
        <w:rPr>
          <w:color w:val="595959" w:themeColor="text1" w:themeTint="A6"/>
          <w:sz w:val="20"/>
          <w:szCs w:val="20"/>
        </w:rPr>
        <w:t xml:space="preserve">should be granted to authorised service providers to </w:t>
      </w:r>
      <w:r w:rsidR="00741E64">
        <w:rPr>
          <w:color w:val="595959" w:themeColor="text1" w:themeTint="A6"/>
          <w:sz w:val="20"/>
          <w:szCs w:val="20"/>
        </w:rPr>
        <w:t>re-</w:t>
      </w:r>
      <w:r>
        <w:rPr>
          <w:color w:val="595959" w:themeColor="text1" w:themeTint="A6"/>
          <w:sz w:val="20"/>
          <w:szCs w:val="20"/>
        </w:rPr>
        <w:t>publish Government guidance for pre-retirees on their website or within their platforms. This will ensure consisten</w:t>
      </w:r>
      <w:r w:rsidR="00F10042">
        <w:rPr>
          <w:color w:val="595959" w:themeColor="text1" w:themeTint="A6"/>
          <w:sz w:val="20"/>
          <w:szCs w:val="20"/>
        </w:rPr>
        <w:t xml:space="preserve">t </w:t>
      </w:r>
      <w:r>
        <w:rPr>
          <w:color w:val="595959" w:themeColor="text1" w:themeTint="A6"/>
          <w:sz w:val="20"/>
          <w:szCs w:val="20"/>
        </w:rPr>
        <w:t>and authentic key messages reach as many pre-retirees as possible.</w:t>
      </w:r>
    </w:p>
    <w:p w14:paraId="02FB0B11" w14:textId="13E9B963" w:rsidR="00FB2CEA" w:rsidRDefault="00FB2CEA" w:rsidP="00FC6A59">
      <w:pPr>
        <w:rPr>
          <w:color w:val="595959" w:themeColor="text1" w:themeTint="A6"/>
          <w:sz w:val="20"/>
          <w:szCs w:val="20"/>
        </w:rPr>
      </w:pPr>
    </w:p>
    <w:p w14:paraId="0879D8D2" w14:textId="457F9933" w:rsidR="00FB2CEA" w:rsidRPr="00FB2CEA" w:rsidRDefault="00FB2CEA" w:rsidP="00FC6A59">
      <w:pPr>
        <w:rPr>
          <w:b/>
          <w:bCs/>
          <w:caps/>
          <w:color w:val="0070C0"/>
          <w:sz w:val="20"/>
          <w:szCs w:val="20"/>
        </w:rPr>
      </w:pPr>
      <w:r w:rsidRPr="00FB2CEA">
        <w:rPr>
          <w:b/>
          <w:bCs/>
          <w:caps/>
          <w:color w:val="0070C0"/>
          <w:sz w:val="20"/>
          <w:szCs w:val="20"/>
        </w:rPr>
        <w:t>Draft Recommendation 12 Exit fees at cost</w:t>
      </w:r>
      <w:r w:rsidRPr="00FB2CEA">
        <w:rPr>
          <w:b/>
          <w:bCs/>
          <w:caps/>
          <w:color w:val="0070C0"/>
          <w:sz w:val="20"/>
          <w:szCs w:val="20"/>
        </w:rPr>
        <w:noBreakHyphen/>
        <w:t>recovery levels</w:t>
      </w:r>
    </w:p>
    <w:p w14:paraId="15F6C1D6" w14:textId="15779133" w:rsidR="00FB2CEA" w:rsidRDefault="00FB2CEA" w:rsidP="00FC6A59">
      <w:r w:rsidRPr="00FB2CEA">
        <w:rPr>
          <w:bCs/>
          <w:i/>
          <w:color w:val="595959" w:themeColor="text1" w:themeTint="A6"/>
          <w:sz w:val="20"/>
          <w:szCs w:val="20"/>
        </w:rPr>
        <w:t xml:space="preserve">The Australian Government should legislate to extend </w:t>
      </w:r>
      <w:proofErr w:type="spellStart"/>
      <w:r w:rsidRPr="00FB2CEA">
        <w:rPr>
          <w:bCs/>
          <w:i/>
          <w:color w:val="595959" w:themeColor="text1" w:themeTint="A6"/>
          <w:sz w:val="20"/>
          <w:szCs w:val="20"/>
        </w:rPr>
        <w:t>MySuper</w:t>
      </w:r>
      <w:proofErr w:type="spellEnd"/>
      <w:r w:rsidRPr="00FB2CEA">
        <w:rPr>
          <w:bCs/>
          <w:i/>
          <w:color w:val="595959" w:themeColor="text1" w:themeTint="A6"/>
          <w:sz w:val="20"/>
          <w:szCs w:val="20"/>
        </w:rPr>
        <w:t xml:space="preserve"> regulations limiting exit and switching fees to cost</w:t>
      </w:r>
      <w:r w:rsidRPr="00FB2CEA">
        <w:rPr>
          <w:bCs/>
          <w:i/>
          <w:color w:val="595959" w:themeColor="text1" w:themeTint="A6"/>
          <w:sz w:val="20"/>
          <w:szCs w:val="20"/>
        </w:rPr>
        <w:noBreakHyphen/>
        <w:t>recovery levels to all new members and new accumulation and retirement products</w:t>
      </w:r>
      <w:r>
        <w:t>.</w:t>
      </w:r>
    </w:p>
    <w:p w14:paraId="270A0C59" w14:textId="47887C5C" w:rsidR="00FB2CEA" w:rsidRDefault="00FB2CEA" w:rsidP="00FC6A59">
      <w:pPr>
        <w:rPr>
          <w:color w:val="595959" w:themeColor="text1" w:themeTint="A6"/>
          <w:sz w:val="20"/>
          <w:szCs w:val="20"/>
        </w:rPr>
      </w:pPr>
    </w:p>
    <w:p w14:paraId="5C51D07D" w14:textId="77777777" w:rsidR="00FB2CEA" w:rsidRDefault="00FB2CEA" w:rsidP="00FB2CEA">
      <w:pPr>
        <w:rPr>
          <w:b/>
          <w:color w:val="0070C0"/>
          <w:sz w:val="20"/>
          <w:szCs w:val="20"/>
        </w:rPr>
      </w:pPr>
      <w:r>
        <w:rPr>
          <w:b/>
          <w:color w:val="0070C0"/>
          <w:sz w:val="20"/>
          <w:szCs w:val="20"/>
        </w:rPr>
        <w:t>Roll-it Super r</w:t>
      </w:r>
      <w:r w:rsidRPr="008009A5">
        <w:rPr>
          <w:b/>
          <w:color w:val="0070C0"/>
          <w:sz w:val="20"/>
          <w:szCs w:val="20"/>
        </w:rPr>
        <w:t>esponse</w:t>
      </w:r>
    </w:p>
    <w:p w14:paraId="5A17C0F1" w14:textId="6914B38E" w:rsidR="00FB2CEA" w:rsidRDefault="00FB2CEA" w:rsidP="00FB2CEA">
      <w:pPr>
        <w:rPr>
          <w:color w:val="595959" w:themeColor="text1" w:themeTint="A6"/>
          <w:sz w:val="20"/>
          <w:szCs w:val="20"/>
        </w:rPr>
      </w:pPr>
      <w:r>
        <w:rPr>
          <w:color w:val="595959" w:themeColor="text1" w:themeTint="A6"/>
          <w:sz w:val="20"/>
          <w:szCs w:val="20"/>
        </w:rPr>
        <w:t xml:space="preserve">Technology advances have reduced the variable cost of account exits and switching to marginal levels. Funds should not be able to pass on any exit or switching fees to members. The minor costs associated with exit and switching should </w:t>
      </w:r>
      <w:r w:rsidR="00F10042">
        <w:rPr>
          <w:color w:val="595959" w:themeColor="text1" w:themeTint="A6"/>
          <w:sz w:val="20"/>
          <w:szCs w:val="20"/>
        </w:rPr>
        <w:t xml:space="preserve">be </w:t>
      </w:r>
      <w:r>
        <w:rPr>
          <w:color w:val="595959" w:themeColor="text1" w:themeTint="A6"/>
          <w:sz w:val="20"/>
          <w:szCs w:val="20"/>
        </w:rPr>
        <w:t>absorbed in the fund’s standard operating cost</w:t>
      </w:r>
      <w:r w:rsidR="00F10042">
        <w:rPr>
          <w:color w:val="595959" w:themeColor="text1" w:themeTint="A6"/>
          <w:sz w:val="20"/>
          <w:szCs w:val="20"/>
        </w:rPr>
        <w:t xml:space="preserve">s </w:t>
      </w:r>
      <w:r>
        <w:rPr>
          <w:color w:val="595959" w:themeColor="text1" w:themeTint="A6"/>
          <w:sz w:val="20"/>
          <w:szCs w:val="20"/>
        </w:rPr>
        <w:t>and not be itemised.</w:t>
      </w:r>
    </w:p>
    <w:p w14:paraId="3245D7CE" w14:textId="77777777" w:rsidR="00FC6A59" w:rsidRDefault="00FC6A59" w:rsidP="00FC6A59">
      <w:pPr>
        <w:rPr>
          <w:color w:val="595959" w:themeColor="text1" w:themeTint="A6"/>
          <w:sz w:val="20"/>
          <w:szCs w:val="20"/>
        </w:rPr>
      </w:pPr>
    </w:p>
    <w:p w14:paraId="040B8AA9" w14:textId="6A7F5752" w:rsidR="00FC6A59" w:rsidRPr="00FC6A59" w:rsidRDefault="00FC6A59" w:rsidP="00FC6A59">
      <w:pPr>
        <w:rPr>
          <w:color w:val="595959" w:themeColor="text1" w:themeTint="A6"/>
          <w:sz w:val="20"/>
          <w:szCs w:val="20"/>
        </w:rPr>
        <w:sectPr w:rsidR="00FC6A59" w:rsidRPr="00FC6A59" w:rsidSect="00396C21">
          <w:footerReference w:type="default" r:id="rId13"/>
          <w:footerReference w:type="first" r:id="rId14"/>
          <w:type w:val="continuous"/>
          <w:pgSz w:w="11906" w:h="16838"/>
          <w:pgMar w:top="1276" w:right="991" w:bottom="1560" w:left="1440" w:header="708" w:footer="708" w:gutter="0"/>
          <w:cols w:space="720"/>
          <w:titlePg/>
          <w:docGrid w:linePitch="299"/>
        </w:sectPr>
      </w:pPr>
    </w:p>
    <w:p w14:paraId="546AC9C6" w14:textId="1A10BF9C" w:rsidR="00F04EB3" w:rsidRPr="00FA11D8" w:rsidRDefault="00F04EB3" w:rsidP="00870626">
      <w:pPr>
        <w:rPr>
          <w:b/>
          <w:color w:val="0070C0"/>
          <w:sz w:val="44"/>
          <w:szCs w:val="44"/>
        </w:rPr>
      </w:pPr>
    </w:p>
    <w:sectPr w:rsidR="00F04EB3" w:rsidRPr="00FA11D8" w:rsidSect="000D314D">
      <w:footerReference w:type="first" r:id="rId15"/>
      <w:type w:val="continuous"/>
      <w:pgSz w:w="11906" w:h="16838"/>
      <w:pgMar w:top="1276" w:right="991" w:bottom="2127" w:left="1440" w:header="708" w:footer="708" w:gutter="0"/>
      <w:pgNumType w:start="0"/>
      <w:cols w:num="2"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701DBD" w14:textId="77777777" w:rsidR="008C6E65" w:rsidRDefault="008C6E65" w:rsidP="006727E1">
      <w:pPr>
        <w:spacing w:after="0" w:line="240" w:lineRule="auto"/>
      </w:pPr>
      <w:r>
        <w:separator/>
      </w:r>
    </w:p>
  </w:endnote>
  <w:endnote w:type="continuationSeparator" w:id="0">
    <w:p w14:paraId="285A8931" w14:textId="77777777" w:rsidR="008C6E65" w:rsidRDefault="008C6E65" w:rsidP="00672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808080" w:themeColor="background1" w:themeShade="80"/>
        <w:sz w:val="16"/>
        <w:szCs w:val="16"/>
      </w:rPr>
      <w:id w:val="1827936139"/>
      <w:docPartObj>
        <w:docPartGallery w:val="Page Numbers (Bottom of Page)"/>
        <w:docPartUnique/>
      </w:docPartObj>
    </w:sdtPr>
    <w:sdtEndPr>
      <w:rPr>
        <w:noProof/>
      </w:rPr>
    </w:sdtEndPr>
    <w:sdtContent>
      <w:p w14:paraId="42506AAE" w14:textId="5C8EFDEC" w:rsidR="00067198" w:rsidRPr="006727E1" w:rsidRDefault="00067198">
        <w:pPr>
          <w:pStyle w:val="Footer"/>
          <w:rPr>
            <w:color w:val="808080" w:themeColor="background1" w:themeShade="80"/>
            <w:sz w:val="16"/>
            <w:szCs w:val="16"/>
          </w:rPr>
        </w:pPr>
        <w:r w:rsidRPr="006727E1">
          <w:rPr>
            <w:color w:val="808080" w:themeColor="background1" w:themeShade="80"/>
            <w:sz w:val="16"/>
            <w:szCs w:val="16"/>
          </w:rPr>
          <w:fldChar w:fldCharType="begin"/>
        </w:r>
        <w:r w:rsidRPr="006727E1">
          <w:rPr>
            <w:color w:val="808080" w:themeColor="background1" w:themeShade="80"/>
            <w:sz w:val="16"/>
            <w:szCs w:val="16"/>
          </w:rPr>
          <w:instrText xml:space="preserve"> PAGE   \* MERGEFORMAT </w:instrText>
        </w:r>
        <w:r w:rsidRPr="006727E1">
          <w:rPr>
            <w:color w:val="808080" w:themeColor="background1" w:themeShade="80"/>
            <w:sz w:val="16"/>
            <w:szCs w:val="16"/>
          </w:rPr>
          <w:fldChar w:fldCharType="separate"/>
        </w:r>
        <w:r>
          <w:rPr>
            <w:noProof/>
            <w:color w:val="808080" w:themeColor="background1" w:themeShade="80"/>
            <w:sz w:val="16"/>
            <w:szCs w:val="16"/>
          </w:rPr>
          <w:t>11</w:t>
        </w:r>
        <w:r w:rsidRPr="006727E1">
          <w:rPr>
            <w:noProof/>
            <w:color w:val="808080" w:themeColor="background1" w:themeShade="80"/>
            <w:sz w:val="16"/>
            <w:szCs w:val="16"/>
          </w:rPr>
          <w:fldChar w:fldCharType="end"/>
        </w:r>
        <w:r w:rsidRPr="006727E1">
          <w:rPr>
            <w:noProof/>
            <w:color w:val="808080" w:themeColor="background1" w:themeShade="80"/>
            <w:sz w:val="16"/>
            <w:szCs w:val="16"/>
          </w:rPr>
          <w:t xml:space="preserve">  </w:t>
        </w:r>
        <w:r>
          <w:rPr>
            <w:noProof/>
            <w:color w:val="808080" w:themeColor="background1" w:themeShade="80"/>
            <w:sz w:val="16"/>
            <w:szCs w:val="16"/>
          </w:rPr>
          <w:t>E</w:t>
        </w:r>
        <w:r w:rsidRPr="006727E1">
          <w:rPr>
            <w:noProof/>
            <w:color w:val="808080" w:themeColor="background1" w:themeShade="80"/>
            <w:sz w:val="16"/>
            <w:szCs w:val="16"/>
          </w:rPr>
          <w:t>rosion of Australian retirement incomes</w:t>
        </w:r>
        <w:r>
          <w:rPr>
            <w:noProof/>
            <w:color w:val="808080" w:themeColor="background1" w:themeShade="80"/>
            <w:sz w:val="16"/>
            <w:szCs w:val="16"/>
          </w:rPr>
          <w:t>. © Roll-it Super 2018</w:t>
        </w:r>
      </w:p>
    </w:sdtContent>
  </w:sdt>
  <w:p w14:paraId="029410B3" w14:textId="13F893F2" w:rsidR="00067198" w:rsidRDefault="000671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51D0A" w14:textId="4FB4F1DB" w:rsidR="00067198" w:rsidRPr="00210AB3" w:rsidRDefault="00067198" w:rsidP="00A41B66">
    <w:pPr>
      <w:pStyle w:val="Footer"/>
      <w:tabs>
        <w:tab w:val="clear" w:pos="9026"/>
        <w:tab w:val="right" w:pos="9900"/>
      </w:tabs>
      <w:ind w:left="-851"/>
      <w:rPr>
        <w:color w:val="0070C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57F81" w14:textId="55CD7592" w:rsidR="00067198" w:rsidRPr="003C181D" w:rsidRDefault="00067198" w:rsidP="003C181D">
    <w:pPr>
      <w:pStyle w:val="Footer"/>
      <w:tabs>
        <w:tab w:val="clear" w:pos="9026"/>
        <w:tab w:val="right" w:pos="9900"/>
      </w:tabs>
      <w:ind w:left="-851"/>
      <w:rPr>
        <w:color w:val="0070C0"/>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9A84D" w14:textId="77777777" w:rsidR="00067198" w:rsidRPr="002A129C" w:rsidRDefault="00067198" w:rsidP="00A41B66">
    <w:pPr>
      <w:pStyle w:val="Footer"/>
      <w:tabs>
        <w:tab w:val="clear" w:pos="9026"/>
        <w:tab w:val="right" w:pos="9900"/>
      </w:tabs>
      <w:ind w:left="-851"/>
      <w:rPr>
        <w:i/>
        <w:color w:val="808080" w:themeColor="background1" w:themeShade="80"/>
      </w:rPr>
    </w:pPr>
    <w:r w:rsidRPr="002A129C">
      <w:rPr>
        <w:i/>
        <w:color w:val="808080" w:themeColor="background1" w:themeShade="80"/>
        <w:sz w:val="18"/>
        <w:szCs w:val="18"/>
      </w:rPr>
      <w:fldChar w:fldCharType="begin"/>
    </w:r>
    <w:r w:rsidRPr="002A129C">
      <w:rPr>
        <w:i/>
        <w:color w:val="808080" w:themeColor="background1" w:themeShade="80"/>
        <w:sz w:val="18"/>
        <w:szCs w:val="18"/>
      </w:rPr>
      <w:instrText xml:space="preserve"> PAGE   \* MERGEFORMAT </w:instrText>
    </w:r>
    <w:r w:rsidRPr="002A129C">
      <w:rPr>
        <w:i/>
        <w:color w:val="808080" w:themeColor="background1" w:themeShade="80"/>
        <w:sz w:val="18"/>
        <w:szCs w:val="18"/>
      </w:rPr>
      <w:fldChar w:fldCharType="separate"/>
    </w:r>
    <w:r w:rsidR="00565B3E">
      <w:rPr>
        <w:i/>
        <w:noProof/>
        <w:color w:val="808080" w:themeColor="background1" w:themeShade="80"/>
        <w:sz w:val="18"/>
        <w:szCs w:val="18"/>
      </w:rPr>
      <w:t>1</w:t>
    </w:r>
    <w:r w:rsidRPr="002A129C">
      <w:rPr>
        <w:i/>
        <w:noProof/>
        <w:color w:val="808080" w:themeColor="background1" w:themeShade="80"/>
        <w:sz w:val="18"/>
        <w:szCs w:val="18"/>
      </w:rPr>
      <w:fldChar w:fldCharType="end"/>
    </w:r>
    <w:r w:rsidRPr="002A129C">
      <w:rPr>
        <w:i/>
        <w:noProof/>
        <w:color w:val="808080" w:themeColor="background1" w:themeShade="80"/>
        <w:sz w:val="18"/>
        <w:szCs w:val="18"/>
      </w:rPr>
      <mc:AlternateContent>
        <mc:Choice Requires="wps">
          <w:drawing>
            <wp:anchor distT="45720" distB="45720" distL="114300" distR="114300" simplePos="0" relativeHeight="251667456" behindDoc="0" locked="0" layoutInCell="1" allowOverlap="1" wp14:anchorId="0DFA465A" wp14:editId="55699CE5">
              <wp:simplePos x="0" y="0"/>
              <wp:positionH relativeFrom="margin">
                <wp:posOffset>4770120</wp:posOffset>
              </wp:positionH>
              <wp:positionV relativeFrom="paragraph">
                <wp:posOffset>-160020</wp:posOffset>
              </wp:positionV>
              <wp:extent cx="1409700" cy="525780"/>
              <wp:effectExtent l="0" t="0" r="0" b="76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525780"/>
                      </a:xfrm>
                      <a:prstGeom prst="rect">
                        <a:avLst/>
                      </a:prstGeom>
                      <a:solidFill>
                        <a:srgbClr val="FFFFFF"/>
                      </a:solidFill>
                      <a:ln w="9525">
                        <a:noFill/>
                        <a:miter lim="800000"/>
                        <a:headEnd/>
                        <a:tailEnd/>
                      </a:ln>
                    </wps:spPr>
                    <wps:txbx>
                      <w:txbxContent>
                        <w:p w14:paraId="3BEE5606" w14:textId="77777777" w:rsidR="00067198" w:rsidRDefault="00067198" w:rsidP="004B479B">
                          <w:pPr>
                            <w:jc w:val="right"/>
                          </w:pPr>
                          <w:r>
                            <w:rPr>
                              <w:noProof/>
                            </w:rPr>
                            <w:drawing>
                              <wp:inline distT="0" distB="0" distL="0" distR="0" wp14:anchorId="27FACE2E" wp14:editId="5BC477ED">
                                <wp:extent cx="1052250" cy="360000"/>
                                <wp:effectExtent l="0" t="0" r="0" b="2540"/>
                                <wp:docPr id="3" name="Picture 3"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ll-it Logo.png"/>
                                        <pic:cNvPicPr/>
                                      </pic:nvPicPr>
                                      <pic:blipFill>
                                        <a:blip r:embed="rId1"/>
                                        <a:stretch>
                                          <a:fillRect/>
                                        </a:stretch>
                                      </pic:blipFill>
                                      <pic:spPr>
                                        <a:xfrm>
                                          <a:off x="0" y="0"/>
                                          <a:ext cx="1052250" cy="360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DFA465A" id="_x0000_t202" coordsize="21600,21600" o:spt="202" path="m,l,21600r21600,l21600,xe">
              <v:stroke joinstyle="miter"/>
              <v:path gradientshapeok="t" o:connecttype="rect"/>
            </v:shapetype>
            <v:shape id="_x0000_s1028" type="#_x0000_t202" style="position:absolute;left:0;text-align:left;margin-left:375.6pt;margin-top:-12.6pt;width:111pt;height:41.4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" stroked="f">
              <v:textbox>
                <w:txbxContent>
                  <w:p w14:paraId="3BEE5606" w14:textId="77777777" w:rsidR="00067198" w:rsidRDefault="00067198" w:rsidP="004B479B">
                    <w:pPr>
                      <w:jc w:val="right"/>
                    </w:pPr>
                    <w:r>
                      <w:rPr>
                        <w:noProof/>
                      </w:rPr>
                      <w:drawing>
                        <wp:inline distT="0" distB="0" distL="0" distR="0" wp14:anchorId="27FACE2E" wp14:editId="5BC477ED">
                          <wp:extent cx="1052250" cy="360000"/>
                          <wp:effectExtent l="0" t="0" r="0" b="2540"/>
                          <wp:docPr id="3" name="Picture 3"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ll-it Logo.png"/>
                                  <pic:cNvPicPr/>
                                </pic:nvPicPr>
                                <pic:blipFill>
                                  <a:blip r:embed="rId2"/>
                                  <a:stretch>
                                    <a:fillRect/>
                                  </a:stretch>
                                </pic:blipFill>
                                <pic:spPr>
                                  <a:xfrm>
                                    <a:off x="0" y="0"/>
                                    <a:ext cx="1052250" cy="360000"/>
                                  </a:xfrm>
                                  <a:prstGeom prst="rect">
                                    <a:avLst/>
                                  </a:prstGeom>
                                </pic:spPr>
                              </pic:pic>
                            </a:graphicData>
                          </a:graphic>
                        </wp:inline>
                      </w:drawing>
                    </w:r>
                  </w:p>
                </w:txbxContent>
              </v:textbox>
              <w10:wrap type="square" anchorx="margin"/>
            </v:shape>
          </w:pict>
        </mc:Fallback>
      </mc:AlternateContent>
    </w:r>
    <w:r w:rsidRPr="002A129C">
      <w:rPr>
        <w:i/>
        <w:color w:val="808080" w:themeColor="background1" w:themeShade="80"/>
        <w:sz w:val="18"/>
        <w:szCs w:val="18"/>
      </w:rPr>
      <w:t xml:space="preserve">       Roll-it Super Submission to the Productivity Commission. June 2018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B051A" w14:textId="0F5FE75C" w:rsidR="00067198" w:rsidRPr="003C181D" w:rsidRDefault="00067198" w:rsidP="00A41B66">
    <w:pPr>
      <w:pStyle w:val="Footer"/>
      <w:tabs>
        <w:tab w:val="clear" w:pos="9026"/>
        <w:tab w:val="right" w:pos="9900"/>
      </w:tabs>
      <w:ind w:left="-851"/>
      <w:rPr>
        <w:color w:val="0070C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E9FBFE" w14:textId="77777777" w:rsidR="008C6E65" w:rsidRDefault="008C6E65" w:rsidP="006727E1">
      <w:pPr>
        <w:spacing w:after="0" w:line="240" w:lineRule="auto"/>
      </w:pPr>
      <w:r>
        <w:separator/>
      </w:r>
    </w:p>
  </w:footnote>
  <w:footnote w:type="continuationSeparator" w:id="0">
    <w:p w14:paraId="4DAF9869" w14:textId="77777777" w:rsidR="008C6E65" w:rsidRDefault="008C6E65" w:rsidP="006727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E71B6"/>
    <w:multiLevelType w:val="hybridMultilevel"/>
    <w:tmpl w:val="494C5C24"/>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1" w15:restartNumberingAfterBreak="0">
    <w:nsid w:val="14CF0C3E"/>
    <w:multiLevelType w:val="hybridMultilevel"/>
    <w:tmpl w:val="C3762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4475D6"/>
    <w:multiLevelType w:val="hybridMultilevel"/>
    <w:tmpl w:val="DEFAC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9F3DCC"/>
    <w:multiLevelType w:val="hybridMultilevel"/>
    <w:tmpl w:val="D20E0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C24544C"/>
    <w:multiLevelType w:val="multilevel"/>
    <w:tmpl w:val="6ED2FC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F2B782E"/>
    <w:multiLevelType w:val="multilevel"/>
    <w:tmpl w:val="804094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7273BEC"/>
    <w:multiLevelType w:val="hybridMultilevel"/>
    <w:tmpl w:val="E1B447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50A6A48"/>
    <w:multiLevelType w:val="hybridMultilevel"/>
    <w:tmpl w:val="41C230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73DF7E1F"/>
    <w:multiLevelType w:val="hybridMultilevel"/>
    <w:tmpl w:val="8000F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98C4AD8"/>
    <w:multiLevelType w:val="multilevel"/>
    <w:tmpl w:val="0DBC58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11" w15:restartNumberingAfterBreak="0">
    <w:nsid w:val="7C1F7A22"/>
    <w:multiLevelType w:val="hybridMultilevel"/>
    <w:tmpl w:val="6686A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5"/>
  </w:num>
  <w:num w:numId="4">
    <w:abstractNumId w:val="0"/>
  </w:num>
  <w:num w:numId="5">
    <w:abstractNumId w:val="7"/>
  </w:num>
  <w:num w:numId="6">
    <w:abstractNumId w:val="1"/>
  </w:num>
  <w:num w:numId="7">
    <w:abstractNumId w:val="6"/>
  </w:num>
  <w:num w:numId="8">
    <w:abstractNumId w:val="10"/>
  </w:num>
  <w:num w:numId="9">
    <w:abstractNumId w:val="3"/>
  </w:num>
  <w:num w:numId="10">
    <w:abstractNumId w:val="8"/>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6145">
      <o:colormru v:ext="edit" colors="#6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5ED"/>
    <w:rsid w:val="00000938"/>
    <w:rsid w:val="00001AEC"/>
    <w:rsid w:val="00003215"/>
    <w:rsid w:val="00007B0B"/>
    <w:rsid w:val="00010EC4"/>
    <w:rsid w:val="00011B6F"/>
    <w:rsid w:val="000138BA"/>
    <w:rsid w:val="000145EB"/>
    <w:rsid w:val="0001513E"/>
    <w:rsid w:val="00015519"/>
    <w:rsid w:val="0001700F"/>
    <w:rsid w:val="00017AF2"/>
    <w:rsid w:val="000210E7"/>
    <w:rsid w:val="00021E58"/>
    <w:rsid w:val="00022A88"/>
    <w:rsid w:val="00022B9C"/>
    <w:rsid w:val="0002562B"/>
    <w:rsid w:val="0003177B"/>
    <w:rsid w:val="00033977"/>
    <w:rsid w:val="000363CD"/>
    <w:rsid w:val="000370AC"/>
    <w:rsid w:val="000371C8"/>
    <w:rsid w:val="0003760E"/>
    <w:rsid w:val="00040F60"/>
    <w:rsid w:val="00045061"/>
    <w:rsid w:val="00046735"/>
    <w:rsid w:val="000511F6"/>
    <w:rsid w:val="00051DA6"/>
    <w:rsid w:val="000529CF"/>
    <w:rsid w:val="00054634"/>
    <w:rsid w:val="00061F42"/>
    <w:rsid w:val="00067198"/>
    <w:rsid w:val="0007090A"/>
    <w:rsid w:val="0007249E"/>
    <w:rsid w:val="0007356D"/>
    <w:rsid w:val="00073EDE"/>
    <w:rsid w:val="0007443A"/>
    <w:rsid w:val="0007587D"/>
    <w:rsid w:val="000770E1"/>
    <w:rsid w:val="00080419"/>
    <w:rsid w:val="00083BDC"/>
    <w:rsid w:val="00087E9D"/>
    <w:rsid w:val="00090AC4"/>
    <w:rsid w:val="000916EB"/>
    <w:rsid w:val="00097080"/>
    <w:rsid w:val="00097438"/>
    <w:rsid w:val="00097EC0"/>
    <w:rsid w:val="000A1590"/>
    <w:rsid w:val="000A252F"/>
    <w:rsid w:val="000A3063"/>
    <w:rsid w:val="000B0399"/>
    <w:rsid w:val="000B127A"/>
    <w:rsid w:val="000B193A"/>
    <w:rsid w:val="000C166B"/>
    <w:rsid w:val="000C1FF9"/>
    <w:rsid w:val="000C49ED"/>
    <w:rsid w:val="000C53D7"/>
    <w:rsid w:val="000C5959"/>
    <w:rsid w:val="000D04BE"/>
    <w:rsid w:val="000D06FC"/>
    <w:rsid w:val="000D2E61"/>
    <w:rsid w:val="000D314D"/>
    <w:rsid w:val="000D31BB"/>
    <w:rsid w:val="000D50B8"/>
    <w:rsid w:val="000D7623"/>
    <w:rsid w:val="000E2E99"/>
    <w:rsid w:val="000E66F0"/>
    <w:rsid w:val="000F0300"/>
    <w:rsid w:val="001016FD"/>
    <w:rsid w:val="00101742"/>
    <w:rsid w:val="0010199D"/>
    <w:rsid w:val="00102351"/>
    <w:rsid w:val="0010307E"/>
    <w:rsid w:val="0010368E"/>
    <w:rsid w:val="00103A69"/>
    <w:rsid w:val="001042C0"/>
    <w:rsid w:val="00104FE4"/>
    <w:rsid w:val="00105218"/>
    <w:rsid w:val="00110DE1"/>
    <w:rsid w:val="00111325"/>
    <w:rsid w:val="0011197E"/>
    <w:rsid w:val="00112383"/>
    <w:rsid w:val="001146D2"/>
    <w:rsid w:val="001226A6"/>
    <w:rsid w:val="00122EDA"/>
    <w:rsid w:val="001269B7"/>
    <w:rsid w:val="001271B1"/>
    <w:rsid w:val="00130AF0"/>
    <w:rsid w:val="00131563"/>
    <w:rsid w:val="001336DF"/>
    <w:rsid w:val="00137C43"/>
    <w:rsid w:val="00145391"/>
    <w:rsid w:val="0014572E"/>
    <w:rsid w:val="001458E3"/>
    <w:rsid w:val="00146465"/>
    <w:rsid w:val="0014702E"/>
    <w:rsid w:val="0015161C"/>
    <w:rsid w:val="00154294"/>
    <w:rsid w:val="00155B8B"/>
    <w:rsid w:val="00156253"/>
    <w:rsid w:val="00156B70"/>
    <w:rsid w:val="001575AB"/>
    <w:rsid w:val="00157F98"/>
    <w:rsid w:val="00157FC8"/>
    <w:rsid w:val="00162080"/>
    <w:rsid w:val="00164F6B"/>
    <w:rsid w:val="0016513E"/>
    <w:rsid w:val="00170385"/>
    <w:rsid w:val="00171A46"/>
    <w:rsid w:val="00175DC7"/>
    <w:rsid w:val="00180626"/>
    <w:rsid w:val="001812F5"/>
    <w:rsid w:val="0018245C"/>
    <w:rsid w:val="001845CF"/>
    <w:rsid w:val="00187CA0"/>
    <w:rsid w:val="00190483"/>
    <w:rsid w:val="00192AA2"/>
    <w:rsid w:val="0019424C"/>
    <w:rsid w:val="00197C1B"/>
    <w:rsid w:val="001A0139"/>
    <w:rsid w:val="001A249B"/>
    <w:rsid w:val="001A2DE9"/>
    <w:rsid w:val="001A3294"/>
    <w:rsid w:val="001A42BF"/>
    <w:rsid w:val="001A44AB"/>
    <w:rsid w:val="001B1A27"/>
    <w:rsid w:val="001B2000"/>
    <w:rsid w:val="001B3FB4"/>
    <w:rsid w:val="001B47F6"/>
    <w:rsid w:val="001B662E"/>
    <w:rsid w:val="001C2B4C"/>
    <w:rsid w:val="001D08C2"/>
    <w:rsid w:val="001D0C4D"/>
    <w:rsid w:val="001D4E6C"/>
    <w:rsid w:val="001D57D7"/>
    <w:rsid w:val="001E05B0"/>
    <w:rsid w:val="001E0A23"/>
    <w:rsid w:val="001E1D67"/>
    <w:rsid w:val="001E2115"/>
    <w:rsid w:val="001E2BE0"/>
    <w:rsid w:val="001E3CCE"/>
    <w:rsid w:val="001E4968"/>
    <w:rsid w:val="001E7294"/>
    <w:rsid w:val="001E7883"/>
    <w:rsid w:val="001F019F"/>
    <w:rsid w:val="001F0E20"/>
    <w:rsid w:val="001F395C"/>
    <w:rsid w:val="001F46D7"/>
    <w:rsid w:val="001F4C0B"/>
    <w:rsid w:val="001F5178"/>
    <w:rsid w:val="001F5779"/>
    <w:rsid w:val="00200762"/>
    <w:rsid w:val="002007D1"/>
    <w:rsid w:val="0020558C"/>
    <w:rsid w:val="002056B7"/>
    <w:rsid w:val="00206616"/>
    <w:rsid w:val="00207CD1"/>
    <w:rsid w:val="00207EB5"/>
    <w:rsid w:val="00210AB3"/>
    <w:rsid w:val="00217124"/>
    <w:rsid w:val="0022130F"/>
    <w:rsid w:val="00222FCC"/>
    <w:rsid w:val="00224126"/>
    <w:rsid w:val="002340EB"/>
    <w:rsid w:val="002350D7"/>
    <w:rsid w:val="00236521"/>
    <w:rsid w:val="00240069"/>
    <w:rsid w:val="00241A78"/>
    <w:rsid w:val="00242761"/>
    <w:rsid w:val="0024291C"/>
    <w:rsid w:val="00246D77"/>
    <w:rsid w:val="00252D00"/>
    <w:rsid w:val="00253364"/>
    <w:rsid w:val="00255342"/>
    <w:rsid w:val="00255ABB"/>
    <w:rsid w:val="00263741"/>
    <w:rsid w:val="002657FD"/>
    <w:rsid w:val="002663AF"/>
    <w:rsid w:val="00266E82"/>
    <w:rsid w:val="00272623"/>
    <w:rsid w:val="00272C63"/>
    <w:rsid w:val="00272ECE"/>
    <w:rsid w:val="00273488"/>
    <w:rsid w:val="0028181D"/>
    <w:rsid w:val="00282C86"/>
    <w:rsid w:val="00284B58"/>
    <w:rsid w:val="00286AB8"/>
    <w:rsid w:val="00287134"/>
    <w:rsid w:val="002906D3"/>
    <w:rsid w:val="00292FA5"/>
    <w:rsid w:val="00294FA9"/>
    <w:rsid w:val="00295EC4"/>
    <w:rsid w:val="00296CE8"/>
    <w:rsid w:val="00296EBD"/>
    <w:rsid w:val="002972ED"/>
    <w:rsid w:val="002A129C"/>
    <w:rsid w:val="002A4334"/>
    <w:rsid w:val="002A45FD"/>
    <w:rsid w:val="002A46B4"/>
    <w:rsid w:val="002A69A7"/>
    <w:rsid w:val="002A6F88"/>
    <w:rsid w:val="002B04B7"/>
    <w:rsid w:val="002B10EC"/>
    <w:rsid w:val="002B2DD9"/>
    <w:rsid w:val="002B3EE4"/>
    <w:rsid w:val="002B4A3B"/>
    <w:rsid w:val="002B62F5"/>
    <w:rsid w:val="002B69F2"/>
    <w:rsid w:val="002B70B0"/>
    <w:rsid w:val="002C08D5"/>
    <w:rsid w:val="002C2F3A"/>
    <w:rsid w:val="002C7774"/>
    <w:rsid w:val="002D2A8A"/>
    <w:rsid w:val="002D2EF4"/>
    <w:rsid w:val="002D6B51"/>
    <w:rsid w:val="002E0FEA"/>
    <w:rsid w:val="002E21D8"/>
    <w:rsid w:val="002E22AE"/>
    <w:rsid w:val="002E2781"/>
    <w:rsid w:val="002E3D26"/>
    <w:rsid w:val="002E3D84"/>
    <w:rsid w:val="002E568D"/>
    <w:rsid w:val="002E60BF"/>
    <w:rsid w:val="002E7A24"/>
    <w:rsid w:val="002F5D1D"/>
    <w:rsid w:val="002F612A"/>
    <w:rsid w:val="00300143"/>
    <w:rsid w:val="00302793"/>
    <w:rsid w:val="0030391D"/>
    <w:rsid w:val="00304053"/>
    <w:rsid w:val="00304B93"/>
    <w:rsid w:val="00305B16"/>
    <w:rsid w:val="00307DB7"/>
    <w:rsid w:val="003113A4"/>
    <w:rsid w:val="00313672"/>
    <w:rsid w:val="0031450E"/>
    <w:rsid w:val="00315667"/>
    <w:rsid w:val="00322D88"/>
    <w:rsid w:val="00323BF1"/>
    <w:rsid w:val="00323ED0"/>
    <w:rsid w:val="00325582"/>
    <w:rsid w:val="0032603D"/>
    <w:rsid w:val="00326770"/>
    <w:rsid w:val="00331233"/>
    <w:rsid w:val="00331CE5"/>
    <w:rsid w:val="00333A69"/>
    <w:rsid w:val="00333E86"/>
    <w:rsid w:val="00335D6B"/>
    <w:rsid w:val="00340189"/>
    <w:rsid w:val="00344201"/>
    <w:rsid w:val="0034613A"/>
    <w:rsid w:val="00351560"/>
    <w:rsid w:val="00351CE0"/>
    <w:rsid w:val="00351CFD"/>
    <w:rsid w:val="00356B1E"/>
    <w:rsid w:val="00356E86"/>
    <w:rsid w:val="00357C2C"/>
    <w:rsid w:val="003601CE"/>
    <w:rsid w:val="00362F1C"/>
    <w:rsid w:val="00364B95"/>
    <w:rsid w:val="003677A2"/>
    <w:rsid w:val="003709A4"/>
    <w:rsid w:val="00370E9B"/>
    <w:rsid w:val="00373264"/>
    <w:rsid w:val="00375A1F"/>
    <w:rsid w:val="003765FC"/>
    <w:rsid w:val="00381B69"/>
    <w:rsid w:val="003856E0"/>
    <w:rsid w:val="0038789A"/>
    <w:rsid w:val="00396C21"/>
    <w:rsid w:val="0039712B"/>
    <w:rsid w:val="0039790C"/>
    <w:rsid w:val="003A630A"/>
    <w:rsid w:val="003A68E2"/>
    <w:rsid w:val="003A7256"/>
    <w:rsid w:val="003A7F86"/>
    <w:rsid w:val="003B6957"/>
    <w:rsid w:val="003B6EE6"/>
    <w:rsid w:val="003B7533"/>
    <w:rsid w:val="003C1645"/>
    <w:rsid w:val="003C181D"/>
    <w:rsid w:val="003C1880"/>
    <w:rsid w:val="003C21A0"/>
    <w:rsid w:val="003C3FA2"/>
    <w:rsid w:val="003C4A34"/>
    <w:rsid w:val="003C62BC"/>
    <w:rsid w:val="003C6648"/>
    <w:rsid w:val="003D1684"/>
    <w:rsid w:val="003D3F07"/>
    <w:rsid w:val="003D7A73"/>
    <w:rsid w:val="003E1903"/>
    <w:rsid w:val="003E1C86"/>
    <w:rsid w:val="003E3D2C"/>
    <w:rsid w:val="003E52BB"/>
    <w:rsid w:val="003E66F7"/>
    <w:rsid w:val="003E6987"/>
    <w:rsid w:val="003F138E"/>
    <w:rsid w:val="003F25CF"/>
    <w:rsid w:val="003F2958"/>
    <w:rsid w:val="00401689"/>
    <w:rsid w:val="00402229"/>
    <w:rsid w:val="0040412C"/>
    <w:rsid w:val="00406203"/>
    <w:rsid w:val="00406F64"/>
    <w:rsid w:val="00407DE6"/>
    <w:rsid w:val="004106BE"/>
    <w:rsid w:val="00411CF8"/>
    <w:rsid w:val="00412A71"/>
    <w:rsid w:val="0041311D"/>
    <w:rsid w:val="00414F7E"/>
    <w:rsid w:val="004155E7"/>
    <w:rsid w:val="00420C96"/>
    <w:rsid w:val="004222E8"/>
    <w:rsid w:val="00422B19"/>
    <w:rsid w:val="00422C70"/>
    <w:rsid w:val="00425539"/>
    <w:rsid w:val="00425978"/>
    <w:rsid w:val="00426695"/>
    <w:rsid w:val="00426AB5"/>
    <w:rsid w:val="00430C8A"/>
    <w:rsid w:val="00430D9B"/>
    <w:rsid w:val="00432F1B"/>
    <w:rsid w:val="00433235"/>
    <w:rsid w:val="004406B7"/>
    <w:rsid w:val="00441243"/>
    <w:rsid w:val="00441CEA"/>
    <w:rsid w:val="00441F62"/>
    <w:rsid w:val="004434E1"/>
    <w:rsid w:val="004439DB"/>
    <w:rsid w:val="00444F1B"/>
    <w:rsid w:val="004455E1"/>
    <w:rsid w:val="00446505"/>
    <w:rsid w:val="00447E6E"/>
    <w:rsid w:val="00453F3D"/>
    <w:rsid w:val="00454D2C"/>
    <w:rsid w:val="0045567D"/>
    <w:rsid w:val="00456384"/>
    <w:rsid w:val="0045718D"/>
    <w:rsid w:val="0045782C"/>
    <w:rsid w:val="00457BFB"/>
    <w:rsid w:val="00457E41"/>
    <w:rsid w:val="0046109E"/>
    <w:rsid w:val="0046608D"/>
    <w:rsid w:val="00470529"/>
    <w:rsid w:val="0047606C"/>
    <w:rsid w:val="004770E1"/>
    <w:rsid w:val="00477623"/>
    <w:rsid w:val="00477699"/>
    <w:rsid w:val="004812CD"/>
    <w:rsid w:val="00482C47"/>
    <w:rsid w:val="00482E2F"/>
    <w:rsid w:val="0048462D"/>
    <w:rsid w:val="00491C01"/>
    <w:rsid w:val="00494159"/>
    <w:rsid w:val="004945AF"/>
    <w:rsid w:val="00494772"/>
    <w:rsid w:val="0049631E"/>
    <w:rsid w:val="004A0BDA"/>
    <w:rsid w:val="004A184A"/>
    <w:rsid w:val="004A2654"/>
    <w:rsid w:val="004A2D68"/>
    <w:rsid w:val="004A4E75"/>
    <w:rsid w:val="004A50ED"/>
    <w:rsid w:val="004A7286"/>
    <w:rsid w:val="004B479B"/>
    <w:rsid w:val="004C1FF6"/>
    <w:rsid w:val="004C2B36"/>
    <w:rsid w:val="004C2C1D"/>
    <w:rsid w:val="004D02BE"/>
    <w:rsid w:val="004D05E9"/>
    <w:rsid w:val="004D26F3"/>
    <w:rsid w:val="004D4E5F"/>
    <w:rsid w:val="004D5876"/>
    <w:rsid w:val="004D5E70"/>
    <w:rsid w:val="004D63E8"/>
    <w:rsid w:val="004E34D4"/>
    <w:rsid w:val="004F217C"/>
    <w:rsid w:val="004F4E97"/>
    <w:rsid w:val="004F65F5"/>
    <w:rsid w:val="004F7C07"/>
    <w:rsid w:val="0050016F"/>
    <w:rsid w:val="00502753"/>
    <w:rsid w:val="00512234"/>
    <w:rsid w:val="00512C09"/>
    <w:rsid w:val="00513826"/>
    <w:rsid w:val="0052453B"/>
    <w:rsid w:val="0053048C"/>
    <w:rsid w:val="00531FC6"/>
    <w:rsid w:val="00532D0A"/>
    <w:rsid w:val="00534AB8"/>
    <w:rsid w:val="00540582"/>
    <w:rsid w:val="00540850"/>
    <w:rsid w:val="00541114"/>
    <w:rsid w:val="00541D20"/>
    <w:rsid w:val="005459D6"/>
    <w:rsid w:val="005471E6"/>
    <w:rsid w:val="00547233"/>
    <w:rsid w:val="005507BD"/>
    <w:rsid w:val="00553B97"/>
    <w:rsid w:val="00553D51"/>
    <w:rsid w:val="0055432D"/>
    <w:rsid w:val="00554444"/>
    <w:rsid w:val="005558C0"/>
    <w:rsid w:val="005565D0"/>
    <w:rsid w:val="005573FF"/>
    <w:rsid w:val="00557DF7"/>
    <w:rsid w:val="00561C10"/>
    <w:rsid w:val="00564E6D"/>
    <w:rsid w:val="00565B3E"/>
    <w:rsid w:val="005726AB"/>
    <w:rsid w:val="005768A0"/>
    <w:rsid w:val="00577B10"/>
    <w:rsid w:val="00580F34"/>
    <w:rsid w:val="00581342"/>
    <w:rsid w:val="00581AF7"/>
    <w:rsid w:val="00582DF3"/>
    <w:rsid w:val="005861BA"/>
    <w:rsid w:val="0058654A"/>
    <w:rsid w:val="00587D99"/>
    <w:rsid w:val="005935F3"/>
    <w:rsid w:val="0059622B"/>
    <w:rsid w:val="005A1101"/>
    <w:rsid w:val="005A6A4A"/>
    <w:rsid w:val="005A6A6E"/>
    <w:rsid w:val="005A7451"/>
    <w:rsid w:val="005B1732"/>
    <w:rsid w:val="005B1F1C"/>
    <w:rsid w:val="005B43E3"/>
    <w:rsid w:val="005B545D"/>
    <w:rsid w:val="005B72A2"/>
    <w:rsid w:val="005C072B"/>
    <w:rsid w:val="005C58A4"/>
    <w:rsid w:val="005C5A46"/>
    <w:rsid w:val="005C6510"/>
    <w:rsid w:val="005C6B95"/>
    <w:rsid w:val="005D639E"/>
    <w:rsid w:val="005D7B5D"/>
    <w:rsid w:val="005E0006"/>
    <w:rsid w:val="005E0EA7"/>
    <w:rsid w:val="005E0EFB"/>
    <w:rsid w:val="005E2EDA"/>
    <w:rsid w:val="005E5F25"/>
    <w:rsid w:val="005F14B8"/>
    <w:rsid w:val="005F18EF"/>
    <w:rsid w:val="005F3EB9"/>
    <w:rsid w:val="005F4D18"/>
    <w:rsid w:val="005F638C"/>
    <w:rsid w:val="005F7B46"/>
    <w:rsid w:val="005F7F44"/>
    <w:rsid w:val="00603CA8"/>
    <w:rsid w:val="006049B7"/>
    <w:rsid w:val="00605323"/>
    <w:rsid w:val="006063A0"/>
    <w:rsid w:val="0060698A"/>
    <w:rsid w:val="00611C6A"/>
    <w:rsid w:val="00613600"/>
    <w:rsid w:val="00616430"/>
    <w:rsid w:val="00620481"/>
    <w:rsid w:val="00620C02"/>
    <w:rsid w:val="0062177D"/>
    <w:rsid w:val="00621C67"/>
    <w:rsid w:val="00623825"/>
    <w:rsid w:val="00623C1A"/>
    <w:rsid w:val="006244F8"/>
    <w:rsid w:val="00625159"/>
    <w:rsid w:val="00625706"/>
    <w:rsid w:val="006302DA"/>
    <w:rsid w:val="0063208D"/>
    <w:rsid w:val="006336A9"/>
    <w:rsid w:val="00633A75"/>
    <w:rsid w:val="00635554"/>
    <w:rsid w:val="00635D35"/>
    <w:rsid w:val="0063761E"/>
    <w:rsid w:val="00637A09"/>
    <w:rsid w:val="00641880"/>
    <w:rsid w:val="006443AE"/>
    <w:rsid w:val="0064493F"/>
    <w:rsid w:val="00646621"/>
    <w:rsid w:val="00646A88"/>
    <w:rsid w:val="00647454"/>
    <w:rsid w:val="006549A5"/>
    <w:rsid w:val="006550DB"/>
    <w:rsid w:val="0065585D"/>
    <w:rsid w:val="006565D8"/>
    <w:rsid w:val="006576C1"/>
    <w:rsid w:val="00660720"/>
    <w:rsid w:val="006607BF"/>
    <w:rsid w:val="006610B9"/>
    <w:rsid w:val="00662CB6"/>
    <w:rsid w:val="0066301B"/>
    <w:rsid w:val="00667FE1"/>
    <w:rsid w:val="00671C0B"/>
    <w:rsid w:val="006727E1"/>
    <w:rsid w:val="006739E2"/>
    <w:rsid w:val="0067539E"/>
    <w:rsid w:val="00675825"/>
    <w:rsid w:val="00677B8C"/>
    <w:rsid w:val="00677F01"/>
    <w:rsid w:val="00680E9A"/>
    <w:rsid w:val="00681479"/>
    <w:rsid w:val="006848DA"/>
    <w:rsid w:val="00690011"/>
    <w:rsid w:val="00690A8C"/>
    <w:rsid w:val="00691354"/>
    <w:rsid w:val="00691828"/>
    <w:rsid w:val="0069204D"/>
    <w:rsid w:val="00693EB0"/>
    <w:rsid w:val="006963F8"/>
    <w:rsid w:val="00697F20"/>
    <w:rsid w:val="006A0840"/>
    <w:rsid w:val="006A1FA1"/>
    <w:rsid w:val="006A591B"/>
    <w:rsid w:val="006A6DEE"/>
    <w:rsid w:val="006B076E"/>
    <w:rsid w:val="006B0F7A"/>
    <w:rsid w:val="006B522B"/>
    <w:rsid w:val="006C34B5"/>
    <w:rsid w:val="006C38BC"/>
    <w:rsid w:val="006C554B"/>
    <w:rsid w:val="006D0B39"/>
    <w:rsid w:val="006D0C55"/>
    <w:rsid w:val="006D29AF"/>
    <w:rsid w:val="006D4944"/>
    <w:rsid w:val="006D75E1"/>
    <w:rsid w:val="006E10A8"/>
    <w:rsid w:val="006E3D54"/>
    <w:rsid w:val="006E5392"/>
    <w:rsid w:val="006E5DC0"/>
    <w:rsid w:val="006F3189"/>
    <w:rsid w:val="006F51ED"/>
    <w:rsid w:val="006F6A2B"/>
    <w:rsid w:val="006F7D3E"/>
    <w:rsid w:val="00700CA6"/>
    <w:rsid w:val="00702256"/>
    <w:rsid w:val="00702D11"/>
    <w:rsid w:val="00707B06"/>
    <w:rsid w:val="00707FA0"/>
    <w:rsid w:val="007108AA"/>
    <w:rsid w:val="00711BF1"/>
    <w:rsid w:val="00716F8E"/>
    <w:rsid w:val="00721EEE"/>
    <w:rsid w:val="007318F8"/>
    <w:rsid w:val="00732454"/>
    <w:rsid w:val="00732B3C"/>
    <w:rsid w:val="0073387A"/>
    <w:rsid w:val="00733EE6"/>
    <w:rsid w:val="0073530E"/>
    <w:rsid w:val="007359C5"/>
    <w:rsid w:val="00737CE5"/>
    <w:rsid w:val="00741E64"/>
    <w:rsid w:val="00744F33"/>
    <w:rsid w:val="00744F4F"/>
    <w:rsid w:val="00745A2B"/>
    <w:rsid w:val="00745F1C"/>
    <w:rsid w:val="007519FC"/>
    <w:rsid w:val="00757532"/>
    <w:rsid w:val="00763294"/>
    <w:rsid w:val="00765074"/>
    <w:rsid w:val="00765CC8"/>
    <w:rsid w:val="00766FF5"/>
    <w:rsid w:val="00770A55"/>
    <w:rsid w:val="00774B5D"/>
    <w:rsid w:val="00776EE7"/>
    <w:rsid w:val="007819BB"/>
    <w:rsid w:val="007861DC"/>
    <w:rsid w:val="007867E5"/>
    <w:rsid w:val="00792311"/>
    <w:rsid w:val="00794682"/>
    <w:rsid w:val="00794C5D"/>
    <w:rsid w:val="007A254A"/>
    <w:rsid w:val="007A2F1D"/>
    <w:rsid w:val="007A3D22"/>
    <w:rsid w:val="007A44AD"/>
    <w:rsid w:val="007A4539"/>
    <w:rsid w:val="007A59F0"/>
    <w:rsid w:val="007B2132"/>
    <w:rsid w:val="007B25D2"/>
    <w:rsid w:val="007B5C85"/>
    <w:rsid w:val="007B73FB"/>
    <w:rsid w:val="007B73FD"/>
    <w:rsid w:val="007B7627"/>
    <w:rsid w:val="007C0136"/>
    <w:rsid w:val="007C1226"/>
    <w:rsid w:val="007C30B6"/>
    <w:rsid w:val="007C582F"/>
    <w:rsid w:val="007D0A0E"/>
    <w:rsid w:val="007D1A22"/>
    <w:rsid w:val="007D26ED"/>
    <w:rsid w:val="007D370D"/>
    <w:rsid w:val="007D3ED7"/>
    <w:rsid w:val="007D7114"/>
    <w:rsid w:val="007E2466"/>
    <w:rsid w:val="007E3042"/>
    <w:rsid w:val="007E55D6"/>
    <w:rsid w:val="007E66F7"/>
    <w:rsid w:val="007F0867"/>
    <w:rsid w:val="007F121A"/>
    <w:rsid w:val="007F16C2"/>
    <w:rsid w:val="007F328A"/>
    <w:rsid w:val="007F516C"/>
    <w:rsid w:val="007F557C"/>
    <w:rsid w:val="008009A5"/>
    <w:rsid w:val="008019F7"/>
    <w:rsid w:val="00802EDF"/>
    <w:rsid w:val="008033D8"/>
    <w:rsid w:val="00803B28"/>
    <w:rsid w:val="008042A9"/>
    <w:rsid w:val="00805AB6"/>
    <w:rsid w:val="00807956"/>
    <w:rsid w:val="00810F27"/>
    <w:rsid w:val="00815635"/>
    <w:rsid w:val="008210B5"/>
    <w:rsid w:val="008233F9"/>
    <w:rsid w:val="0082516D"/>
    <w:rsid w:val="00827FC9"/>
    <w:rsid w:val="00831DB6"/>
    <w:rsid w:val="00834E87"/>
    <w:rsid w:val="00835554"/>
    <w:rsid w:val="00835918"/>
    <w:rsid w:val="0083624B"/>
    <w:rsid w:val="00837263"/>
    <w:rsid w:val="00840D58"/>
    <w:rsid w:val="00840E45"/>
    <w:rsid w:val="0084588C"/>
    <w:rsid w:val="00845D48"/>
    <w:rsid w:val="008505C2"/>
    <w:rsid w:val="00851D27"/>
    <w:rsid w:val="00852AB7"/>
    <w:rsid w:val="00854C58"/>
    <w:rsid w:val="00856414"/>
    <w:rsid w:val="008567B9"/>
    <w:rsid w:val="0086321D"/>
    <w:rsid w:val="008632F4"/>
    <w:rsid w:val="00867E90"/>
    <w:rsid w:val="00870626"/>
    <w:rsid w:val="00872C3C"/>
    <w:rsid w:val="00875ED1"/>
    <w:rsid w:val="00880924"/>
    <w:rsid w:val="00881BB6"/>
    <w:rsid w:val="0088457B"/>
    <w:rsid w:val="008846D0"/>
    <w:rsid w:val="00887B7C"/>
    <w:rsid w:val="00890E0B"/>
    <w:rsid w:val="008916B2"/>
    <w:rsid w:val="00892115"/>
    <w:rsid w:val="008932F1"/>
    <w:rsid w:val="0089461B"/>
    <w:rsid w:val="00894E9B"/>
    <w:rsid w:val="00895AE1"/>
    <w:rsid w:val="008968CE"/>
    <w:rsid w:val="008A1611"/>
    <w:rsid w:val="008A3293"/>
    <w:rsid w:val="008A45A6"/>
    <w:rsid w:val="008B5765"/>
    <w:rsid w:val="008B5E58"/>
    <w:rsid w:val="008C0642"/>
    <w:rsid w:val="008C2255"/>
    <w:rsid w:val="008C358B"/>
    <w:rsid w:val="008C423B"/>
    <w:rsid w:val="008C5859"/>
    <w:rsid w:val="008C6E65"/>
    <w:rsid w:val="008D025C"/>
    <w:rsid w:val="008D09BF"/>
    <w:rsid w:val="008D11CF"/>
    <w:rsid w:val="008D206D"/>
    <w:rsid w:val="008D2196"/>
    <w:rsid w:val="008D2673"/>
    <w:rsid w:val="008D2C0C"/>
    <w:rsid w:val="008D4B50"/>
    <w:rsid w:val="008D7A38"/>
    <w:rsid w:val="008E0A1A"/>
    <w:rsid w:val="008E2D12"/>
    <w:rsid w:val="008E45ED"/>
    <w:rsid w:val="008E4E89"/>
    <w:rsid w:val="008E6721"/>
    <w:rsid w:val="008E7665"/>
    <w:rsid w:val="008F5386"/>
    <w:rsid w:val="008F575A"/>
    <w:rsid w:val="008F61CF"/>
    <w:rsid w:val="008F7DC8"/>
    <w:rsid w:val="00900B2F"/>
    <w:rsid w:val="0090133A"/>
    <w:rsid w:val="00901A8B"/>
    <w:rsid w:val="0090310E"/>
    <w:rsid w:val="00904E43"/>
    <w:rsid w:val="00906345"/>
    <w:rsid w:val="009107D6"/>
    <w:rsid w:val="00912C2F"/>
    <w:rsid w:val="00914F60"/>
    <w:rsid w:val="00915085"/>
    <w:rsid w:val="00915D07"/>
    <w:rsid w:val="0091725C"/>
    <w:rsid w:val="009202D0"/>
    <w:rsid w:val="00920E37"/>
    <w:rsid w:val="00922729"/>
    <w:rsid w:val="0092463E"/>
    <w:rsid w:val="00924E1A"/>
    <w:rsid w:val="009277EC"/>
    <w:rsid w:val="009317EE"/>
    <w:rsid w:val="00932304"/>
    <w:rsid w:val="00932EA4"/>
    <w:rsid w:val="00933312"/>
    <w:rsid w:val="00935FA6"/>
    <w:rsid w:val="00942B46"/>
    <w:rsid w:val="009437FF"/>
    <w:rsid w:val="00951FC0"/>
    <w:rsid w:val="00961664"/>
    <w:rsid w:val="00966882"/>
    <w:rsid w:val="00977D3D"/>
    <w:rsid w:val="009819D6"/>
    <w:rsid w:val="0098351A"/>
    <w:rsid w:val="00983FBC"/>
    <w:rsid w:val="0098575B"/>
    <w:rsid w:val="009877A7"/>
    <w:rsid w:val="00992D84"/>
    <w:rsid w:val="00993488"/>
    <w:rsid w:val="00995046"/>
    <w:rsid w:val="009A1B05"/>
    <w:rsid w:val="009A43B9"/>
    <w:rsid w:val="009A4DCD"/>
    <w:rsid w:val="009A798D"/>
    <w:rsid w:val="009B0A52"/>
    <w:rsid w:val="009B5AF9"/>
    <w:rsid w:val="009B66BA"/>
    <w:rsid w:val="009C1621"/>
    <w:rsid w:val="009C6172"/>
    <w:rsid w:val="009D05E0"/>
    <w:rsid w:val="009D23FD"/>
    <w:rsid w:val="009D313E"/>
    <w:rsid w:val="009D4EC3"/>
    <w:rsid w:val="009D52D4"/>
    <w:rsid w:val="009D7FE6"/>
    <w:rsid w:val="009E0550"/>
    <w:rsid w:val="009E11C2"/>
    <w:rsid w:val="009E4B7D"/>
    <w:rsid w:val="009E5D75"/>
    <w:rsid w:val="009E63F0"/>
    <w:rsid w:val="009E7B1F"/>
    <w:rsid w:val="009F3050"/>
    <w:rsid w:val="009F3AD9"/>
    <w:rsid w:val="009F47F0"/>
    <w:rsid w:val="009F57CF"/>
    <w:rsid w:val="009F5B84"/>
    <w:rsid w:val="009F7E14"/>
    <w:rsid w:val="00A00960"/>
    <w:rsid w:val="00A0323C"/>
    <w:rsid w:val="00A05F65"/>
    <w:rsid w:val="00A12927"/>
    <w:rsid w:val="00A156D2"/>
    <w:rsid w:val="00A17B1F"/>
    <w:rsid w:val="00A17C81"/>
    <w:rsid w:val="00A2047C"/>
    <w:rsid w:val="00A222D7"/>
    <w:rsid w:val="00A22BEF"/>
    <w:rsid w:val="00A241B9"/>
    <w:rsid w:val="00A25A34"/>
    <w:rsid w:val="00A265A1"/>
    <w:rsid w:val="00A277A6"/>
    <w:rsid w:val="00A27BD8"/>
    <w:rsid w:val="00A31801"/>
    <w:rsid w:val="00A40665"/>
    <w:rsid w:val="00A41B66"/>
    <w:rsid w:val="00A441FB"/>
    <w:rsid w:val="00A46C78"/>
    <w:rsid w:val="00A519B2"/>
    <w:rsid w:val="00A51E64"/>
    <w:rsid w:val="00A521F5"/>
    <w:rsid w:val="00A52FC5"/>
    <w:rsid w:val="00A53453"/>
    <w:rsid w:val="00A5470A"/>
    <w:rsid w:val="00A571EC"/>
    <w:rsid w:val="00A6282E"/>
    <w:rsid w:val="00A635CD"/>
    <w:rsid w:val="00A6413C"/>
    <w:rsid w:val="00A64635"/>
    <w:rsid w:val="00A65FCD"/>
    <w:rsid w:val="00A67115"/>
    <w:rsid w:val="00A70B47"/>
    <w:rsid w:val="00A72AB6"/>
    <w:rsid w:val="00A73259"/>
    <w:rsid w:val="00A74B89"/>
    <w:rsid w:val="00A76C8B"/>
    <w:rsid w:val="00A80270"/>
    <w:rsid w:val="00A80318"/>
    <w:rsid w:val="00A809B7"/>
    <w:rsid w:val="00A81577"/>
    <w:rsid w:val="00A85852"/>
    <w:rsid w:val="00A85E2D"/>
    <w:rsid w:val="00A85F13"/>
    <w:rsid w:val="00A87908"/>
    <w:rsid w:val="00A9184C"/>
    <w:rsid w:val="00A95986"/>
    <w:rsid w:val="00A966CA"/>
    <w:rsid w:val="00AA4CD5"/>
    <w:rsid w:val="00AB3821"/>
    <w:rsid w:val="00AB6443"/>
    <w:rsid w:val="00AC1A7A"/>
    <w:rsid w:val="00AC4543"/>
    <w:rsid w:val="00AC5929"/>
    <w:rsid w:val="00AC7315"/>
    <w:rsid w:val="00AD3843"/>
    <w:rsid w:val="00AD627D"/>
    <w:rsid w:val="00AD7803"/>
    <w:rsid w:val="00AE246C"/>
    <w:rsid w:val="00AE3259"/>
    <w:rsid w:val="00AE330F"/>
    <w:rsid w:val="00AE3455"/>
    <w:rsid w:val="00AE49CB"/>
    <w:rsid w:val="00AE4C4D"/>
    <w:rsid w:val="00AE61B4"/>
    <w:rsid w:val="00AF0B4D"/>
    <w:rsid w:val="00AF39C7"/>
    <w:rsid w:val="00AF3E88"/>
    <w:rsid w:val="00AF41B8"/>
    <w:rsid w:val="00AF4776"/>
    <w:rsid w:val="00AF67F3"/>
    <w:rsid w:val="00AF6DC5"/>
    <w:rsid w:val="00AF75E9"/>
    <w:rsid w:val="00B005A5"/>
    <w:rsid w:val="00B019C6"/>
    <w:rsid w:val="00B01B1D"/>
    <w:rsid w:val="00B03163"/>
    <w:rsid w:val="00B0662A"/>
    <w:rsid w:val="00B07D16"/>
    <w:rsid w:val="00B11473"/>
    <w:rsid w:val="00B122B2"/>
    <w:rsid w:val="00B1274A"/>
    <w:rsid w:val="00B1408A"/>
    <w:rsid w:val="00B142FE"/>
    <w:rsid w:val="00B14F91"/>
    <w:rsid w:val="00B177A8"/>
    <w:rsid w:val="00B221BF"/>
    <w:rsid w:val="00B30193"/>
    <w:rsid w:val="00B3153D"/>
    <w:rsid w:val="00B31799"/>
    <w:rsid w:val="00B32065"/>
    <w:rsid w:val="00B331D1"/>
    <w:rsid w:val="00B33E40"/>
    <w:rsid w:val="00B355F5"/>
    <w:rsid w:val="00B35FFC"/>
    <w:rsid w:val="00B40A18"/>
    <w:rsid w:val="00B44602"/>
    <w:rsid w:val="00B547DB"/>
    <w:rsid w:val="00B54A21"/>
    <w:rsid w:val="00B54EEC"/>
    <w:rsid w:val="00B5562C"/>
    <w:rsid w:val="00B57979"/>
    <w:rsid w:val="00B60311"/>
    <w:rsid w:val="00B6036B"/>
    <w:rsid w:val="00B609AE"/>
    <w:rsid w:val="00B609C3"/>
    <w:rsid w:val="00B6436E"/>
    <w:rsid w:val="00B654DF"/>
    <w:rsid w:val="00B65666"/>
    <w:rsid w:val="00B65E07"/>
    <w:rsid w:val="00B65E7C"/>
    <w:rsid w:val="00B66A14"/>
    <w:rsid w:val="00B708FD"/>
    <w:rsid w:val="00B711DE"/>
    <w:rsid w:val="00B75785"/>
    <w:rsid w:val="00B80109"/>
    <w:rsid w:val="00B82B91"/>
    <w:rsid w:val="00B844C8"/>
    <w:rsid w:val="00B860B3"/>
    <w:rsid w:val="00B94F96"/>
    <w:rsid w:val="00B9584D"/>
    <w:rsid w:val="00B96087"/>
    <w:rsid w:val="00BA376C"/>
    <w:rsid w:val="00BA48B1"/>
    <w:rsid w:val="00BA6A8E"/>
    <w:rsid w:val="00BA755E"/>
    <w:rsid w:val="00BC05B5"/>
    <w:rsid w:val="00BC094C"/>
    <w:rsid w:val="00BC15BD"/>
    <w:rsid w:val="00BC2945"/>
    <w:rsid w:val="00BC482E"/>
    <w:rsid w:val="00BC7A9F"/>
    <w:rsid w:val="00BD3184"/>
    <w:rsid w:val="00BD3200"/>
    <w:rsid w:val="00BD77BF"/>
    <w:rsid w:val="00BE3BA2"/>
    <w:rsid w:val="00BE4156"/>
    <w:rsid w:val="00BE4E9A"/>
    <w:rsid w:val="00BE512B"/>
    <w:rsid w:val="00BE74D7"/>
    <w:rsid w:val="00BF0DC4"/>
    <w:rsid w:val="00BF0F18"/>
    <w:rsid w:val="00BF47DB"/>
    <w:rsid w:val="00C00B39"/>
    <w:rsid w:val="00C00BC4"/>
    <w:rsid w:val="00C01740"/>
    <w:rsid w:val="00C0429D"/>
    <w:rsid w:val="00C04B94"/>
    <w:rsid w:val="00C06A31"/>
    <w:rsid w:val="00C1257C"/>
    <w:rsid w:val="00C13613"/>
    <w:rsid w:val="00C15409"/>
    <w:rsid w:val="00C157C6"/>
    <w:rsid w:val="00C1587F"/>
    <w:rsid w:val="00C16606"/>
    <w:rsid w:val="00C21148"/>
    <w:rsid w:val="00C23425"/>
    <w:rsid w:val="00C31827"/>
    <w:rsid w:val="00C3304F"/>
    <w:rsid w:val="00C34549"/>
    <w:rsid w:val="00C40D79"/>
    <w:rsid w:val="00C41CAE"/>
    <w:rsid w:val="00C43DA8"/>
    <w:rsid w:val="00C45AF2"/>
    <w:rsid w:val="00C472E0"/>
    <w:rsid w:val="00C47395"/>
    <w:rsid w:val="00C52AE7"/>
    <w:rsid w:val="00C5721B"/>
    <w:rsid w:val="00C5771C"/>
    <w:rsid w:val="00C60D44"/>
    <w:rsid w:val="00C63C62"/>
    <w:rsid w:val="00C64829"/>
    <w:rsid w:val="00C72B72"/>
    <w:rsid w:val="00C72C37"/>
    <w:rsid w:val="00C77F33"/>
    <w:rsid w:val="00C800E8"/>
    <w:rsid w:val="00C80739"/>
    <w:rsid w:val="00C81DC9"/>
    <w:rsid w:val="00C85185"/>
    <w:rsid w:val="00C855D4"/>
    <w:rsid w:val="00C92AFE"/>
    <w:rsid w:val="00C95327"/>
    <w:rsid w:val="00C957BB"/>
    <w:rsid w:val="00CA2138"/>
    <w:rsid w:val="00CA34C8"/>
    <w:rsid w:val="00CA5186"/>
    <w:rsid w:val="00CA6501"/>
    <w:rsid w:val="00CA67EC"/>
    <w:rsid w:val="00CA7CAF"/>
    <w:rsid w:val="00CA7D85"/>
    <w:rsid w:val="00CA7F1F"/>
    <w:rsid w:val="00CA7FED"/>
    <w:rsid w:val="00CB167A"/>
    <w:rsid w:val="00CB2301"/>
    <w:rsid w:val="00CB2B3C"/>
    <w:rsid w:val="00CB5144"/>
    <w:rsid w:val="00CB60D4"/>
    <w:rsid w:val="00CC21C2"/>
    <w:rsid w:val="00CC3487"/>
    <w:rsid w:val="00CC54CE"/>
    <w:rsid w:val="00CC5AD4"/>
    <w:rsid w:val="00CD047C"/>
    <w:rsid w:val="00CD0981"/>
    <w:rsid w:val="00CD0B00"/>
    <w:rsid w:val="00CD45F5"/>
    <w:rsid w:val="00CD48E3"/>
    <w:rsid w:val="00CD67C1"/>
    <w:rsid w:val="00CD6B4A"/>
    <w:rsid w:val="00CD6EC7"/>
    <w:rsid w:val="00CE0A12"/>
    <w:rsid w:val="00CE31B4"/>
    <w:rsid w:val="00CE4097"/>
    <w:rsid w:val="00CE4510"/>
    <w:rsid w:val="00CE54FC"/>
    <w:rsid w:val="00CE633C"/>
    <w:rsid w:val="00CF090B"/>
    <w:rsid w:val="00CF3A2F"/>
    <w:rsid w:val="00CF744B"/>
    <w:rsid w:val="00D00773"/>
    <w:rsid w:val="00D00817"/>
    <w:rsid w:val="00D010E3"/>
    <w:rsid w:val="00D01182"/>
    <w:rsid w:val="00D01622"/>
    <w:rsid w:val="00D021BF"/>
    <w:rsid w:val="00D038F6"/>
    <w:rsid w:val="00D048E4"/>
    <w:rsid w:val="00D04C13"/>
    <w:rsid w:val="00D06516"/>
    <w:rsid w:val="00D077A1"/>
    <w:rsid w:val="00D11E95"/>
    <w:rsid w:val="00D120F2"/>
    <w:rsid w:val="00D14E4E"/>
    <w:rsid w:val="00D156DD"/>
    <w:rsid w:val="00D16A21"/>
    <w:rsid w:val="00D176CE"/>
    <w:rsid w:val="00D1795C"/>
    <w:rsid w:val="00D20160"/>
    <w:rsid w:val="00D20E87"/>
    <w:rsid w:val="00D21ED4"/>
    <w:rsid w:val="00D2240B"/>
    <w:rsid w:val="00D2366E"/>
    <w:rsid w:val="00D245AB"/>
    <w:rsid w:val="00D25B7E"/>
    <w:rsid w:val="00D27782"/>
    <w:rsid w:val="00D27A89"/>
    <w:rsid w:val="00D32407"/>
    <w:rsid w:val="00D32FD1"/>
    <w:rsid w:val="00D41A1F"/>
    <w:rsid w:val="00D41ACA"/>
    <w:rsid w:val="00D43115"/>
    <w:rsid w:val="00D450BD"/>
    <w:rsid w:val="00D462DB"/>
    <w:rsid w:val="00D47FA0"/>
    <w:rsid w:val="00D505A2"/>
    <w:rsid w:val="00D50A33"/>
    <w:rsid w:val="00D50A86"/>
    <w:rsid w:val="00D555C1"/>
    <w:rsid w:val="00D56235"/>
    <w:rsid w:val="00D57ECB"/>
    <w:rsid w:val="00D61063"/>
    <w:rsid w:val="00D62BB0"/>
    <w:rsid w:val="00D63D40"/>
    <w:rsid w:val="00D63FC9"/>
    <w:rsid w:val="00D65D68"/>
    <w:rsid w:val="00D66CDF"/>
    <w:rsid w:val="00D71032"/>
    <w:rsid w:val="00D72D07"/>
    <w:rsid w:val="00D737E4"/>
    <w:rsid w:val="00D75464"/>
    <w:rsid w:val="00D762F5"/>
    <w:rsid w:val="00D77335"/>
    <w:rsid w:val="00D7742A"/>
    <w:rsid w:val="00D77851"/>
    <w:rsid w:val="00D827CA"/>
    <w:rsid w:val="00D84B5C"/>
    <w:rsid w:val="00D84DFC"/>
    <w:rsid w:val="00D9315D"/>
    <w:rsid w:val="00D96E89"/>
    <w:rsid w:val="00D97772"/>
    <w:rsid w:val="00D97A54"/>
    <w:rsid w:val="00DA0D21"/>
    <w:rsid w:val="00DA0E07"/>
    <w:rsid w:val="00DA2253"/>
    <w:rsid w:val="00DA61D2"/>
    <w:rsid w:val="00DB1D2D"/>
    <w:rsid w:val="00DB4045"/>
    <w:rsid w:val="00DB7142"/>
    <w:rsid w:val="00DB722B"/>
    <w:rsid w:val="00DC0B4C"/>
    <w:rsid w:val="00DC0BE0"/>
    <w:rsid w:val="00DC20E2"/>
    <w:rsid w:val="00DC4070"/>
    <w:rsid w:val="00DC5ECB"/>
    <w:rsid w:val="00DD19C3"/>
    <w:rsid w:val="00DD23B5"/>
    <w:rsid w:val="00DD4519"/>
    <w:rsid w:val="00DD71CA"/>
    <w:rsid w:val="00DE1427"/>
    <w:rsid w:val="00DE2C4C"/>
    <w:rsid w:val="00DE38AD"/>
    <w:rsid w:val="00DE4D22"/>
    <w:rsid w:val="00DE58F6"/>
    <w:rsid w:val="00DE621B"/>
    <w:rsid w:val="00DE675F"/>
    <w:rsid w:val="00DE7626"/>
    <w:rsid w:val="00DF1072"/>
    <w:rsid w:val="00DF214A"/>
    <w:rsid w:val="00DF26A0"/>
    <w:rsid w:val="00DF3B30"/>
    <w:rsid w:val="00DF43F5"/>
    <w:rsid w:val="00DF4FAA"/>
    <w:rsid w:val="00DF5133"/>
    <w:rsid w:val="00DF691F"/>
    <w:rsid w:val="00DF6E2E"/>
    <w:rsid w:val="00E022E1"/>
    <w:rsid w:val="00E03A04"/>
    <w:rsid w:val="00E05399"/>
    <w:rsid w:val="00E0638A"/>
    <w:rsid w:val="00E067AD"/>
    <w:rsid w:val="00E12262"/>
    <w:rsid w:val="00E13B48"/>
    <w:rsid w:val="00E22B7D"/>
    <w:rsid w:val="00E250F3"/>
    <w:rsid w:val="00E252DF"/>
    <w:rsid w:val="00E25649"/>
    <w:rsid w:val="00E25A5B"/>
    <w:rsid w:val="00E27363"/>
    <w:rsid w:val="00E27C6F"/>
    <w:rsid w:val="00E27E89"/>
    <w:rsid w:val="00E300BE"/>
    <w:rsid w:val="00E30273"/>
    <w:rsid w:val="00E321F8"/>
    <w:rsid w:val="00E35215"/>
    <w:rsid w:val="00E355E0"/>
    <w:rsid w:val="00E374DC"/>
    <w:rsid w:val="00E46114"/>
    <w:rsid w:val="00E47C51"/>
    <w:rsid w:val="00E500CB"/>
    <w:rsid w:val="00E514AB"/>
    <w:rsid w:val="00E519DE"/>
    <w:rsid w:val="00E52A18"/>
    <w:rsid w:val="00E5310C"/>
    <w:rsid w:val="00E54096"/>
    <w:rsid w:val="00E549F6"/>
    <w:rsid w:val="00E54BD7"/>
    <w:rsid w:val="00E556AF"/>
    <w:rsid w:val="00E56EC1"/>
    <w:rsid w:val="00E62E52"/>
    <w:rsid w:val="00E6368D"/>
    <w:rsid w:val="00E65E6D"/>
    <w:rsid w:val="00E66969"/>
    <w:rsid w:val="00E70D59"/>
    <w:rsid w:val="00E7328E"/>
    <w:rsid w:val="00E73844"/>
    <w:rsid w:val="00E74598"/>
    <w:rsid w:val="00E74FC3"/>
    <w:rsid w:val="00E760AE"/>
    <w:rsid w:val="00E761B0"/>
    <w:rsid w:val="00E77923"/>
    <w:rsid w:val="00E8069D"/>
    <w:rsid w:val="00E8203A"/>
    <w:rsid w:val="00E82735"/>
    <w:rsid w:val="00E84969"/>
    <w:rsid w:val="00E85E49"/>
    <w:rsid w:val="00E86FFD"/>
    <w:rsid w:val="00E94BC3"/>
    <w:rsid w:val="00E95225"/>
    <w:rsid w:val="00EA35F7"/>
    <w:rsid w:val="00EA43C3"/>
    <w:rsid w:val="00EA4697"/>
    <w:rsid w:val="00EA5CEC"/>
    <w:rsid w:val="00EA7E0A"/>
    <w:rsid w:val="00EA7FAA"/>
    <w:rsid w:val="00EB0848"/>
    <w:rsid w:val="00EB4D1F"/>
    <w:rsid w:val="00EB736F"/>
    <w:rsid w:val="00EC433E"/>
    <w:rsid w:val="00EC5517"/>
    <w:rsid w:val="00EC5EC7"/>
    <w:rsid w:val="00EC7CA3"/>
    <w:rsid w:val="00ED14F9"/>
    <w:rsid w:val="00ED1C9B"/>
    <w:rsid w:val="00ED36FA"/>
    <w:rsid w:val="00ED49AE"/>
    <w:rsid w:val="00ED5A0A"/>
    <w:rsid w:val="00ED6F6D"/>
    <w:rsid w:val="00EE6F5B"/>
    <w:rsid w:val="00EF158C"/>
    <w:rsid w:val="00EF4DCC"/>
    <w:rsid w:val="00EF5FD0"/>
    <w:rsid w:val="00F04EB3"/>
    <w:rsid w:val="00F0582C"/>
    <w:rsid w:val="00F06E25"/>
    <w:rsid w:val="00F07B9C"/>
    <w:rsid w:val="00F10042"/>
    <w:rsid w:val="00F1036E"/>
    <w:rsid w:val="00F10F0B"/>
    <w:rsid w:val="00F12550"/>
    <w:rsid w:val="00F131FE"/>
    <w:rsid w:val="00F22C24"/>
    <w:rsid w:val="00F23573"/>
    <w:rsid w:val="00F2365D"/>
    <w:rsid w:val="00F26A88"/>
    <w:rsid w:val="00F31AE2"/>
    <w:rsid w:val="00F33566"/>
    <w:rsid w:val="00F34151"/>
    <w:rsid w:val="00F36BBE"/>
    <w:rsid w:val="00F42101"/>
    <w:rsid w:val="00F44734"/>
    <w:rsid w:val="00F44BE1"/>
    <w:rsid w:val="00F476F9"/>
    <w:rsid w:val="00F478F1"/>
    <w:rsid w:val="00F500F0"/>
    <w:rsid w:val="00F50625"/>
    <w:rsid w:val="00F522FC"/>
    <w:rsid w:val="00F5252E"/>
    <w:rsid w:val="00F543BD"/>
    <w:rsid w:val="00F5520D"/>
    <w:rsid w:val="00F56AF0"/>
    <w:rsid w:val="00F70B34"/>
    <w:rsid w:val="00F71B2F"/>
    <w:rsid w:val="00F75322"/>
    <w:rsid w:val="00F767A0"/>
    <w:rsid w:val="00F76853"/>
    <w:rsid w:val="00F77539"/>
    <w:rsid w:val="00F80D72"/>
    <w:rsid w:val="00F816EB"/>
    <w:rsid w:val="00F81710"/>
    <w:rsid w:val="00F81884"/>
    <w:rsid w:val="00F83F09"/>
    <w:rsid w:val="00F8732B"/>
    <w:rsid w:val="00F90DA8"/>
    <w:rsid w:val="00F911DF"/>
    <w:rsid w:val="00F92B90"/>
    <w:rsid w:val="00F93008"/>
    <w:rsid w:val="00F942C7"/>
    <w:rsid w:val="00F9448A"/>
    <w:rsid w:val="00F95D08"/>
    <w:rsid w:val="00F96C4F"/>
    <w:rsid w:val="00F96EF3"/>
    <w:rsid w:val="00FA11D8"/>
    <w:rsid w:val="00FA270E"/>
    <w:rsid w:val="00FA3787"/>
    <w:rsid w:val="00FA486F"/>
    <w:rsid w:val="00FA4AD0"/>
    <w:rsid w:val="00FA56B6"/>
    <w:rsid w:val="00FA7C3B"/>
    <w:rsid w:val="00FA7E37"/>
    <w:rsid w:val="00FB0C3B"/>
    <w:rsid w:val="00FB1442"/>
    <w:rsid w:val="00FB2CEA"/>
    <w:rsid w:val="00FC02EE"/>
    <w:rsid w:val="00FC1245"/>
    <w:rsid w:val="00FC15A6"/>
    <w:rsid w:val="00FC480B"/>
    <w:rsid w:val="00FC6A59"/>
    <w:rsid w:val="00FC7284"/>
    <w:rsid w:val="00FC7855"/>
    <w:rsid w:val="00FD03C8"/>
    <w:rsid w:val="00FD4FCA"/>
    <w:rsid w:val="00FD6D0D"/>
    <w:rsid w:val="00FD79E6"/>
    <w:rsid w:val="00FE0044"/>
    <w:rsid w:val="00FE111C"/>
    <w:rsid w:val="00FE3663"/>
    <w:rsid w:val="00FF1A87"/>
    <w:rsid w:val="00FF4E95"/>
    <w:rsid w:val="00FF7B3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6cf"/>
    </o:shapedefaults>
    <o:shapelayout v:ext="edit">
      <o:idmap v:ext="edit" data="1"/>
    </o:shapelayout>
  </w:shapeDefaults>
  <w:decimalSymbol w:val="."/>
  <w:listSeparator w:val=","/>
  <w14:docId w14:val="1E0290EA"/>
  <w15:docId w15:val="{A0A806EF-5823-4442-A503-78C312FFE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AU" w:eastAsia="en-AU"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spacing w:before="100" w:after="100"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C5E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ECB"/>
    <w:rPr>
      <w:rFonts w:ascii="Segoe UI" w:hAnsi="Segoe UI" w:cs="Segoe UI"/>
      <w:sz w:val="18"/>
      <w:szCs w:val="18"/>
    </w:rPr>
  </w:style>
  <w:style w:type="paragraph" w:styleId="IntenseQuote">
    <w:name w:val="Intense Quote"/>
    <w:basedOn w:val="Normal"/>
    <w:next w:val="Normal"/>
    <w:link w:val="IntenseQuoteChar"/>
    <w:uiPriority w:val="30"/>
    <w:qFormat/>
    <w:rsid w:val="00A85852"/>
    <w:pPr>
      <w:pBdr>
        <w:top w:val="single" w:sz="4" w:space="10" w:color="4F81BD" w:themeColor="accent1"/>
        <w:bottom w:val="single" w:sz="4" w:space="10" w:color="4F81BD" w:themeColor="accent1"/>
      </w:pBdr>
      <w:spacing w:before="360" w:after="360"/>
      <w:ind w:left="864" w:right="864"/>
      <w:jc w:val="center"/>
    </w:pPr>
    <w:rPr>
      <w:i/>
      <w:iCs/>
      <w:color w:val="0070C0"/>
    </w:rPr>
  </w:style>
  <w:style w:type="character" w:customStyle="1" w:styleId="IntenseQuoteChar">
    <w:name w:val="Intense Quote Char"/>
    <w:basedOn w:val="DefaultParagraphFont"/>
    <w:link w:val="IntenseQuote"/>
    <w:uiPriority w:val="30"/>
    <w:rsid w:val="00A85852"/>
    <w:rPr>
      <w:i/>
      <w:iCs/>
      <w:color w:val="0070C0"/>
    </w:rPr>
  </w:style>
  <w:style w:type="paragraph" w:styleId="ListParagraph">
    <w:name w:val="List Paragraph"/>
    <w:basedOn w:val="Normal"/>
    <w:uiPriority w:val="34"/>
    <w:qFormat/>
    <w:rsid w:val="00C472E0"/>
    <w:pPr>
      <w:ind w:left="720"/>
      <w:contextualSpacing/>
    </w:pPr>
  </w:style>
  <w:style w:type="paragraph" w:styleId="Header">
    <w:name w:val="header"/>
    <w:basedOn w:val="Normal"/>
    <w:link w:val="HeaderChar"/>
    <w:uiPriority w:val="99"/>
    <w:unhideWhenUsed/>
    <w:rsid w:val="006727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27E1"/>
  </w:style>
  <w:style w:type="paragraph" w:styleId="Footer">
    <w:name w:val="footer"/>
    <w:basedOn w:val="Normal"/>
    <w:link w:val="FooterChar"/>
    <w:uiPriority w:val="99"/>
    <w:unhideWhenUsed/>
    <w:rsid w:val="006727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7E1"/>
  </w:style>
  <w:style w:type="paragraph" w:styleId="CommentSubject">
    <w:name w:val="annotation subject"/>
    <w:basedOn w:val="CommentText"/>
    <w:next w:val="CommentText"/>
    <w:link w:val="CommentSubjectChar"/>
    <w:uiPriority w:val="99"/>
    <w:semiHidden/>
    <w:unhideWhenUsed/>
    <w:rsid w:val="001D08C2"/>
    <w:rPr>
      <w:b/>
      <w:bCs/>
    </w:rPr>
  </w:style>
  <w:style w:type="character" w:customStyle="1" w:styleId="CommentSubjectChar">
    <w:name w:val="Comment Subject Char"/>
    <w:basedOn w:val="CommentTextChar"/>
    <w:link w:val="CommentSubject"/>
    <w:uiPriority w:val="99"/>
    <w:semiHidden/>
    <w:rsid w:val="001D08C2"/>
    <w:rPr>
      <w:b/>
      <w:bCs/>
      <w:sz w:val="20"/>
      <w:szCs w:val="20"/>
    </w:rPr>
  </w:style>
  <w:style w:type="character" w:styleId="Hyperlink">
    <w:name w:val="Hyperlink"/>
    <w:basedOn w:val="DefaultParagraphFont"/>
    <w:uiPriority w:val="99"/>
    <w:unhideWhenUsed/>
    <w:rsid w:val="00A6282E"/>
    <w:rPr>
      <w:color w:val="0000FF" w:themeColor="hyperlink"/>
      <w:u w:val="single"/>
    </w:rPr>
  </w:style>
  <w:style w:type="paragraph" w:styleId="NoSpacing">
    <w:name w:val="No Spacing"/>
    <w:link w:val="NoSpacingChar"/>
    <w:uiPriority w:val="1"/>
    <w:qFormat/>
    <w:rsid w:val="00766FF5"/>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EastAsia" w:hAnsiTheme="minorHAnsi" w:cstheme="minorBidi"/>
      <w:color w:val="auto"/>
      <w:lang w:val="en-US" w:eastAsia="en-US"/>
    </w:rPr>
  </w:style>
  <w:style w:type="character" w:customStyle="1" w:styleId="NoSpacingChar">
    <w:name w:val="No Spacing Char"/>
    <w:basedOn w:val="DefaultParagraphFont"/>
    <w:link w:val="NoSpacing"/>
    <w:uiPriority w:val="1"/>
    <w:rsid w:val="00766FF5"/>
    <w:rPr>
      <w:rFonts w:asciiTheme="minorHAnsi" w:eastAsiaTheme="minorEastAsia" w:hAnsiTheme="minorHAnsi" w:cstheme="minorBidi"/>
      <w:color w:val="auto"/>
      <w:lang w:val="en-US" w:eastAsia="en-US"/>
    </w:rPr>
  </w:style>
  <w:style w:type="table" w:styleId="TableGrid">
    <w:name w:val="Table Grid"/>
    <w:basedOn w:val="TableNormal"/>
    <w:uiPriority w:val="39"/>
    <w:rsid w:val="00845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4588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84588C"/>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
    <w:name w:val="Unresolved Mention"/>
    <w:basedOn w:val="DefaultParagraphFont"/>
    <w:uiPriority w:val="99"/>
    <w:semiHidden/>
    <w:unhideWhenUsed/>
    <w:rsid w:val="005471E6"/>
    <w:rPr>
      <w:color w:val="808080"/>
      <w:shd w:val="clear" w:color="auto" w:fill="E6E6E6"/>
    </w:rPr>
  </w:style>
  <w:style w:type="paragraph" w:styleId="NormalWeb">
    <w:name w:val="Normal (Web)"/>
    <w:basedOn w:val="Normal"/>
    <w:uiPriority w:val="99"/>
    <w:semiHidden/>
    <w:unhideWhenUsed/>
    <w:rsid w:val="0049477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BodyText">
    <w:name w:val="Body Text"/>
    <w:link w:val="BodyTextChar"/>
    <w:qFormat/>
    <w:rsid w:val="00AC4543"/>
    <w:pPr>
      <w:pBdr>
        <w:top w:val="none" w:sz="0" w:space="0" w:color="auto"/>
        <w:left w:val="none" w:sz="0" w:space="0" w:color="auto"/>
        <w:bottom w:val="none" w:sz="0" w:space="0" w:color="auto"/>
        <w:right w:val="none" w:sz="0" w:space="0" w:color="auto"/>
        <w:between w:val="none" w:sz="0" w:space="0" w:color="auto"/>
      </w:pBdr>
      <w:spacing w:before="240" w:after="0" w:line="300" w:lineRule="atLeast"/>
      <w:jc w:val="both"/>
    </w:pPr>
    <w:rPr>
      <w:rFonts w:ascii="Times New Roman" w:eastAsia="Times New Roman" w:hAnsi="Times New Roman" w:cs="Times New Roman"/>
      <w:color w:val="auto"/>
      <w:sz w:val="24"/>
      <w:szCs w:val="20"/>
    </w:rPr>
  </w:style>
  <w:style w:type="character" w:customStyle="1" w:styleId="BodyTextChar">
    <w:name w:val="Body Text Char"/>
    <w:basedOn w:val="DefaultParagraphFont"/>
    <w:link w:val="BodyText"/>
    <w:rsid w:val="00AC4543"/>
    <w:rPr>
      <w:rFonts w:ascii="Times New Roman" w:eastAsia="Times New Roman" w:hAnsi="Times New Roman" w:cs="Times New Roman"/>
      <w:color w:val="auto"/>
      <w:sz w:val="24"/>
      <w:szCs w:val="20"/>
    </w:rPr>
  </w:style>
  <w:style w:type="paragraph" w:customStyle="1" w:styleId="Rec">
    <w:name w:val="Rec"/>
    <w:basedOn w:val="BodyText"/>
    <w:qFormat/>
    <w:rsid w:val="008F575A"/>
    <w:pPr>
      <w:keepLines/>
      <w:spacing w:before="120" w:line="280" w:lineRule="atLeast"/>
    </w:pPr>
    <w:rPr>
      <w:rFonts w:ascii="Arial" w:hAnsi="Arial"/>
      <w:sz w:val="22"/>
    </w:rPr>
  </w:style>
  <w:style w:type="paragraph" w:customStyle="1" w:styleId="RecBullet">
    <w:name w:val="Rec Bullet"/>
    <w:basedOn w:val="Rec"/>
    <w:rsid w:val="008F575A"/>
    <w:pPr>
      <w:numPr>
        <w:numId w:val="8"/>
      </w:numPr>
      <w:spacing w:before="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95358">
      <w:bodyDiv w:val="1"/>
      <w:marLeft w:val="0"/>
      <w:marRight w:val="0"/>
      <w:marTop w:val="0"/>
      <w:marBottom w:val="0"/>
      <w:divBdr>
        <w:top w:val="none" w:sz="0" w:space="0" w:color="auto"/>
        <w:left w:val="none" w:sz="0" w:space="0" w:color="auto"/>
        <w:bottom w:val="none" w:sz="0" w:space="0" w:color="auto"/>
        <w:right w:val="none" w:sz="0" w:space="0" w:color="auto"/>
      </w:divBdr>
    </w:div>
    <w:div w:id="175509461">
      <w:bodyDiv w:val="1"/>
      <w:marLeft w:val="0"/>
      <w:marRight w:val="0"/>
      <w:marTop w:val="0"/>
      <w:marBottom w:val="0"/>
      <w:divBdr>
        <w:top w:val="none" w:sz="0" w:space="0" w:color="auto"/>
        <w:left w:val="none" w:sz="0" w:space="0" w:color="auto"/>
        <w:bottom w:val="none" w:sz="0" w:space="0" w:color="auto"/>
        <w:right w:val="none" w:sz="0" w:space="0" w:color="auto"/>
      </w:divBdr>
    </w:div>
    <w:div w:id="199364076">
      <w:bodyDiv w:val="1"/>
      <w:marLeft w:val="0"/>
      <w:marRight w:val="0"/>
      <w:marTop w:val="0"/>
      <w:marBottom w:val="0"/>
      <w:divBdr>
        <w:top w:val="none" w:sz="0" w:space="0" w:color="auto"/>
        <w:left w:val="none" w:sz="0" w:space="0" w:color="auto"/>
        <w:bottom w:val="none" w:sz="0" w:space="0" w:color="auto"/>
        <w:right w:val="none" w:sz="0" w:space="0" w:color="auto"/>
      </w:divBdr>
    </w:div>
    <w:div w:id="424762141">
      <w:bodyDiv w:val="1"/>
      <w:marLeft w:val="0"/>
      <w:marRight w:val="0"/>
      <w:marTop w:val="0"/>
      <w:marBottom w:val="0"/>
      <w:divBdr>
        <w:top w:val="none" w:sz="0" w:space="0" w:color="auto"/>
        <w:left w:val="none" w:sz="0" w:space="0" w:color="auto"/>
        <w:bottom w:val="none" w:sz="0" w:space="0" w:color="auto"/>
        <w:right w:val="none" w:sz="0" w:space="0" w:color="auto"/>
      </w:divBdr>
    </w:div>
    <w:div w:id="490174337">
      <w:bodyDiv w:val="1"/>
      <w:marLeft w:val="0"/>
      <w:marRight w:val="0"/>
      <w:marTop w:val="0"/>
      <w:marBottom w:val="0"/>
      <w:divBdr>
        <w:top w:val="none" w:sz="0" w:space="0" w:color="auto"/>
        <w:left w:val="none" w:sz="0" w:space="0" w:color="auto"/>
        <w:bottom w:val="none" w:sz="0" w:space="0" w:color="auto"/>
        <w:right w:val="none" w:sz="0" w:space="0" w:color="auto"/>
      </w:divBdr>
    </w:div>
    <w:div w:id="527647727">
      <w:bodyDiv w:val="1"/>
      <w:marLeft w:val="0"/>
      <w:marRight w:val="0"/>
      <w:marTop w:val="0"/>
      <w:marBottom w:val="0"/>
      <w:divBdr>
        <w:top w:val="none" w:sz="0" w:space="0" w:color="auto"/>
        <w:left w:val="none" w:sz="0" w:space="0" w:color="auto"/>
        <w:bottom w:val="none" w:sz="0" w:space="0" w:color="auto"/>
        <w:right w:val="none" w:sz="0" w:space="0" w:color="auto"/>
      </w:divBdr>
    </w:div>
    <w:div w:id="760224247">
      <w:bodyDiv w:val="1"/>
      <w:marLeft w:val="0"/>
      <w:marRight w:val="0"/>
      <w:marTop w:val="0"/>
      <w:marBottom w:val="0"/>
      <w:divBdr>
        <w:top w:val="none" w:sz="0" w:space="0" w:color="auto"/>
        <w:left w:val="none" w:sz="0" w:space="0" w:color="auto"/>
        <w:bottom w:val="none" w:sz="0" w:space="0" w:color="auto"/>
        <w:right w:val="none" w:sz="0" w:space="0" w:color="auto"/>
      </w:divBdr>
    </w:div>
    <w:div w:id="1343120565">
      <w:bodyDiv w:val="1"/>
      <w:marLeft w:val="0"/>
      <w:marRight w:val="0"/>
      <w:marTop w:val="0"/>
      <w:marBottom w:val="0"/>
      <w:divBdr>
        <w:top w:val="none" w:sz="0" w:space="0" w:color="auto"/>
        <w:left w:val="none" w:sz="0" w:space="0" w:color="auto"/>
        <w:bottom w:val="none" w:sz="0" w:space="0" w:color="auto"/>
        <w:right w:val="none" w:sz="0" w:space="0" w:color="auto"/>
      </w:divBdr>
    </w:div>
    <w:div w:id="1456288482">
      <w:bodyDiv w:val="1"/>
      <w:marLeft w:val="0"/>
      <w:marRight w:val="0"/>
      <w:marTop w:val="0"/>
      <w:marBottom w:val="0"/>
      <w:divBdr>
        <w:top w:val="none" w:sz="0" w:space="0" w:color="auto"/>
        <w:left w:val="none" w:sz="0" w:space="0" w:color="auto"/>
        <w:bottom w:val="none" w:sz="0" w:space="0" w:color="auto"/>
        <w:right w:val="none" w:sz="0" w:space="0" w:color="auto"/>
      </w:divBdr>
    </w:div>
    <w:div w:id="1762600311">
      <w:bodyDiv w:val="1"/>
      <w:marLeft w:val="0"/>
      <w:marRight w:val="0"/>
      <w:marTop w:val="0"/>
      <w:marBottom w:val="0"/>
      <w:divBdr>
        <w:top w:val="none" w:sz="0" w:space="0" w:color="auto"/>
        <w:left w:val="none" w:sz="0" w:space="0" w:color="auto"/>
        <w:bottom w:val="none" w:sz="0" w:space="0" w:color="auto"/>
        <w:right w:val="none" w:sz="0" w:space="0" w:color="auto"/>
      </w:divBdr>
    </w:div>
    <w:div w:id="1811168716">
      <w:bodyDiv w:val="1"/>
      <w:marLeft w:val="0"/>
      <w:marRight w:val="0"/>
      <w:marTop w:val="0"/>
      <w:marBottom w:val="0"/>
      <w:divBdr>
        <w:top w:val="none" w:sz="0" w:space="0" w:color="auto"/>
        <w:left w:val="none" w:sz="0" w:space="0" w:color="auto"/>
        <w:bottom w:val="none" w:sz="0" w:space="0" w:color="auto"/>
        <w:right w:val="none" w:sz="0" w:space="0" w:color="auto"/>
      </w:divBdr>
    </w:div>
    <w:div w:id="1893342206">
      <w:bodyDiv w:val="1"/>
      <w:marLeft w:val="0"/>
      <w:marRight w:val="0"/>
      <w:marTop w:val="0"/>
      <w:marBottom w:val="0"/>
      <w:divBdr>
        <w:top w:val="none" w:sz="0" w:space="0" w:color="auto"/>
        <w:left w:val="none" w:sz="0" w:space="0" w:color="auto"/>
        <w:bottom w:val="none" w:sz="0" w:space="0" w:color="auto"/>
        <w:right w:val="none" w:sz="0" w:space="0" w:color="auto"/>
      </w:divBdr>
    </w:div>
    <w:div w:id="2026904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4.xml"/></Relationships>
</file>

<file path=word/_rels/foot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20892-CCB9-47F2-9A09-B3327BD90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TotalTime>
  <Pages>6</Pages>
  <Words>2356</Words>
  <Characters>13431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xxx</vt:lpstr>
    </vt:vector>
  </TitlesOfParts>
  <Company>Roll-it Super</Company>
  <LinksUpToDate>false</LinksUpToDate>
  <CharactersWithSpaces>15756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DR113 - Roll-it Super - Superannuation: Assessing Efficiency and Competitiveness - Public inquiry</dc:title>
  <dc:subject/>
  <dc:creator>Roll-it Super</dc:creator>
  <cp:keywords/>
  <dc:description/>
  <cp:lastModifiedBy>Productivity Commission</cp:lastModifiedBy>
  <cp:revision>320</cp:revision>
  <cp:lastPrinted>2018-05-02T03:04:00Z</cp:lastPrinted>
  <dcterms:created xsi:type="dcterms:W3CDTF">2018-06-14T00:34:00Z</dcterms:created>
  <dcterms:modified xsi:type="dcterms:W3CDTF">2018-06-18T23:10:00Z</dcterms:modified>
</cp:coreProperties>
</file>