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D046F" w14:textId="77777777" w:rsidR="00812A37" w:rsidRPr="00B018D0" w:rsidRDefault="00812A37" w:rsidP="00812A37">
      <w:pPr>
        <w:pStyle w:val="BodyText"/>
        <w:rPr>
          <w:rFonts w:asciiTheme="minorHAnsi" w:hAnsiTheme="minorHAnsi" w:cstheme="minorHAnsi"/>
          <w:lang w:val="en-US"/>
        </w:rPr>
      </w:pPr>
    </w:p>
    <w:p w14:paraId="75CFEED0" w14:textId="77777777" w:rsidR="00812A37" w:rsidRPr="00B018D0" w:rsidRDefault="00812A37" w:rsidP="00812A37">
      <w:pPr>
        <w:rPr>
          <w:rFonts w:asciiTheme="minorHAnsi" w:hAnsiTheme="minorHAnsi" w:cstheme="minorHAnsi"/>
          <w:lang w:val="en-US"/>
        </w:rPr>
      </w:pPr>
    </w:p>
    <w:p w14:paraId="45098F42" w14:textId="77777777" w:rsidR="00812A37" w:rsidRPr="00B018D0" w:rsidRDefault="00812A37" w:rsidP="00812A37">
      <w:pPr>
        <w:rPr>
          <w:rFonts w:asciiTheme="minorHAnsi" w:hAnsiTheme="minorHAnsi" w:cstheme="minorHAnsi"/>
          <w:lang w:val="en-US"/>
        </w:rPr>
      </w:pPr>
    </w:p>
    <w:p w14:paraId="1AC9ADD2" w14:textId="77777777" w:rsidR="00812A37" w:rsidRPr="00B018D0" w:rsidRDefault="00812A37" w:rsidP="00812A37">
      <w:pPr>
        <w:rPr>
          <w:rFonts w:asciiTheme="minorHAnsi" w:hAnsiTheme="minorHAnsi" w:cstheme="minorHAnsi"/>
          <w:lang w:val="en-US"/>
        </w:rPr>
      </w:pPr>
    </w:p>
    <w:p w14:paraId="461E18C5" w14:textId="77777777" w:rsidR="00812A37" w:rsidRPr="00B018D0" w:rsidRDefault="00812A37" w:rsidP="00812A37">
      <w:pPr>
        <w:rPr>
          <w:rFonts w:asciiTheme="minorHAnsi" w:hAnsiTheme="minorHAnsi" w:cstheme="minorHAnsi"/>
          <w:lang w:val="en-US"/>
        </w:rPr>
      </w:pPr>
    </w:p>
    <w:p w14:paraId="0BA92259" w14:textId="77777777" w:rsidR="00812A37" w:rsidRPr="00B018D0" w:rsidRDefault="00812A37" w:rsidP="00812A37">
      <w:pPr>
        <w:rPr>
          <w:rFonts w:asciiTheme="minorHAnsi" w:hAnsiTheme="minorHAnsi" w:cstheme="minorHAnsi"/>
          <w:lang w:val="en-US"/>
        </w:rPr>
      </w:pPr>
    </w:p>
    <w:p w14:paraId="72976F92" w14:textId="77777777" w:rsidR="00812A37" w:rsidRPr="00B018D0" w:rsidRDefault="00812A37" w:rsidP="00812A37">
      <w:pPr>
        <w:rPr>
          <w:rFonts w:asciiTheme="minorHAnsi" w:hAnsiTheme="minorHAnsi" w:cstheme="minorHAnsi"/>
          <w:lang w:val="en-US"/>
        </w:rPr>
      </w:pPr>
    </w:p>
    <w:p w14:paraId="36A01991" w14:textId="77777777" w:rsidR="00812A37" w:rsidRPr="00B018D0" w:rsidRDefault="00812A37" w:rsidP="00812A37">
      <w:pPr>
        <w:rPr>
          <w:rFonts w:asciiTheme="minorHAnsi" w:hAnsiTheme="minorHAnsi" w:cstheme="minorHAnsi"/>
          <w:lang w:val="en-US"/>
        </w:rPr>
      </w:pPr>
    </w:p>
    <w:p w14:paraId="3701AE50" w14:textId="77777777" w:rsidR="00812A37" w:rsidRPr="00B018D0" w:rsidRDefault="00812A37" w:rsidP="00812A37">
      <w:pPr>
        <w:rPr>
          <w:rFonts w:asciiTheme="minorHAnsi" w:hAnsiTheme="minorHAnsi" w:cstheme="minorHAnsi"/>
          <w:lang w:val="en-US"/>
        </w:rPr>
      </w:pPr>
    </w:p>
    <w:p w14:paraId="5688F659" w14:textId="77777777" w:rsidR="00812A37" w:rsidRPr="00B018D0" w:rsidRDefault="00812A37" w:rsidP="00812A37">
      <w:pPr>
        <w:rPr>
          <w:rFonts w:asciiTheme="minorHAnsi" w:hAnsiTheme="minorHAnsi" w:cstheme="minorHAnsi"/>
          <w:lang w:val="en-US"/>
        </w:rPr>
      </w:pPr>
    </w:p>
    <w:p w14:paraId="5F5F9284" w14:textId="77777777" w:rsidR="00812A37" w:rsidRPr="00B018D0" w:rsidRDefault="00812A37" w:rsidP="00812A37">
      <w:pPr>
        <w:rPr>
          <w:rFonts w:asciiTheme="minorHAnsi" w:hAnsiTheme="minorHAnsi" w:cstheme="minorHAnsi"/>
          <w:lang w:val="en-US"/>
        </w:rPr>
      </w:pPr>
    </w:p>
    <w:p w14:paraId="7084B827" w14:textId="77777777" w:rsidR="00812A37" w:rsidRPr="00B018D0" w:rsidRDefault="00812A37" w:rsidP="00812A37">
      <w:pPr>
        <w:rPr>
          <w:rFonts w:asciiTheme="minorHAnsi" w:hAnsiTheme="minorHAnsi" w:cstheme="minorHAnsi"/>
          <w:lang w:val="en-US"/>
        </w:rPr>
      </w:pPr>
    </w:p>
    <w:p w14:paraId="2E99A715" w14:textId="77777777" w:rsidR="00812A37" w:rsidRPr="00B018D0" w:rsidRDefault="00812A37" w:rsidP="00812A37">
      <w:pPr>
        <w:rPr>
          <w:rFonts w:asciiTheme="minorHAnsi" w:hAnsiTheme="minorHAnsi" w:cstheme="minorHAnsi"/>
          <w:lang w:val="en-US"/>
        </w:rPr>
      </w:pPr>
    </w:p>
    <w:p w14:paraId="57AB8E4B" w14:textId="77777777" w:rsidR="00812A37" w:rsidRPr="00B018D0" w:rsidRDefault="00812A37" w:rsidP="00812A37">
      <w:pPr>
        <w:rPr>
          <w:rFonts w:asciiTheme="minorHAnsi" w:hAnsiTheme="minorHAnsi" w:cstheme="minorHAnsi"/>
          <w:lang w:val="en-US"/>
        </w:rPr>
      </w:pPr>
    </w:p>
    <w:p w14:paraId="6B7EBFE4" w14:textId="77777777" w:rsidR="00812A37" w:rsidRPr="00B018D0" w:rsidRDefault="00812A37" w:rsidP="00812A37">
      <w:pPr>
        <w:rPr>
          <w:rFonts w:asciiTheme="minorHAnsi" w:hAnsiTheme="minorHAnsi" w:cstheme="minorHAnsi"/>
          <w:lang w:val="en-US"/>
        </w:rPr>
      </w:pPr>
    </w:p>
    <w:p w14:paraId="78947633" w14:textId="77777777" w:rsidR="00812A37" w:rsidRPr="00B018D0" w:rsidRDefault="00812A37" w:rsidP="00812A37">
      <w:pPr>
        <w:rPr>
          <w:rFonts w:asciiTheme="minorHAnsi" w:hAnsiTheme="minorHAnsi" w:cstheme="minorHAnsi"/>
          <w:lang w:val="en-US"/>
        </w:rPr>
      </w:pPr>
    </w:p>
    <w:p w14:paraId="728783C7" w14:textId="77777777" w:rsidR="00812A37" w:rsidRPr="00B018D0" w:rsidRDefault="00812A37" w:rsidP="00812A37">
      <w:pPr>
        <w:rPr>
          <w:rFonts w:asciiTheme="minorHAnsi" w:hAnsiTheme="minorHAnsi" w:cstheme="minorHAnsi"/>
          <w:lang w:val="en-US"/>
        </w:rPr>
      </w:pPr>
    </w:p>
    <w:p w14:paraId="53D74FDE" w14:textId="77777777" w:rsidR="00812A37" w:rsidRPr="00B018D0" w:rsidRDefault="00812A37" w:rsidP="00812A37">
      <w:pPr>
        <w:rPr>
          <w:rFonts w:asciiTheme="minorHAnsi" w:hAnsiTheme="minorHAnsi" w:cstheme="minorHAnsi"/>
          <w:lang w:val="en-US"/>
        </w:rPr>
      </w:pPr>
    </w:p>
    <w:p w14:paraId="061FEB1E" w14:textId="77777777" w:rsidR="00812A37" w:rsidRPr="00B018D0" w:rsidRDefault="00812A37" w:rsidP="00812A37">
      <w:pPr>
        <w:rPr>
          <w:rFonts w:asciiTheme="minorHAnsi" w:hAnsiTheme="minorHAnsi" w:cstheme="minorHAnsi"/>
          <w:lang w:val="en-US"/>
        </w:rPr>
      </w:pPr>
    </w:p>
    <w:p w14:paraId="118B8DDB" w14:textId="77777777" w:rsidR="00812A37" w:rsidRPr="00B018D0" w:rsidRDefault="00812A37" w:rsidP="00812A37">
      <w:pPr>
        <w:rPr>
          <w:rFonts w:asciiTheme="minorHAnsi" w:hAnsiTheme="minorHAnsi" w:cstheme="minorHAnsi"/>
          <w:lang w:val="en-US"/>
        </w:rPr>
      </w:pPr>
    </w:p>
    <w:p w14:paraId="31CDC7A0" w14:textId="77777777" w:rsidR="00812A37" w:rsidRPr="00B018D0" w:rsidRDefault="00812A37" w:rsidP="00812A37">
      <w:pPr>
        <w:rPr>
          <w:rFonts w:asciiTheme="minorHAnsi" w:hAnsiTheme="minorHAnsi" w:cstheme="minorHAnsi"/>
          <w:lang w:val="en-US"/>
        </w:rPr>
      </w:pPr>
    </w:p>
    <w:p w14:paraId="3E702063" w14:textId="77777777" w:rsidR="00812A37" w:rsidRPr="00B018D0" w:rsidRDefault="00812A37" w:rsidP="00812A37">
      <w:pPr>
        <w:rPr>
          <w:rFonts w:asciiTheme="minorHAnsi" w:hAnsiTheme="minorHAnsi" w:cstheme="minorHAnsi"/>
          <w:lang w:val="en-US"/>
        </w:rPr>
      </w:pPr>
    </w:p>
    <w:p w14:paraId="6E9758F1" w14:textId="77777777" w:rsidR="00812A37" w:rsidRPr="00B018D0" w:rsidRDefault="00812A37" w:rsidP="00812A37">
      <w:pPr>
        <w:rPr>
          <w:rFonts w:asciiTheme="minorHAnsi" w:hAnsiTheme="minorHAnsi" w:cstheme="minorHAnsi"/>
          <w:lang w:val="en-US"/>
        </w:rPr>
      </w:pPr>
    </w:p>
    <w:p w14:paraId="3F3C13BB" w14:textId="77777777" w:rsidR="00812A37" w:rsidRPr="00B018D0" w:rsidRDefault="00812A37" w:rsidP="00812A37">
      <w:pPr>
        <w:rPr>
          <w:rFonts w:asciiTheme="minorHAnsi" w:hAnsiTheme="minorHAnsi" w:cstheme="minorHAnsi"/>
          <w:lang w:val="en-US"/>
        </w:rPr>
      </w:pPr>
    </w:p>
    <w:p w14:paraId="7ECDC246" w14:textId="77777777" w:rsidR="00812A37" w:rsidRPr="00B018D0" w:rsidRDefault="00812A37" w:rsidP="00812A37">
      <w:pPr>
        <w:rPr>
          <w:rFonts w:asciiTheme="minorHAnsi" w:hAnsiTheme="minorHAnsi" w:cstheme="minorHAnsi"/>
          <w:lang w:val="en-US"/>
        </w:rPr>
      </w:pPr>
    </w:p>
    <w:p w14:paraId="36A2F35D" w14:textId="7286A7AF" w:rsidR="00812A37" w:rsidRPr="00B018D0" w:rsidRDefault="00E22DC1" w:rsidP="00E22DC1">
      <w:pPr>
        <w:pStyle w:val="Title"/>
        <w:rPr>
          <w:rStyle w:val="PlaceholderText"/>
          <w:rFonts w:asciiTheme="minorHAnsi" w:hAnsiTheme="minorHAnsi" w:cstheme="minorHAnsi"/>
          <w:color w:val="0F2D52" w:themeColor="text2"/>
        </w:rPr>
      </w:pPr>
      <w:r w:rsidRPr="00B018D0">
        <w:rPr>
          <w:rFonts w:asciiTheme="minorHAnsi" w:hAnsiTheme="minorHAnsi" w:cstheme="minorHAnsi"/>
        </w:rPr>
        <w:t>Lifting productivity at Australia’s container ports: between water, wharf and warehouse</w:t>
      </w:r>
    </w:p>
    <w:p w14:paraId="245EFB0C" w14:textId="3965D225" w:rsidR="00812A37" w:rsidRPr="00B018D0" w:rsidRDefault="00E22DC1" w:rsidP="00282B39">
      <w:pPr>
        <w:pStyle w:val="Subject"/>
        <w:rPr>
          <w:rFonts w:asciiTheme="minorHAnsi" w:hAnsiTheme="minorHAnsi" w:cstheme="minorHAnsi"/>
        </w:rPr>
      </w:pPr>
      <w:r w:rsidRPr="00B018D0">
        <w:rPr>
          <w:rFonts w:asciiTheme="minorHAnsi" w:hAnsiTheme="minorHAnsi" w:cstheme="minorHAnsi"/>
          <w:lang w:val="en-AU"/>
        </w:rPr>
        <w:t>Draft Report</w:t>
      </w:r>
    </w:p>
    <w:p w14:paraId="6AD1C10A" w14:textId="17A3449D" w:rsidR="00812A37" w:rsidRPr="00B018D0" w:rsidRDefault="007658FA" w:rsidP="00282B39">
      <w:pPr>
        <w:pStyle w:val="PublishDate"/>
        <w:spacing w:before="240"/>
        <w:rPr>
          <w:rFonts w:asciiTheme="minorHAnsi" w:hAnsiTheme="minorHAnsi" w:cstheme="minorHAnsi"/>
        </w:rPr>
        <w:sectPr w:rsidR="00812A37" w:rsidRPr="00B018D0" w:rsidSect="001B2338">
          <w:headerReference w:type="default" r:id="rId13"/>
          <w:headerReference w:type="first" r:id="rId14"/>
          <w:pgSz w:w="11906" w:h="16838" w:code="9"/>
          <w:pgMar w:top="1134" w:right="1021" w:bottom="1247" w:left="1021" w:header="284" w:footer="284" w:gutter="0"/>
          <w:cols w:space="567"/>
          <w:docGrid w:linePitch="360"/>
        </w:sectPr>
      </w:pPr>
      <w:r w:rsidRPr="00B018D0">
        <w:rPr>
          <w:rFonts w:asciiTheme="minorHAnsi" w:hAnsiTheme="minorHAnsi" w:cstheme="minorHAnsi"/>
          <w:lang w:val="en-AU"/>
        </w:rPr>
        <w:t>19 October 2022</w:t>
      </w:r>
    </w:p>
    <w:p w14:paraId="0BE799FE" w14:textId="77777777" w:rsidR="00E508BA" w:rsidRPr="00B018D0" w:rsidRDefault="00E508BA" w:rsidP="001F71EA">
      <w:pPr>
        <w:pStyle w:val="BodyText"/>
        <w:rPr>
          <w:rFonts w:asciiTheme="minorHAnsi" w:hAnsiTheme="minorHAnsi" w:cstheme="minorHAnsi"/>
        </w:rPr>
      </w:pPr>
    </w:p>
    <w:p w14:paraId="4F0B5467" w14:textId="71CE2549" w:rsidR="00E508BA" w:rsidRPr="00B018D0" w:rsidRDefault="00B53E34" w:rsidP="00B53E34">
      <w:pPr>
        <w:pStyle w:val="BodyText"/>
        <w:tabs>
          <w:tab w:val="left" w:pos="6255"/>
        </w:tabs>
        <w:rPr>
          <w:rFonts w:asciiTheme="minorHAnsi" w:hAnsiTheme="minorHAnsi" w:cstheme="minorHAnsi"/>
        </w:rPr>
      </w:pPr>
      <w:r w:rsidRPr="00B018D0">
        <w:rPr>
          <w:rFonts w:asciiTheme="minorHAnsi" w:hAnsiTheme="minorHAnsi" w:cstheme="minorHAnsi"/>
        </w:rPr>
        <w:tab/>
      </w:r>
    </w:p>
    <w:p w14:paraId="00B1D6ED" w14:textId="77777777" w:rsidR="00E508BA" w:rsidRPr="00B018D0" w:rsidRDefault="00E508BA">
      <w:pPr>
        <w:spacing w:after="200" w:line="276" w:lineRule="auto"/>
        <w:rPr>
          <w:rFonts w:asciiTheme="minorHAnsi" w:eastAsia="Cambria" w:hAnsiTheme="minorHAnsi" w:cstheme="minorHAnsi"/>
          <w:b/>
          <w:bCs/>
          <w:color w:val="0F2D52" w:themeColor="text2"/>
          <w:sz w:val="42"/>
          <w:szCs w:val="42"/>
          <w:lang w:val="en-US"/>
        </w:rPr>
      </w:pPr>
      <w:r w:rsidRPr="00B018D0">
        <w:rPr>
          <w:rFonts w:asciiTheme="minorHAnsi" w:hAnsiTheme="minorHAnsi" w:cstheme="minorHAnsi"/>
          <w:sz w:val="42"/>
          <w:szCs w:val="42"/>
        </w:rPr>
        <w:br w:type="page"/>
      </w:r>
    </w:p>
    <w:p w14:paraId="418EFDF7" w14:textId="77777777" w:rsidR="00350D83" w:rsidRPr="00B018D0" w:rsidRDefault="00350D83" w:rsidP="00E508BA">
      <w:pPr>
        <w:pStyle w:val="Heading1"/>
        <w:spacing w:before="360" w:after="240"/>
        <w:rPr>
          <w:rFonts w:asciiTheme="minorHAnsi" w:hAnsiTheme="minorHAnsi" w:cstheme="minorHAnsi"/>
          <w:sz w:val="42"/>
          <w:szCs w:val="42"/>
        </w:rPr>
        <w:sectPr w:rsidR="00350D83" w:rsidRPr="00B018D0" w:rsidSect="00350D83">
          <w:headerReference w:type="default" r:id="rId15"/>
          <w:footerReference w:type="default" r:id="rId16"/>
          <w:type w:val="continuous"/>
          <w:pgSz w:w="11906" w:h="16838" w:code="9"/>
          <w:pgMar w:top="1588" w:right="1021" w:bottom="1021" w:left="1021" w:header="284" w:footer="510" w:gutter="0"/>
          <w:cols w:space="567"/>
          <w:docGrid w:linePitch="360"/>
        </w:sectPr>
      </w:pPr>
      <w:r w:rsidRPr="00B018D0">
        <w:rPr>
          <w:rFonts w:asciiTheme="minorHAnsi" w:hAnsiTheme="minorHAnsi" w:cstheme="minorHAnsi"/>
          <w:color w:val="0F2D52"/>
          <w:sz w:val="42"/>
          <w:szCs w:val="42"/>
        </w:rPr>
        <w:lastRenderedPageBreak/>
        <w:t>Introduction</w:t>
      </w:r>
    </w:p>
    <w:p w14:paraId="7281143A" w14:textId="630F4AE5" w:rsidR="003C5562" w:rsidRPr="00B018D0" w:rsidRDefault="00BE0E3E" w:rsidP="00B40A79">
      <w:pPr>
        <w:pStyle w:val="BodyText"/>
        <w:spacing w:after="160" w:line="259" w:lineRule="auto"/>
        <w:rPr>
          <w:rFonts w:asciiTheme="minorHAnsi" w:hAnsiTheme="minorHAnsi" w:cstheme="minorHAnsi"/>
        </w:rPr>
      </w:pPr>
      <w:r w:rsidRPr="00B018D0">
        <w:rPr>
          <w:rFonts w:asciiTheme="minorHAnsi" w:hAnsiTheme="minorHAnsi" w:cstheme="minorHAnsi"/>
        </w:rPr>
        <w:t>The</w:t>
      </w:r>
      <w:r w:rsidR="00EE053D" w:rsidRPr="00B018D0">
        <w:rPr>
          <w:rFonts w:asciiTheme="minorHAnsi" w:hAnsiTheme="minorHAnsi" w:cstheme="minorHAnsi"/>
        </w:rPr>
        <w:t xml:space="preserve"> </w:t>
      </w:r>
      <w:r w:rsidR="00BA46B5">
        <w:rPr>
          <w:rFonts w:asciiTheme="minorHAnsi" w:hAnsiTheme="minorHAnsi" w:cstheme="minorHAnsi"/>
        </w:rPr>
        <w:t>National Heavy Vehicle Regulator (</w:t>
      </w:r>
      <w:r w:rsidR="00EE053D" w:rsidRPr="00B018D0">
        <w:rPr>
          <w:rFonts w:asciiTheme="minorHAnsi" w:hAnsiTheme="minorHAnsi" w:cstheme="minorHAnsi"/>
        </w:rPr>
        <w:t>NHVR</w:t>
      </w:r>
      <w:r w:rsidR="00BA46B5">
        <w:rPr>
          <w:rFonts w:asciiTheme="minorHAnsi" w:hAnsiTheme="minorHAnsi" w:cstheme="minorHAnsi"/>
        </w:rPr>
        <w:t>)</w:t>
      </w:r>
      <w:r w:rsidRPr="00B018D0">
        <w:rPr>
          <w:rFonts w:asciiTheme="minorHAnsi" w:hAnsiTheme="minorHAnsi" w:cstheme="minorHAnsi"/>
        </w:rPr>
        <w:t xml:space="preserve"> supports </w:t>
      </w:r>
      <w:r w:rsidR="00D060CD" w:rsidRPr="00B018D0">
        <w:rPr>
          <w:rFonts w:asciiTheme="minorHAnsi" w:hAnsiTheme="minorHAnsi" w:cstheme="minorHAnsi"/>
        </w:rPr>
        <w:t xml:space="preserve">the </w:t>
      </w:r>
      <w:r w:rsidR="00E22DC1" w:rsidRPr="00B018D0">
        <w:rPr>
          <w:rFonts w:asciiTheme="minorHAnsi" w:hAnsiTheme="minorHAnsi" w:cstheme="minorHAnsi"/>
        </w:rPr>
        <w:t xml:space="preserve">inquiry into </w:t>
      </w:r>
      <w:r w:rsidR="00E22DC1" w:rsidRPr="00B018D0">
        <w:rPr>
          <w:rFonts w:asciiTheme="minorHAnsi" w:hAnsiTheme="minorHAnsi" w:cstheme="minorHAnsi"/>
          <w:i/>
          <w:iCs/>
        </w:rPr>
        <w:t>Lifting productivity at Australia’s container ports: between water, wharf and warehouse</w:t>
      </w:r>
      <w:r w:rsidR="00E22DC1" w:rsidRPr="00B018D0">
        <w:rPr>
          <w:rFonts w:asciiTheme="minorHAnsi" w:hAnsiTheme="minorHAnsi" w:cstheme="minorHAnsi"/>
        </w:rPr>
        <w:t xml:space="preserve">. </w:t>
      </w:r>
      <w:r w:rsidR="001A6EB7" w:rsidRPr="00B018D0">
        <w:rPr>
          <w:rFonts w:asciiTheme="minorHAnsi" w:hAnsiTheme="minorHAnsi" w:cstheme="minorHAnsi"/>
        </w:rPr>
        <w:t xml:space="preserve">The inquiry is timely, as it will assist to frame the public and private sector response to the challenges experienced by </w:t>
      </w:r>
      <w:r w:rsidR="000F2023">
        <w:rPr>
          <w:rFonts w:asciiTheme="minorHAnsi" w:hAnsiTheme="minorHAnsi" w:cstheme="minorHAnsi"/>
        </w:rPr>
        <w:t>p</w:t>
      </w:r>
      <w:r w:rsidR="001A6EB7" w:rsidRPr="00B018D0">
        <w:rPr>
          <w:rFonts w:asciiTheme="minorHAnsi" w:hAnsiTheme="minorHAnsi" w:cstheme="minorHAnsi"/>
        </w:rPr>
        <w:t xml:space="preserve">orts, and Australia more broadly, in relation to supply chain productivity, resilience and international competitiveness. </w:t>
      </w:r>
    </w:p>
    <w:p w14:paraId="3AF36AF8" w14:textId="674D28E0" w:rsidR="003C5562" w:rsidRPr="00B018D0" w:rsidRDefault="003C5562" w:rsidP="00B40A79">
      <w:pPr>
        <w:pStyle w:val="BodyText"/>
        <w:spacing w:after="240" w:line="259" w:lineRule="auto"/>
        <w:rPr>
          <w:rFonts w:asciiTheme="minorHAnsi" w:hAnsiTheme="minorHAnsi" w:cstheme="minorHAnsi"/>
        </w:rPr>
      </w:pPr>
      <w:r w:rsidRPr="00B018D0">
        <w:rPr>
          <w:rFonts w:asciiTheme="minorHAnsi" w:hAnsiTheme="minorHAnsi" w:cstheme="minorHAnsi"/>
        </w:rPr>
        <w:t xml:space="preserve">The NHVR recognises that much of the </w:t>
      </w:r>
      <w:r w:rsidRPr="00B018D0">
        <w:rPr>
          <w:rFonts w:asciiTheme="minorHAnsi" w:hAnsiTheme="minorHAnsi" w:cstheme="minorHAnsi"/>
          <w:color w:val="auto"/>
        </w:rPr>
        <w:t>scope of the inquiry extends beyond the NHVR’s remit (</w:t>
      </w:r>
      <w:r w:rsidR="00AA129E" w:rsidRPr="00B018D0">
        <w:rPr>
          <w:rFonts w:asciiTheme="minorHAnsi" w:hAnsiTheme="minorHAnsi" w:cstheme="minorHAnsi"/>
          <w:color w:val="auto"/>
        </w:rPr>
        <w:t>e.g.</w:t>
      </w:r>
      <w:r w:rsidRPr="00B018D0">
        <w:rPr>
          <w:rFonts w:asciiTheme="minorHAnsi" w:hAnsiTheme="minorHAnsi" w:cstheme="minorHAnsi"/>
          <w:color w:val="auto"/>
        </w:rPr>
        <w:t xml:space="preserve"> maritime logistics, labour, private commercial and logistics practices). Our submission will therefore respond only to heavy vehicle road freight productivity, </w:t>
      </w:r>
      <w:r w:rsidRPr="00B018D0">
        <w:rPr>
          <w:rFonts w:asciiTheme="minorHAnsi" w:hAnsiTheme="minorHAnsi" w:cstheme="minorHAnsi"/>
        </w:rPr>
        <w:t>safe load restraint in containers</w:t>
      </w:r>
      <w:r w:rsidR="00B030CA">
        <w:rPr>
          <w:rFonts w:asciiTheme="minorHAnsi" w:hAnsiTheme="minorHAnsi" w:cstheme="minorHAnsi"/>
        </w:rPr>
        <w:t>,</w:t>
      </w:r>
      <w:r w:rsidRPr="00B018D0">
        <w:rPr>
          <w:rFonts w:asciiTheme="minorHAnsi" w:hAnsiTheme="minorHAnsi" w:cstheme="minorHAnsi"/>
        </w:rPr>
        <w:t xml:space="preserve"> and opportunities for transporters to inspect loads and ascertain mass.</w:t>
      </w:r>
    </w:p>
    <w:p w14:paraId="75BEDA2C" w14:textId="72AEF92E" w:rsidR="00D61A6E" w:rsidRPr="00B018D0" w:rsidRDefault="00D61A6E" w:rsidP="00B40A79">
      <w:pPr>
        <w:pStyle w:val="BodyText"/>
        <w:spacing w:line="259" w:lineRule="auto"/>
        <w:rPr>
          <w:rFonts w:asciiTheme="minorHAnsi" w:hAnsiTheme="minorHAnsi" w:cstheme="minorHAnsi"/>
          <w:b/>
          <w:bCs/>
          <w:color w:val="0F2D52"/>
          <w:sz w:val="24"/>
          <w:szCs w:val="28"/>
        </w:rPr>
      </w:pPr>
      <w:r w:rsidRPr="00B018D0">
        <w:rPr>
          <w:rFonts w:asciiTheme="minorHAnsi" w:hAnsiTheme="minorHAnsi" w:cstheme="minorHAnsi"/>
          <w:b/>
          <w:bCs/>
          <w:color w:val="0F2D52"/>
          <w:sz w:val="24"/>
          <w:szCs w:val="28"/>
        </w:rPr>
        <w:t>Choice of Mode</w:t>
      </w:r>
    </w:p>
    <w:p w14:paraId="45198F3D" w14:textId="51250AF9" w:rsidR="000B2EF1" w:rsidRPr="00B018D0" w:rsidRDefault="00D22AD7" w:rsidP="00B40A79">
      <w:pPr>
        <w:pStyle w:val="BodyText"/>
        <w:spacing w:after="240" w:line="259" w:lineRule="auto"/>
        <w:rPr>
          <w:rFonts w:asciiTheme="minorHAnsi" w:hAnsiTheme="minorHAnsi" w:cstheme="minorHAnsi"/>
        </w:rPr>
      </w:pPr>
      <w:r w:rsidRPr="00B018D0">
        <w:rPr>
          <w:rFonts w:asciiTheme="minorHAnsi" w:hAnsiTheme="minorHAnsi" w:cstheme="minorHAnsi"/>
        </w:rPr>
        <w:t>The draft Report mentions that “</w:t>
      </w:r>
      <w:r w:rsidRPr="00B018D0">
        <w:rPr>
          <w:rFonts w:asciiTheme="minorHAnsi" w:hAnsiTheme="minorHAnsi" w:cstheme="minorHAnsi"/>
          <w:i/>
          <w:iCs/>
        </w:rPr>
        <w:t>Rail’s share in container movements at Australia’s ports is low (ranging from below 2 per cent at the Port of Brisbane to about 18 per cent at the Port of Fremantle)</w:t>
      </w:r>
      <w:r w:rsidRPr="00B018D0">
        <w:rPr>
          <w:rFonts w:asciiTheme="minorHAnsi" w:hAnsiTheme="minorHAnsi" w:cstheme="minorHAnsi"/>
        </w:rPr>
        <w:t xml:space="preserve">.” </w:t>
      </w:r>
      <w:r w:rsidR="008F338A">
        <w:rPr>
          <w:rFonts w:asciiTheme="minorHAnsi" w:hAnsiTheme="minorHAnsi" w:cstheme="minorHAnsi"/>
        </w:rPr>
        <w:t>T</w:t>
      </w:r>
      <w:r w:rsidR="001A6EB7" w:rsidRPr="00B018D0">
        <w:rPr>
          <w:rFonts w:asciiTheme="minorHAnsi" w:hAnsiTheme="minorHAnsi" w:cstheme="minorHAnsi"/>
        </w:rPr>
        <w:t>he</w:t>
      </w:r>
      <w:r w:rsidR="000B2EF1" w:rsidRPr="00B018D0">
        <w:rPr>
          <w:rFonts w:asciiTheme="minorHAnsi" w:hAnsiTheme="minorHAnsi" w:cstheme="minorHAnsi"/>
        </w:rPr>
        <w:t xml:space="preserve"> recent </w:t>
      </w:r>
      <w:r w:rsidR="000B2EF1" w:rsidRPr="00B018D0">
        <w:rPr>
          <w:rFonts w:asciiTheme="minorHAnsi" w:hAnsiTheme="minorHAnsi" w:cstheme="minorHAnsi"/>
          <w:i/>
          <w:iCs/>
        </w:rPr>
        <w:t>Independent Review of the Ports and Maritime Administration Act 1995 (PAMA Act) and Port Botany Landside Improvement Strategy (PBLIS)</w:t>
      </w:r>
      <w:r w:rsidR="008F338A">
        <w:rPr>
          <w:rFonts w:asciiTheme="minorHAnsi" w:hAnsiTheme="minorHAnsi" w:cstheme="minorHAnsi"/>
        </w:rPr>
        <w:t xml:space="preserve"> </w:t>
      </w:r>
      <w:r w:rsidR="000B2EF1" w:rsidRPr="00B018D0">
        <w:rPr>
          <w:rFonts w:asciiTheme="minorHAnsi" w:hAnsiTheme="minorHAnsi" w:cstheme="minorHAnsi"/>
        </w:rPr>
        <w:t xml:space="preserve">identified that there </w:t>
      </w:r>
      <w:r w:rsidR="00581885">
        <w:rPr>
          <w:rFonts w:asciiTheme="minorHAnsi" w:hAnsiTheme="minorHAnsi" w:cstheme="minorHAnsi"/>
        </w:rPr>
        <w:t>was</w:t>
      </w:r>
      <w:r w:rsidR="0073109A" w:rsidRPr="00B018D0">
        <w:rPr>
          <w:rFonts w:asciiTheme="minorHAnsi" w:hAnsiTheme="minorHAnsi" w:cstheme="minorHAnsi"/>
        </w:rPr>
        <w:t xml:space="preserve"> an approximate mode split of 8</w:t>
      </w:r>
      <w:r w:rsidR="004D4287" w:rsidRPr="00B018D0">
        <w:rPr>
          <w:rFonts w:asciiTheme="minorHAnsi" w:hAnsiTheme="minorHAnsi" w:cstheme="minorHAnsi"/>
        </w:rPr>
        <w:t>5</w:t>
      </w:r>
      <w:r w:rsidR="0073109A" w:rsidRPr="00B018D0">
        <w:rPr>
          <w:rFonts w:asciiTheme="minorHAnsi" w:hAnsiTheme="minorHAnsi" w:cstheme="minorHAnsi"/>
        </w:rPr>
        <w:t xml:space="preserve"> per cent carried by road, and </w:t>
      </w:r>
      <w:r w:rsidR="004D4287" w:rsidRPr="00B018D0">
        <w:rPr>
          <w:rFonts w:asciiTheme="minorHAnsi" w:hAnsiTheme="minorHAnsi" w:cstheme="minorHAnsi"/>
        </w:rPr>
        <w:t>15</w:t>
      </w:r>
      <w:r w:rsidR="0073109A" w:rsidRPr="00B018D0">
        <w:rPr>
          <w:rFonts w:asciiTheme="minorHAnsi" w:hAnsiTheme="minorHAnsi" w:cstheme="minorHAnsi"/>
        </w:rPr>
        <w:t xml:space="preserve"> per cent carried by rail</w:t>
      </w:r>
      <w:r w:rsidR="004D4287" w:rsidRPr="00B018D0">
        <w:rPr>
          <w:rFonts w:asciiTheme="minorHAnsi" w:hAnsiTheme="minorHAnsi" w:cstheme="minorHAnsi"/>
        </w:rPr>
        <w:t xml:space="preserve"> </w:t>
      </w:r>
      <w:r w:rsidR="001F20BC" w:rsidRPr="00B018D0">
        <w:rPr>
          <w:rFonts w:asciiTheme="minorHAnsi" w:hAnsiTheme="minorHAnsi" w:cstheme="minorHAnsi"/>
        </w:rPr>
        <w:t>in</w:t>
      </w:r>
      <w:r w:rsidR="004D4287" w:rsidRPr="00B018D0">
        <w:rPr>
          <w:rFonts w:asciiTheme="minorHAnsi" w:hAnsiTheme="minorHAnsi" w:cstheme="minorHAnsi"/>
        </w:rPr>
        <w:t xml:space="preserve"> </w:t>
      </w:r>
      <w:r w:rsidR="009079C3">
        <w:rPr>
          <w:rFonts w:asciiTheme="minorHAnsi" w:hAnsiTheme="minorHAnsi" w:cstheme="minorHAnsi"/>
        </w:rPr>
        <w:t xml:space="preserve">the </w:t>
      </w:r>
      <w:r w:rsidR="004D4287" w:rsidRPr="00B018D0">
        <w:rPr>
          <w:rFonts w:asciiTheme="minorHAnsi" w:hAnsiTheme="minorHAnsi" w:cstheme="minorHAnsi"/>
        </w:rPr>
        <w:t>2021</w:t>
      </w:r>
      <w:r w:rsidR="009079C3">
        <w:rPr>
          <w:rFonts w:asciiTheme="minorHAnsi" w:hAnsiTheme="minorHAnsi" w:cstheme="minorHAnsi"/>
        </w:rPr>
        <w:t xml:space="preserve"> </w:t>
      </w:r>
      <w:r w:rsidR="009079C3" w:rsidRPr="009079C3">
        <w:rPr>
          <w:rFonts w:asciiTheme="minorHAnsi" w:hAnsiTheme="minorHAnsi" w:cstheme="minorHAnsi"/>
        </w:rPr>
        <w:t>calendar year</w:t>
      </w:r>
      <w:r w:rsidR="00BD1775" w:rsidRPr="00B018D0">
        <w:rPr>
          <w:rFonts w:asciiTheme="minorHAnsi" w:hAnsiTheme="minorHAnsi" w:cstheme="minorHAnsi"/>
        </w:rPr>
        <w:t>.</w:t>
      </w:r>
      <w:r w:rsidR="00D81CE3" w:rsidRPr="00B018D0">
        <w:rPr>
          <w:rFonts w:asciiTheme="minorHAnsi" w:hAnsiTheme="minorHAnsi" w:cstheme="minorHAnsi"/>
        </w:rPr>
        <w:t xml:space="preserve"> </w:t>
      </w:r>
      <w:r w:rsidRPr="00B018D0">
        <w:rPr>
          <w:rFonts w:asciiTheme="minorHAnsi" w:hAnsiTheme="minorHAnsi" w:cstheme="minorHAnsi"/>
        </w:rPr>
        <w:t>These</w:t>
      </w:r>
      <w:r w:rsidR="000B2EF1" w:rsidRPr="00B018D0">
        <w:rPr>
          <w:rFonts w:asciiTheme="minorHAnsi" w:hAnsiTheme="minorHAnsi" w:cstheme="minorHAnsi"/>
        </w:rPr>
        <w:t xml:space="preserve"> finding</w:t>
      </w:r>
      <w:r w:rsidRPr="00B018D0">
        <w:rPr>
          <w:rFonts w:asciiTheme="minorHAnsi" w:hAnsiTheme="minorHAnsi" w:cstheme="minorHAnsi"/>
        </w:rPr>
        <w:t>s</w:t>
      </w:r>
      <w:r w:rsidR="000B2EF1" w:rsidRPr="00B018D0">
        <w:rPr>
          <w:rFonts w:asciiTheme="minorHAnsi" w:hAnsiTheme="minorHAnsi" w:cstheme="minorHAnsi"/>
        </w:rPr>
        <w:t xml:space="preserve"> </w:t>
      </w:r>
      <w:r w:rsidRPr="00B018D0">
        <w:rPr>
          <w:rFonts w:asciiTheme="minorHAnsi" w:hAnsiTheme="minorHAnsi" w:cstheme="minorHAnsi"/>
        </w:rPr>
        <w:t>are</w:t>
      </w:r>
      <w:r w:rsidR="000B2EF1" w:rsidRPr="00B018D0">
        <w:rPr>
          <w:rFonts w:asciiTheme="minorHAnsi" w:hAnsiTheme="minorHAnsi" w:cstheme="minorHAnsi"/>
        </w:rPr>
        <w:t xml:space="preserve"> consistent with the Productivity Commission’s</w:t>
      </w:r>
      <w:r w:rsidR="001A6EB7" w:rsidRPr="00B018D0">
        <w:rPr>
          <w:rFonts w:asciiTheme="minorHAnsi" w:hAnsiTheme="minorHAnsi" w:cstheme="minorHAnsi"/>
        </w:rPr>
        <w:t xml:space="preserve"> previous</w:t>
      </w:r>
      <w:r w:rsidR="000B2EF1" w:rsidRPr="00B018D0">
        <w:rPr>
          <w:rFonts w:asciiTheme="minorHAnsi" w:hAnsiTheme="minorHAnsi" w:cstheme="minorHAnsi"/>
        </w:rPr>
        <w:t xml:space="preserve"> </w:t>
      </w:r>
      <w:r w:rsidR="000B2EF1" w:rsidRPr="00B018D0">
        <w:rPr>
          <w:rFonts w:asciiTheme="minorHAnsi" w:hAnsiTheme="minorHAnsi" w:cstheme="minorHAnsi"/>
          <w:i/>
          <w:iCs/>
        </w:rPr>
        <w:t>Inquiry into Road and Rail Freight Infrastructure Pricing</w:t>
      </w:r>
      <w:r w:rsidR="000B2EF1" w:rsidRPr="00B018D0">
        <w:rPr>
          <w:rFonts w:asciiTheme="minorHAnsi" w:hAnsiTheme="minorHAnsi" w:cstheme="minorHAnsi"/>
        </w:rPr>
        <w:t>, which found only 10</w:t>
      </w:r>
      <w:r w:rsidR="001A6EB7" w:rsidRPr="00B018D0">
        <w:rPr>
          <w:rFonts w:asciiTheme="minorHAnsi" w:hAnsiTheme="minorHAnsi" w:cstheme="minorHAnsi"/>
        </w:rPr>
        <w:t xml:space="preserve"> to </w:t>
      </w:r>
      <w:r w:rsidR="000B2EF1" w:rsidRPr="00B018D0">
        <w:rPr>
          <w:rFonts w:asciiTheme="minorHAnsi" w:hAnsiTheme="minorHAnsi" w:cstheme="minorHAnsi"/>
        </w:rPr>
        <w:t>15</w:t>
      </w:r>
      <w:r w:rsidR="001A6EB7" w:rsidRPr="00B018D0">
        <w:rPr>
          <w:rFonts w:asciiTheme="minorHAnsi" w:hAnsiTheme="minorHAnsi" w:cstheme="minorHAnsi"/>
        </w:rPr>
        <w:t xml:space="preserve"> per</w:t>
      </w:r>
      <w:r w:rsidR="00F02F40">
        <w:rPr>
          <w:rFonts w:asciiTheme="minorHAnsi" w:hAnsiTheme="minorHAnsi" w:cstheme="minorHAnsi"/>
        </w:rPr>
        <w:t xml:space="preserve"> </w:t>
      </w:r>
      <w:r w:rsidR="001A6EB7" w:rsidRPr="00B018D0">
        <w:rPr>
          <w:rFonts w:asciiTheme="minorHAnsi" w:hAnsiTheme="minorHAnsi" w:cstheme="minorHAnsi"/>
        </w:rPr>
        <w:t>cent of freight is</w:t>
      </w:r>
      <w:r w:rsidR="000B2EF1" w:rsidRPr="00B018D0">
        <w:rPr>
          <w:rFonts w:asciiTheme="minorHAnsi" w:hAnsiTheme="minorHAnsi" w:cstheme="minorHAnsi"/>
        </w:rPr>
        <w:t xml:space="preserve"> </w:t>
      </w:r>
      <w:r w:rsidR="001A6EB7" w:rsidRPr="00B018D0">
        <w:rPr>
          <w:rFonts w:asciiTheme="minorHAnsi" w:hAnsiTheme="minorHAnsi" w:cstheme="minorHAnsi"/>
        </w:rPr>
        <w:t>contestable</w:t>
      </w:r>
      <w:r w:rsidR="000B2EF1" w:rsidRPr="00B018D0">
        <w:rPr>
          <w:rFonts w:asciiTheme="minorHAnsi" w:hAnsiTheme="minorHAnsi" w:cstheme="minorHAnsi"/>
        </w:rPr>
        <w:t xml:space="preserve"> between modes (</w:t>
      </w:r>
      <w:r w:rsidR="00AA129E" w:rsidRPr="00B018D0">
        <w:rPr>
          <w:rFonts w:asciiTheme="minorHAnsi" w:hAnsiTheme="minorHAnsi" w:cstheme="minorHAnsi"/>
        </w:rPr>
        <w:t>i.e.</w:t>
      </w:r>
      <w:r w:rsidR="001A6EB7" w:rsidRPr="00B018D0">
        <w:rPr>
          <w:rFonts w:asciiTheme="minorHAnsi" w:hAnsiTheme="minorHAnsi" w:cstheme="minorHAnsi"/>
        </w:rPr>
        <w:t xml:space="preserve"> in 85 to 90 per cent of tasks, there is a clear benefit to operators for only one of rail or road).</w:t>
      </w:r>
    </w:p>
    <w:p w14:paraId="029D2669" w14:textId="61280BE4" w:rsidR="003C5562" w:rsidRPr="00940E10" w:rsidRDefault="003C5562" w:rsidP="00B40A79">
      <w:pPr>
        <w:pStyle w:val="BodyText"/>
        <w:spacing w:line="259" w:lineRule="auto"/>
        <w:rPr>
          <w:rFonts w:asciiTheme="minorHAnsi" w:hAnsiTheme="minorHAnsi" w:cstheme="minorHAnsi"/>
          <w:b/>
          <w:bCs/>
          <w:color w:val="0F2D52"/>
          <w:sz w:val="24"/>
          <w:szCs w:val="28"/>
        </w:rPr>
      </w:pPr>
      <w:r w:rsidRPr="00940E10">
        <w:rPr>
          <w:rFonts w:asciiTheme="minorHAnsi" w:hAnsiTheme="minorHAnsi" w:cstheme="minorHAnsi"/>
          <w:b/>
          <w:bCs/>
          <w:color w:val="0F2D52"/>
          <w:sz w:val="24"/>
          <w:szCs w:val="28"/>
        </w:rPr>
        <w:t>Infrastructure improvements</w:t>
      </w:r>
    </w:p>
    <w:p w14:paraId="7255AD03" w14:textId="4618DE83" w:rsidR="00EF1EFB" w:rsidRPr="00B018D0" w:rsidRDefault="00E255DD" w:rsidP="00B40A79">
      <w:pPr>
        <w:pStyle w:val="BodyText"/>
        <w:spacing w:after="160" w:line="259" w:lineRule="auto"/>
        <w:rPr>
          <w:rFonts w:asciiTheme="minorHAnsi" w:hAnsiTheme="minorHAnsi" w:cstheme="minorHAnsi"/>
        </w:rPr>
      </w:pPr>
      <w:r w:rsidRPr="00B018D0">
        <w:rPr>
          <w:rFonts w:asciiTheme="minorHAnsi" w:hAnsiTheme="minorHAnsi" w:cstheme="minorHAnsi"/>
        </w:rPr>
        <w:t>The heavy vehicle industry</w:t>
      </w:r>
      <w:r w:rsidR="00B77F81" w:rsidRPr="00B018D0">
        <w:rPr>
          <w:rFonts w:asciiTheme="minorHAnsi" w:hAnsiTheme="minorHAnsi" w:cstheme="minorHAnsi"/>
        </w:rPr>
        <w:t xml:space="preserve"> servicing </w:t>
      </w:r>
      <w:r w:rsidR="001A6EB7" w:rsidRPr="00B018D0">
        <w:rPr>
          <w:rFonts w:asciiTheme="minorHAnsi" w:hAnsiTheme="minorHAnsi" w:cstheme="minorHAnsi"/>
        </w:rPr>
        <w:t>ports</w:t>
      </w:r>
      <w:r w:rsidRPr="00B018D0">
        <w:rPr>
          <w:rFonts w:asciiTheme="minorHAnsi" w:hAnsiTheme="minorHAnsi" w:cstheme="minorHAnsi"/>
        </w:rPr>
        <w:t xml:space="preserve"> </w:t>
      </w:r>
      <w:r w:rsidR="00E415F3" w:rsidRPr="00B018D0">
        <w:rPr>
          <w:rFonts w:asciiTheme="minorHAnsi" w:hAnsiTheme="minorHAnsi" w:cstheme="minorHAnsi"/>
        </w:rPr>
        <w:t xml:space="preserve">has </w:t>
      </w:r>
      <w:r w:rsidRPr="00B018D0">
        <w:rPr>
          <w:rFonts w:asciiTheme="minorHAnsi" w:hAnsiTheme="minorHAnsi" w:cstheme="minorHAnsi"/>
        </w:rPr>
        <w:t xml:space="preserve">played a pivotal role in </w:t>
      </w:r>
      <w:r w:rsidR="00B77F81" w:rsidRPr="00B018D0">
        <w:rPr>
          <w:rFonts w:asciiTheme="minorHAnsi" w:hAnsiTheme="minorHAnsi" w:cstheme="minorHAnsi"/>
        </w:rPr>
        <w:t xml:space="preserve">creating and </w:t>
      </w:r>
      <w:r w:rsidRPr="00B018D0">
        <w:rPr>
          <w:rFonts w:asciiTheme="minorHAnsi" w:hAnsiTheme="minorHAnsi" w:cstheme="minorHAnsi"/>
        </w:rPr>
        <w:t xml:space="preserve">maintaining the economic prosperity of our cities and regional </w:t>
      </w:r>
      <w:r w:rsidR="003C79F0" w:rsidRPr="00B018D0">
        <w:rPr>
          <w:rFonts w:asciiTheme="minorHAnsi" w:hAnsiTheme="minorHAnsi" w:cstheme="minorHAnsi"/>
        </w:rPr>
        <w:t>centres</w:t>
      </w:r>
      <w:r w:rsidR="00101718" w:rsidRPr="00B018D0">
        <w:rPr>
          <w:rFonts w:asciiTheme="minorHAnsi" w:hAnsiTheme="minorHAnsi" w:cstheme="minorHAnsi"/>
        </w:rPr>
        <w:t>,</w:t>
      </w:r>
      <w:r w:rsidR="00EF1EFB" w:rsidRPr="00B018D0">
        <w:rPr>
          <w:rFonts w:asciiTheme="minorHAnsi" w:hAnsiTheme="minorHAnsi" w:cstheme="minorHAnsi"/>
        </w:rPr>
        <w:t xml:space="preserve"> </w:t>
      </w:r>
      <w:r w:rsidR="00B77F81" w:rsidRPr="00B018D0">
        <w:rPr>
          <w:rFonts w:asciiTheme="minorHAnsi" w:hAnsiTheme="minorHAnsi" w:cstheme="minorHAnsi"/>
        </w:rPr>
        <w:t>by</w:t>
      </w:r>
      <w:r w:rsidR="009003B5" w:rsidRPr="00B018D0">
        <w:rPr>
          <w:rFonts w:asciiTheme="minorHAnsi" w:hAnsiTheme="minorHAnsi" w:cstheme="minorHAnsi"/>
        </w:rPr>
        <w:t xml:space="preserve"> </w:t>
      </w:r>
      <w:r w:rsidR="00BF63BE" w:rsidRPr="00B018D0">
        <w:rPr>
          <w:rFonts w:asciiTheme="minorHAnsi" w:hAnsiTheme="minorHAnsi" w:cstheme="minorHAnsi"/>
        </w:rPr>
        <w:t>transporting</w:t>
      </w:r>
      <w:r w:rsidR="00EF1EFB" w:rsidRPr="00B018D0">
        <w:rPr>
          <w:rFonts w:asciiTheme="minorHAnsi" w:hAnsiTheme="minorHAnsi" w:cstheme="minorHAnsi"/>
        </w:rPr>
        <w:t xml:space="preserve"> goods and services </w:t>
      </w:r>
      <w:r w:rsidR="00BF63BE" w:rsidRPr="00B018D0">
        <w:rPr>
          <w:rFonts w:asciiTheme="minorHAnsi" w:hAnsiTheme="minorHAnsi" w:cstheme="minorHAnsi"/>
        </w:rPr>
        <w:t xml:space="preserve">to support domestic and international supply chains, </w:t>
      </w:r>
      <w:r w:rsidR="00B9631C" w:rsidRPr="00B018D0">
        <w:rPr>
          <w:rFonts w:asciiTheme="minorHAnsi" w:hAnsiTheme="minorHAnsi" w:cstheme="minorHAnsi"/>
        </w:rPr>
        <w:t>for</w:t>
      </w:r>
      <w:r w:rsidR="00BF63BE" w:rsidRPr="00B018D0">
        <w:rPr>
          <w:rFonts w:asciiTheme="minorHAnsi" w:hAnsiTheme="minorHAnsi" w:cstheme="minorHAnsi"/>
        </w:rPr>
        <w:t xml:space="preserve"> both import and export markets,</w:t>
      </w:r>
      <w:r w:rsidR="00EF1EFB" w:rsidRPr="00B018D0">
        <w:rPr>
          <w:rFonts w:asciiTheme="minorHAnsi" w:hAnsiTheme="minorHAnsi" w:cstheme="minorHAnsi"/>
        </w:rPr>
        <w:t xml:space="preserve"> throughout the COVID-19 pandemic. </w:t>
      </w:r>
    </w:p>
    <w:p w14:paraId="21734871" w14:textId="3005A61B" w:rsidR="001A6EB7" w:rsidRPr="00B018D0" w:rsidRDefault="001A6EB7" w:rsidP="00B40A79">
      <w:pPr>
        <w:pStyle w:val="BodyText"/>
        <w:spacing w:after="240" w:line="259" w:lineRule="auto"/>
        <w:rPr>
          <w:rFonts w:asciiTheme="minorHAnsi" w:hAnsiTheme="minorHAnsi" w:cstheme="minorHAnsi"/>
        </w:rPr>
      </w:pPr>
      <w:r w:rsidRPr="00B018D0">
        <w:rPr>
          <w:rFonts w:asciiTheme="minorHAnsi" w:hAnsiTheme="minorHAnsi" w:cstheme="minorHAnsi"/>
        </w:rPr>
        <w:t xml:space="preserve">While the NHVR agrees </w:t>
      </w:r>
      <w:r w:rsidR="00AA129E" w:rsidRPr="00B018D0">
        <w:rPr>
          <w:rFonts w:asciiTheme="minorHAnsi" w:hAnsiTheme="minorHAnsi" w:cstheme="minorHAnsi"/>
        </w:rPr>
        <w:t>that higher</w:t>
      </w:r>
      <w:r w:rsidRPr="00B018D0">
        <w:rPr>
          <w:rFonts w:asciiTheme="minorHAnsi" w:hAnsiTheme="minorHAnsi" w:cstheme="minorHAnsi"/>
        </w:rPr>
        <w:t xml:space="preserve"> productivity at Australia’s container ports is achievable and would deliver significant benefits</w:t>
      </w:r>
      <w:r w:rsidR="002E12FF" w:rsidRPr="0099645E">
        <w:rPr>
          <w:rFonts w:asciiTheme="minorHAnsi" w:hAnsiTheme="minorHAnsi" w:cstheme="minorHAnsi"/>
        </w:rPr>
        <w:t>,</w:t>
      </w:r>
      <w:r w:rsidRPr="0099645E">
        <w:rPr>
          <w:rFonts w:asciiTheme="minorHAnsi" w:hAnsiTheme="minorHAnsi" w:cstheme="minorHAnsi"/>
        </w:rPr>
        <w:t xml:space="preserve"> </w:t>
      </w:r>
      <w:r w:rsidR="00220564">
        <w:rPr>
          <w:rFonts w:asciiTheme="minorHAnsi" w:hAnsiTheme="minorHAnsi" w:cstheme="minorHAnsi"/>
        </w:rPr>
        <w:t>and</w:t>
      </w:r>
      <w:r w:rsidRPr="0099645E">
        <w:rPr>
          <w:rFonts w:asciiTheme="minorHAnsi" w:hAnsiTheme="minorHAnsi" w:cstheme="minorHAnsi"/>
        </w:rPr>
        <w:t xml:space="preserve"> that maritime logistics systems</w:t>
      </w:r>
      <w:r w:rsidR="00D61A6E" w:rsidRPr="0099645E">
        <w:rPr>
          <w:rFonts w:asciiTheme="minorHAnsi" w:hAnsiTheme="minorHAnsi" w:cstheme="minorHAnsi"/>
        </w:rPr>
        <w:t>’</w:t>
      </w:r>
      <w:r w:rsidRPr="0099645E">
        <w:rPr>
          <w:rFonts w:asciiTheme="minorHAnsi" w:hAnsiTheme="minorHAnsi" w:cstheme="minorHAnsi"/>
        </w:rPr>
        <w:t xml:space="preserve"> infrastructure needs are being addressed</w:t>
      </w:r>
      <w:r w:rsidR="00220564">
        <w:rPr>
          <w:rFonts w:asciiTheme="minorHAnsi" w:hAnsiTheme="minorHAnsi" w:cstheme="minorHAnsi"/>
        </w:rPr>
        <w:t xml:space="preserve">, the NHVR suggests the inquiry </w:t>
      </w:r>
      <w:r w:rsidR="008F141A">
        <w:rPr>
          <w:rFonts w:asciiTheme="minorHAnsi" w:hAnsiTheme="minorHAnsi" w:cstheme="minorHAnsi"/>
        </w:rPr>
        <w:t xml:space="preserve">and final Report </w:t>
      </w:r>
      <w:r w:rsidR="00220564">
        <w:rPr>
          <w:rFonts w:asciiTheme="minorHAnsi" w:hAnsiTheme="minorHAnsi" w:cstheme="minorHAnsi"/>
        </w:rPr>
        <w:t>further investigate the road infrastructure needs of modern freight vehicles</w:t>
      </w:r>
      <w:r w:rsidRPr="0099645E">
        <w:rPr>
          <w:rFonts w:asciiTheme="minorHAnsi" w:hAnsiTheme="minorHAnsi" w:cstheme="minorHAnsi"/>
        </w:rPr>
        <w:t xml:space="preserve"> </w:t>
      </w:r>
      <w:r w:rsidR="00220564">
        <w:rPr>
          <w:rFonts w:asciiTheme="minorHAnsi" w:hAnsiTheme="minorHAnsi" w:cstheme="minorHAnsi"/>
        </w:rPr>
        <w:t>that support</w:t>
      </w:r>
      <w:r w:rsidRPr="0099645E">
        <w:rPr>
          <w:rFonts w:asciiTheme="minorHAnsi" w:hAnsiTheme="minorHAnsi" w:cstheme="minorHAnsi"/>
        </w:rPr>
        <w:t xml:space="preserve"> maritime logistics at Ports.</w:t>
      </w:r>
      <w:r w:rsidRPr="00B018D0">
        <w:rPr>
          <w:rFonts w:asciiTheme="minorHAnsi" w:hAnsiTheme="minorHAnsi" w:cstheme="minorHAnsi"/>
        </w:rPr>
        <w:t xml:space="preserve"> </w:t>
      </w:r>
      <w:r w:rsidR="00220564">
        <w:rPr>
          <w:rFonts w:asciiTheme="minorHAnsi" w:hAnsiTheme="minorHAnsi" w:cstheme="minorHAnsi"/>
        </w:rPr>
        <w:t>Appropriate road infrastructure that meets the needs of the modern road freight fleet has tangible relationships with improved truck and container turnaround times, minimising congestion and related externalities and cost savings.</w:t>
      </w:r>
    </w:p>
    <w:p w14:paraId="3EF56290" w14:textId="10A53E7F" w:rsidR="003C5562" w:rsidRPr="00940E10" w:rsidRDefault="003C5562" w:rsidP="00B40A79">
      <w:pPr>
        <w:pStyle w:val="BodyText"/>
        <w:spacing w:line="259" w:lineRule="auto"/>
        <w:rPr>
          <w:rFonts w:asciiTheme="minorHAnsi" w:hAnsiTheme="minorHAnsi" w:cstheme="minorHAnsi"/>
          <w:b/>
          <w:bCs/>
          <w:color w:val="0F2D52"/>
          <w:sz w:val="24"/>
          <w:szCs w:val="28"/>
        </w:rPr>
      </w:pPr>
      <w:r w:rsidRPr="00940E10">
        <w:rPr>
          <w:rFonts w:asciiTheme="minorHAnsi" w:hAnsiTheme="minorHAnsi" w:cstheme="minorHAnsi"/>
          <w:b/>
          <w:bCs/>
          <w:color w:val="0F2D52"/>
          <w:sz w:val="24"/>
          <w:szCs w:val="28"/>
        </w:rPr>
        <w:t>PBS (Performance Based Standards) vehicles</w:t>
      </w:r>
    </w:p>
    <w:p w14:paraId="7BFCAD16" w14:textId="1522C69B" w:rsidR="007A6752" w:rsidRPr="00B018D0" w:rsidRDefault="001A6EB7" w:rsidP="00B40A79">
      <w:pPr>
        <w:pStyle w:val="BodyText"/>
        <w:spacing w:after="160" w:line="259" w:lineRule="auto"/>
        <w:rPr>
          <w:rFonts w:asciiTheme="minorHAnsi" w:hAnsiTheme="minorHAnsi" w:cstheme="minorHAnsi"/>
        </w:rPr>
      </w:pPr>
      <w:r w:rsidRPr="00B018D0">
        <w:rPr>
          <w:rFonts w:asciiTheme="minorHAnsi" w:hAnsiTheme="minorHAnsi" w:cstheme="minorHAnsi"/>
        </w:rPr>
        <w:t>Improving opportunities</w:t>
      </w:r>
      <w:r w:rsidR="00181227" w:rsidRPr="00B018D0">
        <w:rPr>
          <w:rFonts w:asciiTheme="minorHAnsi" w:hAnsiTheme="minorHAnsi" w:cstheme="minorHAnsi"/>
        </w:rPr>
        <w:t xml:space="preserve"> </w:t>
      </w:r>
      <w:r w:rsidRPr="00B018D0">
        <w:rPr>
          <w:rFonts w:asciiTheme="minorHAnsi" w:hAnsiTheme="minorHAnsi" w:cstheme="minorHAnsi"/>
        </w:rPr>
        <w:t>for</w:t>
      </w:r>
      <w:r w:rsidR="00822739" w:rsidRPr="00B018D0">
        <w:rPr>
          <w:rFonts w:asciiTheme="minorHAnsi" w:hAnsiTheme="minorHAnsi" w:cstheme="minorHAnsi"/>
        </w:rPr>
        <w:t xml:space="preserve"> </w:t>
      </w:r>
      <w:r w:rsidR="00114B7B" w:rsidRPr="00B018D0">
        <w:rPr>
          <w:rFonts w:asciiTheme="minorHAnsi" w:hAnsiTheme="minorHAnsi" w:cstheme="minorHAnsi"/>
        </w:rPr>
        <w:t>Performance Based Standards (PBS) vehicle</w:t>
      </w:r>
      <w:r w:rsidRPr="00B018D0">
        <w:rPr>
          <w:rFonts w:asciiTheme="minorHAnsi" w:hAnsiTheme="minorHAnsi" w:cstheme="minorHAnsi"/>
        </w:rPr>
        <w:t>s (mentioned in Figure 3</w:t>
      </w:r>
      <w:r w:rsidR="00EE6BDA">
        <w:rPr>
          <w:rFonts w:asciiTheme="minorHAnsi" w:hAnsiTheme="minorHAnsi" w:cstheme="minorHAnsi"/>
        </w:rPr>
        <w:t xml:space="preserve"> of the draft Report</w:t>
      </w:r>
      <w:r w:rsidRPr="00B018D0">
        <w:rPr>
          <w:rFonts w:asciiTheme="minorHAnsi" w:hAnsiTheme="minorHAnsi" w:cstheme="minorHAnsi"/>
        </w:rPr>
        <w:t>) forms a large component of the NHVR’s submission.</w:t>
      </w:r>
      <w:r w:rsidR="00675580">
        <w:rPr>
          <w:rFonts w:asciiTheme="minorHAnsi" w:hAnsiTheme="minorHAnsi" w:cstheme="minorHAnsi"/>
        </w:rPr>
        <w:t xml:space="preserve"> </w:t>
      </w:r>
      <w:r w:rsidR="00DE6D43" w:rsidRPr="00B018D0">
        <w:rPr>
          <w:rFonts w:asciiTheme="minorHAnsi" w:hAnsiTheme="minorHAnsi" w:cstheme="minorHAnsi"/>
        </w:rPr>
        <w:t>G</w:t>
      </w:r>
      <w:r w:rsidR="00E13468" w:rsidRPr="00B018D0">
        <w:rPr>
          <w:rFonts w:asciiTheme="minorHAnsi" w:hAnsiTheme="minorHAnsi" w:cstheme="minorHAnsi"/>
        </w:rPr>
        <w:t>rowing container throughput volumes and container density</w:t>
      </w:r>
      <w:r w:rsidR="004B4667">
        <w:rPr>
          <w:rFonts w:asciiTheme="minorHAnsi" w:hAnsiTheme="minorHAnsi" w:cstheme="minorHAnsi"/>
        </w:rPr>
        <w:t>,</w:t>
      </w:r>
      <w:r w:rsidR="00E13468" w:rsidRPr="00B018D0">
        <w:rPr>
          <w:rFonts w:asciiTheme="minorHAnsi" w:hAnsiTheme="minorHAnsi" w:cstheme="minorHAnsi"/>
        </w:rPr>
        <w:t xml:space="preserve"> and reducing truck volumes and</w:t>
      </w:r>
      <w:r w:rsidR="008E37AC" w:rsidRPr="00B018D0">
        <w:rPr>
          <w:rFonts w:asciiTheme="minorHAnsi" w:hAnsiTheme="minorHAnsi" w:cstheme="minorHAnsi"/>
        </w:rPr>
        <w:t xml:space="preserve"> </w:t>
      </w:r>
      <w:r w:rsidR="00E13468" w:rsidRPr="00B018D0">
        <w:rPr>
          <w:rFonts w:asciiTheme="minorHAnsi" w:hAnsiTheme="minorHAnsi" w:cstheme="minorHAnsi"/>
        </w:rPr>
        <w:t xml:space="preserve">congestion, are key performance indicators </w:t>
      </w:r>
      <w:r w:rsidR="00871659" w:rsidRPr="00B018D0">
        <w:rPr>
          <w:rFonts w:asciiTheme="minorHAnsi" w:hAnsiTheme="minorHAnsi" w:cstheme="minorHAnsi"/>
        </w:rPr>
        <w:t>to measure</w:t>
      </w:r>
      <w:r w:rsidR="00E13468" w:rsidRPr="00B018D0">
        <w:rPr>
          <w:rFonts w:asciiTheme="minorHAnsi" w:hAnsiTheme="minorHAnsi" w:cstheme="minorHAnsi"/>
        </w:rPr>
        <w:t xml:space="preserve"> success</w:t>
      </w:r>
      <w:r w:rsidR="00675580">
        <w:rPr>
          <w:rFonts w:asciiTheme="minorHAnsi" w:hAnsiTheme="minorHAnsi" w:cstheme="minorHAnsi"/>
        </w:rPr>
        <w:t xml:space="preserve"> in</w:t>
      </w:r>
      <w:r w:rsidR="007A6752" w:rsidRPr="00B018D0">
        <w:rPr>
          <w:rFonts w:asciiTheme="minorHAnsi" w:hAnsiTheme="minorHAnsi" w:cstheme="minorHAnsi"/>
        </w:rPr>
        <w:t xml:space="preserve"> lifting container productivity at Australian ports. </w:t>
      </w:r>
      <w:r w:rsidR="00871659" w:rsidRPr="00B018D0">
        <w:rPr>
          <w:rFonts w:asciiTheme="minorHAnsi" w:hAnsiTheme="minorHAnsi" w:cstheme="minorHAnsi"/>
        </w:rPr>
        <w:t xml:space="preserve">PBS vehicles support delivery against these indicators, </w:t>
      </w:r>
      <w:r w:rsidR="009A4015" w:rsidRPr="00B018D0">
        <w:rPr>
          <w:rFonts w:asciiTheme="minorHAnsi" w:hAnsiTheme="minorHAnsi" w:cstheme="minorHAnsi"/>
        </w:rPr>
        <w:t xml:space="preserve">and deliver on other critically important measures such as safety and sustainability. </w:t>
      </w:r>
    </w:p>
    <w:p w14:paraId="537BBFE0" w14:textId="3341BBFD" w:rsidR="007A6752" w:rsidRPr="00B018D0" w:rsidRDefault="007A6752" w:rsidP="00B40A79">
      <w:pPr>
        <w:pStyle w:val="BodyText"/>
        <w:spacing w:after="240" w:line="259" w:lineRule="auto"/>
        <w:rPr>
          <w:rFonts w:asciiTheme="minorHAnsi" w:hAnsiTheme="minorHAnsi" w:cstheme="minorHAnsi"/>
        </w:rPr>
      </w:pPr>
      <w:r w:rsidRPr="00B018D0">
        <w:rPr>
          <w:rFonts w:asciiTheme="minorHAnsi" w:hAnsiTheme="minorHAnsi" w:cstheme="minorHAnsi"/>
        </w:rPr>
        <w:t>Road infrastructure, and potentially other operational practices and port policies, may have the effect of precluding or deterring use of more productive vehicles that are safer and more sustainable.</w:t>
      </w:r>
    </w:p>
    <w:p w14:paraId="237CCE57" w14:textId="6DB9126E" w:rsidR="003C5562" w:rsidRPr="00940E10" w:rsidRDefault="003C5562" w:rsidP="00B40A79">
      <w:pPr>
        <w:spacing w:line="259" w:lineRule="auto"/>
        <w:rPr>
          <w:rFonts w:asciiTheme="minorHAnsi" w:hAnsiTheme="minorHAnsi" w:cstheme="minorHAnsi"/>
          <w:b/>
          <w:bCs/>
          <w:color w:val="0F2D52"/>
          <w:sz w:val="24"/>
          <w:szCs w:val="28"/>
        </w:rPr>
      </w:pPr>
      <w:r w:rsidRPr="00940E10">
        <w:rPr>
          <w:rFonts w:asciiTheme="minorHAnsi" w:hAnsiTheme="minorHAnsi" w:cstheme="minorHAnsi"/>
          <w:b/>
          <w:bCs/>
          <w:color w:val="0F2D52"/>
          <w:sz w:val="24"/>
          <w:szCs w:val="28"/>
        </w:rPr>
        <w:t>Safe transport of Shipping Containers on Road</w:t>
      </w:r>
    </w:p>
    <w:p w14:paraId="1F4073AB" w14:textId="7AB081FC" w:rsidR="00154535" w:rsidRPr="00B018D0" w:rsidRDefault="003C5562" w:rsidP="00B40A79">
      <w:pPr>
        <w:spacing w:line="259" w:lineRule="auto"/>
        <w:rPr>
          <w:rFonts w:asciiTheme="minorHAnsi" w:hAnsiTheme="minorHAnsi" w:cstheme="minorHAnsi"/>
        </w:rPr>
      </w:pPr>
      <w:r w:rsidRPr="00B018D0">
        <w:rPr>
          <w:rFonts w:asciiTheme="minorHAnsi" w:hAnsiTheme="minorHAnsi" w:cstheme="minorHAnsi"/>
        </w:rPr>
        <w:t xml:space="preserve">Despite requirements under international </w:t>
      </w:r>
      <w:r w:rsidR="0051296A">
        <w:rPr>
          <w:rFonts w:asciiTheme="minorHAnsi" w:hAnsiTheme="minorHAnsi" w:cstheme="minorHAnsi"/>
        </w:rPr>
        <w:t>marine</w:t>
      </w:r>
      <w:r w:rsidRPr="00B018D0">
        <w:rPr>
          <w:rFonts w:asciiTheme="minorHAnsi" w:hAnsiTheme="minorHAnsi" w:cstheme="minorHAnsi"/>
        </w:rPr>
        <w:t xml:space="preserve"> law that freight inside shipping containers is safely restrained and accurately weighed, a proportion of import containers are overweight and poorly restrained – whether at the point of origin or as a result of the sea voyage. Unless identified, these containers have the potential to create serious risks to public safety during road transport. Separating and actioning non-compliant containers requires time, </w:t>
      </w:r>
      <w:r w:rsidR="00AA129E" w:rsidRPr="00B018D0">
        <w:rPr>
          <w:rFonts w:asciiTheme="minorHAnsi" w:hAnsiTheme="minorHAnsi" w:cstheme="minorHAnsi"/>
        </w:rPr>
        <w:t>space,</w:t>
      </w:r>
      <w:r w:rsidRPr="00B018D0">
        <w:rPr>
          <w:rFonts w:asciiTheme="minorHAnsi" w:hAnsiTheme="minorHAnsi" w:cstheme="minorHAnsi"/>
        </w:rPr>
        <w:t xml:space="preserve"> and accurate information. </w:t>
      </w:r>
      <w:r w:rsidR="00E3758B" w:rsidRPr="00B018D0">
        <w:rPr>
          <w:rFonts w:asciiTheme="minorHAnsi" w:hAnsiTheme="minorHAnsi" w:cstheme="minorHAnsi"/>
        </w:rPr>
        <w:t>Processes currently in place are ad</w:t>
      </w:r>
      <w:r w:rsidR="001B49DC">
        <w:rPr>
          <w:rFonts w:asciiTheme="minorHAnsi" w:hAnsiTheme="minorHAnsi" w:cstheme="minorHAnsi"/>
        </w:rPr>
        <w:t xml:space="preserve"> </w:t>
      </w:r>
      <w:r w:rsidR="00E3758B" w:rsidRPr="00B018D0">
        <w:rPr>
          <w:rFonts w:asciiTheme="minorHAnsi" w:hAnsiTheme="minorHAnsi" w:cstheme="minorHAnsi"/>
        </w:rPr>
        <w:t>hoc and inconsistent</w:t>
      </w:r>
      <w:r w:rsidRPr="00B018D0">
        <w:rPr>
          <w:rFonts w:asciiTheme="minorHAnsi" w:hAnsiTheme="minorHAnsi" w:cstheme="minorHAnsi"/>
        </w:rPr>
        <w:t xml:space="preserve"> </w:t>
      </w:r>
      <w:r w:rsidR="00E3758B" w:rsidRPr="00B018D0">
        <w:rPr>
          <w:rFonts w:asciiTheme="minorHAnsi" w:hAnsiTheme="minorHAnsi" w:cstheme="minorHAnsi"/>
        </w:rPr>
        <w:t>and disproportionately penalise heavy vehicle transporters through lost time, or regulatory action. Overall, procedures for remedying container issues impacts the productivity of the sector through lost time and increased congestion.</w:t>
      </w:r>
      <w:r w:rsidRPr="00B018D0">
        <w:rPr>
          <w:rFonts w:asciiTheme="minorHAnsi" w:hAnsiTheme="minorHAnsi" w:cstheme="minorHAnsi"/>
        </w:rPr>
        <w:t xml:space="preserve"> </w:t>
      </w:r>
    </w:p>
    <w:p w14:paraId="1572BF48" w14:textId="77777777" w:rsidR="00154535" w:rsidRPr="00B018D0" w:rsidRDefault="00154535" w:rsidP="00B40A79">
      <w:pPr>
        <w:spacing w:line="259" w:lineRule="auto"/>
        <w:rPr>
          <w:rFonts w:asciiTheme="minorHAnsi" w:hAnsiTheme="minorHAnsi" w:cstheme="minorHAnsi"/>
        </w:rPr>
      </w:pPr>
    </w:p>
    <w:p w14:paraId="320201C9" w14:textId="6E20E2CD" w:rsidR="003C5562" w:rsidRPr="00B018D0" w:rsidRDefault="003C5562" w:rsidP="00B40A79">
      <w:pPr>
        <w:pStyle w:val="BodyText"/>
        <w:spacing w:after="240" w:line="259" w:lineRule="auto"/>
        <w:rPr>
          <w:rFonts w:asciiTheme="minorHAnsi" w:hAnsiTheme="minorHAnsi" w:cstheme="minorHAnsi"/>
          <w:b/>
          <w:bCs/>
          <w:sz w:val="32"/>
          <w:szCs w:val="36"/>
        </w:rPr>
      </w:pPr>
      <w:r w:rsidRPr="00B018D0">
        <w:rPr>
          <w:rFonts w:asciiTheme="minorHAnsi" w:hAnsiTheme="minorHAnsi" w:cstheme="minorHAnsi"/>
          <w:b/>
          <w:bCs/>
          <w:sz w:val="32"/>
          <w:szCs w:val="36"/>
        </w:rPr>
        <w:t>Recommendations</w:t>
      </w:r>
    </w:p>
    <w:p w14:paraId="7860ADB9" w14:textId="6AD63874" w:rsidR="00E34FA7" w:rsidRPr="00B018D0" w:rsidRDefault="00E34FA7" w:rsidP="00B40A79">
      <w:pPr>
        <w:pStyle w:val="BodyText"/>
        <w:spacing w:after="240" w:line="259" w:lineRule="auto"/>
        <w:rPr>
          <w:rFonts w:asciiTheme="minorHAnsi" w:hAnsiTheme="minorHAnsi" w:cstheme="minorHAnsi"/>
        </w:rPr>
      </w:pPr>
      <w:r w:rsidRPr="00FD4050">
        <w:rPr>
          <w:rFonts w:asciiTheme="minorHAnsi" w:hAnsiTheme="minorHAnsi" w:cstheme="minorHAnsi"/>
          <w:b/>
          <w:bCs/>
        </w:rPr>
        <w:t>Recommendation 1</w:t>
      </w:r>
      <w:r w:rsidR="00616463" w:rsidRPr="00FD4050">
        <w:rPr>
          <w:rFonts w:asciiTheme="minorHAnsi" w:hAnsiTheme="minorHAnsi" w:cstheme="minorHAnsi"/>
          <w:b/>
          <w:bCs/>
        </w:rPr>
        <w:t xml:space="preserve">: </w:t>
      </w:r>
      <w:r w:rsidR="00616463" w:rsidRPr="00B018D0">
        <w:rPr>
          <w:rFonts w:asciiTheme="minorHAnsi" w:hAnsiTheme="minorHAnsi" w:cstheme="minorHAnsi"/>
        </w:rPr>
        <w:t>T</w:t>
      </w:r>
      <w:r w:rsidRPr="00B018D0">
        <w:rPr>
          <w:rFonts w:asciiTheme="minorHAnsi" w:hAnsiTheme="minorHAnsi" w:cstheme="minorHAnsi"/>
        </w:rPr>
        <w:t xml:space="preserve">he </w:t>
      </w:r>
      <w:r w:rsidR="007A6752" w:rsidRPr="00B018D0">
        <w:rPr>
          <w:rFonts w:asciiTheme="minorHAnsi" w:hAnsiTheme="minorHAnsi" w:cstheme="minorHAnsi"/>
        </w:rPr>
        <w:t xml:space="preserve">inquiry into </w:t>
      </w:r>
      <w:r w:rsidR="007A6752" w:rsidRPr="00B018D0">
        <w:rPr>
          <w:rFonts w:asciiTheme="minorHAnsi" w:hAnsiTheme="minorHAnsi" w:cstheme="minorHAnsi"/>
          <w:i/>
          <w:iCs/>
        </w:rPr>
        <w:t>Lifting productivity at Australia’s container ports: between water, wharf and warehouse</w:t>
      </w:r>
      <w:r w:rsidR="007A6752" w:rsidRPr="00B018D0">
        <w:rPr>
          <w:rFonts w:asciiTheme="minorHAnsi" w:hAnsiTheme="minorHAnsi" w:cstheme="minorHAnsi"/>
        </w:rPr>
        <w:t xml:space="preserve"> </w:t>
      </w:r>
      <w:r w:rsidR="00F813B2" w:rsidRPr="00B018D0">
        <w:rPr>
          <w:rFonts w:asciiTheme="minorHAnsi" w:hAnsiTheme="minorHAnsi" w:cstheme="minorHAnsi"/>
        </w:rPr>
        <w:t xml:space="preserve">should </w:t>
      </w:r>
      <w:r w:rsidR="00D61A6E" w:rsidRPr="00B018D0">
        <w:rPr>
          <w:rFonts w:asciiTheme="minorHAnsi" w:hAnsiTheme="minorHAnsi" w:cstheme="minorHAnsi"/>
        </w:rPr>
        <w:t xml:space="preserve">place </w:t>
      </w:r>
      <w:r w:rsidR="007A6752" w:rsidRPr="00B018D0">
        <w:rPr>
          <w:rFonts w:asciiTheme="minorHAnsi" w:hAnsiTheme="minorHAnsi" w:cstheme="minorHAnsi"/>
        </w:rPr>
        <w:t xml:space="preserve">greater emphasis on the role of heavy vehicles in port productivity and container logistics. </w:t>
      </w:r>
      <w:r w:rsidR="00DE6D43" w:rsidRPr="00B018D0">
        <w:rPr>
          <w:rFonts w:asciiTheme="minorHAnsi" w:hAnsiTheme="minorHAnsi" w:cstheme="minorHAnsi"/>
        </w:rPr>
        <w:t>The report has focussed on crane rates to move containers</w:t>
      </w:r>
      <w:r w:rsidR="00993B85">
        <w:rPr>
          <w:rFonts w:asciiTheme="minorHAnsi" w:hAnsiTheme="minorHAnsi" w:cstheme="minorHAnsi"/>
        </w:rPr>
        <w:t>. The NHVR suggests the inquiry would benefit from</w:t>
      </w:r>
      <w:r w:rsidR="00DE6D43" w:rsidRPr="00B018D0">
        <w:rPr>
          <w:rFonts w:asciiTheme="minorHAnsi" w:hAnsiTheme="minorHAnsi" w:cstheme="minorHAnsi"/>
        </w:rPr>
        <w:t xml:space="preserve"> </w:t>
      </w:r>
      <w:r w:rsidR="00993B85">
        <w:rPr>
          <w:rFonts w:asciiTheme="minorHAnsi" w:hAnsiTheme="minorHAnsi" w:cstheme="minorHAnsi"/>
        </w:rPr>
        <w:t>investigating issues and determining solutions related to</w:t>
      </w:r>
      <w:r w:rsidR="00DE6D43" w:rsidRPr="00B018D0">
        <w:rPr>
          <w:rFonts w:asciiTheme="minorHAnsi" w:hAnsiTheme="minorHAnsi" w:cstheme="minorHAnsi"/>
        </w:rPr>
        <w:t xml:space="preserve"> road freight task </w:t>
      </w:r>
      <w:r w:rsidR="00993B85">
        <w:rPr>
          <w:rFonts w:asciiTheme="minorHAnsi" w:hAnsiTheme="minorHAnsi" w:cstheme="minorHAnsi"/>
        </w:rPr>
        <w:t>performance (</w:t>
      </w:r>
      <w:r w:rsidR="00E83BE0">
        <w:rPr>
          <w:rFonts w:asciiTheme="minorHAnsi" w:hAnsiTheme="minorHAnsi" w:cstheme="minorHAnsi"/>
        </w:rPr>
        <w:t>e.g.,</w:t>
      </w:r>
      <w:r w:rsidR="00993B85">
        <w:rPr>
          <w:rFonts w:asciiTheme="minorHAnsi" w:hAnsiTheme="minorHAnsi" w:cstheme="minorHAnsi"/>
        </w:rPr>
        <w:t xml:space="preserve"> </w:t>
      </w:r>
      <w:r w:rsidR="00DE6D43" w:rsidRPr="00B018D0">
        <w:rPr>
          <w:rFonts w:asciiTheme="minorHAnsi" w:hAnsiTheme="minorHAnsi" w:cstheme="minorHAnsi"/>
        </w:rPr>
        <w:t>carrying containers to and from ports</w:t>
      </w:r>
      <w:r w:rsidR="00993B85">
        <w:rPr>
          <w:rFonts w:asciiTheme="minorHAnsi" w:hAnsiTheme="minorHAnsi" w:cstheme="minorHAnsi"/>
        </w:rPr>
        <w:t>)</w:t>
      </w:r>
      <w:r w:rsidR="00DE6D43" w:rsidRPr="00B018D0">
        <w:rPr>
          <w:rFonts w:asciiTheme="minorHAnsi" w:hAnsiTheme="minorHAnsi" w:cstheme="minorHAnsi"/>
        </w:rPr>
        <w:t xml:space="preserve">. </w:t>
      </w:r>
      <w:r w:rsidR="00D61A6E" w:rsidRPr="00B018D0">
        <w:rPr>
          <w:rFonts w:asciiTheme="minorHAnsi" w:hAnsiTheme="minorHAnsi" w:cstheme="minorHAnsi"/>
        </w:rPr>
        <w:t>The review could</w:t>
      </w:r>
      <w:r w:rsidRPr="00B018D0">
        <w:rPr>
          <w:rFonts w:asciiTheme="minorHAnsi" w:hAnsiTheme="minorHAnsi" w:cstheme="minorHAnsi"/>
        </w:rPr>
        <w:t xml:space="preserve"> include a review of </w:t>
      </w:r>
      <w:r w:rsidR="007A6752" w:rsidRPr="00B018D0">
        <w:rPr>
          <w:rFonts w:asciiTheme="minorHAnsi" w:hAnsiTheme="minorHAnsi" w:cstheme="minorHAnsi"/>
        </w:rPr>
        <w:t xml:space="preserve">port, </w:t>
      </w:r>
      <w:r w:rsidRPr="00B018D0">
        <w:rPr>
          <w:rFonts w:asciiTheme="minorHAnsi" w:hAnsiTheme="minorHAnsi" w:cstheme="minorHAnsi"/>
        </w:rPr>
        <w:t xml:space="preserve">government and stevedore policies relating to methods </w:t>
      </w:r>
      <w:r w:rsidR="00D04F2B" w:rsidRPr="00B018D0">
        <w:rPr>
          <w:rFonts w:asciiTheme="minorHAnsi" w:hAnsiTheme="minorHAnsi" w:cstheme="minorHAnsi"/>
        </w:rPr>
        <w:t>encouraging</w:t>
      </w:r>
      <w:r w:rsidRPr="00B018D0">
        <w:rPr>
          <w:rFonts w:asciiTheme="minorHAnsi" w:hAnsiTheme="minorHAnsi" w:cstheme="minorHAnsi"/>
        </w:rPr>
        <w:t xml:space="preserve"> mode share shi</w:t>
      </w:r>
      <w:r w:rsidR="00892B12" w:rsidRPr="00B018D0">
        <w:rPr>
          <w:rFonts w:asciiTheme="minorHAnsi" w:hAnsiTheme="minorHAnsi" w:cstheme="minorHAnsi"/>
        </w:rPr>
        <w:t>f</w:t>
      </w:r>
      <w:r w:rsidRPr="00B018D0">
        <w:rPr>
          <w:rFonts w:asciiTheme="minorHAnsi" w:hAnsiTheme="minorHAnsi" w:cstheme="minorHAnsi"/>
        </w:rPr>
        <w:t>t</w:t>
      </w:r>
      <w:r w:rsidR="00DE6D43" w:rsidRPr="00B018D0">
        <w:rPr>
          <w:rFonts w:asciiTheme="minorHAnsi" w:hAnsiTheme="minorHAnsi" w:cstheme="minorHAnsi"/>
        </w:rPr>
        <w:t xml:space="preserve"> (distinct from offering operators choice and flexibility between different modes)</w:t>
      </w:r>
      <w:r w:rsidRPr="00B018D0">
        <w:rPr>
          <w:rFonts w:asciiTheme="minorHAnsi" w:hAnsiTheme="minorHAnsi" w:cstheme="minorHAnsi"/>
        </w:rPr>
        <w:t>; and an assessment of network design and infrastructure capacity to safely accommodate the longer length and higher mass of PBS</w:t>
      </w:r>
      <w:r w:rsidR="007A6752" w:rsidRPr="00B018D0">
        <w:rPr>
          <w:rFonts w:asciiTheme="minorHAnsi" w:hAnsiTheme="minorHAnsi" w:cstheme="minorHAnsi"/>
        </w:rPr>
        <w:t xml:space="preserve"> and other higher productivity freight</w:t>
      </w:r>
      <w:r w:rsidRPr="00B018D0">
        <w:rPr>
          <w:rFonts w:asciiTheme="minorHAnsi" w:hAnsiTheme="minorHAnsi" w:cstheme="minorHAnsi"/>
        </w:rPr>
        <w:t xml:space="preserve"> vehicles.</w:t>
      </w:r>
    </w:p>
    <w:p w14:paraId="2FF59016" w14:textId="58467034" w:rsidR="00E34FA7" w:rsidRPr="00B018D0" w:rsidRDefault="00093F0D" w:rsidP="00B40A79">
      <w:pPr>
        <w:pStyle w:val="BodyText"/>
        <w:spacing w:after="240" w:line="259" w:lineRule="auto"/>
        <w:rPr>
          <w:rFonts w:asciiTheme="minorHAnsi" w:hAnsiTheme="minorHAnsi" w:cstheme="minorHAnsi"/>
        </w:rPr>
      </w:pPr>
      <w:r w:rsidRPr="00B018D0">
        <w:rPr>
          <w:rFonts w:asciiTheme="minorHAnsi" w:hAnsiTheme="minorHAnsi" w:cstheme="minorHAnsi"/>
          <w:b/>
          <w:bCs/>
        </w:rPr>
        <w:t xml:space="preserve">Recommendation </w:t>
      </w:r>
      <w:r w:rsidR="007A6752" w:rsidRPr="00B018D0">
        <w:rPr>
          <w:rFonts w:asciiTheme="minorHAnsi" w:hAnsiTheme="minorHAnsi" w:cstheme="minorHAnsi"/>
          <w:b/>
          <w:bCs/>
        </w:rPr>
        <w:t>2</w:t>
      </w:r>
      <w:r w:rsidRPr="00B018D0">
        <w:rPr>
          <w:rFonts w:asciiTheme="minorHAnsi" w:hAnsiTheme="minorHAnsi" w:cstheme="minorHAnsi"/>
          <w:b/>
          <w:bCs/>
        </w:rPr>
        <w:t>:</w:t>
      </w:r>
      <w:r w:rsidRPr="00B018D0">
        <w:rPr>
          <w:rFonts w:asciiTheme="minorHAnsi" w:hAnsiTheme="minorHAnsi" w:cstheme="minorHAnsi"/>
        </w:rPr>
        <w:t xml:space="preserve"> R</w:t>
      </w:r>
      <w:r w:rsidR="00362701" w:rsidRPr="00B018D0">
        <w:rPr>
          <w:rFonts w:asciiTheme="minorHAnsi" w:hAnsiTheme="minorHAnsi" w:cstheme="minorHAnsi"/>
        </w:rPr>
        <w:t>easonable efforts should be made by relevant parties</w:t>
      </w:r>
      <w:r w:rsidR="00F3238D" w:rsidRPr="00B018D0">
        <w:rPr>
          <w:rFonts w:asciiTheme="minorHAnsi" w:hAnsiTheme="minorHAnsi" w:cstheme="minorHAnsi"/>
        </w:rPr>
        <w:t xml:space="preserve"> (including but not limited to the government, </w:t>
      </w:r>
      <w:r w:rsidR="00CD054C">
        <w:rPr>
          <w:rFonts w:asciiTheme="minorHAnsi" w:hAnsiTheme="minorHAnsi" w:cstheme="minorHAnsi"/>
        </w:rPr>
        <w:t>p</w:t>
      </w:r>
      <w:r w:rsidR="00F3238D" w:rsidRPr="00B018D0">
        <w:rPr>
          <w:rFonts w:asciiTheme="minorHAnsi" w:hAnsiTheme="minorHAnsi" w:cstheme="minorHAnsi"/>
        </w:rPr>
        <w:t>orts</w:t>
      </w:r>
      <w:r w:rsidR="00362701" w:rsidRPr="00B018D0">
        <w:rPr>
          <w:rFonts w:asciiTheme="minorHAnsi" w:hAnsiTheme="minorHAnsi" w:cstheme="minorHAnsi"/>
        </w:rPr>
        <w:t xml:space="preserve">, </w:t>
      </w:r>
      <w:r w:rsidR="00F3238D" w:rsidRPr="00B018D0">
        <w:rPr>
          <w:rFonts w:asciiTheme="minorHAnsi" w:hAnsiTheme="minorHAnsi" w:cstheme="minorHAnsi"/>
        </w:rPr>
        <w:t>stevedores</w:t>
      </w:r>
      <w:r w:rsidRPr="00B018D0">
        <w:rPr>
          <w:rFonts w:asciiTheme="minorHAnsi" w:hAnsiTheme="minorHAnsi" w:cstheme="minorHAnsi"/>
        </w:rPr>
        <w:t xml:space="preserve"> and other owners and managers of port infrastructure</w:t>
      </w:r>
      <w:r w:rsidR="00F3238D" w:rsidRPr="00B018D0">
        <w:rPr>
          <w:rFonts w:asciiTheme="minorHAnsi" w:hAnsiTheme="minorHAnsi" w:cstheme="minorHAnsi"/>
        </w:rPr>
        <w:t xml:space="preserve">) </w:t>
      </w:r>
      <w:r w:rsidR="00362701" w:rsidRPr="00B018D0">
        <w:rPr>
          <w:rFonts w:asciiTheme="minorHAnsi" w:hAnsiTheme="minorHAnsi" w:cstheme="minorHAnsi"/>
        </w:rPr>
        <w:t xml:space="preserve">to encourage </w:t>
      </w:r>
      <w:r w:rsidR="000D6F76">
        <w:rPr>
          <w:rFonts w:asciiTheme="minorHAnsi" w:hAnsiTheme="minorHAnsi" w:cstheme="minorHAnsi"/>
        </w:rPr>
        <w:t xml:space="preserve">use of </w:t>
      </w:r>
      <w:r w:rsidR="00362701" w:rsidRPr="00B018D0">
        <w:rPr>
          <w:rFonts w:asciiTheme="minorHAnsi" w:hAnsiTheme="minorHAnsi" w:cstheme="minorHAnsi"/>
        </w:rPr>
        <w:t>PBS vehicles</w:t>
      </w:r>
      <w:r w:rsidR="00A9573D" w:rsidRPr="00B018D0">
        <w:rPr>
          <w:rFonts w:asciiTheme="minorHAnsi" w:hAnsiTheme="minorHAnsi" w:cstheme="minorHAnsi"/>
        </w:rPr>
        <w:t xml:space="preserve"> and other higher productivity vehicles</w:t>
      </w:r>
      <w:r w:rsidR="00181227" w:rsidRPr="00B018D0">
        <w:rPr>
          <w:rFonts w:asciiTheme="minorHAnsi" w:hAnsiTheme="minorHAnsi" w:cstheme="minorHAnsi"/>
        </w:rPr>
        <w:t>.</w:t>
      </w:r>
      <w:r w:rsidR="007A6752" w:rsidRPr="00B018D0">
        <w:rPr>
          <w:rFonts w:asciiTheme="minorHAnsi" w:hAnsiTheme="minorHAnsi" w:cstheme="minorHAnsi"/>
        </w:rPr>
        <w:t xml:space="preserve"> </w:t>
      </w:r>
      <w:r w:rsidR="00E54215" w:rsidRPr="00B018D0">
        <w:rPr>
          <w:rFonts w:asciiTheme="minorHAnsi" w:hAnsiTheme="minorHAnsi" w:cstheme="minorHAnsi"/>
        </w:rPr>
        <w:t>Mechanisms to facilitate this outcome could include</w:t>
      </w:r>
      <w:r w:rsidRPr="00B018D0">
        <w:rPr>
          <w:rFonts w:asciiTheme="minorHAnsi" w:hAnsiTheme="minorHAnsi" w:cstheme="minorHAnsi"/>
        </w:rPr>
        <w:t xml:space="preserve"> </w:t>
      </w:r>
      <w:r w:rsidR="00283251" w:rsidRPr="00B018D0">
        <w:rPr>
          <w:rFonts w:asciiTheme="minorHAnsi" w:hAnsiTheme="minorHAnsi" w:cstheme="minorHAnsi"/>
        </w:rPr>
        <w:t>regulation</w:t>
      </w:r>
      <w:r w:rsidR="00ED2A96" w:rsidRPr="00B018D0">
        <w:rPr>
          <w:rFonts w:asciiTheme="minorHAnsi" w:hAnsiTheme="minorHAnsi" w:cstheme="minorHAnsi"/>
        </w:rPr>
        <w:t xml:space="preserve"> (such as providing consent to access under notice)</w:t>
      </w:r>
      <w:r w:rsidRPr="00B018D0">
        <w:rPr>
          <w:rFonts w:asciiTheme="minorHAnsi" w:hAnsiTheme="minorHAnsi" w:cstheme="minorHAnsi"/>
        </w:rPr>
        <w:t xml:space="preserve">, </w:t>
      </w:r>
      <w:r w:rsidR="00FF7A94" w:rsidRPr="00B018D0">
        <w:rPr>
          <w:rFonts w:asciiTheme="minorHAnsi" w:hAnsiTheme="minorHAnsi" w:cstheme="minorHAnsi"/>
        </w:rPr>
        <w:t>strategic and</w:t>
      </w:r>
      <w:r w:rsidRPr="00B018D0">
        <w:rPr>
          <w:rFonts w:asciiTheme="minorHAnsi" w:hAnsiTheme="minorHAnsi" w:cstheme="minorHAnsi"/>
        </w:rPr>
        <w:t xml:space="preserve"> </w:t>
      </w:r>
      <w:r w:rsidR="00FF7A94" w:rsidRPr="00B018D0">
        <w:rPr>
          <w:rFonts w:asciiTheme="minorHAnsi" w:hAnsiTheme="minorHAnsi" w:cstheme="minorHAnsi"/>
        </w:rPr>
        <w:t xml:space="preserve">operational </w:t>
      </w:r>
      <w:r w:rsidR="009A7059" w:rsidRPr="00B018D0">
        <w:rPr>
          <w:rFonts w:asciiTheme="minorHAnsi" w:hAnsiTheme="minorHAnsi" w:cstheme="minorHAnsi"/>
        </w:rPr>
        <w:t>policy</w:t>
      </w:r>
      <w:r w:rsidR="00E11D7A" w:rsidRPr="00B018D0">
        <w:rPr>
          <w:rFonts w:asciiTheme="minorHAnsi" w:hAnsiTheme="minorHAnsi" w:cstheme="minorHAnsi"/>
        </w:rPr>
        <w:t>, and suitable design</w:t>
      </w:r>
      <w:r w:rsidR="00BA05E9" w:rsidRPr="00B018D0">
        <w:rPr>
          <w:rFonts w:asciiTheme="minorHAnsi" w:hAnsiTheme="minorHAnsi" w:cstheme="minorHAnsi"/>
        </w:rPr>
        <w:t xml:space="preserve"> standard</w:t>
      </w:r>
      <w:r w:rsidR="00E90FED" w:rsidRPr="00B018D0">
        <w:rPr>
          <w:rFonts w:asciiTheme="minorHAnsi" w:hAnsiTheme="minorHAnsi" w:cstheme="minorHAnsi"/>
        </w:rPr>
        <w:t>s</w:t>
      </w:r>
      <w:r w:rsidR="00E11D7A" w:rsidRPr="00B018D0">
        <w:rPr>
          <w:rFonts w:asciiTheme="minorHAnsi" w:hAnsiTheme="minorHAnsi" w:cstheme="minorHAnsi"/>
        </w:rPr>
        <w:t xml:space="preserve"> in future infrastructure upgrades</w:t>
      </w:r>
      <w:r w:rsidR="00E54215" w:rsidRPr="00B018D0">
        <w:rPr>
          <w:rFonts w:asciiTheme="minorHAnsi" w:hAnsiTheme="minorHAnsi" w:cstheme="minorHAnsi"/>
        </w:rPr>
        <w:t>.</w:t>
      </w:r>
    </w:p>
    <w:p w14:paraId="49C7A71A" w14:textId="5E660C57" w:rsidR="00D61A6E" w:rsidRPr="009C6FC7" w:rsidRDefault="00D61A6E" w:rsidP="00B40A79">
      <w:pPr>
        <w:pStyle w:val="BodyText"/>
        <w:spacing w:after="240" w:line="259" w:lineRule="auto"/>
        <w:rPr>
          <w:rFonts w:asciiTheme="minorHAnsi" w:hAnsiTheme="minorHAnsi" w:cstheme="minorHAnsi"/>
        </w:rPr>
      </w:pPr>
      <w:r w:rsidRPr="009C6FC7">
        <w:rPr>
          <w:rFonts w:asciiTheme="minorHAnsi" w:hAnsiTheme="minorHAnsi" w:cstheme="minorHAnsi"/>
          <w:b/>
          <w:bCs/>
        </w:rPr>
        <w:t xml:space="preserve">Recommendation 3: </w:t>
      </w:r>
      <w:r w:rsidRPr="009C6FC7">
        <w:rPr>
          <w:rFonts w:asciiTheme="minorHAnsi" w:hAnsiTheme="minorHAnsi" w:cstheme="minorHAnsi"/>
        </w:rPr>
        <w:t>Ports, stevedores and other owners and managers of port infrastructure should do more to monitor compliance with Marine Order 42</w:t>
      </w:r>
      <w:r w:rsidR="00283B1F">
        <w:rPr>
          <w:rFonts w:asciiTheme="minorHAnsi" w:hAnsiTheme="minorHAnsi" w:cstheme="minorHAnsi"/>
        </w:rPr>
        <w:t xml:space="preserve"> (Carriage, stowage and securing of cargoes and containers)</w:t>
      </w:r>
      <w:r w:rsidRPr="009C6FC7">
        <w:rPr>
          <w:rFonts w:asciiTheme="minorHAnsi" w:hAnsiTheme="minorHAnsi" w:cstheme="minorHAnsi"/>
        </w:rPr>
        <w:t xml:space="preserve"> and should ensure there are facilities at every port to allow unsafe containers to be detected and inspected. Commercial arrangements should support transporters </w:t>
      </w:r>
      <w:r w:rsidR="00154535" w:rsidRPr="009C6FC7">
        <w:rPr>
          <w:rFonts w:asciiTheme="minorHAnsi" w:hAnsiTheme="minorHAnsi" w:cstheme="minorHAnsi"/>
        </w:rPr>
        <w:t xml:space="preserve">to </w:t>
      </w:r>
      <w:r w:rsidRPr="009C6FC7">
        <w:rPr>
          <w:rFonts w:asciiTheme="minorHAnsi" w:hAnsiTheme="minorHAnsi" w:cstheme="minorHAnsi"/>
        </w:rPr>
        <w:t>tak</w:t>
      </w:r>
      <w:r w:rsidR="00154535" w:rsidRPr="009C6FC7">
        <w:rPr>
          <w:rFonts w:asciiTheme="minorHAnsi" w:hAnsiTheme="minorHAnsi" w:cstheme="minorHAnsi"/>
        </w:rPr>
        <w:t>e</w:t>
      </w:r>
      <w:r w:rsidRPr="009C6FC7">
        <w:rPr>
          <w:rFonts w:asciiTheme="minorHAnsi" w:hAnsiTheme="minorHAnsi" w:cstheme="minorHAnsi"/>
        </w:rPr>
        <w:t xml:space="preserve"> action when containers are non-compliant, rather than prohibiting or deterring this. </w:t>
      </w:r>
    </w:p>
    <w:p w14:paraId="29908B1D" w14:textId="03D97179" w:rsidR="00D61A6E" w:rsidRPr="00B018D0" w:rsidRDefault="00D61A6E" w:rsidP="00B40A79">
      <w:pPr>
        <w:pStyle w:val="BodyText"/>
        <w:spacing w:line="259" w:lineRule="auto"/>
        <w:rPr>
          <w:rFonts w:asciiTheme="minorHAnsi" w:hAnsiTheme="minorHAnsi" w:cstheme="minorHAnsi"/>
        </w:rPr>
      </w:pPr>
      <w:r w:rsidRPr="009C6FC7">
        <w:rPr>
          <w:rFonts w:asciiTheme="minorHAnsi" w:hAnsiTheme="minorHAnsi" w:cstheme="minorHAnsi"/>
          <w:b/>
          <w:bCs/>
        </w:rPr>
        <w:t>Recommendation 4:</w:t>
      </w:r>
      <w:r w:rsidRPr="009C6FC7">
        <w:rPr>
          <w:rFonts w:asciiTheme="minorHAnsi" w:hAnsiTheme="minorHAnsi" w:cstheme="minorHAnsi"/>
        </w:rPr>
        <w:t xml:space="preserve"> Information </w:t>
      </w:r>
      <w:r w:rsidRPr="00B018D0">
        <w:rPr>
          <w:rFonts w:asciiTheme="minorHAnsi" w:hAnsiTheme="minorHAnsi" w:cstheme="minorHAnsi"/>
        </w:rPr>
        <w:t>about the mass of a container should be reliably and seamlessly shared with</w:t>
      </w:r>
      <w:r w:rsidR="00735E45">
        <w:rPr>
          <w:rFonts w:asciiTheme="minorHAnsi" w:hAnsiTheme="minorHAnsi" w:cstheme="minorHAnsi"/>
        </w:rPr>
        <w:t>,</w:t>
      </w:r>
      <w:r w:rsidRPr="00B018D0">
        <w:rPr>
          <w:rFonts w:asciiTheme="minorHAnsi" w:hAnsiTheme="minorHAnsi" w:cstheme="minorHAnsi"/>
        </w:rPr>
        <w:t xml:space="preserve"> or accessible to</w:t>
      </w:r>
      <w:r w:rsidR="00735E45">
        <w:rPr>
          <w:rFonts w:asciiTheme="minorHAnsi" w:hAnsiTheme="minorHAnsi" w:cstheme="minorHAnsi"/>
        </w:rPr>
        <w:t>,</w:t>
      </w:r>
      <w:r w:rsidRPr="00B018D0">
        <w:rPr>
          <w:rFonts w:asciiTheme="minorHAnsi" w:hAnsiTheme="minorHAnsi" w:cstheme="minorHAnsi"/>
        </w:rPr>
        <w:t xml:space="preserve"> road transporters. Information about the customs status of a container should be reliably and seamlessly shared with</w:t>
      </w:r>
      <w:r w:rsidR="00B041ED">
        <w:rPr>
          <w:rFonts w:asciiTheme="minorHAnsi" w:hAnsiTheme="minorHAnsi" w:cstheme="minorHAnsi"/>
        </w:rPr>
        <w:t>,</w:t>
      </w:r>
      <w:r w:rsidRPr="00B018D0">
        <w:rPr>
          <w:rFonts w:asciiTheme="minorHAnsi" w:hAnsiTheme="minorHAnsi" w:cstheme="minorHAnsi"/>
        </w:rPr>
        <w:t xml:space="preserve"> or accessible to</w:t>
      </w:r>
      <w:r w:rsidR="00B041ED">
        <w:rPr>
          <w:rFonts w:asciiTheme="minorHAnsi" w:hAnsiTheme="minorHAnsi" w:cstheme="minorHAnsi"/>
        </w:rPr>
        <w:t>,</w:t>
      </w:r>
      <w:r w:rsidRPr="00B018D0">
        <w:rPr>
          <w:rFonts w:asciiTheme="minorHAnsi" w:hAnsiTheme="minorHAnsi" w:cstheme="minorHAnsi"/>
        </w:rPr>
        <w:t xml:space="preserve"> road transporters. </w:t>
      </w:r>
    </w:p>
    <w:p w14:paraId="00A66749" w14:textId="77777777" w:rsidR="00D61A6E" w:rsidRPr="00B018D0" w:rsidRDefault="00D61A6E" w:rsidP="00B40A79">
      <w:pPr>
        <w:pStyle w:val="BodyText"/>
        <w:spacing w:line="259" w:lineRule="auto"/>
        <w:rPr>
          <w:rFonts w:asciiTheme="minorHAnsi" w:hAnsiTheme="minorHAnsi" w:cstheme="minorHAnsi"/>
        </w:rPr>
      </w:pPr>
    </w:p>
    <w:p w14:paraId="6545A32F" w14:textId="37E73007" w:rsidR="00700DDA" w:rsidRPr="00B018D0" w:rsidRDefault="00BE0E3E" w:rsidP="00B40A79">
      <w:pPr>
        <w:pStyle w:val="BodyText"/>
        <w:spacing w:line="259" w:lineRule="auto"/>
        <w:rPr>
          <w:rFonts w:asciiTheme="minorHAnsi" w:hAnsiTheme="minorHAnsi" w:cstheme="minorHAnsi"/>
        </w:rPr>
      </w:pPr>
      <w:r w:rsidRPr="00B018D0">
        <w:rPr>
          <w:rFonts w:asciiTheme="minorHAnsi" w:hAnsiTheme="minorHAnsi" w:cstheme="minorHAnsi"/>
        </w:rPr>
        <w:t xml:space="preserve">For further information, please contact </w:t>
      </w:r>
      <w:r w:rsidR="00614824">
        <w:rPr>
          <w:rFonts w:asciiTheme="minorHAnsi" w:hAnsiTheme="minorHAnsi" w:cstheme="minorHAnsi"/>
        </w:rPr>
        <w:t xml:space="preserve">Mr Peter Caprioli, </w:t>
      </w:r>
      <w:r w:rsidR="00F0663E" w:rsidRPr="00F0663E">
        <w:rPr>
          <w:rFonts w:asciiTheme="minorHAnsi" w:hAnsiTheme="minorHAnsi" w:cstheme="minorHAnsi"/>
        </w:rPr>
        <w:t>Executive Director Freight &amp; Supply Chain Productivity</w:t>
      </w:r>
      <w:r w:rsidR="00475330">
        <w:rPr>
          <w:rFonts w:asciiTheme="minorHAnsi" w:hAnsiTheme="minorHAnsi" w:cstheme="minorHAnsi"/>
        </w:rPr>
        <w:t>.</w:t>
      </w:r>
    </w:p>
    <w:p w14:paraId="32B9CE94" w14:textId="77777777" w:rsidR="00A12882" w:rsidRPr="00B018D0" w:rsidRDefault="00A12882">
      <w:pPr>
        <w:spacing w:after="200" w:line="276" w:lineRule="auto"/>
        <w:rPr>
          <w:rFonts w:asciiTheme="minorHAnsi" w:eastAsia="Cambria" w:hAnsiTheme="minorHAnsi" w:cstheme="minorHAnsi"/>
          <w:b/>
          <w:bCs/>
          <w:color w:val="0F2D52" w:themeColor="text2"/>
          <w:sz w:val="42"/>
          <w:szCs w:val="42"/>
          <w:lang w:val="en-US"/>
        </w:rPr>
      </w:pPr>
      <w:r w:rsidRPr="00B018D0">
        <w:rPr>
          <w:rFonts w:asciiTheme="minorHAnsi" w:hAnsiTheme="minorHAnsi" w:cstheme="minorHAnsi"/>
          <w:sz w:val="42"/>
          <w:szCs w:val="42"/>
        </w:rPr>
        <w:br w:type="page"/>
      </w:r>
    </w:p>
    <w:p w14:paraId="00B908CD" w14:textId="2FF7064F" w:rsidR="00E508BA" w:rsidRPr="00B018D0" w:rsidRDefault="00E508BA" w:rsidP="00E508BA">
      <w:pPr>
        <w:pStyle w:val="Heading1"/>
        <w:spacing w:before="360" w:after="240"/>
        <w:rPr>
          <w:rFonts w:asciiTheme="minorHAnsi" w:hAnsiTheme="minorHAnsi" w:cstheme="minorHAnsi"/>
          <w:sz w:val="42"/>
          <w:szCs w:val="42"/>
        </w:rPr>
      </w:pPr>
      <w:r w:rsidRPr="00B018D0">
        <w:rPr>
          <w:rFonts w:asciiTheme="minorHAnsi" w:hAnsiTheme="minorHAnsi" w:cstheme="minorHAnsi"/>
          <w:sz w:val="42"/>
          <w:szCs w:val="42"/>
        </w:rPr>
        <w:t xml:space="preserve">About </w:t>
      </w:r>
      <w:r w:rsidR="002558E3" w:rsidRPr="00B018D0">
        <w:rPr>
          <w:rFonts w:asciiTheme="minorHAnsi" w:hAnsiTheme="minorHAnsi" w:cstheme="minorHAnsi"/>
          <w:sz w:val="42"/>
          <w:szCs w:val="42"/>
        </w:rPr>
        <w:t>the NHVR</w:t>
      </w:r>
    </w:p>
    <w:p w14:paraId="422A75D1" w14:textId="4BE8AD64" w:rsidR="00CD5352" w:rsidRPr="00B018D0" w:rsidRDefault="00E508BA" w:rsidP="00CD5352">
      <w:pPr>
        <w:pStyle w:val="BodyText"/>
        <w:rPr>
          <w:rFonts w:asciiTheme="minorHAnsi" w:hAnsiTheme="minorHAnsi" w:cstheme="minorHAnsi"/>
        </w:rPr>
      </w:pPr>
      <w:r w:rsidRPr="00B018D0">
        <w:rPr>
          <w:rFonts w:asciiTheme="minorHAnsi" w:hAnsiTheme="minorHAnsi" w:cstheme="minorHAnsi"/>
        </w:rPr>
        <w:t xml:space="preserve">The NHVR </w:t>
      </w:r>
      <w:r w:rsidR="000108D3" w:rsidRPr="00B018D0">
        <w:rPr>
          <w:rFonts w:asciiTheme="minorHAnsi" w:hAnsiTheme="minorHAnsi" w:cstheme="minorHAnsi"/>
        </w:rPr>
        <w:t xml:space="preserve">is Australia’s dedicated statutory regulator for all heavy vehicles over 4.5 tonnes gross vehicle mass or aggregate trailer mass. </w:t>
      </w:r>
    </w:p>
    <w:p w14:paraId="3850A61A" w14:textId="5AD5CFF1" w:rsidR="001D07F7" w:rsidRPr="00B018D0" w:rsidRDefault="001D07F7" w:rsidP="00CD5352">
      <w:pPr>
        <w:pStyle w:val="BodyText"/>
        <w:rPr>
          <w:rFonts w:asciiTheme="minorHAnsi" w:hAnsiTheme="minorHAnsi" w:cstheme="minorHAnsi"/>
        </w:rPr>
      </w:pPr>
      <w:r w:rsidRPr="00B018D0">
        <w:rPr>
          <w:rFonts w:asciiTheme="minorHAnsi" w:hAnsiTheme="minorHAnsi" w:cstheme="minorHAnsi"/>
        </w:rPr>
        <w:t>We were established in 2013 as a statutory authority pursuant to the Heavy Vehicle National Law.</w:t>
      </w:r>
    </w:p>
    <w:p w14:paraId="62A0E7BF" w14:textId="77777777" w:rsidR="002558E3" w:rsidRPr="00B018D0" w:rsidRDefault="002558E3" w:rsidP="002558E3">
      <w:pPr>
        <w:pStyle w:val="Heading2"/>
        <w:tabs>
          <w:tab w:val="left" w:pos="720"/>
        </w:tabs>
        <w:rPr>
          <w:rFonts w:asciiTheme="minorHAnsi" w:eastAsia="Times New Roman" w:hAnsiTheme="minorHAnsi" w:cstheme="minorHAnsi"/>
          <w:bCs w:val="0"/>
          <w:sz w:val="24"/>
          <w:szCs w:val="22"/>
          <w:lang w:val="en-GB"/>
        </w:rPr>
      </w:pPr>
      <w:r w:rsidRPr="00B018D0">
        <w:rPr>
          <w:rFonts w:asciiTheme="minorHAnsi" w:eastAsia="Times New Roman" w:hAnsiTheme="minorHAnsi" w:cstheme="minorHAnsi"/>
          <w:bCs w:val="0"/>
          <w:sz w:val="24"/>
          <w:szCs w:val="22"/>
          <w:lang w:val="en-GB"/>
        </w:rPr>
        <w:t>Our Purpose</w:t>
      </w:r>
    </w:p>
    <w:p w14:paraId="51E7687F" w14:textId="77777777" w:rsidR="002558E3" w:rsidRPr="00B018D0" w:rsidRDefault="002558E3" w:rsidP="002558E3">
      <w:pPr>
        <w:pStyle w:val="BodyText"/>
        <w:rPr>
          <w:rFonts w:asciiTheme="minorHAnsi" w:hAnsiTheme="minorHAnsi" w:cstheme="minorHAnsi"/>
          <w:bCs/>
        </w:rPr>
      </w:pPr>
      <w:r w:rsidRPr="00B018D0">
        <w:rPr>
          <w:rFonts w:asciiTheme="minorHAnsi" w:hAnsiTheme="minorHAnsi" w:cstheme="minorHAnsi"/>
        </w:rPr>
        <w:t>We provide leadership to, and work collaboratively with, industry and partner agencies to drive sustainable improvements to safety, productivity and efficiency outcomes across the Australian heavy vehicle road transport sector.</w:t>
      </w:r>
    </w:p>
    <w:p w14:paraId="35A0AF5F" w14:textId="77777777" w:rsidR="002558E3" w:rsidRPr="00B018D0" w:rsidRDefault="002558E3" w:rsidP="002558E3">
      <w:pPr>
        <w:pStyle w:val="Heading2"/>
        <w:tabs>
          <w:tab w:val="left" w:pos="720"/>
        </w:tabs>
        <w:rPr>
          <w:rFonts w:asciiTheme="minorHAnsi" w:eastAsia="Times New Roman" w:hAnsiTheme="minorHAnsi" w:cstheme="minorHAnsi"/>
          <w:sz w:val="24"/>
          <w:szCs w:val="22"/>
          <w:lang w:val="en-GB"/>
        </w:rPr>
      </w:pPr>
      <w:r w:rsidRPr="00B018D0">
        <w:rPr>
          <w:rFonts w:asciiTheme="minorHAnsi" w:eastAsia="Times New Roman" w:hAnsiTheme="minorHAnsi" w:cstheme="minorHAnsi"/>
          <w:bCs w:val="0"/>
          <w:sz w:val="24"/>
          <w:szCs w:val="22"/>
          <w:lang w:val="en-GB"/>
        </w:rPr>
        <w:t>Our Vision</w:t>
      </w:r>
    </w:p>
    <w:p w14:paraId="7074A42E" w14:textId="77777777" w:rsidR="002558E3" w:rsidRPr="00B018D0" w:rsidRDefault="002558E3" w:rsidP="002558E3">
      <w:pPr>
        <w:pStyle w:val="BodyText"/>
        <w:rPr>
          <w:rFonts w:asciiTheme="minorHAnsi" w:eastAsiaTheme="minorHAnsi" w:hAnsiTheme="minorHAnsi" w:cstheme="minorHAnsi"/>
          <w:sz w:val="24"/>
          <w:szCs w:val="22"/>
        </w:rPr>
      </w:pPr>
      <w:r w:rsidRPr="00B018D0">
        <w:rPr>
          <w:rFonts w:asciiTheme="minorHAnsi" w:hAnsiTheme="minorHAnsi" w:cstheme="minorHAnsi"/>
        </w:rPr>
        <w:t xml:space="preserve">Delivering safe, efficient and productive heavy vehicle movements supporting a strong and prosperous Australia. </w:t>
      </w:r>
    </w:p>
    <w:p w14:paraId="45CB5C4A" w14:textId="77777777" w:rsidR="002558E3" w:rsidRPr="00B018D0" w:rsidRDefault="002558E3" w:rsidP="002558E3">
      <w:pPr>
        <w:pStyle w:val="Heading2"/>
        <w:tabs>
          <w:tab w:val="left" w:pos="720"/>
        </w:tabs>
        <w:ind w:left="576" w:hanging="576"/>
        <w:rPr>
          <w:rFonts w:asciiTheme="minorHAnsi" w:eastAsia="Times New Roman" w:hAnsiTheme="minorHAnsi" w:cstheme="minorHAnsi"/>
          <w:sz w:val="24"/>
          <w:szCs w:val="22"/>
          <w:lang w:val="en-GB"/>
        </w:rPr>
      </w:pPr>
      <w:r w:rsidRPr="00B018D0">
        <w:rPr>
          <w:rFonts w:asciiTheme="minorHAnsi" w:eastAsia="Times New Roman" w:hAnsiTheme="minorHAnsi" w:cstheme="minorHAnsi"/>
          <w:bCs w:val="0"/>
          <w:sz w:val="24"/>
          <w:szCs w:val="22"/>
          <w:lang w:val="en-GB"/>
        </w:rPr>
        <w:t>Our Mission</w:t>
      </w:r>
    </w:p>
    <w:p w14:paraId="25A06C29" w14:textId="77777777" w:rsidR="002558E3" w:rsidRPr="00B018D0" w:rsidRDefault="002558E3" w:rsidP="002558E3">
      <w:pPr>
        <w:pStyle w:val="BodyText"/>
        <w:rPr>
          <w:rFonts w:asciiTheme="minorHAnsi" w:eastAsiaTheme="minorHAnsi" w:hAnsiTheme="minorHAnsi" w:cstheme="minorHAnsi"/>
          <w:sz w:val="24"/>
          <w:szCs w:val="22"/>
        </w:rPr>
      </w:pPr>
      <w:r w:rsidRPr="00B018D0">
        <w:rPr>
          <w:rFonts w:asciiTheme="minorHAnsi" w:hAnsiTheme="minorHAnsi" w:cstheme="minorHAnsi"/>
        </w:rPr>
        <w:t>Through leadership and advocacy we administer a national statutory system to deliver streamlined regulatory services and administration to the heavy vehicle road transport sector, minimising regulatory burdens while fostering greater safety and productivity.</w:t>
      </w:r>
    </w:p>
    <w:p w14:paraId="48EB8AE1" w14:textId="77777777" w:rsidR="000108D3" w:rsidRPr="00B018D0" w:rsidRDefault="000108D3" w:rsidP="00E508BA">
      <w:pPr>
        <w:pStyle w:val="BodyText"/>
        <w:spacing w:after="0"/>
        <w:rPr>
          <w:rFonts w:asciiTheme="minorHAnsi" w:hAnsiTheme="minorHAnsi" w:cstheme="minorHAnsi"/>
          <w:b/>
          <w:bCs/>
        </w:rPr>
      </w:pPr>
    </w:p>
    <w:p w14:paraId="0F3BB95A" w14:textId="77777777" w:rsidR="000108D3" w:rsidRPr="00B018D0" w:rsidRDefault="000108D3" w:rsidP="00E508BA">
      <w:pPr>
        <w:pStyle w:val="BodyText"/>
        <w:spacing w:after="0"/>
        <w:rPr>
          <w:rFonts w:asciiTheme="minorHAnsi" w:hAnsiTheme="minorHAnsi" w:cstheme="minorHAnsi"/>
        </w:rPr>
      </w:pPr>
      <w:r w:rsidRPr="00B018D0">
        <w:rPr>
          <w:rFonts w:asciiTheme="minorHAnsi" w:hAnsiTheme="minorHAnsi" w:cstheme="minorHAnsi"/>
          <w:noProof/>
          <w:lang w:eastAsia="en-AU"/>
        </w:rPr>
        <w:drawing>
          <wp:inline distT="0" distB="0" distL="0" distR="0" wp14:anchorId="109386A7" wp14:editId="69DE150B">
            <wp:extent cx="6239987" cy="4013860"/>
            <wp:effectExtent l="0" t="0" r="889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27040" cy="4069856"/>
                    </a:xfrm>
                    <a:prstGeom prst="rect">
                      <a:avLst/>
                    </a:prstGeom>
                  </pic:spPr>
                </pic:pic>
              </a:graphicData>
            </a:graphic>
          </wp:inline>
        </w:drawing>
      </w:r>
    </w:p>
    <w:p w14:paraId="453D005C" w14:textId="77777777" w:rsidR="00A12882" w:rsidRPr="00B018D0" w:rsidRDefault="00A12882">
      <w:pPr>
        <w:spacing w:after="200" w:line="276" w:lineRule="auto"/>
        <w:rPr>
          <w:rFonts w:asciiTheme="minorHAnsi" w:eastAsia="Cambria" w:hAnsiTheme="minorHAnsi" w:cstheme="minorHAnsi"/>
          <w:b/>
          <w:bCs/>
          <w:color w:val="0F2D52" w:themeColor="text2"/>
          <w:sz w:val="42"/>
          <w:szCs w:val="42"/>
          <w:lang w:val="en-US"/>
        </w:rPr>
      </w:pPr>
      <w:r w:rsidRPr="00B018D0">
        <w:rPr>
          <w:rFonts w:asciiTheme="minorHAnsi" w:hAnsiTheme="minorHAnsi" w:cstheme="minorHAnsi"/>
          <w:sz w:val="42"/>
          <w:szCs w:val="42"/>
        </w:rPr>
        <w:br w:type="page"/>
      </w:r>
    </w:p>
    <w:p w14:paraId="01425C7C" w14:textId="40BD9D01" w:rsidR="00827DBB" w:rsidRPr="00B018D0" w:rsidRDefault="002558E3" w:rsidP="00827DBB">
      <w:pPr>
        <w:pStyle w:val="Heading1"/>
        <w:spacing w:before="360" w:after="240"/>
        <w:rPr>
          <w:rFonts w:asciiTheme="minorHAnsi" w:hAnsiTheme="minorHAnsi" w:cstheme="minorHAnsi"/>
          <w:sz w:val="42"/>
          <w:szCs w:val="42"/>
        </w:rPr>
      </w:pPr>
      <w:r w:rsidRPr="00B018D0">
        <w:rPr>
          <w:rFonts w:asciiTheme="minorHAnsi" w:hAnsiTheme="minorHAnsi" w:cstheme="minorHAnsi"/>
          <w:sz w:val="42"/>
          <w:szCs w:val="42"/>
        </w:rPr>
        <w:t>Submission Response</w:t>
      </w:r>
    </w:p>
    <w:p w14:paraId="603E11B0" w14:textId="36C6B8C8" w:rsidR="00A12882" w:rsidRPr="00B018D0" w:rsidRDefault="001F5D22" w:rsidP="0021401A">
      <w:pPr>
        <w:pStyle w:val="BodyText"/>
        <w:numPr>
          <w:ilvl w:val="0"/>
          <w:numId w:val="21"/>
        </w:numPr>
        <w:spacing w:after="160" w:line="259" w:lineRule="auto"/>
        <w:ind w:left="721" w:hanging="437"/>
        <w:rPr>
          <w:rFonts w:asciiTheme="minorHAnsi" w:hAnsiTheme="minorHAnsi" w:cstheme="minorHAnsi"/>
        </w:rPr>
      </w:pPr>
      <w:r w:rsidRPr="00B018D0">
        <w:rPr>
          <w:rFonts w:asciiTheme="minorHAnsi" w:hAnsiTheme="minorHAnsi" w:cstheme="minorHAnsi"/>
          <w:color w:val="auto"/>
        </w:rPr>
        <w:t xml:space="preserve">This submission is informed by our knowledge and experience in regulating heavy vehicles, and from our </w:t>
      </w:r>
      <w:r w:rsidR="00181227" w:rsidRPr="00B018D0">
        <w:rPr>
          <w:rFonts w:asciiTheme="minorHAnsi" w:hAnsiTheme="minorHAnsi" w:cstheme="minorHAnsi"/>
          <w:color w:val="auto"/>
        </w:rPr>
        <w:t xml:space="preserve">day-to-day </w:t>
      </w:r>
      <w:r w:rsidRPr="00B018D0">
        <w:rPr>
          <w:rFonts w:asciiTheme="minorHAnsi" w:hAnsiTheme="minorHAnsi" w:cstheme="minorHAnsi"/>
          <w:color w:val="auto"/>
        </w:rPr>
        <w:t xml:space="preserve">engagement with </w:t>
      </w:r>
      <w:r w:rsidR="00616463" w:rsidRPr="00B018D0">
        <w:rPr>
          <w:rFonts w:asciiTheme="minorHAnsi" w:hAnsiTheme="minorHAnsi" w:cstheme="minorHAnsi"/>
          <w:color w:val="auto"/>
        </w:rPr>
        <w:t xml:space="preserve">state and territory transport agencies, </w:t>
      </w:r>
      <w:r w:rsidRPr="00B018D0">
        <w:rPr>
          <w:rFonts w:asciiTheme="minorHAnsi" w:hAnsiTheme="minorHAnsi" w:cstheme="minorHAnsi"/>
          <w:color w:val="auto"/>
        </w:rPr>
        <w:t xml:space="preserve">road managers </w:t>
      </w:r>
      <w:r w:rsidR="00F813B2" w:rsidRPr="00B018D0">
        <w:rPr>
          <w:rFonts w:asciiTheme="minorHAnsi" w:hAnsiTheme="minorHAnsi" w:cstheme="minorHAnsi"/>
          <w:color w:val="auto"/>
        </w:rPr>
        <w:t>and the heavy vehicle</w:t>
      </w:r>
      <w:r w:rsidRPr="00B018D0">
        <w:rPr>
          <w:rFonts w:asciiTheme="minorHAnsi" w:hAnsiTheme="minorHAnsi" w:cstheme="minorHAnsi"/>
          <w:color w:val="auto"/>
        </w:rPr>
        <w:t xml:space="preserve"> industry. </w:t>
      </w:r>
      <w:r w:rsidRPr="00B018D0">
        <w:rPr>
          <w:rFonts w:asciiTheme="minorHAnsi" w:hAnsiTheme="minorHAnsi" w:cstheme="minorHAnsi"/>
        </w:rPr>
        <w:t xml:space="preserve">This provides the NHVR with unique insight </w:t>
      </w:r>
      <w:r w:rsidR="00FD7F32">
        <w:rPr>
          <w:rFonts w:asciiTheme="minorHAnsi" w:hAnsiTheme="minorHAnsi" w:cstheme="minorHAnsi"/>
        </w:rPr>
        <w:t>in</w:t>
      </w:r>
      <w:r w:rsidRPr="00B018D0">
        <w:rPr>
          <w:rFonts w:asciiTheme="minorHAnsi" w:hAnsiTheme="minorHAnsi" w:cstheme="minorHAnsi"/>
        </w:rPr>
        <w:t xml:space="preserve">to the challenges and opportunities of improving heavy vehicle productivity and safety, with many stakeholders commenting on the importance of incentivising the use of the safest and most productive vehicles that are best for the </w:t>
      </w:r>
      <w:r w:rsidR="00154535" w:rsidRPr="00B018D0">
        <w:rPr>
          <w:rFonts w:asciiTheme="minorHAnsi" w:hAnsiTheme="minorHAnsi" w:cstheme="minorHAnsi"/>
        </w:rPr>
        <w:t>e</w:t>
      </w:r>
      <w:r w:rsidRPr="00B018D0">
        <w:rPr>
          <w:rFonts w:asciiTheme="minorHAnsi" w:hAnsiTheme="minorHAnsi" w:cstheme="minorHAnsi"/>
        </w:rPr>
        <w:t>nvironment and communities.</w:t>
      </w:r>
    </w:p>
    <w:p w14:paraId="5CD9DDE1" w14:textId="4FD5D197" w:rsidR="00D54173" w:rsidRPr="00B018D0" w:rsidRDefault="00D54173" w:rsidP="00D54173">
      <w:pPr>
        <w:pStyle w:val="Heading3"/>
        <w:rPr>
          <w:rFonts w:asciiTheme="minorHAnsi" w:hAnsiTheme="minorHAnsi" w:cstheme="minorHAnsi"/>
        </w:rPr>
      </w:pPr>
      <w:r w:rsidRPr="00B018D0">
        <w:rPr>
          <w:rFonts w:asciiTheme="minorHAnsi" w:hAnsiTheme="minorHAnsi" w:cstheme="minorHAnsi"/>
        </w:rPr>
        <w:t xml:space="preserve">Optimising the </w:t>
      </w:r>
      <w:r w:rsidR="003D27A0" w:rsidRPr="00B018D0">
        <w:rPr>
          <w:rFonts w:asciiTheme="minorHAnsi" w:hAnsiTheme="minorHAnsi" w:cstheme="minorHAnsi"/>
        </w:rPr>
        <w:t>safety, productivity</w:t>
      </w:r>
      <w:r w:rsidR="00154535" w:rsidRPr="00B018D0">
        <w:rPr>
          <w:rFonts w:asciiTheme="minorHAnsi" w:hAnsiTheme="minorHAnsi" w:cstheme="minorHAnsi"/>
        </w:rPr>
        <w:t>,</w:t>
      </w:r>
      <w:r w:rsidR="003D27A0" w:rsidRPr="00B018D0">
        <w:rPr>
          <w:rFonts w:asciiTheme="minorHAnsi" w:hAnsiTheme="minorHAnsi" w:cstheme="minorHAnsi"/>
        </w:rPr>
        <w:t xml:space="preserve"> and sustainability</w:t>
      </w:r>
      <w:r w:rsidRPr="00B018D0">
        <w:rPr>
          <w:rFonts w:asciiTheme="minorHAnsi" w:hAnsiTheme="minorHAnsi" w:cstheme="minorHAnsi"/>
        </w:rPr>
        <w:t xml:space="preserve"> of freight operations</w:t>
      </w:r>
    </w:p>
    <w:p w14:paraId="31EC5141" w14:textId="48C32AFA" w:rsidR="00BC1224" w:rsidRPr="0001357B" w:rsidRDefault="0002499C" w:rsidP="0021401A">
      <w:pPr>
        <w:pStyle w:val="ListParagraph"/>
        <w:numPr>
          <w:ilvl w:val="0"/>
          <w:numId w:val="21"/>
        </w:numPr>
        <w:spacing w:after="160" w:line="259" w:lineRule="auto"/>
        <w:ind w:left="714" w:hanging="431"/>
        <w:contextualSpacing w:val="0"/>
        <w:rPr>
          <w:rFonts w:asciiTheme="minorHAnsi" w:hAnsiTheme="minorHAnsi" w:cstheme="minorHAnsi"/>
          <w:sz w:val="22"/>
          <w:szCs w:val="22"/>
        </w:rPr>
      </w:pPr>
      <w:r w:rsidRPr="0001357B">
        <w:rPr>
          <w:rFonts w:asciiTheme="minorHAnsi" w:hAnsiTheme="minorHAnsi" w:cstheme="minorHAnsi"/>
          <w:sz w:val="22"/>
          <w:szCs w:val="22"/>
        </w:rPr>
        <w:t>The draft Report mentions that “</w:t>
      </w:r>
      <w:r w:rsidRPr="0001357B">
        <w:rPr>
          <w:rFonts w:asciiTheme="minorHAnsi" w:hAnsiTheme="minorHAnsi" w:cstheme="minorHAnsi"/>
          <w:i/>
          <w:iCs/>
          <w:sz w:val="22"/>
          <w:szCs w:val="22"/>
        </w:rPr>
        <w:t>With some exceptions, transporting containers to and from Australian ports by train is more expensive than using trucks, and rail services are inherently limited in where they can deliver or pick up goods</w:t>
      </w:r>
      <w:r w:rsidRPr="0001357B">
        <w:rPr>
          <w:rFonts w:asciiTheme="minorHAnsi" w:hAnsiTheme="minorHAnsi" w:cstheme="minorHAnsi"/>
          <w:sz w:val="22"/>
          <w:szCs w:val="22"/>
        </w:rPr>
        <w:t>”</w:t>
      </w:r>
      <w:r w:rsidR="00ED4C8F">
        <w:rPr>
          <w:rFonts w:asciiTheme="minorHAnsi" w:hAnsiTheme="minorHAnsi" w:cstheme="minorHAnsi"/>
          <w:sz w:val="22"/>
          <w:szCs w:val="22"/>
        </w:rPr>
        <w:t>,</w:t>
      </w:r>
      <w:r w:rsidRPr="0001357B">
        <w:rPr>
          <w:rFonts w:asciiTheme="minorHAnsi" w:hAnsiTheme="minorHAnsi" w:cstheme="minorHAnsi"/>
          <w:sz w:val="22"/>
          <w:szCs w:val="22"/>
        </w:rPr>
        <w:t xml:space="preserve"> and</w:t>
      </w:r>
      <w:r w:rsidR="00ED4C8F">
        <w:rPr>
          <w:rFonts w:asciiTheme="minorHAnsi" w:hAnsiTheme="minorHAnsi" w:cstheme="minorHAnsi"/>
          <w:sz w:val="22"/>
          <w:szCs w:val="22"/>
        </w:rPr>
        <w:t xml:space="preserve"> that</w:t>
      </w:r>
      <w:r w:rsidRPr="0001357B">
        <w:rPr>
          <w:rFonts w:asciiTheme="minorHAnsi" w:hAnsiTheme="minorHAnsi" w:cstheme="minorHAnsi"/>
          <w:sz w:val="22"/>
          <w:szCs w:val="22"/>
        </w:rPr>
        <w:t xml:space="preserve"> at some ports, the container freight task </w:t>
      </w:r>
      <w:r w:rsidR="00C26016">
        <w:rPr>
          <w:rFonts w:asciiTheme="minorHAnsi" w:hAnsiTheme="minorHAnsi" w:cstheme="minorHAnsi"/>
          <w:sz w:val="22"/>
          <w:szCs w:val="22"/>
        </w:rPr>
        <w:t>is</w:t>
      </w:r>
      <w:r w:rsidRPr="0001357B">
        <w:rPr>
          <w:rFonts w:asciiTheme="minorHAnsi" w:hAnsiTheme="minorHAnsi" w:cstheme="minorHAnsi"/>
          <w:sz w:val="22"/>
          <w:szCs w:val="22"/>
        </w:rPr>
        <w:t xml:space="preserve"> </w:t>
      </w:r>
      <w:r w:rsidR="00C26016">
        <w:rPr>
          <w:rFonts w:asciiTheme="minorHAnsi" w:hAnsiTheme="minorHAnsi" w:cstheme="minorHAnsi"/>
          <w:sz w:val="22"/>
          <w:szCs w:val="22"/>
        </w:rPr>
        <w:t xml:space="preserve">forecast to </w:t>
      </w:r>
      <w:r w:rsidRPr="0001357B">
        <w:rPr>
          <w:rFonts w:asciiTheme="minorHAnsi" w:hAnsiTheme="minorHAnsi" w:cstheme="minorHAnsi"/>
          <w:sz w:val="22"/>
          <w:szCs w:val="22"/>
        </w:rPr>
        <w:t xml:space="preserve">triple. </w:t>
      </w:r>
      <w:r w:rsidR="00D54173" w:rsidRPr="0001357B">
        <w:rPr>
          <w:rFonts w:asciiTheme="minorHAnsi" w:hAnsiTheme="minorHAnsi" w:cstheme="minorHAnsi"/>
          <w:sz w:val="22"/>
          <w:szCs w:val="22"/>
        </w:rPr>
        <w:t>The challenge for the growing road freight task is to ensure goods are transported in the safest, most sustainable</w:t>
      </w:r>
      <w:r w:rsidR="00E3758B" w:rsidRPr="0001357B">
        <w:rPr>
          <w:rFonts w:asciiTheme="minorHAnsi" w:hAnsiTheme="minorHAnsi" w:cstheme="minorHAnsi"/>
          <w:sz w:val="22"/>
          <w:szCs w:val="22"/>
        </w:rPr>
        <w:t>,</w:t>
      </w:r>
      <w:r w:rsidR="00D54173" w:rsidRPr="0001357B">
        <w:rPr>
          <w:rFonts w:asciiTheme="minorHAnsi" w:hAnsiTheme="minorHAnsi" w:cstheme="minorHAnsi"/>
          <w:sz w:val="22"/>
          <w:szCs w:val="22"/>
        </w:rPr>
        <w:t xml:space="preserve"> and </w:t>
      </w:r>
      <w:r w:rsidR="001809CD">
        <w:rPr>
          <w:rFonts w:asciiTheme="minorHAnsi" w:hAnsiTheme="minorHAnsi" w:cstheme="minorHAnsi"/>
          <w:sz w:val="22"/>
          <w:szCs w:val="22"/>
        </w:rPr>
        <w:t xml:space="preserve">most </w:t>
      </w:r>
      <w:r w:rsidR="00D54173" w:rsidRPr="0001357B">
        <w:rPr>
          <w:rFonts w:asciiTheme="minorHAnsi" w:hAnsiTheme="minorHAnsi" w:cstheme="minorHAnsi"/>
          <w:sz w:val="22"/>
          <w:szCs w:val="22"/>
        </w:rPr>
        <w:t>cost-effective manner.</w:t>
      </w:r>
    </w:p>
    <w:p w14:paraId="3F24797C" w14:textId="2035174E" w:rsidR="00E3758B" w:rsidRPr="0001357B" w:rsidRDefault="0002499C" w:rsidP="0021401A">
      <w:pPr>
        <w:pStyle w:val="ListParagraph"/>
        <w:numPr>
          <w:ilvl w:val="0"/>
          <w:numId w:val="21"/>
        </w:numPr>
        <w:spacing w:after="160" w:line="259" w:lineRule="auto"/>
        <w:ind w:left="714" w:hanging="431"/>
        <w:rPr>
          <w:rFonts w:asciiTheme="minorHAnsi" w:hAnsiTheme="minorHAnsi" w:cstheme="minorHAnsi"/>
          <w:sz w:val="22"/>
          <w:szCs w:val="22"/>
        </w:rPr>
      </w:pPr>
      <w:r w:rsidRPr="0001357B">
        <w:rPr>
          <w:rFonts w:asciiTheme="minorHAnsi" w:hAnsiTheme="minorHAnsi" w:cstheme="minorHAnsi"/>
          <w:sz w:val="22"/>
          <w:szCs w:val="22"/>
        </w:rPr>
        <w:t xml:space="preserve">If container volumes </w:t>
      </w:r>
      <w:r w:rsidR="00BC1224" w:rsidRPr="0001357B">
        <w:rPr>
          <w:rFonts w:asciiTheme="minorHAnsi" w:hAnsiTheme="minorHAnsi" w:cstheme="minorHAnsi"/>
          <w:sz w:val="22"/>
          <w:szCs w:val="22"/>
        </w:rPr>
        <w:t>are</w:t>
      </w:r>
      <w:r w:rsidRPr="0001357B">
        <w:rPr>
          <w:rFonts w:asciiTheme="minorHAnsi" w:hAnsiTheme="minorHAnsi" w:cstheme="minorHAnsi"/>
          <w:sz w:val="22"/>
          <w:szCs w:val="22"/>
        </w:rPr>
        <w:t xml:space="preserve"> a constant</w:t>
      </w:r>
      <w:r w:rsidR="00BC1224" w:rsidRPr="0001357B">
        <w:rPr>
          <w:rFonts w:asciiTheme="minorHAnsi" w:hAnsiTheme="minorHAnsi" w:cstheme="minorHAnsi"/>
          <w:sz w:val="22"/>
          <w:szCs w:val="22"/>
        </w:rPr>
        <w:t xml:space="preserve"> (i.e. a freight task exists because supply and demand dictates its existence)</w:t>
      </w:r>
      <w:r w:rsidRPr="0001357B">
        <w:rPr>
          <w:rFonts w:asciiTheme="minorHAnsi" w:hAnsiTheme="minorHAnsi" w:cstheme="minorHAnsi"/>
          <w:sz w:val="22"/>
          <w:szCs w:val="22"/>
        </w:rPr>
        <w:t>, variable</w:t>
      </w:r>
      <w:r w:rsidR="00BC1224" w:rsidRPr="0001357B">
        <w:rPr>
          <w:rFonts w:asciiTheme="minorHAnsi" w:hAnsiTheme="minorHAnsi" w:cstheme="minorHAnsi"/>
          <w:sz w:val="22"/>
          <w:szCs w:val="22"/>
        </w:rPr>
        <w:t>s</w:t>
      </w:r>
      <w:r w:rsidRPr="0001357B">
        <w:rPr>
          <w:rFonts w:asciiTheme="minorHAnsi" w:hAnsiTheme="minorHAnsi" w:cstheme="minorHAnsi"/>
          <w:sz w:val="22"/>
          <w:szCs w:val="22"/>
        </w:rPr>
        <w:t xml:space="preserve"> </w:t>
      </w:r>
      <w:r w:rsidR="00BC1224" w:rsidRPr="0001357B">
        <w:rPr>
          <w:rFonts w:asciiTheme="minorHAnsi" w:hAnsiTheme="minorHAnsi" w:cstheme="minorHAnsi"/>
          <w:sz w:val="22"/>
          <w:szCs w:val="22"/>
        </w:rPr>
        <w:t>that</w:t>
      </w:r>
      <w:r w:rsidRPr="0001357B">
        <w:rPr>
          <w:rFonts w:asciiTheme="minorHAnsi" w:hAnsiTheme="minorHAnsi" w:cstheme="minorHAnsi"/>
          <w:sz w:val="22"/>
          <w:szCs w:val="22"/>
        </w:rPr>
        <w:t xml:space="preserve"> should be </w:t>
      </w:r>
      <w:r w:rsidR="00BC1224" w:rsidRPr="0001357B">
        <w:rPr>
          <w:rFonts w:asciiTheme="minorHAnsi" w:hAnsiTheme="minorHAnsi" w:cstheme="minorHAnsi"/>
          <w:sz w:val="22"/>
          <w:szCs w:val="22"/>
        </w:rPr>
        <w:t>controlled are</w:t>
      </w:r>
      <w:r w:rsidRPr="0001357B">
        <w:rPr>
          <w:rFonts w:asciiTheme="minorHAnsi" w:hAnsiTheme="minorHAnsi" w:cstheme="minorHAnsi"/>
          <w:sz w:val="22"/>
          <w:szCs w:val="22"/>
        </w:rPr>
        <w:t xml:space="preserve"> the</w:t>
      </w:r>
      <w:r w:rsidR="00BC1224" w:rsidRPr="0001357B">
        <w:rPr>
          <w:rFonts w:asciiTheme="minorHAnsi" w:hAnsiTheme="minorHAnsi" w:cstheme="minorHAnsi"/>
          <w:sz w:val="22"/>
          <w:szCs w:val="22"/>
        </w:rPr>
        <w:t xml:space="preserve"> cost and</w:t>
      </w:r>
      <w:r w:rsidRPr="0001357B">
        <w:rPr>
          <w:rFonts w:asciiTheme="minorHAnsi" w:hAnsiTheme="minorHAnsi" w:cstheme="minorHAnsi"/>
          <w:sz w:val="22"/>
          <w:szCs w:val="22"/>
        </w:rPr>
        <w:t xml:space="preserve"> </w:t>
      </w:r>
      <w:r w:rsidR="00BC1224" w:rsidRPr="0001357B">
        <w:rPr>
          <w:rFonts w:asciiTheme="minorHAnsi" w:hAnsiTheme="minorHAnsi" w:cstheme="minorHAnsi"/>
          <w:sz w:val="22"/>
          <w:szCs w:val="22"/>
        </w:rPr>
        <w:t>volume of transport performing the task.</w:t>
      </w:r>
      <w:r w:rsidRPr="0001357B">
        <w:rPr>
          <w:rFonts w:asciiTheme="minorHAnsi" w:hAnsiTheme="minorHAnsi" w:cstheme="minorHAnsi"/>
          <w:sz w:val="22"/>
          <w:szCs w:val="22"/>
        </w:rPr>
        <w:t xml:space="preserve"> </w:t>
      </w:r>
      <w:r w:rsidR="00BC1224" w:rsidRPr="0001357B">
        <w:rPr>
          <w:rFonts w:asciiTheme="minorHAnsi" w:hAnsiTheme="minorHAnsi" w:cstheme="minorHAnsi"/>
          <w:sz w:val="22"/>
          <w:szCs w:val="22"/>
        </w:rPr>
        <w:t xml:space="preserve">Lower costs and volumes </w:t>
      </w:r>
      <w:r w:rsidR="00D54173" w:rsidRPr="0001357B">
        <w:rPr>
          <w:rFonts w:asciiTheme="minorHAnsi" w:hAnsiTheme="minorHAnsi" w:cstheme="minorHAnsi"/>
          <w:sz w:val="22"/>
          <w:szCs w:val="22"/>
        </w:rPr>
        <w:t xml:space="preserve">can be achieved by having fewer trucks on roads. </w:t>
      </w:r>
      <w:r w:rsidR="00FE74B3">
        <w:rPr>
          <w:rFonts w:asciiTheme="minorHAnsi" w:hAnsiTheme="minorHAnsi" w:cstheme="minorHAnsi"/>
          <w:sz w:val="22"/>
          <w:szCs w:val="22"/>
        </w:rPr>
        <w:t xml:space="preserve">The NHVR believes that the inquiry </w:t>
      </w:r>
      <w:r w:rsidR="008F141A">
        <w:rPr>
          <w:rFonts w:asciiTheme="minorHAnsi" w:hAnsiTheme="minorHAnsi" w:cstheme="minorHAnsi"/>
          <w:sz w:val="22"/>
          <w:szCs w:val="22"/>
        </w:rPr>
        <w:t xml:space="preserve">and final Report </w:t>
      </w:r>
      <w:r w:rsidR="00FE74B3">
        <w:rPr>
          <w:rFonts w:asciiTheme="minorHAnsi" w:hAnsiTheme="minorHAnsi" w:cstheme="minorHAnsi"/>
          <w:sz w:val="22"/>
          <w:szCs w:val="22"/>
        </w:rPr>
        <w:t>would benefit from better recognising</w:t>
      </w:r>
      <w:r w:rsidR="00FE74B3" w:rsidRPr="0001357B">
        <w:rPr>
          <w:rFonts w:asciiTheme="minorHAnsi" w:hAnsiTheme="minorHAnsi" w:cstheme="minorHAnsi"/>
          <w:sz w:val="22"/>
          <w:szCs w:val="22"/>
        </w:rPr>
        <w:t xml:space="preserve"> </w:t>
      </w:r>
      <w:r w:rsidR="00FE74B3">
        <w:rPr>
          <w:rFonts w:asciiTheme="minorHAnsi" w:hAnsiTheme="minorHAnsi" w:cstheme="minorHAnsi"/>
          <w:sz w:val="22"/>
          <w:szCs w:val="22"/>
        </w:rPr>
        <w:t>the importance of container transport efficiencies within the context of trucks</w:t>
      </w:r>
      <w:r w:rsidR="007272F6" w:rsidRPr="0001357B">
        <w:rPr>
          <w:rFonts w:asciiTheme="minorHAnsi" w:hAnsiTheme="minorHAnsi" w:cstheme="minorHAnsi"/>
          <w:sz w:val="22"/>
          <w:szCs w:val="22"/>
        </w:rPr>
        <w:t xml:space="preserve"> (</w:t>
      </w:r>
      <w:r w:rsidR="00E83BE0" w:rsidRPr="0001357B">
        <w:rPr>
          <w:rFonts w:asciiTheme="minorHAnsi" w:hAnsiTheme="minorHAnsi" w:cstheme="minorHAnsi"/>
          <w:sz w:val="22"/>
          <w:szCs w:val="22"/>
        </w:rPr>
        <w:t>e.g.,</w:t>
      </w:r>
      <w:r w:rsidR="007272F6" w:rsidRPr="0001357B">
        <w:rPr>
          <w:rFonts w:asciiTheme="minorHAnsi" w:hAnsiTheme="minorHAnsi" w:cstheme="minorHAnsi"/>
          <w:sz w:val="22"/>
          <w:szCs w:val="22"/>
        </w:rPr>
        <w:t xml:space="preserve"> in relation to reducing truck congestion</w:t>
      </w:r>
      <w:r w:rsidR="000816D9" w:rsidRPr="0001357B">
        <w:rPr>
          <w:rFonts w:asciiTheme="minorHAnsi" w:hAnsiTheme="minorHAnsi" w:cstheme="minorHAnsi"/>
          <w:sz w:val="22"/>
          <w:szCs w:val="22"/>
        </w:rPr>
        <w:t>, truck turnaround time</w:t>
      </w:r>
      <w:r w:rsidR="007272F6" w:rsidRPr="0001357B">
        <w:rPr>
          <w:rFonts w:asciiTheme="minorHAnsi" w:hAnsiTheme="minorHAnsi" w:cstheme="minorHAnsi"/>
          <w:sz w:val="22"/>
          <w:szCs w:val="22"/>
        </w:rPr>
        <w:t xml:space="preserve"> and queuing)</w:t>
      </w:r>
      <w:r w:rsidR="00D54173" w:rsidRPr="0001357B">
        <w:rPr>
          <w:rFonts w:asciiTheme="minorHAnsi" w:hAnsiTheme="minorHAnsi" w:cstheme="minorHAnsi"/>
          <w:sz w:val="22"/>
          <w:szCs w:val="22"/>
        </w:rPr>
        <w:t>.</w:t>
      </w:r>
    </w:p>
    <w:p w14:paraId="075DCAD8" w14:textId="5023B943" w:rsidR="00D54173" w:rsidRPr="0001357B" w:rsidRDefault="00D54173" w:rsidP="0021401A">
      <w:pPr>
        <w:pStyle w:val="BodyText"/>
        <w:numPr>
          <w:ilvl w:val="0"/>
          <w:numId w:val="21"/>
        </w:numPr>
        <w:spacing w:after="160" w:line="259" w:lineRule="auto"/>
        <w:ind w:hanging="431"/>
        <w:rPr>
          <w:rFonts w:asciiTheme="minorHAnsi" w:hAnsiTheme="minorHAnsi" w:cstheme="minorHAnsi"/>
          <w:szCs w:val="22"/>
        </w:rPr>
      </w:pPr>
      <w:r w:rsidRPr="0001357B">
        <w:rPr>
          <w:rFonts w:asciiTheme="minorHAnsi" w:hAnsiTheme="minorHAnsi" w:cstheme="minorHAnsi"/>
          <w:szCs w:val="22"/>
        </w:rPr>
        <w:t xml:space="preserve">Under </w:t>
      </w:r>
      <w:r w:rsidRPr="00FD7F32">
        <w:rPr>
          <w:rFonts w:asciiTheme="minorHAnsi" w:hAnsiTheme="minorHAnsi" w:cstheme="minorHAnsi"/>
          <w:color w:val="auto"/>
          <w:szCs w:val="22"/>
        </w:rPr>
        <w:t xml:space="preserve">the </w:t>
      </w:r>
      <w:r w:rsidRPr="00FD7F32">
        <w:rPr>
          <w:rStyle w:val="Hyperlink"/>
          <w:rFonts w:asciiTheme="minorHAnsi" w:eastAsia="Cambria" w:hAnsiTheme="minorHAnsi" w:cstheme="minorHAnsi"/>
          <w:color w:val="auto"/>
          <w:sz w:val="22"/>
          <w:szCs w:val="22"/>
          <w:bdr w:val="none" w:sz="0" w:space="0" w:color="auto" w:frame="1"/>
        </w:rPr>
        <w:t>Heavy Vehicle National Law</w:t>
      </w:r>
      <w:r w:rsidRPr="00FD7F32">
        <w:rPr>
          <w:rFonts w:asciiTheme="minorHAnsi" w:hAnsiTheme="minorHAnsi" w:cstheme="minorHAnsi"/>
          <w:color w:val="auto"/>
          <w:szCs w:val="22"/>
        </w:rPr>
        <w:t xml:space="preserve"> (HVNL</w:t>
      </w:r>
      <w:r w:rsidRPr="0001357B">
        <w:rPr>
          <w:rFonts w:asciiTheme="minorHAnsi" w:hAnsiTheme="minorHAnsi" w:cstheme="minorHAnsi"/>
          <w:szCs w:val="22"/>
        </w:rPr>
        <w:t>), the NHVR has oversight of the PBS Scheme, which is a national scheme designed to offer the heavy vehicle industry the potential to achieve higher productivity and safety through innovative and optimised vehicle design. In simple terms, this means moving more with less vehicle movements in safer vehicles.</w:t>
      </w:r>
    </w:p>
    <w:p w14:paraId="2BB8418E" w14:textId="46C515D7" w:rsidR="003D27A0" w:rsidRPr="0001357B" w:rsidRDefault="003D27A0" w:rsidP="0021401A">
      <w:pPr>
        <w:pStyle w:val="BodyText"/>
        <w:numPr>
          <w:ilvl w:val="0"/>
          <w:numId w:val="21"/>
        </w:numPr>
        <w:spacing w:after="160" w:line="259" w:lineRule="auto"/>
        <w:ind w:hanging="431"/>
        <w:rPr>
          <w:rFonts w:asciiTheme="minorHAnsi" w:hAnsiTheme="minorHAnsi" w:cstheme="minorHAnsi"/>
          <w:szCs w:val="22"/>
          <w:lang w:eastAsia="en-AU"/>
        </w:rPr>
      </w:pPr>
      <w:r w:rsidRPr="0001357B">
        <w:rPr>
          <w:rFonts w:asciiTheme="minorHAnsi" w:hAnsiTheme="minorHAnsi" w:cstheme="minorHAnsi"/>
          <w:szCs w:val="22"/>
          <w:lang w:eastAsia="en-AU"/>
        </w:rPr>
        <w:t xml:space="preserve">The </w:t>
      </w:r>
      <w:r w:rsidR="00412514">
        <w:rPr>
          <w:rFonts w:asciiTheme="minorHAnsi" w:hAnsiTheme="minorHAnsi" w:cstheme="minorHAnsi"/>
          <w:szCs w:val="22"/>
          <w:lang w:eastAsia="en-AU"/>
        </w:rPr>
        <w:t xml:space="preserve">draft Report’s </w:t>
      </w:r>
      <w:r w:rsidRPr="0001357B">
        <w:rPr>
          <w:rFonts w:asciiTheme="minorHAnsi" w:hAnsiTheme="minorHAnsi" w:cstheme="minorHAnsi"/>
          <w:szCs w:val="22"/>
          <w:lang w:eastAsia="en-AU"/>
        </w:rPr>
        <w:t>reference to PBS vehicles was brief (Figure 3)</w:t>
      </w:r>
      <w:r w:rsidR="00154535" w:rsidRPr="0001357B">
        <w:rPr>
          <w:rFonts w:asciiTheme="minorHAnsi" w:hAnsiTheme="minorHAnsi" w:cstheme="minorHAnsi"/>
          <w:szCs w:val="22"/>
          <w:lang w:eastAsia="en-AU"/>
        </w:rPr>
        <w:t xml:space="preserve"> </w:t>
      </w:r>
      <w:r w:rsidRPr="0001357B">
        <w:rPr>
          <w:rFonts w:asciiTheme="minorHAnsi" w:hAnsiTheme="minorHAnsi" w:cstheme="minorHAnsi"/>
          <w:szCs w:val="22"/>
          <w:lang w:eastAsia="en-AU"/>
        </w:rPr>
        <w:t>and did not provide any detail on their utilisation at ports. The NHVR offers the below information to assist the final Report.</w:t>
      </w:r>
    </w:p>
    <w:p w14:paraId="334F13E6" w14:textId="71ADAC64" w:rsidR="006505DE" w:rsidRPr="0001357B" w:rsidRDefault="006505DE" w:rsidP="0021401A">
      <w:pPr>
        <w:pStyle w:val="BodyText"/>
        <w:numPr>
          <w:ilvl w:val="0"/>
          <w:numId w:val="21"/>
        </w:numPr>
        <w:spacing w:after="160" w:line="259" w:lineRule="auto"/>
        <w:ind w:hanging="431"/>
        <w:rPr>
          <w:rFonts w:asciiTheme="minorHAnsi" w:hAnsiTheme="minorHAnsi" w:cstheme="minorHAnsi"/>
          <w:szCs w:val="22"/>
        </w:rPr>
      </w:pPr>
      <w:r w:rsidRPr="0001357B">
        <w:rPr>
          <w:rFonts w:asciiTheme="minorHAnsi" w:hAnsiTheme="minorHAnsi" w:cstheme="minorHAnsi"/>
          <w:szCs w:val="22"/>
        </w:rPr>
        <w:t xml:space="preserve">The </w:t>
      </w:r>
      <w:r w:rsidR="00414375">
        <w:rPr>
          <w:rFonts w:asciiTheme="minorHAnsi" w:hAnsiTheme="minorHAnsi" w:cstheme="minorHAnsi"/>
          <w:szCs w:val="22"/>
        </w:rPr>
        <w:t>NHVR recommends that the final Report</w:t>
      </w:r>
      <w:r w:rsidRPr="0001357B">
        <w:rPr>
          <w:rFonts w:asciiTheme="minorHAnsi" w:hAnsiTheme="minorHAnsi" w:cstheme="minorHAnsi"/>
          <w:szCs w:val="22"/>
        </w:rPr>
        <w:t xml:space="preserve"> </w:t>
      </w:r>
      <w:r w:rsidR="00414375">
        <w:rPr>
          <w:rFonts w:asciiTheme="minorHAnsi" w:hAnsiTheme="minorHAnsi" w:cstheme="minorHAnsi"/>
          <w:szCs w:val="22"/>
        </w:rPr>
        <w:t>provide</w:t>
      </w:r>
      <w:r w:rsidRPr="0001357B">
        <w:rPr>
          <w:rFonts w:asciiTheme="minorHAnsi" w:hAnsiTheme="minorHAnsi" w:cstheme="minorHAnsi"/>
          <w:szCs w:val="22"/>
        </w:rPr>
        <w:t xml:space="preserve"> more information on the benefits of the PBS Scheme to port productivity</w:t>
      </w:r>
      <w:r w:rsidR="003D29AA">
        <w:rPr>
          <w:rFonts w:asciiTheme="minorHAnsi" w:hAnsiTheme="minorHAnsi" w:cstheme="minorHAnsi"/>
          <w:szCs w:val="22"/>
        </w:rPr>
        <w:t>;</w:t>
      </w:r>
      <w:r w:rsidRPr="0001357B">
        <w:rPr>
          <w:rFonts w:asciiTheme="minorHAnsi" w:hAnsiTheme="minorHAnsi" w:cstheme="minorHAnsi"/>
          <w:szCs w:val="22"/>
        </w:rPr>
        <w:t xml:space="preserve"> </w:t>
      </w:r>
      <w:r w:rsidR="003D29AA">
        <w:rPr>
          <w:rFonts w:asciiTheme="minorHAnsi" w:hAnsiTheme="minorHAnsi" w:cstheme="minorHAnsi"/>
          <w:szCs w:val="22"/>
        </w:rPr>
        <w:t>f</w:t>
      </w:r>
      <w:r w:rsidRPr="0001357B">
        <w:rPr>
          <w:rFonts w:asciiTheme="minorHAnsi" w:hAnsiTheme="minorHAnsi" w:cstheme="minorHAnsi"/>
          <w:szCs w:val="22"/>
        </w:rPr>
        <w:t>or example, within the context of container density per truck relative to truck volume and container throughput volumes. From the Independent Review of PAMA and PBLIS, it was inferred from the data that heavy vehicles are not only still the dominant mode, but increasingly becoming more favoured, given the approximate 250 per cent increase in container throughput volume from 2002 to 2020, with rail mode share decreasing to 15 per cent in 2021 from a high of 20 per cent in 2017.</w:t>
      </w:r>
      <w:r w:rsidR="003D27A0" w:rsidRPr="0001357B">
        <w:rPr>
          <w:rFonts w:asciiTheme="minorHAnsi" w:hAnsiTheme="minorHAnsi" w:cstheme="minorHAnsi"/>
          <w:szCs w:val="22"/>
        </w:rPr>
        <w:t xml:space="preserve"> The final Report would benefit from similar analysis, as this has influence on future infrastructure needs to respond to port congestion.</w:t>
      </w:r>
    </w:p>
    <w:p w14:paraId="66D2166B" w14:textId="28F60C5A" w:rsidR="006738BE" w:rsidRPr="00B018D0" w:rsidRDefault="006738BE" w:rsidP="002772C9">
      <w:pPr>
        <w:pStyle w:val="Heading3"/>
        <w:rPr>
          <w:rFonts w:asciiTheme="minorHAnsi" w:hAnsiTheme="minorHAnsi" w:cstheme="minorHAnsi"/>
        </w:rPr>
      </w:pPr>
      <w:r w:rsidRPr="00B018D0">
        <w:rPr>
          <w:rFonts w:asciiTheme="minorHAnsi" w:hAnsiTheme="minorHAnsi" w:cstheme="minorHAnsi"/>
        </w:rPr>
        <w:t>Freight externalities</w:t>
      </w:r>
    </w:p>
    <w:p w14:paraId="25DFEDFD" w14:textId="4B6731FB" w:rsidR="006738BE" w:rsidRPr="00B018D0" w:rsidRDefault="003017F4" w:rsidP="0021401A">
      <w:pPr>
        <w:pStyle w:val="BodyText"/>
        <w:numPr>
          <w:ilvl w:val="0"/>
          <w:numId w:val="21"/>
        </w:numPr>
        <w:spacing w:after="160" w:line="259" w:lineRule="auto"/>
        <w:ind w:hanging="431"/>
        <w:rPr>
          <w:rFonts w:asciiTheme="minorHAnsi" w:hAnsiTheme="minorHAnsi" w:cstheme="minorHAnsi"/>
        </w:rPr>
      </w:pPr>
      <w:r w:rsidRPr="00B018D0">
        <w:rPr>
          <w:rFonts w:asciiTheme="minorHAnsi" w:hAnsiTheme="minorHAnsi" w:cstheme="minorHAnsi"/>
        </w:rPr>
        <w:t xml:space="preserve">The draft Report has undertaken analysis to conclude that, within and outside the maritime logistics system, rail brings a range of nonmarket benefits, such as reduced road congestion, carbon emissions and other pollutants, </w:t>
      </w:r>
      <w:r w:rsidR="00AA129E" w:rsidRPr="00B018D0">
        <w:rPr>
          <w:rFonts w:asciiTheme="minorHAnsi" w:hAnsiTheme="minorHAnsi" w:cstheme="minorHAnsi"/>
        </w:rPr>
        <w:t>noise,</w:t>
      </w:r>
      <w:r w:rsidRPr="00B018D0">
        <w:rPr>
          <w:rFonts w:asciiTheme="minorHAnsi" w:hAnsiTheme="minorHAnsi" w:cstheme="minorHAnsi"/>
        </w:rPr>
        <w:t xml:space="preserve"> and accidents. While true, making this statement </w:t>
      </w:r>
      <w:r w:rsidR="006738BE" w:rsidRPr="00B018D0">
        <w:rPr>
          <w:rFonts w:asciiTheme="minorHAnsi" w:hAnsiTheme="minorHAnsi" w:cstheme="minorHAnsi"/>
        </w:rPr>
        <w:t xml:space="preserve">is misleading </w:t>
      </w:r>
      <w:r w:rsidRPr="00B018D0">
        <w:rPr>
          <w:rFonts w:asciiTheme="minorHAnsi" w:hAnsiTheme="minorHAnsi" w:cstheme="minorHAnsi"/>
        </w:rPr>
        <w:t>without also considering the positive impacts of more productive vehicles</w:t>
      </w:r>
      <w:r w:rsidR="006738BE" w:rsidRPr="00B018D0">
        <w:rPr>
          <w:rFonts w:asciiTheme="minorHAnsi" w:hAnsiTheme="minorHAnsi" w:cstheme="minorHAnsi"/>
        </w:rPr>
        <w:t xml:space="preserve">. Not </w:t>
      </w:r>
      <w:r w:rsidR="00A34275" w:rsidRPr="00B018D0">
        <w:rPr>
          <w:rFonts w:asciiTheme="minorHAnsi" w:hAnsiTheme="minorHAnsi" w:cstheme="minorHAnsi"/>
        </w:rPr>
        <w:t>mentioning</w:t>
      </w:r>
      <w:r w:rsidR="006738BE" w:rsidRPr="00B018D0">
        <w:rPr>
          <w:rFonts w:asciiTheme="minorHAnsi" w:hAnsiTheme="minorHAnsi" w:cstheme="minorHAnsi"/>
        </w:rPr>
        <w:t xml:space="preserve"> more productive heavy vehicles</w:t>
      </w:r>
      <w:r w:rsidRPr="00B018D0">
        <w:rPr>
          <w:rFonts w:asciiTheme="minorHAnsi" w:hAnsiTheme="minorHAnsi" w:cstheme="minorHAnsi"/>
        </w:rPr>
        <w:t xml:space="preserve"> gives the </w:t>
      </w:r>
      <w:r w:rsidR="00A34275" w:rsidRPr="00B018D0">
        <w:rPr>
          <w:rFonts w:asciiTheme="minorHAnsi" w:hAnsiTheme="minorHAnsi" w:cstheme="minorHAnsi"/>
        </w:rPr>
        <w:t xml:space="preserve">undesired </w:t>
      </w:r>
      <w:r w:rsidRPr="00B018D0">
        <w:rPr>
          <w:rFonts w:asciiTheme="minorHAnsi" w:hAnsiTheme="minorHAnsi" w:cstheme="minorHAnsi"/>
        </w:rPr>
        <w:t>effect of suggesting heavy vehicles are inherently less safe and sustainable.</w:t>
      </w:r>
      <w:r w:rsidR="006738BE" w:rsidRPr="00B018D0">
        <w:rPr>
          <w:rFonts w:asciiTheme="minorHAnsi" w:hAnsiTheme="minorHAnsi" w:cstheme="minorHAnsi"/>
        </w:rPr>
        <w:t xml:space="preserve"> This is particularly important given road freight has and will continue to be fundamental to efficient port operations.</w:t>
      </w:r>
    </w:p>
    <w:p w14:paraId="365CE988" w14:textId="77777777" w:rsidR="008B5BA7" w:rsidRDefault="008B5BA7">
      <w:pPr>
        <w:spacing w:after="200" w:line="276" w:lineRule="auto"/>
        <w:rPr>
          <w:rFonts w:asciiTheme="minorHAnsi" w:hAnsiTheme="minorHAnsi" w:cstheme="minorHAnsi"/>
        </w:rPr>
      </w:pPr>
      <w:r>
        <w:rPr>
          <w:rFonts w:asciiTheme="minorHAnsi" w:hAnsiTheme="minorHAnsi" w:cstheme="minorHAnsi"/>
        </w:rPr>
        <w:br w:type="page"/>
      </w:r>
    </w:p>
    <w:p w14:paraId="6ACA1AD4" w14:textId="59DAB4F4" w:rsidR="00D54173" w:rsidRPr="00B018D0" w:rsidRDefault="003D27A0" w:rsidP="0021401A">
      <w:pPr>
        <w:pStyle w:val="BodyText"/>
        <w:numPr>
          <w:ilvl w:val="0"/>
          <w:numId w:val="21"/>
        </w:numPr>
        <w:spacing w:after="160" w:line="259" w:lineRule="auto"/>
        <w:ind w:hanging="431"/>
        <w:rPr>
          <w:rFonts w:asciiTheme="minorHAnsi" w:hAnsiTheme="minorHAnsi" w:cstheme="minorHAnsi"/>
        </w:rPr>
      </w:pPr>
      <w:r w:rsidRPr="00B018D0">
        <w:rPr>
          <w:rFonts w:asciiTheme="minorHAnsi" w:hAnsiTheme="minorHAnsi" w:cstheme="minorHAnsi"/>
        </w:rPr>
        <w:t xml:space="preserve">The final </w:t>
      </w:r>
      <w:r w:rsidR="005911C3">
        <w:rPr>
          <w:rFonts w:asciiTheme="minorHAnsi" w:hAnsiTheme="minorHAnsi" w:cstheme="minorHAnsi"/>
        </w:rPr>
        <w:t>R</w:t>
      </w:r>
      <w:r w:rsidRPr="00B018D0">
        <w:rPr>
          <w:rFonts w:asciiTheme="minorHAnsi" w:hAnsiTheme="minorHAnsi" w:cstheme="minorHAnsi"/>
        </w:rPr>
        <w:t xml:space="preserve">eport would benefit from information on the reduction in heavy vehicle externalities from using PBS </w:t>
      </w:r>
      <w:r w:rsidR="00A34275" w:rsidRPr="00B018D0">
        <w:rPr>
          <w:rFonts w:asciiTheme="minorHAnsi" w:hAnsiTheme="minorHAnsi" w:cstheme="minorHAnsi"/>
        </w:rPr>
        <w:t xml:space="preserve">and other more productive </w:t>
      </w:r>
      <w:r w:rsidRPr="00B018D0">
        <w:rPr>
          <w:rFonts w:asciiTheme="minorHAnsi" w:hAnsiTheme="minorHAnsi" w:cstheme="minorHAnsi"/>
        </w:rPr>
        <w:t xml:space="preserve">vehicles. </w:t>
      </w:r>
      <w:r w:rsidR="00A34275" w:rsidRPr="00B018D0">
        <w:rPr>
          <w:rFonts w:asciiTheme="minorHAnsi" w:hAnsiTheme="minorHAnsi" w:cstheme="minorHAnsi"/>
        </w:rPr>
        <w:t>For example, s</w:t>
      </w:r>
      <w:r w:rsidR="008A54DA" w:rsidRPr="00B018D0">
        <w:rPr>
          <w:rFonts w:asciiTheme="minorHAnsi" w:hAnsiTheme="minorHAnsi" w:cstheme="minorHAnsi"/>
        </w:rPr>
        <w:t>ince</w:t>
      </w:r>
      <w:r w:rsidR="00D54173" w:rsidRPr="00B018D0">
        <w:rPr>
          <w:rFonts w:asciiTheme="minorHAnsi" w:hAnsiTheme="minorHAnsi" w:cstheme="minorHAnsi"/>
        </w:rPr>
        <w:t xml:space="preserve"> 2007, compared to the</w:t>
      </w:r>
      <w:r w:rsidR="00CE032A" w:rsidRPr="00B018D0">
        <w:rPr>
          <w:rFonts w:asciiTheme="minorHAnsi" w:hAnsiTheme="minorHAnsi" w:cstheme="minorHAnsi"/>
        </w:rPr>
        <w:t xml:space="preserve"> conventional heavy</w:t>
      </w:r>
      <w:r w:rsidR="00D54173" w:rsidRPr="00B018D0">
        <w:rPr>
          <w:rFonts w:asciiTheme="minorHAnsi" w:hAnsiTheme="minorHAnsi" w:cstheme="minorHAnsi"/>
        </w:rPr>
        <w:t xml:space="preserve"> vehicles that would have otherwise been required to complete the same task, PBS vehicles have:</w:t>
      </w:r>
      <w:r w:rsidR="00D54173" w:rsidRPr="00B018D0">
        <w:rPr>
          <w:rStyle w:val="FootnoteReference"/>
          <w:rFonts w:asciiTheme="minorHAnsi" w:hAnsiTheme="minorHAnsi" w:cstheme="minorHAnsi"/>
        </w:rPr>
        <w:footnoteReference w:id="1"/>
      </w:r>
    </w:p>
    <w:p w14:paraId="41DC2FDA" w14:textId="7AF9509E" w:rsidR="00154535" w:rsidRPr="00B018D0" w:rsidRDefault="00420AF6" w:rsidP="00154535">
      <w:pPr>
        <w:pStyle w:val="Bullet1"/>
        <w:ind w:left="1135" w:hanging="284"/>
        <w:rPr>
          <w:rFonts w:asciiTheme="minorHAnsi" w:hAnsiTheme="minorHAnsi" w:cstheme="minorHAnsi"/>
        </w:rPr>
      </w:pPr>
      <w:r>
        <w:rPr>
          <w:rFonts w:asciiTheme="minorHAnsi" w:hAnsiTheme="minorHAnsi" w:cstheme="minorHAnsi"/>
        </w:rPr>
        <w:t>r</w:t>
      </w:r>
      <w:r w:rsidR="00154535" w:rsidRPr="00B018D0">
        <w:rPr>
          <w:rFonts w:asciiTheme="minorHAnsi" w:hAnsiTheme="minorHAnsi" w:cstheme="minorHAnsi"/>
        </w:rPr>
        <w:t>educed CO₂ emissions by over 2.2 billion kilograms</w:t>
      </w:r>
    </w:p>
    <w:p w14:paraId="66743558" w14:textId="34D82702" w:rsidR="00D54173" w:rsidRPr="00B018D0" w:rsidRDefault="00420AF6" w:rsidP="00FB3895">
      <w:pPr>
        <w:pStyle w:val="Bullet1"/>
        <w:ind w:left="1135" w:hanging="284"/>
        <w:rPr>
          <w:rFonts w:asciiTheme="minorHAnsi" w:hAnsiTheme="minorHAnsi" w:cstheme="minorHAnsi"/>
        </w:rPr>
      </w:pPr>
      <w:r>
        <w:rPr>
          <w:rFonts w:asciiTheme="minorHAnsi" w:hAnsiTheme="minorHAnsi" w:cstheme="minorHAnsi"/>
        </w:rPr>
        <w:t>r</w:t>
      </w:r>
      <w:r w:rsidR="00D54173" w:rsidRPr="00B018D0">
        <w:rPr>
          <w:rFonts w:asciiTheme="minorHAnsi" w:hAnsiTheme="minorHAnsi" w:cstheme="minorHAnsi"/>
        </w:rPr>
        <w:t>educed fuel consumption by over 800 million litres</w:t>
      </w:r>
    </w:p>
    <w:p w14:paraId="132F5467" w14:textId="0A68C362" w:rsidR="00D54173" w:rsidRPr="00B018D0" w:rsidRDefault="00420AF6" w:rsidP="00FB3895">
      <w:pPr>
        <w:pStyle w:val="Bullet1"/>
        <w:ind w:left="1135" w:hanging="284"/>
        <w:rPr>
          <w:rFonts w:asciiTheme="minorHAnsi" w:hAnsiTheme="minorHAnsi" w:cstheme="minorHAnsi"/>
        </w:rPr>
      </w:pPr>
      <w:r>
        <w:rPr>
          <w:rFonts w:asciiTheme="minorHAnsi" w:hAnsiTheme="minorHAnsi" w:cstheme="minorHAnsi"/>
        </w:rPr>
        <w:t>r</w:t>
      </w:r>
      <w:r w:rsidR="00D54173" w:rsidRPr="00B018D0">
        <w:rPr>
          <w:rFonts w:asciiTheme="minorHAnsi" w:hAnsiTheme="minorHAnsi" w:cstheme="minorHAnsi"/>
        </w:rPr>
        <w:t>emoved over 2,700 trucks from the road</w:t>
      </w:r>
    </w:p>
    <w:p w14:paraId="19C5A852" w14:textId="7CBA8396" w:rsidR="00D54173" w:rsidRPr="00B018D0" w:rsidRDefault="00861297" w:rsidP="00112623">
      <w:pPr>
        <w:pStyle w:val="Bullet1"/>
        <w:spacing w:after="160"/>
        <w:ind w:left="1135" w:hanging="284"/>
        <w:rPr>
          <w:rFonts w:asciiTheme="minorHAnsi" w:hAnsiTheme="minorHAnsi" w:cstheme="minorHAnsi"/>
        </w:rPr>
      </w:pPr>
      <w:r>
        <w:rPr>
          <w:rFonts w:asciiTheme="minorHAnsi" w:hAnsiTheme="minorHAnsi" w:cstheme="minorHAnsi"/>
        </w:rPr>
        <w:t>r</w:t>
      </w:r>
      <w:r w:rsidR="00D54173" w:rsidRPr="00B018D0">
        <w:rPr>
          <w:rFonts w:asciiTheme="minorHAnsi" w:hAnsiTheme="minorHAnsi" w:cstheme="minorHAnsi"/>
        </w:rPr>
        <w:t>educed truck distance travelled by over 1.6 billion kilometres</w:t>
      </w:r>
      <w:r w:rsidR="00420AF6">
        <w:rPr>
          <w:rFonts w:asciiTheme="minorHAnsi" w:hAnsiTheme="minorHAnsi" w:cstheme="minorHAnsi"/>
        </w:rPr>
        <w:t>.</w:t>
      </w:r>
    </w:p>
    <w:p w14:paraId="4ED70E68" w14:textId="0D5B58CD" w:rsidR="00D54173" w:rsidRPr="00B018D0" w:rsidRDefault="00D54173" w:rsidP="0021401A">
      <w:pPr>
        <w:pStyle w:val="BodyText"/>
        <w:numPr>
          <w:ilvl w:val="0"/>
          <w:numId w:val="21"/>
        </w:numPr>
        <w:spacing w:after="160" w:line="259" w:lineRule="auto"/>
        <w:ind w:left="721" w:hanging="437"/>
        <w:rPr>
          <w:rFonts w:asciiTheme="minorHAnsi" w:hAnsiTheme="minorHAnsi" w:cstheme="minorHAnsi"/>
        </w:rPr>
      </w:pPr>
      <w:r w:rsidRPr="00B018D0">
        <w:rPr>
          <w:rFonts w:asciiTheme="minorHAnsi" w:hAnsiTheme="minorHAnsi" w:cstheme="minorHAnsi"/>
        </w:rPr>
        <w:t xml:space="preserve">With respect to safety, the NHVR’s recently published </w:t>
      </w:r>
      <w:hyperlink r:id="rId18" w:tgtFrame="_blank" w:history="1">
        <w:r w:rsidRPr="00B018D0">
          <w:rPr>
            <w:rStyle w:val="Hyperlink"/>
            <w:rFonts w:asciiTheme="minorHAnsi" w:eastAsia="Cambria" w:hAnsiTheme="minorHAnsi" w:cstheme="minorHAnsi"/>
            <w:sz w:val="22"/>
            <w:szCs w:val="22"/>
            <w:bdr w:val="none" w:sz="0" w:space="0" w:color="auto" w:frame="1"/>
          </w:rPr>
          <w:t>Review of Major Crash Rates for Australian Higher Productivity Vehicles: 2015 - 2019</w:t>
        </w:r>
      </w:hyperlink>
      <w:r w:rsidRPr="00B018D0">
        <w:rPr>
          <w:rFonts w:asciiTheme="minorHAnsi" w:hAnsiTheme="minorHAnsi" w:cstheme="minorHAnsi"/>
        </w:rPr>
        <w:t> identified that</w:t>
      </w:r>
      <w:r w:rsidR="00EA03CF">
        <w:rPr>
          <w:rFonts w:asciiTheme="minorHAnsi" w:hAnsiTheme="minorHAnsi" w:cstheme="minorHAnsi"/>
        </w:rPr>
        <w:t xml:space="preserve"> PBS vehicles were</w:t>
      </w:r>
      <w:r w:rsidRPr="00B018D0">
        <w:rPr>
          <w:rFonts w:asciiTheme="minorHAnsi" w:hAnsiTheme="minorHAnsi" w:cstheme="minorHAnsi"/>
        </w:rPr>
        <w:t>:</w:t>
      </w:r>
    </w:p>
    <w:p w14:paraId="36409A3D" w14:textId="3A377835" w:rsidR="00FD5483" w:rsidRPr="00B018D0" w:rsidRDefault="00EA03CF" w:rsidP="00FB3895">
      <w:pPr>
        <w:pStyle w:val="Bullet1"/>
        <w:ind w:left="1135" w:hanging="284"/>
        <w:rPr>
          <w:rFonts w:asciiTheme="minorHAnsi" w:hAnsiTheme="minorHAnsi" w:cstheme="minorHAnsi"/>
        </w:rPr>
      </w:pPr>
      <w:r>
        <w:rPr>
          <w:rFonts w:asciiTheme="minorHAnsi" w:hAnsiTheme="minorHAnsi" w:cstheme="minorHAnsi"/>
        </w:rPr>
        <w:t>i</w:t>
      </w:r>
      <w:r w:rsidR="00FD5483" w:rsidRPr="00B018D0">
        <w:rPr>
          <w:rFonts w:asciiTheme="minorHAnsi" w:hAnsiTheme="minorHAnsi" w:cstheme="minorHAnsi"/>
        </w:rPr>
        <w:t>nvolved in 60 per cent fewer major crashes per 100 million kilometres</w:t>
      </w:r>
    </w:p>
    <w:p w14:paraId="6769F132" w14:textId="53F6DBB7" w:rsidR="00FD5483" w:rsidRPr="00B018D0" w:rsidRDefault="00FD20DD" w:rsidP="00FB3895">
      <w:pPr>
        <w:pStyle w:val="Bullet1"/>
        <w:ind w:left="1135" w:hanging="284"/>
        <w:rPr>
          <w:rFonts w:asciiTheme="minorHAnsi" w:hAnsiTheme="minorHAnsi" w:cstheme="minorHAnsi"/>
        </w:rPr>
      </w:pPr>
      <w:r>
        <w:rPr>
          <w:rFonts w:asciiTheme="minorHAnsi" w:hAnsiTheme="minorHAnsi" w:cstheme="minorHAnsi"/>
        </w:rPr>
        <w:t>i</w:t>
      </w:r>
      <w:r w:rsidR="00FD5483" w:rsidRPr="00B018D0">
        <w:rPr>
          <w:rFonts w:asciiTheme="minorHAnsi" w:hAnsiTheme="minorHAnsi" w:cstheme="minorHAnsi"/>
        </w:rPr>
        <w:t>nvolved in 33 per cent fewer major crashes per 100 million gross tonne kilometres</w:t>
      </w:r>
    </w:p>
    <w:p w14:paraId="6656FF9A" w14:textId="7CD3EA4C" w:rsidR="00FD5483" w:rsidRPr="00B018D0" w:rsidRDefault="008F5D30" w:rsidP="00FB3895">
      <w:pPr>
        <w:pStyle w:val="Bullet1"/>
        <w:ind w:left="1135" w:hanging="284"/>
        <w:rPr>
          <w:rFonts w:asciiTheme="minorHAnsi" w:hAnsiTheme="minorHAnsi" w:cstheme="minorHAnsi"/>
        </w:rPr>
      </w:pPr>
      <w:r>
        <w:rPr>
          <w:rFonts w:asciiTheme="minorHAnsi" w:hAnsiTheme="minorHAnsi" w:cstheme="minorHAnsi"/>
        </w:rPr>
        <w:t>i</w:t>
      </w:r>
      <w:r w:rsidR="00FD5483" w:rsidRPr="00B018D0">
        <w:rPr>
          <w:rFonts w:asciiTheme="minorHAnsi" w:hAnsiTheme="minorHAnsi" w:cstheme="minorHAnsi"/>
        </w:rPr>
        <w:t>nvolved in 30 per cent fewer major crashes per 10,000 vehicles</w:t>
      </w:r>
    </w:p>
    <w:p w14:paraId="32989B20" w14:textId="5205F38A" w:rsidR="00FD5483" w:rsidRPr="00B018D0" w:rsidRDefault="008F5D30" w:rsidP="00112623">
      <w:pPr>
        <w:pStyle w:val="Bullet1"/>
        <w:spacing w:after="160"/>
        <w:ind w:left="1135" w:hanging="284"/>
        <w:rPr>
          <w:rFonts w:asciiTheme="minorHAnsi" w:hAnsiTheme="minorHAnsi" w:cstheme="minorHAnsi"/>
        </w:rPr>
      </w:pPr>
      <w:r>
        <w:rPr>
          <w:rFonts w:asciiTheme="minorHAnsi" w:hAnsiTheme="minorHAnsi" w:cstheme="minorHAnsi"/>
        </w:rPr>
        <w:t>f</w:t>
      </w:r>
      <w:r w:rsidR="00FD5483" w:rsidRPr="00B018D0">
        <w:rPr>
          <w:rFonts w:asciiTheme="minorHAnsi" w:hAnsiTheme="minorHAnsi" w:cstheme="minorHAnsi"/>
        </w:rPr>
        <w:t xml:space="preserve">orecast to save 143 lives </w:t>
      </w:r>
      <w:r w:rsidR="00E93E5C">
        <w:rPr>
          <w:rFonts w:asciiTheme="minorHAnsi" w:hAnsiTheme="minorHAnsi" w:cstheme="minorHAnsi"/>
        </w:rPr>
        <w:t>between 2013 and 2033.</w:t>
      </w:r>
    </w:p>
    <w:p w14:paraId="54249A3B" w14:textId="79543D5D" w:rsidR="00D54173" w:rsidRPr="00B018D0" w:rsidRDefault="00D54173" w:rsidP="0021401A">
      <w:pPr>
        <w:pStyle w:val="BodyText"/>
        <w:numPr>
          <w:ilvl w:val="0"/>
          <w:numId w:val="21"/>
        </w:numPr>
        <w:spacing w:after="160" w:line="259" w:lineRule="auto"/>
        <w:ind w:left="721" w:hanging="437"/>
        <w:rPr>
          <w:rFonts w:asciiTheme="minorHAnsi" w:hAnsiTheme="minorHAnsi" w:cstheme="minorHAnsi"/>
        </w:rPr>
      </w:pPr>
      <w:r w:rsidRPr="00B018D0">
        <w:rPr>
          <w:rFonts w:asciiTheme="minorHAnsi" w:hAnsiTheme="minorHAnsi" w:cstheme="minorHAnsi"/>
        </w:rPr>
        <w:t>The success of the PBS scheme is a clear statement of Australia’s heavy vehicle industry’s desire to innovate and be smarter</w:t>
      </w:r>
      <w:r w:rsidR="008A54DA" w:rsidRPr="00B018D0">
        <w:rPr>
          <w:rFonts w:asciiTheme="minorHAnsi" w:hAnsiTheme="minorHAnsi" w:cstheme="minorHAnsi"/>
        </w:rPr>
        <w:t>, more productive, safer</w:t>
      </w:r>
      <w:r w:rsidR="00E3758B" w:rsidRPr="00B018D0">
        <w:rPr>
          <w:rFonts w:asciiTheme="minorHAnsi" w:hAnsiTheme="minorHAnsi" w:cstheme="minorHAnsi"/>
        </w:rPr>
        <w:t>,</w:t>
      </w:r>
      <w:r w:rsidR="008A54DA" w:rsidRPr="00B018D0">
        <w:rPr>
          <w:rFonts w:asciiTheme="minorHAnsi" w:hAnsiTheme="minorHAnsi" w:cstheme="minorHAnsi"/>
        </w:rPr>
        <w:t xml:space="preserve"> and sustainable</w:t>
      </w:r>
      <w:r w:rsidRPr="00B018D0">
        <w:rPr>
          <w:rFonts w:asciiTheme="minorHAnsi" w:hAnsiTheme="minorHAnsi" w:cstheme="minorHAnsi"/>
        </w:rPr>
        <w:t>.</w:t>
      </w:r>
    </w:p>
    <w:p w14:paraId="1B3DA79F" w14:textId="4E39734A" w:rsidR="00D54173" w:rsidRPr="00B018D0" w:rsidRDefault="00D54173" w:rsidP="0021401A">
      <w:pPr>
        <w:pStyle w:val="BodyText"/>
        <w:numPr>
          <w:ilvl w:val="0"/>
          <w:numId w:val="21"/>
        </w:numPr>
        <w:spacing w:after="160" w:line="259" w:lineRule="auto"/>
        <w:ind w:left="721" w:hanging="437"/>
        <w:rPr>
          <w:rFonts w:asciiTheme="minorHAnsi" w:hAnsiTheme="minorHAnsi" w:cstheme="minorHAnsi"/>
        </w:rPr>
      </w:pPr>
      <w:r w:rsidRPr="00B018D0">
        <w:rPr>
          <w:rFonts w:asciiTheme="minorHAnsi" w:hAnsiTheme="minorHAnsi" w:cstheme="minorHAnsi"/>
        </w:rPr>
        <w:t>More information on the PBS Scheme and PBS vehicles can be found at the NHVR publication ‘</w:t>
      </w:r>
      <w:hyperlink r:id="rId19" w:history="1">
        <w:r w:rsidRPr="00B018D0">
          <w:rPr>
            <w:rStyle w:val="Hyperlink"/>
            <w:rFonts w:asciiTheme="minorHAnsi" w:hAnsiTheme="minorHAnsi" w:cstheme="minorHAnsi"/>
            <w:sz w:val="22"/>
          </w:rPr>
          <w:t>Performance Based Standards – An introduction for road managers</w:t>
        </w:r>
        <w:r w:rsidRPr="003844ED">
          <w:rPr>
            <w:rStyle w:val="Hyperlink"/>
            <w:rFonts w:asciiTheme="minorHAnsi" w:hAnsiTheme="minorHAnsi" w:cstheme="minorHAnsi"/>
            <w:color w:val="auto"/>
            <w:sz w:val="22"/>
          </w:rPr>
          <w:t>’</w:t>
        </w:r>
      </w:hyperlink>
      <w:r w:rsidR="006505DE" w:rsidRPr="00B018D0">
        <w:rPr>
          <w:rFonts w:asciiTheme="minorHAnsi" w:hAnsiTheme="minorHAnsi" w:cstheme="minorHAnsi"/>
        </w:rPr>
        <w:t>.</w:t>
      </w:r>
    </w:p>
    <w:p w14:paraId="1EFFD1A9" w14:textId="2AB13104" w:rsidR="003C3DFE" w:rsidRPr="00B018D0" w:rsidRDefault="003C3DFE" w:rsidP="003C3DFE">
      <w:pPr>
        <w:pStyle w:val="Heading3"/>
        <w:rPr>
          <w:rFonts w:asciiTheme="minorHAnsi" w:hAnsiTheme="minorHAnsi" w:cstheme="minorHAnsi"/>
        </w:rPr>
      </w:pPr>
      <w:r w:rsidRPr="00B018D0">
        <w:rPr>
          <w:rFonts w:asciiTheme="minorHAnsi" w:hAnsiTheme="minorHAnsi" w:cstheme="minorHAnsi"/>
        </w:rPr>
        <w:t>Incentivising the shift to rail freight</w:t>
      </w:r>
    </w:p>
    <w:p w14:paraId="43911B13" w14:textId="1BD36598" w:rsidR="003C3DFE" w:rsidRPr="00D1692D" w:rsidRDefault="008A54DA" w:rsidP="0021401A">
      <w:pPr>
        <w:pStyle w:val="ListParagraph"/>
        <w:numPr>
          <w:ilvl w:val="0"/>
          <w:numId w:val="21"/>
        </w:numPr>
        <w:spacing w:after="160" w:line="259" w:lineRule="auto"/>
        <w:ind w:left="714" w:hanging="430"/>
        <w:rPr>
          <w:rFonts w:asciiTheme="minorHAnsi" w:hAnsiTheme="minorHAnsi" w:cstheme="minorHAnsi"/>
          <w:sz w:val="22"/>
          <w:szCs w:val="22"/>
        </w:rPr>
      </w:pPr>
      <w:r w:rsidRPr="00D1692D">
        <w:rPr>
          <w:rFonts w:asciiTheme="minorHAnsi" w:hAnsiTheme="minorHAnsi" w:cstheme="minorHAnsi"/>
          <w:sz w:val="22"/>
          <w:szCs w:val="22"/>
        </w:rPr>
        <w:t>The NHVR</w:t>
      </w:r>
      <w:r w:rsidR="00AB1A63" w:rsidRPr="00D1692D">
        <w:rPr>
          <w:rFonts w:asciiTheme="minorHAnsi" w:hAnsiTheme="minorHAnsi" w:cstheme="minorHAnsi"/>
          <w:sz w:val="22"/>
          <w:szCs w:val="22"/>
        </w:rPr>
        <w:t xml:space="preserve"> notes</w:t>
      </w:r>
      <w:r w:rsidRPr="00D1692D">
        <w:rPr>
          <w:rFonts w:asciiTheme="minorHAnsi" w:hAnsiTheme="minorHAnsi" w:cstheme="minorHAnsi"/>
          <w:sz w:val="22"/>
          <w:szCs w:val="22"/>
        </w:rPr>
        <w:t xml:space="preserve"> the following text from the draft Report</w:t>
      </w:r>
      <w:r w:rsidR="001069EC">
        <w:rPr>
          <w:rFonts w:asciiTheme="minorHAnsi" w:hAnsiTheme="minorHAnsi" w:cstheme="minorHAnsi"/>
          <w:sz w:val="22"/>
          <w:szCs w:val="22"/>
        </w:rPr>
        <w:t>:</w:t>
      </w:r>
      <w:r w:rsidRPr="00D1692D">
        <w:rPr>
          <w:rFonts w:asciiTheme="minorHAnsi" w:hAnsiTheme="minorHAnsi" w:cstheme="minorHAnsi"/>
          <w:sz w:val="22"/>
          <w:szCs w:val="22"/>
        </w:rPr>
        <w:t xml:space="preserve"> “</w:t>
      </w:r>
      <w:r w:rsidRPr="00D1692D">
        <w:rPr>
          <w:rFonts w:asciiTheme="minorHAnsi" w:hAnsiTheme="minorHAnsi" w:cstheme="minorHAnsi"/>
          <w:i/>
          <w:iCs/>
          <w:sz w:val="22"/>
          <w:szCs w:val="22"/>
        </w:rPr>
        <w:t>forecasts of substantial growth in Australia’s freight task over the coming decades have contributed to most port authorities planning to substantially increase their rail mode share to slow the growth in road congestion. However, mode share targets have been set by state governments and not met in the past</w:t>
      </w:r>
      <w:r w:rsidRPr="00D1692D">
        <w:rPr>
          <w:rFonts w:asciiTheme="minorHAnsi" w:hAnsiTheme="minorHAnsi" w:cstheme="minorHAnsi"/>
          <w:sz w:val="22"/>
          <w:szCs w:val="22"/>
        </w:rPr>
        <w:t>.”</w:t>
      </w:r>
      <w:r w:rsidR="00AB1A63" w:rsidRPr="00D1692D">
        <w:rPr>
          <w:rFonts w:asciiTheme="minorHAnsi" w:hAnsiTheme="minorHAnsi" w:cstheme="minorHAnsi"/>
          <w:sz w:val="22"/>
          <w:szCs w:val="22"/>
        </w:rPr>
        <w:t xml:space="preserve"> </w:t>
      </w:r>
      <w:r w:rsidR="00A34275" w:rsidRPr="00D1692D">
        <w:rPr>
          <w:rFonts w:asciiTheme="minorHAnsi" w:hAnsiTheme="minorHAnsi" w:cstheme="minorHAnsi"/>
          <w:sz w:val="22"/>
          <w:szCs w:val="22"/>
        </w:rPr>
        <w:t>The NHVR</w:t>
      </w:r>
      <w:r w:rsidR="00AB1A63" w:rsidRPr="00D1692D">
        <w:rPr>
          <w:rFonts w:asciiTheme="minorHAnsi" w:hAnsiTheme="minorHAnsi" w:cstheme="minorHAnsi"/>
          <w:sz w:val="22"/>
          <w:szCs w:val="22"/>
        </w:rPr>
        <w:t xml:space="preserve"> further</w:t>
      </w:r>
      <w:r w:rsidR="003C3DFE" w:rsidRPr="00D1692D">
        <w:rPr>
          <w:rFonts w:asciiTheme="minorHAnsi" w:hAnsiTheme="minorHAnsi" w:cstheme="minorHAnsi"/>
          <w:sz w:val="22"/>
          <w:szCs w:val="22"/>
        </w:rPr>
        <w:t xml:space="preserve"> understand</w:t>
      </w:r>
      <w:r w:rsidR="005943F4">
        <w:rPr>
          <w:rFonts w:asciiTheme="minorHAnsi" w:hAnsiTheme="minorHAnsi" w:cstheme="minorHAnsi"/>
          <w:sz w:val="22"/>
          <w:szCs w:val="22"/>
        </w:rPr>
        <w:t>s</w:t>
      </w:r>
      <w:r w:rsidR="00AB1A63" w:rsidRPr="00D1692D">
        <w:rPr>
          <w:rFonts w:asciiTheme="minorHAnsi" w:hAnsiTheme="minorHAnsi" w:cstheme="minorHAnsi"/>
          <w:sz w:val="22"/>
          <w:szCs w:val="22"/>
        </w:rPr>
        <w:t xml:space="preserve"> that</w:t>
      </w:r>
      <w:r w:rsidR="006738BE" w:rsidRPr="00D1692D">
        <w:rPr>
          <w:rFonts w:asciiTheme="minorHAnsi" w:hAnsiTheme="minorHAnsi" w:cstheme="minorHAnsi"/>
          <w:sz w:val="22"/>
          <w:szCs w:val="22"/>
        </w:rPr>
        <w:t xml:space="preserve"> similar attempts have been made </w:t>
      </w:r>
      <w:r w:rsidR="00AB1A63" w:rsidRPr="00D1692D">
        <w:rPr>
          <w:rFonts w:asciiTheme="minorHAnsi" w:hAnsiTheme="minorHAnsi" w:cstheme="minorHAnsi"/>
          <w:sz w:val="22"/>
          <w:szCs w:val="22"/>
        </w:rPr>
        <w:t xml:space="preserve">by other parties </w:t>
      </w:r>
      <w:r w:rsidR="006738BE" w:rsidRPr="00D1692D">
        <w:rPr>
          <w:rFonts w:asciiTheme="minorHAnsi" w:hAnsiTheme="minorHAnsi" w:cstheme="minorHAnsi"/>
          <w:sz w:val="22"/>
          <w:szCs w:val="22"/>
        </w:rPr>
        <w:t xml:space="preserve">to </w:t>
      </w:r>
      <w:r w:rsidR="00AB1A63" w:rsidRPr="00D1692D">
        <w:rPr>
          <w:rFonts w:asciiTheme="minorHAnsi" w:hAnsiTheme="minorHAnsi" w:cstheme="minorHAnsi"/>
          <w:sz w:val="22"/>
          <w:szCs w:val="22"/>
        </w:rPr>
        <w:t>encourage</w:t>
      </w:r>
      <w:r w:rsidR="006738BE" w:rsidRPr="00D1692D">
        <w:rPr>
          <w:rFonts w:asciiTheme="minorHAnsi" w:hAnsiTheme="minorHAnsi" w:cstheme="minorHAnsi"/>
          <w:sz w:val="22"/>
          <w:szCs w:val="22"/>
        </w:rPr>
        <w:t xml:space="preserve"> mode share shift, such as</w:t>
      </w:r>
      <w:r w:rsidR="003C3DFE" w:rsidRPr="00D1692D">
        <w:rPr>
          <w:rFonts w:asciiTheme="minorHAnsi" w:hAnsiTheme="minorHAnsi" w:cstheme="minorHAnsi"/>
          <w:sz w:val="22"/>
          <w:szCs w:val="22"/>
        </w:rPr>
        <w:t xml:space="preserve"> the </w:t>
      </w:r>
      <w:r w:rsidR="001E5201" w:rsidRPr="00D1692D">
        <w:rPr>
          <w:rFonts w:asciiTheme="minorHAnsi" w:hAnsiTheme="minorHAnsi" w:cstheme="minorHAnsi"/>
          <w:sz w:val="22"/>
          <w:szCs w:val="22"/>
        </w:rPr>
        <w:t>NSW</w:t>
      </w:r>
      <w:r w:rsidR="003C3DFE" w:rsidRPr="00D1692D">
        <w:rPr>
          <w:rFonts w:asciiTheme="minorHAnsi" w:hAnsiTheme="minorHAnsi" w:cstheme="minorHAnsi"/>
          <w:sz w:val="22"/>
          <w:szCs w:val="22"/>
        </w:rPr>
        <w:t xml:space="preserve"> Independent Pricing and Regulatory Tribunal (</w:t>
      </w:r>
      <w:r w:rsidR="00042388" w:rsidRPr="00D1692D">
        <w:rPr>
          <w:rFonts w:asciiTheme="minorHAnsi" w:hAnsiTheme="minorHAnsi" w:cstheme="minorHAnsi"/>
          <w:sz w:val="22"/>
          <w:szCs w:val="22"/>
        </w:rPr>
        <w:t>IPART</w:t>
      </w:r>
      <w:r w:rsidR="003C3DFE" w:rsidRPr="00D1692D">
        <w:rPr>
          <w:rFonts w:asciiTheme="minorHAnsi" w:hAnsiTheme="minorHAnsi" w:cstheme="minorHAnsi"/>
          <w:sz w:val="22"/>
          <w:szCs w:val="22"/>
        </w:rPr>
        <w:t xml:space="preserve">) </w:t>
      </w:r>
      <w:r w:rsidR="006738BE" w:rsidRPr="00D1692D">
        <w:rPr>
          <w:rFonts w:asciiTheme="minorHAnsi" w:hAnsiTheme="minorHAnsi" w:cstheme="minorHAnsi"/>
          <w:sz w:val="22"/>
          <w:szCs w:val="22"/>
        </w:rPr>
        <w:t>recommending</w:t>
      </w:r>
      <w:r w:rsidR="003C3DFE" w:rsidRPr="00D1692D">
        <w:rPr>
          <w:rFonts w:asciiTheme="minorHAnsi" w:hAnsiTheme="minorHAnsi" w:cstheme="minorHAnsi"/>
          <w:sz w:val="22"/>
          <w:szCs w:val="22"/>
        </w:rPr>
        <w:t xml:space="preserve"> options to encourage increased use of rail as a freight mode to enhance efficiency and reduce road congestion.</w:t>
      </w:r>
      <w:r w:rsidR="003C3DFE" w:rsidRPr="00D1692D">
        <w:rPr>
          <w:rStyle w:val="FootnoteReference"/>
          <w:rFonts w:asciiTheme="minorHAnsi" w:hAnsiTheme="minorHAnsi" w:cstheme="minorHAnsi"/>
          <w:sz w:val="22"/>
          <w:szCs w:val="22"/>
        </w:rPr>
        <w:footnoteReference w:id="2"/>
      </w:r>
      <w:r w:rsidR="003C3DFE" w:rsidRPr="00D1692D">
        <w:rPr>
          <w:rFonts w:asciiTheme="minorHAnsi" w:hAnsiTheme="minorHAnsi" w:cstheme="minorHAnsi"/>
          <w:sz w:val="22"/>
          <w:szCs w:val="22"/>
        </w:rPr>
        <w:t xml:space="preserve"> </w:t>
      </w:r>
    </w:p>
    <w:p w14:paraId="30C88BA2" w14:textId="44E45745" w:rsidR="003C3DFE" w:rsidRPr="00B018D0" w:rsidRDefault="003C3DFE" w:rsidP="0021401A">
      <w:pPr>
        <w:pStyle w:val="BodyText"/>
        <w:numPr>
          <w:ilvl w:val="0"/>
          <w:numId w:val="21"/>
        </w:numPr>
        <w:spacing w:after="160" w:line="259" w:lineRule="auto"/>
        <w:ind w:hanging="430"/>
        <w:rPr>
          <w:rFonts w:asciiTheme="minorHAnsi" w:hAnsiTheme="minorHAnsi" w:cstheme="minorHAnsi"/>
        </w:rPr>
      </w:pPr>
      <w:r w:rsidRPr="00B018D0">
        <w:rPr>
          <w:rFonts w:asciiTheme="minorHAnsi" w:hAnsiTheme="minorHAnsi" w:cstheme="minorHAnsi"/>
        </w:rPr>
        <w:t>The NHVR recognises the importance of all freight modes, including rail freight. However, a number of factors impact freight mode preferences, including infrastructure, service scheduling, climate, geography, origin and destination, the commodity being transported, and the distances travelled.</w:t>
      </w:r>
    </w:p>
    <w:p w14:paraId="24996976" w14:textId="6EBCDC19" w:rsidR="00DD275E" w:rsidRPr="00B018D0" w:rsidRDefault="00DD275E" w:rsidP="0021401A">
      <w:pPr>
        <w:pStyle w:val="BodyText"/>
        <w:numPr>
          <w:ilvl w:val="0"/>
          <w:numId w:val="21"/>
        </w:numPr>
        <w:spacing w:after="160" w:line="259" w:lineRule="auto"/>
        <w:ind w:hanging="430"/>
        <w:rPr>
          <w:rFonts w:asciiTheme="minorHAnsi" w:hAnsiTheme="minorHAnsi" w:cstheme="minorHAnsi"/>
        </w:rPr>
      </w:pPr>
      <w:r w:rsidRPr="00B018D0">
        <w:rPr>
          <w:rFonts w:asciiTheme="minorHAnsi" w:hAnsiTheme="minorHAnsi" w:cstheme="minorHAnsi"/>
        </w:rPr>
        <w:t>Road transport is the dominant form of freight for the majority of commodities produced and/or consumed in Australia. Road freight grew by over 75 per cent between 2000-01 and 2015-16</w:t>
      </w:r>
      <w:r w:rsidR="00336AF8">
        <w:rPr>
          <w:rFonts w:asciiTheme="minorHAnsi" w:hAnsiTheme="minorHAnsi" w:cstheme="minorHAnsi"/>
        </w:rPr>
        <w:t>,</w:t>
      </w:r>
      <w:r w:rsidRPr="00B018D0">
        <w:rPr>
          <w:rFonts w:asciiTheme="minorHAnsi" w:hAnsiTheme="minorHAnsi" w:cstheme="minorHAnsi"/>
        </w:rPr>
        <w:t xml:space="preserve"> and Australia’s urban freight is forecast to increase by nearly 60 per cent over 20 years to 2040.</w:t>
      </w:r>
      <w:r w:rsidRPr="00B018D0">
        <w:rPr>
          <w:rStyle w:val="FootnoteReference"/>
          <w:rFonts w:asciiTheme="minorHAnsi" w:hAnsiTheme="minorHAnsi" w:cstheme="minorHAnsi"/>
        </w:rPr>
        <w:footnoteReference w:id="3"/>
      </w:r>
    </w:p>
    <w:p w14:paraId="2C6F9C2D" w14:textId="206190B0" w:rsidR="00DD275E" w:rsidRPr="00B018D0" w:rsidRDefault="00DD275E" w:rsidP="0021401A">
      <w:pPr>
        <w:pStyle w:val="BodyText"/>
        <w:numPr>
          <w:ilvl w:val="0"/>
          <w:numId w:val="21"/>
        </w:numPr>
        <w:spacing w:after="160" w:line="259" w:lineRule="auto"/>
        <w:ind w:hanging="430"/>
        <w:rPr>
          <w:rFonts w:asciiTheme="minorHAnsi" w:hAnsiTheme="minorHAnsi" w:cstheme="minorHAnsi"/>
        </w:rPr>
      </w:pPr>
      <w:r w:rsidRPr="00B018D0">
        <w:rPr>
          <w:rFonts w:asciiTheme="minorHAnsi" w:hAnsiTheme="minorHAnsi" w:cstheme="minorHAnsi"/>
        </w:rPr>
        <w:t>Collectively, governments have a responsibility to ensure heavy vehicles can partner with rail freight to meet the country’s growing freight task</w:t>
      </w:r>
      <w:r w:rsidR="003E54EE">
        <w:rPr>
          <w:rFonts w:asciiTheme="minorHAnsi" w:hAnsiTheme="minorHAnsi" w:cstheme="minorHAnsi"/>
        </w:rPr>
        <w:t xml:space="preserve">. </w:t>
      </w:r>
      <w:r w:rsidRPr="00B018D0">
        <w:rPr>
          <w:rFonts w:asciiTheme="minorHAnsi" w:hAnsiTheme="minorHAnsi" w:cstheme="minorHAnsi"/>
        </w:rPr>
        <w:t xml:space="preserve">PBS vehicles deliver on this task, by offering industry productivity improvements of </w:t>
      </w:r>
      <w:r w:rsidR="00114312">
        <w:rPr>
          <w:rFonts w:asciiTheme="minorHAnsi" w:hAnsiTheme="minorHAnsi" w:cstheme="minorHAnsi"/>
        </w:rPr>
        <w:t xml:space="preserve">an average of </w:t>
      </w:r>
      <w:r w:rsidRPr="00B018D0">
        <w:rPr>
          <w:rFonts w:asciiTheme="minorHAnsi" w:hAnsiTheme="minorHAnsi" w:cstheme="minorHAnsi"/>
        </w:rPr>
        <w:t>15 to 30 per cent.</w:t>
      </w:r>
      <w:r w:rsidR="00114312">
        <w:rPr>
          <w:rStyle w:val="FootnoteReference"/>
          <w:rFonts w:asciiTheme="minorHAnsi" w:hAnsiTheme="minorHAnsi" w:cstheme="minorHAnsi"/>
        </w:rPr>
        <w:footnoteReference w:id="4"/>
      </w:r>
    </w:p>
    <w:p w14:paraId="21E75EA9" w14:textId="6243F058" w:rsidR="00FF7DA4" w:rsidRPr="00B018D0" w:rsidRDefault="00DD275E" w:rsidP="0021401A">
      <w:pPr>
        <w:pStyle w:val="BodyText"/>
        <w:numPr>
          <w:ilvl w:val="0"/>
          <w:numId w:val="21"/>
        </w:numPr>
        <w:spacing w:after="160" w:line="259" w:lineRule="auto"/>
        <w:ind w:hanging="430"/>
        <w:rPr>
          <w:rFonts w:asciiTheme="minorHAnsi" w:hAnsiTheme="minorHAnsi" w:cstheme="minorHAnsi"/>
          <w:lang w:eastAsia="en-AU"/>
        </w:rPr>
      </w:pPr>
      <w:r w:rsidRPr="00B018D0">
        <w:rPr>
          <w:rFonts w:asciiTheme="minorHAnsi" w:hAnsiTheme="minorHAnsi" w:cstheme="minorHAnsi"/>
        </w:rPr>
        <w:t>The NHVR is aware of different heavy vehicle access entitlements at different ports. In cases such as Port of Brisbane, there is high reliance on PBS vehicles and less on rail freight. In other examples, such as Port Botany, there appear to be policies or practices deterring use of PBS vehicles</w:t>
      </w:r>
      <w:r w:rsidR="00A34275" w:rsidRPr="00B018D0">
        <w:rPr>
          <w:rFonts w:asciiTheme="minorHAnsi" w:hAnsiTheme="minorHAnsi" w:cstheme="minorHAnsi"/>
        </w:rPr>
        <w:t xml:space="preserve"> despite reduction in rail freight performance over time. In the Port Botany case,</w:t>
      </w:r>
      <w:r w:rsidR="00613876" w:rsidRPr="00B018D0">
        <w:rPr>
          <w:rFonts w:asciiTheme="minorHAnsi" w:hAnsiTheme="minorHAnsi" w:cstheme="minorHAnsi"/>
        </w:rPr>
        <w:t xml:space="preserve"> the road freight task will continue</w:t>
      </w:r>
      <w:r w:rsidR="00A34275" w:rsidRPr="00B018D0">
        <w:rPr>
          <w:rFonts w:asciiTheme="minorHAnsi" w:hAnsiTheme="minorHAnsi" w:cstheme="minorHAnsi"/>
        </w:rPr>
        <w:t xml:space="preserve"> to grow</w:t>
      </w:r>
      <w:r w:rsidR="00594268" w:rsidRPr="00B018D0">
        <w:rPr>
          <w:rFonts w:asciiTheme="minorHAnsi" w:hAnsiTheme="minorHAnsi" w:cstheme="minorHAnsi"/>
        </w:rPr>
        <w:t xml:space="preserve"> and</w:t>
      </w:r>
      <w:r w:rsidR="00613876" w:rsidRPr="00B018D0">
        <w:rPr>
          <w:rFonts w:asciiTheme="minorHAnsi" w:hAnsiTheme="minorHAnsi" w:cstheme="minorHAnsi"/>
        </w:rPr>
        <w:t xml:space="preserve"> </w:t>
      </w:r>
      <w:r w:rsidR="00594268" w:rsidRPr="00B018D0">
        <w:rPr>
          <w:rFonts w:asciiTheme="minorHAnsi" w:hAnsiTheme="minorHAnsi" w:cstheme="minorHAnsi"/>
        </w:rPr>
        <w:t>i</w:t>
      </w:r>
      <w:r w:rsidR="007861E3" w:rsidRPr="00B018D0">
        <w:rPr>
          <w:rFonts w:asciiTheme="minorHAnsi" w:hAnsiTheme="minorHAnsi" w:cstheme="minorHAnsi"/>
        </w:rPr>
        <w:t xml:space="preserve">nstead of a smaller volume of PBS vehicles, </w:t>
      </w:r>
      <w:r w:rsidR="00FF7DA4" w:rsidRPr="00B018D0">
        <w:rPr>
          <w:rFonts w:asciiTheme="minorHAnsi" w:hAnsiTheme="minorHAnsi" w:cstheme="minorHAnsi"/>
        </w:rPr>
        <w:t xml:space="preserve">a larger volume of </w:t>
      </w:r>
      <w:r w:rsidR="00594268" w:rsidRPr="00B018D0">
        <w:rPr>
          <w:rFonts w:asciiTheme="minorHAnsi" w:hAnsiTheme="minorHAnsi" w:cstheme="minorHAnsi"/>
        </w:rPr>
        <w:t>non-PBS</w:t>
      </w:r>
      <w:r w:rsidR="00FF7DA4" w:rsidRPr="00B018D0">
        <w:rPr>
          <w:rFonts w:asciiTheme="minorHAnsi" w:hAnsiTheme="minorHAnsi" w:cstheme="minorHAnsi"/>
        </w:rPr>
        <w:t xml:space="preserve"> vehicles </w:t>
      </w:r>
      <w:r w:rsidR="00856AC9">
        <w:rPr>
          <w:rFonts w:asciiTheme="minorHAnsi" w:hAnsiTheme="minorHAnsi" w:cstheme="minorHAnsi"/>
        </w:rPr>
        <w:t>will be</w:t>
      </w:r>
      <w:r w:rsidR="00FF7DA4" w:rsidRPr="00B018D0">
        <w:rPr>
          <w:rFonts w:asciiTheme="minorHAnsi" w:hAnsiTheme="minorHAnsi" w:cstheme="minorHAnsi"/>
        </w:rPr>
        <w:t xml:space="preserve"> required to transport the same </w:t>
      </w:r>
      <w:r w:rsidR="00594268" w:rsidRPr="00B018D0">
        <w:rPr>
          <w:rFonts w:asciiTheme="minorHAnsi" w:hAnsiTheme="minorHAnsi" w:cstheme="minorHAnsi"/>
        </w:rPr>
        <w:t>freight</w:t>
      </w:r>
      <w:r w:rsidR="00FF7DA4" w:rsidRPr="00B018D0">
        <w:rPr>
          <w:rFonts w:asciiTheme="minorHAnsi" w:hAnsiTheme="minorHAnsi" w:cstheme="minorHAnsi"/>
        </w:rPr>
        <w:t xml:space="preserve"> task.</w:t>
      </w:r>
      <w:r w:rsidR="007861E3" w:rsidRPr="00B018D0">
        <w:rPr>
          <w:rFonts w:asciiTheme="minorHAnsi" w:hAnsiTheme="minorHAnsi" w:cstheme="minorHAnsi"/>
        </w:rPr>
        <w:t xml:space="preserve"> The outcome </w:t>
      </w:r>
      <w:r w:rsidR="005B5BF9">
        <w:rPr>
          <w:rFonts w:asciiTheme="minorHAnsi" w:hAnsiTheme="minorHAnsi" w:cstheme="minorHAnsi"/>
        </w:rPr>
        <w:t>will be</w:t>
      </w:r>
      <w:r w:rsidR="00A424E0" w:rsidRPr="00B018D0">
        <w:rPr>
          <w:rFonts w:asciiTheme="minorHAnsi" w:hAnsiTheme="minorHAnsi" w:cstheme="minorHAnsi"/>
        </w:rPr>
        <w:t xml:space="preserve"> </w:t>
      </w:r>
      <w:r w:rsidR="00872733" w:rsidRPr="00B018D0">
        <w:rPr>
          <w:rFonts w:asciiTheme="minorHAnsi" w:hAnsiTheme="minorHAnsi" w:cstheme="minorHAnsi"/>
        </w:rPr>
        <w:t xml:space="preserve">further </w:t>
      </w:r>
      <w:r w:rsidR="00A34275" w:rsidRPr="00B018D0">
        <w:rPr>
          <w:rFonts w:asciiTheme="minorHAnsi" w:hAnsiTheme="minorHAnsi" w:cstheme="minorHAnsi"/>
        </w:rPr>
        <w:t xml:space="preserve">congestion and </w:t>
      </w:r>
      <w:r w:rsidR="005B5BF9">
        <w:rPr>
          <w:rFonts w:asciiTheme="minorHAnsi" w:hAnsiTheme="minorHAnsi" w:cstheme="minorHAnsi"/>
        </w:rPr>
        <w:t>reduced</w:t>
      </w:r>
      <w:r w:rsidR="00A424E0" w:rsidRPr="00B018D0">
        <w:rPr>
          <w:rFonts w:asciiTheme="minorHAnsi" w:hAnsiTheme="minorHAnsi" w:cstheme="minorHAnsi"/>
        </w:rPr>
        <w:t xml:space="preserve"> container movement performance</w:t>
      </w:r>
      <w:r w:rsidR="003072DA" w:rsidRPr="00B018D0">
        <w:rPr>
          <w:rFonts w:asciiTheme="minorHAnsi" w:hAnsiTheme="minorHAnsi" w:cstheme="minorHAnsi"/>
        </w:rPr>
        <w:t xml:space="preserve"> as container volumes grow</w:t>
      </w:r>
      <w:r w:rsidR="00A424E0" w:rsidRPr="00B018D0">
        <w:rPr>
          <w:rFonts w:asciiTheme="minorHAnsi" w:hAnsiTheme="minorHAnsi" w:cstheme="minorHAnsi"/>
        </w:rPr>
        <w:t xml:space="preserve">, </w:t>
      </w:r>
      <w:r w:rsidR="00A0104A">
        <w:rPr>
          <w:rFonts w:asciiTheme="minorHAnsi" w:hAnsiTheme="minorHAnsi" w:cstheme="minorHAnsi"/>
        </w:rPr>
        <w:t xml:space="preserve">as well as </w:t>
      </w:r>
      <w:r w:rsidR="00A424E0" w:rsidRPr="00B018D0">
        <w:rPr>
          <w:rFonts w:asciiTheme="minorHAnsi" w:hAnsiTheme="minorHAnsi" w:cstheme="minorHAnsi"/>
        </w:rPr>
        <w:t>forgoing</w:t>
      </w:r>
      <w:r w:rsidR="00A0104A">
        <w:rPr>
          <w:rFonts w:asciiTheme="minorHAnsi" w:hAnsiTheme="minorHAnsi" w:cstheme="minorHAnsi"/>
        </w:rPr>
        <w:t xml:space="preserve"> of</w:t>
      </w:r>
      <w:r w:rsidR="00A424E0" w:rsidRPr="00B018D0">
        <w:rPr>
          <w:rFonts w:asciiTheme="minorHAnsi" w:hAnsiTheme="minorHAnsi" w:cstheme="minorHAnsi"/>
        </w:rPr>
        <w:t xml:space="preserve"> the significant safety, environmental and amenity benefits that PBS vehicles offer over </w:t>
      </w:r>
      <w:r w:rsidR="00872733" w:rsidRPr="00B018D0">
        <w:rPr>
          <w:rFonts w:asciiTheme="minorHAnsi" w:hAnsiTheme="minorHAnsi" w:cstheme="minorHAnsi"/>
        </w:rPr>
        <w:t xml:space="preserve">non-PBS </w:t>
      </w:r>
      <w:r w:rsidR="00A424E0" w:rsidRPr="00B018D0">
        <w:rPr>
          <w:rFonts w:asciiTheme="minorHAnsi" w:hAnsiTheme="minorHAnsi" w:cstheme="minorHAnsi"/>
        </w:rPr>
        <w:t>vehicles.</w:t>
      </w:r>
    </w:p>
    <w:p w14:paraId="33FA7F66" w14:textId="0A31E015" w:rsidR="006272A6" w:rsidRPr="00B018D0" w:rsidRDefault="006272A6" w:rsidP="0021401A">
      <w:pPr>
        <w:pStyle w:val="BodyText"/>
        <w:numPr>
          <w:ilvl w:val="0"/>
          <w:numId w:val="21"/>
        </w:numPr>
        <w:spacing w:after="160" w:line="259" w:lineRule="auto"/>
        <w:ind w:hanging="431"/>
        <w:rPr>
          <w:rFonts w:asciiTheme="minorHAnsi" w:hAnsiTheme="minorHAnsi" w:cstheme="minorHAnsi"/>
        </w:rPr>
      </w:pPr>
      <w:r w:rsidRPr="00B018D0">
        <w:rPr>
          <w:rFonts w:asciiTheme="minorHAnsi" w:hAnsiTheme="minorHAnsi" w:cstheme="minorHAnsi"/>
        </w:rPr>
        <w:t>To best service the Australian economy, and ensure supply chains are resilient, the narrative should be road and rail being complementary and having multiple modal choice options. It is important that encouraging mode share shift to rail should not be achieved by limiting access for productive vehicles</w:t>
      </w:r>
      <w:r w:rsidR="00A47C05">
        <w:rPr>
          <w:rFonts w:asciiTheme="minorHAnsi" w:hAnsiTheme="minorHAnsi" w:cstheme="minorHAnsi"/>
        </w:rPr>
        <w:t>,</w:t>
      </w:r>
      <w:r w:rsidRPr="00B018D0">
        <w:rPr>
          <w:rFonts w:asciiTheme="minorHAnsi" w:hAnsiTheme="minorHAnsi" w:cstheme="minorHAnsi"/>
        </w:rPr>
        <w:t xml:space="preserve"> particularly while conventional non-PBS heavy vehicles are still allowed access and rail freight performance continues to not meet targets set by governments and private enterprise.</w:t>
      </w:r>
    </w:p>
    <w:p w14:paraId="31AB0E2A" w14:textId="77777777" w:rsidR="00E3758B" w:rsidRPr="009113AC" w:rsidRDefault="00E3758B" w:rsidP="00E3758B">
      <w:pPr>
        <w:rPr>
          <w:rFonts w:asciiTheme="minorHAnsi" w:hAnsiTheme="minorHAnsi" w:cstheme="minorHAnsi"/>
          <w:b/>
          <w:bCs/>
          <w:color w:val="0F2D52" w:themeColor="text2"/>
          <w:sz w:val="24"/>
        </w:rPr>
      </w:pPr>
      <w:r w:rsidRPr="009113AC">
        <w:rPr>
          <w:rFonts w:asciiTheme="minorHAnsi" w:hAnsiTheme="minorHAnsi" w:cstheme="minorHAnsi"/>
          <w:b/>
          <w:bCs/>
          <w:color w:val="0F2D52" w:themeColor="text2"/>
          <w:sz w:val="24"/>
        </w:rPr>
        <w:t xml:space="preserve">Risks associated with freight containers </w:t>
      </w:r>
    </w:p>
    <w:p w14:paraId="1A67CBC3" w14:textId="77777777" w:rsidR="00E3758B" w:rsidRPr="00B018D0" w:rsidRDefault="00E3758B" w:rsidP="0021401A">
      <w:pPr>
        <w:pStyle w:val="ListParagraph"/>
        <w:numPr>
          <w:ilvl w:val="0"/>
          <w:numId w:val="21"/>
        </w:numPr>
        <w:spacing w:after="160" w:line="259" w:lineRule="auto"/>
        <w:ind w:left="715" w:hanging="431"/>
        <w:contextualSpacing w:val="0"/>
        <w:rPr>
          <w:rFonts w:asciiTheme="minorHAnsi" w:hAnsiTheme="minorHAnsi" w:cstheme="minorHAnsi"/>
          <w:sz w:val="22"/>
          <w:szCs w:val="28"/>
        </w:rPr>
      </w:pPr>
      <w:r w:rsidRPr="00B018D0">
        <w:rPr>
          <w:rFonts w:asciiTheme="minorHAnsi" w:hAnsiTheme="minorHAnsi" w:cstheme="minorHAnsi"/>
          <w:sz w:val="22"/>
          <w:szCs w:val="28"/>
        </w:rPr>
        <w:t>When the goods inside a shipping container are inadequately restrained or unevenly distributed, the braking and handling of a vehicle carrying the container may be affected. In the worst scenarios, this can cause a vehicle rollover, with fatal results.</w:t>
      </w:r>
      <w:r w:rsidRPr="00B018D0">
        <w:rPr>
          <w:rStyle w:val="FootnoteReference"/>
          <w:rFonts w:asciiTheme="minorHAnsi" w:hAnsiTheme="minorHAnsi" w:cstheme="minorHAnsi"/>
          <w:sz w:val="22"/>
          <w:szCs w:val="28"/>
        </w:rPr>
        <w:footnoteReference w:id="5"/>
      </w:r>
      <w:r w:rsidRPr="00B018D0">
        <w:rPr>
          <w:rFonts w:asciiTheme="minorHAnsi" w:hAnsiTheme="minorHAnsi" w:cstheme="minorHAnsi"/>
          <w:sz w:val="22"/>
          <w:szCs w:val="28"/>
        </w:rPr>
        <w:t xml:space="preserve"> </w:t>
      </w:r>
    </w:p>
    <w:p w14:paraId="7FB76753" w14:textId="05531CCB" w:rsidR="00E3758B" w:rsidRPr="00B018D0" w:rsidRDefault="00E3758B" w:rsidP="0021401A">
      <w:pPr>
        <w:pStyle w:val="ListParagraph"/>
        <w:numPr>
          <w:ilvl w:val="0"/>
          <w:numId w:val="21"/>
        </w:numPr>
        <w:spacing w:after="160" w:line="259" w:lineRule="auto"/>
        <w:ind w:hanging="431"/>
        <w:rPr>
          <w:rFonts w:asciiTheme="minorHAnsi" w:hAnsiTheme="minorHAnsi" w:cstheme="minorHAnsi"/>
          <w:sz w:val="22"/>
          <w:szCs w:val="28"/>
        </w:rPr>
      </w:pPr>
      <w:r w:rsidRPr="00B018D0">
        <w:rPr>
          <w:rFonts w:asciiTheme="minorHAnsi" w:hAnsiTheme="minorHAnsi" w:cstheme="minorHAnsi"/>
          <w:sz w:val="22"/>
          <w:szCs w:val="28"/>
        </w:rPr>
        <w:t>When the mass of goods inside a container exceeds mass limits for Australian roads, there is potential for damage to road infrastructure including pavement, bridges, and culverts. Overloaded vehicles may also have worse braking and steering performance.</w:t>
      </w:r>
    </w:p>
    <w:p w14:paraId="3A03D5F6" w14:textId="77777777" w:rsidR="00E3758B" w:rsidRPr="009113AC" w:rsidRDefault="00E3758B" w:rsidP="00E3758B">
      <w:pPr>
        <w:rPr>
          <w:rFonts w:asciiTheme="minorHAnsi" w:hAnsiTheme="minorHAnsi" w:cstheme="minorHAnsi"/>
          <w:b/>
          <w:bCs/>
          <w:color w:val="0F2D52" w:themeColor="text2"/>
          <w:sz w:val="24"/>
        </w:rPr>
      </w:pPr>
      <w:r w:rsidRPr="009113AC">
        <w:rPr>
          <w:rFonts w:asciiTheme="minorHAnsi" w:hAnsiTheme="minorHAnsi" w:cstheme="minorHAnsi"/>
          <w:b/>
          <w:bCs/>
          <w:color w:val="0F2D52" w:themeColor="text2"/>
          <w:sz w:val="24"/>
        </w:rPr>
        <w:t>Who has obligations for shipping containers?</w:t>
      </w:r>
    </w:p>
    <w:p w14:paraId="40340D1E" w14:textId="77777777" w:rsidR="00E3758B" w:rsidRPr="00B018D0" w:rsidRDefault="00E3758B" w:rsidP="0021401A">
      <w:pPr>
        <w:pStyle w:val="ListParagraph"/>
        <w:numPr>
          <w:ilvl w:val="0"/>
          <w:numId w:val="21"/>
        </w:numPr>
        <w:spacing w:after="160" w:line="259" w:lineRule="auto"/>
        <w:ind w:left="715" w:hanging="431"/>
        <w:contextualSpacing w:val="0"/>
        <w:rPr>
          <w:rFonts w:asciiTheme="minorHAnsi" w:hAnsiTheme="minorHAnsi" w:cstheme="minorHAnsi"/>
          <w:sz w:val="22"/>
          <w:szCs w:val="28"/>
        </w:rPr>
      </w:pPr>
      <w:r w:rsidRPr="00B018D0">
        <w:rPr>
          <w:rFonts w:asciiTheme="minorHAnsi" w:hAnsiTheme="minorHAnsi" w:cstheme="minorHAnsi"/>
          <w:sz w:val="22"/>
          <w:szCs w:val="28"/>
        </w:rPr>
        <w:t xml:space="preserve">Marine Order 42 incorporates Chapter 6 of the international SOLAS agreement and the Code of Safe Practice for Cargo Stowage and Securing (CSS Code) and therefore obliges shippers of goods to provide a verified gross mass of each container to the shipping line, to secure goods inside containers, and to use containers that comply with an international standard. </w:t>
      </w:r>
    </w:p>
    <w:p w14:paraId="27E80E11" w14:textId="37284ED2" w:rsidR="00E3758B" w:rsidRPr="00B018D0" w:rsidRDefault="00E3758B" w:rsidP="0021401A">
      <w:pPr>
        <w:pStyle w:val="ListParagraph"/>
        <w:numPr>
          <w:ilvl w:val="0"/>
          <w:numId w:val="21"/>
        </w:numPr>
        <w:tabs>
          <w:tab w:val="clear" w:pos="284"/>
        </w:tabs>
        <w:spacing w:after="160" w:line="259" w:lineRule="auto"/>
        <w:ind w:left="715" w:hanging="431"/>
        <w:contextualSpacing w:val="0"/>
        <w:rPr>
          <w:rFonts w:asciiTheme="minorHAnsi" w:hAnsiTheme="minorHAnsi" w:cstheme="minorHAnsi"/>
          <w:sz w:val="22"/>
          <w:szCs w:val="28"/>
        </w:rPr>
      </w:pPr>
      <w:r w:rsidRPr="00B018D0">
        <w:rPr>
          <w:rFonts w:asciiTheme="minorHAnsi" w:hAnsiTheme="minorHAnsi" w:cstheme="minorHAnsi"/>
          <w:sz w:val="22"/>
          <w:szCs w:val="28"/>
        </w:rPr>
        <w:t xml:space="preserve">Under the </w:t>
      </w:r>
      <w:r w:rsidR="009614F2">
        <w:rPr>
          <w:rFonts w:asciiTheme="minorHAnsi" w:hAnsiTheme="minorHAnsi" w:cstheme="minorHAnsi"/>
          <w:sz w:val="22"/>
          <w:szCs w:val="28"/>
        </w:rPr>
        <w:t>HVNL</w:t>
      </w:r>
      <w:r w:rsidRPr="00B018D0">
        <w:rPr>
          <w:rFonts w:asciiTheme="minorHAnsi" w:hAnsiTheme="minorHAnsi" w:cstheme="minorHAnsi"/>
          <w:sz w:val="22"/>
          <w:szCs w:val="28"/>
        </w:rPr>
        <w:t xml:space="preserve"> each of ten defined parties</w:t>
      </w:r>
      <w:r w:rsidRPr="00B018D0">
        <w:rPr>
          <w:rStyle w:val="FootnoteReference"/>
          <w:rFonts w:asciiTheme="minorHAnsi" w:hAnsiTheme="minorHAnsi" w:cstheme="minorHAnsi"/>
          <w:sz w:val="22"/>
          <w:szCs w:val="28"/>
        </w:rPr>
        <w:footnoteReference w:id="6"/>
      </w:r>
      <w:r w:rsidRPr="00B018D0">
        <w:rPr>
          <w:rFonts w:asciiTheme="minorHAnsi" w:hAnsiTheme="minorHAnsi" w:cstheme="minorHAnsi"/>
          <w:sz w:val="22"/>
          <w:szCs w:val="28"/>
        </w:rPr>
        <w:t xml:space="preserve"> in the “</w:t>
      </w:r>
      <w:r w:rsidR="009614F2">
        <w:rPr>
          <w:rFonts w:asciiTheme="minorHAnsi" w:hAnsiTheme="minorHAnsi" w:cstheme="minorHAnsi"/>
          <w:sz w:val="22"/>
          <w:szCs w:val="28"/>
        </w:rPr>
        <w:t>C</w:t>
      </w:r>
      <w:r w:rsidRPr="00B018D0">
        <w:rPr>
          <w:rFonts w:asciiTheme="minorHAnsi" w:hAnsiTheme="minorHAnsi" w:cstheme="minorHAnsi"/>
          <w:sz w:val="22"/>
          <w:szCs w:val="28"/>
        </w:rPr>
        <w:t xml:space="preserve">hain of </w:t>
      </w:r>
      <w:r w:rsidR="009614F2">
        <w:rPr>
          <w:rFonts w:asciiTheme="minorHAnsi" w:hAnsiTheme="minorHAnsi" w:cstheme="minorHAnsi"/>
          <w:sz w:val="22"/>
          <w:szCs w:val="28"/>
        </w:rPr>
        <w:t>R</w:t>
      </w:r>
      <w:r w:rsidRPr="00B018D0">
        <w:rPr>
          <w:rFonts w:asciiTheme="minorHAnsi" w:hAnsiTheme="minorHAnsi" w:cstheme="minorHAnsi"/>
          <w:sz w:val="22"/>
          <w:szCs w:val="28"/>
        </w:rPr>
        <w:t xml:space="preserve">esponsibility” (CoR) for a heavy vehicle, has </w:t>
      </w:r>
      <w:r w:rsidRPr="009848A3">
        <w:rPr>
          <w:rFonts w:asciiTheme="minorHAnsi" w:hAnsiTheme="minorHAnsi" w:cstheme="minorHAnsi"/>
          <w:sz w:val="22"/>
          <w:szCs w:val="28"/>
        </w:rPr>
        <w:t xml:space="preserve">a </w:t>
      </w:r>
      <w:r w:rsidR="00A22732">
        <w:rPr>
          <w:rFonts w:asciiTheme="minorHAnsi" w:hAnsiTheme="minorHAnsi" w:cstheme="minorHAnsi"/>
          <w:sz w:val="22"/>
          <w:szCs w:val="28"/>
        </w:rPr>
        <w:t>“</w:t>
      </w:r>
      <w:r w:rsidRPr="009848A3">
        <w:rPr>
          <w:rFonts w:asciiTheme="minorHAnsi" w:hAnsiTheme="minorHAnsi" w:cstheme="minorHAnsi"/>
          <w:sz w:val="22"/>
          <w:szCs w:val="28"/>
        </w:rPr>
        <w:t>primary duty</w:t>
      </w:r>
      <w:r w:rsidR="00A22732">
        <w:rPr>
          <w:rFonts w:asciiTheme="minorHAnsi" w:hAnsiTheme="minorHAnsi" w:cstheme="minorHAnsi"/>
          <w:sz w:val="22"/>
          <w:szCs w:val="28"/>
        </w:rPr>
        <w:t>”</w:t>
      </w:r>
      <w:r w:rsidRPr="009848A3">
        <w:rPr>
          <w:rFonts w:asciiTheme="minorHAnsi" w:hAnsiTheme="minorHAnsi" w:cstheme="minorHAnsi"/>
          <w:sz w:val="22"/>
          <w:szCs w:val="28"/>
        </w:rPr>
        <w:t xml:space="preserve"> to</w:t>
      </w:r>
      <w:r w:rsidRPr="00B018D0">
        <w:rPr>
          <w:rFonts w:asciiTheme="minorHAnsi" w:hAnsiTheme="minorHAnsi" w:cstheme="minorHAnsi"/>
          <w:sz w:val="22"/>
          <w:szCs w:val="28"/>
        </w:rPr>
        <w:t xml:space="preserve"> ensure, so far as reasonably practicable, the safety of its transport activities in relation to the vehicle. This is a broad duty, </w:t>
      </w:r>
      <w:r w:rsidR="0013191D">
        <w:rPr>
          <w:rFonts w:asciiTheme="minorHAnsi" w:hAnsiTheme="minorHAnsi" w:cstheme="minorHAnsi"/>
          <w:sz w:val="22"/>
          <w:szCs w:val="28"/>
        </w:rPr>
        <w:t xml:space="preserve">with </w:t>
      </w:r>
      <w:r w:rsidRPr="00B018D0">
        <w:rPr>
          <w:rFonts w:asciiTheme="minorHAnsi" w:hAnsiTheme="minorHAnsi" w:cstheme="minorHAnsi"/>
          <w:sz w:val="22"/>
          <w:szCs w:val="28"/>
        </w:rPr>
        <w:t xml:space="preserve">the focus of the duty </w:t>
      </w:r>
      <w:r w:rsidR="0013191D">
        <w:rPr>
          <w:rFonts w:asciiTheme="minorHAnsi" w:hAnsiTheme="minorHAnsi" w:cstheme="minorHAnsi"/>
          <w:sz w:val="22"/>
          <w:szCs w:val="28"/>
        </w:rPr>
        <w:t>being</w:t>
      </w:r>
      <w:r w:rsidRPr="00B018D0">
        <w:rPr>
          <w:rFonts w:asciiTheme="minorHAnsi" w:hAnsiTheme="minorHAnsi" w:cstheme="minorHAnsi"/>
          <w:sz w:val="22"/>
          <w:szCs w:val="28"/>
        </w:rPr>
        <w:t xml:space="preserve"> </w:t>
      </w:r>
      <w:r w:rsidR="00E83BE0">
        <w:rPr>
          <w:rFonts w:asciiTheme="minorHAnsi" w:hAnsiTheme="minorHAnsi" w:cstheme="minorHAnsi"/>
          <w:sz w:val="22"/>
          <w:szCs w:val="28"/>
        </w:rPr>
        <w:t xml:space="preserve">safe </w:t>
      </w:r>
      <w:r w:rsidRPr="00B018D0">
        <w:rPr>
          <w:rFonts w:asciiTheme="minorHAnsi" w:hAnsiTheme="minorHAnsi" w:cstheme="minorHAnsi"/>
          <w:sz w:val="22"/>
          <w:szCs w:val="28"/>
        </w:rPr>
        <w:t xml:space="preserve">heavy vehicle transport, and the scope of the duty </w:t>
      </w:r>
      <w:r w:rsidR="0013191D">
        <w:rPr>
          <w:rFonts w:asciiTheme="minorHAnsi" w:hAnsiTheme="minorHAnsi" w:cstheme="minorHAnsi"/>
          <w:sz w:val="22"/>
          <w:szCs w:val="28"/>
        </w:rPr>
        <w:t>being</w:t>
      </w:r>
      <w:r w:rsidRPr="00B018D0">
        <w:rPr>
          <w:rFonts w:asciiTheme="minorHAnsi" w:hAnsiTheme="minorHAnsi" w:cstheme="minorHAnsi"/>
          <w:sz w:val="22"/>
          <w:szCs w:val="28"/>
        </w:rPr>
        <w:t xml:space="preserve"> limited by a duty holder’s ability to influence or control a matter. </w:t>
      </w:r>
    </w:p>
    <w:p w14:paraId="0C7077AC" w14:textId="54CDF9E8" w:rsidR="00E3758B" w:rsidRPr="00B018D0" w:rsidRDefault="00E3758B" w:rsidP="0021401A">
      <w:pPr>
        <w:pStyle w:val="ListParagraph"/>
        <w:numPr>
          <w:ilvl w:val="0"/>
          <w:numId w:val="21"/>
        </w:numPr>
        <w:tabs>
          <w:tab w:val="clear" w:pos="284"/>
        </w:tabs>
        <w:spacing w:after="160" w:line="259" w:lineRule="auto"/>
        <w:ind w:left="715" w:hanging="431"/>
        <w:contextualSpacing w:val="0"/>
        <w:rPr>
          <w:rFonts w:asciiTheme="minorHAnsi" w:hAnsiTheme="minorHAnsi" w:cstheme="minorHAnsi"/>
          <w:sz w:val="22"/>
          <w:szCs w:val="28"/>
        </w:rPr>
      </w:pPr>
      <w:r w:rsidRPr="00B018D0">
        <w:rPr>
          <w:rFonts w:asciiTheme="minorHAnsi" w:hAnsiTheme="minorHAnsi" w:cstheme="minorHAnsi"/>
          <w:sz w:val="22"/>
          <w:szCs w:val="28"/>
        </w:rPr>
        <w:t xml:space="preserve">Importers of goods into Australia meet the definition of </w:t>
      </w:r>
      <w:r w:rsidR="00855886">
        <w:rPr>
          <w:rFonts w:asciiTheme="minorHAnsi" w:hAnsiTheme="minorHAnsi" w:cstheme="minorHAnsi"/>
          <w:sz w:val="22"/>
          <w:szCs w:val="28"/>
        </w:rPr>
        <w:t>“</w:t>
      </w:r>
      <w:r w:rsidRPr="00855886">
        <w:rPr>
          <w:rFonts w:asciiTheme="minorHAnsi" w:hAnsiTheme="minorHAnsi" w:cstheme="minorHAnsi"/>
          <w:sz w:val="22"/>
          <w:szCs w:val="28"/>
        </w:rPr>
        <w:t>consignee</w:t>
      </w:r>
      <w:r w:rsidR="00855886">
        <w:rPr>
          <w:rFonts w:asciiTheme="minorHAnsi" w:hAnsiTheme="minorHAnsi" w:cstheme="minorHAnsi"/>
          <w:sz w:val="22"/>
          <w:szCs w:val="28"/>
        </w:rPr>
        <w:t>”</w:t>
      </w:r>
      <w:r w:rsidRPr="00B018D0">
        <w:rPr>
          <w:rFonts w:asciiTheme="minorHAnsi" w:hAnsiTheme="minorHAnsi" w:cstheme="minorHAnsi"/>
          <w:sz w:val="22"/>
          <w:szCs w:val="28"/>
        </w:rPr>
        <w:t xml:space="preserve"> or </w:t>
      </w:r>
      <w:r w:rsidR="00855886">
        <w:rPr>
          <w:rFonts w:asciiTheme="minorHAnsi" w:hAnsiTheme="minorHAnsi" w:cstheme="minorHAnsi"/>
          <w:sz w:val="22"/>
          <w:szCs w:val="28"/>
        </w:rPr>
        <w:t>“</w:t>
      </w:r>
      <w:r w:rsidRPr="00855886">
        <w:rPr>
          <w:rFonts w:asciiTheme="minorHAnsi" w:hAnsiTheme="minorHAnsi" w:cstheme="minorHAnsi"/>
          <w:sz w:val="22"/>
          <w:szCs w:val="28"/>
        </w:rPr>
        <w:t>consignor</w:t>
      </w:r>
      <w:r w:rsidR="00855886">
        <w:rPr>
          <w:rFonts w:asciiTheme="minorHAnsi" w:hAnsiTheme="minorHAnsi" w:cstheme="minorHAnsi"/>
          <w:sz w:val="22"/>
          <w:szCs w:val="28"/>
        </w:rPr>
        <w:t>”</w:t>
      </w:r>
      <w:r w:rsidRPr="00B018D0">
        <w:rPr>
          <w:rFonts w:asciiTheme="minorHAnsi" w:hAnsiTheme="minorHAnsi" w:cstheme="minorHAnsi"/>
          <w:sz w:val="22"/>
          <w:szCs w:val="28"/>
        </w:rPr>
        <w:t xml:space="preserve"> for the purposes of the HVNL and therefore have a duty in relation to their imports. One of the ways they should be discharging </w:t>
      </w:r>
      <w:r w:rsidRPr="00A22732">
        <w:rPr>
          <w:rFonts w:asciiTheme="minorHAnsi" w:hAnsiTheme="minorHAnsi" w:cstheme="minorHAnsi"/>
          <w:sz w:val="22"/>
          <w:szCs w:val="28"/>
        </w:rPr>
        <w:t>their primary duty</w:t>
      </w:r>
      <w:r w:rsidRPr="00B018D0">
        <w:rPr>
          <w:rFonts w:asciiTheme="minorHAnsi" w:hAnsiTheme="minorHAnsi" w:cstheme="minorHAnsi"/>
          <w:i/>
          <w:iCs/>
          <w:sz w:val="22"/>
          <w:szCs w:val="28"/>
        </w:rPr>
        <w:t xml:space="preserve"> </w:t>
      </w:r>
      <w:r w:rsidRPr="00B018D0">
        <w:rPr>
          <w:rFonts w:asciiTheme="minorHAnsi" w:hAnsiTheme="minorHAnsi" w:cstheme="minorHAnsi"/>
          <w:sz w:val="22"/>
          <w:szCs w:val="28"/>
        </w:rPr>
        <w:t xml:space="preserve">is to be using contractual arrangements with overseas manufacturers that ensure that goods are safely secured inside a container in a way that would meet the Loading Performance Standards in Schedule 7 of the </w:t>
      </w:r>
      <w:r w:rsidRPr="00B018D0">
        <w:rPr>
          <w:rFonts w:asciiTheme="minorHAnsi" w:hAnsiTheme="minorHAnsi" w:cstheme="minorHAnsi"/>
          <w:i/>
          <w:iCs/>
          <w:sz w:val="22"/>
          <w:szCs w:val="28"/>
        </w:rPr>
        <w:t>Heavy Vehicle (Mass, Dimension &amp; Loading) National Regulation.</w:t>
      </w:r>
      <w:r w:rsidRPr="00B018D0">
        <w:rPr>
          <w:rStyle w:val="FootnoteReference"/>
          <w:rFonts w:asciiTheme="minorHAnsi" w:hAnsiTheme="minorHAnsi" w:cstheme="minorHAnsi"/>
          <w:i/>
          <w:iCs/>
          <w:sz w:val="22"/>
          <w:szCs w:val="28"/>
        </w:rPr>
        <w:footnoteReference w:id="7"/>
      </w:r>
    </w:p>
    <w:p w14:paraId="44BCE25B" w14:textId="3F53AED3" w:rsidR="00E3758B" w:rsidRPr="009113AC" w:rsidRDefault="00E3758B" w:rsidP="00E3758B">
      <w:pPr>
        <w:rPr>
          <w:rFonts w:asciiTheme="minorHAnsi" w:hAnsiTheme="minorHAnsi" w:cstheme="minorHAnsi"/>
          <w:b/>
          <w:bCs/>
          <w:color w:val="0F2D52" w:themeColor="text2"/>
          <w:sz w:val="24"/>
        </w:rPr>
      </w:pPr>
      <w:r w:rsidRPr="009113AC">
        <w:rPr>
          <w:rFonts w:asciiTheme="minorHAnsi" w:hAnsiTheme="minorHAnsi" w:cstheme="minorHAnsi"/>
          <w:b/>
          <w:bCs/>
          <w:color w:val="0F2D52" w:themeColor="text2"/>
          <w:sz w:val="24"/>
        </w:rPr>
        <w:t>Challenges to verifying that containers are safe</w:t>
      </w:r>
    </w:p>
    <w:p w14:paraId="1D449BEC" w14:textId="7A9ED6B9" w:rsidR="00E3758B" w:rsidRPr="00B018D0" w:rsidRDefault="00E3758B" w:rsidP="0021401A">
      <w:pPr>
        <w:pStyle w:val="ListParagraph"/>
        <w:numPr>
          <w:ilvl w:val="0"/>
          <w:numId w:val="21"/>
        </w:numPr>
        <w:tabs>
          <w:tab w:val="clear" w:pos="284"/>
        </w:tabs>
        <w:spacing w:after="160" w:line="259" w:lineRule="auto"/>
        <w:ind w:left="721" w:hanging="437"/>
        <w:contextualSpacing w:val="0"/>
        <w:rPr>
          <w:rFonts w:asciiTheme="minorHAnsi" w:hAnsiTheme="minorHAnsi" w:cstheme="minorHAnsi"/>
          <w:sz w:val="22"/>
          <w:szCs w:val="28"/>
        </w:rPr>
      </w:pPr>
      <w:r w:rsidRPr="00B018D0">
        <w:rPr>
          <w:rFonts w:asciiTheme="minorHAnsi" w:hAnsiTheme="minorHAnsi" w:cstheme="minorHAnsi"/>
          <w:sz w:val="22"/>
          <w:szCs w:val="28"/>
        </w:rPr>
        <w:t xml:space="preserve">Though marine law, and importers’ contractual terms may require shippers of containerised goods to load to the declared mass, and to safely pack and restrain goods inside a container, there is substantial variation in the skills, resources, and training of the people packing containers at their points of origin. </w:t>
      </w:r>
    </w:p>
    <w:p w14:paraId="6C1E5E8F" w14:textId="1F5F5477" w:rsidR="00E3758B" w:rsidRPr="00B018D0" w:rsidRDefault="00E3758B" w:rsidP="0021401A">
      <w:pPr>
        <w:pStyle w:val="ListParagraph"/>
        <w:numPr>
          <w:ilvl w:val="0"/>
          <w:numId w:val="21"/>
        </w:numPr>
        <w:tabs>
          <w:tab w:val="clear" w:pos="284"/>
        </w:tabs>
        <w:spacing w:after="160" w:line="259" w:lineRule="auto"/>
        <w:ind w:left="721" w:hanging="437"/>
        <w:rPr>
          <w:rFonts w:asciiTheme="minorHAnsi" w:hAnsiTheme="minorHAnsi" w:cstheme="minorHAnsi"/>
          <w:sz w:val="22"/>
          <w:szCs w:val="28"/>
        </w:rPr>
      </w:pPr>
      <w:r w:rsidRPr="00B018D0">
        <w:rPr>
          <w:rFonts w:asciiTheme="minorHAnsi" w:hAnsiTheme="minorHAnsi" w:cstheme="minorHAnsi"/>
          <w:sz w:val="22"/>
          <w:szCs w:val="28"/>
        </w:rPr>
        <w:t>Even where goods are safely restrained when packed, there are intervening events that can disturb this. For example, foreign customs or port officials may inspect and repack a container. More commonly, the voyage by sea, or forces during loading or unloading, may cause lashings to stretch, slip or snap, cause dunnage to be crushed or compacted, or result in dunnage bags being pierced and deflated.</w:t>
      </w:r>
    </w:p>
    <w:p w14:paraId="641E8C22" w14:textId="77777777" w:rsidR="00E3758B" w:rsidRPr="009113AC" w:rsidRDefault="00E3758B" w:rsidP="00E3758B">
      <w:pPr>
        <w:rPr>
          <w:rFonts w:asciiTheme="minorHAnsi" w:hAnsiTheme="minorHAnsi" w:cstheme="minorHAnsi"/>
          <w:b/>
          <w:bCs/>
          <w:color w:val="0F2D52" w:themeColor="text2"/>
          <w:sz w:val="24"/>
        </w:rPr>
      </w:pPr>
      <w:r w:rsidRPr="009113AC">
        <w:rPr>
          <w:rFonts w:asciiTheme="minorHAnsi" w:hAnsiTheme="minorHAnsi" w:cstheme="minorHAnsi"/>
          <w:b/>
          <w:bCs/>
          <w:color w:val="0F2D52" w:themeColor="text2"/>
          <w:sz w:val="24"/>
        </w:rPr>
        <w:t>Verifying mass</w:t>
      </w:r>
    </w:p>
    <w:p w14:paraId="02F2DBAF" w14:textId="6E70D167" w:rsidR="00E3758B" w:rsidRPr="00B018D0" w:rsidRDefault="00E3758B" w:rsidP="00133F48">
      <w:pPr>
        <w:pStyle w:val="ListParagraph"/>
        <w:numPr>
          <w:ilvl w:val="0"/>
          <w:numId w:val="21"/>
        </w:numPr>
        <w:tabs>
          <w:tab w:val="clear" w:pos="284"/>
        </w:tabs>
        <w:spacing w:after="160" w:line="259" w:lineRule="auto"/>
        <w:ind w:left="714" w:hanging="430"/>
        <w:contextualSpacing w:val="0"/>
        <w:rPr>
          <w:rFonts w:asciiTheme="minorHAnsi" w:hAnsiTheme="minorHAnsi" w:cstheme="minorHAnsi"/>
          <w:sz w:val="22"/>
          <w:szCs w:val="28"/>
        </w:rPr>
      </w:pPr>
      <w:r w:rsidRPr="00B018D0">
        <w:rPr>
          <w:rFonts w:asciiTheme="minorHAnsi" w:hAnsiTheme="minorHAnsi" w:cstheme="minorHAnsi"/>
          <w:sz w:val="22"/>
          <w:szCs w:val="28"/>
        </w:rPr>
        <w:t>When a container comes off a ship, the only way to confirm that it complies with its declared weight is to weigh it. It appears to be impractical to weigh every container as it is unloaded, without impacting unloading times and affecting productivity</w:t>
      </w:r>
      <w:r w:rsidR="001F0381">
        <w:rPr>
          <w:rFonts w:asciiTheme="minorHAnsi" w:hAnsiTheme="minorHAnsi" w:cstheme="minorHAnsi"/>
          <w:sz w:val="22"/>
          <w:szCs w:val="28"/>
        </w:rPr>
        <w:t>;</w:t>
      </w:r>
      <w:r w:rsidRPr="00B018D0">
        <w:rPr>
          <w:rFonts w:asciiTheme="minorHAnsi" w:hAnsiTheme="minorHAnsi" w:cstheme="minorHAnsi"/>
          <w:sz w:val="22"/>
          <w:szCs w:val="28"/>
        </w:rPr>
        <w:t xml:space="preserve"> however</w:t>
      </w:r>
      <w:r w:rsidR="001F0381">
        <w:rPr>
          <w:rFonts w:asciiTheme="minorHAnsi" w:hAnsiTheme="minorHAnsi" w:cstheme="minorHAnsi"/>
          <w:sz w:val="22"/>
          <w:szCs w:val="28"/>
        </w:rPr>
        <w:t>,</w:t>
      </w:r>
      <w:r w:rsidRPr="00B018D0">
        <w:rPr>
          <w:rFonts w:asciiTheme="minorHAnsi" w:hAnsiTheme="minorHAnsi" w:cstheme="minorHAnsi"/>
          <w:sz w:val="22"/>
          <w:szCs w:val="28"/>
        </w:rPr>
        <w:t xml:space="preserve"> weighing equipment incorporated into unloading cranes may be sufficiently accurate to identify grossly overloaded or unbalanced containers for screening</w:t>
      </w:r>
      <w:r w:rsidR="00F90F76">
        <w:rPr>
          <w:rFonts w:asciiTheme="minorHAnsi" w:hAnsiTheme="minorHAnsi" w:cstheme="minorHAnsi"/>
          <w:sz w:val="22"/>
          <w:szCs w:val="28"/>
        </w:rPr>
        <w:t>.</w:t>
      </w:r>
      <w:r w:rsidRPr="00B018D0">
        <w:rPr>
          <w:rStyle w:val="FootnoteReference"/>
          <w:rFonts w:asciiTheme="minorHAnsi" w:hAnsiTheme="minorHAnsi" w:cstheme="minorHAnsi"/>
          <w:sz w:val="22"/>
          <w:szCs w:val="28"/>
        </w:rPr>
        <w:footnoteReference w:id="8"/>
      </w:r>
      <w:r w:rsidRPr="00B018D0">
        <w:rPr>
          <w:rFonts w:asciiTheme="minorHAnsi" w:hAnsiTheme="minorHAnsi" w:cstheme="minorHAnsi"/>
          <w:sz w:val="22"/>
          <w:szCs w:val="28"/>
        </w:rPr>
        <w:t xml:space="preserve"> (This would rely on the crane operator having information about the declared weight of each container, for comparison.) Alternatively, stevedores could weigh a random sample of containers for compliance with declared weights.</w:t>
      </w:r>
    </w:p>
    <w:p w14:paraId="39E26832" w14:textId="75F3A825" w:rsidR="00E3758B" w:rsidRPr="00B018D0" w:rsidRDefault="00E3758B" w:rsidP="00133F48">
      <w:pPr>
        <w:pStyle w:val="ListParagraph"/>
        <w:numPr>
          <w:ilvl w:val="0"/>
          <w:numId w:val="21"/>
        </w:numPr>
        <w:tabs>
          <w:tab w:val="clear" w:pos="284"/>
        </w:tabs>
        <w:spacing w:after="160" w:line="259" w:lineRule="auto"/>
        <w:ind w:left="714" w:hanging="430"/>
        <w:contextualSpacing w:val="0"/>
        <w:rPr>
          <w:rFonts w:asciiTheme="minorHAnsi" w:hAnsiTheme="minorHAnsi" w:cstheme="minorHAnsi"/>
          <w:sz w:val="22"/>
          <w:szCs w:val="28"/>
        </w:rPr>
      </w:pPr>
      <w:r w:rsidRPr="00B018D0">
        <w:rPr>
          <w:rFonts w:asciiTheme="minorHAnsi" w:hAnsiTheme="minorHAnsi" w:cstheme="minorHAnsi"/>
          <w:sz w:val="22"/>
          <w:szCs w:val="28"/>
        </w:rPr>
        <w:t>Some container terminals and ports have weighbridges that allow drivers to weigh their loaded vehicle before leaving the port precinct. In some locations, the only option for weighing a load may be a Weigh-in-Motion (WIM) facility that is faster to use, but less accurate than a stationary weighbridge. Some heavy vehicles are also equipped with On Board Mass (OBM) equipment that may provide reasonably accurate mass information, depending on the type of equipment and how it is used.</w:t>
      </w:r>
    </w:p>
    <w:p w14:paraId="3DC412AB" w14:textId="77777777" w:rsidR="00E3758B" w:rsidRPr="00B018D0" w:rsidRDefault="00E3758B" w:rsidP="00133F48">
      <w:pPr>
        <w:pStyle w:val="ListParagraph"/>
        <w:numPr>
          <w:ilvl w:val="0"/>
          <w:numId w:val="21"/>
        </w:numPr>
        <w:tabs>
          <w:tab w:val="clear" w:pos="284"/>
        </w:tabs>
        <w:spacing w:after="160" w:line="259" w:lineRule="auto"/>
        <w:ind w:left="714" w:hanging="430"/>
        <w:contextualSpacing w:val="0"/>
        <w:rPr>
          <w:rFonts w:asciiTheme="minorHAnsi" w:hAnsiTheme="minorHAnsi" w:cstheme="minorHAnsi"/>
          <w:sz w:val="22"/>
          <w:szCs w:val="28"/>
        </w:rPr>
      </w:pPr>
      <w:r w:rsidRPr="00B018D0">
        <w:rPr>
          <w:rFonts w:asciiTheme="minorHAnsi" w:hAnsiTheme="minorHAnsi" w:cstheme="minorHAnsi"/>
          <w:sz w:val="22"/>
          <w:szCs w:val="28"/>
        </w:rPr>
        <w:t>Inconsistency between a declared mass and the actual mass of an import container is a breach of marine law, and therefore a matter for the Australian Maritime Safety Authority (AMSA). At the point when a freight container is consigned for road transport, incorrect mass information also breaches HVNL provisions about complying container weight declarations</w:t>
      </w:r>
      <w:r w:rsidRPr="00B018D0">
        <w:rPr>
          <w:rStyle w:val="FootnoteReference"/>
          <w:rFonts w:asciiTheme="minorHAnsi" w:hAnsiTheme="minorHAnsi" w:cstheme="minorHAnsi"/>
          <w:sz w:val="22"/>
          <w:szCs w:val="28"/>
        </w:rPr>
        <w:footnoteReference w:id="9"/>
      </w:r>
      <w:r w:rsidRPr="00B018D0">
        <w:rPr>
          <w:rFonts w:asciiTheme="minorHAnsi" w:hAnsiTheme="minorHAnsi" w:cstheme="minorHAnsi"/>
          <w:sz w:val="22"/>
          <w:szCs w:val="28"/>
        </w:rPr>
        <w:t xml:space="preserve"> which apply to a “responsible entity for a freight container” and other parties.</w:t>
      </w:r>
      <w:r w:rsidRPr="00B018D0">
        <w:rPr>
          <w:rStyle w:val="FootnoteReference"/>
          <w:rFonts w:asciiTheme="minorHAnsi" w:hAnsiTheme="minorHAnsi" w:cstheme="minorHAnsi"/>
          <w:sz w:val="22"/>
          <w:szCs w:val="28"/>
        </w:rPr>
        <w:footnoteReference w:id="10"/>
      </w:r>
      <w:r w:rsidRPr="00B018D0">
        <w:rPr>
          <w:rFonts w:asciiTheme="minorHAnsi" w:hAnsiTheme="minorHAnsi" w:cstheme="minorHAnsi"/>
          <w:sz w:val="22"/>
          <w:szCs w:val="28"/>
        </w:rPr>
        <w:t xml:space="preserve"> </w:t>
      </w:r>
    </w:p>
    <w:p w14:paraId="260D060F" w14:textId="57A001AE" w:rsidR="00E3758B" w:rsidRPr="00133F48" w:rsidRDefault="00E3758B" w:rsidP="00133F48">
      <w:pPr>
        <w:pStyle w:val="ListParagraph"/>
        <w:numPr>
          <w:ilvl w:val="0"/>
          <w:numId w:val="21"/>
        </w:numPr>
        <w:tabs>
          <w:tab w:val="clear" w:pos="284"/>
        </w:tabs>
        <w:spacing w:after="160" w:line="259" w:lineRule="auto"/>
        <w:ind w:left="714" w:hanging="430"/>
        <w:contextualSpacing w:val="0"/>
        <w:rPr>
          <w:rFonts w:asciiTheme="minorHAnsi" w:hAnsiTheme="minorHAnsi" w:cstheme="minorHAnsi"/>
          <w:sz w:val="22"/>
          <w:szCs w:val="22"/>
        </w:rPr>
      </w:pPr>
      <w:r w:rsidRPr="00B018D0">
        <w:rPr>
          <w:rFonts w:asciiTheme="minorHAnsi" w:hAnsiTheme="minorHAnsi" w:cstheme="minorHAnsi"/>
          <w:sz w:val="22"/>
          <w:szCs w:val="28"/>
        </w:rPr>
        <w:t xml:space="preserve">When arrangements are made to transport containers based on incorrect mass information, one outcome is that the wrong vehicle is sent to collect a container. Redirecting that vehicle and sending a replacement impacts productivity at the freight terminal, where it contributes to delay and congestion. It also impacts the transport contractor who may not be entitled to any recompense for the </w:t>
      </w:r>
      <w:r w:rsidRPr="00133F48">
        <w:rPr>
          <w:rFonts w:asciiTheme="minorHAnsi" w:hAnsiTheme="minorHAnsi" w:cstheme="minorHAnsi"/>
          <w:sz w:val="22"/>
          <w:szCs w:val="22"/>
        </w:rPr>
        <w:t xml:space="preserve">costs of sending two vehicles instead of one. </w:t>
      </w:r>
    </w:p>
    <w:p w14:paraId="5CAE426B" w14:textId="4BF9FAFC" w:rsidR="00E3758B" w:rsidRPr="00133F48" w:rsidRDefault="00E3758B" w:rsidP="00133F48">
      <w:pPr>
        <w:pStyle w:val="ListParagraph"/>
        <w:numPr>
          <w:ilvl w:val="0"/>
          <w:numId w:val="21"/>
        </w:numPr>
        <w:tabs>
          <w:tab w:val="clear" w:pos="284"/>
        </w:tabs>
        <w:spacing w:after="160" w:line="259" w:lineRule="auto"/>
        <w:ind w:left="714" w:hanging="430"/>
        <w:contextualSpacing w:val="0"/>
        <w:rPr>
          <w:rFonts w:asciiTheme="minorHAnsi" w:hAnsiTheme="minorHAnsi" w:cstheme="minorHAnsi"/>
          <w:sz w:val="22"/>
          <w:szCs w:val="22"/>
        </w:rPr>
      </w:pPr>
      <w:r w:rsidRPr="00133F48">
        <w:rPr>
          <w:rFonts w:asciiTheme="minorHAnsi" w:hAnsiTheme="minorHAnsi" w:cstheme="minorHAnsi"/>
          <w:sz w:val="22"/>
          <w:szCs w:val="22"/>
        </w:rPr>
        <w:t>Another outcome is that the first vehicle simply accepts the load, despite it exceeding authorised mass limits.</w:t>
      </w:r>
    </w:p>
    <w:p w14:paraId="2436DBF6" w14:textId="77777777" w:rsidR="00E3758B" w:rsidRPr="009113AC" w:rsidRDefault="00E3758B" w:rsidP="00E3758B">
      <w:pPr>
        <w:rPr>
          <w:rFonts w:asciiTheme="minorHAnsi" w:hAnsiTheme="minorHAnsi" w:cstheme="minorHAnsi"/>
          <w:b/>
          <w:bCs/>
          <w:color w:val="0F2D52" w:themeColor="text2"/>
          <w:sz w:val="24"/>
        </w:rPr>
      </w:pPr>
      <w:r w:rsidRPr="009113AC">
        <w:rPr>
          <w:rFonts w:asciiTheme="minorHAnsi" w:hAnsiTheme="minorHAnsi" w:cstheme="minorHAnsi"/>
          <w:b/>
          <w:bCs/>
          <w:color w:val="0F2D52" w:themeColor="text2"/>
          <w:sz w:val="24"/>
        </w:rPr>
        <w:t>Verifying load restraint and distribution</w:t>
      </w:r>
    </w:p>
    <w:p w14:paraId="67A14515" w14:textId="1FCE5071" w:rsidR="00E3758B" w:rsidRPr="00B018D0" w:rsidRDefault="00E3758B" w:rsidP="009113AC">
      <w:pPr>
        <w:pStyle w:val="ListParagraph"/>
        <w:numPr>
          <w:ilvl w:val="0"/>
          <w:numId w:val="21"/>
        </w:numPr>
        <w:tabs>
          <w:tab w:val="clear" w:pos="284"/>
        </w:tabs>
        <w:spacing w:after="160" w:line="259" w:lineRule="auto"/>
        <w:ind w:left="721" w:hanging="437"/>
        <w:contextualSpacing w:val="0"/>
        <w:rPr>
          <w:rFonts w:asciiTheme="minorHAnsi" w:hAnsiTheme="minorHAnsi" w:cstheme="minorHAnsi"/>
          <w:sz w:val="22"/>
          <w:szCs w:val="28"/>
        </w:rPr>
      </w:pPr>
      <w:r w:rsidRPr="00B018D0">
        <w:rPr>
          <w:rFonts w:asciiTheme="minorHAnsi" w:hAnsiTheme="minorHAnsi" w:cstheme="minorHAnsi"/>
          <w:sz w:val="22"/>
          <w:szCs w:val="28"/>
        </w:rPr>
        <w:t xml:space="preserve">Confirming that goods inside the container are safely secured and evenly distributed is more difficult. Opening a container may breach insurance or contractual provisions and presents WHS risks unless </w:t>
      </w:r>
      <w:r w:rsidR="00C84252">
        <w:rPr>
          <w:rFonts w:asciiTheme="minorHAnsi" w:hAnsiTheme="minorHAnsi" w:cstheme="minorHAnsi"/>
          <w:sz w:val="22"/>
          <w:szCs w:val="28"/>
        </w:rPr>
        <w:t>the right</w:t>
      </w:r>
      <w:r w:rsidRPr="00B018D0">
        <w:rPr>
          <w:rFonts w:asciiTheme="minorHAnsi" w:hAnsiTheme="minorHAnsi" w:cstheme="minorHAnsi"/>
          <w:sz w:val="22"/>
          <w:szCs w:val="28"/>
        </w:rPr>
        <w:t xml:space="preserve"> facilities</w:t>
      </w:r>
      <w:r w:rsidR="00C84252">
        <w:rPr>
          <w:rFonts w:asciiTheme="minorHAnsi" w:hAnsiTheme="minorHAnsi" w:cstheme="minorHAnsi"/>
          <w:sz w:val="22"/>
          <w:szCs w:val="28"/>
        </w:rPr>
        <w:t>, equipment, and trained workers are available</w:t>
      </w:r>
      <w:r w:rsidRPr="00B018D0">
        <w:rPr>
          <w:rFonts w:asciiTheme="minorHAnsi" w:hAnsiTheme="minorHAnsi" w:cstheme="minorHAnsi"/>
          <w:sz w:val="22"/>
          <w:szCs w:val="28"/>
        </w:rPr>
        <w:t xml:space="preserve"> to open it safely. There are also prohibitions on </w:t>
      </w:r>
      <w:r w:rsidRPr="00C84252">
        <w:rPr>
          <w:rFonts w:asciiTheme="minorHAnsi" w:hAnsiTheme="minorHAnsi" w:cstheme="minorHAnsi"/>
          <w:sz w:val="22"/>
          <w:szCs w:val="28"/>
        </w:rPr>
        <w:t>opening under bond containers</w:t>
      </w:r>
      <w:r w:rsidRPr="00B018D0">
        <w:rPr>
          <w:rFonts w:asciiTheme="minorHAnsi" w:hAnsiTheme="minorHAnsi" w:cstheme="minorHAnsi"/>
          <w:sz w:val="22"/>
          <w:szCs w:val="28"/>
        </w:rPr>
        <w:t xml:space="preserve"> without authorisation from Australian Border Force</w:t>
      </w:r>
      <w:r w:rsidR="00C66A15">
        <w:rPr>
          <w:rFonts w:asciiTheme="minorHAnsi" w:hAnsiTheme="minorHAnsi" w:cstheme="minorHAnsi"/>
          <w:sz w:val="22"/>
          <w:szCs w:val="28"/>
        </w:rPr>
        <w:t xml:space="preserve"> (ABF)</w:t>
      </w:r>
      <w:r w:rsidRPr="00B018D0">
        <w:rPr>
          <w:rFonts w:asciiTheme="minorHAnsi" w:hAnsiTheme="minorHAnsi" w:cstheme="minorHAnsi"/>
          <w:sz w:val="22"/>
          <w:szCs w:val="28"/>
        </w:rPr>
        <w:t xml:space="preserve"> employees. </w:t>
      </w:r>
    </w:p>
    <w:p w14:paraId="30E412DE" w14:textId="337486C3" w:rsidR="00E3758B" w:rsidRPr="00B018D0" w:rsidRDefault="00E3758B" w:rsidP="00133F48">
      <w:pPr>
        <w:pStyle w:val="ListParagraph"/>
        <w:numPr>
          <w:ilvl w:val="0"/>
          <w:numId w:val="21"/>
        </w:numPr>
        <w:tabs>
          <w:tab w:val="clear" w:pos="284"/>
        </w:tabs>
        <w:spacing w:after="160" w:line="259" w:lineRule="auto"/>
        <w:ind w:hanging="436"/>
        <w:rPr>
          <w:rFonts w:asciiTheme="minorHAnsi" w:hAnsiTheme="minorHAnsi" w:cstheme="minorHAnsi"/>
          <w:sz w:val="22"/>
          <w:szCs w:val="28"/>
        </w:rPr>
      </w:pPr>
      <w:r w:rsidRPr="00B018D0">
        <w:rPr>
          <w:rFonts w:asciiTheme="minorHAnsi" w:hAnsiTheme="minorHAnsi" w:cstheme="minorHAnsi"/>
          <w:sz w:val="22"/>
          <w:szCs w:val="28"/>
        </w:rPr>
        <w:t>One of the indications that the load restraint system inside a container has failed is that the weight inside the container is unevenly distributed</w:t>
      </w:r>
      <w:r w:rsidR="008A6F81">
        <w:rPr>
          <w:rFonts w:asciiTheme="minorHAnsi" w:hAnsiTheme="minorHAnsi" w:cstheme="minorHAnsi"/>
          <w:sz w:val="22"/>
          <w:szCs w:val="28"/>
        </w:rPr>
        <w:t>.</w:t>
      </w:r>
      <w:r w:rsidRPr="00B018D0">
        <w:rPr>
          <w:rStyle w:val="FootnoteReference"/>
          <w:rFonts w:asciiTheme="minorHAnsi" w:hAnsiTheme="minorHAnsi" w:cstheme="minorHAnsi"/>
          <w:sz w:val="22"/>
          <w:szCs w:val="28"/>
        </w:rPr>
        <w:footnoteReference w:id="11"/>
      </w:r>
      <w:r w:rsidRPr="00B018D0">
        <w:rPr>
          <w:rFonts w:asciiTheme="minorHAnsi" w:hAnsiTheme="minorHAnsi" w:cstheme="minorHAnsi"/>
          <w:sz w:val="22"/>
          <w:szCs w:val="28"/>
        </w:rPr>
        <w:t xml:space="preserve"> If such a container is placed on a heavy vehicle, the driver of the vehicle may be able to detect the imbalance because of the way that the vehicle handles</w:t>
      </w:r>
      <w:r w:rsidR="00D66E95">
        <w:rPr>
          <w:rFonts w:asciiTheme="minorHAnsi" w:hAnsiTheme="minorHAnsi" w:cstheme="minorHAnsi"/>
          <w:sz w:val="22"/>
          <w:szCs w:val="28"/>
        </w:rPr>
        <w:t>;</w:t>
      </w:r>
      <w:r w:rsidRPr="00B018D0">
        <w:rPr>
          <w:rFonts w:asciiTheme="minorHAnsi" w:hAnsiTheme="minorHAnsi" w:cstheme="minorHAnsi"/>
          <w:sz w:val="22"/>
          <w:szCs w:val="28"/>
        </w:rPr>
        <w:t xml:space="preserve"> however</w:t>
      </w:r>
      <w:r w:rsidR="00D66E95">
        <w:rPr>
          <w:rFonts w:asciiTheme="minorHAnsi" w:hAnsiTheme="minorHAnsi" w:cstheme="minorHAnsi"/>
          <w:sz w:val="22"/>
          <w:szCs w:val="28"/>
        </w:rPr>
        <w:t>,</w:t>
      </w:r>
      <w:r w:rsidRPr="00B018D0">
        <w:rPr>
          <w:rFonts w:asciiTheme="minorHAnsi" w:hAnsiTheme="minorHAnsi" w:cstheme="minorHAnsi"/>
          <w:sz w:val="22"/>
          <w:szCs w:val="28"/>
        </w:rPr>
        <w:t xml:space="preserve"> these indicators may not manifest until the vehicle reaches a certain speed, ascends, or descends a certain gradient, or negotiates a curve of a particular radius. In other words, the problem is unlikely to become apparent until after the vehicle has left a container terminal.</w:t>
      </w:r>
    </w:p>
    <w:p w14:paraId="03634F99" w14:textId="77777777" w:rsidR="00E3758B" w:rsidRPr="009113AC" w:rsidRDefault="00E3758B" w:rsidP="00E3758B">
      <w:pPr>
        <w:rPr>
          <w:rFonts w:asciiTheme="minorHAnsi" w:hAnsiTheme="minorHAnsi" w:cstheme="minorHAnsi"/>
          <w:b/>
          <w:bCs/>
          <w:color w:val="0F2D52" w:themeColor="text2"/>
          <w:sz w:val="24"/>
        </w:rPr>
      </w:pPr>
      <w:r w:rsidRPr="009113AC">
        <w:rPr>
          <w:rFonts w:asciiTheme="minorHAnsi" w:hAnsiTheme="minorHAnsi" w:cstheme="minorHAnsi"/>
          <w:b/>
          <w:bCs/>
          <w:color w:val="0F2D52" w:themeColor="text2"/>
          <w:sz w:val="24"/>
        </w:rPr>
        <w:t>Obstacles to actioning unsafe containers</w:t>
      </w:r>
    </w:p>
    <w:p w14:paraId="13F1546F" w14:textId="6C34B092" w:rsidR="00E3758B" w:rsidRPr="00B018D0" w:rsidRDefault="00E3758B" w:rsidP="009113AC">
      <w:pPr>
        <w:pStyle w:val="ListParagraph"/>
        <w:numPr>
          <w:ilvl w:val="0"/>
          <w:numId w:val="21"/>
        </w:numPr>
        <w:tabs>
          <w:tab w:val="clear" w:pos="284"/>
        </w:tabs>
        <w:spacing w:after="160" w:line="259" w:lineRule="auto"/>
        <w:ind w:left="721" w:hanging="437"/>
        <w:contextualSpacing w:val="0"/>
        <w:rPr>
          <w:rFonts w:asciiTheme="minorHAnsi" w:hAnsiTheme="minorHAnsi" w:cstheme="minorHAnsi"/>
          <w:sz w:val="22"/>
          <w:szCs w:val="28"/>
        </w:rPr>
      </w:pPr>
      <w:r w:rsidRPr="00B018D0">
        <w:rPr>
          <w:rFonts w:asciiTheme="minorHAnsi" w:hAnsiTheme="minorHAnsi" w:cstheme="minorHAnsi"/>
          <w:sz w:val="22"/>
          <w:szCs w:val="28"/>
        </w:rPr>
        <w:t xml:space="preserve">When a heavy vehicle driver becomes aware of a problem with a container, there </w:t>
      </w:r>
      <w:r w:rsidR="00E42451">
        <w:rPr>
          <w:rFonts w:asciiTheme="minorHAnsi" w:hAnsiTheme="minorHAnsi" w:cstheme="minorHAnsi"/>
          <w:sz w:val="22"/>
          <w:szCs w:val="28"/>
        </w:rPr>
        <w:t>are</w:t>
      </w:r>
      <w:r w:rsidRPr="00B018D0">
        <w:rPr>
          <w:rFonts w:asciiTheme="minorHAnsi" w:hAnsiTheme="minorHAnsi" w:cstheme="minorHAnsi"/>
          <w:sz w:val="22"/>
          <w:szCs w:val="28"/>
        </w:rPr>
        <w:t xml:space="preserve"> a number of obstacles to safely dealing with the problem, depending on where the container was loaded. Some</w:t>
      </w:r>
      <w:r w:rsidR="00A2330B">
        <w:rPr>
          <w:rFonts w:asciiTheme="minorHAnsi" w:hAnsiTheme="minorHAnsi" w:cstheme="minorHAnsi"/>
          <w:sz w:val="22"/>
          <w:szCs w:val="28"/>
        </w:rPr>
        <w:t xml:space="preserve"> cargo terminal operators (</w:t>
      </w:r>
      <w:r w:rsidRPr="00B018D0">
        <w:rPr>
          <w:rFonts w:asciiTheme="minorHAnsi" w:hAnsiTheme="minorHAnsi" w:cstheme="minorHAnsi"/>
          <w:sz w:val="22"/>
          <w:szCs w:val="28"/>
        </w:rPr>
        <w:t>CTO</w:t>
      </w:r>
      <w:r w:rsidR="00A2330B">
        <w:rPr>
          <w:rFonts w:asciiTheme="minorHAnsi" w:hAnsiTheme="minorHAnsi" w:cstheme="minorHAnsi"/>
          <w:sz w:val="22"/>
          <w:szCs w:val="28"/>
        </w:rPr>
        <w:t>)</w:t>
      </w:r>
      <w:r w:rsidRPr="00B018D0">
        <w:rPr>
          <w:rFonts w:asciiTheme="minorHAnsi" w:hAnsiTheme="minorHAnsi" w:cstheme="minorHAnsi"/>
          <w:sz w:val="22"/>
          <w:szCs w:val="28"/>
        </w:rPr>
        <w:t xml:space="preserve"> make provision for the return of a container if it is overweight or unsafe, but at some CTOs</w:t>
      </w:r>
      <w:r w:rsidR="000D518F">
        <w:rPr>
          <w:rFonts w:asciiTheme="minorHAnsi" w:hAnsiTheme="minorHAnsi" w:cstheme="minorHAnsi"/>
          <w:sz w:val="22"/>
          <w:szCs w:val="28"/>
        </w:rPr>
        <w:t>,</w:t>
      </w:r>
      <w:r w:rsidRPr="00B018D0">
        <w:rPr>
          <w:rFonts w:asciiTheme="minorHAnsi" w:hAnsiTheme="minorHAnsi" w:cstheme="minorHAnsi"/>
          <w:sz w:val="22"/>
          <w:szCs w:val="28"/>
        </w:rPr>
        <w:t xml:space="preserve"> once a vehicle leaves the terminal premises, there are limits to the right to re-enter the premises without re-booking a slot.</w:t>
      </w:r>
    </w:p>
    <w:p w14:paraId="52EFB11B" w14:textId="25F633AF" w:rsidR="00E3758B" w:rsidRPr="00B018D0" w:rsidRDefault="00E3758B" w:rsidP="009113AC">
      <w:pPr>
        <w:pStyle w:val="ListParagraph"/>
        <w:numPr>
          <w:ilvl w:val="0"/>
          <w:numId w:val="21"/>
        </w:numPr>
        <w:tabs>
          <w:tab w:val="clear" w:pos="284"/>
        </w:tabs>
        <w:spacing w:after="160" w:line="259" w:lineRule="auto"/>
        <w:ind w:left="721" w:hanging="437"/>
        <w:contextualSpacing w:val="0"/>
        <w:rPr>
          <w:rFonts w:asciiTheme="minorHAnsi" w:hAnsiTheme="minorHAnsi" w:cstheme="minorHAnsi"/>
          <w:sz w:val="22"/>
          <w:szCs w:val="28"/>
        </w:rPr>
      </w:pPr>
      <w:r w:rsidRPr="00B018D0">
        <w:rPr>
          <w:rFonts w:asciiTheme="minorHAnsi" w:hAnsiTheme="minorHAnsi" w:cstheme="minorHAnsi"/>
          <w:sz w:val="22"/>
          <w:szCs w:val="28"/>
        </w:rPr>
        <w:t>At some ports, the road network itself, and congestion, may prevent or deter a driver from attempting to return an unsafe container to the terminal where they collected it. A lack of port “real estate” means that at many ports, there is no dedicated place for the driver to stop for even a cursory visual inspection of the load.</w:t>
      </w:r>
    </w:p>
    <w:p w14:paraId="13B02CCB" w14:textId="045F50BE" w:rsidR="00E3758B" w:rsidRPr="00B018D0" w:rsidRDefault="00E3758B" w:rsidP="009113AC">
      <w:pPr>
        <w:pStyle w:val="ListParagraph"/>
        <w:numPr>
          <w:ilvl w:val="0"/>
          <w:numId w:val="21"/>
        </w:numPr>
        <w:tabs>
          <w:tab w:val="clear" w:pos="284"/>
        </w:tabs>
        <w:spacing w:after="160" w:line="259" w:lineRule="auto"/>
        <w:ind w:left="721" w:hanging="437"/>
        <w:contextualSpacing w:val="0"/>
        <w:rPr>
          <w:rFonts w:asciiTheme="minorHAnsi" w:hAnsiTheme="minorHAnsi" w:cstheme="minorHAnsi"/>
          <w:sz w:val="22"/>
          <w:szCs w:val="28"/>
        </w:rPr>
      </w:pPr>
      <w:r w:rsidRPr="00B018D0">
        <w:rPr>
          <w:rFonts w:asciiTheme="minorHAnsi" w:hAnsiTheme="minorHAnsi" w:cstheme="minorHAnsi"/>
          <w:sz w:val="22"/>
          <w:szCs w:val="28"/>
        </w:rPr>
        <w:t xml:space="preserve">Underbond movements (UBM) present further problems. Under customs law, it is prohibited to divert these containers from their route from the wharf to licenced premises, and it is prohibited to open them. </w:t>
      </w:r>
      <w:r w:rsidR="00E25501">
        <w:rPr>
          <w:rFonts w:asciiTheme="minorHAnsi" w:hAnsiTheme="minorHAnsi" w:cstheme="minorHAnsi"/>
          <w:sz w:val="22"/>
          <w:szCs w:val="28"/>
        </w:rPr>
        <w:t xml:space="preserve">The </w:t>
      </w:r>
      <w:r w:rsidRPr="00B018D0">
        <w:rPr>
          <w:rFonts w:asciiTheme="minorHAnsi" w:hAnsiTheme="minorHAnsi" w:cstheme="minorHAnsi"/>
          <w:sz w:val="22"/>
          <w:szCs w:val="28"/>
        </w:rPr>
        <w:t xml:space="preserve">ABF has developed procedures at some ports for authorising a container to be re-routed and opened for inspection. </w:t>
      </w:r>
    </w:p>
    <w:p w14:paraId="39E32E7C" w14:textId="71E8FD95" w:rsidR="00E3758B" w:rsidRPr="00B018D0" w:rsidRDefault="00E3758B" w:rsidP="009113AC">
      <w:pPr>
        <w:pStyle w:val="ListParagraph"/>
        <w:numPr>
          <w:ilvl w:val="0"/>
          <w:numId w:val="21"/>
        </w:numPr>
        <w:tabs>
          <w:tab w:val="clear" w:pos="284"/>
        </w:tabs>
        <w:spacing w:after="160" w:line="259" w:lineRule="auto"/>
        <w:ind w:left="721" w:hanging="437"/>
        <w:contextualSpacing w:val="0"/>
        <w:rPr>
          <w:rFonts w:asciiTheme="minorHAnsi" w:hAnsiTheme="minorHAnsi" w:cstheme="minorHAnsi"/>
          <w:sz w:val="22"/>
          <w:szCs w:val="28"/>
        </w:rPr>
      </w:pPr>
      <w:r w:rsidRPr="00B018D0">
        <w:rPr>
          <w:rFonts w:asciiTheme="minorHAnsi" w:hAnsiTheme="minorHAnsi" w:cstheme="minorHAnsi"/>
          <w:sz w:val="22"/>
          <w:szCs w:val="28"/>
        </w:rPr>
        <w:t xml:space="preserve">In early 2020, after collaboration between </w:t>
      </w:r>
      <w:r w:rsidR="000079D6">
        <w:rPr>
          <w:rFonts w:asciiTheme="minorHAnsi" w:hAnsiTheme="minorHAnsi" w:cstheme="minorHAnsi"/>
          <w:sz w:val="22"/>
          <w:szCs w:val="28"/>
        </w:rPr>
        <w:t xml:space="preserve">the </w:t>
      </w:r>
      <w:r w:rsidRPr="00B018D0">
        <w:rPr>
          <w:rFonts w:asciiTheme="minorHAnsi" w:hAnsiTheme="minorHAnsi" w:cstheme="minorHAnsi"/>
          <w:sz w:val="22"/>
          <w:szCs w:val="28"/>
        </w:rPr>
        <w:t>ABF, NHVR and industry groups who work at Port Botany, a procedure was developed that would enable</w:t>
      </w:r>
      <w:r w:rsidR="00913BD3">
        <w:rPr>
          <w:rFonts w:asciiTheme="minorHAnsi" w:hAnsiTheme="minorHAnsi" w:cstheme="minorHAnsi"/>
          <w:sz w:val="22"/>
          <w:szCs w:val="28"/>
        </w:rPr>
        <w:t xml:space="preserve"> the</w:t>
      </w:r>
      <w:r w:rsidRPr="00B018D0">
        <w:rPr>
          <w:rFonts w:asciiTheme="minorHAnsi" w:hAnsiTheme="minorHAnsi" w:cstheme="minorHAnsi"/>
          <w:sz w:val="22"/>
          <w:szCs w:val="28"/>
        </w:rPr>
        <w:t xml:space="preserve"> ABF to retrospectively authorise an UBM to be diverted and opened, so long as it went to a nominated Container Freight Station (CFS), and certain entries were made on the Integrated Cargo System (ICS</w:t>
      </w:r>
      <w:r w:rsidRPr="00357DD5">
        <w:rPr>
          <w:rFonts w:asciiTheme="minorHAnsi" w:hAnsiTheme="minorHAnsi" w:cstheme="minorHAnsi"/>
          <w:sz w:val="22"/>
          <w:szCs w:val="28"/>
        </w:rPr>
        <w:t>)</w:t>
      </w:r>
      <w:r w:rsidR="00AA129E" w:rsidRPr="00357DD5">
        <w:rPr>
          <w:rFonts w:asciiTheme="minorHAnsi" w:hAnsiTheme="minorHAnsi" w:cstheme="minorHAnsi"/>
          <w:sz w:val="22"/>
          <w:szCs w:val="28"/>
        </w:rPr>
        <w:t xml:space="preserve"> (</w:t>
      </w:r>
      <w:r w:rsidR="00357DD5" w:rsidRPr="00357DD5">
        <w:rPr>
          <w:rFonts w:asciiTheme="minorHAnsi" w:hAnsiTheme="minorHAnsi" w:cstheme="minorHAnsi"/>
          <w:sz w:val="22"/>
          <w:szCs w:val="28"/>
        </w:rPr>
        <w:t>s</w:t>
      </w:r>
      <w:r w:rsidR="00AA129E" w:rsidRPr="00357DD5">
        <w:rPr>
          <w:rFonts w:asciiTheme="minorHAnsi" w:hAnsiTheme="minorHAnsi" w:cstheme="minorHAnsi"/>
          <w:sz w:val="22"/>
          <w:szCs w:val="28"/>
        </w:rPr>
        <w:t>ee Appendix</w:t>
      </w:r>
      <w:r w:rsidR="00357DD5" w:rsidRPr="00357DD5">
        <w:rPr>
          <w:rFonts w:asciiTheme="minorHAnsi" w:hAnsiTheme="minorHAnsi" w:cstheme="minorHAnsi"/>
          <w:sz w:val="22"/>
          <w:szCs w:val="28"/>
        </w:rPr>
        <w:t xml:space="preserve"> A</w:t>
      </w:r>
      <w:r w:rsidR="00AA129E" w:rsidRPr="00357DD5">
        <w:rPr>
          <w:rFonts w:asciiTheme="minorHAnsi" w:hAnsiTheme="minorHAnsi" w:cstheme="minorHAnsi"/>
          <w:sz w:val="22"/>
          <w:szCs w:val="28"/>
        </w:rPr>
        <w:t>)</w:t>
      </w:r>
      <w:r w:rsidR="00357DD5" w:rsidRPr="00357DD5">
        <w:rPr>
          <w:rFonts w:asciiTheme="minorHAnsi" w:hAnsiTheme="minorHAnsi" w:cstheme="minorHAnsi"/>
          <w:sz w:val="22"/>
          <w:szCs w:val="28"/>
        </w:rPr>
        <w:t>.</w:t>
      </w:r>
    </w:p>
    <w:p w14:paraId="1BC4C6D9" w14:textId="4A20D444" w:rsidR="00E3758B" w:rsidRPr="00B018D0" w:rsidRDefault="00E3758B" w:rsidP="009113AC">
      <w:pPr>
        <w:pStyle w:val="ListParagraph"/>
        <w:numPr>
          <w:ilvl w:val="0"/>
          <w:numId w:val="21"/>
        </w:numPr>
        <w:tabs>
          <w:tab w:val="clear" w:pos="284"/>
        </w:tabs>
        <w:spacing w:after="160" w:line="259" w:lineRule="auto"/>
        <w:ind w:left="721" w:hanging="437"/>
        <w:contextualSpacing w:val="0"/>
        <w:rPr>
          <w:rFonts w:asciiTheme="minorHAnsi" w:hAnsiTheme="minorHAnsi" w:cstheme="minorHAnsi"/>
          <w:sz w:val="22"/>
          <w:szCs w:val="28"/>
        </w:rPr>
      </w:pPr>
      <w:r w:rsidRPr="00B018D0">
        <w:rPr>
          <w:rFonts w:asciiTheme="minorHAnsi" w:hAnsiTheme="minorHAnsi" w:cstheme="minorHAnsi"/>
          <w:sz w:val="22"/>
          <w:szCs w:val="28"/>
        </w:rPr>
        <w:t xml:space="preserve">There are some limits to the effectiveness of this arrangement: CFS are not always available. For example, a surge in the number of containers requiring fumigation, </w:t>
      </w:r>
      <w:r w:rsidR="001F00B8">
        <w:rPr>
          <w:rFonts w:asciiTheme="minorHAnsi" w:hAnsiTheme="minorHAnsi" w:cstheme="minorHAnsi"/>
          <w:sz w:val="22"/>
          <w:szCs w:val="28"/>
        </w:rPr>
        <w:t xml:space="preserve">or </w:t>
      </w:r>
      <w:r w:rsidRPr="00B018D0">
        <w:rPr>
          <w:rFonts w:asciiTheme="minorHAnsi" w:hAnsiTheme="minorHAnsi" w:cstheme="minorHAnsi"/>
          <w:sz w:val="22"/>
          <w:szCs w:val="28"/>
        </w:rPr>
        <w:t>delays in containers being collected on time, may use all of a CFS’ capacity. Some CFS are not open to all comers but are restricted to clients or business partners. Transport companies generally do not have access to the ICS but rely on brokers or freight forwarders to make the necessary entries in the system. Transporters can work 24/7, but the people who have access to the ICS tend only to work during business hours.</w:t>
      </w:r>
    </w:p>
    <w:p w14:paraId="0351BF06" w14:textId="1C24BF6C" w:rsidR="00E3758B" w:rsidRPr="00B018D0" w:rsidRDefault="00E3758B" w:rsidP="009113AC">
      <w:pPr>
        <w:pStyle w:val="ListParagraph"/>
        <w:numPr>
          <w:ilvl w:val="0"/>
          <w:numId w:val="21"/>
        </w:numPr>
        <w:tabs>
          <w:tab w:val="clear" w:pos="284"/>
        </w:tabs>
        <w:spacing w:after="160" w:line="259" w:lineRule="auto"/>
        <w:ind w:left="721" w:hanging="437"/>
        <w:contextualSpacing w:val="0"/>
        <w:rPr>
          <w:rFonts w:asciiTheme="minorHAnsi" w:hAnsiTheme="minorHAnsi" w:cstheme="minorHAnsi"/>
          <w:sz w:val="22"/>
          <w:szCs w:val="28"/>
        </w:rPr>
      </w:pPr>
      <w:r w:rsidRPr="00B018D0">
        <w:rPr>
          <w:rFonts w:asciiTheme="minorHAnsi" w:hAnsiTheme="minorHAnsi" w:cstheme="minorHAnsi"/>
          <w:sz w:val="22"/>
          <w:szCs w:val="28"/>
        </w:rPr>
        <w:t xml:space="preserve">At the Port of Brisbane, </w:t>
      </w:r>
      <w:r w:rsidR="00061201">
        <w:rPr>
          <w:rFonts w:asciiTheme="minorHAnsi" w:hAnsiTheme="minorHAnsi" w:cstheme="minorHAnsi"/>
          <w:sz w:val="22"/>
          <w:szCs w:val="28"/>
        </w:rPr>
        <w:t xml:space="preserve">the </w:t>
      </w:r>
      <w:r w:rsidRPr="00B018D0">
        <w:rPr>
          <w:rFonts w:asciiTheme="minorHAnsi" w:hAnsiTheme="minorHAnsi" w:cstheme="minorHAnsi"/>
          <w:sz w:val="22"/>
          <w:szCs w:val="28"/>
        </w:rPr>
        <w:t>ABF has implemented a system where they can authorise diversion or inspection of a container via email or text – but not retrospectively. Again, the limits to this system are that ABF officers do not work 24/7 and transporters do not always know whether a container constitutes an UBM, or what process to follow if it does.</w:t>
      </w:r>
    </w:p>
    <w:p w14:paraId="6A0FC9ED" w14:textId="77777777" w:rsidR="00E3758B" w:rsidRPr="00B018D0" w:rsidRDefault="00E3758B" w:rsidP="009113AC">
      <w:pPr>
        <w:pStyle w:val="ListParagraph"/>
        <w:numPr>
          <w:ilvl w:val="0"/>
          <w:numId w:val="21"/>
        </w:numPr>
        <w:tabs>
          <w:tab w:val="clear" w:pos="284"/>
        </w:tabs>
        <w:spacing w:after="160" w:line="259" w:lineRule="auto"/>
        <w:ind w:left="721" w:hanging="437"/>
        <w:contextualSpacing w:val="0"/>
        <w:rPr>
          <w:rFonts w:asciiTheme="minorHAnsi" w:hAnsiTheme="minorHAnsi" w:cstheme="minorHAnsi"/>
          <w:sz w:val="22"/>
          <w:szCs w:val="28"/>
        </w:rPr>
      </w:pPr>
      <w:r w:rsidRPr="00B018D0">
        <w:rPr>
          <w:rFonts w:asciiTheme="minorHAnsi" w:hAnsiTheme="minorHAnsi" w:cstheme="minorHAnsi"/>
          <w:sz w:val="22"/>
          <w:szCs w:val="28"/>
        </w:rPr>
        <w:t xml:space="preserve">Whichever way a driver manages to have the load restraint inside a container verified, there are losses in productivity, for the transporter, and in some cases for stevedores, CFS and other parties in the supply chain. </w:t>
      </w:r>
    </w:p>
    <w:p w14:paraId="13C9A445" w14:textId="41AA37DB" w:rsidR="00E3758B" w:rsidRPr="00B018D0" w:rsidRDefault="00E3758B" w:rsidP="00133F48">
      <w:pPr>
        <w:pStyle w:val="ListParagraph"/>
        <w:numPr>
          <w:ilvl w:val="0"/>
          <w:numId w:val="21"/>
        </w:numPr>
        <w:tabs>
          <w:tab w:val="clear" w:pos="284"/>
        </w:tabs>
        <w:spacing w:after="160" w:line="259" w:lineRule="auto"/>
        <w:ind w:hanging="436"/>
        <w:rPr>
          <w:rFonts w:asciiTheme="minorHAnsi" w:hAnsiTheme="minorHAnsi" w:cstheme="minorHAnsi"/>
          <w:sz w:val="22"/>
          <w:szCs w:val="28"/>
        </w:rPr>
      </w:pPr>
      <w:r w:rsidRPr="00B018D0">
        <w:rPr>
          <w:rFonts w:asciiTheme="minorHAnsi" w:hAnsiTheme="minorHAnsi" w:cstheme="minorHAnsi"/>
          <w:sz w:val="22"/>
          <w:szCs w:val="28"/>
        </w:rPr>
        <w:t xml:space="preserve">When drivers are deterred from </w:t>
      </w:r>
      <w:r w:rsidR="00AA129E" w:rsidRPr="00B018D0">
        <w:rPr>
          <w:rFonts w:asciiTheme="minorHAnsi" w:hAnsiTheme="minorHAnsi" w:cstheme="minorHAnsi"/>
          <w:sz w:val="22"/>
          <w:szCs w:val="28"/>
        </w:rPr>
        <w:t>acting</w:t>
      </w:r>
      <w:r w:rsidRPr="00B018D0">
        <w:rPr>
          <w:rFonts w:asciiTheme="minorHAnsi" w:hAnsiTheme="minorHAnsi" w:cstheme="minorHAnsi"/>
          <w:sz w:val="22"/>
          <w:szCs w:val="28"/>
        </w:rPr>
        <w:t xml:space="preserve"> when they suspect that the contents of a container are safely secured or distributed, or when they are unable to detect problems, the result is an unsafe vehicle on public roads.</w:t>
      </w:r>
    </w:p>
    <w:p w14:paraId="21620C2C" w14:textId="07C627A7" w:rsidR="00E3758B" w:rsidRPr="009113AC" w:rsidRDefault="00E3758B" w:rsidP="00E3758B">
      <w:pPr>
        <w:rPr>
          <w:rFonts w:asciiTheme="minorHAnsi" w:hAnsiTheme="minorHAnsi" w:cstheme="minorHAnsi"/>
          <w:b/>
          <w:bCs/>
          <w:color w:val="0F2D52" w:themeColor="text2"/>
          <w:sz w:val="24"/>
        </w:rPr>
      </w:pPr>
      <w:r w:rsidRPr="009113AC">
        <w:rPr>
          <w:rFonts w:asciiTheme="minorHAnsi" w:hAnsiTheme="minorHAnsi" w:cstheme="minorHAnsi"/>
          <w:b/>
          <w:bCs/>
          <w:color w:val="0F2D52" w:themeColor="text2"/>
          <w:sz w:val="24"/>
        </w:rPr>
        <w:t>Regulatory Response</w:t>
      </w:r>
    </w:p>
    <w:p w14:paraId="4979A703" w14:textId="77777777" w:rsidR="00E3758B" w:rsidRPr="00B018D0" w:rsidRDefault="00E3758B" w:rsidP="00133F48">
      <w:pPr>
        <w:pStyle w:val="ListParagraph"/>
        <w:numPr>
          <w:ilvl w:val="0"/>
          <w:numId w:val="21"/>
        </w:numPr>
        <w:tabs>
          <w:tab w:val="clear" w:pos="284"/>
        </w:tabs>
        <w:spacing w:after="160" w:line="259" w:lineRule="auto"/>
        <w:ind w:hanging="436"/>
        <w:rPr>
          <w:rFonts w:asciiTheme="minorHAnsi" w:hAnsiTheme="minorHAnsi" w:cstheme="minorHAnsi"/>
          <w:sz w:val="22"/>
          <w:szCs w:val="22"/>
        </w:rPr>
      </w:pPr>
      <w:r w:rsidRPr="00B018D0">
        <w:rPr>
          <w:rFonts w:asciiTheme="minorHAnsi" w:hAnsiTheme="minorHAnsi" w:cstheme="minorHAnsi"/>
          <w:sz w:val="22"/>
          <w:szCs w:val="22"/>
        </w:rPr>
        <w:t>In the overwhelming majority of cases, heavy vehicle drivers or their employers are the subject of regulatory action when a freight container is over-mass or not safely secured. This is because the non-compliance is easier to detect on the road. Clearly this is not a fair outcome. The heavy vehicle industry bears the compliance burden because other parties do not do more to deter or detect breaches of marine law, and for the most part, do not facilitate the safe inspection and correction of containers within the port precinct.</w:t>
      </w:r>
    </w:p>
    <w:p w14:paraId="5B08EC50" w14:textId="77777777" w:rsidR="00E3758B" w:rsidRPr="009113AC" w:rsidRDefault="00E3758B" w:rsidP="009113AC">
      <w:pPr>
        <w:ind w:left="360" w:hanging="360"/>
        <w:rPr>
          <w:rFonts w:asciiTheme="minorHAnsi" w:hAnsiTheme="minorHAnsi" w:cstheme="minorHAnsi"/>
          <w:b/>
          <w:bCs/>
          <w:color w:val="0F2D52" w:themeColor="text2"/>
          <w:sz w:val="24"/>
        </w:rPr>
      </w:pPr>
      <w:r w:rsidRPr="009113AC">
        <w:rPr>
          <w:rFonts w:asciiTheme="minorHAnsi" w:hAnsiTheme="minorHAnsi" w:cstheme="minorHAnsi"/>
          <w:b/>
          <w:bCs/>
          <w:color w:val="0F2D52" w:themeColor="text2"/>
          <w:sz w:val="24"/>
        </w:rPr>
        <w:t>Opportunities for other parties</w:t>
      </w:r>
    </w:p>
    <w:p w14:paraId="4AD9CFB0" w14:textId="459AFC12" w:rsidR="00E3758B" w:rsidRPr="00B018D0" w:rsidRDefault="00E3758B" w:rsidP="009113AC">
      <w:pPr>
        <w:pStyle w:val="ListParagraph"/>
        <w:numPr>
          <w:ilvl w:val="0"/>
          <w:numId w:val="21"/>
        </w:numPr>
        <w:tabs>
          <w:tab w:val="clear" w:pos="284"/>
        </w:tabs>
        <w:spacing w:after="160" w:line="259" w:lineRule="auto"/>
        <w:ind w:left="721" w:hanging="437"/>
        <w:contextualSpacing w:val="0"/>
        <w:rPr>
          <w:rFonts w:asciiTheme="minorHAnsi" w:hAnsiTheme="minorHAnsi" w:cstheme="minorHAnsi"/>
          <w:sz w:val="22"/>
          <w:szCs w:val="22"/>
        </w:rPr>
      </w:pPr>
      <w:r w:rsidRPr="00B018D0">
        <w:rPr>
          <w:rFonts w:asciiTheme="minorHAnsi" w:hAnsiTheme="minorHAnsi" w:cstheme="minorHAnsi"/>
          <w:sz w:val="22"/>
          <w:szCs w:val="22"/>
        </w:rPr>
        <w:t>Ports, CTOs, brokers, and freight forwarders own or control premises within the port precinct and have the ability to allocate space, and time, for containers to be weighed and/or inspected where required. In many instances, those entities exploit their position by charging a range of fees and penalties for the use of their premises which discourage or prohibit an appropriate focus on safety. CTOs also impose conditions of entry that serve the interests of the CTO to the detriment of the driver</w:t>
      </w:r>
      <w:r w:rsidR="009713A3">
        <w:rPr>
          <w:rFonts w:asciiTheme="minorHAnsi" w:hAnsiTheme="minorHAnsi" w:cstheme="minorHAnsi"/>
          <w:sz w:val="22"/>
          <w:szCs w:val="22"/>
        </w:rPr>
        <w:t xml:space="preserve"> (f</w:t>
      </w:r>
      <w:r w:rsidRPr="00B018D0">
        <w:rPr>
          <w:rFonts w:asciiTheme="minorHAnsi" w:hAnsiTheme="minorHAnsi" w:cstheme="minorHAnsi"/>
          <w:sz w:val="22"/>
          <w:szCs w:val="22"/>
        </w:rPr>
        <w:t>or example, a prohibition on taking photos on the premises</w:t>
      </w:r>
      <w:r w:rsidR="009713A3">
        <w:rPr>
          <w:rFonts w:asciiTheme="minorHAnsi" w:hAnsiTheme="minorHAnsi" w:cstheme="minorHAnsi"/>
          <w:sz w:val="22"/>
          <w:szCs w:val="22"/>
        </w:rPr>
        <w:t>)</w:t>
      </w:r>
      <w:r w:rsidRPr="00B018D0">
        <w:rPr>
          <w:rFonts w:asciiTheme="minorHAnsi" w:hAnsiTheme="minorHAnsi" w:cstheme="minorHAnsi"/>
          <w:sz w:val="22"/>
          <w:szCs w:val="22"/>
        </w:rPr>
        <w:t>.</w:t>
      </w:r>
    </w:p>
    <w:p w14:paraId="4FC52232" w14:textId="4867D0AC" w:rsidR="00E3758B" w:rsidRPr="00B018D0" w:rsidRDefault="00E3758B" w:rsidP="009113AC">
      <w:pPr>
        <w:pStyle w:val="ListParagraph"/>
        <w:numPr>
          <w:ilvl w:val="0"/>
          <w:numId w:val="21"/>
        </w:numPr>
        <w:tabs>
          <w:tab w:val="clear" w:pos="284"/>
        </w:tabs>
        <w:spacing w:after="160" w:line="259" w:lineRule="auto"/>
        <w:ind w:left="721" w:hanging="437"/>
        <w:contextualSpacing w:val="0"/>
        <w:rPr>
          <w:rFonts w:asciiTheme="minorHAnsi" w:hAnsiTheme="minorHAnsi" w:cstheme="minorHAnsi"/>
          <w:sz w:val="22"/>
          <w:szCs w:val="22"/>
        </w:rPr>
      </w:pPr>
      <w:r w:rsidRPr="00B018D0">
        <w:rPr>
          <w:rFonts w:asciiTheme="minorHAnsi" w:hAnsiTheme="minorHAnsi" w:cstheme="minorHAnsi"/>
          <w:sz w:val="22"/>
          <w:szCs w:val="22"/>
        </w:rPr>
        <w:t xml:space="preserve">Shipping lines, ports and CTOs have greater bargaining power with shippers than do transport and logistics companies who compete with each other for landside business. </w:t>
      </w:r>
      <w:r w:rsidR="002C6CB3">
        <w:rPr>
          <w:rFonts w:asciiTheme="minorHAnsi" w:hAnsiTheme="minorHAnsi" w:cstheme="minorHAnsi"/>
          <w:sz w:val="22"/>
          <w:szCs w:val="22"/>
        </w:rPr>
        <w:t>For instance, t</w:t>
      </w:r>
      <w:r w:rsidRPr="00B018D0">
        <w:rPr>
          <w:rFonts w:asciiTheme="minorHAnsi" w:hAnsiTheme="minorHAnsi" w:cstheme="minorHAnsi"/>
          <w:sz w:val="22"/>
          <w:szCs w:val="22"/>
        </w:rPr>
        <w:t xml:space="preserve">hey have the opportunity to better monitor non-compliance. </w:t>
      </w:r>
      <w:r w:rsidR="00577049">
        <w:rPr>
          <w:rFonts w:asciiTheme="minorHAnsi" w:hAnsiTheme="minorHAnsi" w:cstheme="minorHAnsi"/>
          <w:sz w:val="22"/>
          <w:szCs w:val="22"/>
        </w:rPr>
        <w:t>Further, t</w:t>
      </w:r>
      <w:r w:rsidRPr="00B018D0">
        <w:rPr>
          <w:rFonts w:asciiTheme="minorHAnsi" w:hAnsiTheme="minorHAnsi" w:cstheme="minorHAnsi"/>
          <w:sz w:val="22"/>
          <w:szCs w:val="22"/>
        </w:rPr>
        <w:t>hrough their contracts with shipping lines and shippers, they have the opportunity to report breaches of Marine Order 42 and the Loading Performance Standards to those parties, and to use contractual penalties to deter non-compliance.</w:t>
      </w:r>
    </w:p>
    <w:p w14:paraId="7F09B18D" w14:textId="0E302039" w:rsidR="00E3758B" w:rsidRPr="00B018D0" w:rsidRDefault="00E3758B" w:rsidP="009113AC">
      <w:pPr>
        <w:pStyle w:val="ListParagraph"/>
        <w:numPr>
          <w:ilvl w:val="0"/>
          <w:numId w:val="21"/>
        </w:numPr>
        <w:tabs>
          <w:tab w:val="clear" w:pos="284"/>
        </w:tabs>
        <w:spacing w:after="160" w:line="259" w:lineRule="auto"/>
        <w:ind w:left="721" w:hanging="437"/>
        <w:contextualSpacing w:val="0"/>
        <w:rPr>
          <w:rFonts w:asciiTheme="minorHAnsi" w:hAnsiTheme="minorHAnsi" w:cstheme="minorHAnsi"/>
          <w:sz w:val="22"/>
          <w:szCs w:val="22"/>
        </w:rPr>
      </w:pPr>
      <w:r w:rsidRPr="00B018D0">
        <w:rPr>
          <w:rFonts w:asciiTheme="minorHAnsi" w:hAnsiTheme="minorHAnsi" w:cstheme="minorHAnsi"/>
          <w:sz w:val="22"/>
          <w:szCs w:val="22"/>
        </w:rPr>
        <w:t xml:space="preserve">Reducing the incidence of unsafe and over-mass containers at the point of origin would significantly improve safety and productivity, though there will always be a requirement for some monitoring of containers after unloading. </w:t>
      </w:r>
    </w:p>
    <w:p w14:paraId="45D69412" w14:textId="77777777" w:rsidR="00E3758B" w:rsidRPr="00B018D0" w:rsidRDefault="00E3758B" w:rsidP="00E83BE0">
      <w:pPr>
        <w:pStyle w:val="BodyText"/>
        <w:rPr>
          <w:lang w:eastAsia="en-AU"/>
        </w:rPr>
      </w:pPr>
    </w:p>
    <w:p w14:paraId="6C166199" w14:textId="77777777" w:rsidR="00E3758B" w:rsidRPr="00B018D0" w:rsidRDefault="00E3758B" w:rsidP="00E83BE0">
      <w:pPr>
        <w:pStyle w:val="BodyText"/>
        <w:rPr>
          <w:lang w:eastAsia="en-AU"/>
        </w:rPr>
      </w:pPr>
    </w:p>
    <w:p w14:paraId="1BF35334" w14:textId="77777777" w:rsidR="00154535" w:rsidRPr="00B018D0" w:rsidRDefault="00154535">
      <w:pPr>
        <w:spacing w:after="200" w:line="276" w:lineRule="auto"/>
        <w:rPr>
          <w:rFonts w:asciiTheme="minorHAnsi" w:eastAsia="Cambria" w:hAnsiTheme="minorHAnsi" w:cstheme="minorHAnsi"/>
          <w:b/>
          <w:bCs/>
          <w:color w:val="0F2D52" w:themeColor="text2"/>
          <w:sz w:val="36"/>
          <w:szCs w:val="26"/>
          <w:lang w:val="en-US" w:eastAsia="en-AU"/>
        </w:rPr>
      </w:pPr>
      <w:r w:rsidRPr="00B018D0">
        <w:rPr>
          <w:rFonts w:asciiTheme="minorHAnsi" w:hAnsiTheme="minorHAnsi" w:cstheme="minorHAnsi"/>
          <w:lang w:eastAsia="en-AU"/>
        </w:rPr>
        <w:br w:type="page"/>
      </w:r>
    </w:p>
    <w:p w14:paraId="41E1B1F3" w14:textId="6FEE16F3" w:rsidR="00E53F8F" w:rsidRPr="009A1439" w:rsidRDefault="00CA7A3D" w:rsidP="00CA7A3D">
      <w:pPr>
        <w:pStyle w:val="Heading1"/>
        <w:rPr>
          <w:rFonts w:asciiTheme="minorHAnsi" w:hAnsiTheme="minorHAnsi" w:cstheme="minorHAnsi"/>
          <w:sz w:val="42"/>
          <w:szCs w:val="42"/>
          <w:lang w:eastAsia="en-AU"/>
        </w:rPr>
      </w:pPr>
      <w:r w:rsidRPr="009A1439">
        <w:rPr>
          <w:rFonts w:asciiTheme="minorHAnsi" w:hAnsiTheme="minorHAnsi" w:cstheme="minorHAnsi"/>
          <w:sz w:val="42"/>
          <w:szCs w:val="42"/>
          <w:lang w:eastAsia="en-AU"/>
        </w:rPr>
        <w:t>Recommendations</w:t>
      </w:r>
    </w:p>
    <w:p w14:paraId="2E2FB0DB" w14:textId="2C4E1125" w:rsidR="00CA7A3D" w:rsidRPr="00B018D0" w:rsidRDefault="00CA7A3D" w:rsidP="00577049">
      <w:pPr>
        <w:pStyle w:val="BodyText"/>
        <w:spacing w:after="240" w:line="259" w:lineRule="auto"/>
        <w:rPr>
          <w:rFonts w:asciiTheme="minorHAnsi" w:hAnsiTheme="minorHAnsi" w:cstheme="minorHAnsi"/>
          <w:lang w:eastAsia="en-AU"/>
        </w:rPr>
      </w:pPr>
      <w:r w:rsidRPr="00B018D0">
        <w:rPr>
          <w:rFonts w:asciiTheme="minorHAnsi" w:hAnsiTheme="minorHAnsi" w:cstheme="minorHAnsi"/>
          <w:lang w:eastAsia="en-AU"/>
        </w:rPr>
        <w:t>The NHVR makes the following recommendations to support</w:t>
      </w:r>
      <w:r w:rsidR="00FC31D7" w:rsidRPr="00B018D0">
        <w:rPr>
          <w:rFonts w:asciiTheme="minorHAnsi" w:hAnsiTheme="minorHAnsi" w:cstheme="minorHAnsi"/>
          <w:lang w:eastAsia="en-AU"/>
        </w:rPr>
        <w:t xml:space="preserve"> the </w:t>
      </w:r>
      <w:r w:rsidR="00EA4986" w:rsidRPr="00B018D0">
        <w:rPr>
          <w:rFonts w:asciiTheme="minorHAnsi" w:hAnsiTheme="minorHAnsi" w:cstheme="minorHAnsi"/>
        </w:rPr>
        <w:t xml:space="preserve">inquiry into </w:t>
      </w:r>
      <w:r w:rsidR="00EA4986" w:rsidRPr="00B018D0">
        <w:rPr>
          <w:rFonts w:asciiTheme="minorHAnsi" w:hAnsiTheme="minorHAnsi" w:cstheme="minorHAnsi"/>
          <w:i/>
          <w:iCs/>
        </w:rPr>
        <w:t>Lifting productivity at Australia’s container ports: between water, wharf and warehouse</w:t>
      </w:r>
      <w:r w:rsidR="00EA4986" w:rsidRPr="00B018D0">
        <w:rPr>
          <w:rFonts w:asciiTheme="minorHAnsi" w:hAnsiTheme="minorHAnsi" w:cstheme="minorHAnsi"/>
        </w:rPr>
        <w:t>.</w:t>
      </w:r>
    </w:p>
    <w:p w14:paraId="4BD711C1" w14:textId="3AA71695" w:rsidR="00A9573D" w:rsidRPr="00B018D0" w:rsidRDefault="00A9573D" w:rsidP="00577049">
      <w:pPr>
        <w:pStyle w:val="BodyText"/>
        <w:spacing w:after="240" w:line="259" w:lineRule="auto"/>
        <w:rPr>
          <w:rFonts w:asciiTheme="minorHAnsi" w:hAnsiTheme="minorHAnsi" w:cstheme="minorHAnsi"/>
        </w:rPr>
      </w:pPr>
      <w:r w:rsidRPr="00B018D0">
        <w:rPr>
          <w:rFonts w:asciiTheme="minorHAnsi" w:hAnsiTheme="minorHAnsi" w:cstheme="minorHAnsi"/>
          <w:b/>
          <w:bCs/>
        </w:rPr>
        <w:t xml:space="preserve">Recommendation 1: </w:t>
      </w:r>
      <w:r w:rsidRPr="00B018D0">
        <w:rPr>
          <w:rFonts w:asciiTheme="minorHAnsi" w:hAnsiTheme="minorHAnsi" w:cstheme="minorHAnsi"/>
        </w:rPr>
        <w:t xml:space="preserve">The inquiry into </w:t>
      </w:r>
      <w:r w:rsidRPr="00B018D0">
        <w:rPr>
          <w:rFonts w:asciiTheme="minorHAnsi" w:hAnsiTheme="minorHAnsi" w:cstheme="minorHAnsi"/>
          <w:i/>
          <w:iCs/>
        </w:rPr>
        <w:t>Lifting productivity at Australia’s container ports: between water, wharf and warehouse</w:t>
      </w:r>
      <w:r w:rsidRPr="00B018D0">
        <w:rPr>
          <w:rFonts w:asciiTheme="minorHAnsi" w:hAnsiTheme="minorHAnsi" w:cstheme="minorHAnsi"/>
        </w:rPr>
        <w:t xml:space="preserve"> should have greater emphasis on the role of heavy vehicles in port productivity and container logistics. The report has focussed on crane rates to move containers</w:t>
      </w:r>
      <w:r w:rsidR="00993B85">
        <w:rPr>
          <w:rFonts w:asciiTheme="minorHAnsi" w:hAnsiTheme="minorHAnsi" w:cstheme="minorHAnsi"/>
        </w:rPr>
        <w:t>.</w:t>
      </w:r>
      <w:r w:rsidRPr="00B018D0">
        <w:rPr>
          <w:rFonts w:asciiTheme="minorHAnsi" w:hAnsiTheme="minorHAnsi" w:cstheme="minorHAnsi"/>
        </w:rPr>
        <w:t xml:space="preserve"> </w:t>
      </w:r>
      <w:r w:rsidR="00993B85">
        <w:rPr>
          <w:rFonts w:asciiTheme="minorHAnsi" w:hAnsiTheme="minorHAnsi" w:cstheme="minorHAnsi"/>
        </w:rPr>
        <w:t>The NHVR suggests the inquiry would benefit from</w:t>
      </w:r>
      <w:r w:rsidR="00993B85" w:rsidRPr="00B018D0">
        <w:rPr>
          <w:rFonts w:asciiTheme="minorHAnsi" w:hAnsiTheme="minorHAnsi" w:cstheme="minorHAnsi"/>
        </w:rPr>
        <w:t xml:space="preserve"> </w:t>
      </w:r>
      <w:r w:rsidR="00993B85">
        <w:rPr>
          <w:rFonts w:asciiTheme="minorHAnsi" w:hAnsiTheme="minorHAnsi" w:cstheme="minorHAnsi"/>
        </w:rPr>
        <w:t>investigating issues and determining solutions related to</w:t>
      </w:r>
      <w:r w:rsidR="00993B85" w:rsidRPr="00B018D0">
        <w:rPr>
          <w:rFonts w:asciiTheme="minorHAnsi" w:hAnsiTheme="minorHAnsi" w:cstheme="minorHAnsi"/>
        </w:rPr>
        <w:t xml:space="preserve"> road freight task </w:t>
      </w:r>
      <w:r w:rsidR="00993B85">
        <w:rPr>
          <w:rFonts w:asciiTheme="minorHAnsi" w:hAnsiTheme="minorHAnsi" w:cstheme="minorHAnsi"/>
        </w:rPr>
        <w:t xml:space="preserve">performance (e.g. </w:t>
      </w:r>
      <w:r w:rsidR="00993B85" w:rsidRPr="00B018D0">
        <w:rPr>
          <w:rFonts w:asciiTheme="minorHAnsi" w:hAnsiTheme="minorHAnsi" w:cstheme="minorHAnsi"/>
        </w:rPr>
        <w:t>carrying containers to and from ports</w:t>
      </w:r>
      <w:r w:rsidR="00993B85">
        <w:rPr>
          <w:rFonts w:asciiTheme="minorHAnsi" w:hAnsiTheme="minorHAnsi" w:cstheme="minorHAnsi"/>
        </w:rPr>
        <w:t>)</w:t>
      </w:r>
      <w:r w:rsidR="00993B85" w:rsidRPr="00B018D0">
        <w:rPr>
          <w:rFonts w:asciiTheme="minorHAnsi" w:hAnsiTheme="minorHAnsi" w:cstheme="minorHAnsi"/>
        </w:rPr>
        <w:t xml:space="preserve">. </w:t>
      </w:r>
      <w:r w:rsidRPr="00B018D0">
        <w:rPr>
          <w:rFonts w:asciiTheme="minorHAnsi" w:hAnsiTheme="minorHAnsi" w:cstheme="minorHAnsi"/>
        </w:rPr>
        <w:t>This could include a review of port, government and stevedore policies relating to methods encouraging mode share shift (distinct from offering operators choice and flexibility between different modes); and an assessment of network design and infrastructure capacity to safely accommodate the longer length and higher mass of PBS and other higher productivity freight vehicles.</w:t>
      </w:r>
    </w:p>
    <w:p w14:paraId="14D10384" w14:textId="1BF955F4" w:rsidR="00A9573D" w:rsidRPr="00B018D0" w:rsidRDefault="00A9573D" w:rsidP="00577049">
      <w:pPr>
        <w:pStyle w:val="BodyText"/>
        <w:spacing w:after="240" w:line="259" w:lineRule="auto"/>
        <w:rPr>
          <w:rFonts w:asciiTheme="minorHAnsi" w:hAnsiTheme="minorHAnsi" w:cstheme="minorHAnsi"/>
        </w:rPr>
      </w:pPr>
      <w:r w:rsidRPr="00B018D0">
        <w:rPr>
          <w:rFonts w:asciiTheme="minorHAnsi" w:hAnsiTheme="minorHAnsi" w:cstheme="minorHAnsi"/>
          <w:b/>
          <w:bCs/>
        </w:rPr>
        <w:t>Recommendation 2:</w:t>
      </w:r>
      <w:r w:rsidRPr="00B018D0">
        <w:rPr>
          <w:rFonts w:asciiTheme="minorHAnsi" w:hAnsiTheme="minorHAnsi" w:cstheme="minorHAnsi"/>
        </w:rPr>
        <w:t xml:space="preserve"> Reasonable efforts should be made by relevant parties (including but not limited to the government, Ports, stevedores and other owners and managers of port infrastructure) to encourage </w:t>
      </w:r>
      <w:r w:rsidR="004776CE">
        <w:rPr>
          <w:rFonts w:asciiTheme="minorHAnsi" w:hAnsiTheme="minorHAnsi" w:cstheme="minorHAnsi"/>
        </w:rPr>
        <w:t xml:space="preserve">use of </w:t>
      </w:r>
      <w:r w:rsidRPr="00B018D0">
        <w:rPr>
          <w:rFonts w:asciiTheme="minorHAnsi" w:hAnsiTheme="minorHAnsi" w:cstheme="minorHAnsi"/>
        </w:rPr>
        <w:t>PBS vehicles and other higher productivity vehicles. Mechanisms to facilitate this outcome could include regulation (such as providing consent to access under notice), strategic and operational policy, and suitable design standards in future infrastructure upgrades.</w:t>
      </w:r>
    </w:p>
    <w:p w14:paraId="4F760BEE" w14:textId="1D5A9E7D" w:rsidR="00154535" w:rsidRPr="009C6FC7" w:rsidRDefault="00154535" w:rsidP="00577049">
      <w:pPr>
        <w:pStyle w:val="BodyText"/>
        <w:spacing w:after="240" w:line="259" w:lineRule="auto"/>
        <w:rPr>
          <w:rFonts w:asciiTheme="minorHAnsi" w:hAnsiTheme="minorHAnsi" w:cstheme="minorHAnsi"/>
        </w:rPr>
      </w:pPr>
      <w:r w:rsidRPr="00B018D0">
        <w:rPr>
          <w:rFonts w:asciiTheme="minorHAnsi" w:hAnsiTheme="minorHAnsi" w:cstheme="minorHAnsi"/>
          <w:b/>
          <w:bCs/>
        </w:rPr>
        <w:t xml:space="preserve">Recommendation 3: </w:t>
      </w:r>
      <w:r w:rsidRPr="00B018D0">
        <w:rPr>
          <w:rFonts w:asciiTheme="minorHAnsi" w:hAnsiTheme="minorHAnsi" w:cstheme="minorHAnsi"/>
        </w:rPr>
        <w:t>Ports, stevedores and other owners and managers of port infrastructure should do more to monitor compliance with Marine Order 42</w:t>
      </w:r>
      <w:r w:rsidR="007A548B">
        <w:rPr>
          <w:rFonts w:asciiTheme="minorHAnsi" w:hAnsiTheme="minorHAnsi" w:cstheme="minorHAnsi"/>
        </w:rPr>
        <w:t xml:space="preserve"> (Carriage, stowage and securing of cargoes and containers)</w:t>
      </w:r>
      <w:r w:rsidRPr="00B018D0">
        <w:rPr>
          <w:rFonts w:asciiTheme="minorHAnsi" w:hAnsiTheme="minorHAnsi" w:cstheme="minorHAnsi"/>
        </w:rPr>
        <w:t xml:space="preserve"> and should ensure there are facilities at every port to allow </w:t>
      </w:r>
      <w:r w:rsidRPr="009C6FC7">
        <w:rPr>
          <w:rFonts w:asciiTheme="minorHAnsi" w:hAnsiTheme="minorHAnsi" w:cstheme="minorHAnsi"/>
        </w:rPr>
        <w:t>unsafe containers to be detected and inspected. Commercial arrangements should support transporters to take action when containers are non-compliant, rather than prohibiting or deterring this.</w:t>
      </w:r>
    </w:p>
    <w:p w14:paraId="7EB48E89" w14:textId="67290913" w:rsidR="00154535" w:rsidRPr="00B018D0" w:rsidRDefault="00154535" w:rsidP="00577049">
      <w:pPr>
        <w:pStyle w:val="BodyText"/>
        <w:spacing w:after="240" w:line="259" w:lineRule="auto"/>
        <w:rPr>
          <w:rFonts w:asciiTheme="minorHAnsi" w:hAnsiTheme="minorHAnsi" w:cstheme="minorHAnsi"/>
        </w:rPr>
      </w:pPr>
      <w:r w:rsidRPr="009C6FC7">
        <w:rPr>
          <w:rFonts w:asciiTheme="minorHAnsi" w:hAnsiTheme="minorHAnsi" w:cstheme="minorHAnsi"/>
          <w:b/>
          <w:bCs/>
        </w:rPr>
        <w:t>Recommendation 4:</w:t>
      </w:r>
      <w:r w:rsidRPr="009C6FC7">
        <w:rPr>
          <w:rFonts w:asciiTheme="minorHAnsi" w:hAnsiTheme="minorHAnsi" w:cstheme="minorHAnsi"/>
        </w:rPr>
        <w:t xml:space="preserve"> </w:t>
      </w:r>
      <w:r w:rsidR="00B041ED" w:rsidRPr="009C6FC7">
        <w:rPr>
          <w:rFonts w:asciiTheme="minorHAnsi" w:hAnsiTheme="minorHAnsi" w:cstheme="minorHAnsi"/>
        </w:rPr>
        <w:t xml:space="preserve">Information </w:t>
      </w:r>
      <w:r w:rsidR="00B041ED" w:rsidRPr="00B018D0">
        <w:rPr>
          <w:rFonts w:asciiTheme="minorHAnsi" w:hAnsiTheme="minorHAnsi" w:cstheme="minorHAnsi"/>
        </w:rPr>
        <w:t>about the mass of a container should be reliably and seamlessly shared with</w:t>
      </w:r>
      <w:r w:rsidR="00B041ED">
        <w:rPr>
          <w:rFonts w:asciiTheme="minorHAnsi" w:hAnsiTheme="minorHAnsi" w:cstheme="minorHAnsi"/>
        </w:rPr>
        <w:t>,</w:t>
      </w:r>
      <w:r w:rsidR="00B041ED" w:rsidRPr="00B018D0">
        <w:rPr>
          <w:rFonts w:asciiTheme="minorHAnsi" w:hAnsiTheme="minorHAnsi" w:cstheme="minorHAnsi"/>
        </w:rPr>
        <w:t xml:space="preserve"> or accessible to</w:t>
      </w:r>
      <w:r w:rsidR="00B041ED">
        <w:rPr>
          <w:rFonts w:asciiTheme="minorHAnsi" w:hAnsiTheme="minorHAnsi" w:cstheme="minorHAnsi"/>
        </w:rPr>
        <w:t>,</w:t>
      </w:r>
      <w:r w:rsidR="00B041ED" w:rsidRPr="00B018D0">
        <w:rPr>
          <w:rFonts w:asciiTheme="minorHAnsi" w:hAnsiTheme="minorHAnsi" w:cstheme="minorHAnsi"/>
        </w:rPr>
        <w:t xml:space="preserve"> road transporters. Information about the customs status of a container should be reliably and seamlessly shared with</w:t>
      </w:r>
      <w:r w:rsidR="00B041ED">
        <w:rPr>
          <w:rFonts w:asciiTheme="minorHAnsi" w:hAnsiTheme="minorHAnsi" w:cstheme="minorHAnsi"/>
        </w:rPr>
        <w:t>,</w:t>
      </w:r>
      <w:r w:rsidR="00B041ED" w:rsidRPr="00B018D0">
        <w:rPr>
          <w:rFonts w:asciiTheme="minorHAnsi" w:hAnsiTheme="minorHAnsi" w:cstheme="minorHAnsi"/>
        </w:rPr>
        <w:t xml:space="preserve"> or accessible to</w:t>
      </w:r>
      <w:r w:rsidR="00B041ED">
        <w:rPr>
          <w:rFonts w:asciiTheme="minorHAnsi" w:hAnsiTheme="minorHAnsi" w:cstheme="minorHAnsi"/>
        </w:rPr>
        <w:t>,</w:t>
      </w:r>
      <w:r w:rsidR="00B041ED" w:rsidRPr="00B018D0">
        <w:rPr>
          <w:rFonts w:asciiTheme="minorHAnsi" w:hAnsiTheme="minorHAnsi" w:cstheme="minorHAnsi"/>
        </w:rPr>
        <w:t xml:space="preserve"> road transporters.</w:t>
      </w:r>
    </w:p>
    <w:p w14:paraId="0D3E2B26" w14:textId="12553A1D" w:rsidR="009A1439" w:rsidRDefault="009A1439">
      <w:pPr>
        <w:spacing w:after="200" w:line="276" w:lineRule="auto"/>
        <w:rPr>
          <w:rFonts w:asciiTheme="minorHAnsi" w:hAnsiTheme="minorHAnsi" w:cstheme="minorHAnsi"/>
          <w:b/>
          <w:bCs/>
        </w:rPr>
      </w:pPr>
      <w:r>
        <w:rPr>
          <w:rFonts w:asciiTheme="minorHAnsi" w:hAnsiTheme="minorHAnsi" w:cstheme="minorHAnsi"/>
          <w:b/>
          <w:bCs/>
        </w:rPr>
        <w:br w:type="page"/>
      </w:r>
    </w:p>
    <w:p w14:paraId="0EA0AC51" w14:textId="6DF3B9EB" w:rsidR="009A1439" w:rsidRPr="00B018D0" w:rsidRDefault="009A1439" w:rsidP="009A1439">
      <w:pPr>
        <w:pStyle w:val="Heading1"/>
        <w:spacing w:before="360" w:after="240"/>
        <w:rPr>
          <w:rFonts w:asciiTheme="minorHAnsi" w:hAnsiTheme="minorHAnsi" w:cstheme="minorHAnsi"/>
          <w:sz w:val="42"/>
          <w:szCs w:val="42"/>
        </w:rPr>
      </w:pPr>
      <w:r>
        <w:rPr>
          <w:rFonts w:asciiTheme="minorHAnsi" w:hAnsiTheme="minorHAnsi" w:cstheme="minorHAnsi"/>
          <w:sz w:val="42"/>
          <w:szCs w:val="42"/>
        </w:rPr>
        <w:t>Appendix A</w:t>
      </w:r>
    </w:p>
    <w:p w14:paraId="6AA31D1C" w14:textId="52CDF7A3" w:rsidR="007F62C5" w:rsidRPr="00B018D0" w:rsidRDefault="0008616A" w:rsidP="00154535">
      <w:pPr>
        <w:rPr>
          <w:rFonts w:asciiTheme="minorHAnsi" w:hAnsiTheme="minorHAnsi" w:cstheme="minorHAnsi"/>
          <w:b/>
          <w:bCs/>
        </w:rPr>
      </w:pPr>
      <w:r>
        <w:rPr>
          <w:noProof/>
        </w:rPr>
        <w:drawing>
          <wp:inline distT="0" distB="0" distL="0" distR="0" wp14:anchorId="0958A38F" wp14:editId="23CCAF91">
            <wp:extent cx="6143625" cy="6286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6150557" cy="6293593"/>
                    </a:xfrm>
                    <a:prstGeom prst="rect">
                      <a:avLst/>
                    </a:prstGeom>
                    <a:noFill/>
                    <a:ln>
                      <a:noFill/>
                    </a:ln>
                  </pic:spPr>
                </pic:pic>
              </a:graphicData>
            </a:graphic>
          </wp:inline>
        </w:drawing>
      </w:r>
    </w:p>
    <w:sectPr w:rsidR="007F62C5" w:rsidRPr="00B018D0" w:rsidSect="001C64FC">
      <w:headerReference w:type="default" r:id="rId22"/>
      <w:footerReference w:type="default" r:id="rId23"/>
      <w:type w:val="continuous"/>
      <w:pgSz w:w="11906" w:h="16838" w:code="9"/>
      <w:pgMar w:top="1588" w:right="1021" w:bottom="1077" w:left="1021" w:header="284" w:footer="510"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7B84F" w14:textId="77777777" w:rsidR="00B554AD" w:rsidRDefault="00B554AD" w:rsidP="00E01449">
      <w:r>
        <w:separator/>
      </w:r>
    </w:p>
  </w:endnote>
  <w:endnote w:type="continuationSeparator" w:id="0">
    <w:p w14:paraId="01FB6422" w14:textId="77777777" w:rsidR="00B554AD" w:rsidRDefault="00B554AD" w:rsidP="00E014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Effra-Bold">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URW Geometric">
    <w:altName w:val="Calibri"/>
    <w:panose1 w:val="00000000000000000000"/>
    <w:charset w:val="00"/>
    <w:family w:val="modern"/>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2C2EA" w14:textId="77777777" w:rsidR="00E227C1" w:rsidRPr="006E78F9" w:rsidRDefault="00E227C1" w:rsidP="006517E2">
    <w:pPr>
      <w:pStyle w:val="Footer"/>
      <w:tabs>
        <w:tab w:val="clear" w:pos="9923"/>
        <w:tab w:val="right" w:pos="9781"/>
      </w:tabs>
      <w:spacing w:after="0"/>
    </w:pPr>
    <w:r>
      <w:rPr>
        <w:noProof/>
        <w:lang w:val="en-AU" w:eastAsia="en-AU"/>
      </w:rPr>
      <mc:AlternateContent>
        <mc:Choice Requires="wps">
          <w:drawing>
            <wp:anchor distT="0" distB="0" distL="114300" distR="114300" simplePos="0" relativeHeight="251679744" behindDoc="0" locked="1" layoutInCell="0" allowOverlap="0" wp14:anchorId="481D5C41" wp14:editId="296912F7">
              <wp:simplePos x="0" y="0"/>
              <wp:positionH relativeFrom="column">
                <wp:posOffset>0</wp:posOffset>
              </wp:positionH>
              <wp:positionV relativeFrom="page">
                <wp:posOffset>10153015</wp:posOffset>
              </wp:positionV>
              <wp:extent cx="6309995" cy="0"/>
              <wp:effectExtent l="0" t="0" r="22860" b="19050"/>
              <wp:wrapNone/>
              <wp:docPr id="5" name="Straight Connector 5"/>
              <wp:cNvGraphicFramePr/>
              <a:graphic xmlns:a="http://schemas.openxmlformats.org/drawingml/2006/main">
                <a:graphicData uri="http://schemas.microsoft.com/office/word/2010/wordprocessingShape">
                  <wps:wsp>
                    <wps:cNvCnPr/>
                    <wps:spPr>
                      <a:xfrm>
                        <a:off x="0" y="0"/>
                        <a:ext cx="6309995" cy="0"/>
                      </a:xfrm>
                      <a:prstGeom prst="line">
                        <a:avLst/>
                      </a:prstGeom>
                      <a:ln w="6350">
                        <a:solidFill>
                          <a:schemeClr val="tx2"/>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100000</wp14:pctWidth>
              </wp14:sizeRelH>
            </wp:anchor>
          </w:drawing>
        </mc:Choice>
        <mc:Fallback>
          <w:pict>
            <v:line w14:anchorId="7F330137" id="Straight Connector 5" o:spid="_x0000_s1026" style="position:absolute;z-index:251679744;visibility:visible;mso-wrap-style:square;mso-width-percent:1000;mso-wrap-distance-left:9pt;mso-wrap-distance-top:0;mso-wrap-distance-right:9pt;mso-wrap-distance-bottom:0;mso-position-horizontal:absolute;mso-position-horizontal-relative:text;mso-position-vertical:absolute;mso-position-vertical-relative:page;mso-width-percent:1000;mso-width-relative:margin" from="0,799.45pt" to="496.85pt,7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" o:allowincell="f" o:allowoverlap="f" strokecolor="#0f2d52 [3215]" strokeweight=".5pt">
              <w10:wrap anchory="page"/>
              <w10:anchorlock/>
            </v:line>
          </w:pict>
        </mc:Fallback>
      </mc:AlternateContent>
    </w:r>
    <w:r>
      <w:t>www.nhvr.gov.au</w:t>
    </w:r>
    <w:r>
      <w:tab/>
    </w:r>
    <w:r w:rsidRPr="00CF7297">
      <w:fldChar w:fldCharType="begin"/>
    </w:r>
    <w:r w:rsidRPr="00CF7297">
      <w:instrText xml:space="preserve"> PAGE   \* MERGEFORMAT </w:instrText>
    </w:r>
    <w:r w:rsidRPr="00CF7297">
      <w:fldChar w:fldCharType="separate"/>
    </w:r>
    <w:r w:rsidR="00563C26">
      <w:rPr>
        <w:noProof/>
      </w:rPr>
      <w:t>2</w:t>
    </w:r>
    <w:r w:rsidRPr="00CF7297">
      <w:fldChar w:fldCharType="end"/>
    </w:r>
    <w:r w:rsidRPr="00CF7297">
      <w:t xml:space="preserve"> of </w:t>
    </w:r>
    <w:fldSimple w:instr=" NUMPAGES   \* MERGEFORMAT ">
      <w:r w:rsidR="00563C26">
        <w:rPr>
          <w:noProof/>
        </w:rPr>
        <w:t>10</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FEDF0" w14:textId="77777777" w:rsidR="00E227C1" w:rsidRPr="006E78F9" w:rsidRDefault="00E227C1" w:rsidP="006517E2">
    <w:pPr>
      <w:pStyle w:val="Footer"/>
      <w:tabs>
        <w:tab w:val="clear" w:pos="9923"/>
        <w:tab w:val="right" w:pos="9781"/>
      </w:tabs>
      <w:spacing w:after="0"/>
    </w:pPr>
    <w:r>
      <w:rPr>
        <w:noProof/>
        <w:lang w:val="en-AU" w:eastAsia="en-AU"/>
      </w:rPr>
      <mc:AlternateContent>
        <mc:Choice Requires="wps">
          <w:drawing>
            <wp:anchor distT="0" distB="0" distL="114300" distR="114300" simplePos="0" relativeHeight="251683840" behindDoc="0" locked="1" layoutInCell="0" allowOverlap="0" wp14:anchorId="29A57108" wp14:editId="4AEDFE8C">
              <wp:simplePos x="0" y="0"/>
              <wp:positionH relativeFrom="column">
                <wp:posOffset>0</wp:posOffset>
              </wp:positionH>
              <wp:positionV relativeFrom="page">
                <wp:posOffset>10153015</wp:posOffset>
              </wp:positionV>
              <wp:extent cx="6309995" cy="0"/>
              <wp:effectExtent l="0" t="0" r="22860" b="19050"/>
              <wp:wrapNone/>
              <wp:docPr id="6" name="Straight Connector 6"/>
              <wp:cNvGraphicFramePr/>
              <a:graphic xmlns:a="http://schemas.openxmlformats.org/drawingml/2006/main">
                <a:graphicData uri="http://schemas.microsoft.com/office/word/2010/wordprocessingShape">
                  <wps:wsp>
                    <wps:cNvCnPr/>
                    <wps:spPr>
                      <a:xfrm>
                        <a:off x="0" y="0"/>
                        <a:ext cx="6309995" cy="0"/>
                      </a:xfrm>
                      <a:prstGeom prst="line">
                        <a:avLst/>
                      </a:prstGeom>
                      <a:ln w="6350">
                        <a:solidFill>
                          <a:schemeClr val="tx2"/>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100000</wp14:pctWidth>
              </wp14:sizeRelH>
            </wp:anchor>
          </w:drawing>
        </mc:Choice>
        <mc:Fallback>
          <w:pict>
            <v:line w14:anchorId="3B3205CB" id="Straight Connector 6" o:spid="_x0000_s1026" style="position:absolute;z-index:251683840;visibility:visible;mso-wrap-style:square;mso-width-percent:1000;mso-wrap-distance-left:9pt;mso-wrap-distance-top:0;mso-wrap-distance-right:9pt;mso-wrap-distance-bottom:0;mso-position-horizontal:absolute;mso-position-horizontal-relative:text;mso-position-vertical:absolute;mso-position-vertical-relative:page;mso-width-percent:1000;mso-width-relative:margin" from="0,799.45pt" to="496.85pt,7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" o:allowincell="f" o:allowoverlap="f" strokecolor="#0f2d52 [3215]" strokeweight=".5pt">
              <w10:wrap anchory="page"/>
              <w10:anchorlock/>
            </v:line>
          </w:pict>
        </mc:Fallback>
      </mc:AlternateContent>
    </w:r>
    <w:r>
      <w:t>www.nhvr.gov.au</w:t>
    </w:r>
    <w:r>
      <w:tab/>
    </w:r>
    <w:r w:rsidRPr="00CF7297">
      <w:fldChar w:fldCharType="begin"/>
    </w:r>
    <w:r w:rsidRPr="00CF7297">
      <w:instrText xml:space="preserve"> PAGE   \* MERGEFORMAT </w:instrText>
    </w:r>
    <w:r w:rsidRPr="00CF7297">
      <w:fldChar w:fldCharType="separate"/>
    </w:r>
    <w:r w:rsidR="00F252A9">
      <w:rPr>
        <w:noProof/>
      </w:rPr>
      <w:t>8</w:t>
    </w:r>
    <w:r w:rsidRPr="00CF7297">
      <w:fldChar w:fldCharType="end"/>
    </w:r>
    <w:r w:rsidRPr="00CF7297">
      <w:t xml:space="preserve"> of </w:t>
    </w:r>
    <w:fldSimple w:instr=" NUMPAGES   \* MERGEFORMAT ">
      <w:r w:rsidR="00F252A9">
        <w:rPr>
          <w:noProof/>
        </w:rPr>
        <w:t>10</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45A78" w14:textId="77777777" w:rsidR="00B554AD" w:rsidRDefault="00B554AD" w:rsidP="00E01449">
      <w:r>
        <w:separator/>
      </w:r>
    </w:p>
  </w:footnote>
  <w:footnote w:type="continuationSeparator" w:id="0">
    <w:p w14:paraId="1CEC7DE8" w14:textId="77777777" w:rsidR="00B554AD" w:rsidRDefault="00B554AD" w:rsidP="00E01449">
      <w:r>
        <w:continuationSeparator/>
      </w:r>
    </w:p>
  </w:footnote>
  <w:footnote w:id="1">
    <w:p w14:paraId="27543E9A" w14:textId="77777777" w:rsidR="00D54173" w:rsidRPr="006243CC" w:rsidRDefault="00D54173" w:rsidP="00D54173">
      <w:pPr>
        <w:pStyle w:val="FootnoteText"/>
      </w:pPr>
      <w:r w:rsidRPr="006243CC">
        <w:rPr>
          <w:rStyle w:val="FootnoteReference"/>
        </w:rPr>
        <w:footnoteRef/>
      </w:r>
      <w:r w:rsidRPr="006243CC">
        <w:t xml:space="preserve"> NHVR, 2020, Heavy Vehicle Productivity Plan 2020-2025</w:t>
      </w:r>
    </w:p>
  </w:footnote>
  <w:footnote w:id="2">
    <w:p w14:paraId="0A1C4AA0" w14:textId="77777777" w:rsidR="003C3DFE" w:rsidRPr="006243CC" w:rsidRDefault="003C3DFE" w:rsidP="003C3DFE">
      <w:pPr>
        <w:pStyle w:val="FootnoteText"/>
      </w:pPr>
      <w:r w:rsidRPr="006243CC">
        <w:rPr>
          <w:rStyle w:val="FootnoteReference"/>
        </w:rPr>
        <w:footnoteRef/>
      </w:r>
      <w:r w:rsidRPr="006243CC">
        <w:t xml:space="preserve"> IPART, 2008, Reforming Port Botany’s links with inland transport</w:t>
      </w:r>
    </w:p>
  </w:footnote>
  <w:footnote w:id="3">
    <w:p w14:paraId="50C728B0" w14:textId="77777777" w:rsidR="00DD275E" w:rsidRPr="00E2220B" w:rsidRDefault="00DD275E" w:rsidP="00DD275E">
      <w:pPr>
        <w:pStyle w:val="FootnoteText"/>
        <w:rPr>
          <w:sz w:val="16"/>
          <w:szCs w:val="16"/>
        </w:rPr>
      </w:pPr>
      <w:r w:rsidRPr="006243CC">
        <w:rPr>
          <w:rStyle w:val="FootnoteReference"/>
        </w:rPr>
        <w:footnoteRef/>
      </w:r>
      <w:r w:rsidRPr="006243CC">
        <w:t xml:space="preserve"> Department of Infrastructure, Transport, Cities and Regional Development, 2019, </w:t>
      </w:r>
      <w:hyperlink r:id="rId1" w:history="1">
        <w:r w:rsidRPr="006243CC">
          <w:rPr>
            <w:rStyle w:val="Hyperlink"/>
            <w:i/>
            <w:iCs/>
          </w:rPr>
          <w:t>National Freight and Supply Chain Strategy</w:t>
        </w:r>
      </w:hyperlink>
    </w:p>
  </w:footnote>
  <w:footnote w:id="4">
    <w:p w14:paraId="59F87552" w14:textId="28158451" w:rsidR="00114312" w:rsidRDefault="00114312">
      <w:pPr>
        <w:pStyle w:val="FootnoteText"/>
      </w:pPr>
      <w:r>
        <w:rPr>
          <w:rStyle w:val="FootnoteReference"/>
        </w:rPr>
        <w:footnoteRef/>
      </w:r>
      <w:r>
        <w:t xml:space="preserve"> NHVR, 2019, Performance Based Standards – An introduction for road managers</w:t>
      </w:r>
    </w:p>
  </w:footnote>
  <w:footnote w:id="5">
    <w:p w14:paraId="31ED69C8" w14:textId="017E5D30" w:rsidR="00E3758B" w:rsidRPr="00882C01" w:rsidRDefault="00E3758B" w:rsidP="00E3758B">
      <w:pPr>
        <w:pStyle w:val="FootnoteText"/>
      </w:pPr>
      <w:r w:rsidRPr="00882C01">
        <w:rPr>
          <w:rStyle w:val="FootnoteReference"/>
        </w:rPr>
        <w:footnoteRef/>
      </w:r>
      <w:r w:rsidRPr="00882C01">
        <w:t xml:space="preserve"> For example: </w:t>
      </w:r>
      <w:hyperlink r:id="rId2" w:history="1">
        <w:r w:rsidRPr="00882C01">
          <w:rPr>
            <w:rStyle w:val="Hyperlink"/>
          </w:rPr>
          <w:t>https://www.courts.qld.gov.au/__data/assets/pdf_file/0018/131913/cif-young-ja-20080123.pdf</w:t>
        </w:r>
      </w:hyperlink>
      <w:r w:rsidRPr="00882C01">
        <w:t xml:space="preserve">; </w:t>
      </w:r>
      <w:hyperlink r:id="rId3" w:history="1">
        <w:r w:rsidRPr="00882C01">
          <w:rPr>
            <w:rStyle w:val="Hyperlink"/>
          </w:rPr>
          <w:t>https://www.caselaw.nsw.gov.au/decision/5c64b00ee4b02a5a800be8bf</w:t>
        </w:r>
      </w:hyperlink>
    </w:p>
    <w:p w14:paraId="7BFFE55C" w14:textId="77777777" w:rsidR="00E3758B" w:rsidRPr="00882C01" w:rsidRDefault="00E3758B" w:rsidP="00E3758B">
      <w:pPr>
        <w:pStyle w:val="FootnoteText"/>
      </w:pPr>
    </w:p>
  </w:footnote>
  <w:footnote w:id="6">
    <w:p w14:paraId="230EF41C" w14:textId="4E014677" w:rsidR="00E3758B" w:rsidRPr="00882C01" w:rsidRDefault="00E3758B" w:rsidP="00E3758B">
      <w:pPr>
        <w:pStyle w:val="FootnoteText"/>
      </w:pPr>
      <w:r w:rsidRPr="00882C01">
        <w:rPr>
          <w:rStyle w:val="FootnoteReference"/>
        </w:rPr>
        <w:footnoteRef/>
      </w:r>
      <w:r w:rsidRPr="00882C01">
        <w:t xml:space="preserve"> The employer of the driver, a prime contractor for the driver, an operator of the vehicle, a scheduler for the vehicle, a consignor of any goods in the vehicle, a consignee of any goods in the vehicle, a packer of any goods in the vehicle, a loading manager for any goods in the vehicle, a loader of any goods in the vehicle, or an unloader of any goods in the vehicle</w:t>
      </w:r>
      <w:r w:rsidR="0001357B" w:rsidRPr="00882C01">
        <w:t xml:space="preserve"> </w:t>
      </w:r>
      <w:r w:rsidRPr="00882C01">
        <w:t>(s5, HVNL)</w:t>
      </w:r>
    </w:p>
    <w:p w14:paraId="0FB7890D" w14:textId="77777777" w:rsidR="00E3758B" w:rsidRPr="00882C01" w:rsidRDefault="00E3758B" w:rsidP="00E3758B">
      <w:pPr>
        <w:pStyle w:val="FootnoteText"/>
      </w:pPr>
    </w:p>
  </w:footnote>
  <w:footnote w:id="7">
    <w:p w14:paraId="0F117804" w14:textId="77777777" w:rsidR="00E3758B" w:rsidRPr="00882C01" w:rsidRDefault="00E3758B" w:rsidP="00E3758B">
      <w:pPr>
        <w:pStyle w:val="FootnoteText"/>
      </w:pPr>
      <w:r w:rsidRPr="00882C01">
        <w:rPr>
          <w:rStyle w:val="FootnoteReference"/>
        </w:rPr>
        <w:footnoteRef/>
      </w:r>
      <w:r w:rsidRPr="00882C01">
        <w:t xml:space="preserve"> </w:t>
      </w:r>
      <w:hyperlink r:id="rId4" w:history="1">
        <w:r w:rsidRPr="00882C01">
          <w:rPr>
            <w:rStyle w:val="Hyperlink"/>
          </w:rPr>
          <w:t>https://www.legislation.qld.gov.au/view/pdf/inforce/current/sl-2013-0077</w:t>
        </w:r>
      </w:hyperlink>
    </w:p>
    <w:p w14:paraId="2C35DF16" w14:textId="77777777" w:rsidR="00E3758B" w:rsidRDefault="00E3758B" w:rsidP="00E3758B">
      <w:pPr>
        <w:pStyle w:val="FootnoteText"/>
      </w:pPr>
    </w:p>
  </w:footnote>
  <w:footnote w:id="8">
    <w:p w14:paraId="29BC1A39" w14:textId="2F224F74" w:rsidR="00E3758B" w:rsidRPr="00882C01" w:rsidRDefault="00E3758B" w:rsidP="00E3758B">
      <w:pPr>
        <w:pStyle w:val="FootnoteText"/>
      </w:pPr>
      <w:r w:rsidRPr="00882C01">
        <w:rPr>
          <w:rStyle w:val="FootnoteReference"/>
        </w:rPr>
        <w:footnoteRef/>
      </w:r>
      <w:r w:rsidRPr="00882C01">
        <w:t xml:space="preserve"> Patricks Stevedores have implemented such a system at their facilities in Port of Brisbane, Port Botany and East Swanson Dock</w:t>
      </w:r>
    </w:p>
  </w:footnote>
  <w:footnote w:id="9">
    <w:p w14:paraId="3046BE45" w14:textId="008E0726" w:rsidR="00E3758B" w:rsidRPr="00882C01" w:rsidRDefault="00E3758B" w:rsidP="00E3758B">
      <w:pPr>
        <w:pStyle w:val="FootnoteText"/>
      </w:pPr>
      <w:r w:rsidRPr="00882C01">
        <w:rPr>
          <w:rStyle w:val="FootnoteReference"/>
        </w:rPr>
        <w:footnoteRef/>
      </w:r>
      <w:r w:rsidRPr="00882C01">
        <w:t xml:space="preserve"> S186, 187, 190, 191, 192, 192A HVNL</w:t>
      </w:r>
    </w:p>
  </w:footnote>
  <w:footnote w:id="10">
    <w:p w14:paraId="1EDF4ECB" w14:textId="648FED43" w:rsidR="00AA129E" w:rsidRPr="00882C01" w:rsidRDefault="00E3758B" w:rsidP="00AA129E">
      <w:pPr>
        <w:rPr>
          <w:noProof/>
          <w:sz w:val="20"/>
          <w:szCs w:val="20"/>
        </w:rPr>
      </w:pPr>
      <w:r w:rsidRPr="00882C01">
        <w:rPr>
          <w:rStyle w:val="FootnoteReference"/>
          <w:sz w:val="20"/>
          <w:szCs w:val="20"/>
        </w:rPr>
        <w:footnoteRef/>
      </w:r>
      <w:r w:rsidRPr="00882C01">
        <w:rPr>
          <w:sz w:val="20"/>
          <w:szCs w:val="20"/>
        </w:rPr>
        <w:t xml:space="preserve"> </w:t>
      </w:r>
      <w:r w:rsidR="00AA129E" w:rsidRPr="00882C01">
        <w:rPr>
          <w:sz w:val="20"/>
          <w:szCs w:val="20"/>
        </w:rPr>
        <w:t>(a) the person who, in Australia, consigned the container for road transport using a heavy vehicle; or (b) if there is no person as described in paragraph (a)—the person who, in Australia, for a consignor, arranged for the container’s road transport using a heavy vehicle; or (c) if there is no person as described in paragraph (a) or (b)—the person who, in Australia, physically offered the container for road transport using a heavy vehicle (s5, HVNL)</w:t>
      </w:r>
    </w:p>
    <w:p w14:paraId="24FE346F" w14:textId="77DE7DD3" w:rsidR="00E3758B" w:rsidRDefault="00E3758B" w:rsidP="00E3758B">
      <w:pPr>
        <w:pStyle w:val="FootnoteText"/>
      </w:pPr>
    </w:p>
  </w:footnote>
  <w:footnote w:id="11">
    <w:p w14:paraId="472E5839" w14:textId="77777777" w:rsidR="00E3758B" w:rsidRDefault="00E3758B" w:rsidP="00E3758B">
      <w:pPr>
        <w:pStyle w:val="FootnoteText"/>
      </w:pPr>
      <w:r>
        <w:rPr>
          <w:rStyle w:val="FootnoteReference"/>
        </w:rPr>
        <w:footnoteRef/>
      </w:r>
      <w:r>
        <w:t xml:space="preserve"> Such a load might also be perfectly well secured.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A5D88" w14:textId="77777777" w:rsidR="00E227C1" w:rsidRPr="00236D85" w:rsidRDefault="00E227C1" w:rsidP="00236D85">
    <w:pPr>
      <w:pStyle w:val="Header"/>
    </w:pPr>
    <w:r>
      <w:rPr>
        <w:lang w:eastAsia="en-AU"/>
      </w:rPr>
      <w:drawing>
        <wp:anchor distT="0" distB="0" distL="114300" distR="114300" simplePos="0" relativeHeight="251670528" behindDoc="1" locked="0" layoutInCell="1" allowOverlap="1" wp14:anchorId="5599D4C4" wp14:editId="098441EB">
          <wp:simplePos x="0" y="0"/>
          <wp:positionH relativeFrom="column">
            <wp:posOffset>-660210</wp:posOffset>
          </wp:positionH>
          <wp:positionV relativeFrom="paragraph">
            <wp:posOffset>-192215</wp:posOffset>
          </wp:positionV>
          <wp:extent cx="7608281" cy="10762036"/>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Graphics3.jpg"/>
                  <pic:cNvPicPr/>
                </pic:nvPicPr>
                <pic:blipFill>
                  <a:blip r:embed="rId1">
                    <a:extLst>
                      <a:ext uri="{28A0092B-C50C-407E-A947-70E740481C1C}">
                        <a14:useLocalDpi xmlns:a14="http://schemas.microsoft.com/office/drawing/2010/main" val="0"/>
                      </a:ext>
                    </a:extLst>
                  </a:blip>
                  <a:stretch>
                    <a:fillRect/>
                  </a:stretch>
                </pic:blipFill>
                <pic:spPr>
                  <a:xfrm>
                    <a:off x="0" y="0"/>
                    <a:ext cx="7608281" cy="1076203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6C976" w14:textId="77777777" w:rsidR="00E227C1" w:rsidRPr="00C05FB7" w:rsidRDefault="00E227C1" w:rsidP="00C05FB7">
    <w:pPr>
      <w:pStyle w:val="Header"/>
      <w:spacing w:before="1680"/>
      <w:jc w:val="both"/>
    </w:pPr>
    <w:r>
      <w:rPr>
        <w:lang w:eastAsia="en-AU"/>
      </w:rPr>
      <w:drawing>
        <wp:anchor distT="0" distB="0" distL="114300" distR="114300" simplePos="0" relativeHeight="251669504" behindDoc="1" locked="0" layoutInCell="1" allowOverlap="1" wp14:anchorId="31E17843" wp14:editId="31CF7C68">
          <wp:simplePos x="0" y="0"/>
          <wp:positionH relativeFrom="column">
            <wp:posOffset>-672604</wp:posOffset>
          </wp:positionH>
          <wp:positionV relativeFrom="paragraph">
            <wp:posOffset>-177036</wp:posOffset>
          </wp:positionV>
          <wp:extent cx="7608711" cy="10762037"/>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Graphics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8711" cy="1076203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094A7" w14:textId="77777777" w:rsidR="00E227C1" w:rsidRDefault="00E227C1" w:rsidP="00A63479">
    <w:pPr>
      <w:pStyle w:val="Footer"/>
      <w:rPr>
        <w:rStyle w:val="PlaceholderText"/>
        <w:color w:val="0F2D52" w:themeColor="text2"/>
      </w:rPr>
    </w:pPr>
    <w:r>
      <w:rPr>
        <w:noProof/>
        <w:lang w:val="en-AU" w:eastAsia="en-AU"/>
      </w:rPr>
      <mc:AlternateContent>
        <mc:Choice Requires="wps">
          <w:drawing>
            <wp:anchor distT="0" distB="0" distL="114300" distR="114300" simplePos="0" relativeHeight="251656192" behindDoc="0" locked="1" layoutInCell="0" allowOverlap="0" wp14:anchorId="7FE461FE" wp14:editId="779040A9">
              <wp:simplePos x="0" y="0"/>
              <wp:positionH relativeFrom="column">
                <wp:posOffset>0</wp:posOffset>
              </wp:positionH>
              <wp:positionV relativeFrom="page">
                <wp:posOffset>864235</wp:posOffset>
              </wp:positionV>
              <wp:extent cx="6310265" cy="0"/>
              <wp:effectExtent l="0" t="0" r="22860" b="19050"/>
              <wp:wrapNone/>
              <wp:docPr id="4" name="Straight Connector 4"/>
              <wp:cNvGraphicFramePr/>
              <a:graphic xmlns:a="http://schemas.openxmlformats.org/drawingml/2006/main">
                <a:graphicData uri="http://schemas.microsoft.com/office/word/2010/wordprocessingShape">
                  <wps:wsp>
                    <wps:cNvCnPr/>
                    <wps:spPr>
                      <a:xfrm>
                        <a:off x="0" y="0"/>
                        <a:ext cx="6310265" cy="0"/>
                      </a:xfrm>
                      <a:prstGeom prst="line">
                        <a:avLst/>
                      </a:prstGeom>
                      <a:ln w="6350">
                        <a:solidFill>
                          <a:schemeClr val="tx2"/>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100000</wp14:pctWidth>
              </wp14:sizeRelH>
            </wp:anchor>
          </w:drawing>
        </mc:Choice>
        <mc:Fallback>
          <w:pict>
            <v:line w14:anchorId="0579FED0" id="Straight Connector 4" o:spid="_x0000_s1026" style="position:absolute;z-index:251656192;visibility:visible;mso-wrap-style:square;mso-width-percent:1000;mso-wrap-distance-left:9pt;mso-wrap-distance-top:0;mso-wrap-distance-right:9pt;mso-wrap-distance-bottom:0;mso-position-horizontal:absolute;mso-position-horizontal-relative:text;mso-position-vertical:absolute;mso-position-vertical-relative:page;mso-width-percent:1000;mso-width-relative:margin" from="0,68.05pt" to="496.8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" o:allowincell="f" o:allowoverlap="f" strokecolor="#0f2d52 [3215]" strokeweight=".5pt">
              <w10:wrap anchory="page"/>
              <w10:anchorlock/>
            </v:line>
          </w:pict>
        </mc:Fallback>
      </mc:AlternateContent>
    </w:r>
  </w:p>
  <w:p w14:paraId="745398F7" w14:textId="77777777" w:rsidR="00E227C1" w:rsidRDefault="00E227C1" w:rsidP="00A63479">
    <w:pPr>
      <w:pStyle w:val="Footer"/>
      <w:rPr>
        <w:rStyle w:val="PlaceholderText"/>
        <w:color w:val="0F2D52" w:themeColor="text2"/>
      </w:rPr>
    </w:pPr>
    <w:r>
      <w:rPr>
        <w:noProof/>
        <w:lang w:val="en-AU" w:eastAsia="en-AU"/>
      </w:rPr>
      <w:drawing>
        <wp:anchor distT="0" distB="0" distL="114300" distR="114300" simplePos="0" relativeHeight="251655168" behindDoc="1" locked="1" layoutInCell="0" allowOverlap="0" wp14:anchorId="740D891B" wp14:editId="4651B86F">
          <wp:simplePos x="0" y="0"/>
          <wp:positionH relativeFrom="column">
            <wp:align>right</wp:align>
          </wp:positionH>
          <wp:positionV relativeFrom="page">
            <wp:posOffset>396240</wp:posOffset>
          </wp:positionV>
          <wp:extent cx="900000" cy="356400"/>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VR NAVY logo (no ta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0000" cy="356400"/>
                  </a:xfrm>
                  <a:prstGeom prst="rect">
                    <a:avLst/>
                  </a:prstGeom>
                </pic:spPr>
              </pic:pic>
            </a:graphicData>
          </a:graphic>
          <wp14:sizeRelH relativeFrom="page">
            <wp14:pctWidth>0</wp14:pctWidth>
          </wp14:sizeRelH>
          <wp14:sizeRelV relativeFrom="page">
            <wp14:pctHeight>0</wp14:pctHeight>
          </wp14:sizeRelV>
        </wp:anchor>
      </w:drawing>
    </w:r>
  </w:p>
  <w:p w14:paraId="462034D1" w14:textId="2F2CA807" w:rsidR="00E227C1" w:rsidRPr="009276AE" w:rsidRDefault="00E22DC1" w:rsidP="00A63479">
    <w:pPr>
      <w:pStyle w:val="Footer"/>
    </w:pPr>
    <w:r>
      <w:rPr>
        <w:rStyle w:val="PlaceholderText"/>
        <w:color w:val="0F2D52" w:themeColor="text2"/>
      </w:rPr>
      <w:t xml:space="preserve">Lifting productivity at Australia’s container ports: between water, </w:t>
    </w:r>
    <w:proofErr w:type="gramStart"/>
    <w:r>
      <w:rPr>
        <w:rStyle w:val="PlaceholderText"/>
        <w:color w:val="0F2D52" w:themeColor="text2"/>
      </w:rPr>
      <w:t>wharf</w:t>
    </w:r>
    <w:proofErr w:type="gramEnd"/>
    <w:r>
      <w:rPr>
        <w:rStyle w:val="PlaceholderText"/>
        <w:color w:val="0F2D52" w:themeColor="text2"/>
      </w:rPr>
      <w:t xml:space="preserve"> and warehouse</w:t>
    </w:r>
    <w:r w:rsidR="00E227C1">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279C4" w14:textId="77777777" w:rsidR="00E227C1" w:rsidRDefault="00E227C1" w:rsidP="00A63479">
    <w:pPr>
      <w:pStyle w:val="Footer"/>
      <w:rPr>
        <w:rStyle w:val="PlaceholderText"/>
        <w:color w:val="0F2D52" w:themeColor="text2"/>
      </w:rPr>
    </w:pPr>
    <w:r>
      <w:rPr>
        <w:noProof/>
        <w:lang w:val="en-AU" w:eastAsia="en-AU"/>
      </w:rPr>
      <mc:AlternateContent>
        <mc:Choice Requires="wps">
          <w:drawing>
            <wp:anchor distT="0" distB="0" distL="114300" distR="114300" simplePos="0" relativeHeight="251661312" behindDoc="0" locked="1" layoutInCell="0" allowOverlap="0" wp14:anchorId="3F09500B" wp14:editId="63508651">
              <wp:simplePos x="0" y="0"/>
              <wp:positionH relativeFrom="column">
                <wp:posOffset>0</wp:posOffset>
              </wp:positionH>
              <wp:positionV relativeFrom="page">
                <wp:posOffset>864235</wp:posOffset>
              </wp:positionV>
              <wp:extent cx="6310265" cy="0"/>
              <wp:effectExtent l="0" t="0" r="22860" b="19050"/>
              <wp:wrapNone/>
              <wp:docPr id="3" name="Straight Connector 3"/>
              <wp:cNvGraphicFramePr/>
              <a:graphic xmlns:a="http://schemas.openxmlformats.org/drawingml/2006/main">
                <a:graphicData uri="http://schemas.microsoft.com/office/word/2010/wordprocessingShape">
                  <wps:wsp>
                    <wps:cNvCnPr/>
                    <wps:spPr>
                      <a:xfrm>
                        <a:off x="0" y="0"/>
                        <a:ext cx="6310265" cy="0"/>
                      </a:xfrm>
                      <a:prstGeom prst="line">
                        <a:avLst/>
                      </a:prstGeom>
                      <a:ln w="6350">
                        <a:solidFill>
                          <a:schemeClr val="tx2"/>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100000</wp14:pctWidth>
              </wp14:sizeRelH>
            </wp:anchor>
          </w:drawing>
        </mc:Choice>
        <mc:Fallback>
          <w:pict>
            <v:line w14:anchorId="1443C4B4" id="Straight Connector 3" o:spid="_x0000_s1026" style="position:absolute;z-index:251661312;visibility:visible;mso-wrap-style:square;mso-width-percent:1000;mso-wrap-distance-left:9pt;mso-wrap-distance-top:0;mso-wrap-distance-right:9pt;mso-wrap-distance-bottom:0;mso-position-horizontal:absolute;mso-position-horizontal-relative:text;mso-position-vertical:absolute;mso-position-vertical-relative:page;mso-width-percent:1000;mso-width-relative:margin" from="0,68.05pt" to="496.8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" o:allowincell="f" o:allowoverlap="f" strokecolor="#0f2d52 [3215]" strokeweight=".5pt">
              <w10:wrap anchory="page"/>
              <w10:anchorlock/>
            </v:line>
          </w:pict>
        </mc:Fallback>
      </mc:AlternateContent>
    </w:r>
  </w:p>
  <w:p w14:paraId="02B62129" w14:textId="77777777" w:rsidR="00E227C1" w:rsidRDefault="00E227C1" w:rsidP="00A63479">
    <w:pPr>
      <w:pStyle w:val="Footer"/>
      <w:rPr>
        <w:rStyle w:val="PlaceholderText"/>
        <w:color w:val="0F2D52" w:themeColor="text2"/>
      </w:rPr>
    </w:pPr>
    <w:r>
      <w:rPr>
        <w:noProof/>
        <w:lang w:val="en-AU" w:eastAsia="en-AU"/>
      </w:rPr>
      <w:drawing>
        <wp:anchor distT="0" distB="0" distL="114300" distR="114300" simplePos="0" relativeHeight="251659264" behindDoc="1" locked="1" layoutInCell="0" allowOverlap="0" wp14:anchorId="233DC6D7" wp14:editId="1401F1C9">
          <wp:simplePos x="0" y="0"/>
          <wp:positionH relativeFrom="column">
            <wp:align>right</wp:align>
          </wp:positionH>
          <wp:positionV relativeFrom="page">
            <wp:posOffset>396240</wp:posOffset>
          </wp:positionV>
          <wp:extent cx="900000" cy="356400"/>
          <wp:effectExtent l="0" t="0" r="0" b="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VR NAVY logo (no ta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0000" cy="356400"/>
                  </a:xfrm>
                  <a:prstGeom prst="rect">
                    <a:avLst/>
                  </a:prstGeom>
                </pic:spPr>
              </pic:pic>
            </a:graphicData>
          </a:graphic>
          <wp14:sizeRelH relativeFrom="page">
            <wp14:pctWidth>0</wp14:pctWidth>
          </wp14:sizeRelH>
          <wp14:sizeRelV relativeFrom="page">
            <wp14:pctHeight>0</wp14:pctHeight>
          </wp14:sizeRelV>
        </wp:anchor>
      </w:drawing>
    </w:r>
  </w:p>
  <w:p w14:paraId="2022C3EA" w14:textId="59605960" w:rsidR="00E227C1" w:rsidRPr="009276AE" w:rsidRDefault="00E22DC1" w:rsidP="00A63479">
    <w:pPr>
      <w:pStyle w:val="Footer"/>
    </w:pPr>
    <w:r>
      <w:rPr>
        <w:rStyle w:val="PlaceholderText"/>
        <w:color w:val="0F2D52" w:themeColor="text2"/>
      </w:rPr>
      <w:t xml:space="preserve">Lifting productivity at Australia’s container ports: between water, </w:t>
    </w:r>
    <w:proofErr w:type="gramStart"/>
    <w:r>
      <w:rPr>
        <w:rStyle w:val="PlaceholderText"/>
        <w:color w:val="0F2D52" w:themeColor="text2"/>
      </w:rPr>
      <w:t>wharf</w:t>
    </w:r>
    <w:proofErr w:type="gramEnd"/>
    <w:r>
      <w:rPr>
        <w:rStyle w:val="PlaceholderText"/>
        <w:color w:val="0F2D52" w:themeColor="text2"/>
      </w:rPr>
      <w:t xml:space="preserve"> and warehouse</w:t>
    </w:r>
    <w:r w:rsidR="00E227C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1664F"/>
    <w:multiLevelType w:val="hybridMultilevel"/>
    <w:tmpl w:val="F94454FA"/>
    <w:lvl w:ilvl="0" w:tplc="0C090001">
      <w:start w:val="1"/>
      <w:numFmt w:val="bullet"/>
      <w:lvlText w:val=""/>
      <w:lvlJc w:val="left"/>
      <w:pPr>
        <w:ind w:left="720" w:hanging="360"/>
      </w:pPr>
      <w:rPr>
        <w:rFonts w:ascii="Symbol" w:hAnsi="Symbol" w:hint="default"/>
      </w:rPr>
    </w:lvl>
    <w:lvl w:ilvl="1" w:tplc="6B1C7696">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BA7E2D"/>
    <w:multiLevelType w:val="hybridMultilevel"/>
    <w:tmpl w:val="4606E59E"/>
    <w:lvl w:ilvl="0" w:tplc="9E5CB820">
      <w:start w:val="1"/>
      <w:numFmt w:val="bullet"/>
      <w:pStyle w:val="Bullet1"/>
      <w:lvlText w:val=""/>
      <w:lvlJc w:val="left"/>
      <w:pPr>
        <w:ind w:left="2916" w:hanging="360"/>
      </w:pPr>
      <w:rPr>
        <w:rFonts w:ascii="Symbol" w:hAnsi="Symbol" w:hint="default"/>
        <w:b w:val="0"/>
        <w:i w:val="0"/>
        <w:sz w:val="18"/>
      </w:rPr>
    </w:lvl>
    <w:lvl w:ilvl="1" w:tplc="D1A2DCCC">
      <w:start w:val="1"/>
      <w:numFmt w:val="bullet"/>
      <w:lvlText w:val="o"/>
      <w:lvlJc w:val="left"/>
      <w:pPr>
        <w:ind w:left="4716" w:hanging="360"/>
      </w:pPr>
      <w:rPr>
        <w:rFonts w:ascii="Courier New" w:hAnsi="Courier New" w:cs="Courier New" w:hint="default"/>
      </w:rPr>
    </w:lvl>
    <w:lvl w:ilvl="2" w:tplc="0C090005" w:tentative="1">
      <w:start w:val="1"/>
      <w:numFmt w:val="bullet"/>
      <w:lvlText w:val=""/>
      <w:lvlJc w:val="left"/>
      <w:pPr>
        <w:ind w:left="5436" w:hanging="360"/>
      </w:pPr>
      <w:rPr>
        <w:rFonts w:ascii="Wingdings" w:hAnsi="Wingdings" w:hint="default"/>
      </w:rPr>
    </w:lvl>
    <w:lvl w:ilvl="3" w:tplc="0C090001" w:tentative="1">
      <w:start w:val="1"/>
      <w:numFmt w:val="bullet"/>
      <w:lvlText w:val=""/>
      <w:lvlJc w:val="left"/>
      <w:pPr>
        <w:ind w:left="6156" w:hanging="360"/>
      </w:pPr>
      <w:rPr>
        <w:rFonts w:ascii="Symbol" w:hAnsi="Symbol" w:hint="default"/>
      </w:rPr>
    </w:lvl>
    <w:lvl w:ilvl="4" w:tplc="0C090003" w:tentative="1">
      <w:start w:val="1"/>
      <w:numFmt w:val="bullet"/>
      <w:lvlText w:val="o"/>
      <w:lvlJc w:val="left"/>
      <w:pPr>
        <w:ind w:left="6876" w:hanging="360"/>
      </w:pPr>
      <w:rPr>
        <w:rFonts w:ascii="Courier New" w:hAnsi="Courier New" w:cs="Courier New" w:hint="default"/>
      </w:rPr>
    </w:lvl>
    <w:lvl w:ilvl="5" w:tplc="0C090005" w:tentative="1">
      <w:start w:val="1"/>
      <w:numFmt w:val="bullet"/>
      <w:lvlText w:val=""/>
      <w:lvlJc w:val="left"/>
      <w:pPr>
        <w:ind w:left="7596" w:hanging="360"/>
      </w:pPr>
      <w:rPr>
        <w:rFonts w:ascii="Wingdings" w:hAnsi="Wingdings" w:hint="default"/>
      </w:rPr>
    </w:lvl>
    <w:lvl w:ilvl="6" w:tplc="0C090001" w:tentative="1">
      <w:start w:val="1"/>
      <w:numFmt w:val="bullet"/>
      <w:lvlText w:val=""/>
      <w:lvlJc w:val="left"/>
      <w:pPr>
        <w:ind w:left="8316" w:hanging="360"/>
      </w:pPr>
      <w:rPr>
        <w:rFonts w:ascii="Symbol" w:hAnsi="Symbol" w:hint="default"/>
      </w:rPr>
    </w:lvl>
    <w:lvl w:ilvl="7" w:tplc="0C090003" w:tentative="1">
      <w:start w:val="1"/>
      <w:numFmt w:val="bullet"/>
      <w:lvlText w:val="o"/>
      <w:lvlJc w:val="left"/>
      <w:pPr>
        <w:ind w:left="9036" w:hanging="360"/>
      </w:pPr>
      <w:rPr>
        <w:rFonts w:ascii="Courier New" w:hAnsi="Courier New" w:cs="Courier New" w:hint="default"/>
      </w:rPr>
    </w:lvl>
    <w:lvl w:ilvl="8" w:tplc="0C090005" w:tentative="1">
      <w:start w:val="1"/>
      <w:numFmt w:val="bullet"/>
      <w:lvlText w:val=""/>
      <w:lvlJc w:val="left"/>
      <w:pPr>
        <w:ind w:left="9756" w:hanging="360"/>
      </w:pPr>
      <w:rPr>
        <w:rFonts w:ascii="Wingdings" w:hAnsi="Wingdings" w:hint="default"/>
      </w:rPr>
    </w:lvl>
  </w:abstractNum>
  <w:abstractNum w:abstractNumId="2" w15:restartNumberingAfterBreak="0">
    <w:nsid w:val="0E3372C4"/>
    <w:multiLevelType w:val="hybridMultilevel"/>
    <w:tmpl w:val="37E26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CB27E9"/>
    <w:multiLevelType w:val="hybridMultilevel"/>
    <w:tmpl w:val="A0C2C28C"/>
    <w:lvl w:ilvl="0" w:tplc="EC7CD028">
      <w:start w:val="1"/>
      <w:numFmt w:val="bullet"/>
      <w:pStyle w:val="Table10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FA3C2C"/>
    <w:multiLevelType w:val="hybridMultilevel"/>
    <w:tmpl w:val="42D2DD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447980"/>
    <w:multiLevelType w:val="multilevel"/>
    <w:tmpl w:val="828A51F4"/>
    <w:styleLink w:val="CodeofPractice"/>
    <w:lvl w:ilvl="0">
      <w:start w:val="1"/>
      <w:numFmt w:val="decimal"/>
      <w:lvlText w:val="%1."/>
      <w:lvlJc w:val="left"/>
      <w:pPr>
        <w:ind w:left="567" w:hanging="567"/>
      </w:pPr>
      <w:rPr>
        <w:rFonts w:ascii="Cambria" w:hAnsi="Cambria" w:hint="default"/>
        <w:caps/>
        <w:color w:val="0B213D" w:themeColor="text2" w:themeShade="BF"/>
        <w:sz w:val="32"/>
      </w:rPr>
    </w:lvl>
    <w:lvl w:ilvl="1">
      <w:start w:val="1"/>
      <w:numFmt w:val="decimal"/>
      <w:lvlText w:val="%1.%2"/>
      <w:lvlJc w:val="left"/>
      <w:pPr>
        <w:ind w:left="851" w:hanging="567"/>
      </w:pPr>
      <w:rPr>
        <w:rFonts w:ascii="Calibri" w:hAnsi="Calibri" w:hint="default"/>
        <w:b/>
        <w:i w:val="0"/>
        <w:color w:val="2D79D8" w:themeColor="text2" w:themeTint="99"/>
        <w:sz w:val="28"/>
      </w:rPr>
    </w:lvl>
    <w:lvl w:ilvl="2">
      <w:start w:val="1"/>
      <w:numFmt w:val="decimal"/>
      <w:lvlText w:val="%2.%3"/>
      <w:lvlJc w:val="left"/>
      <w:pPr>
        <w:ind w:left="1135" w:hanging="567"/>
      </w:pPr>
      <w:rPr>
        <w:rFonts w:ascii="Calibri Light" w:hAnsi="Calibri Light" w:hint="default"/>
        <w:b/>
        <w:i w:val="0"/>
        <w:color w:val="2D79D8" w:themeColor="text2" w:themeTint="99"/>
        <w:sz w:val="24"/>
      </w:rPr>
    </w:lvl>
    <w:lvl w:ilvl="3">
      <w:start w:val="1"/>
      <w:numFmt w:val="bullet"/>
      <w:lvlRestart w:val="0"/>
      <w:lvlText w:val=""/>
      <w:lvlJc w:val="left"/>
      <w:pPr>
        <w:ind w:left="1419" w:hanging="567"/>
      </w:pPr>
      <w:rPr>
        <w:rFonts w:ascii="Wingdings" w:hAnsi="Wingdings" w:hint="default"/>
        <w:sz w:val="16"/>
      </w:rPr>
    </w:lvl>
    <w:lvl w:ilvl="4">
      <w:start w:val="1"/>
      <w:numFmt w:val="lowerLetter"/>
      <w:lvlText w:val="(%5)"/>
      <w:lvlJc w:val="left"/>
      <w:pPr>
        <w:ind w:left="1703" w:hanging="567"/>
      </w:pPr>
      <w:rPr>
        <w:rFonts w:hint="default"/>
      </w:rPr>
    </w:lvl>
    <w:lvl w:ilvl="5">
      <w:start w:val="1"/>
      <w:numFmt w:val="lowerRoman"/>
      <w:lvlText w:val="(%6)"/>
      <w:lvlJc w:val="left"/>
      <w:pPr>
        <w:ind w:left="1987" w:hanging="567"/>
      </w:pPr>
      <w:rPr>
        <w:rFonts w:hint="default"/>
      </w:rPr>
    </w:lvl>
    <w:lvl w:ilvl="6">
      <w:start w:val="1"/>
      <w:numFmt w:val="decimal"/>
      <w:lvlText w:val="%7."/>
      <w:lvlJc w:val="left"/>
      <w:pPr>
        <w:ind w:left="2271" w:hanging="567"/>
      </w:pPr>
      <w:rPr>
        <w:rFonts w:hint="default"/>
      </w:rPr>
    </w:lvl>
    <w:lvl w:ilvl="7">
      <w:start w:val="1"/>
      <w:numFmt w:val="lowerLetter"/>
      <w:lvlText w:val="%8."/>
      <w:lvlJc w:val="left"/>
      <w:pPr>
        <w:ind w:left="2555" w:hanging="567"/>
      </w:pPr>
      <w:rPr>
        <w:rFonts w:hint="default"/>
      </w:rPr>
    </w:lvl>
    <w:lvl w:ilvl="8">
      <w:start w:val="1"/>
      <w:numFmt w:val="lowerRoman"/>
      <w:lvlText w:val="%9."/>
      <w:lvlJc w:val="left"/>
      <w:pPr>
        <w:ind w:left="2839" w:hanging="567"/>
      </w:pPr>
      <w:rPr>
        <w:rFonts w:hint="default"/>
      </w:rPr>
    </w:lvl>
  </w:abstractNum>
  <w:abstractNum w:abstractNumId="6" w15:restartNumberingAfterBreak="0">
    <w:nsid w:val="1DF31CC1"/>
    <w:multiLevelType w:val="hybridMultilevel"/>
    <w:tmpl w:val="9A3A5380"/>
    <w:lvl w:ilvl="0" w:tplc="C794ED96">
      <w:start w:val="1"/>
      <w:numFmt w:val="bullet"/>
      <w:pStyle w:val="Note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3C6965"/>
    <w:multiLevelType w:val="hybridMultilevel"/>
    <w:tmpl w:val="EF02CD5C"/>
    <w:lvl w:ilvl="0" w:tplc="BA06F8CA">
      <w:start w:val="1"/>
      <w:numFmt w:val="decimal"/>
      <w:pStyle w:val="Tablenumber1"/>
      <w:lvlText w:val="%1."/>
      <w:lvlJc w:val="left"/>
      <w:pPr>
        <w:ind w:left="720" w:hanging="360"/>
      </w:pPr>
    </w:lvl>
    <w:lvl w:ilvl="1" w:tplc="C5CCB128">
      <w:start w:val="1"/>
      <w:numFmt w:val="lowerLetter"/>
      <w:pStyle w:val="Tablenumber2"/>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92A784E"/>
    <w:multiLevelType w:val="hybridMultilevel"/>
    <w:tmpl w:val="3668AB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BD54170"/>
    <w:multiLevelType w:val="hybridMultilevel"/>
    <w:tmpl w:val="2E863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C52D15"/>
    <w:multiLevelType w:val="hybridMultilevel"/>
    <w:tmpl w:val="FA1A78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FC26C28"/>
    <w:multiLevelType w:val="hybridMultilevel"/>
    <w:tmpl w:val="1548A7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FD2103C"/>
    <w:multiLevelType w:val="hybridMultilevel"/>
    <w:tmpl w:val="10AE58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0622CD0"/>
    <w:multiLevelType w:val="multilevel"/>
    <w:tmpl w:val="4CAAAC98"/>
    <w:styleLink w:val="Tablenumbering"/>
    <w:lvl w:ilvl="0">
      <w:start w:val="1"/>
      <w:numFmt w:val="decimal"/>
      <w:lvlText w:val="%1."/>
      <w:lvlJc w:val="left"/>
      <w:pPr>
        <w:tabs>
          <w:tab w:val="num" w:pos="567"/>
        </w:tabs>
        <w:ind w:left="567" w:hanging="283"/>
      </w:pPr>
      <w:rPr>
        <w:rFonts w:ascii="Trebuchet MS" w:hAnsi="Trebuchet MS" w:hint="default"/>
        <w:sz w:val="20"/>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44B63929"/>
    <w:multiLevelType w:val="hybridMultilevel"/>
    <w:tmpl w:val="A04E5056"/>
    <w:lvl w:ilvl="0" w:tplc="864EFA9C">
      <w:start w:val="1"/>
      <w:numFmt w:val="bullet"/>
      <w:pStyle w:val="Bullet2"/>
      <w:lvlText w:val="o"/>
      <w:lvlJc w:val="left"/>
      <w:pPr>
        <w:ind w:left="1004" w:hanging="360"/>
      </w:pPr>
      <w:rPr>
        <w:rFonts w:ascii="Courier New" w:hAnsi="Courier New" w:hint="default"/>
        <w:b w:val="0"/>
        <w:i w:val="0"/>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452E3239"/>
    <w:multiLevelType w:val="hybridMultilevel"/>
    <w:tmpl w:val="AF107D6C"/>
    <w:lvl w:ilvl="0" w:tplc="263632A2">
      <w:start w:val="1"/>
      <w:numFmt w:val="bullet"/>
      <w:pStyle w:val="Table09bullet"/>
      <w:lvlText w:val=""/>
      <w:lvlJc w:val="left"/>
      <w:pPr>
        <w:ind w:left="198" w:hanging="141"/>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5C85749"/>
    <w:multiLevelType w:val="hybridMultilevel"/>
    <w:tmpl w:val="346453B0"/>
    <w:lvl w:ilvl="0" w:tplc="B0D0AFDA">
      <w:start w:val="1"/>
      <w:numFmt w:val="bullet"/>
      <w:pStyle w:val="Tablebullet1"/>
      <w:lvlText w:val=""/>
      <w:lvlJc w:val="left"/>
      <w:pPr>
        <w:ind w:left="720" w:hanging="360"/>
      </w:pPr>
      <w:rPr>
        <w:rFonts w:ascii="Symbol" w:hAnsi="Symbol" w:hint="default"/>
      </w:rPr>
    </w:lvl>
    <w:lvl w:ilvl="1" w:tplc="DCA2D244">
      <w:start w:val="1"/>
      <w:numFmt w:val="bullet"/>
      <w:pStyle w:val="Table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F040819"/>
    <w:multiLevelType w:val="hybridMultilevel"/>
    <w:tmpl w:val="C882D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F386B94"/>
    <w:multiLevelType w:val="hybridMultilevel"/>
    <w:tmpl w:val="62D86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BF5A1D"/>
    <w:multiLevelType w:val="hybridMultilevel"/>
    <w:tmpl w:val="9ED86576"/>
    <w:lvl w:ilvl="0" w:tplc="81E485CE">
      <w:start w:val="1"/>
      <w:numFmt w:val="bullet"/>
      <w:pStyle w:val="Table09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80504B5"/>
    <w:multiLevelType w:val="hybridMultilevel"/>
    <w:tmpl w:val="99609AD6"/>
    <w:lvl w:ilvl="0" w:tplc="FC9C9BC0">
      <w:numFmt w:val="bullet"/>
      <w:pStyle w:val="Table10bullet2"/>
      <w:lvlText w:val="-"/>
      <w:lvlJc w:val="left"/>
      <w:pPr>
        <w:ind w:left="720" w:hanging="360"/>
      </w:pPr>
      <w:rPr>
        <w:rFonts w:ascii="Calibri" w:eastAsia="Cambria"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9B41B9A"/>
    <w:multiLevelType w:val="hybridMultilevel"/>
    <w:tmpl w:val="7630A61C"/>
    <w:lvl w:ilvl="0" w:tplc="BE1817BC">
      <w:start w:val="1"/>
      <w:numFmt w:val="decimal"/>
      <w:pStyle w:val="Number1"/>
      <w:lvlText w:val="%1."/>
      <w:lvlJc w:val="left"/>
      <w:pPr>
        <w:ind w:left="644" w:hanging="360"/>
      </w:pPr>
    </w:lvl>
    <w:lvl w:ilvl="1" w:tplc="0C090017">
      <w:start w:val="1"/>
      <w:numFmt w:val="lowerLetter"/>
      <w:pStyle w:val="Number2"/>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2" w15:restartNumberingAfterBreak="0">
    <w:nsid w:val="66D9526A"/>
    <w:multiLevelType w:val="hybridMultilevel"/>
    <w:tmpl w:val="E86E8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75D2310"/>
    <w:multiLevelType w:val="hybridMultilevel"/>
    <w:tmpl w:val="B5CCE726"/>
    <w:lvl w:ilvl="0" w:tplc="3FDE744E">
      <w:start w:val="1"/>
      <w:numFmt w:val="bullet"/>
      <w:pStyle w:val="noteindentbullet"/>
      <w:lvlText w:val=""/>
      <w:lvlJc w:val="left"/>
      <w:pPr>
        <w:ind w:left="1004" w:hanging="360"/>
      </w:pPr>
      <w:rPr>
        <w:rFonts w:ascii="Symbol" w:hAnsi="Symbol" w:hint="default"/>
        <w:sz w:val="16"/>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4" w15:restartNumberingAfterBreak="0">
    <w:nsid w:val="6E504FEC"/>
    <w:multiLevelType w:val="hybridMultilevel"/>
    <w:tmpl w:val="9FE45544"/>
    <w:lvl w:ilvl="0" w:tplc="A2F4E2BC">
      <w:start w:val="1"/>
      <w:numFmt w:val="bullet"/>
      <w:pStyle w:val="Table08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8FC4063"/>
    <w:multiLevelType w:val="hybridMultilevel"/>
    <w:tmpl w:val="CEF66D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ABB21B8"/>
    <w:multiLevelType w:val="hybridMultilevel"/>
    <w:tmpl w:val="8E943F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84840943">
    <w:abstractNumId w:val="21"/>
  </w:num>
  <w:num w:numId="2" w16cid:durableId="2127849067">
    <w:abstractNumId w:val="13"/>
  </w:num>
  <w:num w:numId="3" w16cid:durableId="1115296334">
    <w:abstractNumId w:val="1"/>
  </w:num>
  <w:num w:numId="4" w16cid:durableId="1663387911">
    <w:abstractNumId w:val="14"/>
  </w:num>
  <w:num w:numId="5" w16cid:durableId="17590276">
    <w:abstractNumId w:val="6"/>
  </w:num>
  <w:num w:numId="6" w16cid:durableId="504515409">
    <w:abstractNumId w:val="23"/>
  </w:num>
  <w:num w:numId="7" w16cid:durableId="719479040">
    <w:abstractNumId w:val="21"/>
  </w:num>
  <w:num w:numId="8" w16cid:durableId="1141771503">
    <w:abstractNumId w:val="16"/>
  </w:num>
  <w:num w:numId="9" w16cid:durableId="2051496725">
    <w:abstractNumId w:val="15"/>
  </w:num>
  <w:num w:numId="10" w16cid:durableId="869953267">
    <w:abstractNumId w:val="24"/>
  </w:num>
  <w:num w:numId="11" w16cid:durableId="1020737385">
    <w:abstractNumId w:val="19"/>
  </w:num>
  <w:num w:numId="12" w16cid:durableId="980618285">
    <w:abstractNumId w:val="3"/>
  </w:num>
  <w:num w:numId="13" w16cid:durableId="166790892">
    <w:abstractNumId w:val="20"/>
  </w:num>
  <w:num w:numId="14" w16cid:durableId="506940663">
    <w:abstractNumId w:val="7"/>
  </w:num>
  <w:num w:numId="15" w16cid:durableId="1576551472">
    <w:abstractNumId w:val="18"/>
  </w:num>
  <w:num w:numId="16" w16cid:durableId="380982754">
    <w:abstractNumId w:val="17"/>
  </w:num>
  <w:num w:numId="17" w16cid:durableId="752510396">
    <w:abstractNumId w:val="0"/>
  </w:num>
  <w:num w:numId="18" w16cid:durableId="13768169">
    <w:abstractNumId w:val="22"/>
  </w:num>
  <w:num w:numId="19" w16cid:durableId="1754858621">
    <w:abstractNumId w:val="9"/>
  </w:num>
  <w:num w:numId="20" w16cid:durableId="790055370">
    <w:abstractNumId w:val="2"/>
  </w:num>
  <w:num w:numId="21" w16cid:durableId="1451823556">
    <w:abstractNumId w:val="10"/>
  </w:num>
  <w:num w:numId="22" w16cid:durableId="1480342382">
    <w:abstractNumId w:val="26"/>
  </w:num>
  <w:num w:numId="23" w16cid:durableId="1406758523">
    <w:abstractNumId w:val="8"/>
  </w:num>
  <w:num w:numId="24" w16cid:durableId="661664157">
    <w:abstractNumId w:val="11"/>
  </w:num>
  <w:num w:numId="25" w16cid:durableId="928539909">
    <w:abstractNumId w:val="5"/>
  </w:num>
  <w:num w:numId="26" w16cid:durableId="1760710997">
    <w:abstractNumId w:val="25"/>
  </w:num>
  <w:num w:numId="27" w16cid:durableId="625087296">
    <w:abstractNumId w:val="4"/>
  </w:num>
  <w:num w:numId="28" w16cid:durableId="1383290652">
    <w:abstractNumId w:val="12"/>
  </w:num>
  <w:num w:numId="29" w16cid:durableId="1289966472">
    <w:abstractNumId w:val="1"/>
  </w:num>
  <w:num w:numId="30" w16cid:durableId="875238133">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efaultTableStyle w:val="NHVRTable1"/>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032D"/>
    <w:rsid w:val="0000009E"/>
    <w:rsid w:val="00001C87"/>
    <w:rsid w:val="000023ED"/>
    <w:rsid w:val="00003170"/>
    <w:rsid w:val="00003661"/>
    <w:rsid w:val="00004915"/>
    <w:rsid w:val="00004A55"/>
    <w:rsid w:val="00004AE6"/>
    <w:rsid w:val="0000588E"/>
    <w:rsid w:val="00005FDE"/>
    <w:rsid w:val="000065B3"/>
    <w:rsid w:val="000079D6"/>
    <w:rsid w:val="00007B6C"/>
    <w:rsid w:val="000108D3"/>
    <w:rsid w:val="0001199E"/>
    <w:rsid w:val="0001353B"/>
    <w:rsid w:val="0001357B"/>
    <w:rsid w:val="00013684"/>
    <w:rsid w:val="00013C02"/>
    <w:rsid w:val="00014622"/>
    <w:rsid w:val="000148D4"/>
    <w:rsid w:val="00015B58"/>
    <w:rsid w:val="00015BC3"/>
    <w:rsid w:val="0001707F"/>
    <w:rsid w:val="000201F2"/>
    <w:rsid w:val="00020369"/>
    <w:rsid w:val="000208B9"/>
    <w:rsid w:val="0002184D"/>
    <w:rsid w:val="00022161"/>
    <w:rsid w:val="00022EAB"/>
    <w:rsid w:val="000233B1"/>
    <w:rsid w:val="0002398B"/>
    <w:rsid w:val="00023A83"/>
    <w:rsid w:val="00023D72"/>
    <w:rsid w:val="000241F7"/>
    <w:rsid w:val="0002499C"/>
    <w:rsid w:val="00025575"/>
    <w:rsid w:val="000256BD"/>
    <w:rsid w:val="000259B1"/>
    <w:rsid w:val="000268CF"/>
    <w:rsid w:val="00026C49"/>
    <w:rsid w:val="000270C9"/>
    <w:rsid w:val="00027890"/>
    <w:rsid w:val="00030B70"/>
    <w:rsid w:val="00030CEA"/>
    <w:rsid w:val="000317D8"/>
    <w:rsid w:val="00032E2B"/>
    <w:rsid w:val="00033E41"/>
    <w:rsid w:val="0003492A"/>
    <w:rsid w:val="00034B5E"/>
    <w:rsid w:val="00034B83"/>
    <w:rsid w:val="00035F50"/>
    <w:rsid w:val="00035F8C"/>
    <w:rsid w:val="000363F8"/>
    <w:rsid w:val="000367FE"/>
    <w:rsid w:val="00036948"/>
    <w:rsid w:val="000418DB"/>
    <w:rsid w:val="0004228A"/>
    <w:rsid w:val="00042388"/>
    <w:rsid w:val="000424A0"/>
    <w:rsid w:val="00042626"/>
    <w:rsid w:val="00042B55"/>
    <w:rsid w:val="00043443"/>
    <w:rsid w:val="00043E06"/>
    <w:rsid w:val="000448B4"/>
    <w:rsid w:val="00044C45"/>
    <w:rsid w:val="000451BE"/>
    <w:rsid w:val="000460C1"/>
    <w:rsid w:val="00047FBB"/>
    <w:rsid w:val="00052A38"/>
    <w:rsid w:val="00052F10"/>
    <w:rsid w:val="00053349"/>
    <w:rsid w:val="000547DE"/>
    <w:rsid w:val="00055453"/>
    <w:rsid w:val="0005576D"/>
    <w:rsid w:val="000560D0"/>
    <w:rsid w:val="00056536"/>
    <w:rsid w:val="0005694E"/>
    <w:rsid w:val="00056F62"/>
    <w:rsid w:val="000576A4"/>
    <w:rsid w:val="00057962"/>
    <w:rsid w:val="0006007C"/>
    <w:rsid w:val="00061201"/>
    <w:rsid w:val="000615A1"/>
    <w:rsid w:val="00062F36"/>
    <w:rsid w:val="000638CD"/>
    <w:rsid w:val="00063A5F"/>
    <w:rsid w:val="00064062"/>
    <w:rsid w:val="00066761"/>
    <w:rsid w:val="00067C31"/>
    <w:rsid w:val="00072F76"/>
    <w:rsid w:val="00073670"/>
    <w:rsid w:val="00073985"/>
    <w:rsid w:val="00073FD5"/>
    <w:rsid w:val="00077757"/>
    <w:rsid w:val="00077842"/>
    <w:rsid w:val="00080106"/>
    <w:rsid w:val="000804CB"/>
    <w:rsid w:val="00080622"/>
    <w:rsid w:val="000816D9"/>
    <w:rsid w:val="00082376"/>
    <w:rsid w:val="00082C34"/>
    <w:rsid w:val="000833C6"/>
    <w:rsid w:val="00085E09"/>
    <w:rsid w:val="0008616A"/>
    <w:rsid w:val="000868A3"/>
    <w:rsid w:val="0008750A"/>
    <w:rsid w:val="00087CBC"/>
    <w:rsid w:val="000916FD"/>
    <w:rsid w:val="00091BEA"/>
    <w:rsid w:val="00093F0D"/>
    <w:rsid w:val="000945EC"/>
    <w:rsid w:val="0009638F"/>
    <w:rsid w:val="0009735E"/>
    <w:rsid w:val="000974B6"/>
    <w:rsid w:val="000979E7"/>
    <w:rsid w:val="000A0261"/>
    <w:rsid w:val="000A031D"/>
    <w:rsid w:val="000A2305"/>
    <w:rsid w:val="000A2E08"/>
    <w:rsid w:val="000A3E17"/>
    <w:rsid w:val="000A41AE"/>
    <w:rsid w:val="000A5162"/>
    <w:rsid w:val="000A7409"/>
    <w:rsid w:val="000A7558"/>
    <w:rsid w:val="000A7F76"/>
    <w:rsid w:val="000B176B"/>
    <w:rsid w:val="000B17D7"/>
    <w:rsid w:val="000B2EF1"/>
    <w:rsid w:val="000B2F7C"/>
    <w:rsid w:val="000B441D"/>
    <w:rsid w:val="000B512D"/>
    <w:rsid w:val="000B7903"/>
    <w:rsid w:val="000C0802"/>
    <w:rsid w:val="000C0D4D"/>
    <w:rsid w:val="000C107E"/>
    <w:rsid w:val="000C1240"/>
    <w:rsid w:val="000C1E2C"/>
    <w:rsid w:val="000C1F18"/>
    <w:rsid w:val="000C26B4"/>
    <w:rsid w:val="000C2D4C"/>
    <w:rsid w:val="000C3B4E"/>
    <w:rsid w:val="000C3B59"/>
    <w:rsid w:val="000C3E1C"/>
    <w:rsid w:val="000C4635"/>
    <w:rsid w:val="000C5202"/>
    <w:rsid w:val="000C65BB"/>
    <w:rsid w:val="000C6775"/>
    <w:rsid w:val="000C7E3E"/>
    <w:rsid w:val="000D08E8"/>
    <w:rsid w:val="000D0D69"/>
    <w:rsid w:val="000D114B"/>
    <w:rsid w:val="000D1453"/>
    <w:rsid w:val="000D2088"/>
    <w:rsid w:val="000D3971"/>
    <w:rsid w:val="000D4840"/>
    <w:rsid w:val="000D4A91"/>
    <w:rsid w:val="000D4ECA"/>
    <w:rsid w:val="000D518F"/>
    <w:rsid w:val="000D565F"/>
    <w:rsid w:val="000D61C8"/>
    <w:rsid w:val="000D648D"/>
    <w:rsid w:val="000D6F76"/>
    <w:rsid w:val="000D7057"/>
    <w:rsid w:val="000D7DC6"/>
    <w:rsid w:val="000E001A"/>
    <w:rsid w:val="000E11A4"/>
    <w:rsid w:val="000E3488"/>
    <w:rsid w:val="000E4B17"/>
    <w:rsid w:val="000E4DD6"/>
    <w:rsid w:val="000E4DE9"/>
    <w:rsid w:val="000E52B2"/>
    <w:rsid w:val="000E552F"/>
    <w:rsid w:val="000E6600"/>
    <w:rsid w:val="000E772B"/>
    <w:rsid w:val="000E7949"/>
    <w:rsid w:val="000F1A1B"/>
    <w:rsid w:val="000F2023"/>
    <w:rsid w:val="000F20C8"/>
    <w:rsid w:val="000F20CE"/>
    <w:rsid w:val="000F21C5"/>
    <w:rsid w:val="000F3085"/>
    <w:rsid w:val="000F34B2"/>
    <w:rsid w:val="000F674E"/>
    <w:rsid w:val="000F7CCF"/>
    <w:rsid w:val="000F7D02"/>
    <w:rsid w:val="00100C93"/>
    <w:rsid w:val="0010170D"/>
    <w:rsid w:val="00101718"/>
    <w:rsid w:val="00101D54"/>
    <w:rsid w:val="00102812"/>
    <w:rsid w:val="00103981"/>
    <w:rsid w:val="00103A4F"/>
    <w:rsid w:val="00105AB1"/>
    <w:rsid w:val="00105C0C"/>
    <w:rsid w:val="001061DB"/>
    <w:rsid w:val="001069EC"/>
    <w:rsid w:val="0010724F"/>
    <w:rsid w:val="00110394"/>
    <w:rsid w:val="001103EC"/>
    <w:rsid w:val="00110540"/>
    <w:rsid w:val="0011078C"/>
    <w:rsid w:val="00110818"/>
    <w:rsid w:val="00111D0B"/>
    <w:rsid w:val="00111EAA"/>
    <w:rsid w:val="00112623"/>
    <w:rsid w:val="001133CE"/>
    <w:rsid w:val="00114312"/>
    <w:rsid w:val="001149FC"/>
    <w:rsid w:val="00114B7B"/>
    <w:rsid w:val="00117324"/>
    <w:rsid w:val="0012033B"/>
    <w:rsid w:val="00120A10"/>
    <w:rsid w:val="001216F6"/>
    <w:rsid w:val="001232A0"/>
    <w:rsid w:val="00123C78"/>
    <w:rsid w:val="001244F4"/>
    <w:rsid w:val="00125D14"/>
    <w:rsid w:val="00125F8D"/>
    <w:rsid w:val="001268AF"/>
    <w:rsid w:val="00127B28"/>
    <w:rsid w:val="0013032D"/>
    <w:rsid w:val="001305CD"/>
    <w:rsid w:val="00130ED5"/>
    <w:rsid w:val="001317A2"/>
    <w:rsid w:val="0013191D"/>
    <w:rsid w:val="0013298A"/>
    <w:rsid w:val="00133BD3"/>
    <w:rsid w:val="00133F48"/>
    <w:rsid w:val="001347B9"/>
    <w:rsid w:val="001348C7"/>
    <w:rsid w:val="00134C83"/>
    <w:rsid w:val="001351DB"/>
    <w:rsid w:val="001357EA"/>
    <w:rsid w:val="00135CB1"/>
    <w:rsid w:val="00135D15"/>
    <w:rsid w:val="001366B1"/>
    <w:rsid w:val="0013729B"/>
    <w:rsid w:val="00140A6A"/>
    <w:rsid w:val="00140D68"/>
    <w:rsid w:val="00141B6E"/>
    <w:rsid w:val="001426C3"/>
    <w:rsid w:val="001426CE"/>
    <w:rsid w:val="00144FCB"/>
    <w:rsid w:val="001451CF"/>
    <w:rsid w:val="00146446"/>
    <w:rsid w:val="001465A3"/>
    <w:rsid w:val="001467B2"/>
    <w:rsid w:val="00146898"/>
    <w:rsid w:val="00146A07"/>
    <w:rsid w:val="00146DC0"/>
    <w:rsid w:val="00147681"/>
    <w:rsid w:val="001511B2"/>
    <w:rsid w:val="001514D5"/>
    <w:rsid w:val="00152CCA"/>
    <w:rsid w:val="00152F20"/>
    <w:rsid w:val="00152F40"/>
    <w:rsid w:val="0015385D"/>
    <w:rsid w:val="001542E1"/>
    <w:rsid w:val="00154535"/>
    <w:rsid w:val="00154AEB"/>
    <w:rsid w:val="001552B4"/>
    <w:rsid w:val="001567C5"/>
    <w:rsid w:val="00156C0C"/>
    <w:rsid w:val="0015739C"/>
    <w:rsid w:val="001576AA"/>
    <w:rsid w:val="00160EC9"/>
    <w:rsid w:val="00161A87"/>
    <w:rsid w:val="00162254"/>
    <w:rsid w:val="0016259D"/>
    <w:rsid w:val="00162704"/>
    <w:rsid w:val="001631D1"/>
    <w:rsid w:val="00163A5A"/>
    <w:rsid w:val="001652EF"/>
    <w:rsid w:val="00166463"/>
    <w:rsid w:val="00166828"/>
    <w:rsid w:val="00166833"/>
    <w:rsid w:val="00166A33"/>
    <w:rsid w:val="00167268"/>
    <w:rsid w:val="0016763A"/>
    <w:rsid w:val="00167916"/>
    <w:rsid w:val="00167C4D"/>
    <w:rsid w:val="0017202C"/>
    <w:rsid w:val="001735C1"/>
    <w:rsid w:val="001736D4"/>
    <w:rsid w:val="00174CC2"/>
    <w:rsid w:val="001751AB"/>
    <w:rsid w:val="001755F7"/>
    <w:rsid w:val="00175D82"/>
    <w:rsid w:val="001763CA"/>
    <w:rsid w:val="001764ED"/>
    <w:rsid w:val="001809CD"/>
    <w:rsid w:val="00181220"/>
    <w:rsid w:val="00181227"/>
    <w:rsid w:val="00181F8E"/>
    <w:rsid w:val="0018205C"/>
    <w:rsid w:val="00182200"/>
    <w:rsid w:val="0018235C"/>
    <w:rsid w:val="00183008"/>
    <w:rsid w:val="00183325"/>
    <w:rsid w:val="00183661"/>
    <w:rsid w:val="00183A38"/>
    <w:rsid w:val="00183F62"/>
    <w:rsid w:val="001847F4"/>
    <w:rsid w:val="0018627B"/>
    <w:rsid w:val="001867D4"/>
    <w:rsid w:val="00192353"/>
    <w:rsid w:val="001938CC"/>
    <w:rsid w:val="001940BC"/>
    <w:rsid w:val="00195A2C"/>
    <w:rsid w:val="00196C5A"/>
    <w:rsid w:val="00197ABF"/>
    <w:rsid w:val="00197B1F"/>
    <w:rsid w:val="00197B2A"/>
    <w:rsid w:val="001A394A"/>
    <w:rsid w:val="001A5AAA"/>
    <w:rsid w:val="001A5CEA"/>
    <w:rsid w:val="001A6D9A"/>
    <w:rsid w:val="001A6EB7"/>
    <w:rsid w:val="001A7348"/>
    <w:rsid w:val="001B09AB"/>
    <w:rsid w:val="001B1644"/>
    <w:rsid w:val="001B171C"/>
    <w:rsid w:val="001B1921"/>
    <w:rsid w:val="001B2338"/>
    <w:rsid w:val="001B2E37"/>
    <w:rsid w:val="001B3373"/>
    <w:rsid w:val="001B4030"/>
    <w:rsid w:val="001B403C"/>
    <w:rsid w:val="001B43DE"/>
    <w:rsid w:val="001B4887"/>
    <w:rsid w:val="001B49DC"/>
    <w:rsid w:val="001B5DB6"/>
    <w:rsid w:val="001B6F3C"/>
    <w:rsid w:val="001B7D69"/>
    <w:rsid w:val="001C05F4"/>
    <w:rsid w:val="001C0C69"/>
    <w:rsid w:val="001C194D"/>
    <w:rsid w:val="001C4221"/>
    <w:rsid w:val="001C5291"/>
    <w:rsid w:val="001C53FA"/>
    <w:rsid w:val="001C6125"/>
    <w:rsid w:val="001C64FC"/>
    <w:rsid w:val="001C72E7"/>
    <w:rsid w:val="001D0483"/>
    <w:rsid w:val="001D0675"/>
    <w:rsid w:val="001D07F7"/>
    <w:rsid w:val="001D099D"/>
    <w:rsid w:val="001D1D1A"/>
    <w:rsid w:val="001D4C2C"/>
    <w:rsid w:val="001D4D4C"/>
    <w:rsid w:val="001D4F17"/>
    <w:rsid w:val="001D5C2C"/>
    <w:rsid w:val="001D6EC6"/>
    <w:rsid w:val="001D7E5C"/>
    <w:rsid w:val="001E00E6"/>
    <w:rsid w:val="001E0265"/>
    <w:rsid w:val="001E1931"/>
    <w:rsid w:val="001E29AC"/>
    <w:rsid w:val="001E2EAC"/>
    <w:rsid w:val="001E3C35"/>
    <w:rsid w:val="001E5201"/>
    <w:rsid w:val="001E65F2"/>
    <w:rsid w:val="001E6A05"/>
    <w:rsid w:val="001E72E4"/>
    <w:rsid w:val="001E7A2C"/>
    <w:rsid w:val="001F00B8"/>
    <w:rsid w:val="001F02C9"/>
    <w:rsid w:val="001F0381"/>
    <w:rsid w:val="001F1000"/>
    <w:rsid w:val="001F17B5"/>
    <w:rsid w:val="001F1A92"/>
    <w:rsid w:val="001F1D37"/>
    <w:rsid w:val="001F1F95"/>
    <w:rsid w:val="001F20BC"/>
    <w:rsid w:val="001F23FF"/>
    <w:rsid w:val="001F3E13"/>
    <w:rsid w:val="001F405F"/>
    <w:rsid w:val="001F5359"/>
    <w:rsid w:val="001F5D22"/>
    <w:rsid w:val="001F68DE"/>
    <w:rsid w:val="001F69D7"/>
    <w:rsid w:val="001F71EA"/>
    <w:rsid w:val="001F79CA"/>
    <w:rsid w:val="001F7BAD"/>
    <w:rsid w:val="001F7C2F"/>
    <w:rsid w:val="0020032F"/>
    <w:rsid w:val="00200A88"/>
    <w:rsid w:val="00200BE1"/>
    <w:rsid w:val="00201E8A"/>
    <w:rsid w:val="0020259E"/>
    <w:rsid w:val="002043C8"/>
    <w:rsid w:val="00205045"/>
    <w:rsid w:val="00205842"/>
    <w:rsid w:val="0020628E"/>
    <w:rsid w:val="002103AA"/>
    <w:rsid w:val="00211105"/>
    <w:rsid w:val="00211CC5"/>
    <w:rsid w:val="00212158"/>
    <w:rsid w:val="00212381"/>
    <w:rsid w:val="00213787"/>
    <w:rsid w:val="00213EC3"/>
    <w:rsid w:val="0021401A"/>
    <w:rsid w:val="002151E6"/>
    <w:rsid w:val="002152B8"/>
    <w:rsid w:val="00215C76"/>
    <w:rsid w:val="00215FBD"/>
    <w:rsid w:val="0022001C"/>
    <w:rsid w:val="00220361"/>
    <w:rsid w:val="0022044D"/>
    <w:rsid w:val="00220564"/>
    <w:rsid w:val="00221488"/>
    <w:rsid w:val="002214C1"/>
    <w:rsid w:val="00223990"/>
    <w:rsid w:val="0022481C"/>
    <w:rsid w:val="00225819"/>
    <w:rsid w:val="00225E80"/>
    <w:rsid w:val="00225FE2"/>
    <w:rsid w:val="002273C0"/>
    <w:rsid w:val="0022768A"/>
    <w:rsid w:val="00231318"/>
    <w:rsid w:val="0023240A"/>
    <w:rsid w:val="002325C1"/>
    <w:rsid w:val="00232B7D"/>
    <w:rsid w:val="00232EA2"/>
    <w:rsid w:val="00235673"/>
    <w:rsid w:val="0023626D"/>
    <w:rsid w:val="00236D85"/>
    <w:rsid w:val="00236F71"/>
    <w:rsid w:val="00237AEA"/>
    <w:rsid w:val="00237C28"/>
    <w:rsid w:val="0024041E"/>
    <w:rsid w:val="00240897"/>
    <w:rsid w:val="00241812"/>
    <w:rsid w:val="00241AB7"/>
    <w:rsid w:val="00242686"/>
    <w:rsid w:val="00242AE8"/>
    <w:rsid w:val="00243F01"/>
    <w:rsid w:val="00244B60"/>
    <w:rsid w:val="00244CBB"/>
    <w:rsid w:val="00245BAA"/>
    <w:rsid w:val="002470E0"/>
    <w:rsid w:val="00250C10"/>
    <w:rsid w:val="00250D82"/>
    <w:rsid w:val="00251278"/>
    <w:rsid w:val="00251F19"/>
    <w:rsid w:val="00252B10"/>
    <w:rsid w:val="0025497C"/>
    <w:rsid w:val="002553E7"/>
    <w:rsid w:val="002558E3"/>
    <w:rsid w:val="00255F37"/>
    <w:rsid w:val="0026077B"/>
    <w:rsid w:val="00261A0A"/>
    <w:rsid w:val="00262281"/>
    <w:rsid w:val="00262F5A"/>
    <w:rsid w:val="002649F3"/>
    <w:rsid w:val="00265DA3"/>
    <w:rsid w:val="002661B1"/>
    <w:rsid w:val="00270884"/>
    <w:rsid w:val="002734A1"/>
    <w:rsid w:val="00273CA4"/>
    <w:rsid w:val="0027458E"/>
    <w:rsid w:val="002748BD"/>
    <w:rsid w:val="00274AD0"/>
    <w:rsid w:val="00275B02"/>
    <w:rsid w:val="00275B1B"/>
    <w:rsid w:val="002766F4"/>
    <w:rsid w:val="002768D0"/>
    <w:rsid w:val="002768FB"/>
    <w:rsid w:val="00276B36"/>
    <w:rsid w:val="002772C9"/>
    <w:rsid w:val="00277B3E"/>
    <w:rsid w:val="00280BB5"/>
    <w:rsid w:val="002810F8"/>
    <w:rsid w:val="0028132B"/>
    <w:rsid w:val="002816D9"/>
    <w:rsid w:val="00281759"/>
    <w:rsid w:val="00281AFB"/>
    <w:rsid w:val="00281D68"/>
    <w:rsid w:val="00282B39"/>
    <w:rsid w:val="00282EDD"/>
    <w:rsid w:val="00283251"/>
    <w:rsid w:val="00283B1F"/>
    <w:rsid w:val="00283C08"/>
    <w:rsid w:val="00284CE5"/>
    <w:rsid w:val="00284CF9"/>
    <w:rsid w:val="00284D53"/>
    <w:rsid w:val="00284DB1"/>
    <w:rsid w:val="00285948"/>
    <w:rsid w:val="00286EBF"/>
    <w:rsid w:val="0029002A"/>
    <w:rsid w:val="00292D50"/>
    <w:rsid w:val="002936C4"/>
    <w:rsid w:val="00293CE0"/>
    <w:rsid w:val="0029512D"/>
    <w:rsid w:val="00295FE3"/>
    <w:rsid w:val="00296026"/>
    <w:rsid w:val="00296163"/>
    <w:rsid w:val="00297179"/>
    <w:rsid w:val="00297AAC"/>
    <w:rsid w:val="002A254B"/>
    <w:rsid w:val="002A2571"/>
    <w:rsid w:val="002A2CAE"/>
    <w:rsid w:val="002A3261"/>
    <w:rsid w:val="002A4310"/>
    <w:rsid w:val="002A4E6B"/>
    <w:rsid w:val="002A5245"/>
    <w:rsid w:val="002A60D8"/>
    <w:rsid w:val="002A6E7C"/>
    <w:rsid w:val="002A71D7"/>
    <w:rsid w:val="002A73C3"/>
    <w:rsid w:val="002A7E97"/>
    <w:rsid w:val="002B114E"/>
    <w:rsid w:val="002B129C"/>
    <w:rsid w:val="002B17D4"/>
    <w:rsid w:val="002B1ACB"/>
    <w:rsid w:val="002B2BFB"/>
    <w:rsid w:val="002B339A"/>
    <w:rsid w:val="002B417F"/>
    <w:rsid w:val="002B47B4"/>
    <w:rsid w:val="002B5B0F"/>
    <w:rsid w:val="002B73F7"/>
    <w:rsid w:val="002B7431"/>
    <w:rsid w:val="002B7A59"/>
    <w:rsid w:val="002B7BF6"/>
    <w:rsid w:val="002B7C4E"/>
    <w:rsid w:val="002C18D0"/>
    <w:rsid w:val="002C227A"/>
    <w:rsid w:val="002C2E48"/>
    <w:rsid w:val="002C38F3"/>
    <w:rsid w:val="002C3FEB"/>
    <w:rsid w:val="002C4550"/>
    <w:rsid w:val="002C6CB3"/>
    <w:rsid w:val="002C75C6"/>
    <w:rsid w:val="002C7B7A"/>
    <w:rsid w:val="002C7E94"/>
    <w:rsid w:val="002D04F1"/>
    <w:rsid w:val="002D0A08"/>
    <w:rsid w:val="002D0F59"/>
    <w:rsid w:val="002D1A6C"/>
    <w:rsid w:val="002D2225"/>
    <w:rsid w:val="002D43DF"/>
    <w:rsid w:val="002D4A0E"/>
    <w:rsid w:val="002D4F09"/>
    <w:rsid w:val="002D5FA3"/>
    <w:rsid w:val="002E12FF"/>
    <w:rsid w:val="002E5191"/>
    <w:rsid w:val="002E66FE"/>
    <w:rsid w:val="002E7104"/>
    <w:rsid w:val="002F1F63"/>
    <w:rsid w:val="002F214E"/>
    <w:rsid w:val="002F24CB"/>
    <w:rsid w:val="002F274A"/>
    <w:rsid w:val="002F2827"/>
    <w:rsid w:val="002F53B7"/>
    <w:rsid w:val="002F68EB"/>
    <w:rsid w:val="002F6A35"/>
    <w:rsid w:val="002F77AC"/>
    <w:rsid w:val="0030018A"/>
    <w:rsid w:val="0030022D"/>
    <w:rsid w:val="00300416"/>
    <w:rsid w:val="003017F4"/>
    <w:rsid w:val="00301D04"/>
    <w:rsid w:val="003029B0"/>
    <w:rsid w:val="00302D38"/>
    <w:rsid w:val="00303185"/>
    <w:rsid w:val="00305D9A"/>
    <w:rsid w:val="00305F61"/>
    <w:rsid w:val="00306138"/>
    <w:rsid w:val="00306F5B"/>
    <w:rsid w:val="00306FC8"/>
    <w:rsid w:val="003072DA"/>
    <w:rsid w:val="003107A0"/>
    <w:rsid w:val="00311C91"/>
    <w:rsid w:val="003122C4"/>
    <w:rsid w:val="003125A0"/>
    <w:rsid w:val="003133C5"/>
    <w:rsid w:val="003138F2"/>
    <w:rsid w:val="00313933"/>
    <w:rsid w:val="00314BAB"/>
    <w:rsid w:val="003177B4"/>
    <w:rsid w:val="0032169F"/>
    <w:rsid w:val="00322492"/>
    <w:rsid w:val="00322835"/>
    <w:rsid w:val="0032292F"/>
    <w:rsid w:val="00323224"/>
    <w:rsid w:val="0032459D"/>
    <w:rsid w:val="003251C0"/>
    <w:rsid w:val="0032534E"/>
    <w:rsid w:val="003265D2"/>
    <w:rsid w:val="00330B28"/>
    <w:rsid w:val="00330E67"/>
    <w:rsid w:val="00331818"/>
    <w:rsid w:val="00331D2F"/>
    <w:rsid w:val="00331E69"/>
    <w:rsid w:val="00333654"/>
    <w:rsid w:val="003347A4"/>
    <w:rsid w:val="00334954"/>
    <w:rsid w:val="00334E17"/>
    <w:rsid w:val="00335265"/>
    <w:rsid w:val="00335618"/>
    <w:rsid w:val="003356C0"/>
    <w:rsid w:val="00336AF8"/>
    <w:rsid w:val="00337D1A"/>
    <w:rsid w:val="003405EB"/>
    <w:rsid w:val="0034158A"/>
    <w:rsid w:val="003445B9"/>
    <w:rsid w:val="0034552A"/>
    <w:rsid w:val="0034710A"/>
    <w:rsid w:val="0034770E"/>
    <w:rsid w:val="00347918"/>
    <w:rsid w:val="003509CE"/>
    <w:rsid w:val="00350D83"/>
    <w:rsid w:val="0035110A"/>
    <w:rsid w:val="003522BC"/>
    <w:rsid w:val="00352DDC"/>
    <w:rsid w:val="003536CE"/>
    <w:rsid w:val="00353A37"/>
    <w:rsid w:val="00357DD5"/>
    <w:rsid w:val="003604C2"/>
    <w:rsid w:val="00360EAF"/>
    <w:rsid w:val="0036250E"/>
    <w:rsid w:val="00362701"/>
    <w:rsid w:val="00362757"/>
    <w:rsid w:val="00362C49"/>
    <w:rsid w:val="00363C54"/>
    <w:rsid w:val="0036422E"/>
    <w:rsid w:val="0036441F"/>
    <w:rsid w:val="00364559"/>
    <w:rsid w:val="003654EC"/>
    <w:rsid w:val="0036595B"/>
    <w:rsid w:val="00365B87"/>
    <w:rsid w:val="00365F04"/>
    <w:rsid w:val="003672A9"/>
    <w:rsid w:val="003674F2"/>
    <w:rsid w:val="00370314"/>
    <w:rsid w:val="003712AC"/>
    <w:rsid w:val="003724CD"/>
    <w:rsid w:val="00372CD8"/>
    <w:rsid w:val="003736E7"/>
    <w:rsid w:val="00374CFD"/>
    <w:rsid w:val="00375711"/>
    <w:rsid w:val="00375CFB"/>
    <w:rsid w:val="00376F33"/>
    <w:rsid w:val="00377693"/>
    <w:rsid w:val="00377ADE"/>
    <w:rsid w:val="00377B70"/>
    <w:rsid w:val="00383B72"/>
    <w:rsid w:val="003844ED"/>
    <w:rsid w:val="00385DDD"/>
    <w:rsid w:val="0038613B"/>
    <w:rsid w:val="00386BD0"/>
    <w:rsid w:val="00391F25"/>
    <w:rsid w:val="003921B2"/>
    <w:rsid w:val="00392730"/>
    <w:rsid w:val="003931D8"/>
    <w:rsid w:val="00393CE1"/>
    <w:rsid w:val="00394A26"/>
    <w:rsid w:val="0039660A"/>
    <w:rsid w:val="00397F17"/>
    <w:rsid w:val="003A0A92"/>
    <w:rsid w:val="003A182A"/>
    <w:rsid w:val="003A19A2"/>
    <w:rsid w:val="003A2229"/>
    <w:rsid w:val="003A3478"/>
    <w:rsid w:val="003A3766"/>
    <w:rsid w:val="003A3877"/>
    <w:rsid w:val="003A43F4"/>
    <w:rsid w:val="003A4B9C"/>
    <w:rsid w:val="003A58B1"/>
    <w:rsid w:val="003A59AE"/>
    <w:rsid w:val="003A624F"/>
    <w:rsid w:val="003B00C0"/>
    <w:rsid w:val="003B0793"/>
    <w:rsid w:val="003B0A0D"/>
    <w:rsid w:val="003B0A85"/>
    <w:rsid w:val="003B0E55"/>
    <w:rsid w:val="003B1C84"/>
    <w:rsid w:val="003B3664"/>
    <w:rsid w:val="003B4620"/>
    <w:rsid w:val="003B4A6F"/>
    <w:rsid w:val="003B53A0"/>
    <w:rsid w:val="003B6440"/>
    <w:rsid w:val="003B7479"/>
    <w:rsid w:val="003B74C5"/>
    <w:rsid w:val="003B7811"/>
    <w:rsid w:val="003B7F8C"/>
    <w:rsid w:val="003C066F"/>
    <w:rsid w:val="003C0DE4"/>
    <w:rsid w:val="003C1734"/>
    <w:rsid w:val="003C18E8"/>
    <w:rsid w:val="003C2A75"/>
    <w:rsid w:val="003C2AAE"/>
    <w:rsid w:val="003C3745"/>
    <w:rsid w:val="003C3D73"/>
    <w:rsid w:val="003C3DFE"/>
    <w:rsid w:val="003C5562"/>
    <w:rsid w:val="003C588E"/>
    <w:rsid w:val="003C7002"/>
    <w:rsid w:val="003C725F"/>
    <w:rsid w:val="003C7612"/>
    <w:rsid w:val="003C7749"/>
    <w:rsid w:val="003C79F0"/>
    <w:rsid w:val="003D0B67"/>
    <w:rsid w:val="003D13D7"/>
    <w:rsid w:val="003D1F78"/>
    <w:rsid w:val="003D27A0"/>
    <w:rsid w:val="003D29AA"/>
    <w:rsid w:val="003D2AB0"/>
    <w:rsid w:val="003D2BD3"/>
    <w:rsid w:val="003D2DD4"/>
    <w:rsid w:val="003D489B"/>
    <w:rsid w:val="003D4EDD"/>
    <w:rsid w:val="003D4F65"/>
    <w:rsid w:val="003D605A"/>
    <w:rsid w:val="003D6D0E"/>
    <w:rsid w:val="003E05F7"/>
    <w:rsid w:val="003E0E42"/>
    <w:rsid w:val="003E2F68"/>
    <w:rsid w:val="003E323D"/>
    <w:rsid w:val="003E3912"/>
    <w:rsid w:val="003E3F95"/>
    <w:rsid w:val="003E43A8"/>
    <w:rsid w:val="003E4787"/>
    <w:rsid w:val="003E4897"/>
    <w:rsid w:val="003E54EE"/>
    <w:rsid w:val="003E56F3"/>
    <w:rsid w:val="003E5EDA"/>
    <w:rsid w:val="003E6457"/>
    <w:rsid w:val="003E73F6"/>
    <w:rsid w:val="003E7571"/>
    <w:rsid w:val="003F0FC6"/>
    <w:rsid w:val="003F3070"/>
    <w:rsid w:val="003F401A"/>
    <w:rsid w:val="003F417C"/>
    <w:rsid w:val="003F5B33"/>
    <w:rsid w:val="003F7B2A"/>
    <w:rsid w:val="003F7C41"/>
    <w:rsid w:val="003F7FC8"/>
    <w:rsid w:val="00401BE9"/>
    <w:rsid w:val="00404D50"/>
    <w:rsid w:val="004062B8"/>
    <w:rsid w:val="004066A4"/>
    <w:rsid w:val="00410097"/>
    <w:rsid w:val="0041038D"/>
    <w:rsid w:val="004113C7"/>
    <w:rsid w:val="00412373"/>
    <w:rsid w:val="00412514"/>
    <w:rsid w:val="004129A4"/>
    <w:rsid w:val="00414375"/>
    <w:rsid w:val="00414586"/>
    <w:rsid w:val="004146A5"/>
    <w:rsid w:val="00414F6A"/>
    <w:rsid w:val="00416779"/>
    <w:rsid w:val="00416A91"/>
    <w:rsid w:val="00416AED"/>
    <w:rsid w:val="004200BF"/>
    <w:rsid w:val="00420AF6"/>
    <w:rsid w:val="00420BDC"/>
    <w:rsid w:val="00422B92"/>
    <w:rsid w:val="00423C79"/>
    <w:rsid w:val="00424652"/>
    <w:rsid w:val="00424849"/>
    <w:rsid w:val="00425472"/>
    <w:rsid w:val="00427958"/>
    <w:rsid w:val="004316ED"/>
    <w:rsid w:val="00431BA3"/>
    <w:rsid w:val="00431CDC"/>
    <w:rsid w:val="00432F5F"/>
    <w:rsid w:val="00433EB1"/>
    <w:rsid w:val="00434B51"/>
    <w:rsid w:val="00436F4F"/>
    <w:rsid w:val="004377A1"/>
    <w:rsid w:val="004412F1"/>
    <w:rsid w:val="00441C62"/>
    <w:rsid w:val="00441DD1"/>
    <w:rsid w:val="00441F97"/>
    <w:rsid w:val="00444670"/>
    <w:rsid w:val="00444704"/>
    <w:rsid w:val="00444DD9"/>
    <w:rsid w:val="00444F9C"/>
    <w:rsid w:val="004464E8"/>
    <w:rsid w:val="00446938"/>
    <w:rsid w:val="004471FB"/>
    <w:rsid w:val="00450E1B"/>
    <w:rsid w:val="00451983"/>
    <w:rsid w:val="004519C4"/>
    <w:rsid w:val="0045246C"/>
    <w:rsid w:val="00453BFB"/>
    <w:rsid w:val="0045511F"/>
    <w:rsid w:val="0045516B"/>
    <w:rsid w:val="004557CF"/>
    <w:rsid w:val="0045596C"/>
    <w:rsid w:val="00456914"/>
    <w:rsid w:val="004577D6"/>
    <w:rsid w:val="004603B9"/>
    <w:rsid w:val="004607E1"/>
    <w:rsid w:val="00461B81"/>
    <w:rsid w:val="004625AA"/>
    <w:rsid w:val="00462FDC"/>
    <w:rsid w:val="0046328C"/>
    <w:rsid w:val="00464D36"/>
    <w:rsid w:val="00464FC9"/>
    <w:rsid w:val="00466470"/>
    <w:rsid w:val="00466F97"/>
    <w:rsid w:val="004673B3"/>
    <w:rsid w:val="004709BB"/>
    <w:rsid w:val="00470F60"/>
    <w:rsid w:val="004713E9"/>
    <w:rsid w:val="00474D19"/>
    <w:rsid w:val="00475212"/>
    <w:rsid w:val="00475330"/>
    <w:rsid w:val="004776CE"/>
    <w:rsid w:val="0048242E"/>
    <w:rsid w:val="004826E9"/>
    <w:rsid w:val="00484C2C"/>
    <w:rsid w:val="00487F4C"/>
    <w:rsid w:val="00491203"/>
    <w:rsid w:val="00491759"/>
    <w:rsid w:val="00492714"/>
    <w:rsid w:val="004933BF"/>
    <w:rsid w:val="00493C27"/>
    <w:rsid w:val="00493FF9"/>
    <w:rsid w:val="004954D5"/>
    <w:rsid w:val="00496DC1"/>
    <w:rsid w:val="00497058"/>
    <w:rsid w:val="00497E68"/>
    <w:rsid w:val="004A1D5B"/>
    <w:rsid w:val="004A2CA5"/>
    <w:rsid w:val="004A3D7E"/>
    <w:rsid w:val="004A4272"/>
    <w:rsid w:val="004A47A7"/>
    <w:rsid w:val="004A48D4"/>
    <w:rsid w:val="004A50F9"/>
    <w:rsid w:val="004A5119"/>
    <w:rsid w:val="004A6259"/>
    <w:rsid w:val="004A7368"/>
    <w:rsid w:val="004A73CA"/>
    <w:rsid w:val="004B0689"/>
    <w:rsid w:val="004B1F69"/>
    <w:rsid w:val="004B3C56"/>
    <w:rsid w:val="004B4380"/>
    <w:rsid w:val="004B4667"/>
    <w:rsid w:val="004B54E1"/>
    <w:rsid w:val="004B5B07"/>
    <w:rsid w:val="004B69C6"/>
    <w:rsid w:val="004B7A36"/>
    <w:rsid w:val="004B7EB3"/>
    <w:rsid w:val="004C006D"/>
    <w:rsid w:val="004C0909"/>
    <w:rsid w:val="004C1F76"/>
    <w:rsid w:val="004C206F"/>
    <w:rsid w:val="004C2809"/>
    <w:rsid w:val="004C2D5A"/>
    <w:rsid w:val="004C3FD4"/>
    <w:rsid w:val="004C4178"/>
    <w:rsid w:val="004C4B57"/>
    <w:rsid w:val="004C502C"/>
    <w:rsid w:val="004C52C0"/>
    <w:rsid w:val="004C5CA6"/>
    <w:rsid w:val="004C5FA2"/>
    <w:rsid w:val="004C7E7D"/>
    <w:rsid w:val="004D0679"/>
    <w:rsid w:val="004D2681"/>
    <w:rsid w:val="004D2706"/>
    <w:rsid w:val="004D2C3C"/>
    <w:rsid w:val="004D3B01"/>
    <w:rsid w:val="004D4287"/>
    <w:rsid w:val="004D57E0"/>
    <w:rsid w:val="004D609A"/>
    <w:rsid w:val="004D621D"/>
    <w:rsid w:val="004D76EF"/>
    <w:rsid w:val="004D7A85"/>
    <w:rsid w:val="004D7AFA"/>
    <w:rsid w:val="004D7F72"/>
    <w:rsid w:val="004E0A65"/>
    <w:rsid w:val="004E0D6B"/>
    <w:rsid w:val="004E0EE0"/>
    <w:rsid w:val="004E1A9A"/>
    <w:rsid w:val="004E21B6"/>
    <w:rsid w:val="004E36CC"/>
    <w:rsid w:val="004E4283"/>
    <w:rsid w:val="004E6948"/>
    <w:rsid w:val="004E6B9F"/>
    <w:rsid w:val="004E6D93"/>
    <w:rsid w:val="004F02EA"/>
    <w:rsid w:val="004F20A2"/>
    <w:rsid w:val="004F3ECC"/>
    <w:rsid w:val="004F532E"/>
    <w:rsid w:val="004F5B1B"/>
    <w:rsid w:val="004F6884"/>
    <w:rsid w:val="004F72AB"/>
    <w:rsid w:val="004F73C2"/>
    <w:rsid w:val="004F764E"/>
    <w:rsid w:val="004F7A23"/>
    <w:rsid w:val="004F7C94"/>
    <w:rsid w:val="00501137"/>
    <w:rsid w:val="00501FEC"/>
    <w:rsid w:val="00502809"/>
    <w:rsid w:val="00503D30"/>
    <w:rsid w:val="0050433D"/>
    <w:rsid w:val="0050494A"/>
    <w:rsid w:val="005054A2"/>
    <w:rsid w:val="00505AD7"/>
    <w:rsid w:val="0050698A"/>
    <w:rsid w:val="00506FB1"/>
    <w:rsid w:val="00510E11"/>
    <w:rsid w:val="00510E7A"/>
    <w:rsid w:val="005112F7"/>
    <w:rsid w:val="0051296A"/>
    <w:rsid w:val="005142E0"/>
    <w:rsid w:val="00521BB1"/>
    <w:rsid w:val="005231E5"/>
    <w:rsid w:val="00523A9E"/>
    <w:rsid w:val="00523F43"/>
    <w:rsid w:val="0052475D"/>
    <w:rsid w:val="0052502F"/>
    <w:rsid w:val="005304E9"/>
    <w:rsid w:val="005319E3"/>
    <w:rsid w:val="00531D52"/>
    <w:rsid w:val="00531FAD"/>
    <w:rsid w:val="00532624"/>
    <w:rsid w:val="00533C24"/>
    <w:rsid w:val="00535B59"/>
    <w:rsid w:val="00535BC0"/>
    <w:rsid w:val="00536453"/>
    <w:rsid w:val="00540C2F"/>
    <w:rsid w:val="00542B83"/>
    <w:rsid w:val="005432F7"/>
    <w:rsid w:val="00545A52"/>
    <w:rsid w:val="0054632A"/>
    <w:rsid w:val="0054696D"/>
    <w:rsid w:val="00547292"/>
    <w:rsid w:val="0054799A"/>
    <w:rsid w:val="0055083B"/>
    <w:rsid w:val="00550BF8"/>
    <w:rsid w:val="00551A5B"/>
    <w:rsid w:val="00551F26"/>
    <w:rsid w:val="0055276A"/>
    <w:rsid w:val="00553EAE"/>
    <w:rsid w:val="005545F1"/>
    <w:rsid w:val="00554D51"/>
    <w:rsid w:val="005554A3"/>
    <w:rsid w:val="0055675B"/>
    <w:rsid w:val="005577E9"/>
    <w:rsid w:val="00560886"/>
    <w:rsid w:val="0056100A"/>
    <w:rsid w:val="00561BFF"/>
    <w:rsid w:val="005623DE"/>
    <w:rsid w:val="00562643"/>
    <w:rsid w:val="00563C26"/>
    <w:rsid w:val="005651B8"/>
    <w:rsid w:val="00565506"/>
    <w:rsid w:val="0056609D"/>
    <w:rsid w:val="0056666C"/>
    <w:rsid w:val="00567AA3"/>
    <w:rsid w:val="00570074"/>
    <w:rsid w:val="00570B48"/>
    <w:rsid w:val="00570E76"/>
    <w:rsid w:val="005710A5"/>
    <w:rsid w:val="0057206B"/>
    <w:rsid w:val="005730FB"/>
    <w:rsid w:val="00573C10"/>
    <w:rsid w:val="00573F5B"/>
    <w:rsid w:val="00574205"/>
    <w:rsid w:val="0057567A"/>
    <w:rsid w:val="00576955"/>
    <w:rsid w:val="00577049"/>
    <w:rsid w:val="00577378"/>
    <w:rsid w:val="00580961"/>
    <w:rsid w:val="005809FD"/>
    <w:rsid w:val="005812F7"/>
    <w:rsid w:val="00581885"/>
    <w:rsid w:val="005820B5"/>
    <w:rsid w:val="00584A98"/>
    <w:rsid w:val="00586403"/>
    <w:rsid w:val="0058730B"/>
    <w:rsid w:val="00587A8B"/>
    <w:rsid w:val="005911C3"/>
    <w:rsid w:val="00593229"/>
    <w:rsid w:val="0059338A"/>
    <w:rsid w:val="00594268"/>
    <w:rsid w:val="005943F4"/>
    <w:rsid w:val="005947B1"/>
    <w:rsid w:val="00594E77"/>
    <w:rsid w:val="00595B35"/>
    <w:rsid w:val="00595EF1"/>
    <w:rsid w:val="00596EE6"/>
    <w:rsid w:val="005A2303"/>
    <w:rsid w:val="005A23A2"/>
    <w:rsid w:val="005A23D4"/>
    <w:rsid w:val="005A40B2"/>
    <w:rsid w:val="005A41C4"/>
    <w:rsid w:val="005A5993"/>
    <w:rsid w:val="005A5AF6"/>
    <w:rsid w:val="005A5B64"/>
    <w:rsid w:val="005A5BEC"/>
    <w:rsid w:val="005A69CC"/>
    <w:rsid w:val="005B247B"/>
    <w:rsid w:val="005B2A76"/>
    <w:rsid w:val="005B2B2A"/>
    <w:rsid w:val="005B5BF9"/>
    <w:rsid w:val="005C2051"/>
    <w:rsid w:val="005C26B0"/>
    <w:rsid w:val="005C2A94"/>
    <w:rsid w:val="005C55F4"/>
    <w:rsid w:val="005C6458"/>
    <w:rsid w:val="005C65B0"/>
    <w:rsid w:val="005C68C2"/>
    <w:rsid w:val="005C7EED"/>
    <w:rsid w:val="005D00A6"/>
    <w:rsid w:val="005D1B4A"/>
    <w:rsid w:val="005D2319"/>
    <w:rsid w:val="005D2CFC"/>
    <w:rsid w:val="005D3A7E"/>
    <w:rsid w:val="005D5BEB"/>
    <w:rsid w:val="005D651C"/>
    <w:rsid w:val="005D67C5"/>
    <w:rsid w:val="005D78CB"/>
    <w:rsid w:val="005E02CE"/>
    <w:rsid w:val="005E4CD8"/>
    <w:rsid w:val="005E7F22"/>
    <w:rsid w:val="005F125C"/>
    <w:rsid w:val="005F1BD4"/>
    <w:rsid w:val="005F1D33"/>
    <w:rsid w:val="005F2EA4"/>
    <w:rsid w:val="005F3E2F"/>
    <w:rsid w:val="005F525D"/>
    <w:rsid w:val="005F6A73"/>
    <w:rsid w:val="005F7F68"/>
    <w:rsid w:val="00601C56"/>
    <w:rsid w:val="00602152"/>
    <w:rsid w:val="00603FF9"/>
    <w:rsid w:val="006058E7"/>
    <w:rsid w:val="0060779C"/>
    <w:rsid w:val="00610461"/>
    <w:rsid w:val="00610664"/>
    <w:rsid w:val="006112C2"/>
    <w:rsid w:val="00611313"/>
    <w:rsid w:val="00611AE2"/>
    <w:rsid w:val="006134F3"/>
    <w:rsid w:val="00613876"/>
    <w:rsid w:val="00613924"/>
    <w:rsid w:val="00614270"/>
    <w:rsid w:val="006146B6"/>
    <w:rsid w:val="00614824"/>
    <w:rsid w:val="006148A4"/>
    <w:rsid w:val="00614A15"/>
    <w:rsid w:val="00614D26"/>
    <w:rsid w:val="0061566D"/>
    <w:rsid w:val="00616463"/>
    <w:rsid w:val="006168B9"/>
    <w:rsid w:val="00617243"/>
    <w:rsid w:val="006200E6"/>
    <w:rsid w:val="00621E0C"/>
    <w:rsid w:val="00621E23"/>
    <w:rsid w:val="00622F97"/>
    <w:rsid w:val="0062435E"/>
    <w:rsid w:val="006243CC"/>
    <w:rsid w:val="006249DB"/>
    <w:rsid w:val="00626D2F"/>
    <w:rsid w:val="006272A6"/>
    <w:rsid w:val="0062787F"/>
    <w:rsid w:val="006303B1"/>
    <w:rsid w:val="0063044A"/>
    <w:rsid w:val="0063047A"/>
    <w:rsid w:val="00631174"/>
    <w:rsid w:val="00631271"/>
    <w:rsid w:val="006324A4"/>
    <w:rsid w:val="006324FA"/>
    <w:rsid w:val="00632696"/>
    <w:rsid w:val="00633263"/>
    <w:rsid w:val="00633518"/>
    <w:rsid w:val="006339A4"/>
    <w:rsid w:val="00633A21"/>
    <w:rsid w:val="00633AEE"/>
    <w:rsid w:val="0063470A"/>
    <w:rsid w:val="0063515F"/>
    <w:rsid w:val="00635878"/>
    <w:rsid w:val="00635A6A"/>
    <w:rsid w:val="00635B6D"/>
    <w:rsid w:val="0063726E"/>
    <w:rsid w:val="0063752F"/>
    <w:rsid w:val="00640205"/>
    <w:rsid w:val="006407F9"/>
    <w:rsid w:val="00642576"/>
    <w:rsid w:val="00642780"/>
    <w:rsid w:val="006439D1"/>
    <w:rsid w:val="006442BF"/>
    <w:rsid w:val="00645A33"/>
    <w:rsid w:val="00645EDB"/>
    <w:rsid w:val="0064648A"/>
    <w:rsid w:val="00646598"/>
    <w:rsid w:val="006505DE"/>
    <w:rsid w:val="006515DF"/>
    <w:rsid w:val="006517E2"/>
    <w:rsid w:val="0065242F"/>
    <w:rsid w:val="0065243F"/>
    <w:rsid w:val="00652875"/>
    <w:rsid w:val="0065325D"/>
    <w:rsid w:val="00653C60"/>
    <w:rsid w:val="00654120"/>
    <w:rsid w:val="006546EE"/>
    <w:rsid w:val="006556DC"/>
    <w:rsid w:val="006566E5"/>
    <w:rsid w:val="00656EBA"/>
    <w:rsid w:val="0065766C"/>
    <w:rsid w:val="00660092"/>
    <w:rsid w:val="00661316"/>
    <w:rsid w:val="006619DB"/>
    <w:rsid w:val="006625F8"/>
    <w:rsid w:val="00662E32"/>
    <w:rsid w:val="0066400C"/>
    <w:rsid w:val="00664448"/>
    <w:rsid w:val="0066497F"/>
    <w:rsid w:val="0066607B"/>
    <w:rsid w:val="00666789"/>
    <w:rsid w:val="00666F40"/>
    <w:rsid w:val="006672DE"/>
    <w:rsid w:val="006703D7"/>
    <w:rsid w:val="006707BE"/>
    <w:rsid w:val="0067230C"/>
    <w:rsid w:val="006738BE"/>
    <w:rsid w:val="0067547A"/>
    <w:rsid w:val="00675580"/>
    <w:rsid w:val="00675991"/>
    <w:rsid w:val="006761E5"/>
    <w:rsid w:val="00676F28"/>
    <w:rsid w:val="006819E7"/>
    <w:rsid w:val="00681C55"/>
    <w:rsid w:val="006841A0"/>
    <w:rsid w:val="0068477B"/>
    <w:rsid w:val="006860E1"/>
    <w:rsid w:val="006862F4"/>
    <w:rsid w:val="006867AB"/>
    <w:rsid w:val="006868BD"/>
    <w:rsid w:val="00691855"/>
    <w:rsid w:val="00694282"/>
    <w:rsid w:val="0069628A"/>
    <w:rsid w:val="00696AF5"/>
    <w:rsid w:val="006A0594"/>
    <w:rsid w:val="006A0B8E"/>
    <w:rsid w:val="006A1674"/>
    <w:rsid w:val="006A3CB5"/>
    <w:rsid w:val="006A4667"/>
    <w:rsid w:val="006A49AB"/>
    <w:rsid w:val="006A4D34"/>
    <w:rsid w:val="006A5D64"/>
    <w:rsid w:val="006A6B1E"/>
    <w:rsid w:val="006A6CFC"/>
    <w:rsid w:val="006A7DB8"/>
    <w:rsid w:val="006A7EE9"/>
    <w:rsid w:val="006B054B"/>
    <w:rsid w:val="006B09BB"/>
    <w:rsid w:val="006B2BC7"/>
    <w:rsid w:val="006B3630"/>
    <w:rsid w:val="006B5199"/>
    <w:rsid w:val="006B5B7A"/>
    <w:rsid w:val="006B69E6"/>
    <w:rsid w:val="006B71F7"/>
    <w:rsid w:val="006B741F"/>
    <w:rsid w:val="006B75FA"/>
    <w:rsid w:val="006B7B55"/>
    <w:rsid w:val="006C0537"/>
    <w:rsid w:val="006C135E"/>
    <w:rsid w:val="006C2B93"/>
    <w:rsid w:val="006C3E50"/>
    <w:rsid w:val="006C4731"/>
    <w:rsid w:val="006C5BE6"/>
    <w:rsid w:val="006D1130"/>
    <w:rsid w:val="006D145D"/>
    <w:rsid w:val="006D14DF"/>
    <w:rsid w:val="006D35E2"/>
    <w:rsid w:val="006D4647"/>
    <w:rsid w:val="006E021F"/>
    <w:rsid w:val="006E11D8"/>
    <w:rsid w:val="006E1778"/>
    <w:rsid w:val="006E4BAE"/>
    <w:rsid w:val="006E55B6"/>
    <w:rsid w:val="006E5702"/>
    <w:rsid w:val="006E575A"/>
    <w:rsid w:val="006E5B35"/>
    <w:rsid w:val="006E6857"/>
    <w:rsid w:val="006E7061"/>
    <w:rsid w:val="006E78F9"/>
    <w:rsid w:val="006E7F4C"/>
    <w:rsid w:val="006F042B"/>
    <w:rsid w:val="006F2EAE"/>
    <w:rsid w:val="006F3BC2"/>
    <w:rsid w:val="006F445B"/>
    <w:rsid w:val="006F4B11"/>
    <w:rsid w:val="006F5654"/>
    <w:rsid w:val="006F6801"/>
    <w:rsid w:val="006F6FD7"/>
    <w:rsid w:val="006F7A00"/>
    <w:rsid w:val="00700489"/>
    <w:rsid w:val="0070076D"/>
    <w:rsid w:val="00700DDA"/>
    <w:rsid w:val="007024FB"/>
    <w:rsid w:val="007025E9"/>
    <w:rsid w:val="0070290B"/>
    <w:rsid w:val="007049D3"/>
    <w:rsid w:val="0070555C"/>
    <w:rsid w:val="00705F03"/>
    <w:rsid w:val="0070664A"/>
    <w:rsid w:val="00706A3B"/>
    <w:rsid w:val="007074DE"/>
    <w:rsid w:val="00710063"/>
    <w:rsid w:val="007109A4"/>
    <w:rsid w:val="00712F36"/>
    <w:rsid w:val="00713F1F"/>
    <w:rsid w:val="007158DA"/>
    <w:rsid w:val="00717565"/>
    <w:rsid w:val="00721081"/>
    <w:rsid w:val="0072134D"/>
    <w:rsid w:val="007231A1"/>
    <w:rsid w:val="0072385B"/>
    <w:rsid w:val="00723EF6"/>
    <w:rsid w:val="00724011"/>
    <w:rsid w:val="007242B2"/>
    <w:rsid w:val="007244FC"/>
    <w:rsid w:val="00724D42"/>
    <w:rsid w:val="00725429"/>
    <w:rsid w:val="00725586"/>
    <w:rsid w:val="00725AE0"/>
    <w:rsid w:val="00725ED1"/>
    <w:rsid w:val="007272F6"/>
    <w:rsid w:val="00727CBB"/>
    <w:rsid w:val="0073067A"/>
    <w:rsid w:val="0073109A"/>
    <w:rsid w:val="007312EF"/>
    <w:rsid w:val="0073168D"/>
    <w:rsid w:val="00732D22"/>
    <w:rsid w:val="007336ED"/>
    <w:rsid w:val="00735BE6"/>
    <w:rsid w:val="00735E45"/>
    <w:rsid w:val="007366E7"/>
    <w:rsid w:val="0073677F"/>
    <w:rsid w:val="00736B11"/>
    <w:rsid w:val="00736CC1"/>
    <w:rsid w:val="00737B04"/>
    <w:rsid w:val="007406CD"/>
    <w:rsid w:val="0074203F"/>
    <w:rsid w:val="00742395"/>
    <w:rsid w:val="007426F1"/>
    <w:rsid w:val="00742D2E"/>
    <w:rsid w:val="007439CF"/>
    <w:rsid w:val="0074532E"/>
    <w:rsid w:val="00745E22"/>
    <w:rsid w:val="00747469"/>
    <w:rsid w:val="00747992"/>
    <w:rsid w:val="007509C9"/>
    <w:rsid w:val="007512DE"/>
    <w:rsid w:val="00752091"/>
    <w:rsid w:val="00752269"/>
    <w:rsid w:val="007533A7"/>
    <w:rsid w:val="00753880"/>
    <w:rsid w:val="0075432D"/>
    <w:rsid w:val="00754FF1"/>
    <w:rsid w:val="00757109"/>
    <w:rsid w:val="00760CFF"/>
    <w:rsid w:val="00762B91"/>
    <w:rsid w:val="00762EEA"/>
    <w:rsid w:val="007655F9"/>
    <w:rsid w:val="007658FA"/>
    <w:rsid w:val="0076729F"/>
    <w:rsid w:val="0076732F"/>
    <w:rsid w:val="007674E3"/>
    <w:rsid w:val="00767DC4"/>
    <w:rsid w:val="00767E4B"/>
    <w:rsid w:val="0077061C"/>
    <w:rsid w:val="007716E2"/>
    <w:rsid w:val="00772247"/>
    <w:rsid w:val="00772C27"/>
    <w:rsid w:val="00772E03"/>
    <w:rsid w:val="00774436"/>
    <w:rsid w:val="00774DDA"/>
    <w:rsid w:val="00775224"/>
    <w:rsid w:val="00775665"/>
    <w:rsid w:val="007768BF"/>
    <w:rsid w:val="00776AFF"/>
    <w:rsid w:val="007775BF"/>
    <w:rsid w:val="0077767A"/>
    <w:rsid w:val="0077782C"/>
    <w:rsid w:val="00780650"/>
    <w:rsid w:val="00781107"/>
    <w:rsid w:val="007812D0"/>
    <w:rsid w:val="0078200B"/>
    <w:rsid w:val="00783A38"/>
    <w:rsid w:val="0078476A"/>
    <w:rsid w:val="00784A13"/>
    <w:rsid w:val="007855C6"/>
    <w:rsid w:val="00785845"/>
    <w:rsid w:val="007861E3"/>
    <w:rsid w:val="00786216"/>
    <w:rsid w:val="00787A13"/>
    <w:rsid w:val="00787B27"/>
    <w:rsid w:val="007906C4"/>
    <w:rsid w:val="0079078E"/>
    <w:rsid w:val="00790D8C"/>
    <w:rsid w:val="00790F47"/>
    <w:rsid w:val="00792830"/>
    <w:rsid w:val="007930FF"/>
    <w:rsid w:val="00793E15"/>
    <w:rsid w:val="007945B0"/>
    <w:rsid w:val="00795929"/>
    <w:rsid w:val="00795BB6"/>
    <w:rsid w:val="00796122"/>
    <w:rsid w:val="007963AC"/>
    <w:rsid w:val="0079731F"/>
    <w:rsid w:val="00797D0F"/>
    <w:rsid w:val="00797F91"/>
    <w:rsid w:val="007A06E4"/>
    <w:rsid w:val="007A25A9"/>
    <w:rsid w:val="007A4EEE"/>
    <w:rsid w:val="007A4FC1"/>
    <w:rsid w:val="007A548B"/>
    <w:rsid w:val="007A6752"/>
    <w:rsid w:val="007A7A8F"/>
    <w:rsid w:val="007B03A1"/>
    <w:rsid w:val="007B1048"/>
    <w:rsid w:val="007B1B65"/>
    <w:rsid w:val="007B1EAC"/>
    <w:rsid w:val="007B2E7D"/>
    <w:rsid w:val="007B3F68"/>
    <w:rsid w:val="007B4D43"/>
    <w:rsid w:val="007B6A8D"/>
    <w:rsid w:val="007B75D8"/>
    <w:rsid w:val="007C02B0"/>
    <w:rsid w:val="007C05F2"/>
    <w:rsid w:val="007C0716"/>
    <w:rsid w:val="007C1782"/>
    <w:rsid w:val="007C2C6C"/>
    <w:rsid w:val="007C314B"/>
    <w:rsid w:val="007C3E33"/>
    <w:rsid w:val="007C4148"/>
    <w:rsid w:val="007C42E2"/>
    <w:rsid w:val="007C43AB"/>
    <w:rsid w:val="007C46F8"/>
    <w:rsid w:val="007C67ED"/>
    <w:rsid w:val="007C6D8B"/>
    <w:rsid w:val="007C776B"/>
    <w:rsid w:val="007C79E4"/>
    <w:rsid w:val="007C7AF4"/>
    <w:rsid w:val="007C7D92"/>
    <w:rsid w:val="007D0836"/>
    <w:rsid w:val="007D0E1F"/>
    <w:rsid w:val="007D1B17"/>
    <w:rsid w:val="007D1D2C"/>
    <w:rsid w:val="007D5345"/>
    <w:rsid w:val="007D5881"/>
    <w:rsid w:val="007D5D25"/>
    <w:rsid w:val="007D7CA2"/>
    <w:rsid w:val="007E0B34"/>
    <w:rsid w:val="007E0DCF"/>
    <w:rsid w:val="007E26A7"/>
    <w:rsid w:val="007E28B5"/>
    <w:rsid w:val="007E2FCC"/>
    <w:rsid w:val="007E3D81"/>
    <w:rsid w:val="007E4C1D"/>
    <w:rsid w:val="007E5275"/>
    <w:rsid w:val="007E5CBA"/>
    <w:rsid w:val="007F07D7"/>
    <w:rsid w:val="007F1E84"/>
    <w:rsid w:val="007F2C3B"/>
    <w:rsid w:val="007F445C"/>
    <w:rsid w:val="007F482B"/>
    <w:rsid w:val="007F4A50"/>
    <w:rsid w:val="007F5064"/>
    <w:rsid w:val="007F5FB4"/>
    <w:rsid w:val="007F62C5"/>
    <w:rsid w:val="007F7855"/>
    <w:rsid w:val="00801E92"/>
    <w:rsid w:val="008024F4"/>
    <w:rsid w:val="00803D80"/>
    <w:rsid w:val="008043C1"/>
    <w:rsid w:val="008079CA"/>
    <w:rsid w:val="00807FB2"/>
    <w:rsid w:val="00811B92"/>
    <w:rsid w:val="00812196"/>
    <w:rsid w:val="00812A37"/>
    <w:rsid w:val="00812FC2"/>
    <w:rsid w:val="00814704"/>
    <w:rsid w:val="00815564"/>
    <w:rsid w:val="00815790"/>
    <w:rsid w:val="00815FDB"/>
    <w:rsid w:val="008219DA"/>
    <w:rsid w:val="00822739"/>
    <w:rsid w:val="0082292F"/>
    <w:rsid w:val="008236DB"/>
    <w:rsid w:val="008237E5"/>
    <w:rsid w:val="008241AA"/>
    <w:rsid w:val="00824634"/>
    <w:rsid w:val="00826221"/>
    <w:rsid w:val="008268F1"/>
    <w:rsid w:val="00827DBB"/>
    <w:rsid w:val="00827E51"/>
    <w:rsid w:val="0083227A"/>
    <w:rsid w:val="00833A72"/>
    <w:rsid w:val="00834107"/>
    <w:rsid w:val="00836392"/>
    <w:rsid w:val="008369D6"/>
    <w:rsid w:val="00836A7A"/>
    <w:rsid w:val="00836B1B"/>
    <w:rsid w:val="008374A0"/>
    <w:rsid w:val="00837A27"/>
    <w:rsid w:val="0084027B"/>
    <w:rsid w:val="00841638"/>
    <w:rsid w:val="00841AC3"/>
    <w:rsid w:val="00841B06"/>
    <w:rsid w:val="00842BE1"/>
    <w:rsid w:val="00842C1A"/>
    <w:rsid w:val="008432AE"/>
    <w:rsid w:val="00844272"/>
    <w:rsid w:val="00844FC7"/>
    <w:rsid w:val="008453FF"/>
    <w:rsid w:val="00845A2B"/>
    <w:rsid w:val="00845D60"/>
    <w:rsid w:val="00847357"/>
    <w:rsid w:val="00852CA3"/>
    <w:rsid w:val="00852DF9"/>
    <w:rsid w:val="0085479A"/>
    <w:rsid w:val="008553D1"/>
    <w:rsid w:val="00855784"/>
    <w:rsid w:val="00855886"/>
    <w:rsid w:val="008569A9"/>
    <w:rsid w:val="00856AC9"/>
    <w:rsid w:val="00856F93"/>
    <w:rsid w:val="0085760B"/>
    <w:rsid w:val="00857A51"/>
    <w:rsid w:val="00861111"/>
    <w:rsid w:val="00861297"/>
    <w:rsid w:val="008615D6"/>
    <w:rsid w:val="0086193F"/>
    <w:rsid w:val="00861B55"/>
    <w:rsid w:val="008624E2"/>
    <w:rsid w:val="008629AD"/>
    <w:rsid w:val="00862C7F"/>
    <w:rsid w:val="008632C1"/>
    <w:rsid w:val="00863678"/>
    <w:rsid w:val="00864D64"/>
    <w:rsid w:val="008650F2"/>
    <w:rsid w:val="00866260"/>
    <w:rsid w:val="008670BD"/>
    <w:rsid w:val="008672B4"/>
    <w:rsid w:val="00867DD1"/>
    <w:rsid w:val="008700E0"/>
    <w:rsid w:val="008700E6"/>
    <w:rsid w:val="008714F1"/>
    <w:rsid w:val="00871659"/>
    <w:rsid w:val="00871834"/>
    <w:rsid w:val="00871E10"/>
    <w:rsid w:val="00872733"/>
    <w:rsid w:val="00872FE6"/>
    <w:rsid w:val="0087342C"/>
    <w:rsid w:val="00874275"/>
    <w:rsid w:val="0087486E"/>
    <w:rsid w:val="008749D8"/>
    <w:rsid w:val="00874BC1"/>
    <w:rsid w:val="0087547F"/>
    <w:rsid w:val="008757DA"/>
    <w:rsid w:val="0087630F"/>
    <w:rsid w:val="00877706"/>
    <w:rsid w:val="00880B4C"/>
    <w:rsid w:val="00880DCA"/>
    <w:rsid w:val="008828AF"/>
    <w:rsid w:val="00882C01"/>
    <w:rsid w:val="008834EE"/>
    <w:rsid w:val="00883503"/>
    <w:rsid w:val="008840A5"/>
    <w:rsid w:val="00884519"/>
    <w:rsid w:val="008852CF"/>
    <w:rsid w:val="008855DB"/>
    <w:rsid w:val="00885605"/>
    <w:rsid w:val="00885EE8"/>
    <w:rsid w:val="008879C1"/>
    <w:rsid w:val="008901B5"/>
    <w:rsid w:val="00890240"/>
    <w:rsid w:val="00890CD2"/>
    <w:rsid w:val="00891B3A"/>
    <w:rsid w:val="008921CF"/>
    <w:rsid w:val="00892B12"/>
    <w:rsid w:val="00893D81"/>
    <w:rsid w:val="00895237"/>
    <w:rsid w:val="00895513"/>
    <w:rsid w:val="0089586D"/>
    <w:rsid w:val="008966F3"/>
    <w:rsid w:val="00897D48"/>
    <w:rsid w:val="00897EAF"/>
    <w:rsid w:val="008A034C"/>
    <w:rsid w:val="008A0452"/>
    <w:rsid w:val="008A11C5"/>
    <w:rsid w:val="008A1608"/>
    <w:rsid w:val="008A30A1"/>
    <w:rsid w:val="008A3AC2"/>
    <w:rsid w:val="008A54DA"/>
    <w:rsid w:val="008A6248"/>
    <w:rsid w:val="008A6795"/>
    <w:rsid w:val="008A6F81"/>
    <w:rsid w:val="008A7B42"/>
    <w:rsid w:val="008B2158"/>
    <w:rsid w:val="008B2159"/>
    <w:rsid w:val="008B23F8"/>
    <w:rsid w:val="008B2495"/>
    <w:rsid w:val="008B3E24"/>
    <w:rsid w:val="008B413C"/>
    <w:rsid w:val="008B4586"/>
    <w:rsid w:val="008B4623"/>
    <w:rsid w:val="008B497B"/>
    <w:rsid w:val="008B4EF4"/>
    <w:rsid w:val="008B5BA7"/>
    <w:rsid w:val="008B68F8"/>
    <w:rsid w:val="008B6BA2"/>
    <w:rsid w:val="008B713C"/>
    <w:rsid w:val="008B75C8"/>
    <w:rsid w:val="008B7629"/>
    <w:rsid w:val="008B775C"/>
    <w:rsid w:val="008C1FD9"/>
    <w:rsid w:val="008C4E3B"/>
    <w:rsid w:val="008C50FD"/>
    <w:rsid w:val="008C5266"/>
    <w:rsid w:val="008C607B"/>
    <w:rsid w:val="008C6109"/>
    <w:rsid w:val="008C767A"/>
    <w:rsid w:val="008C7937"/>
    <w:rsid w:val="008D0F48"/>
    <w:rsid w:val="008D0FD7"/>
    <w:rsid w:val="008D11D1"/>
    <w:rsid w:val="008D15B7"/>
    <w:rsid w:val="008D2255"/>
    <w:rsid w:val="008D26E2"/>
    <w:rsid w:val="008D287F"/>
    <w:rsid w:val="008D3266"/>
    <w:rsid w:val="008D45C1"/>
    <w:rsid w:val="008D57E9"/>
    <w:rsid w:val="008D6284"/>
    <w:rsid w:val="008D69D3"/>
    <w:rsid w:val="008E03AF"/>
    <w:rsid w:val="008E1B35"/>
    <w:rsid w:val="008E1D9B"/>
    <w:rsid w:val="008E361C"/>
    <w:rsid w:val="008E37AC"/>
    <w:rsid w:val="008E3C81"/>
    <w:rsid w:val="008E40C4"/>
    <w:rsid w:val="008E4CE8"/>
    <w:rsid w:val="008E5979"/>
    <w:rsid w:val="008E5B8D"/>
    <w:rsid w:val="008F12E9"/>
    <w:rsid w:val="008F141A"/>
    <w:rsid w:val="008F19DE"/>
    <w:rsid w:val="008F1D97"/>
    <w:rsid w:val="008F338A"/>
    <w:rsid w:val="008F34DC"/>
    <w:rsid w:val="008F3BD4"/>
    <w:rsid w:val="008F537A"/>
    <w:rsid w:val="008F5D30"/>
    <w:rsid w:val="008F738A"/>
    <w:rsid w:val="00900109"/>
    <w:rsid w:val="009003B5"/>
    <w:rsid w:val="009004FF"/>
    <w:rsid w:val="009008DC"/>
    <w:rsid w:val="009015D4"/>
    <w:rsid w:val="009016A8"/>
    <w:rsid w:val="00902947"/>
    <w:rsid w:val="00902F0B"/>
    <w:rsid w:val="00903072"/>
    <w:rsid w:val="009033BE"/>
    <w:rsid w:val="0090524C"/>
    <w:rsid w:val="00906638"/>
    <w:rsid w:val="009079C3"/>
    <w:rsid w:val="00910DB0"/>
    <w:rsid w:val="009113AC"/>
    <w:rsid w:val="00911430"/>
    <w:rsid w:val="00912B02"/>
    <w:rsid w:val="00913BD3"/>
    <w:rsid w:val="00913BEE"/>
    <w:rsid w:val="00914EAD"/>
    <w:rsid w:val="009151D9"/>
    <w:rsid w:val="00917BD3"/>
    <w:rsid w:val="009215DE"/>
    <w:rsid w:val="00923AA5"/>
    <w:rsid w:val="009270F2"/>
    <w:rsid w:val="00927691"/>
    <w:rsid w:val="009276AE"/>
    <w:rsid w:val="00927EE9"/>
    <w:rsid w:val="0093361A"/>
    <w:rsid w:val="00933740"/>
    <w:rsid w:val="00934335"/>
    <w:rsid w:val="0093442A"/>
    <w:rsid w:val="00934815"/>
    <w:rsid w:val="00934B9A"/>
    <w:rsid w:val="00934E19"/>
    <w:rsid w:val="00935ACA"/>
    <w:rsid w:val="00935D7A"/>
    <w:rsid w:val="00935DBF"/>
    <w:rsid w:val="00935DD2"/>
    <w:rsid w:val="009367F5"/>
    <w:rsid w:val="009379A6"/>
    <w:rsid w:val="00937BD5"/>
    <w:rsid w:val="00937BE4"/>
    <w:rsid w:val="00940E10"/>
    <w:rsid w:val="00941073"/>
    <w:rsid w:val="00941196"/>
    <w:rsid w:val="00941A2D"/>
    <w:rsid w:val="00941CA7"/>
    <w:rsid w:val="00942733"/>
    <w:rsid w:val="0094298B"/>
    <w:rsid w:val="009433F3"/>
    <w:rsid w:val="00943989"/>
    <w:rsid w:val="00943BDF"/>
    <w:rsid w:val="00943EDF"/>
    <w:rsid w:val="009446D2"/>
    <w:rsid w:val="00944B3E"/>
    <w:rsid w:val="00945031"/>
    <w:rsid w:val="00945A13"/>
    <w:rsid w:val="00946BB6"/>
    <w:rsid w:val="00946CF2"/>
    <w:rsid w:val="00946EE2"/>
    <w:rsid w:val="009515C5"/>
    <w:rsid w:val="00951812"/>
    <w:rsid w:val="00951D71"/>
    <w:rsid w:val="009523BF"/>
    <w:rsid w:val="00952669"/>
    <w:rsid w:val="00952AF3"/>
    <w:rsid w:val="00953984"/>
    <w:rsid w:val="00953E84"/>
    <w:rsid w:val="00956DF7"/>
    <w:rsid w:val="00960D09"/>
    <w:rsid w:val="0096127C"/>
    <w:rsid w:val="009614F2"/>
    <w:rsid w:val="00961AD0"/>
    <w:rsid w:val="00961E7C"/>
    <w:rsid w:val="00962047"/>
    <w:rsid w:val="0096305F"/>
    <w:rsid w:val="009639AC"/>
    <w:rsid w:val="00964B2E"/>
    <w:rsid w:val="009663A2"/>
    <w:rsid w:val="009665E1"/>
    <w:rsid w:val="0097049D"/>
    <w:rsid w:val="00970758"/>
    <w:rsid w:val="0097085A"/>
    <w:rsid w:val="009713A3"/>
    <w:rsid w:val="009713EA"/>
    <w:rsid w:val="0097183C"/>
    <w:rsid w:val="00971910"/>
    <w:rsid w:val="0097340D"/>
    <w:rsid w:val="009737AF"/>
    <w:rsid w:val="00974F27"/>
    <w:rsid w:val="009758A0"/>
    <w:rsid w:val="0097677A"/>
    <w:rsid w:val="009776C4"/>
    <w:rsid w:val="00977DA8"/>
    <w:rsid w:val="0098080E"/>
    <w:rsid w:val="00980E89"/>
    <w:rsid w:val="00981029"/>
    <w:rsid w:val="0098109B"/>
    <w:rsid w:val="009815CC"/>
    <w:rsid w:val="009816E3"/>
    <w:rsid w:val="00982050"/>
    <w:rsid w:val="009837BD"/>
    <w:rsid w:val="009840F3"/>
    <w:rsid w:val="009848A3"/>
    <w:rsid w:val="00985955"/>
    <w:rsid w:val="00985B19"/>
    <w:rsid w:val="00985DDA"/>
    <w:rsid w:val="00986605"/>
    <w:rsid w:val="009874B5"/>
    <w:rsid w:val="00987DE3"/>
    <w:rsid w:val="00987F4E"/>
    <w:rsid w:val="0099042E"/>
    <w:rsid w:val="00990677"/>
    <w:rsid w:val="009908FE"/>
    <w:rsid w:val="00990A79"/>
    <w:rsid w:val="00990FED"/>
    <w:rsid w:val="0099139D"/>
    <w:rsid w:val="00991D39"/>
    <w:rsid w:val="0099201C"/>
    <w:rsid w:val="00992DEE"/>
    <w:rsid w:val="00993B85"/>
    <w:rsid w:val="00993D93"/>
    <w:rsid w:val="009944E4"/>
    <w:rsid w:val="0099550C"/>
    <w:rsid w:val="0099590C"/>
    <w:rsid w:val="0099645E"/>
    <w:rsid w:val="009977A7"/>
    <w:rsid w:val="009A1439"/>
    <w:rsid w:val="009A24E0"/>
    <w:rsid w:val="009A4015"/>
    <w:rsid w:val="009A50C9"/>
    <w:rsid w:val="009A554D"/>
    <w:rsid w:val="009A66D2"/>
    <w:rsid w:val="009A6A17"/>
    <w:rsid w:val="009A6BEA"/>
    <w:rsid w:val="009A7059"/>
    <w:rsid w:val="009B32A4"/>
    <w:rsid w:val="009B5E16"/>
    <w:rsid w:val="009B60DE"/>
    <w:rsid w:val="009B6B4A"/>
    <w:rsid w:val="009C1813"/>
    <w:rsid w:val="009C1A7D"/>
    <w:rsid w:val="009C2A2C"/>
    <w:rsid w:val="009C32C3"/>
    <w:rsid w:val="009C4958"/>
    <w:rsid w:val="009C5AAA"/>
    <w:rsid w:val="009C6058"/>
    <w:rsid w:val="009C60AA"/>
    <w:rsid w:val="009C64CA"/>
    <w:rsid w:val="009C6E8D"/>
    <w:rsid w:val="009C6FC7"/>
    <w:rsid w:val="009C71A9"/>
    <w:rsid w:val="009C7DCD"/>
    <w:rsid w:val="009D028C"/>
    <w:rsid w:val="009D2228"/>
    <w:rsid w:val="009D286B"/>
    <w:rsid w:val="009D29CE"/>
    <w:rsid w:val="009D3CC5"/>
    <w:rsid w:val="009D4332"/>
    <w:rsid w:val="009D494F"/>
    <w:rsid w:val="009D4D7F"/>
    <w:rsid w:val="009D58E2"/>
    <w:rsid w:val="009D5B02"/>
    <w:rsid w:val="009D6A89"/>
    <w:rsid w:val="009E1DC9"/>
    <w:rsid w:val="009E39C4"/>
    <w:rsid w:val="009E441E"/>
    <w:rsid w:val="009E5B06"/>
    <w:rsid w:val="009E5C6B"/>
    <w:rsid w:val="009E5E03"/>
    <w:rsid w:val="009F0666"/>
    <w:rsid w:val="009F33CC"/>
    <w:rsid w:val="009F3721"/>
    <w:rsid w:val="009F4338"/>
    <w:rsid w:val="009F6C13"/>
    <w:rsid w:val="009F6D9D"/>
    <w:rsid w:val="009F6EFE"/>
    <w:rsid w:val="00A0033C"/>
    <w:rsid w:val="00A00445"/>
    <w:rsid w:val="00A00C23"/>
    <w:rsid w:val="00A0104A"/>
    <w:rsid w:val="00A01B35"/>
    <w:rsid w:val="00A020BB"/>
    <w:rsid w:val="00A0250B"/>
    <w:rsid w:val="00A0292A"/>
    <w:rsid w:val="00A03432"/>
    <w:rsid w:val="00A044CE"/>
    <w:rsid w:val="00A070DC"/>
    <w:rsid w:val="00A07297"/>
    <w:rsid w:val="00A102D0"/>
    <w:rsid w:val="00A103AF"/>
    <w:rsid w:val="00A10C4A"/>
    <w:rsid w:val="00A114CB"/>
    <w:rsid w:val="00A11A66"/>
    <w:rsid w:val="00A123C9"/>
    <w:rsid w:val="00A12882"/>
    <w:rsid w:val="00A12F15"/>
    <w:rsid w:val="00A140A7"/>
    <w:rsid w:val="00A14CB4"/>
    <w:rsid w:val="00A15D85"/>
    <w:rsid w:val="00A163E3"/>
    <w:rsid w:val="00A166E0"/>
    <w:rsid w:val="00A16A91"/>
    <w:rsid w:val="00A17EF2"/>
    <w:rsid w:val="00A17F35"/>
    <w:rsid w:val="00A2061A"/>
    <w:rsid w:val="00A20E31"/>
    <w:rsid w:val="00A2157E"/>
    <w:rsid w:val="00A21B02"/>
    <w:rsid w:val="00A22732"/>
    <w:rsid w:val="00A22791"/>
    <w:rsid w:val="00A22C31"/>
    <w:rsid w:val="00A22D7B"/>
    <w:rsid w:val="00A2330B"/>
    <w:rsid w:val="00A23D91"/>
    <w:rsid w:val="00A240FB"/>
    <w:rsid w:val="00A249CC"/>
    <w:rsid w:val="00A253DC"/>
    <w:rsid w:val="00A304BC"/>
    <w:rsid w:val="00A30A6F"/>
    <w:rsid w:val="00A31222"/>
    <w:rsid w:val="00A31D8B"/>
    <w:rsid w:val="00A33345"/>
    <w:rsid w:val="00A337C3"/>
    <w:rsid w:val="00A34275"/>
    <w:rsid w:val="00A3495B"/>
    <w:rsid w:val="00A35435"/>
    <w:rsid w:val="00A3581E"/>
    <w:rsid w:val="00A363E4"/>
    <w:rsid w:val="00A375C4"/>
    <w:rsid w:val="00A375CC"/>
    <w:rsid w:val="00A40622"/>
    <w:rsid w:val="00A424E0"/>
    <w:rsid w:val="00A42614"/>
    <w:rsid w:val="00A4287B"/>
    <w:rsid w:val="00A455F8"/>
    <w:rsid w:val="00A47BEA"/>
    <w:rsid w:val="00A47C05"/>
    <w:rsid w:val="00A47F19"/>
    <w:rsid w:val="00A506AE"/>
    <w:rsid w:val="00A51EF1"/>
    <w:rsid w:val="00A52009"/>
    <w:rsid w:val="00A5229D"/>
    <w:rsid w:val="00A52795"/>
    <w:rsid w:val="00A53708"/>
    <w:rsid w:val="00A53779"/>
    <w:rsid w:val="00A5457F"/>
    <w:rsid w:val="00A54E10"/>
    <w:rsid w:val="00A55469"/>
    <w:rsid w:val="00A55836"/>
    <w:rsid w:val="00A56670"/>
    <w:rsid w:val="00A56C4A"/>
    <w:rsid w:val="00A57086"/>
    <w:rsid w:val="00A576A5"/>
    <w:rsid w:val="00A601F1"/>
    <w:rsid w:val="00A60A3B"/>
    <w:rsid w:val="00A60AE9"/>
    <w:rsid w:val="00A62259"/>
    <w:rsid w:val="00A62E06"/>
    <w:rsid w:val="00A63479"/>
    <w:rsid w:val="00A63B7A"/>
    <w:rsid w:val="00A64C89"/>
    <w:rsid w:val="00A7138A"/>
    <w:rsid w:val="00A7167B"/>
    <w:rsid w:val="00A71CA4"/>
    <w:rsid w:val="00A72525"/>
    <w:rsid w:val="00A72699"/>
    <w:rsid w:val="00A72E1E"/>
    <w:rsid w:val="00A72F4D"/>
    <w:rsid w:val="00A74047"/>
    <w:rsid w:val="00A75ECB"/>
    <w:rsid w:val="00A77EF7"/>
    <w:rsid w:val="00A8077B"/>
    <w:rsid w:val="00A808D0"/>
    <w:rsid w:val="00A80A0A"/>
    <w:rsid w:val="00A81448"/>
    <w:rsid w:val="00A825C2"/>
    <w:rsid w:val="00A8292E"/>
    <w:rsid w:val="00A82A7D"/>
    <w:rsid w:val="00A82F4D"/>
    <w:rsid w:val="00A83212"/>
    <w:rsid w:val="00A83E59"/>
    <w:rsid w:val="00A83FF7"/>
    <w:rsid w:val="00A84512"/>
    <w:rsid w:val="00A85952"/>
    <w:rsid w:val="00A86FE3"/>
    <w:rsid w:val="00A907B2"/>
    <w:rsid w:val="00A9135C"/>
    <w:rsid w:val="00A91DF1"/>
    <w:rsid w:val="00A9346C"/>
    <w:rsid w:val="00A9398E"/>
    <w:rsid w:val="00A943D2"/>
    <w:rsid w:val="00A94D7E"/>
    <w:rsid w:val="00A955C2"/>
    <w:rsid w:val="00A9573D"/>
    <w:rsid w:val="00A95C8B"/>
    <w:rsid w:val="00A95EB9"/>
    <w:rsid w:val="00A96DDC"/>
    <w:rsid w:val="00AA08BC"/>
    <w:rsid w:val="00AA0CB0"/>
    <w:rsid w:val="00AA129E"/>
    <w:rsid w:val="00AA136E"/>
    <w:rsid w:val="00AA288D"/>
    <w:rsid w:val="00AA3329"/>
    <w:rsid w:val="00AA385E"/>
    <w:rsid w:val="00AA504A"/>
    <w:rsid w:val="00AA7125"/>
    <w:rsid w:val="00AA7B11"/>
    <w:rsid w:val="00AA7EC3"/>
    <w:rsid w:val="00AA7FC0"/>
    <w:rsid w:val="00AB0EDC"/>
    <w:rsid w:val="00AB1A63"/>
    <w:rsid w:val="00AB2411"/>
    <w:rsid w:val="00AB32FC"/>
    <w:rsid w:val="00AB51FA"/>
    <w:rsid w:val="00AB5B8A"/>
    <w:rsid w:val="00AB5F77"/>
    <w:rsid w:val="00AB6907"/>
    <w:rsid w:val="00AB7233"/>
    <w:rsid w:val="00AC0FC2"/>
    <w:rsid w:val="00AC49E3"/>
    <w:rsid w:val="00AC6062"/>
    <w:rsid w:val="00AC6577"/>
    <w:rsid w:val="00AC71AC"/>
    <w:rsid w:val="00AC74FA"/>
    <w:rsid w:val="00AC7944"/>
    <w:rsid w:val="00AC7AD3"/>
    <w:rsid w:val="00AD07BC"/>
    <w:rsid w:val="00AD0B45"/>
    <w:rsid w:val="00AD3ACD"/>
    <w:rsid w:val="00AD3FFD"/>
    <w:rsid w:val="00AD4467"/>
    <w:rsid w:val="00AD5047"/>
    <w:rsid w:val="00AD7E8D"/>
    <w:rsid w:val="00AE0535"/>
    <w:rsid w:val="00AE1214"/>
    <w:rsid w:val="00AE21F7"/>
    <w:rsid w:val="00AE3E90"/>
    <w:rsid w:val="00AE523F"/>
    <w:rsid w:val="00AE633F"/>
    <w:rsid w:val="00AE6E4E"/>
    <w:rsid w:val="00AE75EC"/>
    <w:rsid w:val="00AE7E53"/>
    <w:rsid w:val="00AF0A97"/>
    <w:rsid w:val="00AF0E4E"/>
    <w:rsid w:val="00AF10EE"/>
    <w:rsid w:val="00AF188A"/>
    <w:rsid w:val="00AF2370"/>
    <w:rsid w:val="00AF2AEC"/>
    <w:rsid w:val="00AF2E6A"/>
    <w:rsid w:val="00AF4735"/>
    <w:rsid w:val="00AF5659"/>
    <w:rsid w:val="00B000E5"/>
    <w:rsid w:val="00B00ADD"/>
    <w:rsid w:val="00B010DD"/>
    <w:rsid w:val="00B0186D"/>
    <w:rsid w:val="00B018D0"/>
    <w:rsid w:val="00B02392"/>
    <w:rsid w:val="00B02F55"/>
    <w:rsid w:val="00B030CA"/>
    <w:rsid w:val="00B041ED"/>
    <w:rsid w:val="00B0524A"/>
    <w:rsid w:val="00B05313"/>
    <w:rsid w:val="00B05890"/>
    <w:rsid w:val="00B05BFF"/>
    <w:rsid w:val="00B106D1"/>
    <w:rsid w:val="00B10C6D"/>
    <w:rsid w:val="00B11592"/>
    <w:rsid w:val="00B11A4E"/>
    <w:rsid w:val="00B121BC"/>
    <w:rsid w:val="00B128F0"/>
    <w:rsid w:val="00B12B5A"/>
    <w:rsid w:val="00B12B63"/>
    <w:rsid w:val="00B16A1D"/>
    <w:rsid w:val="00B16A97"/>
    <w:rsid w:val="00B16E87"/>
    <w:rsid w:val="00B17D51"/>
    <w:rsid w:val="00B20C90"/>
    <w:rsid w:val="00B24874"/>
    <w:rsid w:val="00B24F1F"/>
    <w:rsid w:val="00B255C9"/>
    <w:rsid w:val="00B278C6"/>
    <w:rsid w:val="00B306F9"/>
    <w:rsid w:val="00B3109A"/>
    <w:rsid w:val="00B32093"/>
    <w:rsid w:val="00B3218A"/>
    <w:rsid w:val="00B332A0"/>
    <w:rsid w:val="00B33D0B"/>
    <w:rsid w:val="00B34B7D"/>
    <w:rsid w:val="00B34EBB"/>
    <w:rsid w:val="00B364A4"/>
    <w:rsid w:val="00B36AA0"/>
    <w:rsid w:val="00B36BC5"/>
    <w:rsid w:val="00B40A79"/>
    <w:rsid w:val="00B41919"/>
    <w:rsid w:val="00B41E86"/>
    <w:rsid w:val="00B443BA"/>
    <w:rsid w:val="00B451F5"/>
    <w:rsid w:val="00B457B6"/>
    <w:rsid w:val="00B46697"/>
    <w:rsid w:val="00B4783A"/>
    <w:rsid w:val="00B47A9A"/>
    <w:rsid w:val="00B50044"/>
    <w:rsid w:val="00B514A1"/>
    <w:rsid w:val="00B51879"/>
    <w:rsid w:val="00B51DCD"/>
    <w:rsid w:val="00B53E34"/>
    <w:rsid w:val="00B54AA3"/>
    <w:rsid w:val="00B554AD"/>
    <w:rsid w:val="00B55BB5"/>
    <w:rsid w:val="00B56D97"/>
    <w:rsid w:val="00B57014"/>
    <w:rsid w:val="00B64088"/>
    <w:rsid w:val="00B660C2"/>
    <w:rsid w:val="00B66F81"/>
    <w:rsid w:val="00B7201B"/>
    <w:rsid w:val="00B7240F"/>
    <w:rsid w:val="00B737E1"/>
    <w:rsid w:val="00B73F17"/>
    <w:rsid w:val="00B75550"/>
    <w:rsid w:val="00B76AF9"/>
    <w:rsid w:val="00B76AFF"/>
    <w:rsid w:val="00B77070"/>
    <w:rsid w:val="00B77B62"/>
    <w:rsid w:val="00B77C2E"/>
    <w:rsid w:val="00B77F81"/>
    <w:rsid w:val="00B80254"/>
    <w:rsid w:val="00B81CD7"/>
    <w:rsid w:val="00B81DF3"/>
    <w:rsid w:val="00B81E85"/>
    <w:rsid w:val="00B8279B"/>
    <w:rsid w:val="00B82F9C"/>
    <w:rsid w:val="00B83DC3"/>
    <w:rsid w:val="00B8441B"/>
    <w:rsid w:val="00B84E36"/>
    <w:rsid w:val="00B85406"/>
    <w:rsid w:val="00B856AB"/>
    <w:rsid w:val="00B8652E"/>
    <w:rsid w:val="00B87FAE"/>
    <w:rsid w:val="00B9008D"/>
    <w:rsid w:val="00B9207F"/>
    <w:rsid w:val="00B93568"/>
    <w:rsid w:val="00B93C40"/>
    <w:rsid w:val="00B9513F"/>
    <w:rsid w:val="00B95D3F"/>
    <w:rsid w:val="00B9631C"/>
    <w:rsid w:val="00B97013"/>
    <w:rsid w:val="00B978BA"/>
    <w:rsid w:val="00B97EA2"/>
    <w:rsid w:val="00BA02F8"/>
    <w:rsid w:val="00BA05E9"/>
    <w:rsid w:val="00BA1405"/>
    <w:rsid w:val="00BA2884"/>
    <w:rsid w:val="00BA2C4E"/>
    <w:rsid w:val="00BA323F"/>
    <w:rsid w:val="00BA3FC9"/>
    <w:rsid w:val="00BA404B"/>
    <w:rsid w:val="00BA46B5"/>
    <w:rsid w:val="00BA50B5"/>
    <w:rsid w:val="00BA657C"/>
    <w:rsid w:val="00BA7704"/>
    <w:rsid w:val="00BB0495"/>
    <w:rsid w:val="00BB1DFB"/>
    <w:rsid w:val="00BB2817"/>
    <w:rsid w:val="00BB357E"/>
    <w:rsid w:val="00BB4242"/>
    <w:rsid w:val="00BB4729"/>
    <w:rsid w:val="00BB53CD"/>
    <w:rsid w:val="00BB5890"/>
    <w:rsid w:val="00BB5C6A"/>
    <w:rsid w:val="00BB606E"/>
    <w:rsid w:val="00BB692F"/>
    <w:rsid w:val="00BB7ED0"/>
    <w:rsid w:val="00BB7EEE"/>
    <w:rsid w:val="00BC013B"/>
    <w:rsid w:val="00BC02CB"/>
    <w:rsid w:val="00BC0522"/>
    <w:rsid w:val="00BC1224"/>
    <w:rsid w:val="00BC2DDE"/>
    <w:rsid w:val="00BC5CDE"/>
    <w:rsid w:val="00BC6BF7"/>
    <w:rsid w:val="00BC6F8B"/>
    <w:rsid w:val="00BD1344"/>
    <w:rsid w:val="00BD147A"/>
    <w:rsid w:val="00BD1775"/>
    <w:rsid w:val="00BD2FA8"/>
    <w:rsid w:val="00BD372B"/>
    <w:rsid w:val="00BD3A99"/>
    <w:rsid w:val="00BD3B61"/>
    <w:rsid w:val="00BD3F72"/>
    <w:rsid w:val="00BD40B6"/>
    <w:rsid w:val="00BD476C"/>
    <w:rsid w:val="00BD5932"/>
    <w:rsid w:val="00BD616D"/>
    <w:rsid w:val="00BD738C"/>
    <w:rsid w:val="00BE08DF"/>
    <w:rsid w:val="00BE0E3E"/>
    <w:rsid w:val="00BE2087"/>
    <w:rsid w:val="00BE2194"/>
    <w:rsid w:val="00BE67B1"/>
    <w:rsid w:val="00BE7185"/>
    <w:rsid w:val="00BE7BCB"/>
    <w:rsid w:val="00BF0499"/>
    <w:rsid w:val="00BF0A1A"/>
    <w:rsid w:val="00BF2D04"/>
    <w:rsid w:val="00BF2F47"/>
    <w:rsid w:val="00BF3243"/>
    <w:rsid w:val="00BF3D29"/>
    <w:rsid w:val="00BF4683"/>
    <w:rsid w:val="00BF542D"/>
    <w:rsid w:val="00BF5DE8"/>
    <w:rsid w:val="00BF63BE"/>
    <w:rsid w:val="00BF712A"/>
    <w:rsid w:val="00C03C21"/>
    <w:rsid w:val="00C04944"/>
    <w:rsid w:val="00C056F2"/>
    <w:rsid w:val="00C05FB7"/>
    <w:rsid w:val="00C0603C"/>
    <w:rsid w:val="00C07977"/>
    <w:rsid w:val="00C07ACD"/>
    <w:rsid w:val="00C11364"/>
    <w:rsid w:val="00C119EE"/>
    <w:rsid w:val="00C11C88"/>
    <w:rsid w:val="00C11C8D"/>
    <w:rsid w:val="00C11F2A"/>
    <w:rsid w:val="00C13071"/>
    <w:rsid w:val="00C13A4B"/>
    <w:rsid w:val="00C13B13"/>
    <w:rsid w:val="00C14742"/>
    <w:rsid w:val="00C16047"/>
    <w:rsid w:val="00C17443"/>
    <w:rsid w:val="00C20CE8"/>
    <w:rsid w:val="00C20D96"/>
    <w:rsid w:val="00C214C6"/>
    <w:rsid w:val="00C21BD2"/>
    <w:rsid w:val="00C22414"/>
    <w:rsid w:val="00C24607"/>
    <w:rsid w:val="00C25975"/>
    <w:rsid w:val="00C26016"/>
    <w:rsid w:val="00C26C21"/>
    <w:rsid w:val="00C27C9A"/>
    <w:rsid w:val="00C302DF"/>
    <w:rsid w:val="00C326DF"/>
    <w:rsid w:val="00C342A5"/>
    <w:rsid w:val="00C34F05"/>
    <w:rsid w:val="00C356C2"/>
    <w:rsid w:val="00C356E1"/>
    <w:rsid w:val="00C35726"/>
    <w:rsid w:val="00C372B4"/>
    <w:rsid w:val="00C377A1"/>
    <w:rsid w:val="00C37CDF"/>
    <w:rsid w:val="00C411C7"/>
    <w:rsid w:val="00C41954"/>
    <w:rsid w:val="00C424DA"/>
    <w:rsid w:val="00C42EA7"/>
    <w:rsid w:val="00C432F5"/>
    <w:rsid w:val="00C4375E"/>
    <w:rsid w:val="00C43A04"/>
    <w:rsid w:val="00C44D75"/>
    <w:rsid w:val="00C454BB"/>
    <w:rsid w:val="00C46204"/>
    <w:rsid w:val="00C46B05"/>
    <w:rsid w:val="00C4774E"/>
    <w:rsid w:val="00C479CF"/>
    <w:rsid w:val="00C504AC"/>
    <w:rsid w:val="00C50B64"/>
    <w:rsid w:val="00C510B6"/>
    <w:rsid w:val="00C519E2"/>
    <w:rsid w:val="00C51C3C"/>
    <w:rsid w:val="00C5443A"/>
    <w:rsid w:val="00C552CD"/>
    <w:rsid w:val="00C63B70"/>
    <w:rsid w:val="00C641C6"/>
    <w:rsid w:val="00C66820"/>
    <w:rsid w:val="00C66A15"/>
    <w:rsid w:val="00C66C93"/>
    <w:rsid w:val="00C67F0E"/>
    <w:rsid w:val="00C711D6"/>
    <w:rsid w:val="00C715ED"/>
    <w:rsid w:val="00C71A39"/>
    <w:rsid w:val="00C7250B"/>
    <w:rsid w:val="00C73EB8"/>
    <w:rsid w:val="00C7456D"/>
    <w:rsid w:val="00C748C9"/>
    <w:rsid w:val="00C76564"/>
    <w:rsid w:val="00C8003E"/>
    <w:rsid w:val="00C802C7"/>
    <w:rsid w:val="00C8219B"/>
    <w:rsid w:val="00C82A5A"/>
    <w:rsid w:val="00C84252"/>
    <w:rsid w:val="00C84EEC"/>
    <w:rsid w:val="00C86626"/>
    <w:rsid w:val="00C871BA"/>
    <w:rsid w:val="00C87E80"/>
    <w:rsid w:val="00C908C4"/>
    <w:rsid w:val="00C909EA"/>
    <w:rsid w:val="00C91088"/>
    <w:rsid w:val="00C910B5"/>
    <w:rsid w:val="00C91757"/>
    <w:rsid w:val="00C9201A"/>
    <w:rsid w:val="00C93F0E"/>
    <w:rsid w:val="00C94CB9"/>
    <w:rsid w:val="00C95310"/>
    <w:rsid w:val="00C95634"/>
    <w:rsid w:val="00C95EE2"/>
    <w:rsid w:val="00C96B45"/>
    <w:rsid w:val="00CA1C9E"/>
    <w:rsid w:val="00CA2192"/>
    <w:rsid w:val="00CA25AF"/>
    <w:rsid w:val="00CA5C42"/>
    <w:rsid w:val="00CA76B4"/>
    <w:rsid w:val="00CA7794"/>
    <w:rsid w:val="00CA7A3D"/>
    <w:rsid w:val="00CA7BDE"/>
    <w:rsid w:val="00CB03BE"/>
    <w:rsid w:val="00CB1357"/>
    <w:rsid w:val="00CB23A2"/>
    <w:rsid w:val="00CB3173"/>
    <w:rsid w:val="00CB3723"/>
    <w:rsid w:val="00CB508A"/>
    <w:rsid w:val="00CB6606"/>
    <w:rsid w:val="00CB6B95"/>
    <w:rsid w:val="00CB76BE"/>
    <w:rsid w:val="00CB7F4D"/>
    <w:rsid w:val="00CC1A0C"/>
    <w:rsid w:val="00CC2574"/>
    <w:rsid w:val="00CC4539"/>
    <w:rsid w:val="00CC461C"/>
    <w:rsid w:val="00CC56B4"/>
    <w:rsid w:val="00CC5F23"/>
    <w:rsid w:val="00CC72F9"/>
    <w:rsid w:val="00CC7520"/>
    <w:rsid w:val="00CC7FD8"/>
    <w:rsid w:val="00CD054C"/>
    <w:rsid w:val="00CD0601"/>
    <w:rsid w:val="00CD074D"/>
    <w:rsid w:val="00CD0AA9"/>
    <w:rsid w:val="00CD0F65"/>
    <w:rsid w:val="00CD1532"/>
    <w:rsid w:val="00CD1FE0"/>
    <w:rsid w:val="00CD2485"/>
    <w:rsid w:val="00CD2B79"/>
    <w:rsid w:val="00CD38BC"/>
    <w:rsid w:val="00CD4250"/>
    <w:rsid w:val="00CD48FC"/>
    <w:rsid w:val="00CD523F"/>
    <w:rsid w:val="00CD5352"/>
    <w:rsid w:val="00CD5D94"/>
    <w:rsid w:val="00CD6555"/>
    <w:rsid w:val="00CD6861"/>
    <w:rsid w:val="00CD71E0"/>
    <w:rsid w:val="00CD774D"/>
    <w:rsid w:val="00CD7864"/>
    <w:rsid w:val="00CE032A"/>
    <w:rsid w:val="00CE0847"/>
    <w:rsid w:val="00CE0B6D"/>
    <w:rsid w:val="00CE1BEF"/>
    <w:rsid w:val="00CE1E54"/>
    <w:rsid w:val="00CE2A33"/>
    <w:rsid w:val="00CE2DC2"/>
    <w:rsid w:val="00CE2FC0"/>
    <w:rsid w:val="00CE33AF"/>
    <w:rsid w:val="00CE3D77"/>
    <w:rsid w:val="00CE40C3"/>
    <w:rsid w:val="00CE4643"/>
    <w:rsid w:val="00CE4A90"/>
    <w:rsid w:val="00CE5CB1"/>
    <w:rsid w:val="00CE602B"/>
    <w:rsid w:val="00CE66F2"/>
    <w:rsid w:val="00CE7D47"/>
    <w:rsid w:val="00CF0806"/>
    <w:rsid w:val="00CF0A14"/>
    <w:rsid w:val="00CF0CB6"/>
    <w:rsid w:val="00CF4342"/>
    <w:rsid w:val="00CF52C0"/>
    <w:rsid w:val="00CF5557"/>
    <w:rsid w:val="00CF6FCC"/>
    <w:rsid w:val="00CF7297"/>
    <w:rsid w:val="00D00874"/>
    <w:rsid w:val="00D02516"/>
    <w:rsid w:val="00D04E52"/>
    <w:rsid w:val="00D04F2B"/>
    <w:rsid w:val="00D05DCC"/>
    <w:rsid w:val="00D06056"/>
    <w:rsid w:val="00D060CD"/>
    <w:rsid w:val="00D06353"/>
    <w:rsid w:val="00D104C0"/>
    <w:rsid w:val="00D107C4"/>
    <w:rsid w:val="00D1127D"/>
    <w:rsid w:val="00D1162A"/>
    <w:rsid w:val="00D1162E"/>
    <w:rsid w:val="00D116CA"/>
    <w:rsid w:val="00D117ED"/>
    <w:rsid w:val="00D11E9B"/>
    <w:rsid w:val="00D120AC"/>
    <w:rsid w:val="00D129A8"/>
    <w:rsid w:val="00D136E1"/>
    <w:rsid w:val="00D154B8"/>
    <w:rsid w:val="00D15FC0"/>
    <w:rsid w:val="00D160E2"/>
    <w:rsid w:val="00D1692D"/>
    <w:rsid w:val="00D16BAC"/>
    <w:rsid w:val="00D17960"/>
    <w:rsid w:val="00D21CA2"/>
    <w:rsid w:val="00D21E1A"/>
    <w:rsid w:val="00D21F32"/>
    <w:rsid w:val="00D2263E"/>
    <w:rsid w:val="00D22AD7"/>
    <w:rsid w:val="00D23432"/>
    <w:rsid w:val="00D23904"/>
    <w:rsid w:val="00D23DFF"/>
    <w:rsid w:val="00D24398"/>
    <w:rsid w:val="00D24D3B"/>
    <w:rsid w:val="00D24E1A"/>
    <w:rsid w:val="00D25046"/>
    <w:rsid w:val="00D25FB0"/>
    <w:rsid w:val="00D26180"/>
    <w:rsid w:val="00D310C4"/>
    <w:rsid w:val="00D31664"/>
    <w:rsid w:val="00D32052"/>
    <w:rsid w:val="00D32FF1"/>
    <w:rsid w:val="00D33689"/>
    <w:rsid w:val="00D3382D"/>
    <w:rsid w:val="00D33ADB"/>
    <w:rsid w:val="00D35C30"/>
    <w:rsid w:val="00D35C70"/>
    <w:rsid w:val="00D36E77"/>
    <w:rsid w:val="00D36E83"/>
    <w:rsid w:val="00D40268"/>
    <w:rsid w:val="00D42EA2"/>
    <w:rsid w:val="00D435CC"/>
    <w:rsid w:val="00D43A37"/>
    <w:rsid w:val="00D44CFC"/>
    <w:rsid w:val="00D454CD"/>
    <w:rsid w:val="00D459AA"/>
    <w:rsid w:val="00D46B9F"/>
    <w:rsid w:val="00D47311"/>
    <w:rsid w:val="00D5011E"/>
    <w:rsid w:val="00D5085B"/>
    <w:rsid w:val="00D51728"/>
    <w:rsid w:val="00D52332"/>
    <w:rsid w:val="00D53A0B"/>
    <w:rsid w:val="00D54173"/>
    <w:rsid w:val="00D549A3"/>
    <w:rsid w:val="00D54F1D"/>
    <w:rsid w:val="00D5510C"/>
    <w:rsid w:val="00D55916"/>
    <w:rsid w:val="00D569CA"/>
    <w:rsid w:val="00D57435"/>
    <w:rsid w:val="00D6008D"/>
    <w:rsid w:val="00D60278"/>
    <w:rsid w:val="00D61A6E"/>
    <w:rsid w:val="00D61C04"/>
    <w:rsid w:val="00D62CE0"/>
    <w:rsid w:val="00D63355"/>
    <w:rsid w:val="00D637F2"/>
    <w:rsid w:val="00D638FE"/>
    <w:rsid w:val="00D64162"/>
    <w:rsid w:val="00D64C2D"/>
    <w:rsid w:val="00D66E95"/>
    <w:rsid w:val="00D704B1"/>
    <w:rsid w:val="00D71D78"/>
    <w:rsid w:val="00D73602"/>
    <w:rsid w:val="00D7382C"/>
    <w:rsid w:val="00D73979"/>
    <w:rsid w:val="00D73C23"/>
    <w:rsid w:val="00D74398"/>
    <w:rsid w:val="00D75001"/>
    <w:rsid w:val="00D760B4"/>
    <w:rsid w:val="00D76376"/>
    <w:rsid w:val="00D764D1"/>
    <w:rsid w:val="00D779C0"/>
    <w:rsid w:val="00D77F71"/>
    <w:rsid w:val="00D81CE3"/>
    <w:rsid w:val="00D829FD"/>
    <w:rsid w:val="00D8305C"/>
    <w:rsid w:val="00D8454D"/>
    <w:rsid w:val="00D84AB5"/>
    <w:rsid w:val="00D913AB"/>
    <w:rsid w:val="00D9257E"/>
    <w:rsid w:val="00D927BC"/>
    <w:rsid w:val="00D92C1D"/>
    <w:rsid w:val="00D94384"/>
    <w:rsid w:val="00D94565"/>
    <w:rsid w:val="00D96B6A"/>
    <w:rsid w:val="00DA0650"/>
    <w:rsid w:val="00DA1815"/>
    <w:rsid w:val="00DA1D1F"/>
    <w:rsid w:val="00DA2D36"/>
    <w:rsid w:val="00DA39AF"/>
    <w:rsid w:val="00DA3DF9"/>
    <w:rsid w:val="00DA423E"/>
    <w:rsid w:val="00DA76D0"/>
    <w:rsid w:val="00DB292D"/>
    <w:rsid w:val="00DB3093"/>
    <w:rsid w:val="00DB36C9"/>
    <w:rsid w:val="00DB6955"/>
    <w:rsid w:val="00DB6DF6"/>
    <w:rsid w:val="00DB7219"/>
    <w:rsid w:val="00DC0879"/>
    <w:rsid w:val="00DC3081"/>
    <w:rsid w:val="00DC325E"/>
    <w:rsid w:val="00DC3AE7"/>
    <w:rsid w:val="00DC42B9"/>
    <w:rsid w:val="00DC4BE9"/>
    <w:rsid w:val="00DC6B44"/>
    <w:rsid w:val="00DC7D6F"/>
    <w:rsid w:val="00DD0170"/>
    <w:rsid w:val="00DD0591"/>
    <w:rsid w:val="00DD22AC"/>
    <w:rsid w:val="00DD275E"/>
    <w:rsid w:val="00DD2FAA"/>
    <w:rsid w:val="00DD3CA4"/>
    <w:rsid w:val="00DD4117"/>
    <w:rsid w:val="00DD453D"/>
    <w:rsid w:val="00DD4976"/>
    <w:rsid w:val="00DD4B60"/>
    <w:rsid w:val="00DD6E92"/>
    <w:rsid w:val="00DE04C4"/>
    <w:rsid w:val="00DE07D5"/>
    <w:rsid w:val="00DE09A8"/>
    <w:rsid w:val="00DE09B3"/>
    <w:rsid w:val="00DE1CC5"/>
    <w:rsid w:val="00DE2623"/>
    <w:rsid w:val="00DE3B5C"/>
    <w:rsid w:val="00DE4401"/>
    <w:rsid w:val="00DE5360"/>
    <w:rsid w:val="00DE5E31"/>
    <w:rsid w:val="00DE6D43"/>
    <w:rsid w:val="00DE7021"/>
    <w:rsid w:val="00DE7744"/>
    <w:rsid w:val="00DF053C"/>
    <w:rsid w:val="00DF06AC"/>
    <w:rsid w:val="00DF1E04"/>
    <w:rsid w:val="00DF2CAA"/>
    <w:rsid w:val="00DF307C"/>
    <w:rsid w:val="00DF571A"/>
    <w:rsid w:val="00DF75AC"/>
    <w:rsid w:val="00DF7A9D"/>
    <w:rsid w:val="00E01449"/>
    <w:rsid w:val="00E015FD"/>
    <w:rsid w:val="00E0275F"/>
    <w:rsid w:val="00E03D8D"/>
    <w:rsid w:val="00E03EBA"/>
    <w:rsid w:val="00E04AA3"/>
    <w:rsid w:val="00E0517E"/>
    <w:rsid w:val="00E05FA9"/>
    <w:rsid w:val="00E0619D"/>
    <w:rsid w:val="00E068D9"/>
    <w:rsid w:val="00E1093F"/>
    <w:rsid w:val="00E11457"/>
    <w:rsid w:val="00E117F8"/>
    <w:rsid w:val="00E11827"/>
    <w:rsid w:val="00E11D7A"/>
    <w:rsid w:val="00E1212F"/>
    <w:rsid w:val="00E12628"/>
    <w:rsid w:val="00E1341C"/>
    <w:rsid w:val="00E13468"/>
    <w:rsid w:val="00E13E9E"/>
    <w:rsid w:val="00E145C6"/>
    <w:rsid w:val="00E15B37"/>
    <w:rsid w:val="00E15C24"/>
    <w:rsid w:val="00E16870"/>
    <w:rsid w:val="00E1727B"/>
    <w:rsid w:val="00E173BD"/>
    <w:rsid w:val="00E20466"/>
    <w:rsid w:val="00E20675"/>
    <w:rsid w:val="00E227C1"/>
    <w:rsid w:val="00E22C41"/>
    <w:rsid w:val="00E22DC1"/>
    <w:rsid w:val="00E23242"/>
    <w:rsid w:val="00E2383C"/>
    <w:rsid w:val="00E24B0D"/>
    <w:rsid w:val="00E250C4"/>
    <w:rsid w:val="00E25501"/>
    <w:rsid w:val="00E255DD"/>
    <w:rsid w:val="00E25918"/>
    <w:rsid w:val="00E25B7A"/>
    <w:rsid w:val="00E25D96"/>
    <w:rsid w:val="00E26576"/>
    <w:rsid w:val="00E278D0"/>
    <w:rsid w:val="00E30BDD"/>
    <w:rsid w:val="00E30DAB"/>
    <w:rsid w:val="00E3130B"/>
    <w:rsid w:val="00E31980"/>
    <w:rsid w:val="00E31A7F"/>
    <w:rsid w:val="00E34800"/>
    <w:rsid w:val="00E34D0F"/>
    <w:rsid w:val="00E34FA7"/>
    <w:rsid w:val="00E3586F"/>
    <w:rsid w:val="00E3758B"/>
    <w:rsid w:val="00E37D58"/>
    <w:rsid w:val="00E37E20"/>
    <w:rsid w:val="00E40996"/>
    <w:rsid w:val="00E41513"/>
    <w:rsid w:val="00E415F3"/>
    <w:rsid w:val="00E421BF"/>
    <w:rsid w:val="00E42451"/>
    <w:rsid w:val="00E432D9"/>
    <w:rsid w:val="00E446A5"/>
    <w:rsid w:val="00E45172"/>
    <w:rsid w:val="00E46CB3"/>
    <w:rsid w:val="00E4751C"/>
    <w:rsid w:val="00E47CCA"/>
    <w:rsid w:val="00E5043C"/>
    <w:rsid w:val="00E508BA"/>
    <w:rsid w:val="00E50AD6"/>
    <w:rsid w:val="00E50BE6"/>
    <w:rsid w:val="00E51B19"/>
    <w:rsid w:val="00E52357"/>
    <w:rsid w:val="00E52FFF"/>
    <w:rsid w:val="00E53F8F"/>
    <w:rsid w:val="00E54215"/>
    <w:rsid w:val="00E54330"/>
    <w:rsid w:val="00E547CA"/>
    <w:rsid w:val="00E54E33"/>
    <w:rsid w:val="00E55BE2"/>
    <w:rsid w:val="00E56C03"/>
    <w:rsid w:val="00E56FD1"/>
    <w:rsid w:val="00E613C6"/>
    <w:rsid w:val="00E617D8"/>
    <w:rsid w:val="00E630C2"/>
    <w:rsid w:val="00E64ADA"/>
    <w:rsid w:val="00E64D9D"/>
    <w:rsid w:val="00E66427"/>
    <w:rsid w:val="00E674F4"/>
    <w:rsid w:val="00E679E9"/>
    <w:rsid w:val="00E70D36"/>
    <w:rsid w:val="00E71895"/>
    <w:rsid w:val="00E7261C"/>
    <w:rsid w:val="00E7296F"/>
    <w:rsid w:val="00E72CAD"/>
    <w:rsid w:val="00E732D5"/>
    <w:rsid w:val="00E73375"/>
    <w:rsid w:val="00E73E65"/>
    <w:rsid w:val="00E74D9F"/>
    <w:rsid w:val="00E76164"/>
    <w:rsid w:val="00E763D0"/>
    <w:rsid w:val="00E80E3F"/>
    <w:rsid w:val="00E81F77"/>
    <w:rsid w:val="00E83B99"/>
    <w:rsid w:val="00E83BE0"/>
    <w:rsid w:val="00E84317"/>
    <w:rsid w:val="00E847ED"/>
    <w:rsid w:val="00E8713E"/>
    <w:rsid w:val="00E87AE4"/>
    <w:rsid w:val="00E90FED"/>
    <w:rsid w:val="00E91890"/>
    <w:rsid w:val="00E922B5"/>
    <w:rsid w:val="00E9242E"/>
    <w:rsid w:val="00E927AD"/>
    <w:rsid w:val="00E93542"/>
    <w:rsid w:val="00E93956"/>
    <w:rsid w:val="00E93E5C"/>
    <w:rsid w:val="00E941E8"/>
    <w:rsid w:val="00E94550"/>
    <w:rsid w:val="00E96516"/>
    <w:rsid w:val="00E97F47"/>
    <w:rsid w:val="00EA03CF"/>
    <w:rsid w:val="00EA0E48"/>
    <w:rsid w:val="00EA4986"/>
    <w:rsid w:val="00EA5376"/>
    <w:rsid w:val="00EA5FB9"/>
    <w:rsid w:val="00EA7F38"/>
    <w:rsid w:val="00EB051A"/>
    <w:rsid w:val="00EB112B"/>
    <w:rsid w:val="00EB3A32"/>
    <w:rsid w:val="00EB40FA"/>
    <w:rsid w:val="00EB5F59"/>
    <w:rsid w:val="00EB6A09"/>
    <w:rsid w:val="00EB7D79"/>
    <w:rsid w:val="00EC0BD4"/>
    <w:rsid w:val="00EC1BFF"/>
    <w:rsid w:val="00EC4927"/>
    <w:rsid w:val="00EC5072"/>
    <w:rsid w:val="00EC6845"/>
    <w:rsid w:val="00EC6B23"/>
    <w:rsid w:val="00EC785C"/>
    <w:rsid w:val="00ED0298"/>
    <w:rsid w:val="00ED0E1B"/>
    <w:rsid w:val="00ED108C"/>
    <w:rsid w:val="00ED1369"/>
    <w:rsid w:val="00ED175F"/>
    <w:rsid w:val="00ED1C54"/>
    <w:rsid w:val="00ED2A96"/>
    <w:rsid w:val="00ED2DFB"/>
    <w:rsid w:val="00ED4538"/>
    <w:rsid w:val="00ED4C8F"/>
    <w:rsid w:val="00ED6EBD"/>
    <w:rsid w:val="00EE021F"/>
    <w:rsid w:val="00EE053D"/>
    <w:rsid w:val="00EE06EB"/>
    <w:rsid w:val="00EE20C1"/>
    <w:rsid w:val="00EE2FFB"/>
    <w:rsid w:val="00EE462E"/>
    <w:rsid w:val="00EE5120"/>
    <w:rsid w:val="00EE5462"/>
    <w:rsid w:val="00EE5A2D"/>
    <w:rsid w:val="00EE61E9"/>
    <w:rsid w:val="00EE6BDA"/>
    <w:rsid w:val="00EE7425"/>
    <w:rsid w:val="00EE76A7"/>
    <w:rsid w:val="00EF009F"/>
    <w:rsid w:val="00EF0AEE"/>
    <w:rsid w:val="00EF1836"/>
    <w:rsid w:val="00EF1EFB"/>
    <w:rsid w:val="00EF292E"/>
    <w:rsid w:val="00EF29C5"/>
    <w:rsid w:val="00EF382D"/>
    <w:rsid w:val="00EF4915"/>
    <w:rsid w:val="00EF5793"/>
    <w:rsid w:val="00EF5F89"/>
    <w:rsid w:val="00EF7A8B"/>
    <w:rsid w:val="00F0129B"/>
    <w:rsid w:val="00F0239D"/>
    <w:rsid w:val="00F02D4A"/>
    <w:rsid w:val="00F02F40"/>
    <w:rsid w:val="00F04FE3"/>
    <w:rsid w:val="00F05945"/>
    <w:rsid w:val="00F05E5C"/>
    <w:rsid w:val="00F05F79"/>
    <w:rsid w:val="00F05F83"/>
    <w:rsid w:val="00F060E5"/>
    <w:rsid w:val="00F0663E"/>
    <w:rsid w:val="00F07368"/>
    <w:rsid w:val="00F1039C"/>
    <w:rsid w:val="00F103AD"/>
    <w:rsid w:val="00F11F9C"/>
    <w:rsid w:val="00F12E2E"/>
    <w:rsid w:val="00F13B78"/>
    <w:rsid w:val="00F16981"/>
    <w:rsid w:val="00F169FB"/>
    <w:rsid w:val="00F16CAE"/>
    <w:rsid w:val="00F16E8F"/>
    <w:rsid w:val="00F1782A"/>
    <w:rsid w:val="00F17DFB"/>
    <w:rsid w:val="00F21AF9"/>
    <w:rsid w:val="00F2236F"/>
    <w:rsid w:val="00F23045"/>
    <w:rsid w:val="00F23187"/>
    <w:rsid w:val="00F23572"/>
    <w:rsid w:val="00F235BB"/>
    <w:rsid w:val="00F23F10"/>
    <w:rsid w:val="00F24D49"/>
    <w:rsid w:val="00F252A9"/>
    <w:rsid w:val="00F2662C"/>
    <w:rsid w:val="00F26CF1"/>
    <w:rsid w:val="00F26EF9"/>
    <w:rsid w:val="00F27233"/>
    <w:rsid w:val="00F30374"/>
    <w:rsid w:val="00F3078E"/>
    <w:rsid w:val="00F316CA"/>
    <w:rsid w:val="00F3175A"/>
    <w:rsid w:val="00F319DA"/>
    <w:rsid w:val="00F31C2C"/>
    <w:rsid w:val="00F31FF3"/>
    <w:rsid w:val="00F3238D"/>
    <w:rsid w:val="00F3258B"/>
    <w:rsid w:val="00F335FC"/>
    <w:rsid w:val="00F34967"/>
    <w:rsid w:val="00F36D6D"/>
    <w:rsid w:val="00F37D70"/>
    <w:rsid w:val="00F4175B"/>
    <w:rsid w:val="00F42993"/>
    <w:rsid w:val="00F432C9"/>
    <w:rsid w:val="00F4397F"/>
    <w:rsid w:val="00F44E0D"/>
    <w:rsid w:val="00F4563D"/>
    <w:rsid w:val="00F456DF"/>
    <w:rsid w:val="00F464BC"/>
    <w:rsid w:val="00F4685C"/>
    <w:rsid w:val="00F471CB"/>
    <w:rsid w:val="00F500F4"/>
    <w:rsid w:val="00F50304"/>
    <w:rsid w:val="00F51CB5"/>
    <w:rsid w:val="00F5497B"/>
    <w:rsid w:val="00F5597C"/>
    <w:rsid w:val="00F55C76"/>
    <w:rsid w:val="00F56401"/>
    <w:rsid w:val="00F564BC"/>
    <w:rsid w:val="00F569E7"/>
    <w:rsid w:val="00F57739"/>
    <w:rsid w:val="00F5781A"/>
    <w:rsid w:val="00F6140B"/>
    <w:rsid w:val="00F62D7F"/>
    <w:rsid w:val="00F634E7"/>
    <w:rsid w:val="00F63760"/>
    <w:rsid w:val="00F64B85"/>
    <w:rsid w:val="00F653C8"/>
    <w:rsid w:val="00F7053E"/>
    <w:rsid w:val="00F717DD"/>
    <w:rsid w:val="00F7373D"/>
    <w:rsid w:val="00F7461C"/>
    <w:rsid w:val="00F76660"/>
    <w:rsid w:val="00F7700A"/>
    <w:rsid w:val="00F77772"/>
    <w:rsid w:val="00F77B7F"/>
    <w:rsid w:val="00F8004D"/>
    <w:rsid w:val="00F80FCE"/>
    <w:rsid w:val="00F813B2"/>
    <w:rsid w:val="00F8286A"/>
    <w:rsid w:val="00F83BB1"/>
    <w:rsid w:val="00F845F5"/>
    <w:rsid w:val="00F861EE"/>
    <w:rsid w:val="00F86658"/>
    <w:rsid w:val="00F878B4"/>
    <w:rsid w:val="00F907FC"/>
    <w:rsid w:val="00F90D43"/>
    <w:rsid w:val="00F90F76"/>
    <w:rsid w:val="00F913DD"/>
    <w:rsid w:val="00F9208D"/>
    <w:rsid w:val="00F92AEF"/>
    <w:rsid w:val="00F936C0"/>
    <w:rsid w:val="00F947D7"/>
    <w:rsid w:val="00F94A20"/>
    <w:rsid w:val="00F9599E"/>
    <w:rsid w:val="00F96560"/>
    <w:rsid w:val="00FA0B95"/>
    <w:rsid w:val="00FA1B96"/>
    <w:rsid w:val="00FA2F94"/>
    <w:rsid w:val="00FA3084"/>
    <w:rsid w:val="00FA3A64"/>
    <w:rsid w:val="00FA3F07"/>
    <w:rsid w:val="00FA52EA"/>
    <w:rsid w:val="00FA61FF"/>
    <w:rsid w:val="00FA7C05"/>
    <w:rsid w:val="00FB16F8"/>
    <w:rsid w:val="00FB1D41"/>
    <w:rsid w:val="00FB2069"/>
    <w:rsid w:val="00FB266E"/>
    <w:rsid w:val="00FB2CF6"/>
    <w:rsid w:val="00FB3889"/>
    <w:rsid w:val="00FB3895"/>
    <w:rsid w:val="00FB3F4F"/>
    <w:rsid w:val="00FB58F9"/>
    <w:rsid w:val="00FB5DBD"/>
    <w:rsid w:val="00FB5E11"/>
    <w:rsid w:val="00FB5F24"/>
    <w:rsid w:val="00FB63DA"/>
    <w:rsid w:val="00FB64BB"/>
    <w:rsid w:val="00FB73D9"/>
    <w:rsid w:val="00FB74FA"/>
    <w:rsid w:val="00FC05FF"/>
    <w:rsid w:val="00FC09E6"/>
    <w:rsid w:val="00FC0BAE"/>
    <w:rsid w:val="00FC31D7"/>
    <w:rsid w:val="00FC4208"/>
    <w:rsid w:val="00FC46C8"/>
    <w:rsid w:val="00FC6044"/>
    <w:rsid w:val="00FC609B"/>
    <w:rsid w:val="00FD062C"/>
    <w:rsid w:val="00FD0CE9"/>
    <w:rsid w:val="00FD121D"/>
    <w:rsid w:val="00FD1AED"/>
    <w:rsid w:val="00FD20DD"/>
    <w:rsid w:val="00FD2D23"/>
    <w:rsid w:val="00FD2F8F"/>
    <w:rsid w:val="00FD4050"/>
    <w:rsid w:val="00FD42A5"/>
    <w:rsid w:val="00FD46B5"/>
    <w:rsid w:val="00FD4D1F"/>
    <w:rsid w:val="00FD5483"/>
    <w:rsid w:val="00FD7229"/>
    <w:rsid w:val="00FD7759"/>
    <w:rsid w:val="00FD7F32"/>
    <w:rsid w:val="00FE310F"/>
    <w:rsid w:val="00FE4629"/>
    <w:rsid w:val="00FE48E9"/>
    <w:rsid w:val="00FE4A6E"/>
    <w:rsid w:val="00FE684A"/>
    <w:rsid w:val="00FE6994"/>
    <w:rsid w:val="00FE74B3"/>
    <w:rsid w:val="00FE7DD5"/>
    <w:rsid w:val="00FF0938"/>
    <w:rsid w:val="00FF13FE"/>
    <w:rsid w:val="00FF6C37"/>
    <w:rsid w:val="00FF6EDE"/>
    <w:rsid w:val="00FF7832"/>
    <w:rsid w:val="00FF7A94"/>
    <w:rsid w:val="00FF7D67"/>
    <w:rsid w:val="00FF7D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852497"/>
  <w15:docId w15:val="{B9624E30-3683-45E3-876C-ECC208F7C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1" w:unhideWhenUsed="1" w:qFormat="1"/>
    <w:lsdException w:name="heading 3" w:semiHidden="1" w:uiPriority="0"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iPriority="39" w:unhideWhenUsed="1"/>
    <w:lsdException w:name="index 2" w:semiHidden="1" w:uiPriority="39" w:unhideWhenUsed="1"/>
    <w:lsdException w:name="index 3" w:semiHidden="1" w:uiPriority="39" w:unhideWhenUsed="1"/>
    <w:lsdException w:name="index 4" w:semiHidden="1" w:uiPriority="39" w:unhideWhenUsed="1"/>
    <w:lsdException w:name="index 5" w:semiHidden="1" w:uiPriority="39" w:unhideWhenUsed="1"/>
    <w:lsdException w:name="index 6" w:semiHidden="1" w:uiPriority="39" w:unhideWhenUsed="1"/>
    <w:lsdException w:name="index 7" w:semiHidden="1" w:uiPriority="39" w:unhideWhenUsed="1"/>
    <w:lsdException w:name="index 8" w:semiHidden="1" w:uiPriority="39" w:unhideWhenUsed="1"/>
    <w:lsdException w:name="index 9" w:semiHidden="1" w:uiPriority="39" w:unhideWhenUsed="1"/>
    <w:lsdException w:name="toc 1" w:semiHidden="1" w:uiPriority="23" w:unhideWhenUsed="1" w:qFormat="1"/>
    <w:lsdException w:name="toc 2" w:semiHidden="1" w:uiPriority="24" w:unhideWhenUsed="1" w:qFormat="1"/>
    <w:lsdException w:name="toc 3" w:semiHidden="1" w:uiPriority="25"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39" w:unhideWhenUsed="1"/>
    <w:lsdException w:name="header" w:semiHidden="1" w:uiPriority="39" w:unhideWhenUsed="1"/>
    <w:lsdException w:name="footer" w:semiHidden="1" w:uiPriority="19" w:unhideWhenUsed="1" w:qFormat="1"/>
    <w:lsdException w:name="index heading" w:semiHidden="1" w:uiPriority="39" w:unhideWhenUsed="1"/>
    <w:lsdException w:name="caption" w:uiPriority="1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3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iPriority="10" w:unhideWhenUsed="1" w:qFormat="1"/>
    <w:lsdException w:name="Body Text Indent" w:semiHidden="1" w:uiPriority="3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39" w:unhideWhenUsed="1"/>
    <w:lsdException w:name="Body Text 3" w:semiHidden="1" w:uiPriority="39" w:unhideWhenUsed="1"/>
    <w:lsdException w:name="Body Text Indent 2" w:semiHidden="1" w:uiPriority="39" w:unhideWhenUsed="1"/>
    <w:lsdException w:name="Body Text Indent 3" w:semiHidden="1" w:uiPriority="39" w:unhideWhenUsed="1"/>
    <w:lsdException w:name="Block Text" w:semiHidden="1" w:uiPriority="39" w:unhideWhenUsed="1"/>
    <w:lsdException w:name="Hyperlink" w:semiHidden="1" w:unhideWhenUsed="1" w:qFormat="1"/>
    <w:lsdException w:name="FollowedHyperlink" w:semiHidden="1" w:unhideWhenUsed="1"/>
    <w:lsdException w:name="Strong" w:uiPriority="49"/>
    <w:lsdException w:name="Emphasis" w:uiPriority="4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3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39" w:unhideWhenUsed="1"/>
    <w:lsdException w:name="Table Grid" w:uiPriority="0"/>
    <w:lsdException w:name="Table Theme" w:semiHidden="1" w:unhideWhenUsed="1"/>
    <w:lsdException w:name="Placeholder Text" w:semiHidden="1"/>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49"/>
    <w:lsdException w:name="Intense Quote" w:uiPriority="4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9"/>
    <w:lsdException w:name="Intense Emphasis" w:semiHidden="1" w:uiPriority="49"/>
    <w:lsdException w:name="Subtle Reference" w:semiHidden="1" w:uiPriority="49"/>
    <w:lsdException w:name="Intense Reference" w:semiHidden="1" w:uiPriority="49"/>
    <w:lsdException w:name="Book Title" w:semiHidden="1" w:uiPriority="49"/>
    <w:lsdException w:name="Bibliography" w:semiHidden="1" w:uiPriority="49"/>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6517E2"/>
    <w:pPr>
      <w:spacing w:after="120" w:line="240" w:lineRule="auto"/>
    </w:pPr>
    <w:rPr>
      <w:rFonts w:ascii="Calibri" w:eastAsia="Times New Roman" w:hAnsi="Calibri" w:cs="Times New Roman"/>
      <w:color w:val="262626" w:themeColor="accent3"/>
      <w:szCs w:val="24"/>
    </w:rPr>
  </w:style>
  <w:style w:type="paragraph" w:styleId="Heading1">
    <w:name w:val="heading 1"/>
    <w:basedOn w:val="Heading2"/>
    <w:next w:val="BodyText"/>
    <w:link w:val="Heading1Char"/>
    <w:qFormat/>
    <w:rsid w:val="001B2338"/>
    <w:pPr>
      <w:outlineLvl w:val="0"/>
    </w:pPr>
    <w:rPr>
      <w:sz w:val="36"/>
      <w:lang w:val="en-US"/>
    </w:rPr>
  </w:style>
  <w:style w:type="paragraph" w:styleId="Heading2">
    <w:name w:val="heading 2"/>
    <w:basedOn w:val="Normal"/>
    <w:next w:val="BodyText"/>
    <w:link w:val="Heading2Char"/>
    <w:uiPriority w:val="1"/>
    <w:qFormat/>
    <w:rsid w:val="001B2338"/>
    <w:pPr>
      <w:keepNext/>
      <w:spacing w:before="240"/>
      <w:outlineLvl w:val="1"/>
    </w:pPr>
    <w:rPr>
      <w:rFonts w:eastAsia="Cambria" w:cs="Effra-Bold"/>
      <w:b/>
      <w:bCs/>
      <w:color w:val="0F2D52" w:themeColor="text2"/>
      <w:sz w:val="28"/>
      <w:szCs w:val="26"/>
    </w:rPr>
  </w:style>
  <w:style w:type="paragraph" w:styleId="Heading3">
    <w:name w:val="heading 3"/>
    <w:basedOn w:val="Normal"/>
    <w:next w:val="BodyText"/>
    <w:link w:val="Heading3Char"/>
    <w:qFormat/>
    <w:rsid w:val="001B2338"/>
    <w:pPr>
      <w:keepNext/>
      <w:spacing w:before="240"/>
      <w:outlineLvl w:val="2"/>
    </w:pPr>
    <w:rPr>
      <w:rFonts w:eastAsia="Cambria"/>
      <w:b/>
      <w:color w:val="0F2D52" w:themeColor="text2"/>
      <w:sz w:val="24"/>
    </w:rPr>
  </w:style>
  <w:style w:type="paragraph" w:styleId="Heading4">
    <w:name w:val="heading 4"/>
    <w:basedOn w:val="Normal"/>
    <w:next w:val="BodyText"/>
    <w:link w:val="Heading4Char"/>
    <w:uiPriority w:val="3"/>
    <w:qFormat/>
    <w:rsid w:val="001B2338"/>
    <w:pPr>
      <w:keepNext/>
      <w:keepLines/>
      <w:spacing w:before="240"/>
      <w:outlineLvl w:val="3"/>
    </w:pPr>
    <w:rPr>
      <w:rFonts w:asciiTheme="minorHAnsi" w:eastAsiaTheme="majorEastAsia" w:hAnsiTheme="minorHAnsi" w:cstheme="majorBidi"/>
      <w:b/>
      <w:bCs/>
      <w:iCs/>
      <w:color w:val="0F2D52" w:themeColor="text2"/>
      <w:sz w:val="20"/>
      <w:szCs w:val="20"/>
    </w:rPr>
  </w:style>
  <w:style w:type="paragraph" w:styleId="Heading5">
    <w:name w:val="heading 5"/>
    <w:basedOn w:val="Heading4"/>
    <w:next w:val="Normal"/>
    <w:link w:val="Heading5Char"/>
    <w:uiPriority w:val="4"/>
    <w:rsid w:val="001B2338"/>
    <w:pPr>
      <w:outlineLvl w:val="4"/>
    </w:pPr>
    <w:rPr>
      <w:b w:val="0"/>
    </w:rPr>
  </w:style>
  <w:style w:type="paragraph" w:styleId="Heading6">
    <w:name w:val="heading 6"/>
    <w:basedOn w:val="Heading5"/>
    <w:next w:val="Normal"/>
    <w:link w:val="Heading6Char"/>
    <w:uiPriority w:val="5"/>
    <w:rsid w:val="001B2338"/>
    <w:pPr>
      <w:outlineLvl w:val="5"/>
    </w:pPr>
    <w:rPr>
      <w:sz w:val="18"/>
    </w:rPr>
  </w:style>
  <w:style w:type="paragraph" w:styleId="Heading7">
    <w:name w:val="heading 7"/>
    <w:basedOn w:val="Heading1"/>
    <w:next w:val="Normal"/>
    <w:link w:val="Heading7Char"/>
    <w:uiPriority w:val="6"/>
    <w:rsid w:val="001B2338"/>
    <w:pPr>
      <w:outlineLvl w:val="6"/>
    </w:pPr>
  </w:style>
  <w:style w:type="paragraph" w:styleId="Heading8">
    <w:name w:val="heading 8"/>
    <w:basedOn w:val="Heading2"/>
    <w:next w:val="Normal"/>
    <w:link w:val="Heading8Char"/>
    <w:uiPriority w:val="7"/>
    <w:rsid w:val="001B2338"/>
    <w:pPr>
      <w:outlineLvl w:val="7"/>
    </w:pPr>
  </w:style>
  <w:style w:type="paragraph" w:styleId="Heading9">
    <w:name w:val="heading 9"/>
    <w:basedOn w:val="Heading2"/>
    <w:next w:val="Normal"/>
    <w:link w:val="Heading9Char"/>
    <w:uiPriority w:val="8"/>
    <w:rsid w:val="001B233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2338"/>
    <w:rPr>
      <w:rFonts w:ascii="Calibri" w:eastAsia="Cambria" w:hAnsi="Calibri" w:cs="Effra-Bold"/>
      <w:b/>
      <w:bCs/>
      <w:color w:val="0F2D52" w:themeColor="text2"/>
      <w:sz w:val="36"/>
      <w:szCs w:val="26"/>
      <w:lang w:val="en-US"/>
    </w:rPr>
  </w:style>
  <w:style w:type="character" w:customStyle="1" w:styleId="Heading2Char">
    <w:name w:val="Heading 2 Char"/>
    <w:basedOn w:val="DefaultParagraphFont"/>
    <w:link w:val="Heading2"/>
    <w:uiPriority w:val="1"/>
    <w:rsid w:val="001B2338"/>
    <w:rPr>
      <w:rFonts w:ascii="Calibri" w:eastAsia="Cambria" w:hAnsi="Calibri" w:cs="Effra-Bold"/>
      <w:b/>
      <w:bCs/>
      <w:color w:val="0F2D52" w:themeColor="text2"/>
      <w:sz w:val="28"/>
      <w:szCs w:val="26"/>
      <w:lang w:val="en-GB"/>
    </w:rPr>
  </w:style>
  <w:style w:type="paragraph" w:customStyle="1" w:styleId="Number1">
    <w:name w:val="Number1"/>
    <w:basedOn w:val="ListParagraph"/>
    <w:uiPriority w:val="14"/>
    <w:qFormat/>
    <w:rsid w:val="001B2338"/>
    <w:pPr>
      <w:numPr>
        <w:numId w:val="1"/>
      </w:numPr>
      <w:contextualSpacing w:val="0"/>
    </w:pPr>
  </w:style>
  <w:style w:type="paragraph" w:styleId="DocumentMap">
    <w:name w:val="Document Map"/>
    <w:basedOn w:val="Normal"/>
    <w:link w:val="DocumentMapChar"/>
    <w:uiPriority w:val="99"/>
    <w:semiHidden/>
    <w:unhideWhenUsed/>
    <w:rsid w:val="001B2338"/>
    <w:rPr>
      <w:rFonts w:ascii="Tahoma" w:hAnsi="Tahoma" w:cs="Tahoma"/>
      <w:szCs w:val="16"/>
    </w:rPr>
  </w:style>
  <w:style w:type="paragraph" w:customStyle="1" w:styleId="Bullet1">
    <w:name w:val="Bullet1"/>
    <w:basedOn w:val="ListParagraph"/>
    <w:link w:val="Bullet1Char"/>
    <w:uiPriority w:val="12"/>
    <w:qFormat/>
    <w:rsid w:val="00B47A9A"/>
    <w:pPr>
      <w:numPr>
        <w:numId w:val="3"/>
      </w:numPr>
      <w:contextualSpacing w:val="0"/>
    </w:pPr>
    <w:rPr>
      <w:sz w:val="22"/>
    </w:rPr>
  </w:style>
  <w:style w:type="table" w:styleId="TableGrid">
    <w:name w:val="Table Grid"/>
    <w:basedOn w:val="TableNormal"/>
    <w:rsid w:val="001B2338"/>
    <w:pPr>
      <w:spacing w:after="0" w:line="240" w:lineRule="auto"/>
    </w:pPr>
    <w:rPr>
      <w:sz w:val="18"/>
    </w:rPr>
    <w:tblPr>
      <w:tblBorders>
        <w:top w:val="single" w:sz="4" w:space="0" w:color="408287"/>
        <w:left w:val="single" w:sz="4" w:space="0" w:color="408287"/>
        <w:bottom w:val="single" w:sz="4" w:space="0" w:color="408287"/>
        <w:right w:val="single" w:sz="4" w:space="0" w:color="408287"/>
        <w:insideH w:val="single" w:sz="4" w:space="0" w:color="408287"/>
        <w:insideV w:val="single" w:sz="4" w:space="0" w:color="408287"/>
      </w:tblBorders>
      <w:tblCellMar>
        <w:left w:w="0" w:type="dxa"/>
        <w:right w:w="0" w:type="dxa"/>
      </w:tblCellMar>
    </w:tblPr>
    <w:tcPr>
      <w:shd w:val="clear" w:color="auto" w:fill="auto"/>
      <w:tcMar>
        <w:left w:w="0" w:type="dxa"/>
        <w:right w:w="0" w:type="dxa"/>
      </w:tcMar>
    </w:tcPr>
  </w:style>
  <w:style w:type="paragraph" w:styleId="BalloonText">
    <w:name w:val="Balloon Text"/>
    <w:basedOn w:val="Normal"/>
    <w:link w:val="BalloonTextChar"/>
    <w:uiPriority w:val="49"/>
    <w:semiHidden/>
    <w:unhideWhenUsed/>
    <w:rsid w:val="001B2338"/>
    <w:rPr>
      <w:rFonts w:ascii="Tahoma" w:hAnsi="Tahoma" w:cs="Tahoma"/>
      <w:sz w:val="16"/>
      <w:szCs w:val="16"/>
    </w:rPr>
  </w:style>
  <w:style w:type="character" w:customStyle="1" w:styleId="BalloonTextChar">
    <w:name w:val="Balloon Text Char"/>
    <w:basedOn w:val="DefaultParagraphFont"/>
    <w:link w:val="BalloonText"/>
    <w:uiPriority w:val="49"/>
    <w:semiHidden/>
    <w:rsid w:val="00D31664"/>
    <w:rPr>
      <w:rFonts w:ascii="Tahoma" w:eastAsia="Times New Roman" w:hAnsi="Tahoma" w:cs="Tahoma"/>
      <w:color w:val="262626" w:themeColor="accent3"/>
      <w:sz w:val="16"/>
      <w:szCs w:val="16"/>
      <w:lang w:val="en-GB"/>
    </w:rPr>
  </w:style>
  <w:style w:type="paragraph" w:styleId="Header">
    <w:name w:val="header"/>
    <w:basedOn w:val="Normal"/>
    <w:link w:val="HeaderChar"/>
    <w:uiPriority w:val="49"/>
    <w:semiHidden/>
    <w:rsid w:val="001B2338"/>
    <w:pPr>
      <w:tabs>
        <w:tab w:val="center" w:pos="4513"/>
        <w:tab w:val="right" w:pos="9026"/>
      </w:tabs>
      <w:spacing w:after="0"/>
    </w:pPr>
    <w:rPr>
      <w:rFonts w:asciiTheme="minorHAnsi" w:eastAsiaTheme="minorHAnsi" w:hAnsiTheme="minorHAnsi" w:cstheme="minorBidi"/>
      <w:b/>
      <w:noProof/>
      <w:sz w:val="14"/>
      <w:szCs w:val="14"/>
    </w:rPr>
  </w:style>
  <w:style w:type="character" w:customStyle="1" w:styleId="HeaderChar">
    <w:name w:val="Header Char"/>
    <w:basedOn w:val="DefaultParagraphFont"/>
    <w:link w:val="Header"/>
    <w:uiPriority w:val="49"/>
    <w:semiHidden/>
    <w:rsid w:val="00D31664"/>
    <w:rPr>
      <w:b/>
      <w:noProof/>
      <w:color w:val="262626" w:themeColor="accent3"/>
      <w:sz w:val="14"/>
      <w:szCs w:val="14"/>
    </w:rPr>
  </w:style>
  <w:style w:type="paragraph" w:styleId="Footer">
    <w:name w:val="footer"/>
    <w:aliases w:val="Header/Footer"/>
    <w:basedOn w:val="PublishDate"/>
    <w:link w:val="FooterChar"/>
    <w:uiPriority w:val="25"/>
    <w:qFormat/>
    <w:rsid w:val="001B2338"/>
    <w:pPr>
      <w:tabs>
        <w:tab w:val="right" w:pos="9923"/>
      </w:tabs>
    </w:pPr>
    <w:rPr>
      <w:sz w:val="18"/>
    </w:rPr>
  </w:style>
  <w:style w:type="character" w:customStyle="1" w:styleId="FooterChar">
    <w:name w:val="Footer Char"/>
    <w:aliases w:val="Header/Footer Char"/>
    <w:basedOn w:val="DefaultParagraphFont"/>
    <w:link w:val="Footer"/>
    <w:uiPriority w:val="25"/>
    <w:rsid w:val="00811B92"/>
    <w:rPr>
      <w:rFonts w:ascii="Calibri" w:eastAsia="Times New Roman" w:hAnsi="Calibri" w:cs="Times New Roman"/>
      <w:color w:val="0F2D52" w:themeColor="text2"/>
      <w:sz w:val="18"/>
      <w:szCs w:val="24"/>
      <w:lang w:val="en-US"/>
    </w:rPr>
  </w:style>
  <w:style w:type="character" w:customStyle="1" w:styleId="highlight">
    <w:name w:val="highlight"/>
    <w:basedOn w:val="DefaultParagraphFont"/>
    <w:uiPriority w:val="49"/>
    <w:semiHidden/>
    <w:rsid w:val="001B2338"/>
  </w:style>
  <w:style w:type="character" w:customStyle="1" w:styleId="DocumentMapChar">
    <w:name w:val="Document Map Char"/>
    <w:basedOn w:val="DefaultParagraphFont"/>
    <w:link w:val="DocumentMap"/>
    <w:uiPriority w:val="99"/>
    <w:semiHidden/>
    <w:rsid w:val="001B2338"/>
    <w:rPr>
      <w:rFonts w:ascii="Tahoma" w:eastAsia="Times New Roman" w:hAnsi="Tahoma" w:cs="Tahoma"/>
      <w:color w:val="262626" w:themeColor="accent3"/>
      <w:szCs w:val="16"/>
      <w:lang w:val="en-GB"/>
    </w:rPr>
  </w:style>
  <w:style w:type="paragraph" w:customStyle="1" w:styleId="Table08text">
    <w:name w:val="Table08text"/>
    <w:basedOn w:val="Table09text"/>
    <w:uiPriority w:val="49"/>
    <w:semiHidden/>
    <w:rsid w:val="001B2338"/>
    <w:pPr>
      <w:ind w:left="0" w:right="0"/>
    </w:pPr>
    <w:rPr>
      <w:rFonts w:asciiTheme="minorHAnsi" w:eastAsia="Cambria" w:hAnsiTheme="minorHAnsi" w:cstheme="minorBidi"/>
      <w:sz w:val="16"/>
    </w:rPr>
  </w:style>
  <w:style w:type="paragraph" w:styleId="NormalWeb">
    <w:name w:val="Normal (Web)"/>
    <w:basedOn w:val="Normal"/>
    <w:uiPriority w:val="49"/>
    <w:semiHidden/>
    <w:rsid w:val="001B2338"/>
    <w:pPr>
      <w:spacing w:before="100" w:beforeAutospacing="1" w:after="100" w:afterAutospacing="1"/>
    </w:pPr>
    <w:rPr>
      <w:rFonts w:ascii="Times New Roman" w:hAnsi="Times New Roman"/>
      <w:sz w:val="24"/>
      <w:lang w:eastAsia="en-AU"/>
    </w:rPr>
  </w:style>
  <w:style w:type="paragraph" w:customStyle="1" w:styleId="Table08text-right">
    <w:name w:val="Table08text-right"/>
    <w:basedOn w:val="Table08text-centre"/>
    <w:uiPriority w:val="49"/>
    <w:semiHidden/>
    <w:rsid w:val="001B2338"/>
    <w:pPr>
      <w:jc w:val="right"/>
    </w:pPr>
  </w:style>
  <w:style w:type="paragraph" w:customStyle="1" w:styleId="Table08bullet">
    <w:name w:val="Table08bullet"/>
    <w:basedOn w:val="Table09bullet"/>
    <w:uiPriority w:val="49"/>
    <w:semiHidden/>
    <w:rsid w:val="001B2338"/>
    <w:pPr>
      <w:numPr>
        <w:numId w:val="0"/>
      </w:numPr>
    </w:pPr>
    <w:rPr>
      <w:rFonts w:asciiTheme="minorHAnsi" w:eastAsiaTheme="minorHAnsi" w:hAnsiTheme="minorHAnsi" w:cstheme="minorBidi"/>
      <w:sz w:val="16"/>
    </w:rPr>
  </w:style>
  <w:style w:type="character" w:customStyle="1" w:styleId="Heading3Char">
    <w:name w:val="Heading 3 Char"/>
    <w:basedOn w:val="DefaultParagraphFont"/>
    <w:link w:val="Heading3"/>
    <w:uiPriority w:val="2"/>
    <w:rsid w:val="001B2338"/>
    <w:rPr>
      <w:rFonts w:ascii="Calibri" w:eastAsia="Cambria" w:hAnsi="Calibri" w:cs="Times New Roman"/>
      <w:b/>
      <w:color w:val="0F2D52" w:themeColor="text2"/>
      <w:sz w:val="24"/>
      <w:szCs w:val="24"/>
      <w:lang w:val="en-GB"/>
    </w:rPr>
  </w:style>
  <w:style w:type="paragraph" w:customStyle="1" w:styleId="Table08bullet2">
    <w:name w:val="Table08bullet2"/>
    <w:basedOn w:val="Table08bullet"/>
    <w:uiPriority w:val="49"/>
    <w:semiHidden/>
    <w:rsid w:val="001B2338"/>
    <w:pPr>
      <w:numPr>
        <w:numId w:val="10"/>
      </w:numPr>
      <w:spacing w:before="0" w:after="0"/>
    </w:pPr>
  </w:style>
  <w:style w:type="character" w:customStyle="1" w:styleId="Heading4Char">
    <w:name w:val="Heading 4 Char"/>
    <w:basedOn w:val="DefaultParagraphFont"/>
    <w:link w:val="Heading4"/>
    <w:uiPriority w:val="3"/>
    <w:rsid w:val="001B2338"/>
    <w:rPr>
      <w:rFonts w:eastAsiaTheme="majorEastAsia" w:cstheme="majorBidi"/>
      <w:b/>
      <w:bCs/>
      <w:iCs/>
      <w:color w:val="0F2D52" w:themeColor="text2"/>
      <w:sz w:val="20"/>
      <w:szCs w:val="20"/>
    </w:rPr>
  </w:style>
  <w:style w:type="paragraph" w:styleId="Subtitle">
    <w:name w:val="Subtitle"/>
    <w:basedOn w:val="Normal"/>
    <w:next w:val="Normal"/>
    <w:link w:val="SubtitleChar"/>
    <w:uiPriority w:val="49"/>
    <w:semiHidden/>
    <w:rsid w:val="001B2338"/>
    <w:pPr>
      <w:numPr>
        <w:ilvl w:val="1"/>
      </w:numPr>
      <w:spacing w:after="160"/>
    </w:pPr>
    <w:rPr>
      <w:rFonts w:eastAsiaTheme="majorEastAsia" w:cstheme="majorBidi"/>
      <w:iCs/>
      <w:color w:val="808080" w:themeColor="background1" w:themeShade="80"/>
      <w:spacing w:val="15"/>
      <w:sz w:val="28"/>
      <w:szCs w:val="28"/>
    </w:rPr>
  </w:style>
  <w:style w:type="character" w:customStyle="1" w:styleId="SubtitleChar">
    <w:name w:val="Subtitle Char"/>
    <w:basedOn w:val="DefaultParagraphFont"/>
    <w:link w:val="Subtitle"/>
    <w:uiPriority w:val="49"/>
    <w:semiHidden/>
    <w:rsid w:val="00D31664"/>
    <w:rPr>
      <w:rFonts w:ascii="Calibri" w:eastAsiaTheme="majorEastAsia" w:hAnsi="Calibri" w:cstheme="majorBidi"/>
      <w:iCs/>
      <w:color w:val="808080" w:themeColor="background1" w:themeShade="80"/>
      <w:spacing w:val="15"/>
      <w:sz w:val="28"/>
      <w:szCs w:val="28"/>
      <w:lang w:val="en-GB"/>
    </w:rPr>
  </w:style>
  <w:style w:type="character" w:styleId="PageNumber">
    <w:name w:val="page number"/>
    <w:basedOn w:val="DefaultParagraphFont"/>
    <w:uiPriority w:val="99"/>
    <w:unhideWhenUsed/>
    <w:rsid w:val="001B2338"/>
  </w:style>
  <w:style w:type="paragraph" w:customStyle="1" w:styleId="Table08-heading">
    <w:name w:val="Table08-heading"/>
    <w:basedOn w:val="Normal"/>
    <w:uiPriority w:val="49"/>
    <w:semiHidden/>
    <w:rsid w:val="001B2338"/>
    <w:pPr>
      <w:spacing w:before="20" w:after="20"/>
      <w:textboxTightWrap w:val="allLines"/>
    </w:pPr>
    <w:rPr>
      <w:b/>
      <w:szCs w:val="15"/>
    </w:rPr>
  </w:style>
  <w:style w:type="paragraph" w:customStyle="1" w:styleId="Bullet2">
    <w:name w:val="Bullet2"/>
    <w:basedOn w:val="ListParagraph"/>
    <w:uiPriority w:val="13"/>
    <w:qFormat/>
    <w:rsid w:val="00595B35"/>
    <w:pPr>
      <w:numPr>
        <w:numId w:val="4"/>
      </w:numPr>
      <w:tabs>
        <w:tab w:val="clear" w:pos="284"/>
        <w:tab w:val="left" w:pos="567"/>
      </w:tabs>
      <w:ind w:left="568" w:hanging="284"/>
      <w:contextualSpacing w:val="0"/>
    </w:pPr>
    <w:rPr>
      <w:rFonts w:eastAsia="Cambria"/>
      <w:sz w:val="22"/>
    </w:rPr>
  </w:style>
  <w:style w:type="paragraph" w:customStyle="1" w:styleId="Table08text-centre">
    <w:name w:val="Table08text-centre"/>
    <w:basedOn w:val="Table08text"/>
    <w:uiPriority w:val="49"/>
    <w:semiHidden/>
    <w:rsid w:val="001B2338"/>
    <w:pPr>
      <w:jc w:val="center"/>
    </w:pPr>
  </w:style>
  <w:style w:type="paragraph" w:customStyle="1" w:styleId="Example">
    <w:name w:val="Example"/>
    <w:basedOn w:val="Table08text"/>
    <w:uiPriority w:val="49"/>
    <w:semiHidden/>
    <w:rsid w:val="001B2338"/>
    <w:pPr>
      <w:pBdr>
        <w:top w:val="single" w:sz="4" w:space="1" w:color="FFCC99"/>
        <w:left w:val="single" w:sz="4" w:space="4" w:color="FFCC99"/>
        <w:bottom w:val="single" w:sz="4" w:space="1" w:color="FFCC99"/>
        <w:right w:val="single" w:sz="4" w:space="4" w:color="FFCC99"/>
      </w:pBdr>
      <w:tabs>
        <w:tab w:val="left" w:pos="1151"/>
      </w:tabs>
    </w:pPr>
    <w:rPr>
      <w:color w:val="294F75"/>
      <w:lang w:val="en-US"/>
    </w:rPr>
  </w:style>
  <w:style w:type="paragraph" w:customStyle="1" w:styleId="Note">
    <w:name w:val="Note"/>
    <w:basedOn w:val="Bullet1"/>
    <w:uiPriority w:val="49"/>
    <w:semiHidden/>
    <w:rsid w:val="001B2338"/>
    <w:pPr>
      <w:numPr>
        <w:numId w:val="0"/>
      </w:numPr>
      <w:ind w:left="142" w:hanging="142"/>
    </w:pPr>
  </w:style>
  <w:style w:type="paragraph" w:styleId="Title">
    <w:name w:val="Title"/>
    <w:basedOn w:val="Normal"/>
    <w:next w:val="BodyText"/>
    <w:link w:val="TitleChar"/>
    <w:uiPriority w:val="22"/>
    <w:qFormat/>
    <w:rsid w:val="00A63479"/>
    <w:rPr>
      <w:color w:val="0F2D52" w:themeColor="text2"/>
      <w:sz w:val="52"/>
      <w:szCs w:val="52"/>
    </w:rPr>
  </w:style>
  <w:style w:type="character" w:customStyle="1" w:styleId="TitleChar">
    <w:name w:val="Title Char"/>
    <w:basedOn w:val="DefaultParagraphFont"/>
    <w:link w:val="Title"/>
    <w:uiPriority w:val="22"/>
    <w:rsid w:val="00A63479"/>
    <w:rPr>
      <w:rFonts w:ascii="Calibri" w:eastAsia="Times New Roman" w:hAnsi="Calibri" w:cs="Times New Roman"/>
      <w:color w:val="0F2D52" w:themeColor="text2"/>
      <w:sz w:val="52"/>
      <w:szCs w:val="52"/>
      <w:lang w:val="en-GB"/>
    </w:rPr>
  </w:style>
  <w:style w:type="character" w:styleId="Hyperlink">
    <w:name w:val="Hyperlink"/>
    <w:basedOn w:val="DefaultParagraphFont"/>
    <w:uiPriority w:val="99"/>
    <w:qFormat/>
    <w:rsid w:val="00E927AD"/>
    <w:rPr>
      <w:rFonts w:ascii="Calibri" w:hAnsi="Calibri"/>
      <w:color w:val="0070C0"/>
      <w:sz w:val="20"/>
      <w:u w:val="none"/>
    </w:rPr>
  </w:style>
  <w:style w:type="paragraph" w:styleId="NoteHeading">
    <w:name w:val="Note Heading"/>
    <w:basedOn w:val="Note"/>
    <w:next w:val="Normal"/>
    <w:link w:val="NoteHeadingChar"/>
    <w:uiPriority w:val="99"/>
    <w:unhideWhenUsed/>
    <w:rsid w:val="001B2338"/>
    <w:rPr>
      <w:b/>
    </w:rPr>
  </w:style>
  <w:style w:type="character" w:customStyle="1" w:styleId="NoteHeadingChar">
    <w:name w:val="Note Heading Char"/>
    <w:basedOn w:val="DefaultParagraphFont"/>
    <w:link w:val="NoteHeading"/>
    <w:uiPriority w:val="99"/>
    <w:rsid w:val="001B2338"/>
    <w:rPr>
      <w:rFonts w:ascii="Calibri" w:eastAsia="Times New Roman" w:hAnsi="Calibri" w:cs="Times New Roman"/>
      <w:b/>
      <w:color w:val="262626" w:themeColor="accent3"/>
      <w:sz w:val="20"/>
      <w:szCs w:val="24"/>
      <w:lang w:val="en-GB"/>
    </w:rPr>
  </w:style>
  <w:style w:type="paragraph" w:customStyle="1" w:styleId="Notebullet">
    <w:name w:val="Notebullet"/>
    <w:basedOn w:val="Note"/>
    <w:uiPriority w:val="49"/>
    <w:semiHidden/>
    <w:rsid w:val="001B2338"/>
    <w:pPr>
      <w:numPr>
        <w:numId w:val="5"/>
      </w:numPr>
    </w:pPr>
  </w:style>
  <w:style w:type="paragraph" w:customStyle="1" w:styleId="Noteindent">
    <w:name w:val="Noteindent"/>
    <w:basedOn w:val="Note"/>
    <w:uiPriority w:val="49"/>
    <w:semiHidden/>
    <w:rsid w:val="001B2338"/>
    <w:pPr>
      <w:shd w:val="clear" w:color="auto" w:fill="C8E7F1"/>
      <w:ind w:left="170"/>
    </w:pPr>
  </w:style>
  <w:style w:type="paragraph" w:customStyle="1" w:styleId="Number2">
    <w:name w:val="Number2"/>
    <w:basedOn w:val="ListParagraph"/>
    <w:uiPriority w:val="15"/>
    <w:qFormat/>
    <w:rsid w:val="008D3266"/>
    <w:pPr>
      <w:numPr>
        <w:ilvl w:val="1"/>
        <w:numId w:val="7"/>
      </w:numPr>
      <w:tabs>
        <w:tab w:val="clear" w:pos="284"/>
        <w:tab w:val="left" w:pos="567"/>
      </w:tabs>
      <w:contextualSpacing w:val="0"/>
    </w:pPr>
    <w:rPr>
      <w:rFonts w:eastAsia="Cambria"/>
    </w:rPr>
  </w:style>
  <w:style w:type="paragraph" w:styleId="NoSpacing">
    <w:name w:val="No Spacing"/>
    <w:link w:val="NoSpacingChar"/>
    <w:uiPriority w:val="49"/>
    <w:semiHidden/>
    <w:rsid w:val="001B2338"/>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49"/>
    <w:semiHidden/>
    <w:rsid w:val="00D31664"/>
    <w:rPr>
      <w:rFonts w:ascii="Calibri" w:eastAsia="Times New Roman" w:hAnsi="Calibri" w:cs="Times New Roman"/>
      <w:lang w:val="en-US"/>
    </w:rPr>
  </w:style>
  <w:style w:type="character" w:customStyle="1" w:styleId="Heading5Char">
    <w:name w:val="Heading 5 Char"/>
    <w:basedOn w:val="DefaultParagraphFont"/>
    <w:link w:val="Heading5"/>
    <w:uiPriority w:val="4"/>
    <w:rsid w:val="001B2338"/>
    <w:rPr>
      <w:rFonts w:eastAsiaTheme="majorEastAsia" w:cstheme="majorBidi"/>
      <w:bCs/>
      <w:iCs/>
      <w:color w:val="0F2D52" w:themeColor="text2"/>
      <w:sz w:val="20"/>
      <w:szCs w:val="20"/>
    </w:rPr>
  </w:style>
  <w:style w:type="table" w:customStyle="1" w:styleId="NHVRTable2">
    <w:name w:val="NHVR Table 2"/>
    <w:basedOn w:val="TableNormal"/>
    <w:uiPriority w:val="99"/>
    <w:rsid w:val="00386BD0"/>
    <w:pPr>
      <w:spacing w:before="60" w:after="60" w:line="240" w:lineRule="auto"/>
    </w:pPr>
    <w:rPr>
      <w:rFonts w:ascii="Calibri" w:hAnsi="Calibri"/>
      <w:sz w:val="20"/>
    </w:rPr>
    <w:tblPr>
      <w:tblInd w:w="108" w:type="dxa"/>
      <w:tblBorders>
        <w:top w:val="single" w:sz="4" w:space="0" w:color="4A6378" w:themeColor="accent4" w:themeShade="80"/>
        <w:bottom w:val="single" w:sz="4" w:space="0" w:color="4A6378" w:themeColor="accent4" w:themeShade="80"/>
        <w:insideH w:val="single" w:sz="4" w:space="0" w:color="4A6378" w:themeColor="accent4" w:themeShade="80"/>
      </w:tblBorders>
    </w:tblPr>
    <w:tblStylePr w:type="firstCol">
      <w:rPr>
        <w:rFonts w:asciiTheme="minorHAnsi" w:hAnsiTheme="minorHAnsi"/>
        <w:b/>
        <w:sz w:val="20"/>
      </w:rPr>
      <w:tblPr/>
      <w:tcPr>
        <w:shd w:val="clear" w:color="auto" w:fill="E0EDF4" w:themeFill="accent2" w:themeFillTint="33"/>
      </w:tcPr>
    </w:tblStylePr>
  </w:style>
  <w:style w:type="table" w:styleId="LightShading-Accent2">
    <w:name w:val="Light Shading Accent 2"/>
    <w:basedOn w:val="TableNormal"/>
    <w:uiPriority w:val="60"/>
    <w:rsid w:val="001B2338"/>
    <w:pPr>
      <w:spacing w:after="0" w:line="240" w:lineRule="auto"/>
    </w:pPr>
    <w:rPr>
      <w:color w:val="3981AB" w:themeColor="accent2" w:themeShade="BF"/>
    </w:rPr>
    <w:tblPr>
      <w:tblStyleRowBandSize w:val="1"/>
      <w:tblStyleColBandSize w:val="1"/>
      <w:tblBorders>
        <w:top w:val="single" w:sz="8" w:space="0" w:color="67A7CC" w:themeColor="accent2"/>
        <w:bottom w:val="single" w:sz="8" w:space="0" w:color="67A7CC" w:themeColor="accent2"/>
      </w:tblBorders>
    </w:tblPr>
    <w:tblStylePr w:type="firstRow">
      <w:pPr>
        <w:spacing w:before="0" w:after="0" w:line="240" w:lineRule="auto"/>
      </w:pPr>
      <w:rPr>
        <w:b/>
        <w:bCs/>
      </w:rPr>
      <w:tblPr/>
      <w:tcPr>
        <w:tcBorders>
          <w:top w:val="single" w:sz="8" w:space="0" w:color="67A7CC" w:themeColor="accent2"/>
          <w:left w:val="nil"/>
          <w:bottom w:val="single" w:sz="8" w:space="0" w:color="67A7CC" w:themeColor="accent2"/>
          <w:right w:val="nil"/>
          <w:insideH w:val="nil"/>
          <w:insideV w:val="nil"/>
        </w:tcBorders>
      </w:tcPr>
    </w:tblStylePr>
    <w:tblStylePr w:type="lastRow">
      <w:pPr>
        <w:spacing w:before="0" w:after="0" w:line="240" w:lineRule="auto"/>
      </w:pPr>
      <w:rPr>
        <w:b/>
        <w:bCs/>
      </w:rPr>
      <w:tblPr/>
      <w:tcPr>
        <w:tcBorders>
          <w:top w:val="single" w:sz="8" w:space="0" w:color="67A7CC" w:themeColor="accent2"/>
          <w:left w:val="nil"/>
          <w:bottom w:val="single" w:sz="8" w:space="0" w:color="67A7C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9F2" w:themeFill="accent2" w:themeFillTint="3F"/>
      </w:tcPr>
    </w:tblStylePr>
    <w:tblStylePr w:type="band1Horz">
      <w:tblPr/>
      <w:tcPr>
        <w:tcBorders>
          <w:left w:val="nil"/>
          <w:right w:val="nil"/>
          <w:insideH w:val="nil"/>
          <w:insideV w:val="nil"/>
        </w:tcBorders>
        <w:shd w:val="clear" w:color="auto" w:fill="D9E9F2" w:themeFill="accent2" w:themeFillTint="3F"/>
      </w:tcPr>
    </w:tblStylePr>
  </w:style>
  <w:style w:type="paragraph" w:customStyle="1" w:styleId="noteindentbullet">
    <w:name w:val="noteindentbullet"/>
    <w:basedOn w:val="Noteindent"/>
    <w:uiPriority w:val="49"/>
    <w:semiHidden/>
    <w:rsid w:val="001B2338"/>
    <w:pPr>
      <w:numPr>
        <w:numId w:val="6"/>
      </w:numPr>
    </w:pPr>
  </w:style>
  <w:style w:type="character" w:styleId="FollowedHyperlink">
    <w:name w:val="FollowedHyperlink"/>
    <w:basedOn w:val="DefaultParagraphFont"/>
    <w:uiPriority w:val="99"/>
    <w:semiHidden/>
    <w:unhideWhenUsed/>
    <w:rsid w:val="001B2338"/>
    <w:rPr>
      <w:color w:val="FFFFFF" w:themeColor="followedHyperlink"/>
      <w:u w:val="single"/>
    </w:rPr>
  </w:style>
  <w:style w:type="paragraph" w:customStyle="1" w:styleId="Table09Heading">
    <w:name w:val="Table09Heading"/>
    <w:basedOn w:val="Table10Heading"/>
    <w:uiPriority w:val="49"/>
    <w:semiHidden/>
    <w:rsid w:val="001B2338"/>
    <w:pPr>
      <w:spacing w:after="20"/>
    </w:pPr>
  </w:style>
  <w:style w:type="paragraph" w:customStyle="1" w:styleId="Table09text">
    <w:name w:val="Table09text"/>
    <w:basedOn w:val="Normal"/>
    <w:link w:val="Table09textChar"/>
    <w:uiPriority w:val="49"/>
    <w:semiHidden/>
    <w:rsid w:val="001B2338"/>
    <w:pPr>
      <w:keepLines/>
      <w:spacing w:before="20" w:after="20"/>
      <w:ind w:left="57" w:right="57"/>
    </w:pPr>
    <w:rPr>
      <w:szCs w:val="18"/>
      <w:lang w:eastAsia="en-AU"/>
    </w:rPr>
  </w:style>
  <w:style w:type="paragraph" w:styleId="ListParagraph">
    <w:name w:val="List Paragraph"/>
    <w:aliases w:val="Bullets,List Paragraph1,Recommendation,List Paragraph11,Bulleted Para,CV text,Dot pt,F5 List Paragraph,FooterText,L,List Paragraph111,List Paragraph2,Medium Grid 1 - Accent 21,NFP GP Bulleted List,Numbered Paragraph,numbered,列出段落,列出段落1"/>
    <w:basedOn w:val="Normal"/>
    <w:link w:val="ListParagraphChar"/>
    <w:uiPriority w:val="34"/>
    <w:qFormat/>
    <w:rsid w:val="001867D4"/>
    <w:pPr>
      <w:tabs>
        <w:tab w:val="left" w:pos="284"/>
      </w:tabs>
      <w:spacing w:after="60"/>
      <w:ind w:left="284"/>
      <w:contextualSpacing/>
    </w:pPr>
    <w:rPr>
      <w:sz w:val="20"/>
    </w:rPr>
  </w:style>
  <w:style w:type="paragraph" w:customStyle="1" w:styleId="Table10text">
    <w:name w:val="Table10text"/>
    <w:basedOn w:val="Normal"/>
    <w:link w:val="Table10textChar"/>
    <w:uiPriority w:val="49"/>
    <w:semiHidden/>
    <w:rsid w:val="001B2338"/>
    <w:pPr>
      <w:spacing w:before="20" w:after="0"/>
    </w:pPr>
    <w:rPr>
      <w:rFonts w:asciiTheme="minorHAnsi" w:eastAsiaTheme="minorHAnsi" w:hAnsiTheme="minorHAnsi" w:cstheme="minorBidi"/>
      <w:szCs w:val="18"/>
    </w:rPr>
  </w:style>
  <w:style w:type="character" w:customStyle="1" w:styleId="Table10textChar">
    <w:name w:val="Table10text Char"/>
    <w:link w:val="Table10text"/>
    <w:uiPriority w:val="49"/>
    <w:semiHidden/>
    <w:locked/>
    <w:rsid w:val="00D31664"/>
    <w:rPr>
      <w:color w:val="262626" w:themeColor="accent3"/>
      <w:szCs w:val="18"/>
    </w:rPr>
  </w:style>
  <w:style w:type="paragraph" w:customStyle="1" w:styleId="Table10Heading">
    <w:name w:val="Table10Heading"/>
    <w:basedOn w:val="Normal"/>
    <w:uiPriority w:val="49"/>
    <w:semiHidden/>
    <w:rsid w:val="001B2338"/>
    <w:pPr>
      <w:keepLines/>
      <w:spacing w:before="20" w:after="0"/>
    </w:pPr>
    <w:rPr>
      <w:rFonts w:asciiTheme="minorHAnsi" w:eastAsiaTheme="minorHAnsi" w:hAnsiTheme="minorHAnsi" w:cstheme="minorBidi"/>
      <w:b/>
      <w:szCs w:val="20"/>
    </w:rPr>
  </w:style>
  <w:style w:type="character" w:styleId="CommentReference">
    <w:name w:val="annotation reference"/>
    <w:basedOn w:val="DefaultParagraphFont"/>
    <w:uiPriority w:val="49"/>
    <w:semiHidden/>
    <w:rsid w:val="001B2338"/>
    <w:rPr>
      <w:sz w:val="16"/>
      <w:szCs w:val="16"/>
    </w:rPr>
  </w:style>
  <w:style w:type="paragraph" w:styleId="CommentText">
    <w:name w:val="annotation text"/>
    <w:basedOn w:val="Normal"/>
    <w:link w:val="CommentTextChar"/>
    <w:uiPriority w:val="49"/>
    <w:semiHidden/>
    <w:rsid w:val="001B2338"/>
    <w:pPr>
      <w:spacing w:after="200"/>
    </w:pPr>
    <w:rPr>
      <w:rFonts w:asciiTheme="minorHAnsi" w:eastAsiaTheme="minorHAnsi" w:hAnsiTheme="minorHAnsi" w:cstheme="minorBidi"/>
      <w:szCs w:val="20"/>
    </w:rPr>
  </w:style>
  <w:style w:type="character" w:customStyle="1" w:styleId="CommentTextChar">
    <w:name w:val="Comment Text Char"/>
    <w:basedOn w:val="DefaultParagraphFont"/>
    <w:link w:val="CommentText"/>
    <w:uiPriority w:val="49"/>
    <w:semiHidden/>
    <w:rsid w:val="00D31664"/>
    <w:rPr>
      <w:color w:val="262626" w:themeColor="accent3"/>
      <w:szCs w:val="20"/>
      <w:lang w:val="en-GB"/>
    </w:rPr>
  </w:style>
  <w:style w:type="paragraph" w:styleId="CommentSubject">
    <w:name w:val="annotation subject"/>
    <w:basedOn w:val="CommentText"/>
    <w:next w:val="CommentText"/>
    <w:link w:val="CommentSubjectChar"/>
    <w:uiPriority w:val="49"/>
    <w:semiHidden/>
    <w:rsid w:val="001B2338"/>
    <w:pPr>
      <w:spacing w:after="160"/>
      <w:ind w:left="567"/>
    </w:pPr>
    <w:rPr>
      <w:rFonts w:ascii="Calibri" w:eastAsia="Times New Roman" w:hAnsi="Calibri" w:cs="Times New Roman"/>
      <w:b/>
      <w:bCs/>
    </w:rPr>
  </w:style>
  <w:style w:type="character" w:customStyle="1" w:styleId="CommentSubjectChar">
    <w:name w:val="Comment Subject Char"/>
    <w:basedOn w:val="CommentTextChar"/>
    <w:link w:val="CommentSubject"/>
    <w:uiPriority w:val="49"/>
    <w:semiHidden/>
    <w:rsid w:val="00D31664"/>
    <w:rPr>
      <w:rFonts w:ascii="Calibri" w:eastAsia="Times New Roman" w:hAnsi="Calibri" w:cs="Times New Roman"/>
      <w:b/>
      <w:bCs/>
      <w:color w:val="262626" w:themeColor="accent3"/>
      <w:szCs w:val="20"/>
      <w:lang w:val="en-GB"/>
    </w:rPr>
  </w:style>
  <w:style w:type="paragraph" w:styleId="BlockText">
    <w:name w:val="Block Text"/>
    <w:basedOn w:val="Normal"/>
    <w:uiPriority w:val="49"/>
    <w:semiHidden/>
    <w:rsid w:val="001B2338"/>
    <w:pPr>
      <w:tabs>
        <w:tab w:val="left" w:pos="567"/>
      </w:tabs>
      <w:spacing w:after="0"/>
      <w:ind w:left="567" w:right="-1091" w:hanging="567"/>
      <w:jc w:val="both"/>
    </w:pPr>
    <w:rPr>
      <w:rFonts w:ascii="Times New Roman" w:hAnsi="Times New Roman"/>
      <w:szCs w:val="20"/>
    </w:rPr>
  </w:style>
  <w:style w:type="paragraph" w:styleId="BodyText">
    <w:name w:val="Body Text"/>
    <w:basedOn w:val="Normal"/>
    <w:link w:val="BodyTextChar"/>
    <w:uiPriority w:val="10"/>
    <w:qFormat/>
    <w:rsid w:val="00D107C4"/>
  </w:style>
  <w:style w:type="character" w:customStyle="1" w:styleId="BodyTextChar">
    <w:name w:val="Body Text Char"/>
    <w:basedOn w:val="DefaultParagraphFont"/>
    <w:link w:val="BodyText"/>
    <w:uiPriority w:val="10"/>
    <w:rsid w:val="00D107C4"/>
    <w:rPr>
      <w:rFonts w:ascii="Calibri" w:eastAsia="Times New Roman" w:hAnsi="Calibri" w:cs="Times New Roman"/>
      <w:color w:val="262626" w:themeColor="accent3"/>
      <w:szCs w:val="24"/>
    </w:rPr>
  </w:style>
  <w:style w:type="paragraph" w:styleId="BodyText2">
    <w:name w:val="Body Text 2"/>
    <w:basedOn w:val="Normal"/>
    <w:link w:val="BodyText2Char"/>
    <w:uiPriority w:val="49"/>
    <w:semiHidden/>
    <w:rsid w:val="001B2338"/>
    <w:pPr>
      <w:spacing w:after="0"/>
      <w:ind w:right="-999"/>
      <w:jc w:val="both"/>
    </w:pPr>
    <w:rPr>
      <w:rFonts w:ascii="Times" w:hAnsi="Times"/>
      <w:sz w:val="24"/>
      <w:szCs w:val="20"/>
    </w:rPr>
  </w:style>
  <w:style w:type="character" w:customStyle="1" w:styleId="BodyText2Char">
    <w:name w:val="Body Text 2 Char"/>
    <w:basedOn w:val="DefaultParagraphFont"/>
    <w:link w:val="BodyText2"/>
    <w:uiPriority w:val="49"/>
    <w:semiHidden/>
    <w:rsid w:val="00D31664"/>
    <w:rPr>
      <w:rFonts w:ascii="Times" w:eastAsia="Times New Roman" w:hAnsi="Times" w:cs="Times New Roman"/>
      <w:color w:val="262626" w:themeColor="accent3"/>
      <w:sz w:val="24"/>
      <w:szCs w:val="20"/>
    </w:rPr>
  </w:style>
  <w:style w:type="paragraph" w:styleId="BodyText3">
    <w:name w:val="Body Text 3"/>
    <w:basedOn w:val="Normal"/>
    <w:link w:val="BodyText3Char"/>
    <w:uiPriority w:val="49"/>
    <w:semiHidden/>
    <w:rsid w:val="001B2338"/>
    <w:pPr>
      <w:spacing w:after="0"/>
      <w:ind w:right="-1091"/>
      <w:jc w:val="both"/>
    </w:pPr>
    <w:rPr>
      <w:rFonts w:ascii="Times New Roman" w:hAnsi="Times New Roman"/>
      <w:szCs w:val="20"/>
    </w:rPr>
  </w:style>
  <w:style w:type="character" w:customStyle="1" w:styleId="BodyText3Char">
    <w:name w:val="Body Text 3 Char"/>
    <w:basedOn w:val="DefaultParagraphFont"/>
    <w:link w:val="BodyText3"/>
    <w:uiPriority w:val="49"/>
    <w:semiHidden/>
    <w:rsid w:val="00D31664"/>
    <w:rPr>
      <w:rFonts w:ascii="Times New Roman" w:eastAsia="Times New Roman" w:hAnsi="Times New Roman" w:cs="Times New Roman"/>
      <w:color w:val="262626" w:themeColor="accent3"/>
      <w:szCs w:val="20"/>
    </w:rPr>
  </w:style>
  <w:style w:type="paragraph" w:styleId="BodyTextIndent">
    <w:name w:val="Body Text Indent"/>
    <w:basedOn w:val="Normal"/>
    <w:link w:val="BodyTextIndentChar"/>
    <w:uiPriority w:val="49"/>
    <w:semiHidden/>
    <w:rsid w:val="001B2338"/>
    <w:pPr>
      <w:tabs>
        <w:tab w:val="left" w:pos="8505"/>
        <w:tab w:val="left" w:pos="9072"/>
      </w:tabs>
      <w:spacing w:before="182" w:after="0" w:line="249" w:lineRule="exact"/>
      <w:ind w:right="1417" w:hanging="567"/>
    </w:pPr>
    <w:rPr>
      <w:rFonts w:ascii="Times New Roman" w:hAnsi="Times New Roman"/>
      <w:szCs w:val="18"/>
    </w:rPr>
  </w:style>
  <w:style w:type="character" w:customStyle="1" w:styleId="BodyTextIndentChar">
    <w:name w:val="Body Text Indent Char"/>
    <w:basedOn w:val="DefaultParagraphFont"/>
    <w:link w:val="BodyTextIndent"/>
    <w:uiPriority w:val="49"/>
    <w:semiHidden/>
    <w:rsid w:val="00D31664"/>
    <w:rPr>
      <w:rFonts w:ascii="Times New Roman" w:eastAsia="Times New Roman" w:hAnsi="Times New Roman" w:cs="Times New Roman"/>
      <w:color w:val="262626" w:themeColor="accent3"/>
      <w:szCs w:val="18"/>
    </w:rPr>
  </w:style>
  <w:style w:type="paragraph" w:styleId="BodyTextIndent2">
    <w:name w:val="Body Text Indent 2"/>
    <w:basedOn w:val="Normal"/>
    <w:link w:val="BodyTextIndent2Char"/>
    <w:uiPriority w:val="49"/>
    <w:semiHidden/>
    <w:rsid w:val="001B2338"/>
    <w:pPr>
      <w:tabs>
        <w:tab w:val="left" w:pos="8505"/>
        <w:tab w:val="left" w:pos="9072"/>
      </w:tabs>
      <w:spacing w:after="0" w:line="235" w:lineRule="exact"/>
      <w:ind w:left="-567" w:hanging="567"/>
      <w:jc w:val="both"/>
    </w:pPr>
    <w:rPr>
      <w:rFonts w:ascii="Times New Roman" w:hAnsi="Times New Roman"/>
      <w:szCs w:val="18"/>
    </w:rPr>
  </w:style>
  <w:style w:type="character" w:customStyle="1" w:styleId="BodyTextIndent2Char">
    <w:name w:val="Body Text Indent 2 Char"/>
    <w:basedOn w:val="DefaultParagraphFont"/>
    <w:link w:val="BodyTextIndent2"/>
    <w:uiPriority w:val="49"/>
    <w:semiHidden/>
    <w:rsid w:val="00D31664"/>
    <w:rPr>
      <w:rFonts w:ascii="Times New Roman" w:eastAsia="Times New Roman" w:hAnsi="Times New Roman" w:cs="Times New Roman"/>
      <w:color w:val="262626" w:themeColor="accent3"/>
      <w:szCs w:val="18"/>
    </w:rPr>
  </w:style>
  <w:style w:type="paragraph" w:styleId="BodyTextIndent3">
    <w:name w:val="Body Text Indent 3"/>
    <w:basedOn w:val="Normal"/>
    <w:link w:val="BodyTextIndent3Char"/>
    <w:uiPriority w:val="49"/>
    <w:semiHidden/>
    <w:rsid w:val="001B2338"/>
    <w:pPr>
      <w:tabs>
        <w:tab w:val="left" w:pos="9072"/>
        <w:tab w:val="left" w:pos="9639"/>
      </w:tabs>
      <w:spacing w:before="196" w:after="0" w:line="254" w:lineRule="exact"/>
      <w:ind w:right="1134" w:hanging="567"/>
      <w:jc w:val="both"/>
    </w:pPr>
    <w:rPr>
      <w:rFonts w:ascii="Times New Roman" w:hAnsi="Times New Roman"/>
      <w:szCs w:val="18"/>
    </w:rPr>
  </w:style>
  <w:style w:type="character" w:customStyle="1" w:styleId="BodyTextIndent3Char">
    <w:name w:val="Body Text Indent 3 Char"/>
    <w:basedOn w:val="DefaultParagraphFont"/>
    <w:link w:val="BodyTextIndent3"/>
    <w:uiPriority w:val="49"/>
    <w:semiHidden/>
    <w:rsid w:val="00D31664"/>
    <w:rPr>
      <w:rFonts w:ascii="Times New Roman" w:eastAsia="Times New Roman" w:hAnsi="Times New Roman" w:cs="Times New Roman"/>
      <w:color w:val="262626" w:themeColor="accent3"/>
      <w:szCs w:val="18"/>
    </w:rPr>
  </w:style>
  <w:style w:type="character" w:customStyle="1" w:styleId="Bullet1Char">
    <w:name w:val="Bullet1 Char"/>
    <w:link w:val="Bullet1"/>
    <w:uiPriority w:val="12"/>
    <w:rsid w:val="00B47A9A"/>
    <w:rPr>
      <w:rFonts w:ascii="Calibri" w:eastAsia="Times New Roman" w:hAnsi="Calibri" w:cs="Times New Roman"/>
      <w:color w:val="262626" w:themeColor="accent3"/>
      <w:szCs w:val="24"/>
    </w:rPr>
  </w:style>
  <w:style w:type="paragraph" w:customStyle="1" w:styleId="Table09text-centre">
    <w:name w:val="Table09text-centre"/>
    <w:basedOn w:val="Table09text"/>
    <w:uiPriority w:val="49"/>
    <w:semiHidden/>
    <w:rsid w:val="001B2338"/>
    <w:pPr>
      <w:jc w:val="center"/>
    </w:pPr>
  </w:style>
  <w:style w:type="paragraph" w:customStyle="1" w:styleId="Figure">
    <w:name w:val="Figure"/>
    <w:basedOn w:val="Table09text-centre"/>
    <w:uiPriority w:val="49"/>
    <w:semiHidden/>
    <w:rsid w:val="001B2338"/>
    <w:pPr>
      <w:spacing w:after="120"/>
    </w:pPr>
    <w:rPr>
      <w:i/>
    </w:rPr>
  </w:style>
  <w:style w:type="paragraph" w:customStyle="1" w:styleId="FooterSubtitle">
    <w:name w:val="FooterSubtitle"/>
    <w:basedOn w:val="Normal"/>
    <w:uiPriority w:val="49"/>
    <w:semiHidden/>
    <w:rsid w:val="001B2338"/>
    <w:pPr>
      <w:spacing w:before="20" w:after="60"/>
    </w:pPr>
    <w:rPr>
      <w:rFonts w:asciiTheme="minorHAnsi" w:eastAsiaTheme="minorHAnsi" w:hAnsiTheme="minorHAnsi" w:cstheme="minorBidi"/>
      <w:b/>
      <w:sz w:val="16"/>
      <w:szCs w:val="18"/>
    </w:rPr>
  </w:style>
  <w:style w:type="character" w:customStyle="1" w:styleId="Heading6Char">
    <w:name w:val="Heading 6 Char"/>
    <w:basedOn w:val="DefaultParagraphFont"/>
    <w:link w:val="Heading6"/>
    <w:uiPriority w:val="5"/>
    <w:rsid w:val="001B2338"/>
    <w:rPr>
      <w:rFonts w:eastAsiaTheme="majorEastAsia" w:cstheme="majorBidi"/>
      <w:bCs/>
      <w:iCs/>
      <w:color w:val="0F2D52" w:themeColor="text2"/>
      <w:sz w:val="18"/>
      <w:szCs w:val="20"/>
    </w:rPr>
  </w:style>
  <w:style w:type="character" w:customStyle="1" w:styleId="Heading7Char">
    <w:name w:val="Heading 7 Char"/>
    <w:basedOn w:val="DefaultParagraphFont"/>
    <w:link w:val="Heading7"/>
    <w:uiPriority w:val="6"/>
    <w:rsid w:val="001B2338"/>
    <w:rPr>
      <w:rFonts w:ascii="Calibri" w:eastAsia="Cambria" w:hAnsi="Calibri" w:cs="Effra-Bold"/>
      <w:b/>
      <w:bCs/>
      <w:color w:val="0F2D52" w:themeColor="text2"/>
      <w:sz w:val="36"/>
      <w:szCs w:val="26"/>
      <w:lang w:val="en-US"/>
    </w:rPr>
  </w:style>
  <w:style w:type="character" w:customStyle="1" w:styleId="Heading8Char">
    <w:name w:val="Heading 8 Char"/>
    <w:basedOn w:val="DefaultParagraphFont"/>
    <w:link w:val="Heading8"/>
    <w:uiPriority w:val="7"/>
    <w:rsid w:val="001B2338"/>
    <w:rPr>
      <w:rFonts w:ascii="Calibri" w:eastAsia="Cambria" w:hAnsi="Calibri" w:cs="Effra-Bold"/>
      <w:b/>
      <w:bCs/>
      <w:color w:val="0F2D52" w:themeColor="text2"/>
      <w:sz w:val="28"/>
      <w:szCs w:val="26"/>
      <w:lang w:val="en-GB"/>
    </w:rPr>
  </w:style>
  <w:style w:type="character" w:customStyle="1" w:styleId="Heading9Char">
    <w:name w:val="Heading 9 Char"/>
    <w:basedOn w:val="DefaultParagraphFont"/>
    <w:link w:val="Heading9"/>
    <w:uiPriority w:val="8"/>
    <w:rsid w:val="001B2338"/>
    <w:rPr>
      <w:rFonts w:ascii="Calibri" w:eastAsia="Cambria" w:hAnsi="Calibri" w:cs="Effra-Bold"/>
      <w:b/>
      <w:bCs/>
      <w:color w:val="0F2D52" w:themeColor="text2"/>
      <w:sz w:val="28"/>
      <w:szCs w:val="26"/>
      <w:lang w:val="en-GB"/>
    </w:rPr>
  </w:style>
  <w:style w:type="paragraph" w:styleId="Index1">
    <w:name w:val="index 1"/>
    <w:basedOn w:val="Normal"/>
    <w:next w:val="Normal"/>
    <w:autoRedefine/>
    <w:uiPriority w:val="49"/>
    <w:semiHidden/>
    <w:rsid w:val="001B2338"/>
    <w:pPr>
      <w:spacing w:after="0"/>
      <w:ind w:left="240" w:hanging="240"/>
    </w:pPr>
    <w:rPr>
      <w:rFonts w:ascii="Times" w:hAnsi="Times"/>
      <w:sz w:val="24"/>
      <w:szCs w:val="20"/>
      <w:lang w:val="en-US"/>
    </w:rPr>
  </w:style>
  <w:style w:type="paragraph" w:styleId="Index2">
    <w:name w:val="index 2"/>
    <w:basedOn w:val="Normal"/>
    <w:next w:val="Normal"/>
    <w:autoRedefine/>
    <w:uiPriority w:val="49"/>
    <w:semiHidden/>
    <w:rsid w:val="001B2338"/>
    <w:pPr>
      <w:spacing w:after="0"/>
      <w:ind w:left="480" w:hanging="240"/>
    </w:pPr>
    <w:rPr>
      <w:rFonts w:ascii="Times" w:hAnsi="Times"/>
      <w:sz w:val="24"/>
      <w:szCs w:val="20"/>
      <w:lang w:val="en-US"/>
    </w:rPr>
  </w:style>
  <w:style w:type="paragraph" w:styleId="Index3">
    <w:name w:val="index 3"/>
    <w:basedOn w:val="Normal"/>
    <w:next w:val="Normal"/>
    <w:autoRedefine/>
    <w:uiPriority w:val="49"/>
    <w:semiHidden/>
    <w:rsid w:val="001B2338"/>
    <w:pPr>
      <w:spacing w:after="0"/>
      <w:ind w:left="720" w:hanging="240"/>
    </w:pPr>
    <w:rPr>
      <w:rFonts w:ascii="Times" w:hAnsi="Times"/>
      <w:sz w:val="24"/>
      <w:szCs w:val="20"/>
      <w:lang w:val="en-US"/>
    </w:rPr>
  </w:style>
  <w:style w:type="paragraph" w:styleId="Index4">
    <w:name w:val="index 4"/>
    <w:basedOn w:val="Normal"/>
    <w:next w:val="Normal"/>
    <w:autoRedefine/>
    <w:uiPriority w:val="49"/>
    <w:semiHidden/>
    <w:rsid w:val="001B2338"/>
    <w:pPr>
      <w:spacing w:after="0"/>
      <w:ind w:left="960" w:hanging="240"/>
    </w:pPr>
    <w:rPr>
      <w:rFonts w:ascii="Times" w:hAnsi="Times"/>
      <w:sz w:val="24"/>
      <w:szCs w:val="20"/>
      <w:lang w:val="en-US"/>
    </w:rPr>
  </w:style>
  <w:style w:type="paragraph" w:styleId="Index5">
    <w:name w:val="index 5"/>
    <w:basedOn w:val="Normal"/>
    <w:next w:val="Normal"/>
    <w:autoRedefine/>
    <w:uiPriority w:val="49"/>
    <w:semiHidden/>
    <w:rsid w:val="001B2338"/>
    <w:pPr>
      <w:spacing w:after="0"/>
      <w:ind w:left="1200" w:hanging="240"/>
    </w:pPr>
    <w:rPr>
      <w:rFonts w:ascii="Times" w:hAnsi="Times"/>
      <w:sz w:val="24"/>
      <w:szCs w:val="20"/>
      <w:lang w:val="en-US"/>
    </w:rPr>
  </w:style>
  <w:style w:type="paragraph" w:styleId="Index6">
    <w:name w:val="index 6"/>
    <w:basedOn w:val="Normal"/>
    <w:next w:val="Normal"/>
    <w:autoRedefine/>
    <w:uiPriority w:val="49"/>
    <w:semiHidden/>
    <w:rsid w:val="001B2338"/>
    <w:pPr>
      <w:spacing w:after="0"/>
      <w:ind w:left="1440" w:hanging="240"/>
    </w:pPr>
    <w:rPr>
      <w:rFonts w:ascii="Times" w:hAnsi="Times"/>
      <w:sz w:val="24"/>
      <w:szCs w:val="20"/>
      <w:lang w:val="en-US"/>
    </w:rPr>
  </w:style>
  <w:style w:type="paragraph" w:styleId="Index7">
    <w:name w:val="index 7"/>
    <w:basedOn w:val="Normal"/>
    <w:next w:val="Normal"/>
    <w:autoRedefine/>
    <w:uiPriority w:val="49"/>
    <w:semiHidden/>
    <w:rsid w:val="001B2338"/>
    <w:pPr>
      <w:spacing w:after="0"/>
      <w:ind w:left="1680" w:hanging="240"/>
    </w:pPr>
    <w:rPr>
      <w:rFonts w:ascii="Times" w:hAnsi="Times"/>
      <w:sz w:val="24"/>
      <w:szCs w:val="20"/>
      <w:lang w:val="en-US"/>
    </w:rPr>
  </w:style>
  <w:style w:type="paragraph" w:styleId="Index8">
    <w:name w:val="index 8"/>
    <w:basedOn w:val="Normal"/>
    <w:next w:val="Normal"/>
    <w:autoRedefine/>
    <w:uiPriority w:val="49"/>
    <w:semiHidden/>
    <w:rsid w:val="001B2338"/>
    <w:pPr>
      <w:spacing w:after="0"/>
      <w:ind w:left="1920" w:hanging="240"/>
    </w:pPr>
    <w:rPr>
      <w:rFonts w:ascii="Times" w:hAnsi="Times"/>
      <w:sz w:val="24"/>
      <w:szCs w:val="20"/>
      <w:lang w:val="en-US"/>
    </w:rPr>
  </w:style>
  <w:style w:type="paragraph" w:styleId="Index9">
    <w:name w:val="index 9"/>
    <w:basedOn w:val="Normal"/>
    <w:next w:val="Normal"/>
    <w:autoRedefine/>
    <w:uiPriority w:val="49"/>
    <w:semiHidden/>
    <w:rsid w:val="001B2338"/>
    <w:pPr>
      <w:spacing w:after="0"/>
      <w:ind w:left="2160" w:hanging="240"/>
    </w:pPr>
    <w:rPr>
      <w:rFonts w:ascii="Times" w:hAnsi="Times"/>
      <w:sz w:val="24"/>
      <w:szCs w:val="20"/>
      <w:lang w:val="en-US"/>
    </w:rPr>
  </w:style>
  <w:style w:type="paragraph" w:styleId="IndexHeading">
    <w:name w:val="index heading"/>
    <w:basedOn w:val="Normal"/>
    <w:next w:val="Index1"/>
    <w:uiPriority w:val="49"/>
    <w:semiHidden/>
    <w:rsid w:val="001B2338"/>
    <w:pPr>
      <w:spacing w:after="0"/>
    </w:pPr>
    <w:rPr>
      <w:rFonts w:ascii="Times" w:hAnsi="Times"/>
      <w:sz w:val="24"/>
      <w:szCs w:val="20"/>
      <w:lang w:val="en-US"/>
    </w:rPr>
  </w:style>
  <w:style w:type="paragraph" w:customStyle="1" w:styleId="PageTitle">
    <w:name w:val="Page Title"/>
    <w:basedOn w:val="Normal"/>
    <w:uiPriority w:val="49"/>
    <w:semiHidden/>
    <w:rsid w:val="001B2338"/>
    <w:pPr>
      <w:spacing w:after="240"/>
    </w:pPr>
    <w:rPr>
      <w:rFonts w:eastAsia="Cambria"/>
      <w:b/>
      <w:color w:val="408287"/>
      <w:sz w:val="48"/>
    </w:rPr>
  </w:style>
  <w:style w:type="character" w:styleId="PlaceholderText">
    <w:name w:val="Placeholder Text"/>
    <w:basedOn w:val="DefaultParagraphFont"/>
    <w:uiPriority w:val="99"/>
    <w:semiHidden/>
    <w:rsid w:val="001B2338"/>
    <w:rPr>
      <w:color w:val="808080"/>
    </w:rPr>
  </w:style>
  <w:style w:type="paragraph" w:styleId="PlainText">
    <w:name w:val="Plain Text"/>
    <w:basedOn w:val="Normal"/>
    <w:link w:val="PlainTextChar"/>
    <w:uiPriority w:val="99"/>
    <w:semiHidden/>
    <w:unhideWhenUsed/>
    <w:rsid w:val="001B2338"/>
    <w:rPr>
      <w:rFonts w:eastAsiaTheme="minorHAnsi" w:cstheme="minorBidi"/>
      <w:szCs w:val="21"/>
    </w:rPr>
  </w:style>
  <w:style w:type="character" w:customStyle="1" w:styleId="PlainTextChar">
    <w:name w:val="Plain Text Char"/>
    <w:basedOn w:val="DefaultParagraphFont"/>
    <w:link w:val="PlainText"/>
    <w:uiPriority w:val="99"/>
    <w:semiHidden/>
    <w:rsid w:val="001B2338"/>
    <w:rPr>
      <w:rFonts w:ascii="Calibri" w:hAnsi="Calibri"/>
      <w:color w:val="262626" w:themeColor="accent3"/>
      <w:szCs w:val="21"/>
      <w:lang w:val="en-GB"/>
    </w:rPr>
  </w:style>
  <w:style w:type="paragraph" w:customStyle="1" w:styleId="SectionHeading1">
    <w:name w:val="Section Heading 1"/>
    <w:basedOn w:val="Normal"/>
    <w:link w:val="SectionHeading1Char"/>
    <w:uiPriority w:val="49"/>
    <w:semiHidden/>
    <w:rsid w:val="001B2338"/>
    <w:pPr>
      <w:keepNext/>
      <w:tabs>
        <w:tab w:val="center" w:pos="5102"/>
      </w:tabs>
      <w:spacing w:after="100" w:afterAutospacing="1"/>
      <w:contextualSpacing/>
    </w:pPr>
    <w:rPr>
      <w:b/>
      <w:noProof/>
      <w:color w:val="408287"/>
      <w:sz w:val="42"/>
      <w:szCs w:val="42"/>
      <w:lang w:eastAsia="en-AU"/>
    </w:rPr>
  </w:style>
  <w:style w:type="character" w:customStyle="1" w:styleId="SectionHeading1Char">
    <w:name w:val="Section Heading 1 Char"/>
    <w:basedOn w:val="DefaultParagraphFont"/>
    <w:link w:val="SectionHeading1"/>
    <w:uiPriority w:val="49"/>
    <w:semiHidden/>
    <w:rsid w:val="00D31664"/>
    <w:rPr>
      <w:rFonts w:ascii="Calibri" w:eastAsia="Times New Roman" w:hAnsi="Calibri" w:cs="Times New Roman"/>
      <w:b/>
      <w:noProof/>
      <w:color w:val="408287"/>
      <w:sz w:val="42"/>
      <w:szCs w:val="42"/>
      <w:lang w:val="en-GB" w:eastAsia="en-AU"/>
    </w:rPr>
  </w:style>
  <w:style w:type="paragraph" w:customStyle="1" w:styleId="SectionHeading2">
    <w:name w:val="Section Heading 2"/>
    <w:basedOn w:val="Normal"/>
    <w:link w:val="SectionHeading2Char"/>
    <w:uiPriority w:val="49"/>
    <w:semiHidden/>
    <w:rsid w:val="001B2338"/>
    <w:pPr>
      <w:tabs>
        <w:tab w:val="center" w:pos="5102"/>
      </w:tabs>
      <w:spacing w:line="14" w:lineRule="exact"/>
      <w:outlineLvl w:val="0"/>
    </w:pPr>
    <w:rPr>
      <w:b/>
      <w:color w:val="408287"/>
      <w:spacing w:val="-20"/>
      <w:sz w:val="96"/>
      <w:szCs w:val="96"/>
    </w:rPr>
  </w:style>
  <w:style w:type="character" w:customStyle="1" w:styleId="SectionHeading2Char">
    <w:name w:val="Section Heading 2 Char"/>
    <w:basedOn w:val="DefaultParagraphFont"/>
    <w:link w:val="SectionHeading2"/>
    <w:uiPriority w:val="49"/>
    <w:semiHidden/>
    <w:rsid w:val="00D31664"/>
    <w:rPr>
      <w:rFonts w:ascii="Calibri" w:eastAsia="Times New Roman" w:hAnsi="Calibri" w:cs="Times New Roman"/>
      <w:b/>
      <w:color w:val="408287"/>
      <w:spacing w:val="-20"/>
      <w:sz w:val="96"/>
      <w:szCs w:val="96"/>
      <w:lang w:val="en-GB"/>
    </w:rPr>
  </w:style>
  <w:style w:type="paragraph" w:customStyle="1" w:styleId="Tablebullet1">
    <w:name w:val="Table bullet1"/>
    <w:basedOn w:val="TableText"/>
    <w:link w:val="Tablebullet1Char"/>
    <w:uiPriority w:val="5"/>
    <w:qFormat/>
    <w:rsid w:val="008D3266"/>
    <w:pPr>
      <w:numPr>
        <w:numId w:val="8"/>
      </w:numPr>
      <w:ind w:left="320" w:hanging="284"/>
    </w:pPr>
  </w:style>
  <w:style w:type="character" w:customStyle="1" w:styleId="Tablebullet1Char">
    <w:name w:val="Table bullet1 Char"/>
    <w:basedOn w:val="TableTextChar"/>
    <w:link w:val="Tablebullet1"/>
    <w:uiPriority w:val="5"/>
    <w:rsid w:val="008D3266"/>
    <w:rPr>
      <w:rFonts w:ascii="Calibri" w:eastAsia="Cambria" w:hAnsi="Calibri" w:cs="Times New Roman"/>
      <w:color w:val="262626" w:themeColor="accent3"/>
      <w:sz w:val="20"/>
      <w:szCs w:val="20"/>
      <w:lang w:val="en-GB" w:eastAsia="en-AU"/>
    </w:rPr>
  </w:style>
  <w:style w:type="numbering" w:customStyle="1" w:styleId="Tablenumbering">
    <w:name w:val="Table numbering"/>
    <w:basedOn w:val="NoList"/>
    <w:rsid w:val="001B2338"/>
    <w:pPr>
      <w:numPr>
        <w:numId w:val="2"/>
      </w:numPr>
    </w:pPr>
  </w:style>
  <w:style w:type="paragraph" w:customStyle="1" w:styleId="Table09bullet">
    <w:name w:val="Table09bullet"/>
    <w:basedOn w:val="Normal"/>
    <w:uiPriority w:val="49"/>
    <w:semiHidden/>
    <w:rsid w:val="001B2338"/>
    <w:pPr>
      <w:numPr>
        <w:numId w:val="9"/>
      </w:numPr>
      <w:spacing w:before="20" w:after="20"/>
    </w:pPr>
    <w:rPr>
      <w:szCs w:val="18"/>
    </w:rPr>
  </w:style>
  <w:style w:type="paragraph" w:customStyle="1" w:styleId="Table08heading">
    <w:name w:val="Table08heading"/>
    <w:basedOn w:val="Normal"/>
    <w:uiPriority w:val="49"/>
    <w:semiHidden/>
    <w:rsid w:val="001B2338"/>
    <w:pPr>
      <w:spacing w:before="20" w:after="20"/>
    </w:pPr>
    <w:rPr>
      <w:rFonts w:asciiTheme="minorHAnsi" w:eastAsia="Calibri" w:hAnsiTheme="minorHAnsi" w:cstheme="minorBidi"/>
      <w:b/>
      <w:sz w:val="16"/>
      <w:szCs w:val="16"/>
    </w:rPr>
  </w:style>
  <w:style w:type="paragraph" w:customStyle="1" w:styleId="Table08Heading0">
    <w:name w:val="Table08Heading"/>
    <w:basedOn w:val="Table09Heading"/>
    <w:uiPriority w:val="49"/>
    <w:semiHidden/>
    <w:rsid w:val="001B2338"/>
    <w:rPr>
      <w:sz w:val="16"/>
    </w:rPr>
  </w:style>
  <w:style w:type="paragraph" w:customStyle="1" w:styleId="Table09bullet2">
    <w:name w:val="Table09bullet2"/>
    <w:basedOn w:val="Table09bullet"/>
    <w:uiPriority w:val="49"/>
    <w:semiHidden/>
    <w:rsid w:val="001B2338"/>
    <w:pPr>
      <w:numPr>
        <w:numId w:val="11"/>
      </w:numPr>
      <w:spacing w:before="0" w:after="0"/>
    </w:pPr>
  </w:style>
  <w:style w:type="paragraph" w:customStyle="1" w:styleId="Table09indent">
    <w:name w:val="Table09indent"/>
    <w:basedOn w:val="Table09bullet"/>
    <w:uiPriority w:val="49"/>
    <w:semiHidden/>
    <w:rsid w:val="001B2338"/>
    <w:pPr>
      <w:numPr>
        <w:numId w:val="0"/>
      </w:numPr>
      <w:ind w:left="170"/>
    </w:pPr>
  </w:style>
  <w:style w:type="paragraph" w:customStyle="1" w:styleId="Table09number">
    <w:name w:val="Table09number"/>
    <w:basedOn w:val="Table09text"/>
    <w:uiPriority w:val="49"/>
    <w:semiHidden/>
    <w:rsid w:val="001B2338"/>
    <w:pPr>
      <w:ind w:left="227" w:hanging="227"/>
    </w:pPr>
  </w:style>
  <w:style w:type="paragraph" w:customStyle="1" w:styleId="Table09text-Right">
    <w:name w:val="Table09text-Right"/>
    <w:basedOn w:val="Table09text-centre"/>
    <w:uiPriority w:val="49"/>
    <w:semiHidden/>
    <w:rsid w:val="001B2338"/>
    <w:pPr>
      <w:jc w:val="right"/>
    </w:pPr>
  </w:style>
  <w:style w:type="paragraph" w:customStyle="1" w:styleId="Table10bullet">
    <w:name w:val="Table10bullet"/>
    <w:basedOn w:val="Normal"/>
    <w:uiPriority w:val="49"/>
    <w:semiHidden/>
    <w:rsid w:val="001B2338"/>
    <w:pPr>
      <w:keepLines/>
      <w:numPr>
        <w:numId w:val="12"/>
      </w:numPr>
      <w:spacing w:before="20" w:after="0"/>
    </w:pPr>
    <w:rPr>
      <w:rFonts w:asciiTheme="minorHAnsi" w:eastAsiaTheme="minorHAnsi" w:hAnsiTheme="minorHAnsi" w:cstheme="minorBidi"/>
      <w:szCs w:val="18"/>
      <w:lang w:eastAsia="en-AU"/>
    </w:rPr>
  </w:style>
  <w:style w:type="paragraph" w:customStyle="1" w:styleId="Table10bullet2">
    <w:name w:val="Table10bullet2"/>
    <w:basedOn w:val="Table10bullet"/>
    <w:uiPriority w:val="49"/>
    <w:semiHidden/>
    <w:rsid w:val="001B2338"/>
    <w:pPr>
      <w:numPr>
        <w:numId w:val="13"/>
      </w:numPr>
    </w:pPr>
    <w:rPr>
      <w:rFonts w:eastAsia="Cambria"/>
    </w:rPr>
  </w:style>
  <w:style w:type="paragraph" w:customStyle="1" w:styleId="Table10text-centre">
    <w:name w:val="Table10text-centre"/>
    <w:basedOn w:val="Table10text"/>
    <w:uiPriority w:val="49"/>
    <w:semiHidden/>
    <w:rsid w:val="001B2338"/>
    <w:pPr>
      <w:jc w:val="center"/>
    </w:pPr>
  </w:style>
  <w:style w:type="paragraph" w:customStyle="1" w:styleId="Table10text-right">
    <w:name w:val="Table10text-right"/>
    <w:basedOn w:val="Table10text-centre"/>
    <w:uiPriority w:val="49"/>
    <w:semiHidden/>
    <w:rsid w:val="001B2338"/>
    <w:pPr>
      <w:jc w:val="right"/>
    </w:pPr>
  </w:style>
  <w:style w:type="paragraph" w:styleId="TOC1">
    <w:name w:val="toc 1"/>
    <w:basedOn w:val="Normal"/>
    <w:next w:val="BodyText"/>
    <w:autoRedefine/>
    <w:uiPriority w:val="28"/>
    <w:qFormat/>
    <w:rsid w:val="001B2338"/>
    <w:pPr>
      <w:tabs>
        <w:tab w:val="right" w:leader="dot" w:pos="9854"/>
      </w:tabs>
      <w:spacing w:before="60" w:after="60"/>
    </w:pPr>
    <w:rPr>
      <w:rFonts w:asciiTheme="minorHAnsi" w:hAnsiTheme="minorHAnsi"/>
      <w:b/>
      <w:bCs/>
      <w:noProof/>
      <w:sz w:val="20"/>
      <w:szCs w:val="20"/>
    </w:rPr>
  </w:style>
  <w:style w:type="paragraph" w:styleId="TOC2">
    <w:name w:val="toc 2"/>
    <w:basedOn w:val="Normal"/>
    <w:next w:val="BodyText"/>
    <w:autoRedefine/>
    <w:uiPriority w:val="29"/>
    <w:qFormat/>
    <w:rsid w:val="00FE4A6E"/>
    <w:pPr>
      <w:tabs>
        <w:tab w:val="right" w:leader="dot" w:pos="9854"/>
      </w:tabs>
      <w:spacing w:before="60" w:after="60"/>
      <w:ind w:left="426"/>
    </w:pPr>
    <w:rPr>
      <w:b/>
      <w:noProof/>
      <w:color w:val="auto"/>
      <w:sz w:val="20"/>
      <w:szCs w:val="20"/>
    </w:rPr>
  </w:style>
  <w:style w:type="paragraph" w:styleId="TOC3">
    <w:name w:val="toc 3"/>
    <w:basedOn w:val="Normal"/>
    <w:next w:val="BodyText"/>
    <w:autoRedefine/>
    <w:uiPriority w:val="30"/>
    <w:qFormat/>
    <w:rsid w:val="00FE4A6E"/>
    <w:pPr>
      <w:tabs>
        <w:tab w:val="right" w:leader="dot" w:pos="9854"/>
      </w:tabs>
      <w:spacing w:before="60" w:after="60"/>
      <w:ind w:left="851"/>
    </w:pPr>
    <w:rPr>
      <w:rFonts w:asciiTheme="minorHAnsi" w:eastAsia="Cambria" w:hAnsiTheme="minorHAnsi"/>
      <w:iCs/>
      <w:noProof/>
      <w:sz w:val="20"/>
      <w:szCs w:val="20"/>
    </w:rPr>
  </w:style>
  <w:style w:type="paragraph" w:styleId="TOCHeading">
    <w:name w:val="TOC Heading"/>
    <w:basedOn w:val="Heading1"/>
    <w:next w:val="BodyText"/>
    <w:uiPriority w:val="49"/>
    <w:semiHidden/>
    <w:rsid w:val="001B2338"/>
    <w:pPr>
      <w:keepLines/>
      <w:outlineLvl w:val="9"/>
    </w:pPr>
    <w:rPr>
      <w:rFonts w:eastAsiaTheme="majorEastAsia" w:cstheme="majorBidi"/>
      <w:bCs w:val="0"/>
      <w:szCs w:val="36"/>
      <w:lang w:eastAsia="ja-JP"/>
    </w:rPr>
  </w:style>
  <w:style w:type="character" w:customStyle="1" w:styleId="Table09textChar">
    <w:name w:val="Table09text Char"/>
    <w:link w:val="Table09text"/>
    <w:uiPriority w:val="49"/>
    <w:semiHidden/>
    <w:locked/>
    <w:rsid w:val="00D31664"/>
    <w:rPr>
      <w:rFonts w:ascii="Calibri" w:eastAsia="Times New Roman" w:hAnsi="Calibri" w:cs="Times New Roman"/>
      <w:color w:val="262626" w:themeColor="accent3"/>
      <w:szCs w:val="18"/>
      <w:lang w:val="en-GB" w:eastAsia="en-AU"/>
    </w:rPr>
  </w:style>
  <w:style w:type="paragraph" w:customStyle="1" w:styleId="Title2">
    <w:name w:val="Title2"/>
    <w:basedOn w:val="Heading2"/>
    <w:uiPriority w:val="49"/>
    <w:semiHidden/>
    <w:rsid w:val="001B2338"/>
    <w:rPr>
      <w:color w:val="BFBFBF" w:themeColor="accent5" w:themeShade="BF"/>
    </w:rPr>
  </w:style>
  <w:style w:type="paragraph" w:customStyle="1" w:styleId="TableText">
    <w:name w:val="Table Text"/>
    <w:basedOn w:val="BodyText"/>
    <w:link w:val="TableTextChar"/>
    <w:uiPriority w:val="16"/>
    <w:qFormat/>
    <w:rsid w:val="001B2338"/>
    <w:pPr>
      <w:spacing w:before="60" w:after="60"/>
    </w:pPr>
    <w:rPr>
      <w:rFonts w:eastAsia="Cambria"/>
      <w:szCs w:val="20"/>
      <w:lang w:eastAsia="en-AU"/>
    </w:rPr>
  </w:style>
  <w:style w:type="paragraph" w:customStyle="1" w:styleId="TableNumber">
    <w:name w:val="Table Number"/>
    <w:basedOn w:val="TableText"/>
    <w:link w:val="TableNumberChar"/>
    <w:uiPriority w:val="49"/>
    <w:semiHidden/>
    <w:rsid w:val="001B2338"/>
    <w:pPr>
      <w:jc w:val="center"/>
    </w:pPr>
  </w:style>
  <w:style w:type="character" w:customStyle="1" w:styleId="TableTextChar">
    <w:name w:val="Table Text Char"/>
    <w:basedOn w:val="Table09textChar"/>
    <w:link w:val="TableText"/>
    <w:uiPriority w:val="16"/>
    <w:rsid w:val="001B2338"/>
    <w:rPr>
      <w:rFonts w:ascii="Calibri" w:eastAsia="Cambria" w:hAnsi="Calibri" w:cs="Times New Roman"/>
      <w:color w:val="262626" w:themeColor="accent3"/>
      <w:sz w:val="20"/>
      <w:szCs w:val="20"/>
      <w:lang w:val="en-GB" w:eastAsia="en-AU"/>
    </w:rPr>
  </w:style>
  <w:style w:type="paragraph" w:customStyle="1" w:styleId="Textbox">
    <w:name w:val="Textbox"/>
    <w:basedOn w:val="Normal"/>
    <w:link w:val="TextboxChar"/>
    <w:uiPriority w:val="49"/>
    <w:semiHidden/>
    <w:rsid w:val="001B2338"/>
    <w:pPr>
      <w:shd w:val="clear" w:color="auto" w:fill="D9D9D9" w:themeFill="background1" w:themeFillShade="D9"/>
      <w:spacing w:after="60"/>
    </w:pPr>
    <w:rPr>
      <w:rFonts w:asciiTheme="minorHAnsi" w:hAnsiTheme="minorHAnsi" w:cs="Arial"/>
      <w:lang w:eastAsia="en-AU"/>
    </w:rPr>
  </w:style>
  <w:style w:type="character" w:customStyle="1" w:styleId="TableNumberChar">
    <w:name w:val="Table Number Char"/>
    <w:basedOn w:val="TableTextChar"/>
    <w:link w:val="TableNumber"/>
    <w:uiPriority w:val="49"/>
    <w:semiHidden/>
    <w:rsid w:val="00D31664"/>
    <w:rPr>
      <w:rFonts w:ascii="Calibri" w:eastAsia="Cambria" w:hAnsi="Calibri" w:cs="Times New Roman"/>
      <w:color w:val="262626" w:themeColor="accent3"/>
      <w:sz w:val="20"/>
      <w:szCs w:val="20"/>
      <w:lang w:val="en-GB" w:eastAsia="en-AU"/>
    </w:rPr>
  </w:style>
  <w:style w:type="paragraph" w:customStyle="1" w:styleId="Copyright">
    <w:name w:val="Copyright"/>
    <w:basedOn w:val="Normal"/>
    <w:link w:val="CopyrightChar"/>
    <w:uiPriority w:val="49"/>
    <w:semiHidden/>
    <w:rsid w:val="001B2338"/>
    <w:pPr>
      <w:shd w:val="clear" w:color="auto" w:fill="D9D9D9" w:themeFill="background1" w:themeFillShade="D9"/>
      <w:spacing w:after="0"/>
    </w:pPr>
    <w:rPr>
      <w:rFonts w:asciiTheme="minorHAnsi" w:hAnsiTheme="minorHAnsi" w:cs="Arial"/>
      <w:sz w:val="11"/>
      <w:szCs w:val="11"/>
      <w:lang w:eastAsia="en-AU"/>
    </w:rPr>
  </w:style>
  <w:style w:type="character" w:customStyle="1" w:styleId="TextboxChar">
    <w:name w:val="Textbox Char"/>
    <w:basedOn w:val="DefaultParagraphFont"/>
    <w:link w:val="Textbox"/>
    <w:uiPriority w:val="49"/>
    <w:semiHidden/>
    <w:rsid w:val="00A63479"/>
    <w:rPr>
      <w:rFonts w:eastAsia="Times New Roman" w:cs="Arial"/>
      <w:color w:val="262626" w:themeColor="accent3"/>
      <w:szCs w:val="24"/>
      <w:shd w:val="clear" w:color="auto" w:fill="D9D9D9" w:themeFill="background1" w:themeFillShade="D9"/>
      <w:lang w:val="en-GB" w:eastAsia="en-AU"/>
    </w:rPr>
  </w:style>
  <w:style w:type="paragraph" w:customStyle="1" w:styleId="TextboxBlue">
    <w:name w:val="Textbox (Blue)"/>
    <w:basedOn w:val="Normal"/>
    <w:link w:val="TextboxBlueChar"/>
    <w:uiPriority w:val="49"/>
    <w:semiHidden/>
    <w:rsid w:val="001B2338"/>
    <w:pPr>
      <w:spacing w:after="60"/>
    </w:pPr>
    <w:rPr>
      <w:rFonts w:cs="Arial"/>
      <w:color w:val="0F2D52" w:themeColor="text2"/>
      <w:lang w:eastAsia="en-AU"/>
    </w:rPr>
  </w:style>
  <w:style w:type="character" w:customStyle="1" w:styleId="CopyrightChar">
    <w:name w:val="Copyright Char"/>
    <w:basedOn w:val="DefaultParagraphFont"/>
    <w:link w:val="Copyright"/>
    <w:uiPriority w:val="49"/>
    <w:semiHidden/>
    <w:rsid w:val="00A63479"/>
    <w:rPr>
      <w:rFonts w:eastAsia="Times New Roman" w:cs="Arial"/>
      <w:color w:val="262626" w:themeColor="accent3"/>
      <w:sz w:val="11"/>
      <w:szCs w:val="11"/>
      <w:shd w:val="clear" w:color="auto" w:fill="D9D9D9" w:themeFill="background1" w:themeFillShade="D9"/>
      <w:lang w:val="en-GB" w:eastAsia="en-AU"/>
    </w:rPr>
  </w:style>
  <w:style w:type="paragraph" w:customStyle="1" w:styleId="CopyrightBlue">
    <w:name w:val="Copyright (Blue)"/>
    <w:basedOn w:val="Normal"/>
    <w:link w:val="CopyrightBlueChar"/>
    <w:uiPriority w:val="49"/>
    <w:semiHidden/>
    <w:rsid w:val="001B2338"/>
    <w:pPr>
      <w:spacing w:after="0"/>
    </w:pPr>
    <w:rPr>
      <w:rFonts w:cs="Arial"/>
      <w:color w:val="0F2D52" w:themeColor="text2"/>
      <w:sz w:val="11"/>
      <w:szCs w:val="11"/>
      <w:lang w:eastAsia="en-AU"/>
    </w:rPr>
  </w:style>
  <w:style w:type="character" w:customStyle="1" w:styleId="TextboxBlueChar">
    <w:name w:val="Textbox (Blue) Char"/>
    <w:basedOn w:val="DefaultParagraphFont"/>
    <w:link w:val="TextboxBlue"/>
    <w:uiPriority w:val="49"/>
    <w:semiHidden/>
    <w:rsid w:val="00A63479"/>
    <w:rPr>
      <w:rFonts w:ascii="Calibri" w:eastAsia="Times New Roman" w:hAnsi="Calibri" w:cs="Arial"/>
      <w:color w:val="0F2D52" w:themeColor="text2"/>
      <w:szCs w:val="24"/>
      <w:lang w:val="en-GB" w:eastAsia="en-AU"/>
    </w:rPr>
  </w:style>
  <w:style w:type="character" w:customStyle="1" w:styleId="CopyrightBlueChar">
    <w:name w:val="Copyright (Blue) Char"/>
    <w:basedOn w:val="DefaultParagraphFont"/>
    <w:link w:val="CopyrightBlue"/>
    <w:uiPriority w:val="49"/>
    <w:semiHidden/>
    <w:rsid w:val="00A63479"/>
    <w:rPr>
      <w:rFonts w:ascii="Calibri" w:eastAsia="Times New Roman" w:hAnsi="Calibri" w:cs="Arial"/>
      <w:color w:val="0F2D52" w:themeColor="text2"/>
      <w:sz w:val="11"/>
      <w:szCs w:val="11"/>
      <w:lang w:val="en-GB" w:eastAsia="en-AU"/>
    </w:rPr>
  </w:style>
  <w:style w:type="paragraph" w:customStyle="1" w:styleId="TableBodyText">
    <w:name w:val="Table Body Text"/>
    <w:link w:val="TableBodyTextChar"/>
    <w:uiPriority w:val="49"/>
    <w:semiHidden/>
    <w:rsid w:val="001B2338"/>
    <w:pPr>
      <w:spacing w:before="40" w:after="40" w:line="260" w:lineRule="atLeast"/>
    </w:pPr>
    <w:rPr>
      <w:rFonts w:ascii="Verdana" w:hAnsi="Verdana"/>
      <w:bCs/>
      <w:sz w:val="16"/>
    </w:rPr>
  </w:style>
  <w:style w:type="paragraph" w:customStyle="1" w:styleId="WorkingTitle5">
    <w:name w:val="Working_Title5"/>
    <w:basedOn w:val="Heading5"/>
    <w:next w:val="BodyText"/>
    <w:uiPriority w:val="49"/>
    <w:semiHidden/>
    <w:rsid w:val="001B2338"/>
    <w:pPr>
      <w:keepLines w:val="0"/>
      <w:pBdr>
        <w:bottom w:val="single" w:sz="2" w:space="1" w:color="B48714"/>
      </w:pBdr>
      <w:tabs>
        <w:tab w:val="left" w:pos="1134"/>
      </w:tabs>
      <w:spacing w:before="280" w:after="200" w:line="260" w:lineRule="atLeast"/>
      <w:outlineLvl w:val="9"/>
    </w:pPr>
    <w:rPr>
      <w:rFonts w:ascii="Verdana" w:eastAsia="Calibri" w:hAnsi="Verdana" w:cs="Times New Roman"/>
      <w:i/>
      <w:iCs w:val="0"/>
      <w:color w:val="5F5F5F"/>
      <w:spacing w:val="15"/>
      <w:sz w:val="22"/>
      <w:szCs w:val="35"/>
    </w:rPr>
  </w:style>
  <w:style w:type="character" w:customStyle="1" w:styleId="TableBodyTextChar">
    <w:name w:val="Table Body Text Char"/>
    <w:basedOn w:val="DefaultParagraphFont"/>
    <w:link w:val="TableBodyText"/>
    <w:uiPriority w:val="49"/>
    <w:semiHidden/>
    <w:rsid w:val="00D31664"/>
    <w:rPr>
      <w:rFonts w:ascii="Verdana" w:hAnsi="Verdana"/>
      <w:bCs/>
      <w:sz w:val="16"/>
    </w:rPr>
  </w:style>
  <w:style w:type="paragraph" w:styleId="Caption">
    <w:name w:val="caption"/>
    <w:basedOn w:val="Normal"/>
    <w:next w:val="BodyText"/>
    <w:link w:val="CaptionChar"/>
    <w:uiPriority w:val="11"/>
    <w:qFormat/>
    <w:rsid w:val="001B2338"/>
    <w:pPr>
      <w:spacing w:before="120" w:after="200"/>
    </w:pPr>
    <w:rPr>
      <w:b/>
      <w:bCs/>
      <w:color w:val="0F2D52" w:themeColor="text2"/>
      <w:sz w:val="18"/>
      <w:szCs w:val="18"/>
    </w:rPr>
  </w:style>
  <w:style w:type="paragraph" w:customStyle="1" w:styleId="PublishDate">
    <w:name w:val="Publish Date"/>
    <w:basedOn w:val="Title"/>
    <w:link w:val="PublishDateChar"/>
    <w:uiPriority w:val="24"/>
    <w:qFormat/>
    <w:rsid w:val="001B2338"/>
    <w:rPr>
      <w:sz w:val="20"/>
      <w:szCs w:val="24"/>
      <w:lang w:val="en-US"/>
    </w:rPr>
  </w:style>
  <w:style w:type="paragraph" w:styleId="TOC4">
    <w:name w:val="toc 4"/>
    <w:basedOn w:val="Normal"/>
    <w:next w:val="Normal"/>
    <w:autoRedefine/>
    <w:uiPriority w:val="49"/>
    <w:unhideWhenUsed/>
    <w:rsid w:val="001B2338"/>
    <w:pPr>
      <w:spacing w:after="0"/>
      <w:ind w:left="660"/>
    </w:pPr>
    <w:rPr>
      <w:rFonts w:asciiTheme="minorHAnsi" w:hAnsiTheme="minorHAnsi"/>
      <w:sz w:val="18"/>
      <w:szCs w:val="18"/>
    </w:rPr>
  </w:style>
  <w:style w:type="character" w:customStyle="1" w:styleId="PublishDateChar">
    <w:name w:val="Publish Date Char"/>
    <w:basedOn w:val="TitleChar"/>
    <w:link w:val="PublishDate"/>
    <w:uiPriority w:val="24"/>
    <w:rsid w:val="00811B92"/>
    <w:rPr>
      <w:rFonts w:ascii="Calibri" w:eastAsia="Times New Roman" w:hAnsi="Calibri" w:cs="Times New Roman"/>
      <w:color w:val="0F2D52" w:themeColor="text2"/>
      <w:sz w:val="20"/>
      <w:szCs w:val="24"/>
      <w:lang w:val="en-US"/>
    </w:rPr>
  </w:style>
  <w:style w:type="paragraph" w:styleId="TOC5">
    <w:name w:val="toc 5"/>
    <w:basedOn w:val="Normal"/>
    <w:next w:val="Normal"/>
    <w:autoRedefine/>
    <w:uiPriority w:val="49"/>
    <w:unhideWhenUsed/>
    <w:rsid w:val="001B2338"/>
    <w:pPr>
      <w:spacing w:after="0"/>
      <w:ind w:left="880"/>
    </w:pPr>
    <w:rPr>
      <w:rFonts w:asciiTheme="minorHAnsi" w:hAnsiTheme="minorHAnsi"/>
      <w:sz w:val="18"/>
      <w:szCs w:val="18"/>
    </w:rPr>
  </w:style>
  <w:style w:type="paragraph" w:styleId="TOC6">
    <w:name w:val="toc 6"/>
    <w:basedOn w:val="Normal"/>
    <w:next w:val="Normal"/>
    <w:autoRedefine/>
    <w:uiPriority w:val="49"/>
    <w:unhideWhenUsed/>
    <w:rsid w:val="001B2338"/>
    <w:pPr>
      <w:spacing w:after="0"/>
      <w:ind w:left="1100"/>
    </w:pPr>
    <w:rPr>
      <w:rFonts w:asciiTheme="minorHAnsi" w:hAnsiTheme="minorHAnsi"/>
      <w:sz w:val="18"/>
      <w:szCs w:val="18"/>
    </w:rPr>
  </w:style>
  <w:style w:type="paragraph" w:styleId="TOC7">
    <w:name w:val="toc 7"/>
    <w:basedOn w:val="Normal"/>
    <w:next w:val="Normal"/>
    <w:autoRedefine/>
    <w:uiPriority w:val="49"/>
    <w:unhideWhenUsed/>
    <w:rsid w:val="001B2338"/>
    <w:pPr>
      <w:spacing w:after="0"/>
      <w:ind w:left="1320"/>
    </w:pPr>
    <w:rPr>
      <w:rFonts w:asciiTheme="minorHAnsi" w:hAnsiTheme="minorHAnsi"/>
      <w:sz w:val="18"/>
      <w:szCs w:val="18"/>
    </w:rPr>
  </w:style>
  <w:style w:type="paragraph" w:styleId="TOC8">
    <w:name w:val="toc 8"/>
    <w:basedOn w:val="Normal"/>
    <w:next w:val="Normal"/>
    <w:autoRedefine/>
    <w:uiPriority w:val="49"/>
    <w:unhideWhenUsed/>
    <w:rsid w:val="001B2338"/>
    <w:pPr>
      <w:spacing w:after="0"/>
      <w:ind w:left="1540"/>
    </w:pPr>
    <w:rPr>
      <w:rFonts w:asciiTheme="minorHAnsi" w:hAnsiTheme="minorHAnsi"/>
      <w:sz w:val="18"/>
      <w:szCs w:val="18"/>
    </w:rPr>
  </w:style>
  <w:style w:type="paragraph" w:styleId="TOC9">
    <w:name w:val="toc 9"/>
    <w:basedOn w:val="Normal"/>
    <w:next w:val="Normal"/>
    <w:autoRedefine/>
    <w:uiPriority w:val="49"/>
    <w:unhideWhenUsed/>
    <w:rsid w:val="001B2338"/>
    <w:pPr>
      <w:spacing w:after="0"/>
      <w:ind w:left="1760"/>
    </w:pPr>
    <w:rPr>
      <w:rFonts w:asciiTheme="minorHAnsi" w:hAnsiTheme="minorHAnsi"/>
      <w:sz w:val="18"/>
      <w:szCs w:val="18"/>
    </w:rPr>
  </w:style>
  <w:style w:type="paragraph" w:styleId="TableofFigures">
    <w:name w:val="table of figures"/>
    <w:basedOn w:val="Normal"/>
    <w:next w:val="Normal"/>
    <w:uiPriority w:val="31"/>
    <w:qFormat/>
    <w:rsid w:val="00E927AD"/>
    <w:pPr>
      <w:spacing w:after="0"/>
    </w:pPr>
    <w:rPr>
      <w:sz w:val="20"/>
    </w:rPr>
  </w:style>
  <w:style w:type="paragraph" w:customStyle="1" w:styleId="AppendixHeading">
    <w:name w:val="Appendix Heading"/>
    <w:basedOn w:val="Caption"/>
    <w:link w:val="AppendixHeadingChar"/>
    <w:uiPriority w:val="9"/>
    <w:qFormat/>
    <w:rsid w:val="001B2338"/>
    <w:pPr>
      <w:spacing w:before="240" w:after="120"/>
    </w:pPr>
    <w:rPr>
      <w:sz w:val="28"/>
      <w:szCs w:val="36"/>
    </w:rPr>
  </w:style>
  <w:style w:type="character" w:customStyle="1" w:styleId="CaptionChar">
    <w:name w:val="Caption Char"/>
    <w:basedOn w:val="DefaultParagraphFont"/>
    <w:link w:val="Caption"/>
    <w:uiPriority w:val="11"/>
    <w:rsid w:val="001B2338"/>
    <w:rPr>
      <w:rFonts w:ascii="Calibri" w:eastAsia="Times New Roman" w:hAnsi="Calibri" w:cs="Times New Roman"/>
      <w:b/>
      <w:bCs/>
      <w:color w:val="0F2D52" w:themeColor="text2"/>
      <w:sz w:val="18"/>
      <w:szCs w:val="18"/>
      <w:lang w:val="en-GB"/>
    </w:rPr>
  </w:style>
  <w:style w:type="character" w:customStyle="1" w:styleId="AppendixHeadingChar">
    <w:name w:val="Appendix Heading Char"/>
    <w:basedOn w:val="CaptionChar"/>
    <w:link w:val="AppendixHeading"/>
    <w:uiPriority w:val="9"/>
    <w:rsid w:val="001B2338"/>
    <w:rPr>
      <w:rFonts w:ascii="Calibri" w:eastAsia="Times New Roman" w:hAnsi="Calibri" w:cs="Times New Roman"/>
      <w:b/>
      <w:bCs/>
      <w:color w:val="0F2D52" w:themeColor="text2"/>
      <w:sz w:val="28"/>
      <w:szCs w:val="36"/>
      <w:lang w:val="en-GB"/>
    </w:rPr>
  </w:style>
  <w:style w:type="paragraph" w:customStyle="1" w:styleId="DocProperties1">
    <w:name w:val="Doc Properties 1"/>
    <w:basedOn w:val="Normal"/>
    <w:next w:val="BodyText"/>
    <w:link w:val="DocProperties1Char"/>
    <w:uiPriority w:val="26"/>
    <w:qFormat/>
    <w:rsid w:val="001B2338"/>
    <w:pPr>
      <w:spacing w:before="240"/>
    </w:pPr>
    <w:rPr>
      <w:b/>
      <w:color w:val="0F2D52" w:themeColor="text2"/>
      <w:sz w:val="28"/>
    </w:rPr>
  </w:style>
  <w:style w:type="character" w:customStyle="1" w:styleId="DocProperties1Char">
    <w:name w:val="Doc Properties 1 Char"/>
    <w:basedOn w:val="Heading7Char"/>
    <w:link w:val="DocProperties1"/>
    <w:uiPriority w:val="26"/>
    <w:rsid w:val="00811B92"/>
    <w:rPr>
      <w:rFonts w:ascii="Calibri" w:eastAsia="Times New Roman" w:hAnsi="Calibri" w:cs="Times New Roman"/>
      <w:b/>
      <w:bCs w:val="0"/>
      <w:color w:val="0F2D52" w:themeColor="text2"/>
      <w:sz w:val="28"/>
      <w:szCs w:val="24"/>
      <w:lang w:val="en-GB"/>
    </w:rPr>
  </w:style>
  <w:style w:type="paragraph" w:customStyle="1" w:styleId="DocProperties2">
    <w:name w:val="Doc Properties 2"/>
    <w:basedOn w:val="DocProperties1"/>
    <w:next w:val="BodyText"/>
    <w:link w:val="DocProperties2Char"/>
    <w:uiPriority w:val="27"/>
    <w:qFormat/>
    <w:rsid w:val="001B2338"/>
    <w:pPr>
      <w:spacing w:after="60"/>
    </w:pPr>
    <w:rPr>
      <w:szCs w:val="28"/>
    </w:rPr>
  </w:style>
  <w:style w:type="character" w:customStyle="1" w:styleId="DocProperties2Char">
    <w:name w:val="Doc Properties 2 Char"/>
    <w:basedOn w:val="Heading8Char"/>
    <w:link w:val="DocProperties2"/>
    <w:uiPriority w:val="27"/>
    <w:rsid w:val="00811B92"/>
    <w:rPr>
      <w:rFonts w:ascii="Calibri" w:eastAsia="Times New Roman" w:hAnsi="Calibri" w:cs="Times New Roman"/>
      <w:b/>
      <w:bCs w:val="0"/>
      <w:color w:val="0F2D52" w:themeColor="text2"/>
      <w:sz w:val="28"/>
      <w:szCs w:val="28"/>
      <w:lang w:val="en-GB"/>
    </w:rPr>
  </w:style>
  <w:style w:type="table" w:customStyle="1" w:styleId="NHVRTable1">
    <w:name w:val="NHVR Table 1"/>
    <w:basedOn w:val="TableNormal"/>
    <w:uiPriority w:val="99"/>
    <w:rsid w:val="00A7167B"/>
    <w:pPr>
      <w:spacing w:before="60" w:after="60" w:line="240" w:lineRule="auto"/>
    </w:pPr>
    <w:rPr>
      <w:rFonts w:ascii="Calibri" w:hAnsi="Calibri"/>
      <w:sz w:val="20"/>
    </w:rPr>
    <w:tblPr>
      <w:tblInd w:w="108" w:type="dxa"/>
      <w:tblBorders>
        <w:top w:val="single" w:sz="4" w:space="0" w:color="4A6378" w:themeColor="accent4" w:themeShade="80"/>
        <w:bottom w:val="single" w:sz="4" w:space="0" w:color="4A6378" w:themeColor="accent4" w:themeShade="80"/>
        <w:insideH w:val="single" w:sz="4" w:space="0" w:color="4A6378" w:themeColor="accent4" w:themeShade="80"/>
      </w:tblBorders>
    </w:tblPr>
    <w:tblStylePr w:type="firstRow">
      <w:rPr>
        <w:rFonts w:asciiTheme="minorHAnsi" w:hAnsiTheme="minorHAnsi"/>
        <w:b/>
        <w:sz w:val="20"/>
      </w:rPr>
      <w:tblPr/>
      <w:tcPr>
        <w:shd w:val="clear" w:color="auto" w:fill="E0EDF4" w:themeFill="accent2" w:themeFillTint="33"/>
      </w:tcPr>
    </w:tblStylePr>
  </w:style>
  <w:style w:type="paragraph" w:customStyle="1" w:styleId="Tablebullet2">
    <w:name w:val="Table bullet2"/>
    <w:basedOn w:val="Tablebullet1"/>
    <w:link w:val="Tablebullet2Char"/>
    <w:uiPriority w:val="5"/>
    <w:qFormat/>
    <w:rsid w:val="00DB3093"/>
    <w:pPr>
      <w:numPr>
        <w:ilvl w:val="1"/>
      </w:numPr>
      <w:ind w:left="603" w:hanging="283"/>
    </w:pPr>
  </w:style>
  <w:style w:type="paragraph" w:customStyle="1" w:styleId="Tablenumber1">
    <w:name w:val="Table number1"/>
    <w:basedOn w:val="TableText"/>
    <w:link w:val="Tablenumber1Char"/>
    <w:uiPriority w:val="19"/>
    <w:qFormat/>
    <w:rsid w:val="00DB3093"/>
    <w:pPr>
      <w:numPr>
        <w:numId w:val="14"/>
      </w:numPr>
      <w:ind w:left="320" w:hanging="284"/>
    </w:pPr>
  </w:style>
  <w:style w:type="character" w:customStyle="1" w:styleId="Tablebullet2Char">
    <w:name w:val="Table bullet2 Char"/>
    <w:basedOn w:val="Tablebullet1Char"/>
    <w:link w:val="Tablebullet2"/>
    <w:uiPriority w:val="5"/>
    <w:rsid w:val="00D31664"/>
    <w:rPr>
      <w:rFonts w:ascii="Calibri" w:eastAsia="Cambria" w:hAnsi="Calibri" w:cs="Times New Roman"/>
      <w:color w:val="262626" w:themeColor="accent3"/>
      <w:sz w:val="20"/>
      <w:szCs w:val="20"/>
      <w:lang w:val="en-GB" w:eastAsia="en-AU"/>
    </w:rPr>
  </w:style>
  <w:style w:type="paragraph" w:customStyle="1" w:styleId="Tablenumber2">
    <w:name w:val="Table number2"/>
    <w:basedOn w:val="Tablenumber1"/>
    <w:link w:val="Tablenumber2Char"/>
    <w:uiPriority w:val="20"/>
    <w:qFormat/>
    <w:rsid w:val="00DB3093"/>
    <w:pPr>
      <w:numPr>
        <w:ilvl w:val="1"/>
      </w:numPr>
      <w:ind w:left="603" w:hanging="283"/>
    </w:pPr>
  </w:style>
  <w:style w:type="character" w:customStyle="1" w:styleId="Tablenumber1Char">
    <w:name w:val="Table number1 Char"/>
    <w:basedOn w:val="TableTextChar"/>
    <w:link w:val="Tablenumber1"/>
    <w:uiPriority w:val="19"/>
    <w:rsid w:val="00D31664"/>
    <w:rPr>
      <w:rFonts w:ascii="Calibri" w:eastAsia="Cambria" w:hAnsi="Calibri" w:cs="Times New Roman"/>
      <w:color w:val="262626" w:themeColor="accent3"/>
      <w:sz w:val="20"/>
      <w:szCs w:val="20"/>
      <w:lang w:val="en-GB" w:eastAsia="en-AU"/>
    </w:rPr>
  </w:style>
  <w:style w:type="character" w:customStyle="1" w:styleId="Tablenumber2Char">
    <w:name w:val="Table number2 Char"/>
    <w:basedOn w:val="Tablenumber1Char"/>
    <w:link w:val="Tablenumber2"/>
    <w:uiPriority w:val="20"/>
    <w:rsid w:val="00D31664"/>
    <w:rPr>
      <w:rFonts w:ascii="Calibri" w:eastAsia="Cambria" w:hAnsi="Calibri" w:cs="Times New Roman"/>
      <w:color w:val="262626" w:themeColor="accent3"/>
      <w:sz w:val="20"/>
      <w:szCs w:val="20"/>
      <w:lang w:val="en-GB" w:eastAsia="en-AU"/>
    </w:rPr>
  </w:style>
  <w:style w:type="paragraph" w:customStyle="1" w:styleId="Subject">
    <w:name w:val="Subject"/>
    <w:basedOn w:val="Normal"/>
    <w:link w:val="SubjectChar"/>
    <w:uiPriority w:val="23"/>
    <w:qFormat/>
    <w:rsid w:val="00811B92"/>
    <w:rPr>
      <w:color w:val="0F2D52" w:themeColor="text2"/>
      <w:sz w:val="36"/>
      <w:szCs w:val="36"/>
      <w:lang w:val="en-US"/>
    </w:rPr>
  </w:style>
  <w:style w:type="character" w:customStyle="1" w:styleId="SubjectChar">
    <w:name w:val="Subject Char"/>
    <w:basedOn w:val="DefaultParagraphFont"/>
    <w:link w:val="Subject"/>
    <w:uiPriority w:val="23"/>
    <w:rsid w:val="00811B92"/>
    <w:rPr>
      <w:rFonts w:ascii="Calibri" w:eastAsia="Times New Roman" w:hAnsi="Calibri" w:cs="Times New Roman"/>
      <w:color w:val="0F2D52" w:themeColor="text2"/>
      <w:sz w:val="36"/>
      <w:szCs w:val="36"/>
      <w:lang w:val="en-US"/>
    </w:rPr>
  </w:style>
  <w:style w:type="paragraph" w:customStyle="1" w:styleId="Default">
    <w:name w:val="Default"/>
    <w:rsid w:val="00166828"/>
    <w:pPr>
      <w:autoSpaceDE w:val="0"/>
      <w:autoSpaceDN w:val="0"/>
      <w:adjustRightInd w:val="0"/>
      <w:spacing w:after="0" w:line="240" w:lineRule="auto"/>
    </w:pPr>
    <w:rPr>
      <w:rFonts w:ascii="URW Geometric" w:hAnsi="URW Geometric" w:cs="URW Geometric"/>
      <w:color w:val="000000"/>
      <w:sz w:val="24"/>
      <w:szCs w:val="24"/>
    </w:rPr>
  </w:style>
  <w:style w:type="paragraph" w:customStyle="1" w:styleId="Pa3">
    <w:name w:val="Pa3"/>
    <w:basedOn w:val="Default"/>
    <w:next w:val="Default"/>
    <w:uiPriority w:val="99"/>
    <w:rsid w:val="00166828"/>
    <w:pPr>
      <w:spacing w:line="221" w:lineRule="atLeast"/>
    </w:pPr>
    <w:rPr>
      <w:rFonts w:cstheme="minorBidi"/>
      <w:color w:val="auto"/>
    </w:rPr>
  </w:style>
  <w:style w:type="character" w:customStyle="1" w:styleId="ListParagraphChar">
    <w:name w:val="List Paragraph Char"/>
    <w:aliases w:val="Bullets Char,List Paragraph1 Char,Recommendation Char,List Paragraph11 Char,Bulleted Para Char,CV text Char,Dot pt Char,F5 List Paragraph Char,FooterText Char,L Char,List Paragraph111 Char,List Paragraph2 Char,Numbered Paragraph Char"/>
    <w:link w:val="ListParagraph"/>
    <w:uiPriority w:val="34"/>
    <w:locked/>
    <w:rsid w:val="000C65BB"/>
    <w:rPr>
      <w:rFonts w:ascii="Calibri" w:eastAsia="Times New Roman" w:hAnsi="Calibri" w:cs="Times New Roman"/>
      <w:color w:val="262626" w:themeColor="accent3"/>
      <w:sz w:val="20"/>
      <w:szCs w:val="24"/>
    </w:rPr>
  </w:style>
  <w:style w:type="paragraph" w:styleId="FootnoteText">
    <w:name w:val="footnote text"/>
    <w:basedOn w:val="Normal"/>
    <w:link w:val="FootnoteTextChar"/>
    <w:uiPriority w:val="99"/>
    <w:unhideWhenUsed/>
    <w:rsid w:val="00F23187"/>
    <w:pPr>
      <w:spacing w:after="0"/>
    </w:pPr>
    <w:rPr>
      <w:sz w:val="20"/>
      <w:szCs w:val="20"/>
    </w:rPr>
  </w:style>
  <w:style w:type="character" w:customStyle="1" w:styleId="FootnoteTextChar">
    <w:name w:val="Footnote Text Char"/>
    <w:basedOn w:val="DefaultParagraphFont"/>
    <w:link w:val="FootnoteText"/>
    <w:uiPriority w:val="99"/>
    <w:rsid w:val="00F23187"/>
    <w:rPr>
      <w:rFonts w:ascii="Calibri" w:eastAsia="Times New Roman" w:hAnsi="Calibri" w:cs="Times New Roman"/>
      <w:color w:val="262626" w:themeColor="accent3"/>
      <w:sz w:val="20"/>
      <w:szCs w:val="20"/>
    </w:rPr>
  </w:style>
  <w:style w:type="character" w:styleId="FootnoteReference">
    <w:name w:val="footnote reference"/>
    <w:basedOn w:val="DefaultParagraphFont"/>
    <w:uiPriority w:val="99"/>
    <w:semiHidden/>
    <w:unhideWhenUsed/>
    <w:rsid w:val="00F23187"/>
    <w:rPr>
      <w:vertAlign w:val="superscript"/>
    </w:rPr>
  </w:style>
  <w:style w:type="paragraph" w:styleId="Revision">
    <w:name w:val="Revision"/>
    <w:hidden/>
    <w:uiPriority w:val="99"/>
    <w:semiHidden/>
    <w:rsid w:val="00C16047"/>
    <w:pPr>
      <w:spacing w:after="0" w:line="240" w:lineRule="auto"/>
    </w:pPr>
    <w:rPr>
      <w:rFonts w:ascii="Calibri" w:eastAsia="Times New Roman" w:hAnsi="Calibri" w:cs="Times New Roman"/>
      <w:color w:val="262626" w:themeColor="accent3"/>
      <w:szCs w:val="24"/>
    </w:rPr>
  </w:style>
  <w:style w:type="character" w:styleId="UnresolvedMention">
    <w:name w:val="Unresolved Mention"/>
    <w:basedOn w:val="DefaultParagraphFont"/>
    <w:uiPriority w:val="99"/>
    <w:semiHidden/>
    <w:unhideWhenUsed/>
    <w:rsid w:val="007512DE"/>
    <w:rPr>
      <w:color w:val="605E5C"/>
      <w:shd w:val="clear" w:color="auto" w:fill="E1DFDD"/>
    </w:rPr>
  </w:style>
  <w:style w:type="character" w:customStyle="1" w:styleId="listnumber">
    <w:name w:val="listnumber"/>
    <w:basedOn w:val="DefaultParagraphFont"/>
    <w:rsid w:val="00E16870"/>
  </w:style>
  <w:style w:type="paragraph" w:customStyle="1" w:styleId="xmsonormal">
    <w:name w:val="x_msonormal"/>
    <w:basedOn w:val="Normal"/>
    <w:rsid w:val="000233B1"/>
    <w:pPr>
      <w:spacing w:before="100" w:beforeAutospacing="1" w:after="100" w:afterAutospacing="1"/>
    </w:pPr>
    <w:rPr>
      <w:rFonts w:ascii="Times New Roman" w:hAnsi="Times New Roman"/>
      <w:color w:val="auto"/>
      <w:sz w:val="24"/>
      <w:lang w:eastAsia="en-AU"/>
    </w:rPr>
  </w:style>
  <w:style w:type="character" w:customStyle="1" w:styleId="mark84jrg6qq9">
    <w:name w:val="mark84jrg6qq9"/>
    <w:basedOn w:val="DefaultParagraphFont"/>
    <w:rsid w:val="000233B1"/>
  </w:style>
  <w:style w:type="numbering" w:customStyle="1" w:styleId="CodeofPractice">
    <w:name w:val="Code of Practice"/>
    <w:uiPriority w:val="99"/>
    <w:rsid w:val="00E3758B"/>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63153">
      <w:bodyDiv w:val="1"/>
      <w:marLeft w:val="0"/>
      <w:marRight w:val="0"/>
      <w:marTop w:val="0"/>
      <w:marBottom w:val="0"/>
      <w:divBdr>
        <w:top w:val="none" w:sz="0" w:space="0" w:color="auto"/>
        <w:left w:val="none" w:sz="0" w:space="0" w:color="auto"/>
        <w:bottom w:val="none" w:sz="0" w:space="0" w:color="auto"/>
        <w:right w:val="none" w:sz="0" w:space="0" w:color="auto"/>
      </w:divBdr>
    </w:div>
    <w:div w:id="30620409">
      <w:bodyDiv w:val="1"/>
      <w:marLeft w:val="0"/>
      <w:marRight w:val="0"/>
      <w:marTop w:val="0"/>
      <w:marBottom w:val="0"/>
      <w:divBdr>
        <w:top w:val="none" w:sz="0" w:space="0" w:color="auto"/>
        <w:left w:val="none" w:sz="0" w:space="0" w:color="auto"/>
        <w:bottom w:val="none" w:sz="0" w:space="0" w:color="auto"/>
        <w:right w:val="none" w:sz="0" w:space="0" w:color="auto"/>
      </w:divBdr>
    </w:div>
    <w:div w:id="95374010">
      <w:bodyDiv w:val="1"/>
      <w:marLeft w:val="0"/>
      <w:marRight w:val="0"/>
      <w:marTop w:val="0"/>
      <w:marBottom w:val="0"/>
      <w:divBdr>
        <w:top w:val="none" w:sz="0" w:space="0" w:color="auto"/>
        <w:left w:val="none" w:sz="0" w:space="0" w:color="auto"/>
        <w:bottom w:val="none" w:sz="0" w:space="0" w:color="auto"/>
        <w:right w:val="none" w:sz="0" w:space="0" w:color="auto"/>
      </w:divBdr>
    </w:div>
    <w:div w:id="102120184">
      <w:bodyDiv w:val="1"/>
      <w:marLeft w:val="0"/>
      <w:marRight w:val="0"/>
      <w:marTop w:val="0"/>
      <w:marBottom w:val="0"/>
      <w:divBdr>
        <w:top w:val="none" w:sz="0" w:space="0" w:color="auto"/>
        <w:left w:val="none" w:sz="0" w:space="0" w:color="auto"/>
        <w:bottom w:val="none" w:sz="0" w:space="0" w:color="auto"/>
        <w:right w:val="none" w:sz="0" w:space="0" w:color="auto"/>
      </w:divBdr>
    </w:div>
    <w:div w:id="148257797">
      <w:bodyDiv w:val="1"/>
      <w:marLeft w:val="0"/>
      <w:marRight w:val="0"/>
      <w:marTop w:val="0"/>
      <w:marBottom w:val="0"/>
      <w:divBdr>
        <w:top w:val="none" w:sz="0" w:space="0" w:color="auto"/>
        <w:left w:val="none" w:sz="0" w:space="0" w:color="auto"/>
        <w:bottom w:val="none" w:sz="0" w:space="0" w:color="auto"/>
        <w:right w:val="none" w:sz="0" w:space="0" w:color="auto"/>
      </w:divBdr>
    </w:div>
    <w:div w:id="155387428">
      <w:bodyDiv w:val="1"/>
      <w:marLeft w:val="0"/>
      <w:marRight w:val="0"/>
      <w:marTop w:val="0"/>
      <w:marBottom w:val="0"/>
      <w:divBdr>
        <w:top w:val="none" w:sz="0" w:space="0" w:color="auto"/>
        <w:left w:val="none" w:sz="0" w:space="0" w:color="auto"/>
        <w:bottom w:val="none" w:sz="0" w:space="0" w:color="auto"/>
        <w:right w:val="none" w:sz="0" w:space="0" w:color="auto"/>
      </w:divBdr>
      <w:divsChild>
        <w:div w:id="628777891">
          <w:marLeft w:val="0"/>
          <w:marRight w:val="0"/>
          <w:marTop w:val="0"/>
          <w:marBottom w:val="0"/>
          <w:divBdr>
            <w:top w:val="none" w:sz="0" w:space="0" w:color="auto"/>
            <w:left w:val="none" w:sz="0" w:space="0" w:color="auto"/>
            <w:bottom w:val="none" w:sz="0" w:space="0" w:color="auto"/>
            <w:right w:val="none" w:sz="0" w:space="0" w:color="auto"/>
          </w:divBdr>
          <w:divsChild>
            <w:div w:id="926186379">
              <w:marLeft w:val="0"/>
              <w:marRight w:val="0"/>
              <w:marTop w:val="0"/>
              <w:marBottom w:val="0"/>
              <w:divBdr>
                <w:top w:val="none" w:sz="0" w:space="0" w:color="auto"/>
                <w:left w:val="none" w:sz="0" w:space="0" w:color="auto"/>
                <w:bottom w:val="none" w:sz="0" w:space="0" w:color="auto"/>
                <w:right w:val="none" w:sz="0" w:space="0" w:color="auto"/>
              </w:divBdr>
              <w:divsChild>
                <w:div w:id="1384599038">
                  <w:marLeft w:val="0"/>
                  <w:marRight w:val="0"/>
                  <w:marTop w:val="0"/>
                  <w:marBottom w:val="0"/>
                  <w:divBdr>
                    <w:top w:val="none" w:sz="0" w:space="0" w:color="auto"/>
                    <w:left w:val="none" w:sz="0" w:space="0" w:color="auto"/>
                    <w:bottom w:val="none" w:sz="0" w:space="0" w:color="auto"/>
                    <w:right w:val="none" w:sz="0" w:space="0" w:color="auto"/>
                  </w:divBdr>
                  <w:divsChild>
                    <w:div w:id="1068766058">
                      <w:marLeft w:val="0"/>
                      <w:marRight w:val="0"/>
                      <w:marTop w:val="0"/>
                      <w:marBottom w:val="0"/>
                      <w:divBdr>
                        <w:top w:val="none" w:sz="0" w:space="0" w:color="auto"/>
                        <w:left w:val="none" w:sz="0" w:space="0" w:color="auto"/>
                        <w:bottom w:val="none" w:sz="0" w:space="0" w:color="auto"/>
                        <w:right w:val="none" w:sz="0" w:space="0" w:color="auto"/>
                      </w:divBdr>
                      <w:divsChild>
                        <w:div w:id="1186095302">
                          <w:marLeft w:val="0"/>
                          <w:marRight w:val="0"/>
                          <w:marTop w:val="0"/>
                          <w:marBottom w:val="0"/>
                          <w:divBdr>
                            <w:top w:val="none" w:sz="0" w:space="0" w:color="auto"/>
                            <w:left w:val="none" w:sz="0" w:space="0" w:color="auto"/>
                            <w:bottom w:val="none" w:sz="0" w:space="0" w:color="auto"/>
                            <w:right w:val="none" w:sz="0" w:space="0" w:color="auto"/>
                          </w:divBdr>
                          <w:divsChild>
                            <w:div w:id="1933270578">
                              <w:marLeft w:val="0"/>
                              <w:marRight w:val="0"/>
                              <w:marTop w:val="0"/>
                              <w:marBottom w:val="0"/>
                              <w:divBdr>
                                <w:top w:val="none" w:sz="0" w:space="0" w:color="auto"/>
                                <w:left w:val="none" w:sz="0" w:space="0" w:color="auto"/>
                                <w:bottom w:val="none" w:sz="0" w:space="0" w:color="auto"/>
                                <w:right w:val="none" w:sz="0" w:space="0" w:color="auto"/>
                              </w:divBdr>
                              <w:divsChild>
                                <w:div w:id="2035184634">
                                  <w:marLeft w:val="0"/>
                                  <w:marRight w:val="0"/>
                                  <w:marTop w:val="0"/>
                                  <w:marBottom w:val="0"/>
                                  <w:divBdr>
                                    <w:top w:val="none" w:sz="0" w:space="0" w:color="auto"/>
                                    <w:left w:val="none" w:sz="0" w:space="0" w:color="auto"/>
                                    <w:bottom w:val="none" w:sz="0" w:space="0" w:color="auto"/>
                                    <w:right w:val="none" w:sz="0" w:space="0" w:color="auto"/>
                                  </w:divBdr>
                                  <w:divsChild>
                                    <w:div w:id="22437754">
                                      <w:marLeft w:val="0"/>
                                      <w:marRight w:val="0"/>
                                      <w:marTop w:val="0"/>
                                      <w:marBottom w:val="0"/>
                                      <w:divBdr>
                                        <w:top w:val="none" w:sz="0" w:space="0" w:color="auto"/>
                                        <w:left w:val="none" w:sz="0" w:space="0" w:color="auto"/>
                                        <w:bottom w:val="none" w:sz="0" w:space="0" w:color="auto"/>
                                        <w:right w:val="none" w:sz="0" w:space="0" w:color="auto"/>
                                      </w:divBdr>
                                      <w:divsChild>
                                        <w:div w:id="1969824113">
                                          <w:marLeft w:val="0"/>
                                          <w:marRight w:val="0"/>
                                          <w:marTop w:val="0"/>
                                          <w:marBottom w:val="0"/>
                                          <w:divBdr>
                                            <w:top w:val="none" w:sz="0" w:space="0" w:color="auto"/>
                                            <w:left w:val="none" w:sz="0" w:space="0" w:color="auto"/>
                                            <w:bottom w:val="none" w:sz="0" w:space="0" w:color="auto"/>
                                            <w:right w:val="none" w:sz="0" w:space="0" w:color="auto"/>
                                          </w:divBdr>
                                          <w:divsChild>
                                            <w:div w:id="1668896140">
                                              <w:marLeft w:val="0"/>
                                              <w:marRight w:val="0"/>
                                              <w:marTop w:val="0"/>
                                              <w:marBottom w:val="0"/>
                                              <w:divBdr>
                                                <w:top w:val="none" w:sz="0" w:space="0" w:color="auto"/>
                                                <w:left w:val="none" w:sz="0" w:space="0" w:color="auto"/>
                                                <w:bottom w:val="none" w:sz="0" w:space="0" w:color="auto"/>
                                                <w:right w:val="none" w:sz="0" w:space="0" w:color="auto"/>
                                              </w:divBdr>
                                              <w:divsChild>
                                                <w:div w:id="1157184272">
                                                  <w:marLeft w:val="0"/>
                                                  <w:marRight w:val="0"/>
                                                  <w:marTop w:val="0"/>
                                                  <w:marBottom w:val="0"/>
                                                  <w:divBdr>
                                                    <w:top w:val="none" w:sz="0" w:space="0" w:color="auto"/>
                                                    <w:left w:val="none" w:sz="0" w:space="0" w:color="auto"/>
                                                    <w:bottom w:val="none" w:sz="0" w:space="0" w:color="auto"/>
                                                    <w:right w:val="none" w:sz="0" w:space="0" w:color="auto"/>
                                                  </w:divBdr>
                                                  <w:divsChild>
                                                    <w:div w:id="525558729">
                                                      <w:marLeft w:val="0"/>
                                                      <w:marRight w:val="0"/>
                                                      <w:marTop w:val="0"/>
                                                      <w:marBottom w:val="0"/>
                                                      <w:divBdr>
                                                        <w:top w:val="none" w:sz="0" w:space="0" w:color="auto"/>
                                                        <w:left w:val="none" w:sz="0" w:space="0" w:color="auto"/>
                                                        <w:bottom w:val="none" w:sz="0" w:space="0" w:color="auto"/>
                                                        <w:right w:val="none" w:sz="0" w:space="0" w:color="auto"/>
                                                      </w:divBdr>
                                                      <w:divsChild>
                                                        <w:div w:id="2052267144">
                                                          <w:marLeft w:val="0"/>
                                                          <w:marRight w:val="0"/>
                                                          <w:marTop w:val="0"/>
                                                          <w:marBottom w:val="0"/>
                                                          <w:divBdr>
                                                            <w:top w:val="none" w:sz="0" w:space="0" w:color="auto"/>
                                                            <w:left w:val="none" w:sz="0" w:space="0" w:color="auto"/>
                                                            <w:bottom w:val="none" w:sz="0" w:space="0" w:color="auto"/>
                                                            <w:right w:val="none" w:sz="0" w:space="0" w:color="auto"/>
                                                          </w:divBdr>
                                                          <w:divsChild>
                                                            <w:div w:id="1425148875">
                                                              <w:marLeft w:val="0"/>
                                                              <w:marRight w:val="0"/>
                                                              <w:marTop w:val="0"/>
                                                              <w:marBottom w:val="0"/>
                                                              <w:divBdr>
                                                                <w:top w:val="none" w:sz="0" w:space="0" w:color="auto"/>
                                                                <w:left w:val="none" w:sz="0" w:space="0" w:color="auto"/>
                                                                <w:bottom w:val="none" w:sz="0" w:space="0" w:color="auto"/>
                                                                <w:right w:val="none" w:sz="0" w:space="0" w:color="auto"/>
                                                              </w:divBdr>
                                                              <w:divsChild>
                                                                <w:div w:id="1623346644">
                                                                  <w:marLeft w:val="0"/>
                                                                  <w:marRight w:val="0"/>
                                                                  <w:marTop w:val="0"/>
                                                                  <w:marBottom w:val="0"/>
                                                                  <w:divBdr>
                                                                    <w:top w:val="none" w:sz="0" w:space="0" w:color="auto"/>
                                                                    <w:left w:val="none" w:sz="0" w:space="0" w:color="auto"/>
                                                                    <w:bottom w:val="none" w:sz="0" w:space="0" w:color="auto"/>
                                                                    <w:right w:val="none" w:sz="0" w:space="0" w:color="auto"/>
                                                                  </w:divBdr>
                                                                  <w:divsChild>
                                                                    <w:div w:id="805004815">
                                                                      <w:marLeft w:val="0"/>
                                                                      <w:marRight w:val="0"/>
                                                                      <w:marTop w:val="0"/>
                                                                      <w:marBottom w:val="0"/>
                                                                      <w:divBdr>
                                                                        <w:top w:val="single" w:sz="4" w:space="0" w:color="B1BADF"/>
                                                                        <w:left w:val="single" w:sz="4" w:space="0" w:color="B1BADF"/>
                                                                        <w:bottom w:val="single" w:sz="4" w:space="0" w:color="B1BADF"/>
                                                                        <w:right w:val="single" w:sz="4" w:space="0" w:color="B1BADF"/>
                                                                      </w:divBdr>
                                                                      <w:divsChild>
                                                                        <w:div w:id="889346873">
                                                                          <w:marLeft w:val="0"/>
                                                                          <w:marRight w:val="0"/>
                                                                          <w:marTop w:val="0"/>
                                                                          <w:marBottom w:val="0"/>
                                                                          <w:divBdr>
                                                                            <w:top w:val="none" w:sz="0" w:space="0" w:color="auto"/>
                                                                            <w:left w:val="none" w:sz="0" w:space="0" w:color="auto"/>
                                                                            <w:bottom w:val="none" w:sz="0" w:space="0" w:color="auto"/>
                                                                            <w:right w:val="none" w:sz="0" w:space="0" w:color="auto"/>
                                                                          </w:divBdr>
                                                                          <w:divsChild>
                                                                            <w:div w:id="595601045">
                                                                              <w:marLeft w:val="0"/>
                                                                              <w:marRight w:val="0"/>
                                                                              <w:marTop w:val="0"/>
                                                                              <w:marBottom w:val="0"/>
                                                                              <w:divBdr>
                                                                                <w:top w:val="none" w:sz="0" w:space="0" w:color="auto"/>
                                                                                <w:left w:val="none" w:sz="0" w:space="0" w:color="auto"/>
                                                                                <w:bottom w:val="none" w:sz="0" w:space="0" w:color="auto"/>
                                                                                <w:right w:val="none" w:sz="0" w:space="0" w:color="auto"/>
                                                                              </w:divBdr>
                                                                              <w:divsChild>
                                                                                <w:div w:id="1878735997">
                                                                                  <w:marLeft w:val="0"/>
                                                                                  <w:marRight w:val="0"/>
                                                                                  <w:marTop w:val="0"/>
                                                                                  <w:marBottom w:val="0"/>
                                                                                  <w:divBdr>
                                                                                    <w:top w:val="none" w:sz="0" w:space="0" w:color="auto"/>
                                                                                    <w:left w:val="none" w:sz="0" w:space="0" w:color="auto"/>
                                                                                    <w:bottom w:val="none" w:sz="0" w:space="0" w:color="auto"/>
                                                                                    <w:right w:val="none" w:sz="0" w:space="0" w:color="auto"/>
                                                                                  </w:divBdr>
                                                                                  <w:divsChild>
                                                                                    <w:div w:id="234897882">
                                                                                      <w:marLeft w:val="0"/>
                                                                                      <w:marRight w:val="0"/>
                                                                                      <w:marTop w:val="0"/>
                                                                                      <w:marBottom w:val="0"/>
                                                                                      <w:divBdr>
                                                                                        <w:top w:val="none" w:sz="0" w:space="0" w:color="auto"/>
                                                                                        <w:left w:val="none" w:sz="0" w:space="0" w:color="auto"/>
                                                                                        <w:bottom w:val="none" w:sz="0" w:space="0" w:color="auto"/>
                                                                                        <w:right w:val="none" w:sz="0" w:space="0" w:color="auto"/>
                                                                                      </w:divBdr>
                                                                                      <w:divsChild>
                                                                                        <w:div w:id="145634021">
                                                                                          <w:marLeft w:val="0"/>
                                                                                          <w:marRight w:val="0"/>
                                                                                          <w:marTop w:val="0"/>
                                                                                          <w:marBottom w:val="0"/>
                                                                                          <w:divBdr>
                                                                                            <w:top w:val="none" w:sz="0" w:space="0" w:color="auto"/>
                                                                                            <w:left w:val="none" w:sz="0" w:space="0" w:color="auto"/>
                                                                                            <w:bottom w:val="none" w:sz="0" w:space="0" w:color="auto"/>
                                                                                            <w:right w:val="none" w:sz="0" w:space="0" w:color="auto"/>
                                                                                          </w:divBdr>
                                                                                          <w:divsChild>
                                                                                            <w:div w:id="598175145">
                                                                                              <w:marLeft w:val="0"/>
                                                                                              <w:marRight w:val="0"/>
                                                                                              <w:marTop w:val="0"/>
                                                                                              <w:marBottom w:val="0"/>
                                                                                              <w:divBdr>
                                                                                                <w:top w:val="none" w:sz="0" w:space="0" w:color="auto"/>
                                                                                                <w:left w:val="none" w:sz="0" w:space="0" w:color="auto"/>
                                                                                                <w:bottom w:val="none" w:sz="0" w:space="0" w:color="auto"/>
                                                                                                <w:right w:val="none" w:sz="0" w:space="0" w:color="auto"/>
                                                                                              </w:divBdr>
                                                                                              <w:divsChild>
                                                                                                <w:div w:id="785660533">
                                                                                                  <w:marLeft w:val="0"/>
                                                                                                  <w:marRight w:val="0"/>
                                                                                                  <w:marTop w:val="0"/>
                                                                                                  <w:marBottom w:val="0"/>
                                                                                                  <w:divBdr>
                                                                                                    <w:top w:val="none" w:sz="0" w:space="0" w:color="auto"/>
                                                                                                    <w:left w:val="none" w:sz="0" w:space="0" w:color="auto"/>
                                                                                                    <w:bottom w:val="none" w:sz="0" w:space="0" w:color="auto"/>
                                                                                                    <w:right w:val="none" w:sz="0" w:space="0" w:color="auto"/>
                                                                                                  </w:divBdr>
                                                                                                  <w:divsChild>
                                                                                                    <w:div w:id="2046128761">
                                                                                                      <w:marLeft w:val="0"/>
                                                                                                      <w:marRight w:val="0"/>
                                                                                                      <w:marTop w:val="0"/>
                                                                                                      <w:marBottom w:val="0"/>
                                                                                                      <w:divBdr>
                                                                                                        <w:top w:val="none" w:sz="0" w:space="0" w:color="auto"/>
                                                                                                        <w:left w:val="none" w:sz="0" w:space="0" w:color="auto"/>
                                                                                                        <w:bottom w:val="none" w:sz="0" w:space="0" w:color="auto"/>
                                                                                                        <w:right w:val="none" w:sz="0" w:space="0" w:color="auto"/>
                                                                                                      </w:divBdr>
                                                                                                      <w:divsChild>
                                                                                                        <w:div w:id="145012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015396">
      <w:bodyDiv w:val="1"/>
      <w:marLeft w:val="0"/>
      <w:marRight w:val="0"/>
      <w:marTop w:val="0"/>
      <w:marBottom w:val="0"/>
      <w:divBdr>
        <w:top w:val="none" w:sz="0" w:space="0" w:color="auto"/>
        <w:left w:val="none" w:sz="0" w:space="0" w:color="auto"/>
        <w:bottom w:val="none" w:sz="0" w:space="0" w:color="auto"/>
        <w:right w:val="none" w:sz="0" w:space="0" w:color="auto"/>
      </w:divBdr>
    </w:div>
    <w:div w:id="228612711">
      <w:bodyDiv w:val="1"/>
      <w:marLeft w:val="0"/>
      <w:marRight w:val="0"/>
      <w:marTop w:val="0"/>
      <w:marBottom w:val="0"/>
      <w:divBdr>
        <w:top w:val="none" w:sz="0" w:space="0" w:color="auto"/>
        <w:left w:val="none" w:sz="0" w:space="0" w:color="auto"/>
        <w:bottom w:val="none" w:sz="0" w:space="0" w:color="auto"/>
        <w:right w:val="none" w:sz="0" w:space="0" w:color="auto"/>
      </w:divBdr>
    </w:div>
    <w:div w:id="248774859">
      <w:bodyDiv w:val="1"/>
      <w:marLeft w:val="0"/>
      <w:marRight w:val="0"/>
      <w:marTop w:val="0"/>
      <w:marBottom w:val="0"/>
      <w:divBdr>
        <w:top w:val="none" w:sz="0" w:space="0" w:color="auto"/>
        <w:left w:val="none" w:sz="0" w:space="0" w:color="auto"/>
        <w:bottom w:val="none" w:sz="0" w:space="0" w:color="auto"/>
        <w:right w:val="none" w:sz="0" w:space="0" w:color="auto"/>
      </w:divBdr>
    </w:div>
    <w:div w:id="277369950">
      <w:bodyDiv w:val="1"/>
      <w:marLeft w:val="0"/>
      <w:marRight w:val="0"/>
      <w:marTop w:val="0"/>
      <w:marBottom w:val="0"/>
      <w:divBdr>
        <w:top w:val="none" w:sz="0" w:space="0" w:color="auto"/>
        <w:left w:val="none" w:sz="0" w:space="0" w:color="auto"/>
        <w:bottom w:val="none" w:sz="0" w:space="0" w:color="auto"/>
        <w:right w:val="none" w:sz="0" w:space="0" w:color="auto"/>
      </w:divBdr>
    </w:div>
    <w:div w:id="280571002">
      <w:bodyDiv w:val="1"/>
      <w:marLeft w:val="0"/>
      <w:marRight w:val="0"/>
      <w:marTop w:val="0"/>
      <w:marBottom w:val="0"/>
      <w:divBdr>
        <w:top w:val="none" w:sz="0" w:space="0" w:color="auto"/>
        <w:left w:val="none" w:sz="0" w:space="0" w:color="auto"/>
        <w:bottom w:val="none" w:sz="0" w:space="0" w:color="auto"/>
        <w:right w:val="none" w:sz="0" w:space="0" w:color="auto"/>
      </w:divBdr>
    </w:div>
    <w:div w:id="281764032">
      <w:bodyDiv w:val="1"/>
      <w:marLeft w:val="0"/>
      <w:marRight w:val="0"/>
      <w:marTop w:val="0"/>
      <w:marBottom w:val="0"/>
      <w:divBdr>
        <w:top w:val="none" w:sz="0" w:space="0" w:color="auto"/>
        <w:left w:val="none" w:sz="0" w:space="0" w:color="auto"/>
        <w:bottom w:val="none" w:sz="0" w:space="0" w:color="auto"/>
        <w:right w:val="none" w:sz="0" w:space="0" w:color="auto"/>
      </w:divBdr>
    </w:div>
    <w:div w:id="288325157">
      <w:bodyDiv w:val="1"/>
      <w:marLeft w:val="0"/>
      <w:marRight w:val="0"/>
      <w:marTop w:val="0"/>
      <w:marBottom w:val="0"/>
      <w:divBdr>
        <w:top w:val="none" w:sz="0" w:space="0" w:color="auto"/>
        <w:left w:val="none" w:sz="0" w:space="0" w:color="auto"/>
        <w:bottom w:val="none" w:sz="0" w:space="0" w:color="auto"/>
        <w:right w:val="none" w:sz="0" w:space="0" w:color="auto"/>
      </w:divBdr>
    </w:div>
    <w:div w:id="354231464">
      <w:bodyDiv w:val="1"/>
      <w:marLeft w:val="0"/>
      <w:marRight w:val="0"/>
      <w:marTop w:val="0"/>
      <w:marBottom w:val="0"/>
      <w:divBdr>
        <w:top w:val="none" w:sz="0" w:space="0" w:color="auto"/>
        <w:left w:val="none" w:sz="0" w:space="0" w:color="auto"/>
        <w:bottom w:val="none" w:sz="0" w:space="0" w:color="auto"/>
        <w:right w:val="none" w:sz="0" w:space="0" w:color="auto"/>
      </w:divBdr>
    </w:div>
    <w:div w:id="390421963">
      <w:bodyDiv w:val="1"/>
      <w:marLeft w:val="0"/>
      <w:marRight w:val="0"/>
      <w:marTop w:val="0"/>
      <w:marBottom w:val="0"/>
      <w:divBdr>
        <w:top w:val="none" w:sz="0" w:space="0" w:color="auto"/>
        <w:left w:val="none" w:sz="0" w:space="0" w:color="auto"/>
        <w:bottom w:val="none" w:sz="0" w:space="0" w:color="auto"/>
        <w:right w:val="none" w:sz="0" w:space="0" w:color="auto"/>
      </w:divBdr>
    </w:div>
    <w:div w:id="434638244">
      <w:bodyDiv w:val="1"/>
      <w:marLeft w:val="0"/>
      <w:marRight w:val="0"/>
      <w:marTop w:val="0"/>
      <w:marBottom w:val="0"/>
      <w:divBdr>
        <w:top w:val="none" w:sz="0" w:space="0" w:color="auto"/>
        <w:left w:val="none" w:sz="0" w:space="0" w:color="auto"/>
        <w:bottom w:val="none" w:sz="0" w:space="0" w:color="auto"/>
        <w:right w:val="none" w:sz="0" w:space="0" w:color="auto"/>
      </w:divBdr>
      <w:divsChild>
        <w:div w:id="753016671">
          <w:marLeft w:val="288"/>
          <w:marRight w:val="0"/>
          <w:marTop w:val="120"/>
          <w:marBottom w:val="0"/>
          <w:divBdr>
            <w:top w:val="none" w:sz="0" w:space="0" w:color="auto"/>
            <w:left w:val="none" w:sz="0" w:space="0" w:color="auto"/>
            <w:bottom w:val="none" w:sz="0" w:space="0" w:color="auto"/>
            <w:right w:val="none" w:sz="0" w:space="0" w:color="auto"/>
          </w:divBdr>
        </w:div>
        <w:div w:id="435490393">
          <w:marLeft w:val="288"/>
          <w:marRight w:val="0"/>
          <w:marTop w:val="120"/>
          <w:marBottom w:val="0"/>
          <w:divBdr>
            <w:top w:val="none" w:sz="0" w:space="0" w:color="auto"/>
            <w:left w:val="none" w:sz="0" w:space="0" w:color="auto"/>
            <w:bottom w:val="none" w:sz="0" w:space="0" w:color="auto"/>
            <w:right w:val="none" w:sz="0" w:space="0" w:color="auto"/>
          </w:divBdr>
        </w:div>
        <w:div w:id="1299185956">
          <w:marLeft w:val="288"/>
          <w:marRight w:val="0"/>
          <w:marTop w:val="120"/>
          <w:marBottom w:val="0"/>
          <w:divBdr>
            <w:top w:val="none" w:sz="0" w:space="0" w:color="auto"/>
            <w:left w:val="none" w:sz="0" w:space="0" w:color="auto"/>
            <w:bottom w:val="none" w:sz="0" w:space="0" w:color="auto"/>
            <w:right w:val="none" w:sz="0" w:space="0" w:color="auto"/>
          </w:divBdr>
        </w:div>
        <w:div w:id="334038651">
          <w:marLeft w:val="288"/>
          <w:marRight w:val="0"/>
          <w:marTop w:val="120"/>
          <w:marBottom w:val="0"/>
          <w:divBdr>
            <w:top w:val="none" w:sz="0" w:space="0" w:color="auto"/>
            <w:left w:val="none" w:sz="0" w:space="0" w:color="auto"/>
            <w:bottom w:val="none" w:sz="0" w:space="0" w:color="auto"/>
            <w:right w:val="none" w:sz="0" w:space="0" w:color="auto"/>
          </w:divBdr>
        </w:div>
      </w:divsChild>
    </w:div>
    <w:div w:id="471673383">
      <w:bodyDiv w:val="1"/>
      <w:marLeft w:val="0"/>
      <w:marRight w:val="0"/>
      <w:marTop w:val="0"/>
      <w:marBottom w:val="0"/>
      <w:divBdr>
        <w:top w:val="none" w:sz="0" w:space="0" w:color="auto"/>
        <w:left w:val="none" w:sz="0" w:space="0" w:color="auto"/>
        <w:bottom w:val="none" w:sz="0" w:space="0" w:color="auto"/>
        <w:right w:val="none" w:sz="0" w:space="0" w:color="auto"/>
      </w:divBdr>
    </w:div>
    <w:div w:id="475340675">
      <w:bodyDiv w:val="1"/>
      <w:marLeft w:val="0"/>
      <w:marRight w:val="0"/>
      <w:marTop w:val="0"/>
      <w:marBottom w:val="0"/>
      <w:divBdr>
        <w:top w:val="none" w:sz="0" w:space="0" w:color="auto"/>
        <w:left w:val="none" w:sz="0" w:space="0" w:color="auto"/>
        <w:bottom w:val="none" w:sz="0" w:space="0" w:color="auto"/>
        <w:right w:val="none" w:sz="0" w:space="0" w:color="auto"/>
      </w:divBdr>
    </w:div>
    <w:div w:id="504827743">
      <w:bodyDiv w:val="1"/>
      <w:marLeft w:val="0"/>
      <w:marRight w:val="0"/>
      <w:marTop w:val="0"/>
      <w:marBottom w:val="0"/>
      <w:divBdr>
        <w:top w:val="none" w:sz="0" w:space="0" w:color="auto"/>
        <w:left w:val="none" w:sz="0" w:space="0" w:color="auto"/>
        <w:bottom w:val="none" w:sz="0" w:space="0" w:color="auto"/>
        <w:right w:val="none" w:sz="0" w:space="0" w:color="auto"/>
      </w:divBdr>
    </w:div>
    <w:div w:id="505368709">
      <w:bodyDiv w:val="1"/>
      <w:marLeft w:val="0"/>
      <w:marRight w:val="0"/>
      <w:marTop w:val="0"/>
      <w:marBottom w:val="0"/>
      <w:divBdr>
        <w:top w:val="none" w:sz="0" w:space="0" w:color="auto"/>
        <w:left w:val="none" w:sz="0" w:space="0" w:color="auto"/>
        <w:bottom w:val="none" w:sz="0" w:space="0" w:color="auto"/>
        <w:right w:val="none" w:sz="0" w:space="0" w:color="auto"/>
      </w:divBdr>
    </w:div>
    <w:div w:id="568734937">
      <w:bodyDiv w:val="1"/>
      <w:marLeft w:val="0"/>
      <w:marRight w:val="0"/>
      <w:marTop w:val="0"/>
      <w:marBottom w:val="0"/>
      <w:divBdr>
        <w:top w:val="none" w:sz="0" w:space="0" w:color="auto"/>
        <w:left w:val="none" w:sz="0" w:space="0" w:color="auto"/>
        <w:bottom w:val="none" w:sz="0" w:space="0" w:color="auto"/>
        <w:right w:val="none" w:sz="0" w:space="0" w:color="auto"/>
      </w:divBdr>
    </w:div>
    <w:div w:id="595209128">
      <w:bodyDiv w:val="1"/>
      <w:marLeft w:val="0"/>
      <w:marRight w:val="0"/>
      <w:marTop w:val="0"/>
      <w:marBottom w:val="0"/>
      <w:divBdr>
        <w:top w:val="none" w:sz="0" w:space="0" w:color="auto"/>
        <w:left w:val="none" w:sz="0" w:space="0" w:color="auto"/>
        <w:bottom w:val="none" w:sz="0" w:space="0" w:color="auto"/>
        <w:right w:val="none" w:sz="0" w:space="0" w:color="auto"/>
      </w:divBdr>
    </w:div>
    <w:div w:id="623728718">
      <w:bodyDiv w:val="1"/>
      <w:marLeft w:val="0"/>
      <w:marRight w:val="0"/>
      <w:marTop w:val="0"/>
      <w:marBottom w:val="0"/>
      <w:divBdr>
        <w:top w:val="none" w:sz="0" w:space="0" w:color="auto"/>
        <w:left w:val="none" w:sz="0" w:space="0" w:color="auto"/>
        <w:bottom w:val="none" w:sz="0" w:space="0" w:color="auto"/>
        <w:right w:val="none" w:sz="0" w:space="0" w:color="auto"/>
      </w:divBdr>
    </w:div>
    <w:div w:id="629555095">
      <w:bodyDiv w:val="1"/>
      <w:marLeft w:val="0"/>
      <w:marRight w:val="0"/>
      <w:marTop w:val="0"/>
      <w:marBottom w:val="0"/>
      <w:divBdr>
        <w:top w:val="none" w:sz="0" w:space="0" w:color="auto"/>
        <w:left w:val="none" w:sz="0" w:space="0" w:color="auto"/>
        <w:bottom w:val="none" w:sz="0" w:space="0" w:color="auto"/>
        <w:right w:val="none" w:sz="0" w:space="0" w:color="auto"/>
      </w:divBdr>
    </w:div>
    <w:div w:id="664086947">
      <w:bodyDiv w:val="1"/>
      <w:marLeft w:val="0"/>
      <w:marRight w:val="0"/>
      <w:marTop w:val="0"/>
      <w:marBottom w:val="0"/>
      <w:divBdr>
        <w:top w:val="none" w:sz="0" w:space="0" w:color="auto"/>
        <w:left w:val="none" w:sz="0" w:space="0" w:color="auto"/>
        <w:bottom w:val="none" w:sz="0" w:space="0" w:color="auto"/>
        <w:right w:val="none" w:sz="0" w:space="0" w:color="auto"/>
      </w:divBdr>
    </w:div>
    <w:div w:id="665327323">
      <w:bodyDiv w:val="1"/>
      <w:marLeft w:val="0"/>
      <w:marRight w:val="0"/>
      <w:marTop w:val="0"/>
      <w:marBottom w:val="0"/>
      <w:divBdr>
        <w:top w:val="none" w:sz="0" w:space="0" w:color="auto"/>
        <w:left w:val="none" w:sz="0" w:space="0" w:color="auto"/>
        <w:bottom w:val="none" w:sz="0" w:space="0" w:color="auto"/>
        <w:right w:val="none" w:sz="0" w:space="0" w:color="auto"/>
      </w:divBdr>
    </w:div>
    <w:div w:id="683672632">
      <w:bodyDiv w:val="1"/>
      <w:marLeft w:val="0"/>
      <w:marRight w:val="0"/>
      <w:marTop w:val="0"/>
      <w:marBottom w:val="0"/>
      <w:divBdr>
        <w:top w:val="none" w:sz="0" w:space="0" w:color="auto"/>
        <w:left w:val="none" w:sz="0" w:space="0" w:color="auto"/>
        <w:bottom w:val="none" w:sz="0" w:space="0" w:color="auto"/>
        <w:right w:val="none" w:sz="0" w:space="0" w:color="auto"/>
      </w:divBdr>
    </w:div>
    <w:div w:id="703166317">
      <w:bodyDiv w:val="1"/>
      <w:marLeft w:val="0"/>
      <w:marRight w:val="0"/>
      <w:marTop w:val="0"/>
      <w:marBottom w:val="0"/>
      <w:divBdr>
        <w:top w:val="none" w:sz="0" w:space="0" w:color="auto"/>
        <w:left w:val="none" w:sz="0" w:space="0" w:color="auto"/>
        <w:bottom w:val="none" w:sz="0" w:space="0" w:color="auto"/>
        <w:right w:val="none" w:sz="0" w:space="0" w:color="auto"/>
      </w:divBdr>
    </w:div>
    <w:div w:id="706679276">
      <w:bodyDiv w:val="1"/>
      <w:marLeft w:val="0"/>
      <w:marRight w:val="0"/>
      <w:marTop w:val="0"/>
      <w:marBottom w:val="0"/>
      <w:divBdr>
        <w:top w:val="none" w:sz="0" w:space="0" w:color="auto"/>
        <w:left w:val="none" w:sz="0" w:space="0" w:color="auto"/>
        <w:bottom w:val="none" w:sz="0" w:space="0" w:color="auto"/>
        <w:right w:val="none" w:sz="0" w:space="0" w:color="auto"/>
      </w:divBdr>
    </w:div>
    <w:div w:id="713121414">
      <w:bodyDiv w:val="1"/>
      <w:marLeft w:val="0"/>
      <w:marRight w:val="0"/>
      <w:marTop w:val="0"/>
      <w:marBottom w:val="0"/>
      <w:divBdr>
        <w:top w:val="none" w:sz="0" w:space="0" w:color="auto"/>
        <w:left w:val="none" w:sz="0" w:space="0" w:color="auto"/>
        <w:bottom w:val="none" w:sz="0" w:space="0" w:color="auto"/>
        <w:right w:val="none" w:sz="0" w:space="0" w:color="auto"/>
      </w:divBdr>
    </w:div>
    <w:div w:id="738021148">
      <w:bodyDiv w:val="1"/>
      <w:marLeft w:val="0"/>
      <w:marRight w:val="0"/>
      <w:marTop w:val="0"/>
      <w:marBottom w:val="0"/>
      <w:divBdr>
        <w:top w:val="none" w:sz="0" w:space="0" w:color="auto"/>
        <w:left w:val="none" w:sz="0" w:space="0" w:color="auto"/>
        <w:bottom w:val="none" w:sz="0" w:space="0" w:color="auto"/>
        <w:right w:val="none" w:sz="0" w:space="0" w:color="auto"/>
      </w:divBdr>
    </w:div>
    <w:div w:id="770735302">
      <w:bodyDiv w:val="1"/>
      <w:marLeft w:val="0"/>
      <w:marRight w:val="0"/>
      <w:marTop w:val="0"/>
      <w:marBottom w:val="0"/>
      <w:divBdr>
        <w:top w:val="none" w:sz="0" w:space="0" w:color="auto"/>
        <w:left w:val="none" w:sz="0" w:space="0" w:color="auto"/>
        <w:bottom w:val="none" w:sz="0" w:space="0" w:color="auto"/>
        <w:right w:val="none" w:sz="0" w:space="0" w:color="auto"/>
      </w:divBdr>
    </w:div>
    <w:div w:id="779953516">
      <w:bodyDiv w:val="1"/>
      <w:marLeft w:val="0"/>
      <w:marRight w:val="0"/>
      <w:marTop w:val="0"/>
      <w:marBottom w:val="0"/>
      <w:divBdr>
        <w:top w:val="none" w:sz="0" w:space="0" w:color="auto"/>
        <w:left w:val="none" w:sz="0" w:space="0" w:color="auto"/>
        <w:bottom w:val="none" w:sz="0" w:space="0" w:color="auto"/>
        <w:right w:val="none" w:sz="0" w:space="0" w:color="auto"/>
      </w:divBdr>
    </w:div>
    <w:div w:id="834758973">
      <w:bodyDiv w:val="1"/>
      <w:marLeft w:val="0"/>
      <w:marRight w:val="0"/>
      <w:marTop w:val="0"/>
      <w:marBottom w:val="0"/>
      <w:divBdr>
        <w:top w:val="none" w:sz="0" w:space="0" w:color="auto"/>
        <w:left w:val="none" w:sz="0" w:space="0" w:color="auto"/>
        <w:bottom w:val="none" w:sz="0" w:space="0" w:color="auto"/>
        <w:right w:val="none" w:sz="0" w:space="0" w:color="auto"/>
      </w:divBdr>
    </w:div>
    <w:div w:id="885797772">
      <w:bodyDiv w:val="1"/>
      <w:marLeft w:val="0"/>
      <w:marRight w:val="0"/>
      <w:marTop w:val="0"/>
      <w:marBottom w:val="0"/>
      <w:divBdr>
        <w:top w:val="none" w:sz="0" w:space="0" w:color="auto"/>
        <w:left w:val="none" w:sz="0" w:space="0" w:color="auto"/>
        <w:bottom w:val="none" w:sz="0" w:space="0" w:color="auto"/>
        <w:right w:val="none" w:sz="0" w:space="0" w:color="auto"/>
      </w:divBdr>
    </w:div>
    <w:div w:id="897672322">
      <w:bodyDiv w:val="1"/>
      <w:marLeft w:val="0"/>
      <w:marRight w:val="0"/>
      <w:marTop w:val="0"/>
      <w:marBottom w:val="0"/>
      <w:divBdr>
        <w:top w:val="none" w:sz="0" w:space="0" w:color="auto"/>
        <w:left w:val="none" w:sz="0" w:space="0" w:color="auto"/>
        <w:bottom w:val="none" w:sz="0" w:space="0" w:color="auto"/>
        <w:right w:val="none" w:sz="0" w:space="0" w:color="auto"/>
      </w:divBdr>
    </w:div>
    <w:div w:id="929393683">
      <w:bodyDiv w:val="1"/>
      <w:marLeft w:val="0"/>
      <w:marRight w:val="0"/>
      <w:marTop w:val="0"/>
      <w:marBottom w:val="0"/>
      <w:divBdr>
        <w:top w:val="none" w:sz="0" w:space="0" w:color="auto"/>
        <w:left w:val="none" w:sz="0" w:space="0" w:color="auto"/>
        <w:bottom w:val="none" w:sz="0" w:space="0" w:color="auto"/>
        <w:right w:val="none" w:sz="0" w:space="0" w:color="auto"/>
      </w:divBdr>
    </w:div>
    <w:div w:id="931670931">
      <w:bodyDiv w:val="1"/>
      <w:marLeft w:val="0"/>
      <w:marRight w:val="0"/>
      <w:marTop w:val="0"/>
      <w:marBottom w:val="0"/>
      <w:divBdr>
        <w:top w:val="none" w:sz="0" w:space="0" w:color="auto"/>
        <w:left w:val="none" w:sz="0" w:space="0" w:color="auto"/>
        <w:bottom w:val="none" w:sz="0" w:space="0" w:color="auto"/>
        <w:right w:val="none" w:sz="0" w:space="0" w:color="auto"/>
      </w:divBdr>
    </w:div>
    <w:div w:id="953827749">
      <w:bodyDiv w:val="1"/>
      <w:marLeft w:val="0"/>
      <w:marRight w:val="0"/>
      <w:marTop w:val="0"/>
      <w:marBottom w:val="0"/>
      <w:divBdr>
        <w:top w:val="none" w:sz="0" w:space="0" w:color="auto"/>
        <w:left w:val="none" w:sz="0" w:space="0" w:color="auto"/>
        <w:bottom w:val="none" w:sz="0" w:space="0" w:color="auto"/>
        <w:right w:val="none" w:sz="0" w:space="0" w:color="auto"/>
      </w:divBdr>
    </w:div>
    <w:div w:id="981228888">
      <w:bodyDiv w:val="1"/>
      <w:marLeft w:val="0"/>
      <w:marRight w:val="0"/>
      <w:marTop w:val="0"/>
      <w:marBottom w:val="0"/>
      <w:divBdr>
        <w:top w:val="none" w:sz="0" w:space="0" w:color="auto"/>
        <w:left w:val="none" w:sz="0" w:space="0" w:color="auto"/>
        <w:bottom w:val="none" w:sz="0" w:space="0" w:color="auto"/>
        <w:right w:val="none" w:sz="0" w:space="0" w:color="auto"/>
      </w:divBdr>
    </w:div>
    <w:div w:id="987512506">
      <w:bodyDiv w:val="1"/>
      <w:marLeft w:val="0"/>
      <w:marRight w:val="0"/>
      <w:marTop w:val="0"/>
      <w:marBottom w:val="0"/>
      <w:divBdr>
        <w:top w:val="none" w:sz="0" w:space="0" w:color="auto"/>
        <w:left w:val="none" w:sz="0" w:space="0" w:color="auto"/>
        <w:bottom w:val="none" w:sz="0" w:space="0" w:color="auto"/>
        <w:right w:val="none" w:sz="0" w:space="0" w:color="auto"/>
      </w:divBdr>
    </w:div>
    <w:div w:id="1023018720">
      <w:bodyDiv w:val="1"/>
      <w:marLeft w:val="0"/>
      <w:marRight w:val="0"/>
      <w:marTop w:val="0"/>
      <w:marBottom w:val="0"/>
      <w:divBdr>
        <w:top w:val="none" w:sz="0" w:space="0" w:color="auto"/>
        <w:left w:val="none" w:sz="0" w:space="0" w:color="auto"/>
        <w:bottom w:val="none" w:sz="0" w:space="0" w:color="auto"/>
        <w:right w:val="none" w:sz="0" w:space="0" w:color="auto"/>
      </w:divBdr>
    </w:div>
    <w:div w:id="1043406169">
      <w:bodyDiv w:val="1"/>
      <w:marLeft w:val="0"/>
      <w:marRight w:val="0"/>
      <w:marTop w:val="0"/>
      <w:marBottom w:val="0"/>
      <w:divBdr>
        <w:top w:val="none" w:sz="0" w:space="0" w:color="auto"/>
        <w:left w:val="none" w:sz="0" w:space="0" w:color="auto"/>
        <w:bottom w:val="none" w:sz="0" w:space="0" w:color="auto"/>
        <w:right w:val="none" w:sz="0" w:space="0" w:color="auto"/>
      </w:divBdr>
    </w:div>
    <w:div w:id="1094283415">
      <w:bodyDiv w:val="1"/>
      <w:marLeft w:val="0"/>
      <w:marRight w:val="0"/>
      <w:marTop w:val="0"/>
      <w:marBottom w:val="0"/>
      <w:divBdr>
        <w:top w:val="none" w:sz="0" w:space="0" w:color="auto"/>
        <w:left w:val="none" w:sz="0" w:space="0" w:color="auto"/>
        <w:bottom w:val="none" w:sz="0" w:space="0" w:color="auto"/>
        <w:right w:val="none" w:sz="0" w:space="0" w:color="auto"/>
      </w:divBdr>
    </w:div>
    <w:div w:id="1125850561">
      <w:bodyDiv w:val="1"/>
      <w:marLeft w:val="0"/>
      <w:marRight w:val="0"/>
      <w:marTop w:val="0"/>
      <w:marBottom w:val="0"/>
      <w:divBdr>
        <w:top w:val="none" w:sz="0" w:space="0" w:color="auto"/>
        <w:left w:val="none" w:sz="0" w:space="0" w:color="auto"/>
        <w:bottom w:val="none" w:sz="0" w:space="0" w:color="auto"/>
        <w:right w:val="none" w:sz="0" w:space="0" w:color="auto"/>
      </w:divBdr>
    </w:div>
    <w:div w:id="1131678515">
      <w:bodyDiv w:val="1"/>
      <w:marLeft w:val="0"/>
      <w:marRight w:val="0"/>
      <w:marTop w:val="0"/>
      <w:marBottom w:val="0"/>
      <w:divBdr>
        <w:top w:val="none" w:sz="0" w:space="0" w:color="auto"/>
        <w:left w:val="none" w:sz="0" w:space="0" w:color="auto"/>
        <w:bottom w:val="none" w:sz="0" w:space="0" w:color="auto"/>
        <w:right w:val="none" w:sz="0" w:space="0" w:color="auto"/>
      </w:divBdr>
    </w:div>
    <w:div w:id="1151293077">
      <w:bodyDiv w:val="1"/>
      <w:marLeft w:val="0"/>
      <w:marRight w:val="0"/>
      <w:marTop w:val="0"/>
      <w:marBottom w:val="0"/>
      <w:divBdr>
        <w:top w:val="none" w:sz="0" w:space="0" w:color="auto"/>
        <w:left w:val="none" w:sz="0" w:space="0" w:color="auto"/>
        <w:bottom w:val="none" w:sz="0" w:space="0" w:color="auto"/>
        <w:right w:val="none" w:sz="0" w:space="0" w:color="auto"/>
      </w:divBdr>
    </w:div>
    <w:div w:id="1179125144">
      <w:bodyDiv w:val="1"/>
      <w:marLeft w:val="0"/>
      <w:marRight w:val="0"/>
      <w:marTop w:val="0"/>
      <w:marBottom w:val="0"/>
      <w:divBdr>
        <w:top w:val="none" w:sz="0" w:space="0" w:color="auto"/>
        <w:left w:val="none" w:sz="0" w:space="0" w:color="auto"/>
        <w:bottom w:val="none" w:sz="0" w:space="0" w:color="auto"/>
        <w:right w:val="none" w:sz="0" w:space="0" w:color="auto"/>
      </w:divBdr>
    </w:div>
    <w:div w:id="1207572587">
      <w:bodyDiv w:val="1"/>
      <w:marLeft w:val="0"/>
      <w:marRight w:val="0"/>
      <w:marTop w:val="0"/>
      <w:marBottom w:val="0"/>
      <w:divBdr>
        <w:top w:val="none" w:sz="0" w:space="0" w:color="auto"/>
        <w:left w:val="none" w:sz="0" w:space="0" w:color="auto"/>
        <w:bottom w:val="none" w:sz="0" w:space="0" w:color="auto"/>
        <w:right w:val="none" w:sz="0" w:space="0" w:color="auto"/>
      </w:divBdr>
    </w:div>
    <w:div w:id="1214463232">
      <w:bodyDiv w:val="1"/>
      <w:marLeft w:val="0"/>
      <w:marRight w:val="0"/>
      <w:marTop w:val="0"/>
      <w:marBottom w:val="0"/>
      <w:divBdr>
        <w:top w:val="none" w:sz="0" w:space="0" w:color="auto"/>
        <w:left w:val="none" w:sz="0" w:space="0" w:color="auto"/>
        <w:bottom w:val="none" w:sz="0" w:space="0" w:color="auto"/>
        <w:right w:val="none" w:sz="0" w:space="0" w:color="auto"/>
      </w:divBdr>
    </w:div>
    <w:div w:id="1217355125">
      <w:bodyDiv w:val="1"/>
      <w:marLeft w:val="0"/>
      <w:marRight w:val="0"/>
      <w:marTop w:val="0"/>
      <w:marBottom w:val="0"/>
      <w:divBdr>
        <w:top w:val="none" w:sz="0" w:space="0" w:color="auto"/>
        <w:left w:val="none" w:sz="0" w:space="0" w:color="auto"/>
        <w:bottom w:val="none" w:sz="0" w:space="0" w:color="auto"/>
        <w:right w:val="none" w:sz="0" w:space="0" w:color="auto"/>
      </w:divBdr>
    </w:div>
    <w:div w:id="1219129669">
      <w:bodyDiv w:val="1"/>
      <w:marLeft w:val="0"/>
      <w:marRight w:val="0"/>
      <w:marTop w:val="0"/>
      <w:marBottom w:val="0"/>
      <w:divBdr>
        <w:top w:val="none" w:sz="0" w:space="0" w:color="auto"/>
        <w:left w:val="none" w:sz="0" w:space="0" w:color="auto"/>
        <w:bottom w:val="none" w:sz="0" w:space="0" w:color="auto"/>
        <w:right w:val="none" w:sz="0" w:space="0" w:color="auto"/>
      </w:divBdr>
    </w:div>
    <w:div w:id="1225944438">
      <w:bodyDiv w:val="1"/>
      <w:marLeft w:val="0"/>
      <w:marRight w:val="0"/>
      <w:marTop w:val="0"/>
      <w:marBottom w:val="0"/>
      <w:divBdr>
        <w:top w:val="none" w:sz="0" w:space="0" w:color="auto"/>
        <w:left w:val="none" w:sz="0" w:space="0" w:color="auto"/>
        <w:bottom w:val="none" w:sz="0" w:space="0" w:color="auto"/>
        <w:right w:val="none" w:sz="0" w:space="0" w:color="auto"/>
      </w:divBdr>
    </w:div>
    <w:div w:id="1241136599">
      <w:bodyDiv w:val="1"/>
      <w:marLeft w:val="0"/>
      <w:marRight w:val="0"/>
      <w:marTop w:val="0"/>
      <w:marBottom w:val="0"/>
      <w:divBdr>
        <w:top w:val="none" w:sz="0" w:space="0" w:color="auto"/>
        <w:left w:val="none" w:sz="0" w:space="0" w:color="auto"/>
        <w:bottom w:val="none" w:sz="0" w:space="0" w:color="auto"/>
        <w:right w:val="none" w:sz="0" w:space="0" w:color="auto"/>
      </w:divBdr>
      <w:divsChild>
        <w:div w:id="757024108">
          <w:marLeft w:val="288"/>
          <w:marRight w:val="0"/>
          <w:marTop w:val="80"/>
          <w:marBottom w:val="0"/>
          <w:divBdr>
            <w:top w:val="none" w:sz="0" w:space="0" w:color="auto"/>
            <w:left w:val="none" w:sz="0" w:space="0" w:color="auto"/>
            <w:bottom w:val="none" w:sz="0" w:space="0" w:color="auto"/>
            <w:right w:val="none" w:sz="0" w:space="0" w:color="auto"/>
          </w:divBdr>
        </w:div>
        <w:div w:id="111873530">
          <w:marLeft w:val="288"/>
          <w:marRight w:val="0"/>
          <w:marTop w:val="80"/>
          <w:marBottom w:val="0"/>
          <w:divBdr>
            <w:top w:val="none" w:sz="0" w:space="0" w:color="auto"/>
            <w:left w:val="none" w:sz="0" w:space="0" w:color="auto"/>
            <w:bottom w:val="none" w:sz="0" w:space="0" w:color="auto"/>
            <w:right w:val="none" w:sz="0" w:space="0" w:color="auto"/>
          </w:divBdr>
        </w:div>
        <w:div w:id="1267808462">
          <w:marLeft w:val="288"/>
          <w:marRight w:val="0"/>
          <w:marTop w:val="80"/>
          <w:marBottom w:val="0"/>
          <w:divBdr>
            <w:top w:val="none" w:sz="0" w:space="0" w:color="auto"/>
            <w:left w:val="none" w:sz="0" w:space="0" w:color="auto"/>
            <w:bottom w:val="none" w:sz="0" w:space="0" w:color="auto"/>
            <w:right w:val="none" w:sz="0" w:space="0" w:color="auto"/>
          </w:divBdr>
        </w:div>
      </w:divsChild>
    </w:div>
    <w:div w:id="1242136102">
      <w:bodyDiv w:val="1"/>
      <w:marLeft w:val="0"/>
      <w:marRight w:val="0"/>
      <w:marTop w:val="0"/>
      <w:marBottom w:val="0"/>
      <w:divBdr>
        <w:top w:val="none" w:sz="0" w:space="0" w:color="auto"/>
        <w:left w:val="none" w:sz="0" w:space="0" w:color="auto"/>
        <w:bottom w:val="none" w:sz="0" w:space="0" w:color="auto"/>
        <w:right w:val="none" w:sz="0" w:space="0" w:color="auto"/>
      </w:divBdr>
    </w:div>
    <w:div w:id="1283027216">
      <w:bodyDiv w:val="1"/>
      <w:marLeft w:val="0"/>
      <w:marRight w:val="0"/>
      <w:marTop w:val="0"/>
      <w:marBottom w:val="0"/>
      <w:divBdr>
        <w:top w:val="none" w:sz="0" w:space="0" w:color="auto"/>
        <w:left w:val="none" w:sz="0" w:space="0" w:color="auto"/>
        <w:bottom w:val="none" w:sz="0" w:space="0" w:color="auto"/>
        <w:right w:val="none" w:sz="0" w:space="0" w:color="auto"/>
      </w:divBdr>
    </w:div>
    <w:div w:id="1359820027">
      <w:bodyDiv w:val="1"/>
      <w:marLeft w:val="0"/>
      <w:marRight w:val="0"/>
      <w:marTop w:val="0"/>
      <w:marBottom w:val="0"/>
      <w:divBdr>
        <w:top w:val="none" w:sz="0" w:space="0" w:color="auto"/>
        <w:left w:val="none" w:sz="0" w:space="0" w:color="auto"/>
        <w:bottom w:val="none" w:sz="0" w:space="0" w:color="auto"/>
        <w:right w:val="none" w:sz="0" w:space="0" w:color="auto"/>
      </w:divBdr>
    </w:div>
    <w:div w:id="1366255692">
      <w:bodyDiv w:val="1"/>
      <w:marLeft w:val="0"/>
      <w:marRight w:val="0"/>
      <w:marTop w:val="0"/>
      <w:marBottom w:val="0"/>
      <w:divBdr>
        <w:top w:val="none" w:sz="0" w:space="0" w:color="auto"/>
        <w:left w:val="none" w:sz="0" w:space="0" w:color="auto"/>
        <w:bottom w:val="none" w:sz="0" w:space="0" w:color="auto"/>
        <w:right w:val="none" w:sz="0" w:space="0" w:color="auto"/>
      </w:divBdr>
    </w:div>
    <w:div w:id="1415316672">
      <w:bodyDiv w:val="1"/>
      <w:marLeft w:val="0"/>
      <w:marRight w:val="0"/>
      <w:marTop w:val="0"/>
      <w:marBottom w:val="0"/>
      <w:divBdr>
        <w:top w:val="none" w:sz="0" w:space="0" w:color="auto"/>
        <w:left w:val="none" w:sz="0" w:space="0" w:color="auto"/>
        <w:bottom w:val="none" w:sz="0" w:space="0" w:color="auto"/>
        <w:right w:val="none" w:sz="0" w:space="0" w:color="auto"/>
      </w:divBdr>
    </w:div>
    <w:div w:id="1487018409">
      <w:bodyDiv w:val="1"/>
      <w:marLeft w:val="0"/>
      <w:marRight w:val="0"/>
      <w:marTop w:val="0"/>
      <w:marBottom w:val="0"/>
      <w:divBdr>
        <w:top w:val="none" w:sz="0" w:space="0" w:color="auto"/>
        <w:left w:val="none" w:sz="0" w:space="0" w:color="auto"/>
        <w:bottom w:val="none" w:sz="0" w:space="0" w:color="auto"/>
        <w:right w:val="none" w:sz="0" w:space="0" w:color="auto"/>
      </w:divBdr>
    </w:div>
    <w:div w:id="1493641492">
      <w:bodyDiv w:val="1"/>
      <w:marLeft w:val="0"/>
      <w:marRight w:val="0"/>
      <w:marTop w:val="0"/>
      <w:marBottom w:val="0"/>
      <w:divBdr>
        <w:top w:val="none" w:sz="0" w:space="0" w:color="auto"/>
        <w:left w:val="none" w:sz="0" w:space="0" w:color="auto"/>
        <w:bottom w:val="none" w:sz="0" w:space="0" w:color="auto"/>
        <w:right w:val="none" w:sz="0" w:space="0" w:color="auto"/>
      </w:divBdr>
    </w:div>
    <w:div w:id="1509714820">
      <w:bodyDiv w:val="1"/>
      <w:marLeft w:val="0"/>
      <w:marRight w:val="0"/>
      <w:marTop w:val="0"/>
      <w:marBottom w:val="0"/>
      <w:divBdr>
        <w:top w:val="none" w:sz="0" w:space="0" w:color="auto"/>
        <w:left w:val="none" w:sz="0" w:space="0" w:color="auto"/>
        <w:bottom w:val="none" w:sz="0" w:space="0" w:color="auto"/>
        <w:right w:val="none" w:sz="0" w:space="0" w:color="auto"/>
      </w:divBdr>
    </w:div>
    <w:div w:id="1522476966">
      <w:bodyDiv w:val="1"/>
      <w:marLeft w:val="0"/>
      <w:marRight w:val="0"/>
      <w:marTop w:val="0"/>
      <w:marBottom w:val="0"/>
      <w:divBdr>
        <w:top w:val="none" w:sz="0" w:space="0" w:color="auto"/>
        <w:left w:val="none" w:sz="0" w:space="0" w:color="auto"/>
        <w:bottom w:val="none" w:sz="0" w:space="0" w:color="auto"/>
        <w:right w:val="none" w:sz="0" w:space="0" w:color="auto"/>
      </w:divBdr>
    </w:div>
    <w:div w:id="1550267800">
      <w:bodyDiv w:val="1"/>
      <w:marLeft w:val="0"/>
      <w:marRight w:val="0"/>
      <w:marTop w:val="0"/>
      <w:marBottom w:val="0"/>
      <w:divBdr>
        <w:top w:val="none" w:sz="0" w:space="0" w:color="auto"/>
        <w:left w:val="none" w:sz="0" w:space="0" w:color="auto"/>
        <w:bottom w:val="none" w:sz="0" w:space="0" w:color="auto"/>
        <w:right w:val="none" w:sz="0" w:space="0" w:color="auto"/>
      </w:divBdr>
    </w:div>
    <w:div w:id="1567952810">
      <w:bodyDiv w:val="1"/>
      <w:marLeft w:val="0"/>
      <w:marRight w:val="0"/>
      <w:marTop w:val="0"/>
      <w:marBottom w:val="0"/>
      <w:divBdr>
        <w:top w:val="none" w:sz="0" w:space="0" w:color="auto"/>
        <w:left w:val="none" w:sz="0" w:space="0" w:color="auto"/>
        <w:bottom w:val="none" w:sz="0" w:space="0" w:color="auto"/>
        <w:right w:val="none" w:sz="0" w:space="0" w:color="auto"/>
      </w:divBdr>
    </w:div>
    <w:div w:id="1569223962">
      <w:bodyDiv w:val="1"/>
      <w:marLeft w:val="0"/>
      <w:marRight w:val="0"/>
      <w:marTop w:val="0"/>
      <w:marBottom w:val="0"/>
      <w:divBdr>
        <w:top w:val="none" w:sz="0" w:space="0" w:color="auto"/>
        <w:left w:val="none" w:sz="0" w:space="0" w:color="auto"/>
        <w:bottom w:val="none" w:sz="0" w:space="0" w:color="auto"/>
        <w:right w:val="none" w:sz="0" w:space="0" w:color="auto"/>
      </w:divBdr>
    </w:div>
    <w:div w:id="1582565977">
      <w:bodyDiv w:val="1"/>
      <w:marLeft w:val="0"/>
      <w:marRight w:val="0"/>
      <w:marTop w:val="0"/>
      <w:marBottom w:val="0"/>
      <w:divBdr>
        <w:top w:val="none" w:sz="0" w:space="0" w:color="auto"/>
        <w:left w:val="none" w:sz="0" w:space="0" w:color="auto"/>
        <w:bottom w:val="none" w:sz="0" w:space="0" w:color="auto"/>
        <w:right w:val="none" w:sz="0" w:space="0" w:color="auto"/>
      </w:divBdr>
    </w:div>
    <w:div w:id="1605725884">
      <w:bodyDiv w:val="1"/>
      <w:marLeft w:val="0"/>
      <w:marRight w:val="0"/>
      <w:marTop w:val="0"/>
      <w:marBottom w:val="0"/>
      <w:divBdr>
        <w:top w:val="none" w:sz="0" w:space="0" w:color="auto"/>
        <w:left w:val="none" w:sz="0" w:space="0" w:color="auto"/>
        <w:bottom w:val="none" w:sz="0" w:space="0" w:color="auto"/>
        <w:right w:val="none" w:sz="0" w:space="0" w:color="auto"/>
      </w:divBdr>
      <w:divsChild>
        <w:div w:id="1862551750">
          <w:marLeft w:val="432"/>
          <w:marRight w:val="0"/>
          <w:marTop w:val="120"/>
          <w:marBottom w:val="0"/>
          <w:divBdr>
            <w:top w:val="none" w:sz="0" w:space="0" w:color="auto"/>
            <w:left w:val="none" w:sz="0" w:space="0" w:color="auto"/>
            <w:bottom w:val="none" w:sz="0" w:space="0" w:color="auto"/>
            <w:right w:val="none" w:sz="0" w:space="0" w:color="auto"/>
          </w:divBdr>
        </w:div>
        <w:div w:id="1766489060">
          <w:marLeft w:val="432"/>
          <w:marRight w:val="0"/>
          <w:marTop w:val="120"/>
          <w:marBottom w:val="0"/>
          <w:divBdr>
            <w:top w:val="none" w:sz="0" w:space="0" w:color="auto"/>
            <w:left w:val="none" w:sz="0" w:space="0" w:color="auto"/>
            <w:bottom w:val="none" w:sz="0" w:space="0" w:color="auto"/>
            <w:right w:val="none" w:sz="0" w:space="0" w:color="auto"/>
          </w:divBdr>
        </w:div>
        <w:div w:id="1944923804">
          <w:marLeft w:val="432"/>
          <w:marRight w:val="0"/>
          <w:marTop w:val="120"/>
          <w:marBottom w:val="0"/>
          <w:divBdr>
            <w:top w:val="none" w:sz="0" w:space="0" w:color="auto"/>
            <w:left w:val="none" w:sz="0" w:space="0" w:color="auto"/>
            <w:bottom w:val="none" w:sz="0" w:space="0" w:color="auto"/>
            <w:right w:val="none" w:sz="0" w:space="0" w:color="auto"/>
          </w:divBdr>
        </w:div>
        <w:div w:id="509834381">
          <w:marLeft w:val="432"/>
          <w:marRight w:val="0"/>
          <w:marTop w:val="120"/>
          <w:marBottom w:val="0"/>
          <w:divBdr>
            <w:top w:val="none" w:sz="0" w:space="0" w:color="auto"/>
            <w:left w:val="none" w:sz="0" w:space="0" w:color="auto"/>
            <w:bottom w:val="none" w:sz="0" w:space="0" w:color="auto"/>
            <w:right w:val="none" w:sz="0" w:space="0" w:color="auto"/>
          </w:divBdr>
        </w:div>
        <w:div w:id="1589997333">
          <w:marLeft w:val="432"/>
          <w:marRight w:val="0"/>
          <w:marTop w:val="120"/>
          <w:marBottom w:val="0"/>
          <w:divBdr>
            <w:top w:val="none" w:sz="0" w:space="0" w:color="auto"/>
            <w:left w:val="none" w:sz="0" w:space="0" w:color="auto"/>
            <w:bottom w:val="none" w:sz="0" w:space="0" w:color="auto"/>
            <w:right w:val="none" w:sz="0" w:space="0" w:color="auto"/>
          </w:divBdr>
        </w:div>
        <w:div w:id="362898385">
          <w:marLeft w:val="432"/>
          <w:marRight w:val="0"/>
          <w:marTop w:val="120"/>
          <w:marBottom w:val="0"/>
          <w:divBdr>
            <w:top w:val="none" w:sz="0" w:space="0" w:color="auto"/>
            <w:left w:val="none" w:sz="0" w:space="0" w:color="auto"/>
            <w:bottom w:val="none" w:sz="0" w:space="0" w:color="auto"/>
            <w:right w:val="none" w:sz="0" w:space="0" w:color="auto"/>
          </w:divBdr>
        </w:div>
      </w:divsChild>
    </w:div>
    <w:div w:id="1624918754">
      <w:bodyDiv w:val="1"/>
      <w:marLeft w:val="0"/>
      <w:marRight w:val="0"/>
      <w:marTop w:val="0"/>
      <w:marBottom w:val="0"/>
      <w:divBdr>
        <w:top w:val="none" w:sz="0" w:space="0" w:color="auto"/>
        <w:left w:val="none" w:sz="0" w:space="0" w:color="auto"/>
        <w:bottom w:val="none" w:sz="0" w:space="0" w:color="auto"/>
        <w:right w:val="none" w:sz="0" w:space="0" w:color="auto"/>
      </w:divBdr>
    </w:div>
    <w:div w:id="1668284893">
      <w:bodyDiv w:val="1"/>
      <w:marLeft w:val="0"/>
      <w:marRight w:val="0"/>
      <w:marTop w:val="0"/>
      <w:marBottom w:val="0"/>
      <w:divBdr>
        <w:top w:val="none" w:sz="0" w:space="0" w:color="auto"/>
        <w:left w:val="none" w:sz="0" w:space="0" w:color="auto"/>
        <w:bottom w:val="none" w:sz="0" w:space="0" w:color="auto"/>
        <w:right w:val="none" w:sz="0" w:space="0" w:color="auto"/>
      </w:divBdr>
    </w:div>
    <w:div w:id="1678573776">
      <w:bodyDiv w:val="1"/>
      <w:marLeft w:val="0"/>
      <w:marRight w:val="0"/>
      <w:marTop w:val="0"/>
      <w:marBottom w:val="0"/>
      <w:divBdr>
        <w:top w:val="none" w:sz="0" w:space="0" w:color="auto"/>
        <w:left w:val="none" w:sz="0" w:space="0" w:color="auto"/>
        <w:bottom w:val="none" w:sz="0" w:space="0" w:color="auto"/>
        <w:right w:val="none" w:sz="0" w:space="0" w:color="auto"/>
      </w:divBdr>
    </w:div>
    <w:div w:id="1682316914">
      <w:bodyDiv w:val="1"/>
      <w:marLeft w:val="0"/>
      <w:marRight w:val="0"/>
      <w:marTop w:val="0"/>
      <w:marBottom w:val="0"/>
      <w:divBdr>
        <w:top w:val="none" w:sz="0" w:space="0" w:color="auto"/>
        <w:left w:val="none" w:sz="0" w:space="0" w:color="auto"/>
        <w:bottom w:val="none" w:sz="0" w:space="0" w:color="auto"/>
        <w:right w:val="none" w:sz="0" w:space="0" w:color="auto"/>
      </w:divBdr>
    </w:div>
    <w:div w:id="1759905126">
      <w:bodyDiv w:val="1"/>
      <w:marLeft w:val="0"/>
      <w:marRight w:val="0"/>
      <w:marTop w:val="0"/>
      <w:marBottom w:val="0"/>
      <w:divBdr>
        <w:top w:val="none" w:sz="0" w:space="0" w:color="auto"/>
        <w:left w:val="none" w:sz="0" w:space="0" w:color="auto"/>
        <w:bottom w:val="none" w:sz="0" w:space="0" w:color="auto"/>
        <w:right w:val="none" w:sz="0" w:space="0" w:color="auto"/>
      </w:divBdr>
      <w:divsChild>
        <w:div w:id="1202668065">
          <w:marLeft w:val="288"/>
          <w:marRight w:val="0"/>
          <w:marTop w:val="120"/>
          <w:marBottom w:val="120"/>
          <w:divBdr>
            <w:top w:val="none" w:sz="0" w:space="0" w:color="auto"/>
            <w:left w:val="none" w:sz="0" w:space="0" w:color="auto"/>
            <w:bottom w:val="none" w:sz="0" w:space="0" w:color="auto"/>
            <w:right w:val="none" w:sz="0" w:space="0" w:color="auto"/>
          </w:divBdr>
        </w:div>
        <w:div w:id="2095396867">
          <w:marLeft w:val="288"/>
          <w:marRight w:val="0"/>
          <w:marTop w:val="120"/>
          <w:marBottom w:val="120"/>
          <w:divBdr>
            <w:top w:val="none" w:sz="0" w:space="0" w:color="auto"/>
            <w:left w:val="none" w:sz="0" w:space="0" w:color="auto"/>
            <w:bottom w:val="none" w:sz="0" w:space="0" w:color="auto"/>
            <w:right w:val="none" w:sz="0" w:space="0" w:color="auto"/>
          </w:divBdr>
        </w:div>
      </w:divsChild>
    </w:div>
    <w:div w:id="1763604732">
      <w:bodyDiv w:val="1"/>
      <w:marLeft w:val="0"/>
      <w:marRight w:val="0"/>
      <w:marTop w:val="0"/>
      <w:marBottom w:val="0"/>
      <w:divBdr>
        <w:top w:val="none" w:sz="0" w:space="0" w:color="auto"/>
        <w:left w:val="none" w:sz="0" w:space="0" w:color="auto"/>
        <w:bottom w:val="none" w:sz="0" w:space="0" w:color="auto"/>
        <w:right w:val="none" w:sz="0" w:space="0" w:color="auto"/>
      </w:divBdr>
    </w:div>
    <w:div w:id="1785464011">
      <w:bodyDiv w:val="1"/>
      <w:marLeft w:val="0"/>
      <w:marRight w:val="0"/>
      <w:marTop w:val="0"/>
      <w:marBottom w:val="0"/>
      <w:divBdr>
        <w:top w:val="none" w:sz="0" w:space="0" w:color="auto"/>
        <w:left w:val="none" w:sz="0" w:space="0" w:color="auto"/>
        <w:bottom w:val="none" w:sz="0" w:space="0" w:color="auto"/>
        <w:right w:val="none" w:sz="0" w:space="0" w:color="auto"/>
      </w:divBdr>
    </w:div>
    <w:div w:id="1797405649">
      <w:bodyDiv w:val="1"/>
      <w:marLeft w:val="0"/>
      <w:marRight w:val="0"/>
      <w:marTop w:val="0"/>
      <w:marBottom w:val="0"/>
      <w:divBdr>
        <w:top w:val="none" w:sz="0" w:space="0" w:color="auto"/>
        <w:left w:val="none" w:sz="0" w:space="0" w:color="auto"/>
        <w:bottom w:val="none" w:sz="0" w:space="0" w:color="auto"/>
        <w:right w:val="none" w:sz="0" w:space="0" w:color="auto"/>
      </w:divBdr>
    </w:div>
    <w:div w:id="1802845451">
      <w:bodyDiv w:val="1"/>
      <w:marLeft w:val="0"/>
      <w:marRight w:val="0"/>
      <w:marTop w:val="0"/>
      <w:marBottom w:val="0"/>
      <w:divBdr>
        <w:top w:val="none" w:sz="0" w:space="0" w:color="auto"/>
        <w:left w:val="none" w:sz="0" w:space="0" w:color="auto"/>
        <w:bottom w:val="none" w:sz="0" w:space="0" w:color="auto"/>
        <w:right w:val="none" w:sz="0" w:space="0" w:color="auto"/>
      </w:divBdr>
    </w:div>
    <w:div w:id="1807627106">
      <w:bodyDiv w:val="1"/>
      <w:marLeft w:val="0"/>
      <w:marRight w:val="0"/>
      <w:marTop w:val="0"/>
      <w:marBottom w:val="0"/>
      <w:divBdr>
        <w:top w:val="none" w:sz="0" w:space="0" w:color="auto"/>
        <w:left w:val="none" w:sz="0" w:space="0" w:color="auto"/>
        <w:bottom w:val="none" w:sz="0" w:space="0" w:color="auto"/>
        <w:right w:val="none" w:sz="0" w:space="0" w:color="auto"/>
      </w:divBdr>
    </w:div>
    <w:div w:id="1826316175">
      <w:bodyDiv w:val="1"/>
      <w:marLeft w:val="0"/>
      <w:marRight w:val="0"/>
      <w:marTop w:val="0"/>
      <w:marBottom w:val="0"/>
      <w:divBdr>
        <w:top w:val="none" w:sz="0" w:space="0" w:color="auto"/>
        <w:left w:val="none" w:sz="0" w:space="0" w:color="auto"/>
        <w:bottom w:val="none" w:sz="0" w:space="0" w:color="auto"/>
        <w:right w:val="none" w:sz="0" w:space="0" w:color="auto"/>
      </w:divBdr>
    </w:div>
    <w:div w:id="1845128158">
      <w:bodyDiv w:val="1"/>
      <w:marLeft w:val="0"/>
      <w:marRight w:val="0"/>
      <w:marTop w:val="0"/>
      <w:marBottom w:val="0"/>
      <w:divBdr>
        <w:top w:val="none" w:sz="0" w:space="0" w:color="auto"/>
        <w:left w:val="none" w:sz="0" w:space="0" w:color="auto"/>
        <w:bottom w:val="none" w:sz="0" w:space="0" w:color="auto"/>
        <w:right w:val="none" w:sz="0" w:space="0" w:color="auto"/>
      </w:divBdr>
    </w:div>
    <w:div w:id="1909921634">
      <w:bodyDiv w:val="1"/>
      <w:marLeft w:val="0"/>
      <w:marRight w:val="0"/>
      <w:marTop w:val="0"/>
      <w:marBottom w:val="0"/>
      <w:divBdr>
        <w:top w:val="none" w:sz="0" w:space="0" w:color="auto"/>
        <w:left w:val="none" w:sz="0" w:space="0" w:color="auto"/>
        <w:bottom w:val="none" w:sz="0" w:space="0" w:color="auto"/>
        <w:right w:val="none" w:sz="0" w:space="0" w:color="auto"/>
      </w:divBdr>
    </w:div>
    <w:div w:id="1915385271">
      <w:bodyDiv w:val="1"/>
      <w:marLeft w:val="0"/>
      <w:marRight w:val="0"/>
      <w:marTop w:val="0"/>
      <w:marBottom w:val="0"/>
      <w:divBdr>
        <w:top w:val="none" w:sz="0" w:space="0" w:color="auto"/>
        <w:left w:val="none" w:sz="0" w:space="0" w:color="auto"/>
        <w:bottom w:val="none" w:sz="0" w:space="0" w:color="auto"/>
        <w:right w:val="none" w:sz="0" w:space="0" w:color="auto"/>
      </w:divBdr>
    </w:div>
    <w:div w:id="1916166963">
      <w:bodyDiv w:val="1"/>
      <w:marLeft w:val="0"/>
      <w:marRight w:val="0"/>
      <w:marTop w:val="0"/>
      <w:marBottom w:val="0"/>
      <w:divBdr>
        <w:top w:val="none" w:sz="0" w:space="0" w:color="auto"/>
        <w:left w:val="none" w:sz="0" w:space="0" w:color="auto"/>
        <w:bottom w:val="none" w:sz="0" w:space="0" w:color="auto"/>
        <w:right w:val="none" w:sz="0" w:space="0" w:color="auto"/>
      </w:divBdr>
    </w:div>
    <w:div w:id="1924951541">
      <w:bodyDiv w:val="1"/>
      <w:marLeft w:val="0"/>
      <w:marRight w:val="0"/>
      <w:marTop w:val="0"/>
      <w:marBottom w:val="0"/>
      <w:divBdr>
        <w:top w:val="none" w:sz="0" w:space="0" w:color="auto"/>
        <w:left w:val="none" w:sz="0" w:space="0" w:color="auto"/>
        <w:bottom w:val="none" w:sz="0" w:space="0" w:color="auto"/>
        <w:right w:val="none" w:sz="0" w:space="0" w:color="auto"/>
      </w:divBdr>
    </w:div>
    <w:div w:id="1943412731">
      <w:bodyDiv w:val="1"/>
      <w:marLeft w:val="0"/>
      <w:marRight w:val="0"/>
      <w:marTop w:val="0"/>
      <w:marBottom w:val="0"/>
      <w:divBdr>
        <w:top w:val="none" w:sz="0" w:space="0" w:color="auto"/>
        <w:left w:val="none" w:sz="0" w:space="0" w:color="auto"/>
        <w:bottom w:val="none" w:sz="0" w:space="0" w:color="auto"/>
        <w:right w:val="none" w:sz="0" w:space="0" w:color="auto"/>
      </w:divBdr>
      <w:divsChild>
        <w:div w:id="1382172223">
          <w:blockQuote w:val="1"/>
          <w:marLeft w:val="600"/>
          <w:marRight w:val="0"/>
          <w:marTop w:val="120"/>
          <w:marBottom w:val="120"/>
          <w:divBdr>
            <w:top w:val="none" w:sz="0" w:space="0" w:color="auto"/>
            <w:left w:val="none" w:sz="0" w:space="0" w:color="auto"/>
            <w:bottom w:val="none" w:sz="0" w:space="0" w:color="auto"/>
            <w:right w:val="none" w:sz="0" w:space="0" w:color="auto"/>
          </w:divBdr>
        </w:div>
        <w:div w:id="1848209581">
          <w:blockQuote w:val="1"/>
          <w:marLeft w:val="600"/>
          <w:marRight w:val="0"/>
          <w:marTop w:val="120"/>
          <w:marBottom w:val="120"/>
          <w:divBdr>
            <w:top w:val="none" w:sz="0" w:space="0" w:color="auto"/>
            <w:left w:val="none" w:sz="0" w:space="0" w:color="auto"/>
            <w:bottom w:val="none" w:sz="0" w:space="0" w:color="auto"/>
            <w:right w:val="none" w:sz="0" w:space="0" w:color="auto"/>
          </w:divBdr>
        </w:div>
        <w:div w:id="1321612475">
          <w:blockQuote w:val="1"/>
          <w:marLeft w:val="600"/>
          <w:marRight w:val="0"/>
          <w:marTop w:val="120"/>
          <w:marBottom w:val="120"/>
          <w:divBdr>
            <w:top w:val="none" w:sz="0" w:space="0" w:color="auto"/>
            <w:left w:val="none" w:sz="0" w:space="0" w:color="auto"/>
            <w:bottom w:val="none" w:sz="0" w:space="0" w:color="auto"/>
            <w:right w:val="none" w:sz="0" w:space="0" w:color="auto"/>
          </w:divBdr>
        </w:div>
        <w:div w:id="1983997342">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1961953143">
      <w:bodyDiv w:val="1"/>
      <w:marLeft w:val="0"/>
      <w:marRight w:val="0"/>
      <w:marTop w:val="0"/>
      <w:marBottom w:val="0"/>
      <w:divBdr>
        <w:top w:val="none" w:sz="0" w:space="0" w:color="auto"/>
        <w:left w:val="none" w:sz="0" w:space="0" w:color="auto"/>
        <w:bottom w:val="none" w:sz="0" w:space="0" w:color="auto"/>
        <w:right w:val="none" w:sz="0" w:space="0" w:color="auto"/>
      </w:divBdr>
    </w:div>
    <w:div w:id="1970822375">
      <w:bodyDiv w:val="1"/>
      <w:marLeft w:val="0"/>
      <w:marRight w:val="0"/>
      <w:marTop w:val="0"/>
      <w:marBottom w:val="0"/>
      <w:divBdr>
        <w:top w:val="none" w:sz="0" w:space="0" w:color="auto"/>
        <w:left w:val="none" w:sz="0" w:space="0" w:color="auto"/>
        <w:bottom w:val="none" w:sz="0" w:space="0" w:color="auto"/>
        <w:right w:val="none" w:sz="0" w:space="0" w:color="auto"/>
      </w:divBdr>
    </w:div>
    <w:div w:id="1978533443">
      <w:bodyDiv w:val="1"/>
      <w:marLeft w:val="0"/>
      <w:marRight w:val="0"/>
      <w:marTop w:val="0"/>
      <w:marBottom w:val="0"/>
      <w:divBdr>
        <w:top w:val="none" w:sz="0" w:space="0" w:color="auto"/>
        <w:left w:val="none" w:sz="0" w:space="0" w:color="auto"/>
        <w:bottom w:val="none" w:sz="0" w:space="0" w:color="auto"/>
        <w:right w:val="none" w:sz="0" w:space="0" w:color="auto"/>
      </w:divBdr>
    </w:div>
    <w:div w:id="1982802839">
      <w:bodyDiv w:val="1"/>
      <w:marLeft w:val="0"/>
      <w:marRight w:val="0"/>
      <w:marTop w:val="0"/>
      <w:marBottom w:val="0"/>
      <w:divBdr>
        <w:top w:val="none" w:sz="0" w:space="0" w:color="auto"/>
        <w:left w:val="none" w:sz="0" w:space="0" w:color="auto"/>
        <w:bottom w:val="none" w:sz="0" w:space="0" w:color="auto"/>
        <w:right w:val="none" w:sz="0" w:space="0" w:color="auto"/>
      </w:divBdr>
      <w:divsChild>
        <w:div w:id="1640837148">
          <w:marLeft w:val="446"/>
          <w:marRight w:val="0"/>
          <w:marTop w:val="120"/>
          <w:marBottom w:val="120"/>
          <w:divBdr>
            <w:top w:val="none" w:sz="0" w:space="0" w:color="auto"/>
            <w:left w:val="none" w:sz="0" w:space="0" w:color="auto"/>
            <w:bottom w:val="none" w:sz="0" w:space="0" w:color="auto"/>
            <w:right w:val="none" w:sz="0" w:space="0" w:color="auto"/>
          </w:divBdr>
        </w:div>
        <w:div w:id="2038265649">
          <w:marLeft w:val="446"/>
          <w:marRight w:val="0"/>
          <w:marTop w:val="120"/>
          <w:marBottom w:val="120"/>
          <w:divBdr>
            <w:top w:val="none" w:sz="0" w:space="0" w:color="auto"/>
            <w:left w:val="none" w:sz="0" w:space="0" w:color="auto"/>
            <w:bottom w:val="none" w:sz="0" w:space="0" w:color="auto"/>
            <w:right w:val="none" w:sz="0" w:space="0" w:color="auto"/>
          </w:divBdr>
        </w:div>
        <w:div w:id="1910072450">
          <w:marLeft w:val="446"/>
          <w:marRight w:val="0"/>
          <w:marTop w:val="120"/>
          <w:marBottom w:val="120"/>
          <w:divBdr>
            <w:top w:val="none" w:sz="0" w:space="0" w:color="auto"/>
            <w:left w:val="none" w:sz="0" w:space="0" w:color="auto"/>
            <w:bottom w:val="none" w:sz="0" w:space="0" w:color="auto"/>
            <w:right w:val="none" w:sz="0" w:space="0" w:color="auto"/>
          </w:divBdr>
        </w:div>
      </w:divsChild>
    </w:div>
    <w:div w:id="2014188302">
      <w:bodyDiv w:val="1"/>
      <w:marLeft w:val="0"/>
      <w:marRight w:val="0"/>
      <w:marTop w:val="0"/>
      <w:marBottom w:val="0"/>
      <w:divBdr>
        <w:top w:val="none" w:sz="0" w:space="0" w:color="auto"/>
        <w:left w:val="none" w:sz="0" w:space="0" w:color="auto"/>
        <w:bottom w:val="none" w:sz="0" w:space="0" w:color="auto"/>
        <w:right w:val="none" w:sz="0" w:space="0" w:color="auto"/>
      </w:divBdr>
    </w:div>
    <w:div w:id="2027442578">
      <w:bodyDiv w:val="1"/>
      <w:marLeft w:val="0"/>
      <w:marRight w:val="0"/>
      <w:marTop w:val="0"/>
      <w:marBottom w:val="0"/>
      <w:divBdr>
        <w:top w:val="none" w:sz="0" w:space="0" w:color="auto"/>
        <w:left w:val="none" w:sz="0" w:space="0" w:color="auto"/>
        <w:bottom w:val="none" w:sz="0" w:space="0" w:color="auto"/>
        <w:right w:val="none" w:sz="0" w:space="0" w:color="auto"/>
      </w:divBdr>
    </w:div>
    <w:div w:id="2042507693">
      <w:bodyDiv w:val="1"/>
      <w:marLeft w:val="0"/>
      <w:marRight w:val="0"/>
      <w:marTop w:val="0"/>
      <w:marBottom w:val="0"/>
      <w:divBdr>
        <w:top w:val="none" w:sz="0" w:space="0" w:color="auto"/>
        <w:left w:val="none" w:sz="0" w:space="0" w:color="auto"/>
        <w:bottom w:val="none" w:sz="0" w:space="0" w:color="auto"/>
        <w:right w:val="none" w:sz="0" w:space="0" w:color="auto"/>
      </w:divBdr>
    </w:div>
    <w:div w:id="2065594790">
      <w:bodyDiv w:val="1"/>
      <w:marLeft w:val="0"/>
      <w:marRight w:val="0"/>
      <w:marTop w:val="0"/>
      <w:marBottom w:val="0"/>
      <w:divBdr>
        <w:top w:val="none" w:sz="0" w:space="0" w:color="auto"/>
        <w:left w:val="none" w:sz="0" w:space="0" w:color="auto"/>
        <w:bottom w:val="none" w:sz="0" w:space="0" w:color="auto"/>
        <w:right w:val="none" w:sz="0" w:space="0" w:color="auto"/>
      </w:divBdr>
    </w:div>
    <w:div w:id="2070030862">
      <w:bodyDiv w:val="1"/>
      <w:marLeft w:val="0"/>
      <w:marRight w:val="0"/>
      <w:marTop w:val="0"/>
      <w:marBottom w:val="0"/>
      <w:divBdr>
        <w:top w:val="none" w:sz="0" w:space="0" w:color="auto"/>
        <w:left w:val="none" w:sz="0" w:space="0" w:color="auto"/>
        <w:bottom w:val="none" w:sz="0" w:space="0" w:color="auto"/>
        <w:right w:val="none" w:sz="0" w:space="0" w:color="auto"/>
      </w:divBdr>
    </w:div>
    <w:div w:id="2075080290">
      <w:bodyDiv w:val="1"/>
      <w:marLeft w:val="0"/>
      <w:marRight w:val="0"/>
      <w:marTop w:val="0"/>
      <w:marBottom w:val="0"/>
      <w:divBdr>
        <w:top w:val="none" w:sz="0" w:space="0" w:color="auto"/>
        <w:left w:val="none" w:sz="0" w:space="0" w:color="auto"/>
        <w:bottom w:val="none" w:sz="0" w:space="0" w:color="auto"/>
        <w:right w:val="none" w:sz="0" w:space="0" w:color="auto"/>
      </w:divBdr>
    </w:div>
    <w:div w:id="2121876586">
      <w:bodyDiv w:val="1"/>
      <w:marLeft w:val="0"/>
      <w:marRight w:val="0"/>
      <w:marTop w:val="0"/>
      <w:marBottom w:val="0"/>
      <w:divBdr>
        <w:top w:val="none" w:sz="0" w:space="0" w:color="auto"/>
        <w:left w:val="none" w:sz="0" w:space="0" w:color="auto"/>
        <w:bottom w:val="none" w:sz="0" w:space="0" w:color="auto"/>
        <w:right w:val="none" w:sz="0" w:space="0" w:color="auto"/>
      </w:divBdr>
    </w:div>
    <w:div w:id="213401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yperlink" Target="https://www.nhvr.gov.au/files/202105-1232-cilta-ntarc-review-of-major-crash-rates-hpv-2015-19.pdf" TargetMode="External"/><Relationship Id="rId3" Type="http://schemas.openxmlformats.org/officeDocument/2006/relationships/customXml" Target="../customXml/item3.xml"/><Relationship Id="rId21" Type="http://schemas.openxmlformats.org/officeDocument/2006/relationships/image" Target="cid:image001.png@01D8E3D4.974F2CF0"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hyperlink" Target="https://www.nhvr.gov.au/files/201810-0924-pbs-a-guide-for-road-managers.pdf"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eader" Target="header4.xml"/></Relationships>
</file>

<file path=word/_rels/footnotes.xml.rels><?xml version="1.0" encoding="UTF-8" standalone="yes"?>
<Relationships xmlns="http://schemas.openxmlformats.org/package/2006/relationships"><Relationship Id="rId3" Type="http://schemas.openxmlformats.org/officeDocument/2006/relationships/hyperlink" Target="https://www.caselaw.nsw.gov.au/decision/5c64b00ee4b02a5a800be8bf" TargetMode="External"/><Relationship Id="rId2" Type="http://schemas.openxmlformats.org/officeDocument/2006/relationships/hyperlink" Target="https://www.courts.qld.gov.au/__data/assets/pdf_file/0018/131913/cif-young-ja-20080123.pdf" TargetMode="External"/><Relationship Id="rId1" Type="http://schemas.openxmlformats.org/officeDocument/2006/relationships/hyperlink" Target="https://www.freightaustralia.gov.au/sites/default/files/documents/national-freight-and-supply-chain-strategy.pdf" TargetMode="External"/><Relationship Id="rId4" Type="http://schemas.openxmlformats.org/officeDocument/2006/relationships/hyperlink" Target="https://www.legislation.qld.gov.au/view/pdf/inforce/current/sl-2013-007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NHVR">
      <a:dk1>
        <a:sysClr val="windowText" lastClr="000000"/>
      </a:dk1>
      <a:lt1>
        <a:sysClr val="window" lastClr="FFFFFF"/>
      </a:lt1>
      <a:dk2>
        <a:srgbClr val="0F2D52"/>
      </a:dk2>
      <a:lt2>
        <a:srgbClr val="43849D"/>
      </a:lt2>
      <a:accent1>
        <a:srgbClr val="4A9B98"/>
      </a:accent1>
      <a:accent2>
        <a:srgbClr val="67A7CC"/>
      </a:accent2>
      <a:accent3>
        <a:srgbClr val="262626"/>
      </a:accent3>
      <a:accent4>
        <a:srgbClr val="B4C4D1"/>
      </a:accent4>
      <a:accent5>
        <a:srgbClr val="FFFFFF"/>
      </a:accent5>
      <a:accent6>
        <a:srgbClr val="FFFFFF"/>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2022-10-19T00:00:00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CCE776F0E1C1D48B641D5935A160817" ma:contentTypeVersion="11" ma:contentTypeDescription="Create a new document." ma:contentTypeScope="" ma:versionID="8f871e04606b3cf0a3866f003ac8a48c">
  <xsd:schema xmlns:xsd="http://www.w3.org/2001/XMLSchema" xmlns:p="http://schemas.microsoft.com/office/2006/metadata/properties" xmlns:ns2="fd4c8ac0-2787-4902-834c-3811abedc89f" xmlns:ns3="http://schemas.microsoft.com/sharepoint/v3/fields" targetNamespace="http://schemas.microsoft.com/office/2006/metadata/properties" ma:root="true" ma:fieldsID="58c05efcc0cb9a60749b8d1e44dd90dc" ns2:_="" ns3:_="">
    <xsd:import namespace="fd4c8ac0-2787-4902-834c-3811abedc89f"/>
    <xsd:import namespace="http://schemas.microsoft.com/sharepoint/v3/fields"/>
    <xsd:element name="properties">
      <xsd:complexType>
        <xsd:sequence>
          <xsd:element name="documentManagement">
            <xsd:complexType>
              <xsd:all>
                <xsd:element ref="ns2:Area"/>
                <xsd:element ref="ns2:Discipline_x0020__x002f__x0020_Project"/>
                <xsd:element ref="ns2:Document_x0020_Type"/>
                <xsd:element ref="ns2:Year" minOccurs="0"/>
                <xsd:element ref="ns3:_Version" minOccurs="0"/>
                <xsd:element ref="ns2:Directive" minOccurs="0"/>
                <xsd:element ref="ns2:Priority" minOccurs="0"/>
                <xsd:element ref="ns2:Month" minOccurs="0"/>
              </xsd:all>
            </xsd:complexType>
          </xsd:element>
        </xsd:sequence>
      </xsd:complexType>
    </xsd:element>
  </xsd:schema>
  <xsd:schema xmlns:xsd="http://www.w3.org/2001/XMLSchema" xmlns:dms="http://schemas.microsoft.com/office/2006/documentManagement/types" targetNamespace="fd4c8ac0-2787-4902-834c-3811abedc89f" elementFormDefault="qualified">
    <xsd:import namespace="http://schemas.microsoft.com/office/2006/documentManagement/types"/>
    <xsd:element name="Area" ma:index="8" ma:displayName="Area" ma:list="{1a6bb4ea-ce7e-4e08-a1f7-64a69023bef2}" ma:internalName="Area" ma:showField="Title">
      <xsd:simpleType>
        <xsd:restriction base="dms:Lookup"/>
      </xsd:simpleType>
    </xsd:element>
    <xsd:element name="Discipline_x0020__x002f__x0020_Project" ma:index="9" ma:displayName="Discipline / Project" ma:list="{702cf583-706b-45df-9453-6da6d2848669}" ma:internalName="Discipline_x0020__x002f__x0020_Project" ma:readOnly="false" ma:showField="Title">
      <xsd:simpleType>
        <xsd:restriction base="dms:Lookup"/>
      </xsd:simpleType>
    </xsd:element>
    <xsd:element name="Document_x0020_Type" ma:index="10" ma:displayName="Document Type" ma:list="{6aab2284-1d58-4b34-bec7-56374be48606}" ma:internalName="Document_x0020_Type" ma:showField="Title">
      <xsd:simpleType>
        <xsd:restriction base="dms:Lookup"/>
      </xsd:simpleType>
    </xsd:element>
    <xsd:element name="Year" ma:index="11" nillable="true" ma:displayName="Year" ma:list="{9fe2a67a-ec8f-462c-8d82-8312f1742ece}" ma:internalName="Year" ma:readOnly="false" ma:showField="Title">
      <xsd:simpleType>
        <xsd:restriction base="dms:Lookup"/>
      </xsd:simpleType>
    </xsd:element>
    <xsd:element name="Directive" ma:index="13" nillable="true" ma:displayName="Directive" ma:list="{91625e19-fb15-4f16-bfa6-c5d203d1e4f5}" ma:internalName="Directive" ma:showField="Title">
      <xsd:simpleType>
        <xsd:restriction base="dms:Lookup"/>
      </xsd:simpleType>
    </xsd:element>
    <xsd:element name="Priority" ma:index="14" nillable="true" ma:displayName="Priority" ma:list="{05b8044b-bca9-45da-a019-6ca251299215}" ma:internalName="Priority" ma:showField="Title">
      <xsd:simpleType>
        <xsd:restriction base="dms:Lookup"/>
      </xsd:simpleType>
    </xsd:element>
    <xsd:element name="Month" ma:index="15" nillable="true" ma:displayName="Month" ma:list="{afb3c469-abef-4e5b-a63b-6f9a138b9690}" ma:internalName="Month" ma:showField="Title">
      <xsd:simpleType>
        <xsd:restriction base="dms:Lookup"/>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Version" ma:index="12"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1 6 " ? > < K a p i s h F i l e n a m e T o U r i M a p p i n g s   x m l n s : x s d = " h t t p : / / w w w . w 3 . o r g / 2 0 0 1 / X M L S c h e m a "   x m l n s : x s i = " h t t p : / / w w w . w 3 . o r g / 2 0 0 1 / X M L S c h e m a - i n s t a n c 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documentManagement>
    <_Version xmlns="http://schemas.microsoft.com/sharepoint/v3/fields" xsi:nil="true"/>
    <Area xmlns="fd4c8ac0-2787-4902-834c-3811abedc89f">7</Area>
    <Directive xmlns="fd4c8ac0-2787-4902-834c-3811abedc89f">8</Directive>
    <Year xmlns="fd4c8ac0-2787-4902-834c-3811abedc89f">5</Year>
    <Discipline_x0020__x002f__x0020_Project xmlns="fd4c8ac0-2787-4902-834c-3811abedc89f">5</Discipline_x0020__x002f__x0020_Project>
    <Document_x0020_Type xmlns="fd4c8ac0-2787-4902-834c-3811abedc89f">27</Document_x0020_Type>
    <Priority xmlns="fd4c8ac0-2787-4902-834c-3811abedc89f">1</Priority>
    <Month xmlns="fd4c8ac0-2787-4902-834c-3811abedc89f"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B9A143-7857-49D3-B272-D1E6057D29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4c8ac0-2787-4902-834c-3811abedc89f"/>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F886607-F47F-4A6E-BD3A-C70B80E67118}">
  <ds:schemaRefs>
    <ds:schemaRef ds:uri="http://www.w3.org/2001/XMLSchema"/>
  </ds:schemaRefs>
</ds:datastoreItem>
</file>

<file path=customXml/itemProps4.xml><?xml version="1.0" encoding="utf-8"?>
<ds:datastoreItem xmlns:ds="http://schemas.openxmlformats.org/officeDocument/2006/customXml" ds:itemID="{4AB7ECA7-1E7A-4389-86ED-D6E82D048637}">
  <ds:schemaRefs>
    <ds:schemaRef ds:uri="http://schemas.microsoft.com/sharepoint/v3/contenttype/forms"/>
  </ds:schemaRefs>
</ds:datastoreItem>
</file>

<file path=customXml/itemProps5.xml><?xml version="1.0" encoding="utf-8"?>
<ds:datastoreItem xmlns:ds="http://schemas.openxmlformats.org/officeDocument/2006/customXml" ds:itemID="{BF9E2806-E669-42F1-BFBF-81EEC1AFC41F}">
  <ds:schemaRefs>
    <ds:schemaRef ds:uri="http://purl.org/dc/terms/"/>
    <ds:schemaRef ds:uri="http://purl.org/dc/dcmitype/"/>
    <ds:schemaRef ds:uri="http://purl.org/dc/elements/1.1/"/>
    <ds:schemaRef ds:uri="http://schemas.microsoft.com/sharepoint/v3/fields"/>
    <ds:schemaRef ds:uri="fd4c8ac0-2787-4902-834c-3811abedc89f"/>
    <ds:schemaRef ds:uri="http://schemas.openxmlformats.org/package/2006/metadata/core-properties"/>
    <ds:schemaRef ds:uri="http://schemas.microsoft.com/office/2006/metadata/properties"/>
    <ds:schemaRef ds:uri="http://www.w3.org/XML/1998/namespace"/>
    <ds:schemaRef ds:uri="http://schemas.microsoft.com/office/2006/documentManagement/types"/>
  </ds:schemaRefs>
</ds:datastoreItem>
</file>

<file path=customXml/itemProps6.xml><?xml version="1.0" encoding="utf-8"?>
<ds:datastoreItem xmlns:ds="http://schemas.openxmlformats.org/officeDocument/2006/customXml" ds:itemID="{5238FFEB-5463-4C81-845E-7C8DE4018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4200</Words>
  <Characters>23946</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Submission DR120 - National Heavy Vehicle Regulator (NHVR) - Australia's Maritime Logistics System - Public inquiry</vt:lpstr>
    </vt:vector>
  </TitlesOfParts>
  <Company>National Heavy Vehicle Regulator (NHVR)</Company>
  <LinksUpToDate>false</LinksUpToDate>
  <CharactersWithSpaces>28090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DR120 - National Heavy Vehicle Regulator (NHVR) - Australia's Maritime Logistics System - Public inquiry</dc:title>
  <dc:subject>Draft Report</dc:subject>
  <dc:creator>National Heavy Vehicle Regulator (NHVR)</dc:creator>
  <cp:lastModifiedBy>Chris Alston</cp:lastModifiedBy>
  <cp:revision>6</cp:revision>
  <cp:lastPrinted>2022-10-21T05:03:00Z</cp:lastPrinted>
  <dcterms:created xsi:type="dcterms:W3CDTF">2022-10-21T03:33:00Z</dcterms:created>
  <dcterms:modified xsi:type="dcterms:W3CDTF">2022-10-21T05:03:00Z</dcterms:modified>
  <cp:contentStatus>Version 2.1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0x0101005CCE776F0E1C1D48B641D5935A160817</vt:lpwstr>
  </property>
</Properties>
</file>