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8B" w:rsidRDefault="00DD5A8B" w:rsidP="00E348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Dr Jay Sanderson</w:t>
      </w:r>
      <w:bookmarkStart w:id="0" w:name="_GoBack"/>
      <w:bookmarkEnd w:id="0"/>
    </w:p>
    <w:p w:rsidR="00DD5A8B" w:rsidRDefault="00DD5A8B" w:rsidP="00E348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Senior Lecturer</w:t>
      </w:r>
    </w:p>
    <w:p w:rsidR="00DD5A8B" w:rsidRDefault="00DD5A8B" w:rsidP="00E348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USC Law School</w:t>
      </w:r>
    </w:p>
    <w:p w:rsidR="00DD5A8B" w:rsidRDefault="00DD5A8B" w:rsidP="00E348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University of the Sunshine Coast</w:t>
      </w:r>
    </w:p>
    <w:p w:rsidR="003879A9" w:rsidRDefault="003879A9" w:rsidP="00E348EE">
      <w:pPr>
        <w:spacing w:after="0" w:line="240" w:lineRule="auto"/>
        <w:jc w:val="right"/>
        <w:rPr>
          <w:rFonts w:ascii="Times New Roman" w:hAnsi="Times New Roman" w:cs="Times New Roman"/>
          <w:sz w:val="24"/>
          <w:szCs w:val="24"/>
        </w:rPr>
      </w:pPr>
    </w:p>
    <w:p w:rsidR="00DD5A8B" w:rsidRDefault="00DD5A8B" w:rsidP="00E348EE">
      <w:pPr>
        <w:spacing w:after="0" w:line="240" w:lineRule="auto"/>
        <w:jc w:val="both"/>
        <w:rPr>
          <w:rFonts w:ascii="Times New Roman" w:hAnsi="Times New Roman" w:cs="Times New Roman"/>
          <w:sz w:val="24"/>
          <w:szCs w:val="24"/>
        </w:rPr>
      </w:pPr>
    </w:p>
    <w:p w:rsidR="00DD5A8B" w:rsidRPr="00DD5A8B" w:rsidRDefault="00DD5A8B" w:rsidP="00E348EE">
      <w:pPr>
        <w:jc w:val="both"/>
        <w:rPr>
          <w:rFonts w:ascii="Times New Roman" w:hAnsi="Times New Roman" w:cs="Times New Roman"/>
          <w:sz w:val="24"/>
          <w:szCs w:val="24"/>
        </w:rPr>
      </w:pPr>
    </w:p>
    <w:p w:rsidR="009D6747" w:rsidRPr="00DD5A8B" w:rsidRDefault="00DD5A8B" w:rsidP="00E348EE">
      <w:pPr>
        <w:jc w:val="center"/>
        <w:rPr>
          <w:rFonts w:ascii="Times New Roman" w:hAnsi="Times New Roman" w:cs="Times New Roman"/>
          <w:b/>
          <w:sz w:val="24"/>
          <w:szCs w:val="24"/>
        </w:rPr>
      </w:pPr>
      <w:r w:rsidRPr="00DD5A8B">
        <w:rPr>
          <w:rFonts w:ascii="Times New Roman" w:hAnsi="Times New Roman" w:cs="Times New Roman"/>
          <w:b/>
          <w:sz w:val="24"/>
          <w:szCs w:val="24"/>
        </w:rPr>
        <w:t>Intellectual Property Arrangements: Submission for the draft report</w:t>
      </w:r>
    </w:p>
    <w:p w:rsidR="00E348EE" w:rsidRDefault="00E348EE" w:rsidP="00E348EE">
      <w:pPr>
        <w:jc w:val="both"/>
        <w:rPr>
          <w:rFonts w:ascii="Times New Roman" w:hAnsi="Times New Roman" w:cs="Times New Roman"/>
          <w:sz w:val="24"/>
          <w:szCs w:val="24"/>
        </w:rPr>
      </w:pPr>
    </w:p>
    <w:p w:rsidR="00DD5A8B" w:rsidRDefault="00DD5A8B" w:rsidP="00E348EE">
      <w:pPr>
        <w:jc w:val="both"/>
        <w:rPr>
          <w:rFonts w:ascii="Times New Roman" w:hAnsi="Times New Roman" w:cs="Times New Roman"/>
          <w:sz w:val="24"/>
          <w:szCs w:val="24"/>
        </w:rPr>
      </w:pPr>
      <w:r w:rsidRPr="00DD5A8B">
        <w:rPr>
          <w:rFonts w:ascii="Times New Roman" w:hAnsi="Times New Roman" w:cs="Times New Roman"/>
          <w:sz w:val="24"/>
          <w:szCs w:val="24"/>
        </w:rPr>
        <w:t>I would like to provide a submission on the Productivity’s Commission’s review into In</w:t>
      </w:r>
      <w:r>
        <w:rPr>
          <w:rFonts w:ascii="Times New Roman" w:hAnsi="Times New Roman" w:cs="Times New Roman"/>
          <w:sz w:val="24"/>
          <w:szCs w:val="24"/>
        </w:rPr>
        <w:t>tellectu</w:t>
      </w:r>
      <w:r w:rsidR="00213338">
        <w:rPr>
          <w:rFonts w:ascii="Times New Roman" w:hAnsi="Times New Roman" w:cs="Times New Roman"/>
          <w:sz w:val="24"/>
          <w:szCs w:val="24"/>
        </w:rPr>
        <w:t xml:space="preserve">al Property Arrangements on </w:t>
      </w:r>
      <w:r>
        <w:rPr>
          <w:rFonts w:ascii="Times New Roman" w:hAnsi="Times New Roman" w:cs="Times New Roman"/>
          <w:sz w:val="24"/>
          <w:szCs w:val="24"/>
        </w:rPr>
        <w:t>draf</w:t>
      </w:r>
      <w:r w:rsidR="00213338">
        <w:rPr>
          <w:rFonts w:ascii="Times New Roman" w:hAnsi="Times New Roman" w:cs="Times New Roman"/>
          <w:sz w:val="24"/>
          <w:szCs w:val="24"/>
        </w:rPr>
        <w:t>t recommendations 11.1 and 12.1. Specifically:</w:t>
      </w:r>
    </w:p>
    <w:p w:rsidR="00E348EE" w:rsidRDefault="00E348EE" w:rsidP="00E348EE">
      <w:pPr>
        <w:jc w:val="both"/>
        <w:rPr>
          <w:rFonts w:ascii="Times New Roman" w:hAnsi="Times New Roman" w:cs="Times New Roman"/>
          <w:sz w:val="24"/>
          <w:szCs w:val="24"/>
        </w:rPr>
      </w:pPr>
    </w:p>
    <w:p w:rsidR="00DD5A8B" w:rsidRPr="00DD5A8B" w:rsidRDefault="00DD5A8B" w:rsidP="00E348EE">
      <w:pPr>
        <w:pStyle w:val="ListParagraph"/>
        <w:numPr>
          <w:ilvl w:val="0"/>
          <w:numId w:val="2"/>
        </w:numPr>
        <w:jc w:val="both"/>
        <w:rPr>
          <w:rFonts w:ascii="Times New Roman" w:hAnsi="Times New Roman" w:cs="Times New Roman"/>
          <w:b/>
          <w:sz w:val="24"/>
          <w:szCs w:val="24"/>
        </w:rPr>
      </w:pPr>
      <w:r w:rsidRPr="00DD5A8B">
        <w:rPr>
          <w:rFonts w:ascii="Times New Roman" w:hAnsi="Times New Roman" w:cs="Times New Roman"/>
          <w:b/>
          <w:sz w:val="24"/>
          <w:szCs w:val="24"/>
        </w:rPr>
        <w:t>Amend s. 43 of the Trade Marks Act so that the presumption of registrability does not apply to the registration of marks that could be misleading or confusing (draft recommendation 11.1)</w:t>
      </w:r>
    </w:p>
    <w:p w:rsidR="00DD5A8B" w:rsidRDefault="00DD5A8B" w:rsidP="00E348EE">
      <w:pPr>
        <w:pStyle w:val="ListParagraph"/>
        <w:jc w:val="both"/>
        <w:rPr>
          <w:rFonts w:ascii="Times New Roman" w:hAnsi="Times New Roman" w:cs="Times New Roman"/>
          <w:sz w:val="24"/>
          <w:szCs w:val="24"/>
        </w:rPr>
      </w:pPr>
    </w:p>
    <w:p w:rsidR="00213338" w:rsidRDefault="00E348EE" w:rsidP="00E348E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recommendation is important and necessary, and will </w:t>
      </w:r>
      <w:r w:rsidR="00F3439E">
        <w:rPr>
          <w:rFonts w:ascii="Times New Roman" w:hAnsi="Times New Roman" w:cs="Times New Roman"/>
          <w:sz w:val="24"/>
          <w:szCs w:val="24"/>
        </w:rPr>
        <w:t>help reconcile Australia’s trade mark and consumer laws</w:t>
      </w:r>
      <w:r>
        <w:rPr>
          <w:rFonts w:ascii="Times New Roman" w:hAnsi="Times New Roman" w:cs="Times New Roman"/>
          <w:sz w:val="24"/>
          <w:szCs w:val="24"/>
        </w:rPr>
        <w:t xml:space="preserve">. </w:t>
      </w:r>
      <w:r w:rsidR="00BC63E5">
        <w:rPr>
          <w:rFonts w:ascii="Times New Roman" w:hAnsi="Times New Roman" w:cs="Times New Roman"/>
          <w:sz w:val="24"/>
          <w:szCs w:val="24"/>
        </w:rPr>
        <w:t xml:space="preserve">An example of the need to remove the presumption of </w:t>
      </w:r>
      <w:r w:rsidR="00213338" w:rsidRPr="00213338">
        <w:rPr>
          <w:rFonts w:ascii="Times New Roman" w:hAnsi="Times New Roman" w:cs="Times New Roman"/>
          <w:sz w:val="24"/>
          <w:szCs w:val="24"/>
        </w:rPr>
        <w:t>registrability</w:t>
      </w:r>
      <w:r w:rsidR="00BC63E5">
        <w:rPr>
          <w:rFonts w:ascii="Times New Roman" w:hAnsi="Times New Roman" w:cs="Times New Roman"/>
          <w:sz w:val="24"/>
          <w:szCs w:val="24"/>
        </w:rPr>
        <w:t xml:space="preserve"> comes from</w:t>
      </w:r>
      <w:r>
        <w:rPr>
          <w:rFonts w:ascii="Times New Roman" w:hAnsi="Times New Roman" w:cs="Times New Roman"/>
          <w:sz w:val="24"/>
          <w:szCs w:val="24"/>
        </w:rPr>
        <w:t xml:space="preserve"> </w:t>
      </w:r>
      <w:r w:rsidR="00213338">
        <w:rPr>
          <w:rFonts w:ascii="Times New Roman" w:hAnsi="Times New Roman" w:cs="Times New Roman"/>
          <w:sz w:val="24"/>
          <w:szCs w:val="24"/>
        </w:rPr>
        <w:t xml:space="preserve">misleading or deceptive </w:t>
      </w:r>
      <w:r>
        <w:rPr>
          <w:rFonts w:ascii="Times New Roman" w:hAnsi="Times New Roman" w:cs="Times New Roman"/>
          <w:sz w:val="24"/>
          <w:szCs w:val="24"/>
        </w:rPr>
        <w:t xml:space="preserve">trade marks that connote qualities of ‘health’. </w:t>
      </w:r>
    </w:p>
    <w:p w:rsidR="00213338" w:rsidRDefault="00213338" w:rsidP="00E348EE">
      <w:pPr>
        <w:pStyle w:val="ListParagraph"/>
        <w:jc w:val="both"/>
        <w:rPr>
          <w:rFonts w:ascii="Times New Roman" w:hAnsi="Times New Roman" w:cs="Times New Roman"/>
          <w:sz w:val="24"/>
          <w:szCs w:val="24"/>
        </w:rPr>
      </w:pPr>
    </w:p>
    <w:p w:rsidR="00693385" w:rsidRDefault="00213338" w:rsidP="00E348EE">
      <w:pPr>
        <w:pStyle w:val="ListParagraph"/>
        <w:jc w:val="both"/>
        <w:rPr>
          <w:rFonts w:ascii="Times New Roman" w:hAnsi="Times New Roman" w:cs="Times New Roman"/>
          <w:sz w:val="24"/>
          <w:szCs w:val="24"/>
        </w:rPr>
      </w:pPr>
      <w:r>
        <w:rPr>
          <w:rFonts w:ascii="Times New Roman" w:hAnsi="Times New Roman" w:cs="Times New Roman"/>
          <w:sz w:val="24"/>
          <w:szCs w:val="24"/>
        </w:rPr>
        <w:t>The following comments and arguments about the potential issues with mislead</w:t>
      </w:r>
      <w:r w:rsidR="00E93C2A">
        <w:rPr>
          <w:rFonts w:ascii="Times New Roman" w:hAnsi="Times New Roman" w:cs="Times New Roman"/>
          <w:sz w:val="24"/>
          <w:szCs w:val="24"/>
        </w:rPr>
        <w:t>ing</w:t>
      </w:r>
      <w:r>
        <w:rPr>
          <w:rFonts w:ascii="Times New Roman" w:hAnsi="Times New Roman" w:cs="Times New Roman"/>
          <w:sz w:val="24"/>
          <w:szCs w:val="24"/>
        </w:rPr>
        <w:t xml:space="preserve"> or deceptive ‘healthy’ </w:t>
      </w:r>
      <w:proofErr w:type="spellStart"/>
      <w:r>
        <w:rPr>
          <w:rFonts w:ascii="Times New Roman" w:hAnsi="Times New Roman" w:cs="Times New Roman"/>
          <w:sz w:val="24"/>
          <w:szCs w:val="24"/>
        </w:rPr>
        <w:t>trade marks</w:t>
      </w:r>
      <w:proofErr w:type="spellEnd"/>
      <w:r>
        <w:rPr>
          <w:rFonts w:ascii="Times New Roman" w:hAnsi="Times New Roman" w:cs="Times New Roman"/>
          <w:sz w:val="24"/>
          <w:szCs w:val="24"/>
        </w:rPr>
        <w:t xml:space="preserve"> are </w:t>
      </w:r>
      <w:r w:rsidR="00E93C2A">
        <w:rPr>
          <w:rFonts w:ascii="Times New Roman" w:hAnsi="Times New Roman" w:cs="Times New Roman"/>
          <w:sz w:val="24"/>
          <w:szCs w:val="24"/>
        </w:rPr>
        <w:t>taken</w:t>
      </w:r>
      <w:r>
        <w:rPr>
          <w:rFonts w:ascii="Times New Roman" w:hAnsi="Times New Roman" w:cs="Times New Roman"/>
          <w:sz w:val="24"/>
          <w:szCs w:val="24"/>
        </w:rPr>
        <w:t xml:space="preserve"> from ‘Health Conscious and Confused: Why ‘Healthy’ Tr</w:t>
      </w:r>
      <w:r w:rsidR="00BE6813">
        <w:rPr>
          <w:rFonts w:ascii="Times New Roman" w:hAnsi="Times New Roman" w:cs="Times New Roman"/>
          <w:sz w:val="24"/>
          <w:szCs w:val="24"/>
        </w:rPr>
        <w:t xml:space="preserve">ade Marks Matter to Consumers’, </w:t>
      </w:r>
      <w:r>
        <w:rPr>
          <w:rFonts w:ascii="Times New Roman" w:hAnsi="Times New Roman" w:cs="Times New Roman"/>
          <w:sz w:val="24"/>
          <w:szCs w:val="24"/>
        </w:rPr>
        <w:t xml:space="preserve">(2016) 39(2) </w:t>
      </w:r>
      <w:r w:rsidRPr="00E348EE">
        <w:rPr>
          <w:rFonts w:ascii="Times New Roman" w:hAnsi="Times New Roman" w:cs="Times New Roman"/>
          <w:i/>
          <w:sz w:val="24"/>
          <w:szCs w:val="24"/>
        </w:rPr>
        <w:t>University of New South Wales Law Journal</w:t>
      </w:r>
      <w:r>
        <w:rPr>
          <w:rFonts w:ascii="Times New Roman" w:hAnsi="Times New Roman" w:cs="Times New Roman"/>
          <w:sz w:val="24"/>
          <w:szCs w:val="24"/>
        </w:rPr>
        <w:t xml:space="preserve"> (Jay Sanderson). Importantly:</w:t>
      </w:r>
    </w:p>
    <w:p w:rsidR="00213338" w:rsidRDefault="00213338" w:rsidP="00E348EE">
      <w:pPr>
        <w:pStyle w:val="ListParagraph"/>
        <w:jc w:val="both"/>
        <w:rPr>
          <w:rFonts w:ascii="Times New Roman" w:hAnsi="Times New Roman" w:cs="Times New Roman"/>
          <w:sz w:val="24"/>
          <w:szCs w:val="24"/>
        </w:rPr>
      </w:pPr>
    </w:p>
    <w:p w:rsidR="00213338" w:rsidRPr="00213338" w:rsidRDefault="00E93C2A" w:rsidP="00E93C2A">
      <w:pPr>
        <w:pStyle w:val="ListParagraph"/>
        <w:numPr>
          <w:ilvl w:val="0"/>
          <w:numId w:val="3"/>
        </w:numPr>
        <w:spacing w:after="120" w:line="240" w:lineRule="auto"/>
        <w:ind w:left="1134" w:hanging="425"/>
        <w:jc w:val="both"/>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W</w:t>
      </w:r>
      <w:r w:rsidR="00213338" w:rsidRPr="00213338">
        <w:rPr>
          <w:rFonts w:ascii="Times New Roman" w:eastAsia="Calibri" w:hAnsi="Times New Roman" w:cs="Times New Roman"/>
          <w:color w:val="000000"/>
          <w:sz w:val="24"/>
          <w:lang w:eastAsia="en-US"/>
        </w:rPr>
        <w:t xml:space="preserve">hile Australia’s food labelling and consumer protection laws go some way to address </w:t>
      </w:r>
      <w:r>
        <w:rPr>
          <w:rFonts w:ascii="Times New Roman" w:eastAsia="Calibri" w:hAnsi="Times New Roman" w:cs="Times New Roman"/>
          <w:color w:val="000000"/>
          <w:sz w:val="24"/>
          <w:lang w:eastAsia="en-US"/>
        </w:rPr>
        <w:t>the problem of misleading and deceptive trade marks</w:t>
      </w:r>
      <w:r w:rsidR="00213338" w:rsidRPr="00213338">
        <w:rPr>
          <w:rFonts w:ascii="Times New Roman" w:eastAsia="Calibri" w:hAnsi="Times New Roman" w:cs="Times New Roman"/>
          <w:color w:val="000000"/>
          <w:sz w:val="24"/>
          <w:lang w:eastAsia="en-US"/>
        </w:rPr>
        <w:t>, ‘healthy’ trade marks have been overlooked. This is despite that fact that, in 2011, the ‘Labelling Logic’ report called for closer scrutiny of trade marks that infer health implications;</w:t>
      </w:r>
      <w:r w:rsidR="00213338" w:rsidRPr="0098324B">
        <w:rPr>
          <w:szCs w:val="24"/>
          <w:vertAlign w:val="superscript"/>
          <w:lang w:eastAsia="en-US"/>
        </w:rPr>
        <w:footnoteReference w:id="1"/>
      </w:r>
    </w:p>
    <w:p w:rsidR="00213338" w:rsidRPr="00213338" w:rsidRDefault="00213338" w:rsidP="00E93C2A">
      <w:pPr>
        <w:pStyle w:val="ListParagraph"/>
        <w:numPr>
          <w:ilvl w:val="0"/>
          <w:numId w:val="3"/>
        </w:numPr>
        <w:spacing w:after="120" w:line="240" w:lineRule="auto"/>
        <w:ind w:left="1134" w:hanging="425"/>
        <w:jc w:val="both"/>
        <w:rPr>
          <w:rFonts w:ascii="Times New Roman" w:eastAsia="Calibri" w:hAnsi="Times New Roman" w:cs="Times New Roman"/>
          <w:color w:val="000000"/>
          <w:sz w:val="24"/>
          <w:lang w:eastAsia="en-US"/>
        </w:rPr>
      </w:pPr>
      <w:r w:rsidRPr="00213338">
        <w:rPr>
          <w:rFonts w:ascii="Times New Roman" w:eastAsia="Calibri" w:hAnsi="Times New Roman" w:cs="Times New Roman"/>
          <w:color w:val="000000"/>
          <w:sz w:val="24"/>
          <w:lang w:eastAsia="en-US"/>
        </w:rPr>
        <w:t xml:space="preserve">The presumption of registrability has consequences for the way in which proposed ‘healthy’ </w:t>
      </w:r>
      <w:proofErr w:type="spellStart"/>
      <w:r w:rsidRPr="00213338">
        <w:rPr>
          <w:rFonts w:ascii="Times New Roman" w:eastAsia="Calibri" w:hAnsi="Times New Roman" w:cs="Times New Roman"/>
          <w:color w:val="000000"/>
          <w:sz w:val="24"/>
          <w:lang w:eastAsia="en-US"/>
        </w:rPr>
        <w:t>trade marks</w:t>
      </w:r>
      <w:proofErr w:type="spellEnd"/>
      <w:r w:rsidRPr="00213338">
        <w:rPr>
          <w:rFonts w:ascii="Times New Roman" w:eastAsia="Calibri" w:hAnsi="Times New Roman" w:cs="Times New Roman"/>
          <w:color w:val="000000"/>
          <w:sz w:val="24"/>
          <w:lang w:eastAsia="en-US"/>
        </w:rPr>
        <w:t xml:space="preserve"> are examined.</w:t>
      </w:r>
      <w:r w:rsidRPr="0098324B">
        <w:rPr>
          <w:szCs w:val="24"/>
          <w:vertAlign w:val="superscript"/>
          <w:lang w:eastAsia="en-US"/>
        </w:rPr>
        <w:footnoteReference w:id="2"/>
      </w:r>
      <w:r w:rsidRPr="00213338">
        <w:rPr>
          <w:rFonts w:ascii="Times New Roman" w:eastAsia="Calibri" w:hAnsi="Times New Roman" w:cs="Times New Roman"/>
          <w:color w:val="000000"/>
          <w:sz w:val="24"/>
          <w:lang w:eastAsia="en-US"/>
        </w:rPr>
        <w:t xml:space="preserve"> At the initial stage of examination, the applicant is not required to justify that the ‘healthy’ trade mark is registrable. Rather, the onus is on the Registrar to demonstrate that there are grounds to reject the ‘healthy’ trade mark. This means that a ‘healthy’ trade mark will be accepted by the Registrar unless the application has not been made in accordance with the </w:t>
      </w:r>
      <w:r w:rsidRPr="00213338">
        <w:rPr>
          <w:rFonts w:ascii="Times New Roman" w:eastAsia="Calibri" w:hAnsi="Times New Roman" w:cs="Times New Roman"/>
          <w:color w:val="000000"/>
          <w:sz w:val="24"/>
          <w:lang w:eastAsia="en-US"/>
        </w:rPr>
        <w:lastRenderedPageBreak/>
        <w:t xml:space="preserve">Act or there are clear grounds for rejecting the applicant’s mark. As a consequence, ‘healthy’ </w:t>
      </w:r>
      <w:proofErr w:type="spellStart"/>
      <w:r w:rsidRPr="00213338">
        <w:rPr>
          <w:rFonts w:ascii="Times New Roman" w:eastAsia="Calibri" w:hAnsi="Times New Roman" w:cs="Times New Roman"/>
          <w:color w:val="000000"/>
          <w:sz w:val="24"/>
          <w:lang w:eastAsia="en-US"/>
        </w:rPr>
        <w:t>trade marks</w:t>
      </w:r>
      <w:proofErr w:type="spellEnd"/>
      <w:r w:rsidRPr="00213338">
        <w:rPr>
          <w:rFonts w:ascii="Times New Roman" w:eastAsia="Calibri" w:hAnsi="Times New Roman" w:cs="Times New Roman"/>
          <w:color w:val="000000"/>
          <w:sz w:val="24"/>
          <w:lang w:eastAsia="en-US"/>
        </w:rPr>
        <w:t xml:space="preserve"> are not given the scrutiny required to assess unsubstantiated, exaggerated or misleading claims. For example, ‘healthy’ trade mark applications are not examined by the ATMO for their nutritional content or healthiness. It is, therefore, unlikely that</w:t>
      </w:r>
      <w:r w:rsidR="00E93C2A">
        <w:rPr>
          <w:rFonts w:ascii="Times New Roman" w:eastAsia="Calibri" w:hAnsi="Times New Roman" w:cs="Times New Roman"/>
          <w:color w:val="000000"/>
          <w:sz w:val="24"/>
          <w:lang w:eastAsia="en-US"/>
        </w:rPr>
        <w:t xml:space="preserve"> misleading or deceptive</w:t>
      </w:r>
      <w:r w:rsidRPr="00213338">
        <w:rPr>
          <w:rFonts w:ascii="Times New Roman" w:eastAsia="Calibri" w:hAnsi="Times New Roman" w:cs="Times New Roman"/>
          <w:color w:val="000000"/>
          <w:sz w:val="24"/>
          <w:lang w:eastAsia="en-US"/>
        </w:rPr>
        <w:t xml:space="preserve"> ‘healthy’ trade marks will be rejected at the examination stage;</w:t>
      </w:r>
    </w:p>
    <w:p w:rsidR="00213338" w:rsidRPr="00213338" w:rsidRDefault="00213338" w:rsidP="00E93C2A">
      <w:pPr>
        <w:pStyle w:val="ListParagraph"/>
        <w:numPr>
          <w:ilvl w:val="0"/>
          <w:numId w:val="3"/>
        </w:numPr>
        <w:spacing w:after="120" w:line="240" w:lineRule="auto"/>
        <w:ind w:left="1134" w:hanging="425"/>
        <w:jc w:val="both"/>
        <w:rPr>
          <w:rFonts w:ascii="Times New Roman" w:eastAsia="Calibri" w:hAnsi="Times New Roman" w:cs="Times New Roman"/>
          <w:color w:val="000000"/>
          <w:sz w:val="24"/>
          <w:lang w:eastAsia="en-US"/>
        </w:rPr>
      </w:pPr>
      <w:r w:rsidRPr="00213338">
        <w:rPr>
          <w:rFonts w:ascii="Times New Roman" w:eastAsia="Calibri" w:hAnsi="Times New Roman" w:cs="Times New Roman"/>
          <w:color w:val="000000"/>
          <w:sz w:val="24"/>
          <w:lang w:eastAsia="en-US"/>
        </w:rPr>
        <w:t>Trade marks can be used to indicate something about the qualities or characteristics of food, or suggest something about the way in which the food is manufactured or produced. Trade marks, therefore, can influence the behaviour of consumers;</w:t>
      </w:r>
      <w:r w:rsidRPr="00581C05">
        <w:rPr>
          <w:rFonts w:ascii="Times New Roman" w:eastAsia="Calibri" w:hAnsi="Times New Roman" w:cs="Times New Roman"/>
          <w:color w:val="000000"/>
          <w:sz w:val="24"/>
          <w:vertAlign w:val="superscript"/>
          <w:lang w:eastAsia="en-US"/>
        </w:rPr>
        <w:footnoteReference w:id="3"/>
      </w:r>
      <w:r w:rsidRPr="00213338">
        <w:rPr>
          <w:rFonts w:ascii="Times New Roman" w:eastAsia="Calibri" w:hAnsi="Times New Roman" w:cs="Times New Roman"/>
          <w:color w:val="000000"/>
          <w:sz w:val="24"/>
          <w:lang w:eastAsia="en-US"/>
        </w:rPr>
        <w:t xml:space="preserve"> </w:t>
      </w:r>
    </w:p>
    <w:p w:rsidR="00213338" w:rsidRDefault="0098324B" w:rsidP="00213338">
      <w:pPr>
        <w:pStyle w:val="ListParagraph"/>
        <w:numPr>
          <w:ilvl w:val="0"/>
          <w:numId w:val="3"/>
        </w:numPr>
        <w:spacing w:after="0" w:line="240" w:lineRule="auto"/>
        <w:ind w:left="1134" w:hanging="425"/>
        <w:jc w:val="both"/>
        <w:rPr>
          <w:rFonts w:ascii="Times New Roman" w:eastAsia="Calibri" w:hAnsi="Times New Roman" w:cs="Times New Roman"/>
          <w:color w:val="000000"/>
          <w:sz w:val="24"/>
          <w:lang w:eastAsia="en-US"/>
        </w:rPr>
      </w:pPr>
      <w:r w:rsidRPr="00213338">
        <w:rPr>
          <w:rFonts w:ascii="Times New Roman" w:eastAsia="Calibri" w:hAnsi="Times New Roman" w:cs="Times New Roman"/>
          <w:color w:val="000000"/>
          <w:sz w:val="24"/>
          <w:lang w:eastAsia="en-US"/>
        </w:rPr>
        <w:t xml:space="preserve">While the registration of ‘healthy’ trade marks is not a problem per se, if health claims are unsubstantiated, exaggerated or misleading, then ‘healthy’ marks have the potential to harm consumers. </w:t>
      </w:r>
      <w:r w:rsidR="00E93C2A">
        <w:rPr>
          <w:rFonts w:ascii="Times New Roman" w:eastAsia="Calibri" w:hAnsi="Times New Roman" w:cs="Times New Roman"/>
          <w:color w:val="000000"/>
          <w:sz w:val="24"/>
          <w:lang w:eastAsia="en-US"/>
        </w:rPr>
        <w:t>The</w:t>
      </w:r>
      <w:r w:rsidRPr="00213338">
        <w:rPr>
          <w:rFonts w:ascii="Times New Roman" w:eastAsia="Calibri" w:hAnsi="Times New Roman" w:cs="Times New Roman"/>
          <w:color w:val="000000"/>
          <w:sz w:val="24"/>
          <w:lang w:eastAsia="en-US"/>
        </w:rPr>
        <w:t xml:space="preserve"> Australian consumer group CHOICE, in 2012, published a review of various food products that carry ‘healthy’ trade marks.</w:t>
      </w:r>
      <w:r w:rsidRPr="0098324B">
        <w:rPr>
          <w:rFonts w:ascii="Times New Roman" w:eastAsia="Calibri" w:hAnsi="Times New Roman" w:cs="Times New Roman"/>
          <w:color w:val="000000"/>
          <w:vertAlign w:val="superscript"/>
          <w:lang w:eastAsia="en-US"/>
        </w:rPr>
        <w:footnoteReference w:id="4"/>
      </w:r>
      <w:r w:rsidRPr="00213338">
        <w:rPr>
          <w:rFonts w:ascii="Times New Roman" w:eastAsia="Calibri" w:hAnsi="Times New Roman" w:cs="Times New Roman"/>
          <w:color w:val="000000"/>
          <w:sz w:val="24"/>
          <w:lang w:eastAsia="en-US"/>
        </w:rPr>
        <w:t xml:space="preserve"> In finding that approximately half of those products reviewed were high in unhealthy ingredients, CHOICE acknowledged that food labelling and consumer protection laws prohibit health claims that might mislead consumers. According to CHOICE, however, Australian trade mark law contributes to consumer confusion and misinformation because it allows the registration and use of ‘healthy’ trade marks – such as ‘healthy’, ‘natural’ and ‘fresh’ – on products that have questionable health benefits at best, or detrimental effects on health at worst. Referring to the use of ‘healthy’ </w:t>
      </w:r>
      <w:proofErr w:type="spellStart"/>
      <w:r w:rsidRPr="00213338">
        <w:rPr>
          <w:rFonts w:ascii="Times New Roman" w:eastAsia="Calibri" w:hAnsi="Times New Roman" w:cs="Times New Roman"/>
          <w:color w:val="000000"/>
          <w:sz w:val="24"/>
          <w:lang w:eastAsia="en-US"/>
        </w:rPr>
        <w:t>trade marks</w:t>
      </w:r>
      <w:proofErr w:type="spellEnd"/>
      <w:r w:rsidRPr="00213338">
        <w:rPr>
          <w:rFonts w:ascii="Times New Roman" w:eastAsia="Calibri" w:hAnsi="Times New Roman" w:cs="Times New Roman"/>
          <w:color w:val="000000"/>
          <w:sz w:val="24"/>
          <w:lang w:eastAsia="en-US"/>
        </w:rPr>
        <w:t>, and an earlier study conducted by the George Institute, the CHOICE report states:</w:t>
      </w:r>
    </w:p>
    <w:p w:rsidR="00213338" w:rsidRDefault="00213338" w:rsidP="00213338">
      <w:pPr>
        <w:spacing w:after="0" w:line="240" w:lineRule="auto"/>
        <w:ind w:left="1134" w:hanging="425"/>
        <w:jc w:val="both"/>
        <w:rPr>
          <w:rFonts w:ascii="Times New Roman" w:eastAsia="Calibri" w:hAnsi="Times New Roman" w:cs="Times New Roman"/>
          <w:color w:val="000000"/>
          <w:sz w:val="24"/>
          <w:lang w:eastAsia="en-US"/>
        </w:rPr>
      </w:pPr>
    </w:p>
    <w:p w:rsidR="00213338" w:rsidRPr="0098324B" w:rsidRDefault="00213338" w:rsidP="00213338">
      <w:pPr>
        <w:spacing w:after="0" w:line="240" w:lineRule="auto"/>
        <w:ind w:left="1440"/>
        <w:jc w:val="both"/>
        <w:rPr>
          <w:rFonts w:ascii="Times New Roman" w:eastAsia="Calibri" w:hAnsi="Times New Roman" w:cs="Times New Roman"/>
          <w:color w:val="000000"/>
        </w:rPr>
      </w:pPr>
      <w:r w:rsidRPr="0098324B">
        <w:rPr>
          <w:rFonts w:ascii="Times New Roman" w:eastAsia="Calibri" w:hAnsi="Times New Roman" w:cs="Times New Roman"/>
          <w:color w:val="000000"/>
        </w:rPr>
        <w:t>Many products you’ll find in the supermarket have connotations of being ‘natural’ by virtue of their trademarked brand names – for example, All Natural, Be Natural, Go Natural, Nice &amp; Natural. The George Institute for Global Health’s database lists close to 1300 products and brands that use the word ‘natural’ in their product name or package marketing – but in many cases the ingredients are far from it.</w:t>
      </w:r>
    </w:p>
    <w:p w:rsidR="00213338" w:rsidRPr="0098324B" w:rsidRDefault="00213338" w:rsidP="00213338">
      <w:pPr>
        <w:spacing w:after="0" w:line="240" w:lineRule="auto"/>
        <w:ind w:left="1134" w:hanging="425"/>
        <w:jc w:val="both"/>
        <w:rPr>
          <w:rFonts w:ascii="Times New Roman" w:eastAsia="Calibri" w:hAnsi="Times New Roman" w:cs="Times New Roman"/>
          <w:color w:val="000000"/>
        </w:rPr>
      </w:pPr>
    </w:p>
    <w:p w:rsidR="00213338" w:rsidRPr="0098324B" w:rsidRDefault="00213338" w:rsidP="00213338">
      <w:pPr>
        <w:spacing w:after="0" w:line="240" w:lineRule="auto"/>
        <w:ind w:left="1440"/>
        <w:jc w:val="both"/>
        <w:rPr>
          <w:rFonts w:ascii="Times New Roman" w:eastAsia="Times New Roman" w:hAnsi="Times New Roman" w:cs="Times New Roman"/>
          <w:color w:val="000000"/>
        </w:rPr>
      </w:pPr>
      <w:r w:rsidRPr="0098324B">
        <w:rPr>
          <w:rFonts w:ascii="Times New Roman" w:eastAsia="Calibri" w:hAnsi="Times New Roman" w:cs="Times New Roman"/>
          <w:color w:val="000000"/>
        </w:rPr>
        <w:t>A ‘natural’ trademarked product might actually contain additives such as preservatives, and while others may be technically natural, they can still be laden with sodium and saturated fats.</w:t>
      </w:r>
      <w:r w:rsidRPr="0098324B">
        <w:rPr>
          <w:rFonts w:ascii="Times New Roman" w:eastAsia="Times New Roman" w:hAnsi="Times New Roman" w:cs="Times New Roman"/>
          <w:color w:val="000000"/>
          <w:sz w:val="24"/>
          <w:szCs w:val="24"/>
          <w:vertAlign w:val="superscript"/>
        </w:rPr>
        <w:footnoteReference w:id="5"/>
      </w:r>
    </w:p>
    <w:p w:rsidR="00213338" w:rsidRPr="00213338" w:rsidRDefault="00213338" w:rsidP="00213338">
      <w:pPr>
        <w:spacing w:after="0" w:line="240" w:lineRule="auto"/>
        <w:ind w:left="1134" w:hanging="425"/>
        <w:jc w:val="both"/>
        <w:rPr>
          <w:rFonts w:ascii="Times New Roman" w:eastAsia="Calibri" w:hAnsi="Times New Roman" w:cs="Times New Roman"/>
          <w:color w:val="000000"/>
          <w:sz w:val="24"/>
          <w:lang w:eastAsia="en-US"/>
        </w:rPr>
      </w:pPr>
    </w:p>
    <w:p w:rsidR="00213338" w:rsidRDefault="0098324B" w:rsidP="00213338">
      <w:pPr>
        <w:pStyle w:val="ListParagraph"/>
        <w:numPr>
          <w:ilvl w:val="0"/>
          <w:numId w:val="3"/>
        </w:numPr>
        <w:spacing w:after="0" w:line="240" w:lineRule="auto"/>
        <w:ind w:left="1134" w:hanging="425"/>
        <w:jc w:val="both"/>
        <w:rPr>
          <w:rFonts w:ascii="Times New Roman" w:eastAsia="Calibri" w:hAnsi="Times New Roman" w:cs="Times New Roman"/>
          <w:color w:val="000000"/>
          <w:sz w:val="24"/>
          <w:lang w:eastAsia="en-US"/>
        </w:rPr>
      </w:pPr>
      <w:r w:rsidRPr="00213338">
        <w:rPr>
          <w:rFonts w:ascii="Times New Roman" w:eastAsia="Calibri" w:hAnsi="Times New Roman" w:cs="Times New Roman"/>
          <w:color w:val="000000"/>
          <w:sz w:val="24"/>
          <w:lang w:eastAsia="en-US"/>
        </w:rPr>
        <w:t xml:space="preserve">Because ‘healthy’ </w:t>
      </w:r>
      <w:proofErr w:type="spellStart"/>
      <w:r w:rsidRPr="00213338">
        <w:rPr>
          <w:rFonts w:ascii="Times New Roman" w:eastAsia="Calibri" w:hAnsi="Times New Roman" w:cs="Times New Roman"/>
          <w:color w:val="000000"/>
          <w:sz w:val="24"/>
          <w:lang w:eastAsia="en-US"/>
        </w:rPr>
        <w:t>trade marks</w:t>
      </w:r>
      <w:proofErr w:type="spellEnd"/>
      <w:r w:rsidRPr="00213338">
        <w:rPr>
          <w:rFonts w:ascii="Times New Roman" w:eastAsia="Calibri" w:hAnsi="Times New Roman" w:cs="Times New Roman"/>
          <w:color w:val="000000"/>
          <w:sz w:val="24"/>
          <w:lang w:eastAsia="en-US"/>
        </w:rPr>
        <w:t xml:space="preserve"> are cues for fast and intuitive food choice decisions, words like ‘natural’, ‘healthy’ and ‘fresh’ act as shortcuts or heuristics, and provide simple processing cues of health or nutritional information.</w:t>
      </w:r>
      <w:r w:rsidRPr="0098324B">
        <w:rPr>
          <w:szCs w:val="24"/>
          <w:vertAlign w:val="superscript"/>
          <w:lang w:eastAsia="en-US"/>
        </w:rPr>
        <w:footnoteReference w:id="6"/>
      </w:r>
      <w:r w:rsidRPr="00213338">
        <w:rPr>
          <w:rFonts w:ascii="Times New Roman" w:eastAsia="Calibri" w:hAnsi="Times New Roman" w:cs="Times New Roman"/>
          <w:color w:val="000000"/>
          <w:sz w:val="24"/>
          <w:lang w:eastAsia="en-US"/>
        </w:rPr>
        <w:t xml:space="preserve"> The effect of ‘healthy’ trade marks is perhaps exacerbated by the fact that people’s </w:t>
      </w:r>
      <w:r w:rsidRPr="00213338">
        <w:rPr>
          <w:rFonts w:ascii="Times New Roman" w:eastAsia="Calibri" w:hAnsi="Times New Roman" w:cs="Times New Roman"/>
          <w:color w:val="000000"/>
          <w:sz w:val="24"/>
          <w:lang w:eastAsia="en-US"/>
        </w:rPr>
        <w:lastRenderedPageBreak/>
        <w:t>natural tendency is to create binary opposites, and to categorise food as either good or bad, healthy or unhealthy, natural or artificial.</w:t>
      </w:r>
      <w:r w:rsidRPr="0098324B">
        <w:rPr>
          <w:szCs w:val="24"/>
          <w:vertAlign w:val="superscript"/>
          <w:lang w:eastAsia="en-US"/>
        </w:rPr>
        <w:footnoteReference w:id="7"/>
      </w:r>
      <w:r w:rsidRPr="00213338">
        <w:rPr>
          <w:rFonts w:ascii="Times New Roman" w:eastAsia="Calibri" w:hAnsi="Times New Roman" w:cs="Times New Roman"/>
          <w:color w:val="000000"/>
          <w:sz w:val="24"/>
          <w:lang w:eastAsia="en-US"/>
        </w:rPr>
        <w:t xml:space="preserve"> Research has shown, for example, that when choosing foods in the face of complex and confusing information, consumers will adapt information on the label to fit within decision frameworks that are familiar to them.</w:t>
      </w:r>
      <w:r w:rsidRPr="0098324B">
        <w:rPr>
          <w:szCs w:val="24"/>
          <w:vertAlign w:val="superscript"/>
          <w:lang w:eastAsia="en-US"/>
        </w:rPr>
        <w:footnoteReference w:id="8"/>
      </w:r>
      <w:r w:rsidRPr="00213338">
        <w:rPr>
          <w:rFonts w:ascii="Times New Roman" w:eastAsia="Calibri" w:hAnsi="Times New Roman" w:cs="Times New Roman"/>
          <w:color w:val="000000"/>
          <w:sz w:val="24"/>
          <w:lang w:eastAsia="en-US"/>
        </w:rPr>
        <w:t xml:space="preserve"> Thus, while easy-to-understand information about the health and nutritional values of food may be missing, or is found in the nutritional tables on the back of the food packet, it is the front-of-package information that plays a central role in consumers’ decision-making processes. This is particularly true for health-conscious consumers who notice and are influenced by front-of-package information </w:t>
      </w:r>
      <w:r w:rsidR="00213338">
        <w:rPr>
          <w:rFonts w:ascii="Times New Roman" w:eastAsia="Calibri" w:hAnsi="Times New Roman" w:cs="Times New Roman"/>
          <w:color w:val="000000"/>
          <w:sz w:val="24"/>
          <w:lang w:eastAsia="en-US"/>
        </w:rPr>
        <w:t xml:space="preserve">including ‘healthy’ </w:t>
      </w:r>
      <w:proofErr w:type="spellStart"/>
      <w:r w:rsidR="00213338">
        <w:rPr>
          <w:rFonts w:ascii="Times New Roman" w:eastAsia="Calibri" w:hAnsi="Times New Roman" w:cs="Times New Roman"/>
          <w:color w:val="000000"/>
          <w:sz w:val="24"/>
          <w:lang w:eastAsia="en-US"/>
        </w:rPr>
        <w:t>trade marks</w:t>
      </w:r>
      <w:proofErr w:type="spellEnd"/>
      <w:r w:rsidR="00213338">
        <w:rPr>
          <w:rFonts w:ascii="Times New Roman" w:eastAsia="Calibri" w:hAnsi="Times New Roman" w:cs="Times New Roman"/>
          <w:color w:val="000000"/>
          <w:sz w:val="24"/>
          <w:lang w:eastAsia="en-US"/>
        </w:rPr>
        <w:t>;</w:t>
      </w:r>
      <w:r w:rsidRPr="0098324B">
        <w:rPr>
          <w:szCs w:val="24"/>
          <w:vertAlign w:val="superscript"/>
          <w:lang w:eastAsia="en-US"/>
        </w:rPr>
        <w:footnoteReference w:id="9"/>
      </w:r>
    </w:p>
    <w:p w:rsidR="00F3439E" w:rsidRPr="00213338" w:rsidRDefault="00213338" w:rsidP="00213338">
      <w:pPr>
        <w:pStyle w:val="ListParagraph"/>
        <w:numPr>
          <w:ilvl w:val="0"/>
          <w:numId w:val="3"/>
        </w:numPr>
        <w:spacing w:after="0" w:line="240" w:lineRule="auto"/>
        <w:ind w:left="1134" w:hanging="425"/>
        <w:jc w:val="both"/>
        <w:rPr>
          <w:rFonts w:ascii="Times New Roman" w:hAnsi="Times New Roman" w:cs="Times New Roman"/>
          <w:sz w:val="24"/>
          <w:szCs w:val="24"/>
        </w:rPr>
      </w:pPr>
      <w:r w:rsidRPr="00213338">
        <w:rPr>
          <w:rFonts w:ascii="Times New Roman" w:eastAsia="Calibri" w:hAnsi="Times New Roman" w:cs="Times New Roman"/>
          <w:color w:val="000000"/>
          <w:sz w:val="24"/>
          <w:lang w:eastAsia="en-US"/>
        </w:rPr>
        <w:t>S</w:t>
      </w:r>
      <w:r w:rsidR="0098324B" w:rsidRPr="00213338">
        <w:rPr>
          <w:rFonts w:ascii="Times New Roman" w:eastAsia="Calibri" w:hAnsi="Times New Roman" w:cs="Times New Roman"/>
          <w:color w:val="000000"/>
          <w:sz w:val="24"/>
          <w:lang w:eastAsia="en-US"/>
        </w:rPr>
        <w:t xml:space="preserve">tudies indicate that </w:t>
      </w:r>
      <w:r w:rsidRPr="00213338">
        <w:rPr>
          <w:rFonts w:ascii="Times New Roman" w:eastAsia="Calibri" w:hAnsi="Times New Roman" w:cs="Times New Roman"/>
          <w:color w:val="000000"/>
          <w:sz w:val="24"/>
          <w:lang w:eastAsia="en-US"/>
        </w:rPr>
        <w:t xml:space="preserve">misleading or deceptive </w:t>
      </w:r>
      <w:r w:rsidR="0098324B" w:rsidRPr="00213338">
        <w:rPr>
          <w:rFonts w:ascii="Times New Roman" w:eastAsia="Calibri" w:hAnsi="Times New Roman" w:cs="Times New Roman"/>
          <w:color w:val="000000"/>
          <w:sz w:val="24"/>
          <w:lang w:eastAsia="en-US"/>
        </w:rPr>
        <w:t xml:space="preserve">‘healthy’ trade marks can influence consumers’ perceptions of healthiness, as well as their choice and consumption of food. This means that </w:t>
      </w:r>
      <w:r w:rsidR="00E93C2A">
        <w:rPr>
          <w:rFonts w:ascii="Times New Roman" w:eastAsia="Calibri" w:hAnsi="Times New Roman" w:cs="Times New Roman"/>
          <w:color w:val="000000"/>
          <w:sz w:val="24"/>
          <w:lang w:eastAsia="en-US"/>
        </w:rPr>
        <w:t xml:space="preserve">misleading or deceptive </w:t>
      </w:r>
      <w:r w:rsidR="0098324B" w:rsidRPr="00213338">
        <w:rPr>
          <w:rFonts w:ascii="Times New Roman" w:eastAsia="Calibri" w:hAnsi="Times New Roman" w:cs="Times New Roman"/>
          <w:color w:val="000000"/>
          <w:sz w:val="24"/>
          <w:lang w:eastAsia="en-US"/>
        </w:rPr>
        <w:t xml:space="preserve">‘healthy’ </w:t>
      </w:r>
      <w:proofErr w:type="spellStart"/>
      <w:r w:rsidR="0098324B" w:rsidRPr="00213338">
        <w:rPr>
          <w:rFonts w:ascii="Times New Roman" w:eastAsia="Calibri" w:hAnsi="Times New Roman" w:cs="Times New Roman"/>
          <w:color w:val="000000"/>
          <w:sz w:val="24"/>
          <w:lang w:eastAsia="en-US"/>
        </w:rPr>
        <w:t>trade marks</w:t>
      </w:r>
      <w:proofErr w:type="spellEnd"/>
      <w:r w:rsidR="0098324B" w:rsidRPr="00213338">
        <w:rPr>
          <w:rFonts w:ascii="Times New Roman" w:eastAsia="Calibri" w:hAnsi="Times New Roman" w:cs="Times New Roman"/>
          <w:color w:val="000000"/>
          <w:sz w:val="24"/>
          <w:lang w:eastAsia="en-US"/>
        </w:rPr>
        <w:t xml:space="preserve"> are problematic if food manufacturers and producers misuse them to make unsubstantiated, exaggerated or misleading claims about the health qualities or status of their food products. While the relationship between health claims and sales is not linear or straightforward,</w:t>
      </w:r>
      <w:r w:rsidR="0098324B" w:rsidRPr="0098324B">
        <w:rPr>
          <w:szCs w:val="24"/>
          <w:vertAlign w:val="superscript"/>
          <w:lang w:eastAsia="en-US"/>
        </w:rPr>
        <w:footnoteReference w:id="10"/>
      </w:r>
      <w:r w:rsidR="0098324B" w:rsidRPr="00213338">
        <w:rPr>
          <w:rFonts w:ascii="Times New Roman" w:eastAsia="Calibri" w:hAnsi="Times New Roman" w:cs="Times New Roman"/>
          <w:color w:val="000000"/>
          <w:sz w:val="24"/>
          <w:lang w:eastAsia="en-US"/>
        </w:rPr>
        <w:t xml:space="preserve"> the market for food products with health benefits or properties is growing, and consumers are inclined to pay more for, and purchase and consume more often, foods carrying ‘healthy’ trade marks.</w:t>
      </w:r>
      <w:r w:rsidR="0098324B" w:rsidRPr="0098324B">
        <w:rPr>
          <w:szCs w:val="24"/>
          <w:vertAlign w:val="superscript"/>
          <w:lang w:eastAsia="en-US"/>
        </w:rPr>
        <w:footnoteReference w:id="11"/>
      </w:r>
      <w:r w:rsidR="0098324B" w:rsidRPr="00213338">
        <w:rPr>
          <w:rFonts w:ascii="Times New Roman" w:eastAsia="Calibri" w:hAnsi="Times New Roman" w:cs="Times New Roman"/>
          <w:color w:val="000000"/>
          <w:sz w:val="24"/>
          <w:lang w:eastAsia="en-US"/>
        </w:rPr>
        <w:t xml:space="preserve"> This provides an incentive for food manufacturers to use unsubstantiated, exaggerated or misleading ‘healthy’ trade marks. </w:t>
      </w:r>
    </w:p>
    <w:p w:rsidR="00DD5A8B" w:rsidRDefault="00DD5A8B" w:rsidP="00E348EE">
      <w:pPr>
        <w:pStyle w:val="ListParagraph"/>
        <w:jc w:val="both"/>
        <w:rPr>
          <w:rFonts w:ascii="Times New Roman" w:hAnsi="Times New Roman" w:cs="Times New Roman"/>
          <w:sz w:val="24"/>
          <w:szCs w:val="24"/>
        </w:rPr>
      </w:pPr>
    </w:p>
    <w:p w:rsidR="00DD5A8B" w:rsidRPr="00DD5A8B" w:rsidRDefault="00DD5A8B" w:rsidP="00E348EE">
      <w:pPr>
        <w:pStyle w:val="ListParagraph"/>
        <w:jc w:val="both"/>
        <w:rPr>
          <w:rFonts w:ascii="Times New Roman" w:hAnsi="Times New Roman" w:cs="Times New Roman"/>
          <w:sz w:val="24"/>
          <w:szCs w:val="24"/>
        </w:rPr>
      </w:pPr>
    </w:p>
    <w:p w:rsidR="00DD5A8B" w:rsidRPr="00DD5A8B" w:rsidRDefault="00DD5A8B" w:rsidP="00E348EE">
      <w:pPr>
        <w:pStyle w:val="ListParagraph"/>
        <w:numPr>
          <w:ilvl w:val="0"/>
          <w:numId w:val="2"/>
        </w:numPr>
        <w:jc w:val="both"/>
        <w:rPr>
          <w:rFonts w:ascii="Times New Roman" w:hAnsi="Times New Roman" w:cs="Times New Roman"/>
          <w:b/>
          <w:sz w:val="24"/>
          <w:szCs w:val="24"/>
        </w:rPr>
      </w:pPr>
      <w:r w:rsidRPr="00DD5A8B">
        <w:rPr>
          <w:rFonts w:ascii="Times New Roman" w:hAnsi="Times New Roman" w:cs="Times New Roman"/>
          <w:b/>
          <w:sz w:val="24"/>
          <w:szCs w:val="24"/>
        </w:rPr>
        <w:t xml:space="preserve">The Australian Government should proceed without delay to implement the Advisory Council on Intellectual Property 2010 recommendation to amend the </w:t>
      </w:r>
      <w:r w:rsidRPr="00BE6813">
        <w:rPr>
          <w:rFonts w:ascii="Times New Roman" w:hAnsi="Times New Roman" w:cs="Times New Roman"/>
          <w:b/>
          <w:i/>
          <w:sz w:val="24"/>
          <w:szCs w:val="24"/>
        </w:rPr>
        <w:t>Plant Breeder’s Rights Act 1994</w:t>
      </w:r>
      <w:r w:rsidRPr="00DD5A8B">
        <w:rPr>
          <w:rFonts w:ascii="Times New Roman" w:hAnsi="Times New Roman" w:cs="Times New Roman"/>
          <w:b/>
          <w:sz w:val="24"/>
          <w:szCs w:val="24"/>
        </w:rPr>
        <w:t xml:space="preserve"> (</w:t>
      </w:r>
      <w:proofErr w:type="spellStart"/>
      <w:r w:rsidRPr="00DD5A8B">
        <w:rPr>
          <w:rFonts w:ascii="Times New Roman" w:hAnsi="Times New Roman" w:cs="Times New Roman"/>
          <w:b/>
          <w:sz w:val="24"/>
          <w:szCs w:val="24"/>
        </w:rPr>
        <w:t>Cth</w:t>
      </w:r>
      <w:proofErr w:type="spellEnd"/>
      <w:r w:rsidRPr="00DD5A8B">
        <w:rPr>
          <w:rFonts w:ascii="Times New Roman" w:hAnsi="Times New Roman" w:cs="Times New Roman"/>
          <w:b/>
          <w:sz w:val="24"/>
          <w:szCs w:val="24"/>
        </w:rPr>
        <w:t>) to enable essentially derived variety declarations to be made in respect of any variety (draft recommendation 12.1)</w:t>
      </w:r>
    </w:p>
    <w:p w:rsidR="00E348EE" w:rsidRDefault="002919C3" w:rsidP="00E348EE">
      <w:pPr>
        <w:ind w:left="720"/>
        <w:jc w:val="both"/>
        <w:rPr>
          <w:rFonts w:ascii="Times New Roman" w:hAnsi="Times New Roman" w:cs="Times New Roman"/>
          <w:sz w:val="24"/>
          <w:szCs w:val="24"/>
        </w:rPr>
      </w:pPr>
      <w:r>
        <w:rPr>
          <w:rFonts w:ascii="Times New Roman" w:hAnsi="Times New Roman" w:cs="Times New Roman"/>
          <w:sz w:val="24"/>
          <w:szCs w:val="24"/>
        </w:rPr>
        <w:t>There are a number of potential issues with extending</w:t>
      </w:r>
      <w:r w:rsidR="00E348EE">
        <w:rPr>
          <w:rFonts w:ascii="Times New Roman" w:hAnsi="Times New Roman" w:cs="Times New Roman"/>
          <w:sz w:val="24"/>
          <w:szCs w:val="24"/>
        </w:rPr>
        <w:t xml:space="preserve"> </w:t>
      </w:r>
      <w:r>
        <w:rPr>
          <w:rFonts w:ascii="Times New Roman" w:hAnsi="Times New Roman" w:cs="Times New Roman"/>
          <w:sz w:val="24"/>
          <w:szCs w:val="24"/>
        </w:rPr>
        <w:t xml:space="preserve">EDV declarations to any variety, whether </w:t>
      </w:r>
      <w:r w:rsidR="00E348EE">
        <w:rPr>
          <w:rFonts w:ascii="Times New Roman" w:hAnsi="Times New Roman" w:cs="Times New Roman"/>
          <w:sz w:val="24"/>
          <w:szCs w:val="24"/>
        </w:rPr>
        <w:t>protected by plant breeder’</w:t>
      </w:r>
      <w:r>
        <w:rPr>
          <w:rFonts w:ascii="Times New Roman" w:hAnsi="Times New Roman" w:cs="Times New Roman"/>
          <w:sz w:val="24"/>
          <w:szCs w:val="24"/>
        </w:rPr>
        <w:t>s rights or not</w:t>
      </w:r>
      <w:r w:rsidR="00E348EE">
        <w:rPr>
          <w:rFonts w:ascii="Times New Roman" w:hAnsi="Times New Roman" w:cs="Times New Roman"/>
          <w:sz w:val="24"/>
          <w:szCs w:val="24"/>
        </w:rPr>
        <w:t>.</w:t>
      </w:r>
    </w:p>
    <w:p w:rsidR="00E348EE" w:rsidRDefault="00E348EE" w:rsidP="00E348EE">
      <w:pPr>
        <w:ind w:left="720"/>
        <w:jc w:val="both"/>
        <w:rPr>
          <w:rFonts w:ascii="Times New Roman" w:eastAsia="Times New Roman" w:hAnsi="Times New Roman" w:cs="Times New Roman"/>
          <w:sz w:val="24"/>
          <w:szCs w:val="24"/>
          <w:lang w:eastAsia="en-AU"/>
        </w:rPr>
      </w:pPr>
      <w:r>
        <w:rPr>
          <w:rFonts w:ascii="Times New Roman" w:hAnsi="Times New Roman" w:cs="Times New Roman"/>
          <w:sz w:val="24"/>
          <w:szCs w:val="24"/>
        </w:rPr>
        <w:t>First, the</w:t>
      </w:r>
      <w:r w:rsidR="002919C3">
        <w:rPr>
          <w:rFonts w:ascii="Times New Roman" w:hAnsi="Times New Roman" w:cs="Times New Roman"/>
          <w:sz w:val="24"/>
          <w:szCs w:val="24"/>
        </w:rPr>
        <w:t>re is a question of balancing the interests of plant breeders, users of plant varieties and local/indigenous communities</w:t>
      </w:r>
      <w:r>
        <w:rPr>
          <w:rFonts w:ascii="Times New Roman" w:hAnsi="Times New Roman" w:cs="Times New Roman"/>
          <w:sz w:val="24"/>
          <w:szCs w:val="24"/>
        </w:rPr>
        <w:t>. There is little, if any, evidence that non-PBR</w:t>
      </w:r>
      <w:r w:rsidR="002919C3">
        <w:rPr>
          <w:rFonts w:ascii="Times New Roman" w:hAnsi="Times New Roman" w:cs="Times New Roman"/>
          <w:sz w:val="24"/>
          <w:szCs w:val="24"/>
        </w:rPr>
        <w:t xml:space="preserve"> varieties are being exploited; so </w:t>
      </w:r>
      <w:r w:rsidR="003A609C">
        <w:rPr>
          <w:rFonts w:ascii="Times New Roman" w:hAnsi="Times New Roman" w:cs="Times New Roman"/>
          <w:sz w:val="24"/>
          <w:szCs w:val="24"/>
        </w:rPr>
        <w:t>extending EDV must be done</w:t>
      </w:r>
      <w:r w:rsidR="002919C3">
        <w:rPr>
          <w:rFonts w:ascii="Times New Roman" w:hAnsi="Times New Roman" w:cs="Times New Roman"/>
          <w:sz w:val="24"/>
          <w:szCs w:val="24"/>
        </w:rPr>
        <w:t xml:space="preserve"> cautious</w:t>
      </w:r>
      <w:r w:rsidR="003A609C">
        <w:rPr>
          <w:rFonts w:ascii="Times New Roman" w:hAnsi="Times New Roman" w:cs="Times New Roman"/>
          <w:sz w:val="24"/>
          <w:szCs w:val="24"/>
        </w:rPr>
        <w:t xml:space="preserve">ly and </w:t>
      </w:r>
      <w:r w:rsidR="003A609C">
        <w:rPr>
          <w:rFonts w:ascii="Times New Roman" w:hAnsi="Times New Roman" w:cs="Times New Roman"/>
          <w:sz w:val="24"/>
          <w:szCs w:val="24"/>
        </w:rPr>
        <w:lastRenderedPageBreak/>
        <w:t xml:space="preserve">with consideration of any </w:t>
      </w:r>
      <w:r w:rsidR="002919C3">
        <w:rPr>
          <w:rFonts w:ascii="Times New Roman" w:hAnsi="Times New Roman" w:cs="Times New Roman"/>
          <w:sz w:val="24"/>
          <w:szCs w:val="24"/>
        </w:rPr>
        <w:t xml:space="preserve">unintended consequences. </w:t>
      </w:r>
      <w:r w:rsidRPr="00E348EE">
        <w:rPr>
          <w:rFonts w:ascii="Times New Roman" w:hAnsi="Times New Roman" w:cs="Times New Roman"/>
          <w:sz w:val="24"/>
          <w:szCs w:val="24"/>
        </w:rPr>
        <w:t>Plant breeding is an inc</w:t>
      </w:r>
      <w:r w:rsidR="003A609C">
        <w:rPr>
          <w:rFonts w:ascii="Times New Roman" w:hAnsi="Times New Roman" w:cs="Times New Roman"/>
          <w:sz w:val="24"/>
          <w:szCs w:val="24"/>
        </w:rPr>
        <w:t>remental and iterative process, and p</w:t>
      </w:r>
      <w:r w:rsidRPr="00E348EE">
        <w:rPr>
          <w:rFonts w:ascii="Times New Roman" w:hAnsi="Times New Roman" w:cs="Times New Roman"/>
          <w:sz w:val="24"/>
          <w:szCs w:val="24"/>
        </w:rPr>
        <w:t>lant breeders use and build upon the work of previous plant breeders, and rely on existing plant varieties for the initial source of genetic variation.</w:t>
      </w:r>
      <w:r>
        <w:rPr>
          <w:rFonts w:ascii="Times New Roman" w:hAnsi="Times New Roman" w:cs="Times New Roman"/>
          <w:sz w:val="24"/>
          <w:szCs w:val="24"/>
        </w:rPr>
        <w:t xml:space="preserve"> </w:t>
      </w:r>
      <w:r w:rsidRPr="00E348EE">
        <w:rPr>
          <w:rFonts w:ascii="Times New Roman" w:eastAsia="Times New Roman" w:hAnsi="Times New Roman" w:cs="Times New Roman"/>
          <w:sz w:val="24"/>
          <w:szCs w:val="24"/>
          <w:lang w:eastAsia="en-AU"/>
        </w:rPr>
        <w:t xml:space="preserve">However, the breeder’s exception has, in combination with other provisions of the </w:t>
      </w:r>
      <w:r w:rsidR="003A609C">
        <w:rPr>
          <w:rFonts w:ascii="Times New Roman" w:eastAsia="Times New Roman" w:hAnsi="Times New Roman" w:cs="Times New Roman"/>
          <w:sz w:val="24"/>
          <w:szCs w:val="24"/>
          <w:lang w:eastAsia="en-AU"/>
        </w:rPr>
        <w:t>plant breeder’s rights</w:t>
      </w:r>
      <w:r w:rsidR="00B60884">
        <w:rPr>
          <w:rFonts w:ascii="Times New Roman" w:eastAsia="Times New Roman" w:hAnsi="Times New Roman" w:cs="Times New Roman"/>
          <w:sz w:val="24"/>
          <w:szCs w:val="24"/>
          <w:lang w:eastAsia="en-AU"/>
        </w:rPr>
        <w:t xml:space="preserve"> (</w:t>
      </w:r>
      <w:proofErr w:type="spellStart"/>
      <w:r w:rsidR="00B60884">
        <w:rPr>
          <w:rFonts w:ascii="Times New Roman" w:eastAsia="Times New Roman" w:hAnsi="Times New Roman" w:cs="Times New Roman"/>
          <w:sz w:val="24"/>
          <w:szCs w:val="24"/>
          <w:lang w:eastAsia="en-AU"/>
        </w:rPr>
        <w:t>e.g</w:t>
      </w:r>
      <w:proofErr w:type="spellEnd"/>
      <w:r w:rsidR="00B60884">
        <w:rPr>
          <w:rFonts w:ascii="Times New Roman" w:eastAsia="Times New Roman" w:hAnsi="Times New Roman" w:cs="Times New Roman"/>
          <w:sz w:val="24"/>
          <w:szCs w:val="24"/>
          <w:lang w:eastAsia="en-AU"/>
        </w:rPr>
        <w:t xml:space="preserve"> distinctness)</w:t>
      </w:r>
      <w:r w:rsidRPr="00E348EE">
        <w:rPr>
          <w:rFonts w:ascii="Times New Roman" w:eastAsia="Times New Roman" w:hAnsi="Times New Roman" w:cs="Times New Roman"/>
          <w:sz w:val="24"/>
          <w:szCs w:val="24"/>
          <w:lang w:eastAsia="en-AU"/>
        </w:rPr>
        <w:t xml:space="preserve">, caused troubles for plant </w:t>
      </w:r>
      <w:r w:rsidR="003A609C">
        <w:rPr>
          <w:rFonts w:ascii="Times New Roman" w:eastAsia="Times New Roman" w:hAnsi="Times New Roman" w:cs="Times New Roman"/>
          <w:sz w:val="24"/>
          <w:szCs w:val="24"/>
          <w:lang w:eastAsia="en-AU"/>
        </w:rPr>
        <w:t>breeder’s</w:t>
      </w:r>
      <w:r w:rsidRPr="00E348EE">
        <w:rPr>
          <w:rFonts w:ascii="Times New Roman" w:eastAsia="Times New Roman" w:hAnsi="Times New Roman" w:cs="Times New Roman"/>
          <w:sz w:val="24"/>
          <w:szCs w:val="24"/>
          <w:lang w:eastAsia="en-AU"/>
        </w:rPr>
        <w:t xml:space="preserve"> rights holders and concerns for </w:t>
      </w:r>
      <w:r w:rsidR="003A609C">
        <w:rPr>
          <w:rFonts w:ascii="Times New Roman" w:eastAsia="Times New Roman" w:hAnsi="Times New Roman" w:cs="Times New Roman"/>
          <w:sz w:val="24"/>
          <w:szCs w:val="24"/>
          <w:lang w:eastAsia="en-AU"/>
        </w:rPr>
        <w:t xml:space="preserve">UPOV </w:t>
      </w:r>
      <w:r w:rsidRPr="00E348EE">
        <w:rPr>
          <w:rFonts w:ascii="Times New Roman" w:eastAsia="Times New Roman" w:hAnsi="Times New Roman" w:cs="Times New Roman"/>
          <w:sz w:val="24"/>
          <w:szCs w:val="24"/>
          <w:lang w:eastAsia="en-AU"/>
        </w:rPr>
        <w:t>Member States and breeder organisations</w:t>
      </w:r>
      <w:r w:rsidR="003A609C">
        <w:rPr>
          <w:rFonts w:ascii="Times New Roman" w:eastAsia="Times New Roman" w:hAnsi="Times New Roman" w:cs="Times New Roman"/>
          <w:sz w:val="24"/>
          <w:szCs w:val="24"/>
          <w:lang w:eastAsia="en-AU"/>
        </w:rPr>
        <w:t>, particularly during the 1980s</w:t>
      </w:r>
      <w:r w:rsidRPr="00E348EE">
        <w:rPr>
          <w:rFonts w:ascii="Times New Roman" w:eastAsia="Times New Roman" w:hAnsi="Times New Roman" w:cs="Times New Roman"/>
          <w:sz w:val="24"/>
          <w:szCs w:val="24"/>
          <w:lang w:eastAsia="en-AU"/>
        </w:rPr>
        <w:t xml:space="preserve">. Leading in to the </w:t>
      </w:r>
      <w:r>
        <w:rPr>
          <w:rFonts w:ascii="Times New Roman" w:eastAsia="Times New Roman" w:hAnsi="Times New Roman" w:cs="Times New Roman"/>
          <w:sz w:val="24"/>
          <w:szCs w:val="24"/>
          <w:lang w:eastAsia="en-AU"/>
        </w:rPr>
        <w:t xml:space="preserve">UPOV </w:t>
      </w:r>
      <w:r w:rsidRPr="00E348EE">
        <w:rPr>
          <w:rFonts w:ascii="Times New Roman" w:eastAsia="Times New Roman" w:hAnsi="Times New Roman" w:cs="Times New Roman"/>
          <w:sz w:val="24"/>
          <w:szCs w:val="24"/>
          <w:lang w:eastAsia="en-AU"/>
        </w:rPr>
        <w:t xml:space="preserve">Diplomatic Conference of 1991 there were concerns amongst plant breeders and </w:t>
      </w:r>
      <w:r w:rsidR="003A609C">
        <w:rPr>
          <w:rFonts w:ascii="Times New Roman" w:eastAsia="Times New Roman" w:hAnsi="Times New Roman" w:cs="Times New Roman"/>
          <w:sz w:val="24"/>
          <w:szCs w:val="24"/>
          <w:lang w:eastAsia="en-AU"/>
        </w:rPr>
        <w:t xml:space="preserve">UPOV </w:t>
      </w:r>
      <w:r w:rsidRPr="00E348EE">
        <w:rPr>
          <w:rFonts w:ascii="Times New Roman" w:eastAsia="Times New Roman" w:hAnsi="Times New Roman" w:cs="Times New Roman"/>
          <w:sz w:val="24"/>
          <w:szCs w:val="24"/>
          <w:lang w:eastAsia="en-AU"/>
        </w:rPr>
        <w:t>Member States that the when combined with the low threshold of distinctness and limited infringement provisions in UPOV 1978 the breeder’s exception allowed, or even encouraged, copying and plagiarism in plant breeding.</w:t>
      </w:r>
      <w:r w:rsidRPr="00E348EE">
        <w:rPr>
          <w:rFonts w:ascii="Times New Roman" w:eastAsia="Times New Roman" w:hAnsi="Times New Roman" w:cs="Times New Roman"/>
          <w:sz w:val="24"/>
          <w:szCs w:val="24"/>
          <w:vertAlign w:val="superscript"/>
          <w:lang w:eastAsia="en-AU"/>
        </w:rPr>
        <w:footnoteReference w:id="12"/>
      </w:r>
      <w:r w:rsidRPr="00E348EE">
        <w:rPr>
          <w:rFonts w:ascii="Times New Roman" w:eastAsia="Times New Roman" w:hAnsi="Times New Roman" w:cs="Times New Roman"/>
          <w:sz w:val="24"/>
          <w:szCs w:val="24"/>
          <w:lang w:eastAsia="en-AU"/>
        </w:rPr>
        <w:t xml:space="preserve"> The combination of which resulted in an unfair advantage to second and subsequent plant breeders, and weaken plant variety protection.</w:t>
      </w:r>
      <w:r w:rsidRPr="00E348EE">
        <w:rPr>
          <w:rFonts w:ascii="Times New Roman" w:eastAsia="Times New Roman" w:hAnsi="Times New Roman" w:cs="Times New Roman"/>
          <w:sz w:val="24"/>
          <w:szCs w:val="24"/>
          <w:vertAlign w:val="superscript"/>
          <w:lang w:eastAsia="en-AU"/>
        </w:rPr>
        <w:footnoteReference w:id="13"/>
      </w:r>
      <w:r w:rsidRPr="00E348EE">
        <w:rPr>
          <w:rFonts w:ascii="Times New Roman" w:eastAsia="Times New Roman" w:hAnsi="Times New Roman" w:cs="Times New Roman"/>
          <w:sz w:val="24"/>
          <w:szCs w:val="24"/>
          <w:lang w:eastAsia="en-AU"/>
        </w:rPr>
        <w:t xml:space="preserve"> These concerns were exacerbated by the advent of molecular plant breeding techniques in the 1970s and 1980s as well as unfavourable comparisons to patent law; which did not have a comparable breeder’s exception. One of the specific reasons given for introducing the concept of </w:t>
      </w:r>
      <w:r w:rsidR="00B60884">
        <w:rPr>
          <w:rFonts w:ascii="Times New Roman" w:eastAsia="Times New Roman" w:hAnsi="Times New Roman" w:cs="Times New Roman"/>
          <w:sz w:val="24"/>
          <w:szCs w:val="24"/>
          <w:lang w:eastAsia="en-AU"/>
        </w:rPr>
        <w:t>EDVs</w:t>
      </w:r>
      <w:r w:rsidRPr="00E348EE">
        <w:rPr>
          <w:rFonts w:ascii="Times New Roman" w:eastAsia="Times New Roman" w:hAnsi="Times New Roman" w:cs="Times New Roman"/>
          <w:sz w:val="24"/>
          <w:szCs w:val="24"/>
          <w:lang w:eastAsia="en-AU"/>
        </w:rPr>
        <w:t xml:space="preserve"> was to prevent the exploitation of mutations of protected varieties and varieties that had undergone a minor or trivial change in relation to the initial variety, for example by using biotechnology, without the first plant variety rights holder being able to share in the profits.</w:t>
      </w:r>
      <w:r w:rsidRPr="00E348EE">
        <w:rPr>
          <w:rFonts w:ascii="Times New Roman" w:eastAsia="Times New Roman" w:hAnsi="Times New Roman" w:cs="Times New Roman"/>
          <w:sz w:val="24"/>
          <w:szCs w:val="24"/>
          <w:vertAlign w:val="superscript"/>
          <w:lang w:eastAsia="en-AU"/>
        </w:rPr>
        <w:footnoteReference w:id="14"/>
      </w:r>
      <w:r w:rsidRPr="00E348EE">
        <w:rPr>
          <w:rFonts w:ascii="Times New Roman" w:eastAsia="Times New Roman" w:hAnsi="Times New Roman" w:cs="Times New Roman"/>
          <w:sz w:val="24"/>
          <w:szCs w:val="24"/>
          <w:lang w:eastAsia="en-AU"/>
        </w:rPr>
        <w:t xml:space="preserve"> </w:t>
      </w:r>
    </w:p>
    <w:p w:rsidR="002919C3" w:rsidRDefault="002919C3" w:rsidP="002919C3">
      <w:pPr>
        <w:ind w:left="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second group of issues </w:t>
      </w:r>
      <w:r w:rsidR="00B60884">
        <w:rPr>
          <w:rFonts w:ascii="Times New Roman" w:eastAsia="Times New Roman" w:hAnsi="Times New Roman" w:cs="Times New Roman"/>
          <w:sz w:val="24"/>
          <w:szCs w:val="24"/>
          <w:lang w:eastAsia="en-AU"/>
        </w:rPr>
        <w:t xml:space="preserve">of extending EDV </w:t>
      </w:r>
      <w:r>
        <w:rPr>
          <w:rFonts w:ascii="Times New Roman" w:eastAsia="Times New Roman" w:hAnsi="Times New Roman" w:cs="Times New Roman"/>
          <w:sz w:val="24"/>
          <w:szCs w:val="24"/>
          <w:lang w:eastAsia="en-AU"/>
        </w:rPr>
        <w:t>relate to evidence, proof and who has the onus of declaring a variety essentially derived.</w:t>
      </w:r>
      <w:r w:rsidR="00E348EE">
        <w:rPr>
          <w:rFonts w:ascii="Times New Roman" w:eastAsia="Times New Roman" w:hAnsi="Times New Roman" w:cs="Times New Roman"/>
          <w:sz w:val="24"/>
          <w:szCs w:val="24"/>
          <w:lang w:eastAsia="en-AU"/>
        </w:rPr>
        <w:t xml:space="preserve"> Indeed, s</w:t>
      </w:r>
      <w:r w:rsidR="00E348EE" w:rsidRPr="00E348EE">
        <w:rPr>
          <w:rFonts w:ascii="Times New Roman" w:eastAsia="Times New Roman" w:hAnsi="Times New Roman" w:cs="Times New Roman"/>
          <w:sz w:val="24"/>
          <w:szCs w:val="24"/>
          <w:lang w:eastAsia="en-AU"/>
        </w:rPr>
        <w:t xml:space="preserve">ince the introduction of EDVs, the identification and examination of EDVs has been elusive and remains one of the key issues for </w:t>
      </w:r>
      <w:r w:rsidR="00E348EE">
        <w:rPr>
          <w:rFonts w:ascii="Times New Roman" w:eastAsia="Times New Roman" w:hAnsi="Times New Roman" w:cs="Times New Roman"/>
          <w:sz w:val="24"/>
          <w:szCs w:val="24"/>
          <w:lang w:eastAsia="en-AU"/>
        </w:rPr>
        <w:t xml:space="preserve">UPOV and national plant breeder’s rights </w:t>
      </w:r>
      <w:r w:rsidR="00A74910">
        <w:rPr>
          <w:rFonts w:ascii="Times New Roman" w:eastAsia="Times New Roman" w:hAnsi="Times New Roman" w:cs="Times New Roman"/>
          <w:sz w:val="24"/>
          <w:szCs w:val="24"/>
          <w:lang w:eastAsia="en-AU"/>
        </w:rPr>
        <w:t>offices. Potentially, this would make determination</w:t>
      </w:r>
      <w:r w:rsidR="00CC2EB1">
        <w:rPr>
          <w:rFonts w:ascii="Times New Roman" w:eastAsia="Times New Roman" w:hAnsi="Times New Roman" w:cs="Times New Roman"/>
          <w:sz w:val="24"/>
          <w:szCs w:val="24"/>
          <w:lang w:eastAsia="en-AU"/>
        </w:rPr>
        <w:t xml:space="preserve"> and declaration</w:t>
      </w:r>
      <w:r w:rsidR="00A74910">
        <w:rPr>
          <w:rFonts w:ascii="Times New Roman" w:eastAsia="Times New Roman" w:hAnsi="Times New Roman" w:cs="Times New Roman"/>
          <w:sz w:val="24"/>
          <w:szCs w:val="24"/>
          <w:lang w:eastAsia="en-AU"/>
        </w:rPr>
        <w:t>, by the PBRO or a court, an uncertain and costly exercise.</w:t>
      </w:r>
      <w:r w:rsidR="00CC2EB1">
        <w:rPr>
          <w:rFonts w:ascii="Times New Roman" w:eastAsia="Times New Roman" w:hAnsi="Times New Roman" w:cs="Times New Roman"/>
          <w:sz w:val="24"/>
          <w:szCs w:val="24"/>
          <w:lang w:eastAsia="en-AU"/>
        </w:rPr>
        <w:t xml:space="preserve"> And</w:t>
      </w:r>
      <w:r w:rsidR="00B60884">
        <w:rPr>
          <w:rFonts w:ascii="Times New Roman" w:eastAsia="Times New Roman" w:hAnsi="Times New Roman" w:cs="Times New Roman"/>
          <w:sz w:val="24"/>
          <w:szCs w:val="24"/>
          <w:lang w:eastAsia="en-AU"/>
        </w:rPr>
        <w:t xml:space="preserve">, therefore, has the potential to </w:t>
      </w:r>
      <w:r w:rsidR="00CC2EB1">
        <w:rPr>
          <w:rFonts w:ascii="Times New Roman" w:eastAsia="Times New Roman" w:hAnsi="Times New Roman" w:cs="Times New Roman"/>
          <w:sz w:val="24"/>
          <w:szCs w:val="24"/>
          <w:lang w:eastAsia="en-AU"/>
        </w:rPr>
        <w:t>make the pl</w:t>
      </w:r>
      <w:r w:rsidR="00B60884">
        <w:rPr>
          <w:rFonts w:ascii="Times New Roman" w:eastAsia="Times New Roman" w:hAnsi="Times New Roman" w:cs="Times New Roman"/>
          <w:sz w:val="24"/>
          <w:szCs w:val="24"/>
          <w:lang w:eastAsia="en-AU"/>
        </w:rPr>
        <w:t>ant breeder’s rights scheme less</w:t>
      </w:r>
      <w:r w:rsidR="00CC2EB1">
        <w:rPr>
          <w:rFonts w:ascii="Times New Roman" w:eastAsia="Times New Roman" w:hAnsi="Times New Roman" w:cs="Times New Roman"/>
          <w:sz w:val="24"/>
          <w:szCs w:val="24"/>
          <w:lang w:eastAsia="en-AU"/>
        </w:rPr>
        <w:t xml:space="preserve"> effective and efficient.</w:t>
      </w:r>
    </w:p>
    <w:p w:rsidR="00B60884" w:rsidRDefault="00B60884" w:rsidP="00E348EE">
      <w:pPr>
        <w:ind w:left="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w:t>
      </w:r>
      <w:r w:rsidR="002919C3">
        <w:rPr>
          <w:rFonts w:ascii="Times New Roman" w:eastAsia="Times New Roman" w:hAnsi="Times New Roman" w:cs="Times New Roman"/>
          <w:sz w:val="24"/>
          <w:szCs w:val="24"/>
          <w:lang w:eastAsia="en-AU"/>
        </w:rPr>
        <w:t xml:space="preserve"> d</w:t>
      </w:r>
      <w:r>
        <w:rPr>
          <w:rFonts w:ascii="Times New Roman" w:eastAsia="Times New Roman" w:hAnsi="Times New Roman" w:cs="Times New Roman"/>
          <w:sz w:val="24"/>
          <w:szCs w:val="24"/>
          <w:lang w:eastAsia="en-AU"/>
        </w:rPr>
        <w:t>ifficulties of assessing EDV have</w:t>
      </w:r>
      <w:r w:rsidR="002919C3">
        <w:rPr>
          <w:rFonts w:ascii="Times New Roman" w:eastAsia="Times New Roman" w:hAnsi="Times New Roman" w:cs="Times New Roman"/>
          <w:sz w:val="24"/>
          <w:szCs w:val="24"/>
          <w:lang w:eastAsia="en-AU"/>
        </w:rPr>
        <w:t xml:space="preserve"> been outlined previously.</w:t>
      </w:r>
      <w:r w:rsidR="002919C3">
        <w:rPr>
          <w:rStyle w:val="FootnoteReference"/>
          <w:rFonts w:ascii="Times New Roman" w:eastAsia="Times New Roman" w:hAnsi="Times New Roman"/>
          <w:sz w:val="24"/>
          <w:szCs w:val="24"/>
          <w:lang w:eastAsia="en-AU"/>
        </w:rPr>
        <w:footnoteReference w:id="15"/>
      </w:r>
      <w:r w:rsidR="002919C3">
        <w:rPr>
          <w:rFonts w:ascii="Times New Roman" w:eastAsia="Times New Roman" w:hAnsi="Times New Roman" w:cs="Times New Roman"/>
          <w:sz w:val="24"/>
          <w:szCs w:val="24"/>
          <w:lang w:eastAsia="en-AU"/>
        </w:rPr>
        <w:t xml:space="preserve"> </w:t>
      </w:r>
      <w:r w:rsidR="00CC2EB1">
        <w:rPr>
          <w:rFonts w:ascii="Times New Roman" w:eastAsia="Times New Roman" w:hAnsi="Times New Roman" w:cs="Times New Roman"/>
          <w:sz w:val="24"/>
          <w:szCs w:val="24"/>
          <w:lang w:eastAsia="en-AU"/>
        </w:rPr>
        <w:t>That said</w:t>
      </w:r>
      <w:r w:rsidR="002919C3">
        <w:rPr>
          <w:rFonts w:ascii="Times New Roman" w:eastAsia="Times New Roman" w:hAnsi="Times New Roman" w:cs="Times New Roman"/>
          <w:sz w:val="24"/>
          <w:szCs w:val="24"/>
          <w:lang w:eastAsia="en-AU"/>
        </w:rPr>
        <w:t>, t</w:t>
      </w:r>
      <w:r w:rsidR="00E348EE" w:rsidRPr="00E348EE">
        <w:rPr>
          <w:rFonts w:ascii="Times New Roman" w:eastAsia="Times New Roman" w:hAnsi="Times New Roman" w:cs="Times New Roman"/>
          <w:sz w:val="24"/>
          <w:szCs w:val="24"/>
          <w:lang w:eastAsia="en-AU"/>
        </w:rPr>
        <w:t>he concept of EDVs occupies a legal space and raises distinctly legal issues such as what is the standard of proof and who has the burden of proving that a variety has been essentially derived.</w:t>
      </w:r>
      <w:r w:rsidR="00E348EE" w:rsidRPr="00E348EE">
        <w:rPr>
          <w:rFonts w:ascii="Times New Roman" w:eastAsia="Times New Roman" w:hAnsi="Times New Roman" w:cs="Times New Roman"/>
          <w:sz w:val="24"/>
          <w:szCs w:val="24"/>
          <w:vertAlign w:val="superscript"/>
          <w:lang w:eastAsia="en-AU"/>
        </w:rPr>
        <w:footnoteReference w:id="16"/>
      </w:r>
      <w:r w:rsidR="00E348EE" w:rsidRPr="00E348EE">
        <w:rPr>
          <w:rFonts w:ascii="Times New Roman" w:eastAsia="Times New Roman" w:hAnsi="Times New Roman" w:cs="Times New Roman"/>
          <w:sz w:val="24"/>
          <w:szCs w:val="24"/>
          <w:lang w:eastAsia="en-AU"/>
        </w:rPr>
        <w:t xml:space="preserve"> Consequently, EDVs cannot and should not be examined and identified purely on quantitative grounds, ‘cultural and practical values’ are also </w:t>
      </w:r>
      <w:r w:rsidR="00E348EE" w:rsidRPr="00E348EE">
        <w:rPr>
          <w:rFonts w:ascii="Times New Roman" w:eastAsia="Times New Roman" w:hAnsi="Times New Roman" w:cs="Times New Roman"/>
          <w:sz w:val="24"/>
          <w:szCs w:val="24"/>
          <w:lang w:eastAsia="en-AU"/>
        </w:rPr>
        <w:lastRenderedPageBreak/>
        <w:t>important when examining and identifying EDVs.</w:t>
      </w:r>
      <w:r w:rsidR="00E348EE" w:rsidRPr="00E348EE">
        <w:rPr>
          <w:rFonts w:ascii="Times New Roman" w:eastAsia="Times New Roman" w:hAnsi="Times New Roman" w:cs="Times New Roman"/>
          <w:sz w:val="24"/>
          <w:szCs w:val="24"/>
          <w:vertAlign w:val="superscript"/>
          <w:lang w:eastAsia="en-AU"/>
        </w:rPr>
        <w:footnoteReference w:id="17"/>
      </w:r>
      <w:r w:rsidR="00E348EE" w:rsidRPr="00E348EE">
        <w:rPr>
          <w:rFonts w:ascii="Times New Roman" w:eastAsia="Times New Roman" w:hAnsi="Times New Roman" w:cs="Times New Roman"/>
          <w:sz w:val="24"/>
          <w:szCs w:val="24"/>
          <w:lang w:eastAsia="en-AU"/>
        </w:rPr>
        <w:t xml:space="preserve"> Perhaps, then, EDVs are best viewed as ‘agreed facts’, in which adopted guidelines and arbitration are crucial to the examination and identification of EDVs.</w:t>
      </w:r>
      <w:r w:rsidR="00A74910">
        <w:rPr>
          <w:rFonts w:ascii="Times New Roman" w:eastAsia="Times New Roman" w:hAnsi="Times New Roman" w:cs="Times New Roman"/>
          <w:sz w:val="24"/>
          <w:szCs w:val="24"/>
          <w:lang w:eastAsia="en-AU"/>
        </w:rPr>
        <w:t xml:space="preserve"> </w:t>
      </w:r>
    </w:p>
    <w:p w:rsidR="00E348EE" w:rsidRDefault="00A74910" w:rsidP="00E348EE">
      <w:pPr>
        <w:ind w:left="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Perhaps, then, more work </w:t>
      </w:r>
      <w:r w:rsidR="00B60884">
        <w:rPr>
          <w:rFonts w:ascii="Times New Roman" w:eastAsia="Times New Roman" w:hAnsi="Times New Roman" w:cs="Times New Roman"/>
          <w:sz w:val="24"/>
          <w:szCs w:val="24"/>
          <w:lang w:eastAsia="en-AU"/>
        </w:rPr>
        <w:t xml:space="preserve">needs to </w:t>
      </w:r>
      <w:r>
        <w:rPr>
          <w:rFonts w:ascii="Times New Roman" w:eastAsia="Times New Roman" w:hAnsi="Times New Roman" w:cs="Times New Roman"/>
          <w:sz w:val="24"/>
          <w:szCs w:val="24"/>
          <w:lang w:eastAsia="en-AU"/>
        </w:rPr>
        <w:t xml:space="preserve">be done to identify the varieties for which EDV (particularly for non-PBR varieties) is problematic. For these varieties, and where </w:t>
      </w:r>
      <w:r w:rsidR="00B60884">
        <w:rPr>
          <w:rFonts w:ascii="Times New Roman" w:eastAsia="Times New Roman" w:hAnsi="Times New Roman" w:cs="Times New Roman"/>
          <w:sz w:val="24"/>
          <w:szCs w:val="24"/>
          <w:lang w:eastAsia="en-AU"/>
        </w:rPr>
        <w:t xml:space="preserve">the guidelines are </w:t>
      </w:r>
      <w:r>
        <w:rPr>
          <w:rFonts w:ascii="Times New Roman" w:eastAsia="Times New Roman" w:hAnsi="Times New Roman" w:cs="Times New Roman"/>
          <w:sz w:val="24"/>
          <w:szCs w:val="24"/>
          <w:lang w:eastAsia="en-AU"/>
        </w:rPr>
        <w:t xml:space="preserve">available, agreed values and traits of EDVs can be identified and agreed upon in advance. </w:t>
      </w:r>
    </w:p>
    <w:p w:rsidR="00E348EE" w:rsidRDefault="00E348EE" w:rsidP="00E348EE">
      <w:pPr>
        <w:ind w:left="720"/>
        <w:jc w:val="both"/>
        <w:rPr>
          <w:rFonts w:ascii="Times New Roman" w:eastAsia="Times New Roman" w:hAnsi="Times New Roman" w:cs="Times New Roman"/>
          <w:sz w:val="24"/>
          <w:szCs w:val="24"/>
          <w:lang w:eastAsia="en-AU"/>
        </w:rPr>
      </w:pPr>
    </w:p>
    <w:p w:rsidR="00DD5A8B" w:rsidRDefault="00DD5A8B" w:rsidP="00E348EE">
      <w:pPr>
        <w:jc w:val="both"/>
        <w:rPr>
          <w:rFonts w:ascii="Times New Roman" w:hAnsi="Times New Roman" w:cs="Times New Roman"/>
          <w:sz w:val="24"/>
          <w:szCs w:val="24"/>
        </w:rPr>
      </w:pPr>
      <w:r>
        <w:rPr>
          <w:rFonts w:ascii="Times New Roman" w:hAnsi="Times New Roman" w:cs="Times New Roman"/>
          <w:sz w:val="24"/>
          <w:szCs w:val="24"/>
        </w:rPr>
        <w:t>Yours sincerely,</w:t>
      </w:r>
    </w:p>
    <w:p w:rsidR="00DD5A8B" w:rsidRDefault="00DD5A8B" w:rsidP="00E348EE">
      <w:pPr>
        <w:jc w:val="both"/>
        <w:rPr>
          <w:rFonts w:ascii="Times New Roman" w:hAnsi="Times New Roman" w:cs="Times New Roman"/>
          <w:sz w:val="24"/>
          <w:szCs w:val="24"/>
        </w:rPr>
      </w:pPr>
    </w:p>
    <w:p w:rsidR="00B60884" w:rsidRDefault="00B60884" w:rsidP="00E348EE">
      <w:pPr>
        <w:jc w:val="both"/>
        <w:rPr>
          <w:rFonts w:ascii="Times New Roman" w:hAnsi="Times New Roman" w:cs="Times New Roman"/>
          <w:sz w:val="24"/>
          <w:szCs w:val="24"/>
        </w:rPr>
      </w:pPr>
    </w:p>
    <w:p w:rsidR="00DD5A8B" w:rsidRDefault="00DD5A8B" w:rsidP="00E348EE">
      <w:pPr>
        <w:jc w:val="both"/>
        <w:rPr>
          <w:rFonts w:ascii="Times New Roman" w:hAnsi="Times New Roman" w:cs="Times New Roman"/>
          <w:sz w:val="24"/>
          <w:szCs w:val="24"/>
        </w:rPr>
      </w:pPr>
      <w:r>
        <w:rPr>
          <w:rFonts w:ascii="Times New Roman" w:hAnsi="Times New Roman" w:cs="Times New Roman"/>
          <w:sz w:val="24"/>
          <w:szCs w:val="24"/>
        </w:rPr>
        <w:t>Jay Sanderson</w:t>
      </w:r>
    </w:p>
    <w:p w:rsidR="00DD5A8B" w:rsidRDefault="00DD5A8B" w:rsidP="00E348EE">
      <w:pPr>
        <w:spacing w:after="0"/>
        <w:jc w:val="both"/>
        <w:rPr>
          <w:rFonts w:ascii="Times New Roman" w:hAnsi="Times New Roman" w:cs="Times New Roman"/>
          <w:sz w:val="24"/>
          <w:szCs w:val="24"/>
        </w:rPr>
      </w:pPr>
      <w:r>
        <w:rPr>
          <w:rFonts w:ascii="Times New Roman" w:hAnsi="Times New Roman" w:cs="Times New Roman"/>
          <w:sz w:val="24"/>
          <w:szCs w:val="24"/>
        </w:rPr>
        <w:t>USC Law School</w:t>
      </w:r>
    </w:p>
    <w:p w:rsidR="0068382B" w:rsidRDefault="0068382B" w:rsidP="00E348EE">
      <w:pPr>
        <w:spacing w:after="0"/>
        <w:jc w:val="both"/>
        <w:rPr>
          <w:rFonts w:ascii="Times New Roman" w:hAnsi="Times New Roman" w:cs="Times New Roman"/>
          <w:sz w:val="24"/>
          <w:szCs w:val="24"/>
        </w:rPr>
      </w:pPr>
      <w:r>
        <w:rPr>
          <w:rFonts w:ascii="Times New Roman" w:hAnsi="Times New Roman" w:cs="Times New Roman"/>
          <w:sz w:val="24"/>
          <w:szCs w:val="24"/>
        </w:rPr>
        <w:t>University of the Sunshine Coast</w:t>
      </w:r>
    </w:p>
    <w:p w:rsidR="00DD5A8B" w:rsidRPr="00DD5A8B" w:rsidRDefault="00DD5A8B" w:rsidP="00E348EE">
      <w:pPr>
        <w:jc w:val="both"/>
        <w:rPr>
          <w:rFonts w:ascii="Times New Roman" w:hAnsi="Times New Roman" w:cs="Times New Roman"/>
          <w:sz w:val="24"/>
          <w:szCs w:val="24"/>
        </w:rPr>
      </w:pPr>
    </w:p>
    <w:sectPr w:rsidR="00DD5A8B" w:rsidRPr="00DD5A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EE" w:rsidRDefault="00E348EE" w:rsidP="00E348EE">
      <w:pPr>
        <w:spacing w:after="0" w:line="240" w:lineRule="auto"/>
      </w:pPr>
      <w:r>
        <w:separator/>
      </w:r>
    </w:p>
  </w:endnote>
  <w:endnote w:type="continuationSeparator" w:id="0">
    <w:p w:rsidR="00E348EE" w:rsidRDefault="00E348EE" w:rsidP="00E3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EE" w:rsidRDefault="00E348EE" w:rsidP="00E348EE">
      <w:pPr>
        <w:spacing w:after="0" w:line="240" w:lineRule="auto"/>
      </w:pPr>
      <w:r>
        <w:separator/>
      </w:r>
    </w:p>
  </w:footnote>
  <w:footnote w:type="continuationSeparator" w:id="0">
    <w:p w:rsidR="00E348EE" w:rsidRDefault="00E348EE" w:rsidP="00E348EE">
      <w:pPr>
        <w:spacing w:after="0" w:line="240" w:lineRule="auto"/>
      </w:pPr>
      <w:r>
        <w:continuationSeparator/>
      </w:r>
    </w:p>
  </w:footnote>
  <w:footnote w:id="1">
    <w:p w:rsidR="00213338" w:rsidRPr="00E93C2A" w:rsidRDefault="00213338"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Pr="00E93C2A">
        <w:rPr>
          <w:rFonts w:ascii="Times New Roman" w:hAnsi="Times New Roman" w:cs="Times New Roman"/>
          <w:sz w:val="22"/>
          <w:szCs w:val="22"/>
        </w:rPr>
        <w:t xml:space="preserve"> Food Labelling Law and Policy Review Panel, ‘Labelling Logic: Review of Food Labelling Law and Policy’ (Final Report, 28 January 2011) &lt;http://www.foodlabellingreview.gov.au/internet/foodlabelling/publishing.nsf/content/labelling-logic&gt;.</w:t>
      </w:r>
    </w:p>
  </w:footnote>
  <w:footnote w:id="2">
    <w:p w:rsidR="00213338" w:rsidRPr="00E93C2A" w:rsidRDefault="00213338"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Pr="00E93C2A">
        <w:rPr>
          <w:rFonts w:ascii="Times New Roman" w:hAnsi="Times New Roman" w:cs="Times New Roman"/>
          <w:sz w:val="22"/>
          <w:szCs w:val="22"/>
        </w:rPr>
        <w:t xml:space="preserve"> The presumption of registrability is not without its critics. See Robert Burrell and Michael Handler, ‘Rethinking the Presumption of Registrability in Trade Mark Law’ (2012) 38(1) </w:t>
      </w:r>
      <w:r w:rsidRPr="00E93C2A">
        <w:rPr>
          <w:rFonts w:ascii="Times New Roman" w:hAnsi="Times New Roman" w:cs="Times New Roman"/>
          <w:i/>
          <w:sz w:val="22"/>
          <w:szCs w:val="22"/>
        </w:rPr>
        <w:t>Monash University Law Review</w:t>
      </w:r>
      <w:r w:rsidRPr="00E93C2A">
        <w:rPr>
          <w:rFonts w:ascii="Times New Roman" w:hAnsi="Times New Roman" w:cs="Times New Roman"/>
          <w:sz w:val="22"/>
          <w:szCs w:val="22"/>
        </w:rPr>
        <w:t xml:space="preserve"> 148.</w:t>
      </w:r>
    </w:p>
  </w:footnote>
  <w:footnote w:id="3">
    <w:p w:rsidR="00213338" w:rsidRPr="00E93C2A" w:rsidRDefault="00213338"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Pr="00E93C2A">
        <w:rPr>
          <w:rFonts w:ascii="Times New Roman" w:hAnsi="Times New Roman" w:cs="Times New Roman"/>
          <w:sz w:val="22"/>
          <w:szCs w:val="22"/>
        </w:rPr>
        <w:t xml:space="preserve"> See, </w:t>
      </w:r>
      <w:proofErr w:type="spellStart"/>
      <w:r w:rsidRPr="00E93C2A">
        <w:rPr>
          <w:rFonts w:ascii="Times New Roman" w:hAnsi="Times New Roman" w:cs="Times New Roman"/>
          <w:sz w:val="22"/>
          <w:szCs w:val="22"/>
        </w:rPr>
        <w:t>eg</w:t>
      </w:r>
      <w:proofErr w:type="spellEnd"/>
      <w:r w:rsidRPr="00E93C2A">
        <w:rPr>
          <w:rFonts w:ascii="Times New Roman" w:hAnsi="Times New Roman" w:cs="Times New Roman"/>
          <w:sz w:val="22"/>
          <w:szCs w:val="22"/>
        </w:rPr>
        <w:t xml:space="preserve">, Glynn S </w:t>
      </w:r>
      <w:proofErr w:type="spellStart"/>
      <w:r w:rsidRPr="00E93C2A">
        <w:rPr>
          <w:rFonts w:ascii="Times New Roman" w:hAnsi="Times New Roman" w:cs="Times New Roman"/>
          <w:sz w:val="22"/>
          <w:szCs w:val="22"/>
        </w:rPr>
        <w:t>Lunney</w:t>
      </w:r>
      <w:proofErr w:type="spellEnd"/>
      <w:r w:rsidRPr="00E93C2A">
        <w:rPr>
          <w:rFonts w:ascii="Times New Roman" w:hAnsi="Times New Roman" w:cs="Times New Roman"/>
          <w:sz w:val="22"/>
          <w:szCs w:val="22"/>
        </w:rPr>
        <w:t xml:space="preserve"> Jr, ‘Trademark Monopolies’ (1999) 48 </w:t>
      </w:r>
      <w:r w:rsidRPr="00E93C2A">
        <w:rPr>
          <w:rFonts w:ascii="Times New Roman" w:hAnsi="Times New Roman" w:cs="Times New Roman"/>
          <w:i/>
          <w:sz w:val="22"/>
          <w:szCs w:val="22"/>
        </w:rPr>
        <w:t>Emory Law Journal</w:t>
      </w:r>
      <w:r w:rsidRPr="00E93C2A">
        <w:rPr>
          <w:rFonts w:ascii="Times New Roman" w:hAnsi="Times New Roman" w:cs="Times New Roman"/>
          <w:sz w:val="22"/>
          <w:szCs w:val="22"/>
        </w:rPr>
        <w:t xml:space="preserve"> 367; Robert G Bone, ‘Hunting Goodwill: A History of the Concept of Goodwill in Trademark Law’ (2006) 86 </w:t>
      </w:r>
      <w:r w:rsidRPr="00E93C2A">
        <w:rPr>
          <w:rFonts w:ascii="Times New Roman" w:hAnsi="Times New Roman" w:cs="Times New Roman"/>
          <w:i/>
          <w:sz w:val="22"/>
          <w:szCs w:val="22"/>
        </w:rPr>
        <w:t>Boston University Law Review</w:t>
      </w:r>
      <w:r w:rsidRPr="00E93C2A">
        <w:rPr>
          <w:rFonts w:ascii="Times New Roman" w:hAnsi="Times New Roman" w:cs="Times New Roman"/>
          <w:sz w:val="22"/>
          <w:szCs w:val="22"/>
        </w:rPr>
        <w:t xml:space="preserve"> 547.</w:t>
      </w:r>
    </w:p>
  </w:footnote>
  <w:footnote w:id="4">
    <w:p w:rsidR="0098324B" w:rsidRPr="00E93C2A" w:rsidRDefault="0098324B"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00693385" w:rsidRPr="00E93C2A">
        <w:rPr>
          <w:rFonts w:ascii="Times New Roman" w:hAnsi="Times New Roman" w:cs="Times New Roman"/>
          <w:sz w:val="22"/>
          <w:szCs w:val="22"/>
        </w:rPr>
        <w:t xml:space="preserve"> </w:t>
      </w:r>
      <w:r w:rsidR="00B55FEA" w:rsidRPr="00E93C2A">
        <w:rPr>
          <w:rFonts w:ascii="Times New Roman" w:hAnsi="Times New Roman" w:cs="Times New Roman"/>
          <w:sz w:val="22"/>
          <w:szCs w:val="22"/>
        </w:rPr>
        <w:t xml:space="preserve">Elise </w:t>
      </w:r>
      <w:proofErr w:type="spellStart"/>
      <w:r w:rsidR="00B55FEA" w:rsidRPr="00E93C2A">
        <w:rPr>
          <w:rFonts w:ascii="Times New Roman" w:hAnsi="Times New Roman" w:cs="Times New Roman"/>
          <w:sz w:val="22"/>
          <w:szCs w:val="22"/>
        </w:rPr>
        <w:t>Dalley</w:t>
      </w:r>
      <w:proofErr w:type="spellEnd"/>
      <w:r w:rsidR="00B55FEA" w:rsidRPr="00E93C2A">
        <w:rPr>
          <w:rFonts w:ascii="Times New Roman" w:hAnsi="Times New Roman" w:cs="Times New Roman"/>
          <w:sz w:val="22"/>
          <w:szCs w:val="22"/>
        </w:rPr>
        <w:t>, Healthy Labelling or Healthy Marketing? (4 September 2014) CHOICE &lt;http://www.choice.com.au/reviews-and-tests/food-and-health/labelling-and-advertising/nutritional-labelling/rise-of-nutritional-trademarking/page/compare%20the%20products.aspx&gt;.</w:t>
      </w:r>
    </w:p>
  </w:footnote>
  <w:footnote w:id="5">
    <w:p w:rsidR="00213338" w:rsidRPr="00E93C2A" w:rsidRDefault="00213338"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00E93C2A" w:rsidRPr="00E93C2A">
        <w:rPr>
          <w:rFonts w:ascii="Times New Roman" w:hAnsi="Times New Roman" w:cs="Times New Roman"/>
          <w:sz w:val="22"/>
          <w:szCs w:val="22"/>
        </w:rPr>
        <w:t xml:space="preserve">Elise </w:t>
      </w:r>
      <w:proofErr w:type="spellStart"/>
      <w:r w:rsidR="00E93C2A" w:rsidRPr="00E93C2A">
        <w:rPr>
          <w:rFonts w:ascii="Times New Roman" w:hAnsi="Times New Roman" w:cs="Times New Roman"/>
          <w:sz w:val="22"/>
          <w:szCs w:val="22"/>
        </w:rPr>
        <w:t>Dalley</w:t>
      </w:r>
      <w:proofErr w:type="spellEnd"/>
      <w:r w:rsidR="00E93C2A" w:rsidRPr="00E93C2A">
        <w:rPr>
          <w:rFonts w:ascii="Times New Roman" w:hAnsi="Times New Roman" w:cs="Times New Roman"/>
          <w:sz w:val="22"/>
          <w:szCs w:val="22"/>
        </w:rPr>
        <w:t>, Healthy Labelling or Healthy Marketing? (4 September 2014) CHOICE &lt;http://www.choice.com.au/reviews-and-tests/food-and-health/labelling-and-advertising/nutritional-labelling/rise-of-nutritional-trademarking/page/compare%20the%20products.aspx&gt;.</w:t>
      </w:r>
    </w:p>
  </w:footnote>
  <w:footnote w:id="6">
    <w:p w:rsidR="0098324B" w:rsidRPr="00E93C2A" w:rsidRDefault="0098324B"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00693385" w:rsidRPr="00E93C2A">
        <w:rPr>
          <w:rFonts w:ascii="Times New Roman" w:hAnsi="Times New Roman" w:cs="Times New Roman"/>
          <w:sz w:val="22"/>
          <w:szCs w:val="22"/>
        </w:rPr>
        <w:t xml:space="preserve"> </w:t>
      </w:r>
      <w:r w:rsidRPr="00E93C2A">
        <w:rPr>
          <w:rFonts w:ascii="Times New Roman" w:hAnsi="Times New Roman" w:cs="Times New Roman"/>
          <w:sz w:val="22"/>
          <w:szCs w:val="22"/>
        </w:rPr>
        <w:t xml:space="preserve">See </w:t>
      </w:r>
      <w:proofErr w:type="spellStart"/>
      <w:r w:rsidRPr="00E93C2A">
        <w:rPr>
          <w:rFonts w:ascii="Times New Roman" w:hAnsi="Times New Roman" w:cs="Times New Roman"/>
          <w:sz w:val="22"/>
          <w:szCs w:val="22"/>
        </w:rPr>
        <w:t>Wim</w:t>
      </w:r>
      <w:proofErr w:type="spellEnd"/>
      <w:r w:rsidRPr="00E93C2A">
        <w:rPr>
          <w:rFonts w:ascii="Times New Roman" w:hAnsi="Times New Roman" w:cs="Times New Roman"/>
          <w:sz w:val="22"/>
          <w:szCs w:val="22"/>
        </w:rPr>
        <w:t xml:space="preserve"> </w:t>
      </w:r>
      <w:proofErr w:type="spellStart"/>
      <w:r w:rsidRPr="00E93C2A">
        <w:rPr>
          <w:rFonts w:ascii="Times New Roman" w:hAnsi="Times New Roman" w:cs="Times New Roman"/>
          <w:sz w:val="22"/>
          <w:szCs w:val="22"/>
        </w:rPr>
        <w:t>Verbeke</w:t>
      </w:r>
      <w:proofErr w:type="spellEnd"/>
      <w:r w:rsidRPr="00E93C2A">
        <w:rPr>
          <w:rFonts w:ascii="Times New Roman" w:hAnsi="Times New Roman" w:cs="Times New Roman"/>
          <w:sz w:val="22"/>
          <w:szCs w:val="22"/>
        </w:rPr>
        <w:t xml:space="preserve">, ‘Agriculture and the Food Industry in the Information Age’ (2005) 32 </w:t>
      </w:r>
      <w:r w:rsidRPr="00E93C2A">
        <w:rPr>
          <w:rFonts w:ascii="Times New Roman" w:hAnsi="Times New Roman" w:cs="Times New Roman"/>
          <w:i/>
          <w:sz w:val="22"/>
          <w:szCs w:val="22"/>
        </w:rPr>
        <w:t>European Review of Agricultural Economics</w:t>
      </w:r>
      <w:r w:rsidRPr="00E93C2A">
        <w:rPr>
          <w:rFonts w:ascii="Times New Roman" w:hAnsi="Times New Roman" w:cs="Times New Roman"/>
          <w:sz w:val="22"/>
          <w:szCs w:val="22"/>
        </w:rPr>
        <w:t xml:space="preserve"> 347.</w:t>
      </w:r>
    </w:p>
  </w:footnote>
  <w:footnote w:id="7">
    <w:p w:rsidR="0098324B" w:rsidRPr="00E93C2A" w:rsidRDefault="0098324B"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00693385" w:rsidRPr="00E93C2A">
        <w:rPr>
          <w:rFonts w:ascii="Times New Roman" w:hAnsi="Times New Roman" w:cs="Times New Roman"/>
          <w:sz w:val="22"/>
          <w:szCs w:val="22"/>
        </w:rPr>
        <w:t xml:space="preserve"> </w:t>
      </w:r>
      <w:r w:rsidRPr="00E93C2A">
        <w:rPr>
          <w:rFonts w:ascii="Times New Roman" w:hAnsi="Times New Roman" w:cs="Times New Roman"/>
          <w:sz w:val="22"/>
          <w:szCs w:val="22"/>
        </w:rPr>
        <w:t xml:space="preserve">Paul </w:t>
      </w:r>
      <w:proofErr w:type="spellStart"/>
      <w:r w:rsidRPr="00E93C2A">
        <w:rPr>
          <w:rFonts w:ascii="Times New Roman" w:hAnsi="Times New Roman" w:cs="Times New Roman"/>
          <w:sz w:val="22"/>
          <w:szCs w:val="22"/>
        </w:rPr>
        <w:t>Rozin</w:t>
      </w:r>
      <w:proofErr w:type="spellEnd"/>
      <w:r w:rsidRPr="00E93C2A">
        <w:rPr>
          <w:rFonts w:ascii="Times New Roman" w:hAnsi="Times New Roman" w:cs="Times New Roman"/>
          <w:sz w:val="22"/>
          <w:szCs w:val="22"/>
        </w:rPr>
        <w:t xml:space="preserve">, Michele Ashmore and Maureen </w:t>
      </w:r>
      <w:proofErr w:type="spellStart"/>
      <w:r w:rsidRPr="00E93C2A">
        <w:rPr>
          <w:rFonts w:ascii="Times New Roman" w:hAnsi="Times New Roman" w:cs="Times New Roman"/>
          <w:sz w:val="22"/>
          <w:szCs w:val="22"/>
        </w:rPr>
        <w:t>Markwith</w:t>
      </w:r>
      <w:proofErr w:type="spellEnd"/>
      <w:r w:rsidRPr="00E93C2A">
        <w:rPr>
          <w:rFonts w:ascii="Times New Roman" w:hAnsi="Times New Roman" w:cs="Times New Roman"/>
          <w:sz w:val="22"/>
          <w:szCs w:val="22"/>
        </w:rPr>
        <w:t xml:space="preserve">, ‘Lay American Conceptions of Nutrition: Dose Insensitivity, Categorical Thinking, Contagion, and the Monotonic Mind’ (1996) 15 </w:t>
      </w:r>
      <w:r w:rsidRPr="00E93C2A">
        <w:rPr>
          <w:rFonts w:ascii="Times New Roman" w:hAnsi="Times New Roman" w:cs="Times New Roman"/>
          <w:i/>
          <w:sz w:val="22"/>
          <w:szCs w:val="22"/>
        </w:rPr>
        <w:t>Health Psychology</w:t>
      </w:r>
      <w:r w:rsidRPr="00E93C2A">
        <w:rPr>
          <w:rFonts w:ascii="Times New Roman" w:hAnsi="Times New Roman" w:cs="Times New Roman"/>
          <w:sz w:val="22"/>
          <w:szCs w:val="22"/>
        </w:rPr>
        <w:t xml:space="preserve"> 438.</w:t>
      </w:r>
    </w:p>
  </w:footnote>
  <w:footnote w:id="8">
    <w:p w:rsidR="0098324B" w:rsidRPr="00E93C2A" w:rsidRDefault="0098324B"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00693385" w:rsidRPr="00E93C2A">
        <w:rPr>
          <w:rFonts w:ascii="Times New Roman" w:hAnsi="Times New Roman" w:cs="Times New Roman"/>
          <w:sz w:val="22"/>
          <w:szCs w:val="22"/>
        </w:rPr>
        <w:t xml:space="preserve"> </w:t>
      </w:r>
      <w:r w:rsidRPr="00E93C2A">
        <w:rPr>
          <w:rFonts w:ascii="Times New Roman" w:hAnsi="Times New Roman" w:cs="Times New Roman"/>
          <w:sz w:val="22"/>
          <w:szCs w:val="22"/>
        </w:rPr>
        <w:t xml:space="preserve">Sally Eden, ‘Food Labels as Boundary Objects: How Consumers Make Sense of Organic and Functional Foods’ (2011) 20 </w:t>
      </w:r>
      <w:r w:rsidRPr="00E93C2A">
        <w:rPr>
          <w:rFonts w:ascii="Times New Roman" w:hAnsi="Times New Roman" w:cs="Times New Roman"/>
          <w:i/>
          <w:sz w:val="22"/>
          <w:szCs w:val="22"/>
        </w:rPr>
        <w:t>Public Understanding of Science</w:t>
      </w:r>
      <w:r w:rsidRPr="00E93C2A">
        <w:rPr>
          <w:rFonts w:ascii="Times New Roman" w:hAnsi="Times New Roman" w:cs="Times New Roman"/>
          <w:sz w:val="22"/>
          <w:szCs w:val="22"/>
        </w:rPr>
        <w:t xml:space="preserve"> 179.</w:t>
      </w:r>
    </w:p>
  </w:footnote>
  <w:footnote w:id="9">
    <w:p w:rsidR="0098324B" w:rsidRPr="00E93C2A" w:rsidRDefault="0098324B"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00693385" w:rsidRPr="00E93C2A">
        <w:rPr>
          <w:rFonts w:ascii="Times New Roman" w:hAnsi="Times New Roman" w:cs="Times New Roman"/>
          <w:sz w:val="22"/>
          <w:szCs w:val="22"/>
        </w:rPr>
        <w:t xml:space="preserve"> </w:t>
      </w:r>
      <w:r w:rsidR="00E93C2A" w:rsidRPr="00E93C2A">
        <w:rPr>
          <w:rFonts w:ascii="Times New Roman" w:hAnsi="Times New Roman" w:cs="Times New Roman"/>
          <w:sz w:val="22"/>
          <w:szCs w:val="22"/>
        </w:rPr>
        <w:t xml:space="preserve">Daniel </w:t>
      </w:r>
      <w:proofErr w:type="spellStart"/>
      <w:r w:rsidR="00E93C2A" w:rsidRPr="00E93C2A">
        <w:rPr>
          <w:rFonts w:ascii="Times New Roman" w:hAnsi="Times New Roman" w:cs="Times New Roman"/>
          <w:sz w:val="22"/>
          <w:szCs w:val="22"/>
        </w:rPr>
        <w:t>Kahneman</w:t>
      </w:r>
      <w:proofErr w:type="spellEnd"/>
      <w:r w:rsidR="00E93C2A" w:rsidRPr="00E93C2A">
        <w:rPr>
          <w:rFonts w:ascii="Times New Roman" w:hAnsi="Times New Roman" w:cs="Times New Roman"/>
          <w:sz w:val="22"/>
          <w:szCs w:val="22"/>
        </w:rPr>
        <w:t xml:space="preserve">, </w:t>
      </w:r>
      <w:r w:rsidR="00E93C2A" w:rsidRPr="00E93C2A">
        <w:rPr>
          <w:rFonts w:ascii="Times New Roman" w:hAnsi="Times New Roman" w:cs="Times New Roman"/>
          <w:i/>
          <w:sz w:val="22"/>
          <w:szCs w:val="22"/>
        </w:rPr>
        <w:t>Thinking, Fast and Slow</w:t>
      </w:r>
      <w:r w:rsidR="00E93C2A" w:rsidRPr="00E93C2A">
        <w:rPr>
          <w:rFonts w:ascii="Times New Roman" w:hAnsi="Times New Roman" w:cs="Times New Roman"/>
          <w:sz w:val="22"/>
          <w:szCs w:val="22"/>
        </w:rPr>
        <w:t xml:space="preserve"> (Farrar, Straus and Giroux, 2011), </w:t>
      </w:r>
      <w:r w:rsidRPr="00E93C2A">
        <w:rPr>
          <w:rFonts w:ascii="Times New Roman" w:hAnsi="Times New Roman" w:cs="Times New Roman"/>
          <w:sz w:val="22"/>
          <w:szCs w:val="22"/>
        </w:rPr>
        <w:t>50–8.</w:t>
      </w:r>
    </w:p>
  </w:footnote>
  <w:footnote w:id="10">
    <w:p w:rsidR="0098324B" w:rsidRPr="00E93C2A" w:rsidRDefault="0098324B"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00693385" w:rsidRPr="00E93C2A">
        <w:rPr>
          <w:rFonts w:ascii="Times New Roman" w:hAnsi="Times New Roman" w:cs="Times New Roman"/>
          <w:sz w:val="22"/>
          <w:szCs w:val="22"/>
        </w:rPr>
        <w:t xml:space="preserve"> </w:t>
      </w:r>
      <w:r w:rsidRPr="00E93C2A">
        <w:rPr>
          <w:rFonts w:ascii="Times New Roman" w:hAnsi="Times New Roman" w:cs="Times New Roman"/>
          <w:sz w:val="22"/>
          <w:szCs w:val="22"/>
        </w:rPr>
        <w:t xml:space="preserve">See, </w:t>
      </w:r>
      <w:proofErr w:type="spellStart"/>
      <w:r w:rsidRPr="00E93C2A">
        <w:rPr>
          <w:rFonts w:ascii="Times New Roman" w:hAnsi="Times New Roman" w:cs="Times New Roman"/>
          <w:sz w:val="22"/>
          <w:szCs w:val="22"/>
        </w:rPr>
        <w:t>eg</w:t>
      </w:r>
      <w:proofErr w:type="spellEnd"/>
      <w:r w:rsidRPr="00E93C2A">
        <w:rPr>
          <w:rFonts w:ascii="Times New Roman" w:hAnsi="Times New Roman" w:cs="Times New Roman"/>
          <w:sz w:val="22"/>
          <w:szCs w:val="22"/>
        </w:rPr>
        <w:t xml:space="preserve">, Pierre </w:t>
      </w:r>
      <w:proofErr w:type="spellStart"/>
      <w:r w:rsidRPr="00E93C2A">
        <w:rPr>
          <w:rFonts w:ascii="Times New Roman" w:hAnsi="Times New Roman" w:cs="Times New Roman"/>
          <w:sz w:val="22"/>
          <w:szCs w:val="22"/>
        </w:rPr>
        <w:t>Chandon</w:t>
      </w:r>
      <w:proofErr w:type="spellEnd"/>
      <w:r w:rsidRPr="00E93C2A">
        <w:rPr>
          <w:rFonts w:ascii="Times New Roman" w:hAnsi="Times New Roman" w:cs="Times New Roman"/>
          <w:sz w:val="22"/>
          <w:szCs w:val="22"/>
        </w:rPr>
        <w:t xml:space="preserve">, ‘How Package Design and Packaged-Based Marketing Claims Lead to Overeating’ (2013) 35 </w:t>
      </w:r>
      <w:r w:rsidRPr="00E93C2A">
        <w:rPr>
          <w:rFonts w:ascii="Times New Roman" w:hAnsi="Times New Roman" w:cs="Times New Roman"/>
          <w:i/>
          <w:sz w:val="22"/>
          <w:szCs w:val="22"/>
        </w:rPr>
        <w:t>Applied Economic Perspectives and Policy</w:t>
      </w:r>
      <w:r w:rsidRPr="00E93C2A">
        <w:rPr>
          <w:rFonts w:ascii="Times New Roman" w:hAnsi="Times New Roman" w:cs="Times New Roman"/>
          <w:sz w:val="22"/>
          <w:szCs w:val="22"/>
        </w:rPr>
        <w:t xml:space="preserve"> 7.</w:t>
      </w:r>
    </w:p>
  </w:footnote>
  <w:footnote w:id="11">
    <w:p w:rsidR="0098324B" w:rsidRPr="00E93C2A" w:rsidRDefault="0098324B"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00693385" w:rsidRPr="00E93C2A">
        <w:rPr>
          <w:rFonts w:ascii="Times New Roman" w:hAnsi="Times New Roman" w:cs="Times New Roman"/>
          <w:sz w:val="22"/>
          <w:szCs w:val="22"/>
        </w:rPr>
        <w:t xml:space="preserve"> </w:t>
      </w:r>
      <w:r w:rsidRPr="00E93C2A">
        <w:rPr>
          <w:rFonts w:ascii="Times New Roman" w:hAnsi="Times New Roman" w:cs="Times New Roman"/>
          <w:sz w:val="22"/>
          <w:szCs w:val="22"/>
        </w:rPr>
        <w:t xml:space="preserve">Rao </w:t>
      </w:r>
      <w:proofErr w:type="spellStart"/>
      <w:r w:rsidRPr="00E93C2A">
        <w:rPr>
          <w:rFonts w:ascii="Times New Roman" w:hAnsi="Times New Roman" w:cs="Times New Roman"/>
          <w:sz w:val="22"/>
          <w:szCs w:val="22"/>
        </w:rPr>
        <w:t>Sanaullah</w:t>
      </w:r>
      <w:proofErr w:type="spellEnd"/>
      <w:r w:rsidRPr="00E93C2A">
        <w:rPr>
          <w:rFonts w:ascii="Times New Roman" w:hAnsi="Times New Roman" w:cs="Times New Roman"/>
          <w:sz w:val="22"/>
          <w:szCs w:val="22"/>
        </w:rPr>
        <w:t xml:space="preserve"> Khan et al, ‘Functional Food Product Development – Opportunities and Challenges for Food Manufacturers’ (2013) 30 </w:t>
      </w:r>
      <w:r w:rsidRPr="00E93C2A">
        <w:rPr>
          <w:rFonts w:ascii="Times New Roman" w:hAnsi="Times New Roman" w:cs="Times New Roman"/>
          <w:i/>
          <w:sz w:val="22"/>
          <w:szCs w:val="22"/>
        </w:rPr>
        <w:t>Trends in Food Science &amp; Technology</w:t>
      </w:r>
      <w:r w:rsidR="00462BE8">
        <w:rPr>
          <w:rFonts w:ascii="Times New Roman" w:hAnsi="Times New Roman" w:cs="Times New Roman"/>
          <w:sz w:val="22"/>
          <w:szCs w:val="22"/>
        </w:rPr>
        <w:t xml:space="preserve"> 27</w:t>
      </w:r>
      <w:r w:rsidRPr="00E93C2A">
        <w:rPr>
          <w:rFonts w:ascii="Times New Roman" w:hAnsi="Times New Roman" w:cs="Times New Roman"/>
          <w:sz w:val="22"/>
          <w:szCs w:val="22"/>
        </w:rPr>
        <w:t xml:space="preserve">. For a comprehensive review of food marketing practices and its effect on food intake, see Pierre </w:t>
      </w:r>
      <w:proofErr w:type="spellStart"/>
      <w:r w:rsidRPr="00E93C2A">
        <w:rPr>
          <w:rFonts w:ascii="Times New Roman" w:hAnsi="Times New Roman" w:cs="Times New Roman"/>
          <w:sz w:val="22"/>
          <w:szCs w:val="22"/>
        </w:rPr>
        <w:t>Chandon</w:t>
      </w:r>
      <w:proofErr w:type="spellEnd"/>
      <w:r w:rsidRPr="00E93C2A">
        <w:rPr>
          <w:rFonts w:ascii="Times New Roman" w:hAnsi="Times New Roman" w:cs="Times New Roman"/>
          <w:sz w:val="22"/>
          <w:szCs w:val="22"/>
        </w:rPr>
        <w:t xml:space="preserve"> and Brian </w:t>
      </w:r>
      <w:proofErr w:type="spellStart"/>
      <w:r w:rsidRPr="00E93C2A">
        <w:rPr>
          <w:rFonts w:ascii="Times New Roman" w:hAnsi="Times New Roman" w:cs="Times New Roman"/>
          <w:sz w:val="22"/>
          <w:szCs w:val="22"/>
        </w:rPr>
        <w:t>Wansink</w:t>
      </w:r>
      <w:proofErr w:type="spellEnd"/>
      <w:r w:rsidRPr="00E93C2A">
        <w:rPr>
          <w:rFonts w:ascii="Times New Roman" w:hAnsi="Times New Roman" w:cs="Times New Roman"/>
          <w:sz w:val="22"/>
          <w:szCs w:val="22"/>
        </w:rPr>
        <w:t xml:space="preserve">, ‘Does Food Marketing Need To Make Us Fat? A Review and Solutions’ (2012) 70 </w:t>
      </w:r>
      <w:r w:rsidRPr="00E93C2A">
        <w:rPr>
          <w:rFonts w:ascii="Times New Roman" w:hAnsi="Times New Roman" w:cs="Times New Roman"/>
          <w:i/>
          <w:sz w:val="22"/>
          <w:szCs w:val="22"/>
        </w:rPr>
        <w:t xml:space="preserve">Nutrition Reviews </w:t>
      </w:r>
      <w:r w:rsidRPr="00E93C2A">
        <w:rPr>
          <w:rFonts w:ascii="Times New Roman" w:hAnsi="Times New Roman" w:cs="Times New Roman"/>
          <w:sz w:val="22"/>
          <w:szCs w:val="22"/>
        </w:rPr>
        <w:t>571.</w:t>
      </w:r>
    </w:p>
  </w:footnote>
  <w:footnote w:id="12">
    <w:p w:rsidR="00E348EE" w:rsidRPr="00E93C2A" w:rsidRDefault="00E348EE" w:rsidP="00E93C2A">
      <w:pPr>
        <w:pStyle w:val="FootnoteText"/>
        <w:spacing w:after="120"/>
        <w:jc w:val="both"/>
        <w:rPr>
          <w:rFonts w:ascii="Times New Roman" w:hAnsi="Times New Roman" w:cs="Times New Roman"/>
          <w:sz w:val="22"/>
          <w:szCs w:val="22"/>
        </w:rPr>
      </w:pPr>
      <w:r w:rsidRPr="00E93C2A">
        <w:rPr>
          <w:rStyle w:val="FootnoteReference"/>
          <w:rFonts w:ascii="Times New Roman" w:hAnsi="Times New Roman"/>
          <w:sz w:val="22"/>
          <w:szCs w:val="22"/>
        </w:rPr>
        <w:footnoteRef/>
      </w:r>
      <w:r w:rsidRPr="00E93C2A">
        <w:rPr>
          <w:rFonts w:ascii="Times New Roman" w:hAnsi="Times New Roman" w:cs="Times New Roman"/>
          <w:sz w:val="22"/>
          <w:szCs w:val="22"/>
        </w:rPr>
        <w:t xml:space="preserve"> For example, the I</w:t>
      </w:r>
      <w:r w:rsidR="00462BE8">
        <w:rPr>
          <w:rFonts w:ascii="Times New Roman" w:hAnsi="Times New Roman" w:cs="Times New Roman"/>
          <w:sz w:val="22"/>
          <w:szCs w:val="22"/>
        </w:rPr>
        <w:t>nternational Seed Federation (I</w:t>
      </w:r>
      <w:r w:rsidRPr="00E93C2A">
        <w:rPr>
          <w:rFonts w:ascii="Times New Roman" w:hAnsi="Times New Roman" w:cs="Times New Roman"/>
          <w:sz w:val="22"/>
          <w:szCs w:val="22"/>
        </w:rPr>
        <w:t>SF</w:t>
      </w:r>
      <w:r w:rsidR="00462BE8">
        <w:rPr>
          <w:rFonts w:ascii="Times New Roman" w:hAnsi="Times New Roman" w:cs="Times New Roman"/>
          <w:sz w:val="22"/>
          <w:szCs w:val="22"/>
        </w:rPr>
        <w:t>)</w:t>
      </w:r>
      <w:r w:rsidRPr="00E93C2A">
        <w:rPr>
          <w:rFonts w:ascii="Times New Roman" w:hAnsi="Times New Roman" w:cs="Times New Roman"/>
          <w:sz w:val="22"/>
          <w:szCs w:val="22"/>
        </w:rPr>
        <w:t xml:space="preserve"> defines plagiarism as ‘any act or use of material/technology in a breeding process that purposely makes a close imitation of an existing plant variety’: ISF, </w:t>
      </w:r>
      <w:r w:rsidRPr="00E93C2A">
        <w:rPr>
          <w:rFonts w:ascii="Times New Roman" w:hAnsi="Times New Roman" w:cs="Times New Roman"/>
          <w:i/>
          <w:sz w:val="22"/>
          <w:szCs w:val="22"/>
        </w:rPr>
        <w:t>ISF View on Intellectual Property</w:t>
      </w:r>
      <w:r w:rsidRPr="00E93C2A">
        <w:rPr>
          <w:rFonts w:ascii="Times New Roman" w:hAnsi="Times New Roman" w:cs="Times New Roman"/>
          <w:sz w:val="22"/>
          <w:szCs w:val="22"/>
        </w:rPr>
        <w:t xml:space="preserve"> (ISF, 2012), p. 19.</w:t>
      </w:r>
    </w:p>
  </w:footnote>
  <w:footnote w:id="13">
    <w:p w:rsidR="00E348EE" w:rsidRPr="00E93C2A" w:rsidRDefault="00E348EE" w:rsidP="00E93C2A">
      <w:pPr>
        <w:pStyle w:val="FootnoteText"/>
        <w:spacing w:after="120"/>
        <w:jc w:val="both"/>
        <w:rPr>
          <w:rFonts w:ascii="Times New Roman" w:hAnsi="Times New Roman" w:cs="Times New Roman"/>
          <w:sz w:val="22"/>
          <w:szCs w:val="22"/>
        </w:rPr>
      </w:pPr>
      <w:r w:rsidRPr="00E93C2A">
        <w:rPr>
          <w:rStyle w:val="FootnoteReference"/>
          <w:rFonts w:ascii="Times New Roman" w:hAnsi="Times New Roman"/>
          <w:sz w:val="22"/>
          <w:szCs w:val="22"/>
        </w:rPr>
        <w:footnoteRef/>
      </w:r>
      <w:r w:rsidRPr="00E93C2A">
        <w:rPr>
          <w:rFonts w:ascii="Times New Roman" w:hAnsi="Times New Roman" w:cs="Times New Roman"/>
          <w:sz w:val="22"/>
          <w:szCs w:val="22"/>
        </w:rPr>
        <w:t xml:space="preserve"> UPOV, </w:t>
      </w:r>
      <w:r w:rsidRPr="00E93C2A">
        <w:rPr>
          <w:rFonts w:ascii="Times New Roman" w:hAnsi="Times New Roman" w:cs="Times New Roman"/>
          <w:i/>
          <w:sz w:val="22"/>
          <w:szCs w:val="22"/>
        </w:rPr>
        <w:t>Records on the Diplomatic Conference for the Revision of the International Convention for the Protection of New Varieties of Plants 1991</w:t>
      </w:r>
      <w:r w:rsidRPr="00E93C2A">
        <w:rPr>
          <w:rFonts w:ascii="Times New Roman" w:hAnsi="Times New Roman" w:cs="Times New Roman"/>
          <w:sz w:val="22"/>
          <w:szCs w:val="22"/>
        </w:rPr>
        <w:t xml:space="preserve">, Publication No. 346(E) (UPOV, 1992), pp. 338-334. </w:t>
      </w:r>
    </w:p>
  </w:footnote>
  <w:footnote w:id="14">
    <w:p w:rsidR="00E348EE" w:rsidRPr="00E93C2A" w:rsidRDefault="00E348EE" w:rsidP="00E93C2A">
      <w:pPr>
        <w:pStyle w:val="FootnoteText"/>
        <w:spacing w:after="120"/>
        <w:jc w:val="both"/>
        <w:rPr>
          <w:rFonts w:ascii="Times New Roman" w:hAnsi="Times New Roman" w:cs="Times New Roman"/>
          <w:sz w:val="22"/>
          <w:szCs w:val="22"/>
        </w:rPr>
      </w:pPr>
      <w:r w:rsidRPr="00E93C2A">
        <w:rPr>
          <w:rStyle w:val="FootnoteReference"/>
          <w:rFonts w:ascii="Times New Roman" w:hAnsi="Times New Roman"/>
          <w:sz w:val="22"/>
          <w:szCs w:val="22"/>
        </w:rPr>
        <w:footnoteRef/>
      </w:r>
      <w:r w:rsidRPr="00E93C2A">
        <w:rPr>
          <w:rFonts w:ascii="Times New Roman" w:hAnsi="Times New Roman" w:cs="Times New Roman"/>
          <w:sz w:val="22"/>
          <w:szCs w:val="22"/>
        </w:rPr>
        <w:t xml:space="preserve"> UPOV, </w:t>
      </w:r>
      <w:r w:rsidRPr="00E93C2A">
        <w:rPr>
          <w:rFonts w:ascii="Times New Roman" w:hAnsi="Times New Roman" w:cs="Times New Roman"/>
          <w:i/>
          <w:sz w:val="22"/>
          <w:szCs w:val="22"/>
        </w:rPr>
        <w:t>Fourth Meeting with International Organizations: Revision of the Convention</w:t>
      </w:r>
      <w:r w:rsidRPr="00E93C2A">
        <w:rPr>
          <w:rFonts w:ascii="Times New Roman" w:hAnsi="Times New Roman" w:cs="Times New Roman"/>
          <w:sz w:val="22"/>
          <w:szCs w:val="22"/>
        </w:rPr>
        <w:t xml:space="preserve">, IOM/IV/2 (UPOV, 1989), pp. 10-12; See also WIPO, </w:t>
      </w:r>
      <w:r w:rsidRPr="00E93C2A">
        <w:rPr>
          <w:rFonts w:ascii="Times New Roman" w:hAnsi="Times New Roman" w:cs="Times New Roman"/>
          <w:i/>
          <w:sz w:val="22"/>
          <w:szCs w:val="22"/>
        </w:rPr>
        <w:t>Introduction to Plant Variety Protection under the UPOV Convention</w:t>
      </w:r>
      <w:r w:rsidRPr="00E93C2A">
        <w:rPr>
          <w:rFonts w:ascii="Times New Roman" w:hAnsi="Times New Roman" w:cs="Times New Roman"/>
          <w:sz w:val="22"/>
          <w:szCs w:val="22"/>
        </w:rPr>
        <w:t xml:space="preserve"> (2003), WIPO/IP/BIS/GE/03/00, [53]–[57].</w:t>
      </w:r>
    </w:p>
  </w:footnote>
  <w:footnote w:id="15">
    <w:p w:rsidR="003854B9" w:rsidRPr="00E93C2A" w:rsidRDefault="002919C3"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00B60884">
        <w:rPr>
          <w:rFonts w:ascii="Times New Roman" w:hAnsi="Times New Roman" w:cs="Times New Roman"/>
          <w:sz w:val="22"/>
          <w:szCs w:val="22"/>
        </w:rPr>
        <w:t xml:space="preserve"> See, Jay Sanderson ‘Essential Derivation, Law and the L</w:t>
      </w:r>
      <w:r w:rsidRPr="00E93C2A">
        <w:rPr>
          <w:rFonts w:ascii="Times New Roman" w:hAnsi="Times New Roman" w:cs="Times New Roman"/>
          <w:sz w:val="22"/>
          <w:szCs w:val="22"/>
        </w:rPr>
        <w:t xml:space="preserve">imits of </w:t>
      </w:r>
      <w:r w:rsidR="00B60884">
        <w:rPr>
          <w:rFonts w:ascii="Times New Roman" w:hAnsi="Times New Roman" w:cs="Times New Roman"/>
          <w:sz w:val="22"/>
          <w:szCs w:val="22"/>
        </w:rPr>
        <w:t>S</w:t>
      </w:r>
      <w:r w:rsidRPr="00E93C2A">
        <w:rPr>
          <w:rFonts w:ascii="Times New Roman" w:hAnsi="Times New Roman" w:cs="Times New Roman"/>
          <w:sz w:val="22"/>
          <w:szCs w:val="22"/>
        </w:rPr>
        <w:t xml:space="preserve">cience’ (2006) 24(1) </w:t>
      </w:r>
      <w:r w:rsidRPr="00E93C2A">
        <w:rPr>
          <w:rFonts w:ascii="Times New Roman" w:hAnsi="Times New Roman" w:cs="Times New Roman"/>
          <w:i/>
          <w:sz w:val="22"/>
          <w:szCs w:val="22"/>
        </w:rPr>
        <w:t>Law in Context</w:t>
      </w:r>
      <w:r w:rsidR="00462BE8">
        <w:rPr>
          <w:rFonts w:ascii="Times New Roman" w:hAnsi="Times New Roman" w:cs="Times New Roman"/>
          <w:sz w:val="22"/>
          <w:szCs w:val="22"/>
        </w:rPr>
        <w:t xml:space="preserve"> 34</w:t>
      </w:r>
      <w:r w:rsidRPr="00E93C2A">
        <w:rPr>
          <w:rFonts w:ascii="Times New Roman" w:hAnsi="Times New Roman" w:cs="Times New Roman"/>
          <w:sz w:val="22"/>
          <w:szCs w:val="22"/>
        </w:rPr>
        <w:t>.</w:t>
      </w:r>
      <w:r w:rsidR="00462BE8">
        <w:rPr>
          <w:rFonts w:ascii="Times New Roman" w:hAnsi="Times New Roman" w:cs="Times New Roman"/>
          <w:sz w:val="22"/>
          <w:szCs w:val="22"/>
        </w:rPr>
        <w:t xml:space="preserve"> S</w:t>
      </w:r>
      <w:r w:rsidR="003854B9" w:rsidRPr="00E93C2A">
        <w:rPr>
          <w:rFonts w:ascii="Times New Roman" w:hAnsi="Times New Roman" w:cs="Times New Roman"/>
          <w:sz w:val="22"/>
          <w:szCs w:val="22"/>
        </w:rPr>
        <w:t>imilar issues remain</w:t>
      </w:r>
      <w:r w:rsidRPr="00E93C2A">
        <w:rPr>
          <w:rFonts w:ascii="Times New Roman" w:hAnsi="Times New Roman" w:cs="Times New Roman"/>
          <w:sz w:val="22"/>
          <w:szCs w:val="22"/>
        </w:rPr>
        <w:t xml:space="preserve"> almost a dec</w:t>
      </w:r>
      <w:r w:rsidR="003854B9" w:rsidRPr="00E93C2A">
        <w:rPr>
          <w:rFonts w:ascii="Times New Roman" w:hAnsi="Times New Roman" w:cs="Times New Roman"/>
          <w:sz w:val="22"/>
          <w:szCs w:val="22"/>
        </w:rPr>
        <w:t xml:space="preserve">ade later: see, Charles Lawson, ‘Plant Breeder’s Rights and Essentially Derived Varieties: Still Searching for Workable Solutions’ (2014) 32(8) </w:t>
      </w:r>
      <w:r w:rsidR="003854B9" w:rsidRPr="00E93C2A">
        <w:rPr>
          <w:rFonts w:ascii="Times New Roman" w:hAnsi="Times New Roman" w:cs="Times New Roman"/>
          <w:i/>
          <w:sz w:val="22"/>
          <w:szCs w:val="22"/>
        </w:rPr>
        <w:t>European Intellectual Property Review</w:t>
      </w:r>
      <w:r w:rsidR="003854B9" w:rsidRPr="00E93C2A">
        <w:rPr>
          <w:rFonts w:ascii="Times New Roman" w:hAnsi="Times New Roman" w:cs="Times New Roman"/>
          <w:sz w:val="22"/>
          <w:szCs w:val="22"/>
        </w:rPr>
        <w:t xml:space="preserve">, </w:t>
      </w:r>
      <w:r w:rsidR="00462BE8">
        <w:rPr>
          <w:rFonts w:ascii="Times New Roman" w:hAnsi="Times New Roman" w:cs="Times New Roman"/>
          <w:sz w:val="22"/>
          <w:szCs w:val="22"/>
        </w:rPr>
        <w:t>499</w:t>
      </w:r>
      <w:r w:rsidR="003854B9" w:rsidRPr="00E93C2A">
        <w:rPr>
          <w:rFonts w:ascii="Times New Roman" w:hAnsi="Times New Roman" w:cs="Times New Roman"/>
          <w:sz w:val="22"/>
          <w:szCs w:val="22"/>
        </w:rPr>
        <w:t>.</w:t>
      </w:r>
    </w:p>
  </w:footnote>
  <w:footnote w:id="16">
    <w:p w:rsidR="00E348EE" w:rsidRPr="00E93C2A" w:rsidRDefault="00E348EE"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Pr="00E93C2A">
        <w:rPr>
          <w:rFonts w:ascii="Times New Roman" w:hAnsi="Times New Roman" w:cs="Times New Roman"/>
          <w:sz w:val="22"/>
          <w:szCs w:val="22"/>
        </w:rPr>
        <w:t xml:space="preserve"> </w:t>
      </w:r>
      <w:proofErr w:type="spellStart"/>
      <w:r w:rsidRPr="00E93C2A">
        <w:rPr>
          <w:rFonts w:ascii="Times New Roman" w:hAnsi="Times New Roman" w:cs="Times New Roman"/>
          <w:i/>
          <w:sz w:val="22"/>
          <w:szCs w:val="22"/>
        </w:rPr>
        <w:t>Danziger</w:t>
      </w:r>
      <w:proofErr w:type="spellEnd"/>
      <w:r w:rsidRPr="00E93C2A">
        <w:rPr>
          <w:rFonts w:ascii="Times New Roman" w:hAnsi="Times New Roman" w:cs="Times New Roman"/>
          <w:i/>
          <w:sz w:val="22"/>
          <w:szCs w:val="22"/>
        </w:rPr>
        <w:t xml:space="preserve"> v. </w:t>
      </w:r>
      <w:proofErr w:type="spellStart"/>
      <w:r w:rsidRPr="00E93C2A">
        <w:rPr>
          <w:rFonts w:ascii="Times New Roman" w:hAnsi="Times New Roman" w:cs="Times New Roman"/>
          <w:i/>
          <w:sz w:val="22"/>
          <w:szCs w:val="22"/>
        </w:rPr>
        <w:t>Astée</w:t>
      </w:r>
      <w:proofErr w:type="spellEnd"/>
      <w:r w:rsidRPr="00E93C2A">
        <w:rPr>
          <w:rFonts w:ascii="Times New Roman" w:hAnsi="Times New Roman" w:cs="Times New Roman"/>
          <w:sz w:val="22"/>
          <w:szCs w:val="22"/>
        </w:rPr>
        <w:t xml:space="preserve"> 105.003.932/01, Court of Appeal, The Hague (2009); </w:t>
      </w:r>
      <w:proofErr w:type="spellStart"/>
      <w:r w:rsidRPr="00E93C2A">
        <w:rPr>
          <w:rFonts w:ascii="Times New Roman" w:hAnsi="Times New Roman" w:cs="Times New Roman"/>
          <w:i/>
          <w:sz w:val="22"/>
          <w:szCs w:val="22"/>
        </w:rPr>
        <w:t>Danziger</w:t>
      </w:r>
      <w:proofErr w:type="spellEnd"/>
      <w:r w:rsidRPr="00E93C2A">
        <w:rPr>
          <w:rFonts w:ascii="Times New Roman" w:hAnsi="Times New Roman" w:cs="Times New Roman"/>
          <w:i/>
          <w:sz w:val="22"/>
          <w:szCs w:val="22"/>
        </w:rPr>
        <w:t xml:space="preserve"> v. </w:t>
      </w:r>
      <w:proofErr w:type="spellStart"/>
      <w:r w:rsidRPr="00E93C2A">
        <w:rPr>
          <w:rFonts w:ascii="Times New Roman" w:hAnsi="Times New Roman" w:cs="Times New Roman"/>
          <w:i/>
          <w:sz w:val="22"/>
          <w:szCs w:val="22"/>
        </w:rPr>
        <w:t>Azolay</w:t>
      </w:r>
      <w:proofErr w:type="spellEnd"/>
      <w:r w:rsidRPr="00E93C2A">
        <w:rPr>
          <w:rFonts w:ascii="Times New Roman" w:hAnsi="Times New Roman" w:cs="Times New Roman"/>
          <w:sz w:val="22"/>
          <w:szCs w:val="22"/>
        </w:rPr>
        <w:t xml:space="preserve"> 1228/03, District Court, Tel-Aviv-Jaffa (2009).</w:t>
      </w:r>
    </w:p>
  </w:footnote>
  <w:footnote w:id="17">
    <w:p w:rsidR="00E348EE" w:rsidRPr="00E93C2A" w:rsidRDefault="00E348EE" w:rsidP="00E93C2A">
      <w:pPr>
        <w:pStyle w:val="FootnoteText"/>
        <w:spacing w:after="120"/>
        <w:rPr>
          <w:rFonts w:ascii="Times New Roman" w:hAnsi="Times New Roman" w:cs="Times New Roman"/>
          <w:sz w:val="22"/>
          <w:szCs w:val="22"/>
        </w:rPr>
      </w:pPr>
      <w:r w:rsidRPr="00E93C2A">
        <w:rPr>
          <w:rStyle w:val="FootnoteReference"/>
          <w:rFonts w:ascii="Times New Roman" w:hAnsi="Times New Roman"/>
          <w:sz w:val="22"/>
          <w:szCs w:val="22"/>
        </w:rPr>
        <w:footnoteRef/>
      </w:r>
      <w:r w:rsidRPr="00E93C2A">
        <w:rPr>
          <w:rFonts w:ascii="Times New Roman" w:hAnsi="Times New Roman" w:cs="Times New Roman"/>
          <w:sz w:val="22"/>
          <w:szCs w:val="22"/>
        </w:rPr>
        <w:t xml:space="preserve"> </w:t>
      </w:r>
      <w:r w:rsidR="00CC2EB1" w:rsidRPr="00E93C2A">
        <w:rPr>
          <w:rFonts w:ascii="Times New Roman" w:hAnsi="Times New Roman" w:cs="Times New Roman"/>
          <w:sz w:val="22"/>
          <w:szCs w:val="22"/>
        </w:rPr>
        <w:t>This is the l</w:t>
      </w:r>
      <w:r w:rsidRPr="00E93C2A">
        <w:rPr>
          <w:rFonts w:ascii="Times New Roman" w:hAnsi="Times New Roman" w:cs="Times New Roman"/>
          <w:sz w:val="22"/>
          <w:szCs w:val="22"/>
        </w:rPr>
        <w:t xml:space="preserve">anguage used by the Netherland’s Court of Appeal in The Hague: see </w:t>
      </w:r>
      <w:proofErr w:type="spellStart"/>
      <w:r w:rsidRPr="00E93C2A">
        <w:rPr>
          <w:rFonts w:ascii="Times New Roman" w:hAnsi="Times New Roman" w:cs="Times New Roman"/>
          <w:i/>
          <w:sz w:val="22"/>
          <w:szCs w:val="22"/>
        </w:rPr>
        <w:t>Danziger</w:t>
      </w:r>
      <w:proofErr w:type="spellEnd"/>
      <w:r w:rsidRPr="00E93C2A">
        <w:rPr>
          <w:rFonts w:ascii="Times New Roman" w:hAnsi="Times New Roman" w:cs="Times New Roman"/>
          <w:i/>
          <w:sz w:val="22"/>
          <w:szCs w:val="22"/>
        </w:rPr>
        <w:t xml:space="preserve"> ‘Dan’ Flower Farm v. </w:t>
      </w:r>
      <w:proofErr w:type="spellStart"/>
      <w:r w:rsidRPr="00E93C2A">
        <w:rPr>
          <w:rFonts w:ascii="Times New Roman" w:hAnsi="Times New Roman" w:cs="Times New Roman"/>
          <w:i/>
          <w:sz w:val="22"/>
          <w:szCs w:val="22"/>
        </w:rPr>
        <w:t>Astée</w:t>
      </w:r>
      <w:proofErr w:type="spellEnd"/>
      <w:r w:rsidRPr="00E93C2A">
        <w:rPr>
          <w:rFonts w:ascii="Times New Roman" w:hAnsi="Times New Roman" w:cs="Times New Roman"/>
          <w:i/>
          <w:sz w:val="22"/>
          <w:szCs w:val="22"/>
        </w:rPr>
        <w:t xml:space="preserve"> Flowers </w:t>
      </w:r>
      <w:proofErr w:type="spellStart"/>
      <w:r w:rsidRPr="00E93C2A">
        <w:rPr>
          <w:rFonts w:ascii="Times New Roman" w:hAnsi="Times New Roman" w:cs="Times New Roman"/>
          <w:i/>
          <w:sz w:val="22"/>
          <w:szCs w:val="22"/>
        </w:rPr>
        <w:t>B.V</w:t>
      </w:r>
      <w:proofErr w:type="spellEnd"/>
      <w:r w:rsidRPr="00E93C2A">
        <w:rPr>
          <w:rFonts w:ascii="Times New Roman" w:hAnsi="Times New Roman" w:cs="Times New Roman"/>
          <w:i/>
          <w:sz w:val="22"/>
          <w:szCs w:val="22"/>
        </w:rPr>
        <w:t>.</w:t>
      </w:r>
      <w:r w:rsidRPr="00E93C2A">
        <w:rPr>
          <w:rFonts w:ascii="Times New Roman" w:hAnsi="Times New Roman" w:cs="Times New Roman"/>
          <w:sz w:val="22"/>
          <w:szCs w:val="22"/>
        </w:rPr>
        <w:t xml:space="preserve"> 105.003.932/01, Court Appeal, The Hague (2009),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508"/>
    <w:multiLevelType w:val="hybridMultilevel"/>
    <w:tmpl w:val="526096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CC47831"/>
    <w:multiLevelType w:val="hybridMultilevel"/>
    <w:tmpl w:val="A4002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36E4634"/>
    <w:multiLevelType w:val="hybridMultilevel"/>
    <w:tmpl w:val="E6BEBA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7AF00A9"/>
    <w:multiLevelType w:val="multilevel"/>
    <w:tmpl w:val="FCC814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8B"/>
    <w:rsid w:val="00001F63"/>
    <w:rsid w:val="00213338"/>
    <w:rsid w:val="002919C3"/>
    <w:rsid w:val="003059BA"/>
    <w:rsid w:val="003854B9"/>
    <w:rsid w:val="003879A9"/>
    <w:rsid w:val="003A609C"/>
    <w:rsid w:val="003F1E79"/>
    <w:rsid w:val="00462BE8"/>
    <w:rsid w:val="00581C05"/>
    <w:rsid w:val="0068382B"/>
    <w:rsid w:val="006842BB"/>
    <w:rsid w:val="00693385"/>
    <w:rsid w:val="0098324B"/>
    <w:rsid w:val="009D6747"/>
    <w:rsid w:val="00A74910"/>
    <w:rsid w:val="00B55FEA"/>
    <w:rsid w:val="00B60884"/>
    <w:rsid w:val="00BC63E5"/>
    <w:rsid w:val="00BE6813"/>
    <w:rsid w:val="00CC2EB1"/>
    <w:rsid w:val="00DD5A8B"/>
    <w:rsid w:val="00E348EE"/>
    <w:rsid w:val="00E93C2A"/>
    <w:rsid w:val="00F3439E"/>
    <w:rsid w:val="00F957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8B"/>
    <w:rPr>
      <w:color w:val="0563C1" w:themeColor="hyperlink"/>
      <w:u w:val="single"/>
    </w:rPr>
  </w:style>
  <w:style w:type="paragraph" w:styleId="ListParagraph">
    <w:name w:val="List Paragraph"/>
    <w:basedOn w:val="Normal"/>
    <w:uiPriority w:val="34"/>
    <w:qFormat/>
    <w:rsid w:val="00DD5A8B"/>
    <w:pPr>
      <w:ind w:left="720"/>
      <w:contextualSpacing/>
    </w:pPr>
  </w:style>
  <w:style w:type="paragraph" w:styleId="FootnoteText">
    <w:name w:val="footnote text"/>
    <w:basedOn w:val="Normal"/>
    <w:link w:val="FootnoteTextChar"/>
    <w:unhideWhenUsed/>
    <w:qFormat/>
    <w:rsid w:val="00E348EE"/>
    <w:pPr>
      <w:spacing w:after="0" w:line="240" w:lineRule="auto"/>
    </w:pPr>
    <w:rPr>
      <w:sz w:val="20"/>
      <w:szCs w:val="20"/>
    </w:rPr>
  </w:style>
  <w:style w:type="character" w:customStyle="1" w:styleId="FootnoteTextChar">
    <w:name w:val="Footnote Text Char"/>
    <w:basedOn w:val="DefaultParagraphFont"/>
    <w:link w:val="FootnoteText"/>
    <w:rsid w:val="00E348EE"/>
    <w:rPr>
      <w:sz w:val="20"/>
      <w:szCs w:val="20"/>
    </w:rPr>
  </w:style>
  <w:style w:type="character" w:styleId="FootnoteReference">
    <w:name w:val="footnote reference"/>
    <w:uiPriority w:val="99"/>
    <w:rsid w:val="00E348EE"/>
    <w:rPr>
      <w:rFonts w:cs="Times New Roman"/>
      <w:vertAlign w:val="superscript"/>
    </w:rPr>
  </w:style>
  <w:style w:type="paragraph" w:styleId="BalloonText">
    <w:name w:val="Balloon Text"/>
    <w:basedOn w:val="Normal"/>
    <w:link w:val="BalloonTextChar"/>
    <w:uiPriority w:val="99"/>
    <w:semiHidden/>
    <w:unhideWhenUsed/>
    <w:rsid w:val="003F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8B"/>
    <w:rPr>
      <w:color w:val="0563C1" w:themeColor="hyperlink"/>
      <w:u w:val="single"/>
    </w:rPr>
  </w:style>
  <w:style w:type="paragraph" w:styleId="ListParagraph">
    <w:name w:val="List Paragraph"/>
    <w:basedOn w:val="Normal"/>
    <w:uiPriority w:val="34"/>
    <w:qFormat/>
    <w:rsid w:val="00DD5A8B"/>
    <w:pPr>
      <w:ind w:left="720"/>
      <w:contextualSpacing/>
    </w:pPr>
  </w:style>
  <w:style w:type="paragraph" w:styleId="FootnoteText">
    <w:name w:val="footnote text"/>
    <w:basedOn w:val="Normal"/>
    <w:link w:val="FootnoteTextChar"/>
    <w:unhideWhenUsed/>
    <w:qFormat/>
    <w:rsid w:val="00E348EE"/>
    <w:pPr>
      <w:spacing w:after="0" w:line="240" w:lineRule="auto"/>
    </w:pPr>
    <w:rPr>
      <w:sz w:val="20"/>
      <w:szCs w:val="20"/>
    </w:rPr>
  </w:style>
  <w:style w:type="character" w:customStyle="1" w:styleId="FootnoteTextChar">
    <w:name w:val="Footnote Text Char"/>
    <w:basedOn w:val="DefaultParagraphFont"/>
    <w:link w:val="FootnoteText"/>
    <w:rsid w:val="00E348EE"/>
    <w:rPr>
      <w:sz w:val="20"/>
      <w:szCs w:val="20"/>
    </w:rPr>
  </w:style>
  <w:style w:type="character" w:styleId="FootnoteReference">
    <w:name w:val="footnote reference"/>
    <w:uiPriority w:val="99"/>
    <w:rsid w:val="00E348EE"/>
    <w:rPr>
      <w:rFonts w:cs="Times New Roman"/>
      <w:vertAlign w:val="superscript"/>
    </w:rPr>
  </w:style>
  <w:style w:type="paragraph" w:styleId="BalloonText">
    <w:name w:val="Balloon Text"/>
    <w:basedOn w:val="Normal"/>
    <w:link w:val="BalloonTextChar"/>
    <w:uiPriority w:val="99"/>
    <w:semiHidden/>
    <w:unhideWhenUsed/>
    <w:rsid w:val="003F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D158-38F4-4B43-9693-1B58EB9C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Submission DR208 - Jay Sanderson - Intellectual Property Arrangments - Public inquiry</vt:lpstr>
    </vt:vector>
  </TitlesOfParts>
  <Company>Jay Sanderson</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DR208 - Jay Sanderson - Intellectual Property Arrangments - Public inquiry</dc:title>
  <dc:subject/>
  <dc:creator>Jay Sanderson</dc:creator>
  <cp:keywords/>
  <dc:description/>
  <cp:lastModifiedBy>Productivity Commission</cp:lastModifiedBy>
  <cp:revision>20</cp:revision>
  <dcterms:created xsi:type="dcterms:W3CDTF">2016-05-31T00:28:00Z</dcterms:created>
  <dcterms:modified xsi:type="dcterms:W3CDTF">2016-06-02T23:31:00Z</dcterms:modified>
</cp:coreProperties>
</file>