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FC4" w:rsidRDefault="001F492C">
      <w:bookmarkStart w:id="0" w:name="ChapterTitl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Supplementary Paper - Economies of Scale cover artwork" style="position:absolute;margin-left:-91.1pt;margin-top:-103.95pt;width:595.6pt;height:843.25pt;z-index:251660288;mso-position-horizontal-relative:text;mso-position-vertical-relative:text;mso-width-relative:page;mso-height-relative:page">
            <v:imagedata r:id="rId14" o:title="Supplementary-Paper-Economies-of-Scale-Cover"/>
          </v:shape>
        </w:pict>
      </w:r>
      <w:r w:rsidR="001C6FC4">
        <w:br w:type="page"/>
      </w:r>
    </w:p>
    <w:p w:rsidR="00AD3978" w:rsidRDefault="00AD3978" w:rsidP="00AD3978">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rsidR="00AD3978" w:rsidRDefault="00AD3978" w:rsidP="00AD3978">
      <w:pPr>
        <w:pStyle w:val="BodyText"/>
        <w:spacing w:before="120" w:after="120"/>
      </w:pPr>
      <w:bookmarkStart w:id="1" w:name="ISSN"/>
      <w:bookmarkEnd w:id="1"/>
      <w:r w:rsidRPr="00862D8F">
        <w:rPr>
          <w:noProof/>
          <w:sz w:val="22"/>
          <w:szCs w:val="22"/>
        </w:rPr>
        <w:drawing>
          <wp:inline distT="0" distB="0" distL="0" distR="0" wp14:anchorId="46F5E3C7" wp14:editId="62301BDD">
            <wp:extent cx="843280" cy="295043"/>
            <wp:effectExtent l="0" t="0" r="0" b="0"/>
            <wp:docPr id="9" name="Picture 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AD3978" w:rsidRDefault="00AD3978" w:rsidP="00AD3978">
      <w:pPr>
        <w:pStyle w:val="Copyrightbodytext"/>
        <w:spacing w:before="120"/>
      </w:pPr>
      <w: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rsidR="00AD3978" w:rsidRDefault="00AD3978" w:rsidP="00AD3978">
      <w:pPr>
        <w:pStyle w:val="Copyrightheading"/>
        <w:spacing w:before="200"/>
      </w:pPr>
      <w:r>
        <w:t>Use of the Commonwealth Coat of Arms</w:t>
      </w:r>
    </w:p>
    <w:p w:rsidR="00AD3978" w:rsidRDefault="00AD3978" w:rsidP="00AD3978">
      <w:pPr>
        <w:pStyle w:val="Copyrightbodytext"/>
      </w:pPr>
      <w:r>
        <w:t>Terms of use for the Coat of Arms are available from the Department of the Prime Minister and Cabinet’s website: https://www.pmc.gov.au/government/commonwealth-coat-arms</w:t>
      </w:r>
    </w:p>
    <w:p w:rsidR="00AD3978" w:rsidRDefault="00AD3978" w:rsidP="00AD3978">
      <w:pPr>
        <w:pStyle w:val="Copyrightheading"/>
        <w:spacing w:before="200"/>
      </w:pPr>
      <w:r>
        <w:t>Third party copyright</w:t>
      </w:r>
    </w:p>
    <w:p w:rsidR="00AD3978" w:rsidRDefault="00AD3978" w:rsidP="00AD3978">
      <w:pPr>
        <w:pStyle w:val="Copyrightbodytext"/>
      </w:pPr>
      <w:r>
        <w:t>Wherever a third party holds copyright in this material, the copyright remains with that party. Their permission may be required to use the material, please contact them directly.</w:t>
      </w:r>
    </w:p>
    <w:p w:rsidR="00AD3978" w:rsidRDefault="00AD3978" w:rsidP="00AD3978">
      <w:pPr>
        <w:pStyle w:val="Copyrightheading"/>
        <w:spacing w:before="200"/>
      </w:pPr>
      <w:r>
        <w:t>Attribution</w:t>
      </w:r>
    </w:p>
    <w:p w:rsidR="00AD3978" w:rsidRDefault="00AD3978" w:rsidP="00AD3978">
      <w:pPr>
        <w:pStyle w:val="Copyrightbodytext"/>
      </w:pPr>
      <w:r>
        <w:t xml:space="preserve">This work should be attributed as follows, </w:t>
      </w:r>
      <w:r w:rsidRPr="004D3126">
        <w:rPr>
          <w:i/>
        </w:rPr>
        <w:t xml:space="preserve">Source: </w:t>
      </w:r>
      <w:r>
        <w:rPr>
          <w:i/>
        </w:rPr>
        <w:t xml:space="preserve">Productivity Commission, </w:t>
      </w:r>
      <w:r w:rsidRPr="004D3126">
        <w:rPr>
          <w:i/>
        </w:rPr>
        <w:t xml:space="preserve">Supplementary Paper </w:t>
      </w:r>
      <w:r>
        <w:rPr>
          <w:i/>
        </w:rPr>
        <w:t>–</w:t>
      </w:r>
      <w:r w:rsidRPr="004D3126">
        <w:rPr>
          <w:i/>
        </w:rPr>
        <w:t xml:space="preserve"> </w:t>
      </w:r>
      <w:r>
        <w:rPr>
          <w:i/>
        </w:rPr>
        <w:t>Economies of Scale.</w:t>
      </w:r>
    </w:p>
    <w:p w:rsidR="00AD3978" w:rsidRPr="003B11F0" w:rsidRDefault="00AD3978" w:rsidP="00AD3978">
      <w:pPr>
        <w:pStyle w:val="Copyrightbodytext"/>
        <w:spacing w:before="80"/>
        <w:rPr>
          <w:spacing w:val="-2"/>
        </w:rPr>
      </w:pPr>
      <w:r w:rsidRPr="003B11F0">
        <w:rPr>
          <w:spacing w:val="-2"/>
        </w:rPr>
        <w:t xml:space="preserve">If you have adapted, modified or transformed this work in anyway, please use the following, </w:t>
      </w:r>
      <w:r w:rsidRPr="003B11F0">
        <w:rPr>
          <w:i/>
          <w:spacing w:val="-2"/>
        </w:rPr>
        <w:t>Source: based on Productivity Commission data, Supplementary Paper – Economies of Scale.</w:t>
      </w:r>
    </w:p>
    <w:p w:rsidR="00AD3978" w:rsidRDefault="00AD3978" w:rsidP="00AD3978">
      <w:pPr>
        <w:pStyle w:val="Copyrightheading"/>
        <w:spacing w:before="200"/>
      </w:pPr>
      <w:r>
        <w:t>An appropriate reference for this publication is:</w:t>
      </w:r>
    </w:p>
    <w:p w:rsidR="00AD3978" w:rsidRPr="00B13A90" w:rsidRDefault="00AD3978" w:rsidP="00AD3978">
      <w:pPr>
        <w:pStyle w:val="Copyrightbodytext"/>
        <w:rPr>
          <w:i/>
        </w:rPr>
      </w:pPr>
      <w:r>
        <w:t xml:space="preserve">Productivity Commission 2018, </w:t>
      </w:r>
      <w:r>
        <w:rPr>
          <w:i/>
        </w:rPr>
        <w:t>Supplemen</w:t>
      </w:r>
      <w:r w:rsidR="00D47354">
        <w:rPr>
          <w:i/>
        </w:rPr>
        <w:t>tary Paper – Economies of Scale</w:t>
      </w:r>
      <w:r w:rsidRPr="0034305D">
        <w:t>, Canberra.</w:t>
      </w:r>
    </w:p>
    <w:p w:rsidR="00AD3978" w:rsidRDefault="00AD3978" w:rsidP="00AD3978">
      <w:pPr>
        <w:pStyle w:val="Copyrightheading"/>
        <w:spacing w:before="200"/>
      </w:pPr>
      <w:r>
        <w:t>Publications enquiries</w:t>
      </w:r>
    </w:p>
    <w:p w:rsidR="00AD3978" w:rsidRDefault="00AD3978" w:rsidP="00AD3978">
      <w:pPr>
        <w:pStyle w:val="Copyrightbodytext"/>
      </w:pPr>
      <w:r>
        <w:t>Media, Publications and Web, phone: (03) 9653 2244 or email: mpw@pc.gov.au</w:t>
      </w:r>
      <w:r>
        <w:cr/>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D3978" w:rsidTr="00D47354">
        <w:trPr>
          <w:tblHeader/>
        </w:trPr>
        <w:tc>
          <w:tcPr>
            <w:tcW w:w="5000" w:type="pct"/>
            <w:tcBorders>
              <w:top w:val="single" w:sz="6" w:space="0" w:color="78A22F"/>
              <w:left w:val="nil"/>
              <w:bottom w:val="nil"/>
              <w:right w:val="nil"/>
            </w:tcBorders>
            <w:shd w:val="clear" w:color="auto" w:fill="F2F2F2"/>
          </w:tcPr>
          <w:p w:rsidR="00AD3978" w:rsidRDefault="00AD3978" w:rsidP="003B11F0">
            <w:pPr>
              <w:pStyle w:val="BoxTitle"/>
            </w:pPr>
            <w:r w:rsidRPr="0034305D">
              <w:t>The Productivity Commission</w:t>
            </w:r>
          </w:p>
        </w:tc>
      </w:tr>
      <w:tr w:rsidR="00AD3978" w:rsidTr="00D47354">
        <w:trPr>
          <w:trHeight w:val="2715"/>
        </w:trPr>
        <w:tc>
          <w:tcPr>
            <w:tcW w:w="5000" w:type="pct"/>
            <w:tcBorders>
              <w:top w:val="nil"/>
              <w:left w:val="nil"/>
              <w:bottom w:val="single" w:sz="2" w:space="0" w:color="78A22F" w:themeColor="accent1"/>
              <w:right w:val="nil"/>
            </w:tcBorders>
            <w:shd w:val="clear" w:color="auto" w:fill="F2F2F2"/>
          </w:tcPr>
          <w:p w:rsidR="00AD3978" w:rsidRDefault="00AD3978" w:rsidP="003B11F0">
            <w:pPr>
              <w:pStyle w:val="Box"/>
            </w:pPr>
            <w: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AD3978" w:rsidRDefault="00AD3978" w:rsidP="003B11F0">
            <w:pPr>
              <w:pStyle w:val="Box"/>
            </w:pPr>
            <w:r>
              <w:t>The Commission’s independence is underpinned by an Act of Parliament. Its processes and outputs are open to public scrutiny and are driven by concern for the wellbeing of the community as a whole.</w:t>
            </w:r>
          </w:p>
          <w:p w:rsidR="00AD3978" w:rsidRPr="00202D7F" w:rsidRDefault="00AD3978" w:rsidP="003B11F0">
            <w:pPr>
              <w:pStyle w:val="BoxListBullet2"/>
              <w:numPr>
                <w:ilvl w:val="0"/>
                <w:numId w:val="0"/>
              </w:numPr>
            </w:pPr>
            <w:r>
              <w:t>Further information on the Productivity Commission can be obtained from the Commission’s website (www.pc.gov.au).</w:t>
            </w:r>
          </w:p>
        </w:tc>
      </w:tr>
    </w:tbl>
    <w:p w:rsidR="001C6FC4" w:rsidRDefault="001C6FC4" w:rsidP="001C6FC4">
      <w:pPr>
        <w:pStyle w:val="BodyText"/>
      </w:pPr>
    </w:p>
    <w:p w:rsidR="00AD3978" w:rsidRPr="001C6FC4" w:rsidRDefault="00AD3978" w:rsidP="001C6FC4">
      <w:pPr>
        <w:pStyle w:val="BodyText"/>
        <w:sectPr w:rsidR="00AD3978" w:rsidRPr="001C6FC4" w:rsidSect="008A57F3">
          <w:headerReference w:type="default" r:id="rId16"/>
          <w:footerReference w:type="default" r:id="rId17"/>
          <w:pgSz w:w="11907" w:h="16840" w:code="9"/>
          <w:pgMar w:top="1985" w:right="1304" w:bottom="1247" w:left="1814" w:header="1701" w:footer="397" w:gutter="0"/>
          <w:pgNumType w:start="1" w:chapSep="period"/>
          <w:cols w:space="720"/>
        </w:sectPr>
      </w:pPr>
    </w:p>
    <w:sdt>
      <w:sdtPr>
        <w:rPr>
          <w:sz w:val="24"/>
        </w:rPr>
        <w:id w:val="-920256564"/>
        <w:docPartObj>
          <w:docPartGallery w:val="Table of Contents"/>
          <w:docPartUnique/>
        </w:docPartObj>
      </w:sdtPr>
      <w:sdtEndPr>
        <w:rPr>
          <w:b/>
          <w:bCs/>
          <w:noProof/>
        </w:rPr>
      </w:sdtEndPr>
      <w:sdtContent>
        <w:p w:rsidR="00273F94" w:rsidRDefault="00273F94" w:rsidP="00273F94">
          <w:pPr>
            <w:pStyle w:val="Heading1"/>
          </w:pPr>
          <w:r>
            <w:t>Contents</w:t>
          </w:r>
        </w:p>
        <w:p w:rsidR="003B11F0" w:rsidRDefault="00273F94">
          <w:pPr>
            <w:pStyle w:val="TOC1"/>
            <w:rPr>
              <w:rFonts w:asciiTheme="minorHAnsi" w:eastAsiaTheme="minorEastAsia" w:hAnsiTheme="minorHAnsi" w:cstheme="minorBidi"/>
              <w:b w:val="0"/>
              <w:noProof/>
              <w:sz w:val="22"/>
              <w:szCs w:val="22"/>
              <w:lang w:eastAsia="en-AU"/>
            </w:rPr>
          </w:pPr>
          <w:r>
            <w:rPr>
              <w:b w:val="0"/>
            </w:rPr>
            <w:fldChar w:fldCharType="begin"/>
          </w:r>
          <w:r>
            <w:rPr>
              <w:b w:val="0"/>
            </w:rPr>
            <w:instrText xml:space="preserve"> TOC \h \z \t "Heading 2,1,Heading 3,2" </w:instrText>
          </w:r>
          <w:r>
            <w:rPr>
              <w:b w:val="0"/>
            </w:rPr>
            <w:fldChar w:fldCharType="separate"/>
          </w:r>
          <w:hyperlink w:anchor="_Toc530748476" w:history="1">
            <w:r w:rsidR="003B11F0" w:rsidRPr="00D076B6">
              <w:rPr>
                <w:rStyle w:val="Hyperlink"/>
                <w:noProof/>
              </w:rPr>
              <w:t>1</w:t>
            </w:r>
            <w:r w:rsidR="003B11F0">
              <w:rPr>
                <w:rFonts w:asciiTheme="minorHAnsi" w:eastAsiaTheme="minorEastAsia" w:hAnsiTheme="minorHAnsi" w:cstheme="minorBidi"/>
                <w:b w:val="0"/>
                <w:noProof/>
                <w:sz w:val="22"/>
                <w:szCs w:val="22"/>
                <w:lang w:eastAsia="en-AU"/>
              </w:rPr>
              <w:tab/>
            </w:r>
            <w:r w:rsidR="003B11F0" w:rsidRPr="00D076B6">
              <w:rPr>
                <w:rStyle w:val="Hyperlink"/>
                <w:noProof/>
              </w:rPr>
              <w:t>Previous studies have found evidence of economies of scale but have some gaps</w:t>
            </w:r>
            <w:r w:rsidR="003B11F0">
              <w:rPr>
                <w:noProof/>
                <w:webHidden/>
              </w:rPr>
              <w:tab/>
            </w:r>
            <w:r w:rsidR="003B11F0">
              <w:rPr>
                <w:noProof/>
                <w:webHidden/>
              </w:rPr>
              <w:fldChar w:fldCharType="begin"/>
            </w:r>
            <w:r w:rsidR="003B11F0">
              <w:rPr>
                <w:noProof/>
                <w:webHidden/>
              </w:rPr>
              <w:instrText xml:space="preserve"> PAGEREF _Toc530748476 \h </w:instrText>
            </w:r>
            <w:r w:rsidR="003B11F0">
              <w:rPr>
                <w:noProof/>
                <w:webHidden/>
              </w:rPr>
            </w:r>
            <w:r w:rsidR="003B11F0">
              <w:rPr>
                <w:noProof/>
                <w:webHidden/>
              </w:rPr>
              <w:fldChar w:fldCharType="separate"/>
            </w:r>
            <w:r w:rsidR="002E7372">
              <w:rPr>
                <w:noProof/>
                <w:webHidden/>
              </w:rPr>
              <w:t>3</w:t>
            </w:r>
            <w:r w:rsidR="003B11F0">
              <w:rPr>
                <w:noProof/>
                <w:webHidden/>
              </w:rPr>
              <w:fldChar w:fldCharType="end"/>
            </w:r>
          </w:hyperlink>
        </w:p>
        <w:p w:rsidR="003B11F0" w:rsidRDefault="001F492C">
          <w:pPr>
            <w:pStyle w:val="TOC1"/>
            <w:rPr>
              <w:rFonts w:asciiTheme="minorHAnsi" w:eastAsiaTheme="minorEastAsia" w:hAnsiTheme="minorHAnsi" w:cstheme="minorBidi"/>
              <w:b w:val="0"/>
              <w:noProof/>
              <w:sz w:val="22"/>
              <w:szCs w:val="22"/>
              <w:lang w:eastAsia="en-AU"/>
            </w:rPr>
          </w:pPr>
          <w:hyperlink w:anchor="_Toc530748477" w:history="1">
            <w:r w:rsidR="003B11F0" w:rsidRPr="00D076B6">
              <w:rPr>
                <w:rStyle w:val="Hyperlink"/>
                <w:noProof/>
                <w:spacing w:val="-4"/>
              </w:rPr>
              <w:t>2</w:t>
            </w:r>
            <w:r w:rsidR="003B11F0">
              <w:rPr>
                <w:rFonts w:asciiTheme="minorHAnsi" w:eastAsiaTheme="minorEastAsia" w:hAnsiTheme="minorHAnsi" w:cstheme="minorBidi"/>
                <w:b w:val="0"/>
                <w:noProof/>
                <w:sz w:val="22"/>
                <w:szCs w:val="22"/>
                <w:lang w:eastAsia="en-AU"/>
              </w:rPr>
              <w:tab/>
            </w:r>
            <w:r w:rsidR="003B11F0" w:rsidRPr="00D076B6">
              <w:rPr>
                <w:rStyle w:val="Hyperlink"/>
                <w:noProof/>
                <w:spacing w:val="-2"/>
              </w:rPr>
              <w:t>Sufficient data are available but quality creates challenges</w:t>
            </w:r>
            <w:r w:rsidR="003B11F0">
              <w:rPr>
                <w:noProof/>
                <w:webHidden/>
              </w:rPr>
              <w:tab/>
            </w:r>
            <w:r w:rsidR="003B11F0">
              <w:rPr>
                <w:noProof/>
                <w:webHidden/>
              </w:rPr>
              <w:fldChar w:fldCharType="begin"/>
            </w:r>
            <w:r w:rsidR="003B11F0">
              <w:rPr>
                <w:noProof/>
                <w:webHidden/>
              </w:rPr>
              <w:instrText xml:space="preserve"> PAGEREF _Toc530748477 \h </w:instrText>
            </w:r>
            <w:r w:rsidR="003B11F0">
              <w:rPr>
                <w:noProof/>
                <w:webHidden/>
              </w:rPr>
            </w:r>
            <w:r w:rsidR="003B11F0">
              <w:rPr>
                <w:noProof/>
                <w:webHidden/>
              </w:rPr>
              <w:fldChar w:fldCharType="separate"/>
            </w:r>
            <w:r w:rsidR="002E7372">
              <w:rPr>
                <w:noProof/>
                <w:webHidden/>
              </w:rPr>
              <w:t>5</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78" w:history="1">
            <w:r w:rsidR="003B11F0" w:rsidRPr="00D076B6">
              <w:rPr>
                <w:rStyle w:val="Hyperlink"/>
                <w:noProof/>
                <w:spacing w:val="-2"/>
              </w:rPr>
              <w:t>Data are available for a reasonably large panel of funds</w:t>
            </w:r>
            <w:r w:rsidR="003B11F0">
              <w:rPr>
                <w:noProof/>
                <w:webHidden/>
              </w:rPr>
              <w:tab/>
            </w:r>
            <w:r w:rsidR="003B11F0">
              <w:rPr>
                <w:noProof/>
                <w:webHidden/>
              </w:rPr>
              <w:fldChar w:fldCharType="begin"/>
            </w:r>
            <w:r w:rsidR="003B11F0">
              <w:rPr>
                <w:noProof/>
                <w:webHidden/>
              </w:rPr>
              <w:instrText xml:space="preserve"> PAGEREF _Toc530748478 \h </w:instrText>
            </w:r>
            <w:r w:rsidR="003B11F0">
              <w:rPr>
                <w:noProof/>
                <w:webHidden/>
              </w:rPr>
            </w:r>
            <w:r w:rsidR="003B11F0">
              <w:rPr>
                <w:noProof/>
                <w:webHidden/>
              </w:rPr>
              <w:fldChar w:fldCharType="separate"/>
            </w:r>
            <w:r w:rsidR="002E7372">
              <w:rPr>
                <w:noProof/>
                <w:webHidden/>
              </w:rPr>
              <w:t>5</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79" w:history="1">
            <w:r w:rsidR="003B11F0" w:rsidRPr="00D076B6">
              <w:rPr>
                <w:rStyle w:val="Hyperlink"/>
                <w:noProof/>
              </w:rPr>
              <w:t>Some missing data warrant explicit treatment</w:t>
            </w:r>
            <w:r w:rsidR="003B11F0">
              <w:rPr>
                <w:noProof/>
                <w:webHidden/>
              </w:rPr>
              <w:tab/>
            </w:r>
            <w:r w:rsidR="003B11F0">
              <w:rPr>
                <w:noProof/>
                <w:webHidden/>
              </w:rPr>
              <w:fldChar w:fldCharType="begin"/>
            </w:r>
            <w:r w:rsidR="003B11F0">
              <w:rPr>
                <w:noProof/>
                <w:webHidden/>
              </w:rPr>
              <w:instrText xml:space="preserve"> PAGEREF _Toc530748479 \h </w:instrText>
            </w:r>
            <w:r w:rsidR="003B11F0">
              <w:rPr>
                <w:noProof/>
                <w:webHidden/>
              </w:rPr>
            </w:r>
            <w:r w:rsidR="003B11F0">
              <w:rPr>
                <w:noProof/>
                <w:webHidden/>
              </w:rPr>
              <w:fldChar w:fldCharType="separate"/>
            </w:r>
            <w:r w:rsidR="002E7372">
              <w:rPr>
                <w:noProof/>
                <w:webHidden/>
              </w:rPr>
              <w:t>7</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80" w:history="1">
            <w:r w:rsidR="003B11F0" w:rsidRPr="00D076B6">
              <w:rPr>
                <w:rStyle w:val="Hyperlink"/>
                <w:noProof/>
              </w:rPr>
              <w:t>And survivorship bias has to be taken into account</w:t>
            </w:r>
            <w:r w:rsidR="003B11F0">
              <w:rPr>
                <w:noProof/>
                <w:webHidden/>
              </w:rPr>
              <w:tab/>
            </w:r>
            <w:r w:rsidR="003B11F0">
              <w:rPr>
                <w:noProof/>
                <w:webHidden/>
              </w:rPr>
              <w:fldChar w:fldCharType="begin"/>
            </w:r>
            <w:r w:rsidR="003B11F0">
              <w:rPr>
                <w:noProof/>
                <w:webHidden/>
              </w:rPr>
              <w:instrText xml:space="preserve"> PAGEREF _Toc530748480 \h </w:instrText>
            </w:r>
            <w:r w:rsidR="003B11F0">
              <w:rPr>
                <w:noProof/>
                <w:webHidden/>
              </w:rPr>
            </w:r>
            <w:r w:rsidR="003B11F0">
              <w:rPr>
                <w:noProof/>
                <w:webHidden/>
              </w:rPr>
              <w:fldChar w:fldCharType="separate"/>
            </w:r>
            <w:r w:rsidR="002E7372">
              <w:rPr>
                <w:noProof/>
                <w:webHidden/>
              </w:rPr>
              <w:t>8</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81" w:history="1">
            <w:r w:rsidR="003B11F0" w:rsidRPr="00D076B6">
              <w:rPr>
                <w:rStyle w:val="Hyperlink"/>
                <w:noProof/>
              </w:rPr>
              <w:t>Economies of scale are present in the raw data</w:t>
            </w:r>
            <w:r w:rsidR="003B11F0">
              <w:rPr>
                <w:noProof/>
                <w:webHidden/>
              </w:rPr>
              <w:tab/>
            </w:r>
            <w:r w:rsidR="003B11F0">
              <w:rPr>
                <w:noProof/>
                <w:webHidden/>
              </w:rPr>
              <w:fldChar w:fldCharType="begin"/>
            </w:r>
            <w:r w:rsidR="003B11F0">
              <w:rPr>
                <w:noProof/>
                <w:webHidden/>
              </w:rPr>
              <w:instrText xml:space="preserve"> PAGEREF _Toc530748481 \h </w:instrText>
            </w:r>
            <w:r w:rsidR="003B11F0">
              <w:rPr>
                <w:noProof/>
                <w:webHidden/>
              </w:rPr>
            </w:r>
            <w:r w:rsidR="003B11F0">
              <w:rPr>
                <w:noProof/>
                <w:webHidden/>
              </w:rPr>
              <w:fldChar w:fldCharType="separate"/>
            </w:r>
            <w:r w:rsidR="002E7372">
              <w:rPr>
                <w:noProof/>
                <w:webHidden/>
              </w:rPr>
              <w:t>9</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82" w:history="1">
            <w:r w:rsidR="003B11F0" w:rsidRPr="00D076B6">
              <w:rPr>
                <w:rStyle w:val="Hyperlink"/>
                <w:noProof/>
              </w:rPr>
              <w:t>Variables included in the analysis — informed by consultation</w:t>
            </w:r>
            <w:r w:rsidR="003B11F0">
              <w:rPr>
                <w:noProof/>
                <w:webHidden/>
              </w:rPr>
              <w:tab/>
            </w:r>
            <w:r w:rsidR="003B11F0">
              <w:rPr>
                <w:noProof/>
                <w:webHidden/>
              </w:rPr>
              <w:fldChar w:fldCharType="begin"/>
            </w:r>
            <w:r w:rsidR="003B11F0">
              <w:rPr>
                <w:noProof/>
                <w:webHidden/>
              </w:rPr>
              <w:instrText xml:space="preserve"> PAGEREF _Toc530748482 \h </w:instrText>
            </w:r>
            <w:r w:rsidR="003B11F0">
              <w:rPr>
                <w:noProof/>
                <w:webHidden/>
              </w:rPr>
            </w:r>
            <w:r w:rsidR="003B11F0">
              <w:rPr>
                <w:noProof/>
                <w:webHidden/>
              </w:rPr>
              <w:fldChar w:fldCharType="separate"/>
            </w:r>
            <w:r w:rsidR="002E7372">
              <w:rPr>
                <w:noProof/>
                <w:webHidden/>
              </w:rPr>
              <w:t>14</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83" w:history="1">
            <w:r w:rsidR="003B11F0" w:rsidRPr="00D076B6">
              <w:rPr>
                <w:rStyle w:val="Hyperlink"/>
                <w:noProof/>
              </w:rPr>
              <w:t>A cost function sits at the centre of the modelling work</w:t>
            </w:r>
            <w:r w:rsidR="003B11F0">
              <w:rPr>
                <w:noProof/>
                <w:webHidden/>
              </w:rPr>
              <w:tab/>
            </w:r>
            <w:r w:rsidR="003B11F0">
              <w:rPr>
                <w:noProof/>
                <w:webHidden/>
              </w:rPr>
              <w:fldChar w:fldCharType="begin"/>
            </w:r>
            <w:r w:rsidR="003B11F0">
              <w:rPr>
                <w:noProof/>
                <w:webHidden/>
              </w:rPr>
              <w:instrText xml:space="preserve"> PAGEREF _Toc530748483 \h </w:instrText>
            </w:r>
            <w:r w:rsidR="003B11F0">
              <w:rPr>
                <w:noProof/>
                <w:webHidden/>
              </w:rPr>
            </w:r>
            <w:r w:rsidR="003B11F0">
              <w:rPr>
                <w:noProof/>
                <w:webHidden/>
              </w:rPr>
              <w:fldChar w:fldCharType="separate"/>
            </w:r>
            <w:r w:rsidR="002E7372">
              <w:rPr>
                <w:noProof/>
                <w:webHidden/>
              </w:rPr>
              <w:t>15</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84" w:history="1">
            <w:r w:rsidR="003B11F0" w:rsidRPr="00D076B6">
              <w:rPr>
                <w:rStyle w:val="Hyperlink"/>
                <w:noProof/>
              </w:rPr>
              <w:t xml:space="preserve">Data characteristics (and problems) were tackled in a </w:t>
            </w:r>
            <w:r w:rsidR="003B11F0">
              <w:rPr>
                <w:rStyle w:val="Hyperlink"/>
                <w:noProof/>
              </w:rPr>
              <w:br/>
            </w:r>
            <w:r w:rsidR="003B11F0" w:rsidRPr="00D076B6">
              <w:rPr>
                <w:rStyle w:val="Hyperlink"/>
                <w:noProof/>
              </w:rPr>
              <w:t>variety of ways</w:t>
            </w:r>
            <w:r w:rsidR="003B11F0">
              <w:rPr>
                <w:noProof/>
                <w:webHidden/>
              </w:rPr>
              <w:tab/>
            </w:r>
            <w:r w:rsidR="003B11F0">
              <w:rPr>
                <w:noProof/>
                <w:webHidden/>
              </w:rPr>
              <w:fldChar w:fldCharType="begin"/>
            </w:r>
            <w:r w:rsidR="003B11F0">
              <w:rPr>
                <w:noProof/>
                <w:webHidden/>
              </w:rPr>
              <w:instrText xml:space="preserve"> PAGEREF _Toc530748484 \h </w:instrText>
            </w:r>
            <w:r w:rsidR="003B11F0">
              <w:rPr>
                <w:noProof/>
                <w:webHidden/>
              </w:rPr>
            </w:r>
            <w:r w:rsidR="003B11F0">
              <w:rPr>
                <w:noProof/>
                <w:webHidden/>
              </w:rPr>
              <w:fldChar w:fldCharType="separate"/>
            </w:r>
            <w:r w:rsidR="002E7372">
              <w:rPr>
                <w:noProof/>
                <w:webHidden/>
              </w:rPr>
              <w:t>16</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85" w:history="1">
            <w:r w:rsidR="003B11F0" w:rsidRPr="00D076B6">
              <w:rPr>
                <w:rStyle w:val="Hyperlink"/>
                <w:noProof/>
              </w:rPr>
              <w:t>The modelling does a good job of representing the data</w:t>
            </w:r>
            <w:r w:rsidR="003B11F0">
              <w:rPr>
                <w:noProof/>
                <w:webHidden/>
              </w:rPr>
              <w:tab/>
            </w:r>
            <w:r w:rsidR="003B11F0">
              <w:rPr>
                <w:noProof/>
                <w:webHidden/>
              </w:rPr>
              <w:fldChar w:fldCharType="begin"/>
            </w:r>
            <w:r w:rsidR="003B11F0">
              <w:rPr>
                <w:noProof/>
                <w:webHidden/>
              </w:rPr>
              <w:instrText xml:space="preserve"> PAGEREF _Toc530748485 \h </w:instrText>
            </w:r>
            <w:r w:rsidR="003B11F0">
              <w:rPr>
                <w:noProof/>
                <w:webHidden/>
              </w:rPr>
            </w:r>
            <w:r w:rsidR="003B11F0">
              <w:rPr>
                <w:noProof/>
                <w:webHidden/>
              </w:rPr>
              <w:fldChar w:fldCharType="separate"/>
            </w:r>
            <w:r w:rsidR="002E7372">
              <w:rPr>
                <w:noProof/>
                <w:webHidden/>
              </w:rPr>
              <w:t>17</w:t>
            </w:r>
            <w:r w:rsidR="003B11F0">
              <w:rPr>
                <w:noProof/>
                <w:webHidden/>
              </w:rPr>
              <w:fldChar w:fldCharType="end"/>
            </w:r>
          </w:hyperlink>
        </w:p>
        <w:p w:rsidR="003B11F0" w:rsidRDefault="003B11F0" w:rsidP="003B11F0">
          <w:pPr>
            <w:pStyle w:val="TOC3"/>
            <w:rPr>
              <w:rFonts w:asciiTheme="minorHAnsi" w:eastAsiaTheme="minorEastAsia" w:hAnsiTheme="minorHAnsi" w:cstheme="minorBidi"/>
              <w:noProof/>
              <w:sz w:val="22"/>
              <w:szCs w:val="22"/>
              <w:lang w:eastAsia="en-AU"/>
            </w:rPr>
          </w:pPr>
          <w:r w:rsidRPr="002E7372">
            <w:rPr>
              <w:noProof/>
            </w:rPr>
            <w:t>Estimated economy of scale gains are likely to be a lower bound</w:t>
          </w:r>
          <w:r>
            <w:rPr>
              <w:noProof/>
              <w:webHidden/>
            </w:rPr>
            <w:tab/>
          </w:r>
          <w:r w:rsidR="002E7372">
            <w:rPr>
              <w:noProof/>
              <w:webHidden/>
            </w:rPr>
            <w:t>18</w:t>
          </w:r>
        </w:p>
        <w:p w:rsidR="003B11F0" w:rsidRDefault="001F492C">
          <w:pPr>
            <w:pStyle w:val="TOC1"/>
            <w:rPr>
              <w:rFonts w:asciiTheme="minorHAnsi" w:eastAsiaTheme="minorEastAsia" w:hAnsiTheme="minorHAnsi" w:cstheme="minorBidi"/>
              <w:b w:val="0"/>
              <w:noProof/>
              <w:sz w:val="22"/>
              <w:szCs w:val="22"/>
              <w:lang w:eastAsia="en-AU"/>
            </w:rPr>
          </w:pPr>
          <w:hyperlink w:anchor="_Toc530748487" w:history="1">
            <w:r w:rsidR="003B11F0" w:rsidRPr="00D076B6">
              <w:rPr>
                <w:rStyle w:val="Hyperlink"/>
                <w:noProof/>
              </w:rPr>
              <w:t>3</w:t>
            </w:r>
            <w:r w:rsidR="003B11F0">
              <w:rPr>
                <w:rFonts w:asciiTheme="minorHAnsi" w:eastAsiaTheme="minorEastAsia" w:hAnsiTheme="minorHAnsi" w:cstheme="minorBidi"/>
                <w:b w:val="0"/>
                <w:noProof/>
                <w:sz w:val="22"/>
                <w:szCs w:val="22"/>
                <w:lang w:eastAsia="en-AU"/>
              </w:rPr>
              <w:tab/>
            </w:r>
            <w:r w:rsidR="003B11F0" w:rsidRPr="00D076B6">
              <w:rPr>
                <w:rStyle w:val="Hyperlink"/>
                <w:noProof/>
              </w:rPr>
              <w:t>Evidence of economies of scale is compelling</w:t>
            </w:r>
            <w:r w:rsidR="003B11F0">
              <w:rPr>
                <w:noProof/>
                <w:webHidden/>
              </w:rPr>
              <w:tab/>
            </w:r>
            <w:r w:rsidR="003B11F0">
              <w:rPr>
                <w:noProof/>
                <w:webHidden/>
              </w:rPr>
              <w:fldChar w:fldCharType="begin"/>
            </w:r>
            <w:r w:rsidR="003B11F0">
              <w:rPr>
                <w:noProof/>
                <w:webHidden/>
              </w:rPr>
              <w:instrText xml:space="preserve"> PAGEREF _Toc530748487 \h </w:instrText>
            </w:r>
            <w:r w:rsidR="003B11F0">
              <w:rPr>
                <w:noProof/>
                <w:webHidden/>
              </w:rPr>
            </w:r>
            <w:r w:rsidR="003B11F0">
              <w:rPr>
                <w:noProof/>
                <w:webHidden/>
              </w:rPr>
              <w:fldChar w:fldCharType="separate"/>
            </w:r>
            <w:r w:rsidR="002E7372">
              <w:rPr>
                <w:noProof/>
                <w:webHidden/>
              </w:rPr>
              <w:t>19</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88" w:history="1">
            <w:r w:rsidR="003B11F0" w:rsidRPr="00D076B6">
              <w:rPr>
                <w:rStyle w:val="Hyperlink"/>
                <w:noProof/>
              </w:rPr>
              <w:t>Economies exist at the system and segment level</w:t>
            </w:r>
            <w:r w:rsidR="003B11F0">
              <w:rPr>
                <w:noProof/>
                <w:webHidden/>
              </w:rPr>
              <w:tab/>
            </w:r>
            <w:r w:rsidR="003B11F0">
              <w:rPr>
                <w:noProof/>
                <w:webHidden/>
              </w:rPr>
              <w:fldChar w:fldCharType="begin"/>
            </w:r>
            <w:r w:rsidR="003B11F0">
              <w:rPr>
                <w:noProof/>
                <w:webHidden/>
              </w:rPr>
              <w:instrText xml:space="preserve"> PAGEREF _Toc530748488 \h </w:instrText>
            </w:r>
            <w:r w:rsidR="003B11F0">
              <w:rPr>
                <w:noProof/>
                <w:webHidden/>
              </w:rPr>
            </w:r>
            <w:r w:rsidR="003B11F0">
              <w:rPr>
                <w:noProof/>
                <w:webHidden/>
              </w:rPr>
              <w:fldChar w:fldCharType="separate"/>
            </w:r>
            <w:r w:rsidR="002E7372">
              <w:rPr>
                <w:noProof/>
                <w:webHidden/>
              </w:rPr>
              <w:t>19</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89" w:history="1">
            <w:r w:rsidR="003B11F0" w:rsidRPr="00D076B6">
              <w:rPr>
                <w:rStyle w:val="Hyperlink"/>
                <w:noProof/>
              </w:rPr>
              <w:t>Economies of scale are also evident at the fund level</w:t>
            </w:r>
            <w:r w:rsidR="003B11F0">
              <w:rPr>
                <w:noProof/>
                <w:webHidden/>
              </w:rPr>
              <w:tab/>
            </w:r>
            <w:r w:rsidR="003B11F0">
              <w:rPr>
                <w:noProof/>
                <w:webHidden/>
              </w:rPr>
              <w:fldChar w:fldCharType="begin"/>
            </w:r>
            <w:r w:rsidR="003B11F0">
              <w:rPr>
                <w:noProof/>
                <w:webHidden/>
              </w:rPr>
              <w:instrText xml:space="preserve"> PAGEREF _Toc530748489 \h </w:instrText>
            </w:r>
            <w:r w:rsidR="003B11F0">
              <w:rPr>
                <w:noProof/>
                <w:webHidden/>
              </w:rPr>
            </w:r>
            <w:r w:rsidR="003B11F0">
              <w:rPr>
                <w:noProof/>
                <w:webHidden/>
              </w:rPr>
              <w:fldChar w:fldCharType="separate"/>
            </w:r>
            <w:r w:rsidR="002E7372">
              <w:rPr>
                <w:noProof/>
                <w:webHidden/>
              </w:rPr>
              <w:t>21</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90" w:history="1">
            <w:r w:rsidR="003B11F0" w:rsidRPr="00D076B6">
              <w:rPr>
                <w:rStyle w:val="Hyperlink"/>
                <w:noProof/>
              </w:rPr>
              <w:t>Economies of scale have been realised across the system since 2004 but other expenses have risen</w:t>
            </w:r>
            <w:r w:rsidR="003B11F0">
              <w:rPr>
                <w:noProof/>
                <w:webHidden/>
              </w:rPr>
              <w:tab/>
            </w:r>
            <w:r w:rsidR="003B11F0">
              <w:rPr>
                <w:noProof/>
                <w:webHidden/>
              </w:rPr>
              <w:fldChar w:fldCharType="begin"/>
            </w:r>
            <w:r w:rsidR="003B11F0">
              <w:rPr>
                <w:noProof/>
                <w:webHidden/>
              </w:rPr>
              <w:instrText xml:space="preserve"> PAGEREF _Toc530748490 \h </w:instrText>
            </w:r>
            <w:r w:rsidR="003B11F0">
              <w:rPr>
                <w:noProof/>
                <w:webHidden/>
              </w:rPr>
            </w:r>
            <w:r w:rsidR="003B11F0">
              <w:rPr>
                <w:noProof/>
                <w:webHidden/>
              </w:rPr>
              <w:fldChar w:fldCharType="separate"/>
            </w:r>
            <w:r w:rsidR="002E7372">
              <w:rPr>
                <w:noProof/>
                <w:webHidden/>
              </w:rPr>
              <w:t>24</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91" w:history="1">
            <w:r w:rsidR="003B11F0" w:rsidRPr="00D076B6">
              <w:rPr>
                <w:rStyle w:val="Hyperlink"/>
                <w:noProof/>
              </w:rPr>
              <w:t>Unrealised economies of scale are large</w:t>
            </w:r>
            <w:r w:rsidR="003B11F0">
              <w:rPr>
                <w:noProof/>
                <w:webHidden/>
              </w:rPr>
              <w:tab/>
            </w:r>
            <w:r w:rsidR="003B11F0">
              <w:rPr>
                <w:noProof/>
                <w:webHidden/>
              </w:rPr>
              <w:fldChar w:fldCharType="begin"/>
            </w:r>
            <w:r w:rsidR="003B11F0">
              <w:rPr>
                <w:noProof/>
                <w:webHidden/>
              </w:rPr>
              <w:instrText xml:space="preserve"> PAGEREF _Toc530748491 \h </w:instrText>
            </w:r>
            <w:r w:rsidR="003B11F0">
              <w:rPr>
                <w:noProof/>
                <w:webHidden/>
              </w:rPr>
            </w:r>
            <w:r w:rsidR="003B11F0">
              <w:rPr>
                <w:noProof/>
                <w:webHidden/>
              </w:rPr>
              <w:fldChar w:fldCharType="separate"/>
            </w:r>
            <w:r w:rsidR="002E7372">
              <w:rPr>
                <w:noProof/>
                <w:webHidden/>
              </w:rPr>
              <w:t>31</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92" w:history="1">
            <w:r w:rsidR="003B11F0" w:rsidRPr="00D076B6">
              <w:rPr>
                <w:rStyle w:val="Hyperlink"/>
                <w:noProof/>
              </w:rPr>
              <w:t>No evidence that EOS gains have been systematically passed</w:t>
            </w:r>
            <w:r w:rsidR="003B11F0" w:rsidRPr="00D076B6">
              <w:rPr>
                <w:rStyle w:val="Hyperlink"/>
                <w:noProof/>
              </w:rPr>
              <w:noBreakHyphen/>
              <w:t>through as lower fees</w:t>
            </w:r>
            <w:r w:rsidR="003B11F0">
              <w:rPr>
                <w:noProof/>
                <w:webHidden/>
              </w:rPr>
              <w:tab/>
            </w:r>
            <w:r w:rsidR="003B11F0">
              <w:rPr>
                <w:noProof/>
                <w:webHidden/>
              </w:rPr>
              <w:fldChar w:fldCharType="begin"/>
            </w:r>
            <w:r w:rsidR="003B11F0">
              <w:rPr>
                <w:noProof/>
                <w:webHidden/>
              </w:rPr>
              <w:instrText xml:space="preserve"> PAGEREF _Toc530748492 \h </w:instrText>
            </w:r>
            <w:r w:rsidR="003B11F0">
              <w:rPr>
                <w:noProof/>
                <w:webHidden/>
              </w:rPr>
            </w:r>
            <w:r w:rsidR="003B11F0">
              <w:rPr>
                <w:noProof/>
                <w:webHidden/>
              </w:rPr>
              <w:fldChar w:fldCharType="separate"/>
            </w:r>
            <w:r w:rsidR="002E7372">
              <w:rPr>
                <w:noProof/>
                <w:webHidden/>
              </w:rPr>
              <w:t>33</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93" w:history="1">
            <w:r w:rsidR="003B11F0" w:rsidRPr="00D076B6">
              <w:rPr>
                <w:rStyle w:val="Hyperlink"/>
                <w:noProof/>
              </w:rPr>
              <w:t>Economies of scale gains may have been passed</w:t>
            </w:r>
            <w:r w:rsidR="003B11F0" w:rsidRPr="00D076B6">
              <w:rPr>
                <w:rStyle w:val="Hyperlink"/>
                <w:noProof/>
              </w:rPr>
              <w:noBreakHyphen/>
              <w:t>through as higher returns</w:t>
            </w:r>
            <w:r w:rsidR="003B11F0">
              <w:rPr>
                <w:noProof/>
                <w:webHidden/>
              </w:rPr>
              <w:tab/>
            </w:r>
            <w:r w:rsidR="003B11F0">
              <w:rPr>
                <w:noProof/>
                <w:webHidden/>
              </w:rPr>
              <w:fldChar w:fldCharType="begin"/>
            </w:r>
            <w:r w:rsidR="003B11F0">
              <w:rPr>
                <w:noProof/>
                <w:webHidden/>
              </w:rPr>
              <w:instrText xml:space="preserve"> PAGEREF _Toc530748493 \h </w:instrText>
            </w:r>
            <w:r w:rsidR="003B11F0">
              <w:rPr>
                <w:noProof/>
                <w:webHidden/>
              </w:rPr>
            </w:r>
            <w:r w:rsidR="003B11F0">
              <w:rPr>
                <w:noProof/>
                <w:webHidden/>
              </w:rPr>
              <w:fldChar w:fldCharType="separate"/>
            </w:r>
            <w:r w:rsidR="002E7372">
              <w:rPr>
                <w:noProof/>
                <w:webHidden/>
              </w:rPr>
              <w:t>38</w:t>
            </w:r>
            <w:r w:rsidR="003B11F0">
              <w:rPr>
                <w:noProof/>
                <w:webHidden/>
              </w:rPr>
              <w:fldChar w:fldCharType="end"/>
            </w:r>
          </w:hyperlink>
        </w:p>
        <w:p w:rsidR="003B11F0" w:rsidRDefault="003B11F0" w:rsidP="002E7372">
          <w:pPr>
            <w:pStyle w:val="TOC1"/>
            <w:spacing w:before="240"/>
            <w:rPr>
              <w:rFonts w:asciiTheme="minorHAnsi" w:eastAsiaTheme="minorEastAsia" w:hAnsiTheme="minorHAnsi" w:cstheme="minorBidi"/>
              <w:b w:val="0"/>
              <w:noProof/>
              <w:sz w:val="22"/>
              <w:szCs w:val="22"/>
              <w:lang w:eastAsia="en-AU"/>
            </w:rPr>
          </w:pPr>
          <w:r w:rsidRPr="002E7372">
            <w:rPr>
              <w:noProof/>
            </w:rPr>
            <w:t>Appendix A: An introduction to Bayesian methods</w:t>
          </w:r>
          <w:r>
            <w:rPr>
              <w:noProof/>
              <w:webHidden/>
            </w:rPr>
            <w:tab/>
          </w:r>
          <w:r w:rsidR="002E7372">
            <w:rPr>
              <w:noProof/>
              <w:webHidden/>
            </w:rPr>
            <w:t>45</w:t>
          </w:r>
        </w:p>
        <w:p w:rsidR="003B11F0" w:rsidRDefault="001F492C" w:rsidP="003B11F0">
          <w:pPr>
            <w:pStyle w:val="TOC3"/>
            <w:rPr>
              <w:rFonts w:asciiTheme="minorHAnsi" w:eastAsiaTheme="minorEastAsia" w:hAnsiTheme="minorHAnsi" w:cstheme="minorBidi"/>
              <w:noProof/>
              <w:sz w:val="22"/>
              <w:szCs w:val="22"/>
              <w:lang w:eastAsia="en-AU"/>
            </w:rPr>
          </w:pPr>
          <w:hyperlink w:anchor="_Toc530748495" w:history="1">
            <w:r w:rsidR="003B11F0" w:rsidRPr="00D076B6">
              <w:rPr>
                <w:rStyle w:val="Hyperlink"/>
                <w:noProof/>
              </w:rPr>
              <w:t>Why use Bayesian methods?</w:t>
            </w:r>
            <w:r w:rsidR="003B11F0">
              <w:rPr>
                <w:noProof/>
                <w:webHidden/>
              </w:rPr>
              <w:tab/>
            </w:r>
            <w:r w:rsidR="003B11F0">
              <w:rPr>
                <w:noProof/>
                <w:webHidden/>
              </w:rPr>
              <w:fldChar w:fldCharType="begin"/>
            </w:r>
            <w:r w:rsidR="003B11F0">
              <w:rPr>
                <w:noProof/>
                <w:webHidden/>
              </w:rPr>
              <w:instrText xml:space="preserve"> PAGEREF _Toc530748495 \h </w:instrText>
            </w:r>
            <w:r w:rsidR="003B11F0">
              <w:rPr>
                <w:noProof/>
                <w:webHidden/>
              </w:rPr>
            </w:r>
            <w:r w:rsidR="003B11F0">
              <w:rPr>
                <w:noProof/>
                <w:webHidden/>
              </w:rPr>
              <w:fldChar w:fldCharType="separate"/>
            </w:r>
            <w:r w:rsidR="002E7372">
              <w:rPr>
                <w:noProof/>
                <w:webHidden/>
              </w:rPr>
              <w:t>46</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96" w:history="1">
            <w:r w:rsidR="003B11F0" w:rsidRPr="00D076B6">
              <w:rPr>
                <w:rStyle w:val="Hyperlink"/>
                <w:noProof/>
              </w:rPr>
              <w:t>How should parameter estimates be interpreted?</w:t>
            </w:r>
            <w:r w:rsidR="003B11F0">
              <w:rPr>
                <w:noProof/>
                <w:webHidden/>
              </w:rPr>
              <w:tab/>
            </w:r>
            <w:r w:rsidR="003B11F0">
              <w:rPr>
                <w:noProof/>
                <w:webHidden/>
              </w:rPr>
              <w:fldChar w:fldCharType="begin"/>
            </w:r>
            <w:r w:rsidR="003B11F0">
              <w:rPr>
                <w:noProof/>
                <w:webHidden/>
              </w:rPr>
              <w:instrText xml:space="preserve"> PAGEREF _Toc530748496 \h </w:instrText>
            </w:r>
            <w:r w:rsidR="003B11F0">
              <w:rPr>
                <w:noProof/>
                <w:webHidden/>
              </w:rPr>
            </w:r>
            <w:r w:rsidR="003B11F0">
              <w:rPr>
                <w:noProof/>
                <w:webHidden/>
              </w:rPr>
              <w:fldChar w:fldCharType="separate"/>
            </w:r>
            <w:r w:rsidR="002E7372">
              <w:rPr>
                <w:noProof/>
                <w:webHidden/>
              </w:rPr>
              <w:t>46</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497" w:history="1">
            <w:r w:rsidR="003B11F0" w:rsidRPr="00D076B6">
              <w:rPr>
                <w:rStyle w:val="Hyperlink"/>
                <w:noProof/>
              </w:rPr>
              <w:t>How are Bayesian models estimated?</w:t>
            </w:r>
            <w:r w:rsidR="003B11F0">
              <w:rPr>
                <w:noProof/>
                <w:webHidden/>
              </w:rPr>
              <w:tab/>
            </w:r>
            <w:r w:rsidR="003B11F0">
              <w:rPr>
                <w:noProof/>
                <w:webHidden/>
              </w:rPr>
              <w:fldChar w:fldCharType="begin"/>
            </w:r>
            <w:r w:rsidR="003B11F0">
              <w:rPr>
                <w:noProof/>
                <w:webHidden/>
              </w:rPr>
              <w:instrText xml:space="preserve"> PAGEREF _Toc530748497 \h </w:instrText>
            </w:r>
            <w:r w:rsidR="003B11F0">
              <w:rPr>
                <w:noProof/>
                <w:webHidden/>
              </w:rPr>
            </w:r>
            <w:r w:rsidR="003B11F0">
              <w:rPr>
                <w:noProof/>
                <w:webHidden/>
              </w:rPr>
              <w:fldChar w:fldCharType="separate"/>
            </w:r>
            <w:r w:rsidR="002E7372">
              <w:rPr>
                <w:noProof/>
                <w:webHidden/>
              </w:rPr>
              <w:t>46</w:t>
            </w:r>
            <w:r w:rsidR="003B11F0">
              <w:rPr>
                <w:noProof/>
                <w:webHidden/>
              </w:rPr>
              <w:fldChar w:fldCharType="end"/>
            </w:r>
          </w:hyperlink>
        </w:p>
        <w:p w:rsidR="003B11F0" w:rsidRDefault="003B11F0">
          <w:pPr>
            <w:rPr>
              <w:rStyle w:val="Hyperlink"/>
              <w:rFonts w:ascii="Arial" w:hAnsi="Arial"/>
              <w:b/>
              <w:noProof/>
              <w:sz w:val="26"/>
              <w:szCs w:val="26"/>
              <w:lang w:eastAsia="en-US"/>
            </w:rPr>
          </w:pPr>
          <w:r>
            <w:rPr>
              <w:rStyle w:val="Hyperlink"/>
              <w:noProof/>
            </w:rPr>
            <w:br w:type="page"/>
          </w:r>
        </w:p>
        <w:p w:rsidR="003B11F0" w:rsidRDefault="001F492C">
          <w:pPr>
            <w:pStyle w:val="TOC1"/>
            <w:rPr>
              <w:rFonts w:asciiTheme="minorHAnsi" w:eastAsiaTheme="minorEastAsia" w:hAnsiTheme="minorHAnsi" w:cstheme="minorBidi"/>
              <w:b w:val="0"/>
              <w:noProof/>
              <w:sz w:val="22"/>
              <w:szCs w:val="22"/>
              <w:lang w:eastAsia="en-AU"/>
            </w:rPr>
          </w:pPr>
          <w:hyperlink w:anchor="_Toc530748498" w:history="1">
            <w:r w:rsidR="003B11F0" w:rsidRPr="00D076B6">
              <w:rPr>
                <w:rStyle w:val="Hyperlink"/>
                <w:noProof/>
              </w:rPr>
              <w:t>Appendix B: Modelling strategy</w:t>
            </w:r>
            <w:r w:rsidR="003B11F0">
              <w:rPr>
                <w:noProof/>
                <w:webHidden/>
              </w:rPr>
              <w:tab/>
            </w:r>
            <w:r w:rsidR="003B11F0">
              <w:rPr>
                <w:noProof/>
                <w:webHidden/>
              </w:rPr>
              <w:fldChar w:fldCharType="begin"/>
            </w:r>
            <w:r w:rsidR="003B11F0">
              <w:rPr>
                <w:noProof/>
                <w:webHidden/>
              </w:rPr>
              <w:instrText xml:space="preserve"> PAGEREF _Toc530748498 \h </w:instrText>
            </w:r>
            <w:r w:rsidR="003B11F0">
              <w:rPr>
                <w:noProof/>
                <w:webHidden/>
              </w:rPr>
            </w:r>
            <w:r w:rsidR="003B11F0">
              <w:rPr>
                <w:noProof/>
                <w:webHidden/>
              </w:rPr>
              <w:fldChar w:fldCharType="separate"/>
            </w:r>
            <w:r w:rsidR="002E7372">
              <w:rPr>
                <w:noProof/>
                <w:webHidden/>
              </w:rPr>
              <w:t>47</w:t>
            </w:r>
            <w:r w:rsidR="003B11F0">
              <w:rPr>
                <w:noProof/>
                <w:webHidden/>
              </w:rPr>
              <w:fldChar w:fldCharType="end"/>
            </w:r>
          </w:hyperlink>
        </w:p>
        <w:p w:rsidR="003B11F0" w:rsidRPr="003B11F0" w:rsidRDefault="001F492C" w:rsidP="003B11F0">
          <w:pPr>
            <w:pStyle w:val="TOC3"/>
            <w:rPr>
              <w:rFonts w:eastAsiaTheme="minorEastAsia"/>
            </w:rPr>
          </w:pPr>
          <w:hyperlink w:anchor="_Toc530748499" w:history="1">
            <w:r w:rsidR="003B11F0" w:rsidRPr="00D076B6">
              <w:rPr>
                <w:rStyle w:val="Hyperlink"/>
                <w:noProof/>
              </w:rPr>
              <w:t>A hierarchical structure</w:t>
            </w:r>
            <w:r w:rsidR="003B11F0">
              <w:rPr>
                <w:noProof/>
                <w:webHidden/>
              </w:rPr>
              <w:tab/>
            </w:r>
            <w:r w:rsidR="003B11F0">
              <w:rPr>
                <w:noProof/>
                <w:webHidden/>
              </w:rPr>
              <w:fldChar w:fldCharType="begin"/>
            </w:r>
            <w:r w:rsidR="003B11F0">
              <w:rPr>
                <w:noProof/>
                <w:webHidden/>
              </w:rPr>
              <w:instrText xml:space="preserve"> PAGEREF _Toc530748499 \h </w:instrText>
            </w:r>
            <w:r w:rsidR="003B11F0">
              <w:rPr>
                <w:noProof/>
                <w:webHidden/>
              </w:rPr>
            </w:r>
            <w:r w:rsidR="003B11F0">
              <w:rPr>
                <w:noProof/>
                <w:webHidden/>
              </w:rPr>
              <w:fldChar w:fldCharType="separate"/>
            </w:r>
            <w:r w:rsidR="002E7372">
              <w:rPr>
                <w:noProof/>
                <w:webHidden/>
              </w:rPr>
              <w:t>47</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500" w:history="1">
            <w:r w:rsidR="003B11F0" w:rsidRPr="00D076B6">
              <w:rPr>
                <w:rStyle w:val="Hyperlink"/>
                <w:noProof/>
              </w:rPr>
              <w:t>Simulation procedure</w:t>
            </w:r>
            <w:r w:rsidR="003B11F0">
              <w:rPr>
                <w:noProof/>
                <w:webHidden/>
              </w:rPr>
              <w:tab/>
            </w:r>
            <w:r w:rsidR="003B11F0">
              <w:rPr>
                <w:noProof/>
                <w:webHidden/>
              </w:rPr>
              <w:fldChar w:fldCharType="begin"/>
            </w:r>
            <w:r w:rsidR="003B11F0">
              <w:rPr>
                <w:noProof/>
                <w:webHidden/>
              </w:rPr>
              <w:instrText xml:space="preserve"> PAGEREF _Toc530748500 \h </w:instrText>
            </w:r>
            <w:r w:rsidR="003B11F0">
              <w:rPr>
                <w:noProof/>
                <w:webHidden/>
              </w:rPr>
            </w:r>
            <w:r w:rsidR="003B11F0">
              <w:rPr>
                <w:noProof/>
                <w:webHidden/>
              </w:rPr>
              <w:fldChar w:fldCharType="separate"/>
            </w:r>
            <w:r w:rsidR="002E7372">
              <w:rPr>
                <w:noProof/>
                <w:webHidden/>
              </w:rPr>
              <w:t>48</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501" w:history="1">
            <w:r w:rsidR="003B11F0" w:rsidRPr="00D076B6">
              <w:rPr>
                <w:rStyle w:val="Hyperlink"/>
                <w:noProof/>
              </w:rPr>
              <w:t>Model equations</w:t>
            </w:r>
            <w:r w:rsidR="003B11F0">
              <w:rPr>
                <w:noProof/>
                <w:webHidden/>
              </w:rPr>
              <w:tab/>
            </w:r>
            <w:r w:rsidR="003B11F0">
              <w:rPr>
                <w:noProof/>
                <w:webHidden/>
              </w:rPr>
              <w:fldChar w:fldCharType="begin"/>
            </w:r>
            <w:r w:rsidR="003B11F0">
              <w:rPr>
                <w:noProof/>
                <w:webHidden/>
              </w:rPr>
              <w:instrText xml:space="preserve"> PAGEREF _Toc530748501 \h </w:instrText>
            </w:r>
            <w:r w:rsidR="003B11F0">
              <w:rPr>
                <w:noProof/>
                <w:webHidden/>
              </w:rPr>
            </w:r>
            <w:r w:rsidR="003B11F0">
              <w:rPr>
                <w:noProof/>
                <w:webHidden/>
              </w:rPr>
              <w:fldChar w:fldCharType="separate"/>
            </w:r>
            <w:r w:rsidR="002E7372">
              <w:rPr>
                <w:noProof/>
                <w:webHidden/>
              </w:rPr>
              <w:t>48</w:t>
            </w:r>
            <w:r w:rsidR="003B11F0">
              <w:rPr>
                <w:noProof/>
                <w:webHidden/>
              </w:rPr>
              <w:fldChar w:fldCharType="end"/>
            </w:r>
          </w:hyperlink>
        </w:p>
        <w:p w:rsidR="003B11F0" w:rsidRDefault="001F492C">
          <w:pPr>
            <w:pStyle w:val="TOC1"/>
            <w:tabs>
              <w:tab w:val="left" w:pos="1760"/>
            </w:tabs>
            <w:rPr>
              <w:rFonts w:asciiTheme="minorHAnsi" w:eastAsiaTheme="minorEastAsia" w:hAnsiTheme="minorHAnsi" w:cstheme="minorBidi"/>
              <w:b w:val="0"/>
              <w:noProof/>
              <w:sz w:val="22"/>
              <w:szCs w:val="22"/>
              <w:lang w:eastAsia="en-AU"/>
            </w:rPr>
          </w:pPr>
          <w:hyperlink w:anchor="_Toc530748502" w:history="1">
            <w:r w:rsidR="003B11F0" w:rsidRPr="00D076B6">
              <w:rPr>
                <w:rStyle w:val="Hyperlink"/>
                <w:noProof/>
              </w:rPr>
              <w:t>Appendix C:</w:t>
            </w:r>
            <w:r w:rsidR="003B11F0">
              <w:rPr>
                <w:rFonts w:asciiTheme="minorHAnsi" w:eastAsiaTheme="minorEastAsia" w:hAnsiTheme="minorHAnsi" w:cstheme="minorBidi"/>
                <w:b w:val="0"/>
                <w:noProof/>
                <w:sz w:val="22"/>
                <w:szCs w:val="22"/>
                <w:lang w:eastAsia="en-AU"/>
              </w:rPr>
              <w:tab/>
            </w:r>
            <w:r w:rsidR="003B11F0" w:rsidRPr="00D076B6">
              <w:rPr>
                <w:rStyle w:val="Hyperlink"/>
                <w:noProof/>
              </w:rPr>
              <w:t>Tests of assumptions and specifications</w:t>
            </w:r>
            <w:r w:rsidR="003B11F0">
              <w:rPr>
                <w:noProof/>
                <w:webHidden/>
              </w:rPr>
              <w:tab/>
            </w:r>
            <w:r w:rsidR="003B11F0">
              <w:rPr>
                <w:noProof/>
                <w:webHidden/>
              </w:rPr>
              <w:fldChar w:fldCharType="begin"/>
            </w:r>
            <w:r w:rsidR="003B11F0">
              <w:rPr>
                <w:noProof/>
                <w:webHidden/>
              </w:rPr>
              <w:instrText xml:space="preserve"> PAGEREF _Toc530748502 \h </w:instrText>
            </w:r>
            <w:r w:rsidR="003B11F0">
              <w:rPr>
                <w:noProof/>
                <w:webHidden/>
              </w:rPr>
            </w:r>
            <w:r w:rsidR="003B11F0">
              <w:rPr>
                <w:noProof/>
                <w:webHidden/>
              </w:rPr>
              <w:fldChar w:fldCharType="separate"/>
            </w:r>
            <w:r w:rsidR="002E7372">
              <w:rPr>
                <w:noProof/>
                <w:webHidden/>
              </w:rPr>
              <w:t>58</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503" w:history="1">
            <w:r w:rsidR="003B11F0" w:rsidRPr="00D076B6">
              <w:rPr>
                <w:rStyle w:val="Hyperlink"/>
                <w:noProof/>
              </w:rPr>
              <w:t>Weighted average fees</w:t>
            </w:r>
            <w:r w:rsidR="003B11F0">
              <w:rPr>
                <w:noProof/>
                <w:webHidden/>
              </w:rPr>
              <w:tab/>
            </w:r>
            <w:r w:rsidR="003B11F0">
              <w:rPr>
                <w:noProof/>
                <w:webHidden/>
              </w:rPr>
              <w:fldChar w:fldCharType="begin"/>
            </w:r>
            <w:r w:rsidR="003B11F0">
              <w:rPr>
                <w:noProof/>
                <w:webHidden/>
              </w:rPr>
              <w:instrText xml:space="preserve"> PAGEREF _Toc530748503 \h </w:instrText>
            </w:r>
            <w:r w:rsidR="003B11F0">
              <w:rPr>
                <w:noProof/>
                <w:webHidden/>
              </w:rPr>
            </w:r>
            <w:r w:rsidR="003B11F0">
              <w:rPr>
                <w:noProof/>
                <w:webHidden/>
              </w:rPr>
              <w:fldChar w:fldCharType="separate"/>
            </w:r>
            <w:r w:rsidR="002E7372">
              <w:rPr>
                <w:noProof/>
                <w:webHidden/>
              </w:rPr>
              <w:t>58</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504" w:history="1">
            <w:r w:rsidR="003B11F0" w:rsidRPr="00D076B6">
              <w:rPr>
                <w:rStyle w:val="Hyperlink"/>
                <w:noProof/>
              </w:rPr>
              <w:t>Other tests</w:t>
            </w:r>
            <w:r w:rsidR="003B11F0">
              <w:rPr>
                <w:noProof/>
                <w:webHidden/>
              </w:rPr>
              <w:tab/>
            </w:r>
            <w:r w:rsidR="003B11F0">
              <w:rPr>
                <w:noProof/>
                <w:webHidden/>
              </w:rPr>
              <w:fldChar w:fldCharType="begin"/>
            </w:r>
            <w:r w:rsidR="003B11F0">
              <w:rPr>
                <w:noProof/>
                <w:webHidden/>
              </w:rPr>
              <w:instrText xml:space="preserve"> PAGEREF _Toc530748504 \h </w:instrText>
            </w:r>
            <w:r w:rsidR="003B11F0">
              <w:rPr>
                <w:noProof/>
                <w:webHidden/>
              </w:rPr>
            </w:r>
            <w:r w:rsidR="003B11F0">
              <w:rPr>
                <w:noProof/>
                <w:webHidden/>
              </w:rPr>
              <w:fldChar w:fldCharType="separate"/>
            </w:r>
            <w:r w:rsidR="002E7372">
              <w:rPr>
                <w:noProof/>
                <w:webHidden/>
              </w:rPr>
              <w:t>58</w:t>
            </w:r>
            <w:r w:rsidR="003B11F0">
              <w:rPr>
                <w:noProof/>
                <w:webHidden/>
              </w:rPr>
              <w:fldChar w:fldCharType="end"/>
            </w:r>
          </w:hyperlink>
        </w:p>
        <w:p w:rsidR="003B11F0" w:rsidRDefault="001F492C">
          <w:pPr>
            <w:pStyle w:val="TOC1"/>
            <w:tabs>
              <w:tab w:val="left" w:pos="1760"/>
            </w:tabs>
            <w:rPr>
              <w:rFonts w:asciiTheme="minorHAnsi" w:eastAsiaTheme="minorEastAsia" w:hAnsiTheme="minorHAnsi" w:cstheme="minorBidi"/>
              <w:b w:val="0"/>
              <w:noProof/>
              <w:sz w:val="22"/>
              <w:szCs w:val="22"/>
              <w:lang w:eastAsia="en-AU"/>
            </w:rPr>
          </w:pPr>
          <w:hyperlink w:anchor="_Toc530748505" w:history="1">
            <w:r w:rsidR="003B11F0" w:rsidRPr="00D076B6">
              <w:rPr>
                <w:rStyle w:val="Hyperlink"/>
                <w:noProof/>
              </w:rPr>
              <w:t>Appendix D:</w:t>
            </w:r>
            <w:r w:rsidR="003B11F0">
              <w:rPr>
                <w:rFonts w:asciiTheme="minorHAnsi" w:eastAsiaTheme="minorEastAsia" w:hAnsiTheme="minorHAnsi" w:cstheme="minorBidi"/>
                <w:b w:val="0"/>
                <w:noProof/>
                <w:sz w:val="22"/>
                <w:szCs w:val="22"/>
                <w:lang w:eastAsia="en-AU"/>
              </w:rPr>
              <w:tab/>
            </w:r>
            <w:r w:rsidR="003B11F0" w:rsidRPr="00D076B6">
              <w:rPr>
                <w:rStyle w:val="Hyperlink"/>
                <w:noProof/>
              </w:rPr>
              <w:t>Preferred model fit</w:t>
            </w:r>
            <w:r w:rsidR="003B11F0">
              <w:rPr>
                <w:noProof/>
                <w:webHidden/>
              </w:rPr>
              <w:tab/>
            </w:r>
            <w:r w:rsidR="003B11F0">
              <w:rPr>
                <w:noProof/>
                <w:webHidden/>
              </w:rPr>
              <w:fldChar w:fldCharType="begin"/>
            </w:r>
            <w:r w:rsidR="003B11F0">
              <w:rPr>
                <w:noProof/>
                <w:webHidden/>
              </w:rPr>
              <w:instrText xml:space="preserve"> PAGEREF _Toc530748505 \h </w:instrText>
            </w:r>
            <w:r w:rsidR="003B11F0">
              <w:rPr>
                <w:noProof/>
                <w:webHidden/>
              </w:rPr>
            </w:r>
            <w:r w:rsidR="003B11F0">
              <w:rPr>
                <w:noProof/>
                <w:webHidden/>
              </w:rPr>
              <w:fldChar w:fldCharType="separate"/>
            </w:r>
            <w:r w:rsidR="002E7372">
              <w:rPr>
                <w:noProof/>
                <w:webHidden/>
              </w:rPr>
              <w:t>62</w:t>
            </w:r>
            <w:r w:rsidR="003B11F0">
              <w:rPr>
                <w:noProof/>
                <w:webHidden/>
              </w:rPr>
              <w:fldChar w:fldCharType="end"/>
            </w:r>
          </w:hyperlink>
        </w:p>
        <w:p w:rsidR="003B11F0" w:rsidRDefault="001F492C">
          <w:pPr>
            <w:pStyle w:val="TOC1"/>
            <w:rPr>
              <w:rFonts w:asciiTheme="minorHAnsi" w:eastAsiaTheme="minorEastAsia" w:hAnsiTheme="minorHAnsi" w:cstheme="minorBidi"/>
              <w:b w:val="0"/>
              <w:noProof/>
              <w:sz w:val="22"/>
              <w:szCs w:val="22"/>
              <w:lang w:eastAsia="en-AU"/>
            </w:rPr>
          </w:pPr>
          <w:hyperlink w:anchor="_Toc530748506" w:history="1">
            <w:r w:rsidR="003B11F0" w:rsidRPr="00D076B6">
              <w:rPr>
                <w:rStyle w:val="Hyperlink"/>
                <w:noProof/>
              </w:rPr>
              <w:t>Appendix E: Selection and cost model parameter estimates</w:t>
            </w:r>
            <w:r w:rsidR="003B11F0">
              <w:rPr>
                <w:noProof/>
                <w:webHidden/>
              </w:rPr>
              <w:tab/>
            </w:r>
            <w:r w:rsidR="003B11F0">
              <w:rPr>
                <w:noProof/>
                <w:webHidden/>
              </w:rPr>
              <w:fldChar w:fldCharType="begin"/>
            </w:r>
            <w:r w:rsidR="003B11F0">
              <w:rPr>
                <w:noProof/>
                <w:webHidden/>
              </w:rPr>
              <w:instrText xml:space="preserve"> PAGEREF _Toc530748506 \h </w:instrText>
            </w:r>
            <w:r w:rsidR="003B11F0">
              <w:rPr>
                <w:noProof/>
                <w:webHidden/>
              </w:rPr>
            </w:r>
            <w:r w:rsidR="003B11F0">
              <w:rPr>
                <w:noProof/>
                <w:webHidden/>
              </w:rPr>
              <w:fldChar w:fldCharType="separate"/>
            </w:r>
            <w:r w:rsidR="002E7372">
              <w:rPr>
                <w:noProof/>
                <w:webHidden/>
              </w:rPr>
              <w:t>66</w:t>
            </w:r>
            <w:r w:rsidR="003B11F0">
              <w:rPr>
                <w:noProof/>
                <w:webHidden/>
              </w:rPr>
              <w:fldChar w:fldCharType="end"/>
            </w:r>
          </w:hyperlink>
        </w:p>
        <w:p w:rsidR="003B11F0" w:rsidRDefault="001F492C" w:rsidP="003B11F0">
          <w:pPr>
            <w:pStyle w:val="TOC3"/>
            <w:rPr>
              <w:rFonts w:asciiTheme="minorHAnsi" w:eastAsiaTheme="minorEastAsia" w:hAnsiTheme="minorHAnsi" w:cstheme="minorBidi"/>
              <w:noProof/>
              <w:sz w:val="22"/>
              <w:szCs w:val="22"/>
              <w:lang w:eastAsia="en-AU"/>
            </w:rPr>
          </w:pPr>
          <w:hyperlink w:anchor="_Toc530748507" w:history="1">
            <w:r w:rsidR="003B11F0" w:rsidRPr="00D076B6">
              <w:rPr>
                <w:rStyle w:val="Hyperlink"/>
                <w:noProof/>
              </w:rPr>
              <w:t>How should parameter estimates be interpreted?</w:t>
            </w:r>
            <w:r w:rsidR="003B11F0">
              <w:rPr>
                <w:noProof/>
                <w:webHidden/>
              </w:rPr>
              <w:tab/>
            </w:r>
            <w:r w:rsidR="003B11F0">
              <w:rPr>
                <w:noProof/>
                <w:webHidden/>
              </w:rPr>
              <w:fldChar w:fldCharType="begin"/>
            </w:r>
            <w:r w:rsidR="003B11F0">
              <w:rPr>
                <w:noProof/>
                <w:webHidden/>
              </w:rPr>
              <w:instrText xml:space="preserve"> PAGEREF _Toc530748507 \h </w:instrText>
            </w:r>
            <w:r w:rsidR="003B11F0">
              <w:rPr>
                <w:noProof/>
                <w:webHidden/>
              </w:rPr>
            </w:r>
            <w:r w:rsidR="003B11F0">
              <w:rPr>
                <w:noProof/>
                <w:webHidden/>
              </w:rPr>
              <w:fldChar w:fldCharType="separate"/>
            </w:r>
            <w:r w:rsidR="002E7372">
              <w:rPr>
                <w:noProof/>
                <w:webHidden/>
              </w:rPr>
              <w:t>66</w:t>
            </w:r>
            <w:r w:rsidR="003B11F0">
              <w:rPr>
                <w:noProof/>
                <w:webHidden/>
              </w:rPr>
              <w:fldChar w:fldCharType="end"/>
            </w:r>
          </w:hyperlink>
        </w:p>
        <w:p w:rsidR="003B11F0" w:rsidRDefault="001F492C">
          <w:pPr>
            <w:pStyle w:val="TOC1"/>
            <w:rPr>
              <w:rFonts w:asciiTheme="minorHAnsi" w:eastAsiaTheme="minorEastAsia" w:hAnsiTheme="minorHAnsi" w:cstheme="minorBidi"/>
              <w:b w:val="0"/>
              <w:noProof/>
              <w:sz w:val="22"/>
              <w:szCs w:val="22"/>
              <w:lang w:eastAsia="en-AU"/>
            </w:rPr>
          </w:pPr>
          <w:hyperlink w:anchor="_Toc530748508" w:history="1">
            <w:r w:rsidR="003B11F0" w:rsidRPr="00D076B6">
              <w:rPr>
                <w:rStyle w:val="Hyperlink"/>
                <w:noProof/>
              </w:rPr>
              <w:t>Appendix F: Additional figures</w:t>
            </w:r>
            <w:r w:rsidR="003B11F0">
              <w:rPr>
                <w:noProof/>
                <w:webHidden/>
              </w:rPr>
              <w:tab/>
            </w:r>
            <w:r w:rsidR="003B11F0">
              <w:rPr>
                <w:noProof/>
                <w:webHidden/>
              </w:rPr>
              <w:fldChar w:fldCharType="begin"/>
            </w:r>
            <w:r w:rsidR="003B11F0">
              <w:rPr>
                <w:noProof/>
                <w:webHidden/>
              </w:rPr>
              <w:instrText xml:space="preserve"> PAGEREF _Toc530748508 \h </w:instrText>
            </w:r>
            <w:r w:rsidR="003B11F0">
              <w:rPr>
                <w:noProof/>
                <w:webHidden/>
              </w:rPr>
            </w:r>
            <w:r w:rsidR="003B11F0">
              <w:rPr>
                <w:noProof/>
                <w:webHidden/>
              </w:rPr>
              <w:fldChar w:fldCharType="separate"/>
            </w:r>
            <w:r w:rsidR="002E7372">
              <w:rPr>
                <w:noProof/>
                <w:webHidden/>
              </w:rPr>
              <w:t>77</w:t>
            </w:r>
            <w:r w:rsidR="003B11F0">
              <w:rPr>
                <w:noProof/>
                <w:webHidden/>
              </w:rPr>
              <w:fldChar w:fldCharType="end"/>
            </w:r>
          </w:hyperlink>
        </w:p>
        <w:p w:rsidR="003B11F0" w:rsidRDefault="001F492C">
          <w:pPr>
            <w:pStyle w:val="TOC1"/>
            <w:rPr>
              <w:rFonts w:asciiTheme="minorHAnsi" w:eastAsiaTheme="minorEastAsia" w:hAnsiTheme="minorHAnsi" w:cstheme="minorBidi"/>
              <w:b w:val="0"/>
              <w:noProof/>
              <w:sz w:val="22"/>
              <w:szCs w:val="22"/>
              <w:lang w:eastAsia="en-AU"/>
            </w:rPr>
          </w:pPr>
          <w:hyperlink w:anchor="_Toc530748509" w:history="1">
            <w:r w:rsidR="003B11F0" w:rsidRPr="00D076B6">
              <w:rPr>
                <w:rStyle w:val="Hyperlink"/>
                <w:noProof/>
              </w:rPr>
              <w:t>Appendix G: Regression results</w:t>
            </w:r>
            <w:r w:rsidR="003B11F0">
              <w:rPr>
                <w:noProof/>
                <w:webHidden/>
              </w:rPr>
              <w:tab/>
            </w:r>
            <w:r w:rsidR="003B11F0">
              <w:rPr>
                <w:noProof/>
                <w:webHidden/>
              </w:rPr>
              <w:fldChar w:fldCharType="begin"/>
            </w:r>
            <w:r w:rsidR="003B11F0">
              <w:rPr>
                <w:noProof/>
                <w:webHidden/>
              </w:rPr>
              <w:instrText xml:space="preserve"> PAGEREF _Toc530748509 \h </w:instrText>
            </w:r>
            <w:r w:rsidR="003B11F0">
              <w:rPr>
                <w:noProof/>
                <w:webHidden/>
              </w:rPr>
            </w:r>
            <w:r w:rsidR="003B11F0">
              <w:rPr>
                <w:noProof/>
                <w:webHidden/>
              </w:rPr>
              <w:fldChar w:fldCharType="separate"/>
            </w:r>
            <w:r w:rsidR="002E7372">
              <w:rPr>
                <w:noProof/>
                <w:webHidden/>
              </w:rPr>
              <w:t>79</w:t>
            </w:r>
            <w:r w:rsidR="003B11F0">
              <w:rPr>
                <w:noProof/>
                <w:webHidden/>
              </w:rPr>
              <w:fldChar w:fldCharType="end"/>
            </w:r>
          </w:hyperlink>
        </w:p>
        <w:p w:rsidR="003B11F0" w:rsidRDefault="001F492C">
          <w:pPr>
            <w:pStyle w:val="TOC1"/>
            <w:rPr>
              <w:rFonts w:asciiTheme="minorHAnsi" w:eastAsiaTheme="minorEastAsia" w:hAnsiTheme="minorHAnsi" w:cstheme="minorBidi"/>
              <w:b w:val="0"/>
              <w:noProof/>
              <w:sz w:val="22"/>
              <w:szCs w:val="22"/>
              <w:lang w:eastAsia="en-AU"/>
            </w:rPr>
          </w:pPr>
          <w:hyperlink w:anchor="_Toc530748510" w:history="1">
            <w:r w:rsidR="003B11F0" w:rsidRPr="00D076B6">
              <w:rPr>
                <w:rStyle w:val="Hyperlink"/>
                <w:noProof/>
              </w:rPr>
              <w:t>References</w:t>
            </w:r>
            <w:r w:rsidR="003B11F0">
              <w:rPr>
                <w:noProof/>
                <w:webHidden/>
              </w:rPr>
              <w:tab/>
            </w:r>
            <w:r w:rsidR="003B11F0">
              <w:rPr>
                <w:noProof/>
                <w:webHidden/>
              </w:rPr>
              <w:fldChar w:fldCharType="begin"/>
            </w:r>
            <w:r w:rsidR="003B11F0">
              <w:rPr>
                <w:noProof/>
                <w:webHidden/>
              </w:rPr>
              <w:instrText xml:space="preserve"> PAGEREF _Toc530748510 \h </w:instrText>
            </w:r>
            <w:r w:rsidR="003B11F0">
              <w:rPr>
                <w:noProof/>
                <w:webHidden/>
              </w:rPr>
            </w:r>
            <w:r w:rsidR="003B11F0">
              <w:rPr>
                <w:noProof/>
                <w:webHidden/>
              </w:rPr>
              <w:fldChar w:fldCharType="separate"/>
            </w:r>
            <w:r w:rsidR="002E7372">
              <w:rPr>
                <w:noProof/>
                <w:webHidden/>
              </w:rPr>
              <w:t>83</w:t>
            </w:r>
            <w:r w:rsidR="003B11F0">
              <w:rPr>
                <w:noProof/>
                <w:webHidden/>
              </w:rPr>
              <w:fldChar w:fldCharType="end"/>
            </w:r>
          </w:hyperlink>
        </w:p>
        <w:p w:rsidR="00AD3978" w:rsidRDefault="00273F94" w:rsidP="0052692F">
          <w:r>
            <w:rPr>
              <w:rFonts w:ascii="Arial" w:hAnsi="Arial"/>
              <w:b/>
              <w:sz w:val="26"/>
              <w:szCs w:val="26"/>
              <w:lang w:eastAsia="en-US"/>
            </w:rPr>
            <w:fldChar w:fldCharType="end"/>
          </w:r>
        </w:p>
      </w:sdtContent>
    </w:sdt>
    <w:p w:rsidR="00273F94" w:rsidRDefault="00273F94" w:rsidP="00273F94">
      <w:pPr>
        <w:pStyle w:val="BodyText"/>
      </w:pPr>
    </w:p>
    <w:p w:rsidR="00273F94" w:rsidRPr="00273F94" w:rsidRDefault="00273F94" w:rsidP="00273F94">
      <w:pPr>
        <w:pStyle w:val="BodyText"/>
        <w:sectPr w:rsidR="00273F94" w:rsidRPr="00273F94" w:rsidSect="00AD3978">
          <w:headerReference w:type="even" r:id="rId18"/>
          <w:headerReference w:type="default" r:id="rId19"/>
          <w:footerReference w:type="even" r:id="rId20"/>
          <w:footerReference w:type="default" r:id="rId21"/>
          <w:pgSz w:w="11907" w:h="16840" w:code="9"/>
          <w:pgMar w:top="1985" w:right="1304" w:bottom="1247" w:left="1814" w:header="1701" w:footer="397" w:gutter="0"/>
          <w:pgNumType w:fmt="lowerRoman" w:chapSep="period"/>
          <w:cols w:space="720"/>
        </w:sectPr>
      </w:pPr>
    </w:p>
    <w:p w:rsidR="00A33DFF" w:rsidRDefault="00B33BD8" w:rsidP="001C283B">
      <w:pPr>
        <w:pStyle w:val="Heading1"/>
      </w:pPr>
      <w:r>
        <w:lastRenderedPageBreak/>
        <w:t>E</w:t>
      </w:r>
      <w:r w:rsidR="00110C72">
        <w:t>conomies of scale</w:t>
      </w:r>
      <w:bookmarkEnd w:id="0"/>
      <w:r>
        <w:t xml:space="preserve"> in superannuation</w:t>
      </w:r>
    </w:p>
    <w:p w:rsidR="00C83249" w:rsidRDefault="00C83249">
      <w:pPr>
        <w:pStyle w:val="BoxSpaceAbove"/>
      </w:pPr>
      <w:bookmarkStart w:id="3" w:name="begin"/>
      <w:bookmarkEnd w:id="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83249" w:rsidTr="00C83249">
        <w:trPr>
          <w:tblHeader/>
        </w:trPr>
        <w:tc>
          <w:tcPr>
            <w:tcW w:w="5000" w:type="pct"/>
            <w:tcBorders>
              <w:top w:val="single" w:sz="6" w:space="0" w:color="78A22F"/>
              <w:left w:val="nil"/>
              <w:bottom w:val="nil"/>
              <w:right w:val="nil"/>
            </w:tcBorders>
            <w:shd w:val="clear" w:color="auto" w:fill="F2F2F2"/>
          </w:tcPr>
          <w:p w:rsidR="00C83249" w:rsidRDefault="00C83249" w:rsidP="00C83249">
            <w:pPr>
              <w:pStyle w:val="BoxTitle"/>
            </w:pPr>
            <w:r>
              <w:t>Key points</w:t>
            </w:r>
          </w:p>
        </w:tc>
      </w:tr>
      <w:tr w:rsidR="00C83249" w:rsidTr="00C83249">
        <w:tc>
          <w:tcPr>
            <w:tcW w:w="5000" w:type="pct"/>
            <w:tcBorders>
              <w:top w:val="nil"/>
              <w:left w:val="nil"/>
              <w:bottom w:val="nil"/>
              <w:right w:val="nil"/>
            </w:tcBorders>
            <w:shd w:val="clear" w:color="auto" w:fill="F2F2F2"/>
          </w:tcPr>
          <w:p w:rsidR="00190114" w:rsidRPr="00180137" w:rsidRDefault="000D055D" w:rsidP="00180137">
            <w:pPr>
              <w:pStyle w:val="BoxListBullet"/>
              <w:spacing w:line="240" w:lineRule="atLeast"/>
              <w:rPr>
                <w:spacing w:val="-2"/>
                <w:sz w:val="19"/>
                <w:szCs w:val="19"/>
              </w:rPr>
            </w:pPr>
            <w:r w:rsidRPr="00180137">
              <w:rPr>
                <w:spacing w:val="-2"/>
                <w:sz w:val="19"/>
                <w:szCs w:val="19"/>
              </w:rPr>
              <w:t xml:space="preserve">The Commission’s further analysis confirms </w:t>
            </w:r>
            <w:r w:rsidR="00F249D3" w:rsidRPr="00180137">
              <w:rPr>
                <w:spacing w:val="-2"/>
                <w:sz w:val="19"/>
                <w:szCs w:val="19"/>
              </w:rPr>
              <w:t xml:space="preserve">that </w:t>
            </w:r>
            <w:r w:rsidRPr="00180137">
              <w:rPr>
                <w:spacing w:val="-2"/>
                <w:sz w:val="19"/>
                <w:szCs w:val="19"/>
              </w:rPr>
              <w:t>e</w:t>
            </w:r>
            <w:r w:rsidR="00190114" w:rsidRPr="00180137">
              <w:rPr>
                <w:spacing w:val="-2"/>
                <w:sz w:val="19"/>
                <w:szCs w:val="19"/>
              </w:rPr>
              <w:t xml:space="preserve">vidence of economies of scale </w:t>
            </w:r>
            <w:r w:rsidR="001E3E5D" w:rsidRPr="00180137">
              <w:rPr>
                <w:spacing w:val="-2"/>
                <w:sz w:val="19"/>
                <w:szCs w:val="19"/>
              </w:rPr>
              <w:t>in the superannuation system</w:t>
            </w:r>
            <w:r w:rsidR="007E3874" w:rsidRPr="00180137">
              <w:rPr>
                <w:spacing w:val="-2"/>
                <w:sz w:val="19"/>
                <w:szCs w:val="19"/>
              </w:rPr>
              <w:t xml:space="preserve"> is compelling</w:t>
            </w:r>
            <w:r w:rsidR="001E3E5D" w:rsidRPr="00180137">
              <w:rPr>
                <w:spacing w:val="-2"/>
                <w:sz w:val="19"/>
                <w:szCs w:val="19"/>
              </w:rPr>
              <w:t>. H</w:t>
            </w:r>
            <w:r w:rsidR="00273A45" w:rsidRPr="00180137">
              <w:rPr>
                <w:spacing w:val="-2"/>
                <w:sz w:val="19"/>
                <w:szCs w:val="19"/>
              </w:rPr>
              <w:t>olding other cost drivers</w:t>
            </w:r>
            <w:r w:rsidR="001E3E5D" w:rsidRPr="00180137">
              <w:rPr>
                <w:spacing w:val="-2"/>
                <w:sz w:val="19"/>
                <w:szCs w:val="19"/>
              </w:rPr>
              <w:t xml:space="preserve"> constant</w:t>
            </w:r>
            <w:r w:rsidR="00273A45" w:rsidRPr="00180137">
              <w:rPr>
                <w:spacing w:val="-2"/>
                <w:sz w:val="19"/>
                <w:szCs w:val="19"/>
              </w:rPr>
              <w:t xml:space="preserve">, </w:t>
            </w:r>
            <w:r w:rsidR="00190114" w:rsidRPr="00180137">
              <w:rPr>
                <w:spacing w:val="-2"/>
                <w:sz w:val="19"/>
                <w:szCs w:val="19"/>
              </w:rPr>
              <w:t xml:space="preserve">larger scale is strongly associated with lower average </w:t>
            </w:r>
            <w:r w:rsidR="001E3E5D" w:rsidRPr="00180137">
              <w:rPr>
                <w:spacing w:val="-2"/>
                <w:sz w:val="19"/>
                <w:szCs w:val="19"/>
              </w:rPr>
              <w:t xml:space="preserve">system </w:t>
            </w:r>
            <w:r w:rsidR="000E3CF3" w:rsidRPr="00180137">
              <w:rPr>
                <w:spacing w:val="-2"/>
                <w:sz w:val="19"/>
                <w:szCs w:val="19"/>
              </w:rPr>
              <w:t>expenses</w:t>
            </w:r>
            <w:r w:rsidR="008C22A6" w:rsidRPr="00180137">
              <w:rPr>
                <w:spacing w:val="-2"/>
                <w:sz w:val="19"/>
                <w:szCs w:val="19"/>
              </w:rPr>
              <w:t xml:space="preserve"> (as distinct from fees charged)</w:t>
            </w:r>
            <w:r w:rsidR="00190114" w:rsidRPr="00180137">
              <w:rPr>
                <w:spacing w:val="-2"/>
                <w:sz w:val="19"/>
                <w:szCs w:val="19"/>
              </w:rPr>
              <w:t>.</w:t>
            </w:r>
          </w:p>
          <w:p w:rsidR="006F0F3C" w:rsidRPr="00180137" w:rsidRDefault="00273A45" w:rsidP="00180137">
            <w:pPr>
              <w:pStyle w:val="BoxListBullet2"/>
              <w:spacing w:line="240" w:lineRule="atLeast"/>
              <w:rPr>
                <w:sz w:val="19"/>
                <w:szCs w:val="19"/>
              </w:rPr>
            </w:pPr>
            <w:r w:rsidRPr="00180137">
              <w:rPr>
                <w:sz w:val="19"/>
                <w:szCs w:val="19"/>
              </w:rPr>
              <w:t>Th</w:t>
            </w:r>
            <w:r w:rsidR="004A0633" w:rsidRPr="00180137">
              <w:rPr>
                <w:sz w:val="19"/>
                <w:szCs w:val="19"/>
              </w:rPr>
              <w:t>is</w:t>
            </w:r>
            <w:r w:rsidRPr="00180137">
              <w:rPr>
                <w:sz w:val="19"/>
                <w:szCs w:val="19"/>
              </w:rPr>
              <w:t xml:space="preserve"> relationship is </w:t>
            </w:r>
            <w:r w:rsidR="001E3E5D" w:rsidRPr="00180137">
              <w:rPr>
                <w:sz w:val="19"/>
                <w:szCs w:val="19"/>
              </w:rPr>
              <w:t>especially</w:t>
            </w:r>
            <w:r w:rsidRPr="00180137">
              <w:rPr>
                <w:sz w:val="19"/>
                <w:szCs w:val="19"/>
              </w:rPr>
              <w:t xml:space="preserve"> pronounced for administrati</w:t>
            </w:r>
            <w:r w:rsidR="001E3E5D" w:rsidRPr="00180137">
              <w:rPr>
                <w:sz w:val="19"/>
                <w:szCs w:val="19"/>
              </w:rPr>
              <w:t>on</w:t>
            </w:r>
            <w:r w:rsidRPr="00180137">
              <w:rPr>
                <w:sz w:val="19"/>
                <w:szCs w:val="19"/>
              </w:rPr>
              <w:t xml:space="preserve"> </w:t>
            </w:r>
            <w:r w:rsidR="000E3CF3" w:rsidRPr="00180137">
              <w:rPr>
                <w:sz w:val="19"/>
                <w:szCs w:val="19"/>
              </w:rPr>
              <w:t>expenses</w:t>
            </w:r>
            <w:r w:rsidRPr="00180137">
              <w:rPr>
                <w:sz w:val="19"/>
                <w:szCs w:val="19"/>
              </w:rPr>
              <w:t xml:space="preserve">, </w:t>
            </w:r>
            <w:r w:rsidR="00396C68" w:rsidRPr="00180137">
              <w:rPr>
                <w:sz w:val="19"/>
                <w:szCs w:val="19"/>
              </w:rPr>
              <w:t>where realised scale gains are greater than they are for investment</w:t>
            </w:r>
            <w:r w:rsidR="00102C0B">
              <w:rPr>
                <w:sz w:val="19"/>
                <w:szCs w:val="19"/>
              </w:rPr>
              <w:t xml:space="preserve"> expenses</w:t>
            </w:r>
            <w:r w:rsidR="00396C68" w:rsidRPr="00180137">
              <w:rPr>
                <w:sz w:val="19"/>
                <w:szCs w:val="19"/>
              </w:rPr>
              <w:t xml:space="preserve">, </w:t>
            </w:r>
            <w:r w:rsidR="001E3E5D" w:rsidRPr="00180137">
              <w:rPr>
                <w:sz w:val="19"/>
                <w:szCs w:val="19"/>
              </w:rPr>
              <w:t xml:space="preserve">and </w:t>
            </w:r>
            <w:r w:rsidRPr="00180137">
              <w:rPr>
                <w:sz w:val="19"/>
                <w:szCs w:val="19"/>
              </w:rPr>
              <w:t>across</w:t>
            </w:r>
            <w:r w:rsidR="003F2B73" w:rsidRPr="00180137">
              <w:rPr>
                <w:sz w:val="19"/>
                <w:szCs w:val="19"/>
              </w:rPr>
              <w:t xml:space="preserve"> all segments.</w:t>
            </w:r>
            <w:r w:rsidR="006F0F3C" w:rsidRPr="00180137">
              <w:rPr>
                <w:sz w:val="19"/>
                <w:szCs w:val="19"/>
              </w:rPr>
              <w:t xml:space="preserve"> On the investment side, </w:t>
            </w:r>
            <w:r w:rsidR="00C56A1B" w:rsidRPr="00180137">
              <w:rPr>
                <w:sz w:val="19"/>
                <w:szCs w:val="19"/>
              </w:rPr>
              <w:t>the relationship is</w:t>
            </w:r>
            <w:r w:rsidR="001E3E5D" w:rsidRPr="00180137">
              <w:rPr>
                <w:sz w:val="19"/>
                <w:szCs w:val="19"/>
              </w:rPr>
              <w:t xml:space="preserve"> strong for the system as a whole; but more so </w:t>
            </w:r>
            <w:r w:rsidR="006525E5" w:rsidRPr="00180137">
              <w:rPr>
                <w:sz w:val="19"/>
                <w:szCs w:val="19"/>
              </w:rPr>
              <w:t xml:space="preserve">for </w:t>
            </w:r>
            <w:r w:rsidR="006F0F3C" w:rsidRPr="00180137">
              <w:rPr>
                <w:sz w:val="19"/>
                <w:szCs w:val="19"/>
              </w:rPr>
              <w:t xml:space="preserve">public sector and retail funds than for industry </w:t>
            </w:r>
            <w:r w:rsidR="00976C4B" w:rsidRPr="00180137">
              <w:rPr>
                <w:sz w:val="19"/>
                <w:szCs w:val="19"/>
              </w:rPr>
              <w:t xml:space="preserve">and corporate </w:t>
            </w:r>
            <w:r w:rsidR="006F0F3C" w:rsidRPr="00180137">
              <w:rPr>
                <w:sz w:val="19"/>
                <w:szCs w:val="19"/>
              </w:rPr>
              <w:t>funds.</w:t>
            </w:r>
          </w:p>
          <w:p w:rsidR="00190114" w:rsidRPr="00180137" w:rsidRDefault="00190114" w:rsidP="00180137">
            <w:pPr>
              <w:pStyle w:val="BoxListBullet"/>
              <w:spacing w:line="240" w:lineRule="atLeast"/>
              <w:rPr>
                <w:sz w:val="19"/>
                <w:szCs w:val="19"/>
              </w:rPr>
            </w:pPr>
            <w:r w:rsidRPr="00180137">
              <w:rPr>
                <w:sz w:val="19"/>
                <w:szCs w:val="19"/>
              </w:rPr>
              <w:t xml:space="preserve">Significant scale </w:t>
            </w:r>
            <w:r w:rsidR="00C56A1B" w:rsidRPr="00180137">
              <w:rPr>
                <w:sz w:val="19"/>
                <w:szCs w:val="19"/>
              </w:rPr>
              <w:t xml:space="preserve">benefits </w:t>
            </w:r>
            <w:r w:rsidRPr="00180137">
              <w:rPr>
                <w:sz w:val="19"/>
                <w:szCs w:val="19"/>
              </w:rPr>
              <w:t xml:space="preserve">have been realised over the past </w:t>
            </w:r>
            <w:r w:rsidR="00AF679C" w:rsidRPr="00180137">
              <w:rPr>
                <w:sz w:val="19"/>
                <w:szCs w:val="19"/>
              </w:rPr>
              <w:t>13 years</w:t>
            </w:r>
            <w:r w:rsidR="00B45920" w:rsidRPr="00180137">
              <w:rPr>
                <w:sz w:val="19"/>
                <w:szCs w:val="19"/>
              </w:rPr>
              <w:t>, particularly on the administration side</w:t>
            </w:r>
            <w:r w:rsidR="006579CD" w:rsidRPr="00180137">
              <w:rPr>
                <w:sz w:val="19"/>
                <w:szCs w:val="19"/>
              </w:rPr>
              <w:t>. B</w:t>
            </w:r>
            <w:r w:rsidRPr="00180137">
              <w:rPr>
                <w:sz w:val="19"/>
                <w:szCs w:val="19"/>
              </w:rPr>
              <w:t xml:space="preserve">ut </w:t>
            </w:r>
            <w:r w:rsidR="002D147C" w:rsidRPr="00180137">
              <w:rPr>
                <w:sz w:val="19"/>
                <w:szCs w:val="19"/>
              </w:rPr>
              <w:t xml:space="preserve">significant </w:t>
            </w:r>
            <w:r w:rsidR="000B02BB" w:rsidRPr="00180137">
              <w:rPr>
                <w:sz w:val="19"/>
                <w:szCs w:val="19"/>
              </w:rPr>
              <w:t>unrealised economies remain</w:t>
            </w:r>
            <w:r w:rsidRPr="00180137">
              <w:rPr>
                <w:sz w:val="19"/>
                <w:szCs w:val="19"/>
              </w:rPr>
              <w:t>.</w:t>
            </w:r>
          </w:p>
          <w:p w:rsidR="002A4768" w:rsidRPr="00180137" w:rsidRDefault="001C583A" w:rsidP="00180137">
            <w:pPr>
              <w:pStyle w:val="BoxListBullet2"/>
              <w:spacing w:line="240" w:lineRule="atLeast"/>
              <w:rPr>
                <w:spacing w:val="-2"/>
                <w:sz w:val="19"/>
                <w:szCs w:val="19"/>
                <w:lang w:eastAsia="en-US"/>
              </w:rPr>
            </w:pPr>
            <w:r w:rsidRPr="00180137">
              <w:rPr>
                <w:spacing w:val="-2"/>
                <w:sz w:val="19"/>
                <w:szCs w:val="19"/>
              </w:rPr>
              <w:t>Holding constant</w:t>
            </w:r>
            <w:r w:rsidR="008344C6" w:rsidRPr="00180137">
              <w:rPr>
                <w:spacing w:val="-2"/>
                <w:sz w:val="19"/>
                <w:szCs w:val="19"/>
              </w:rPr>
              <w:t xml:space="preserve"> other </w:t>
            </w:r>
            <w:r w:rsidRPr="00180137">
              <w:rPr>
                <w:spacing w:val="-2"/>
                <w:sz w:val="19"/>
                <w:szCs w:val="19"/>
              </w:rPr>
              <w:t>cost drivers</w:t>
            </w:r>
            <w:r w:rsidR="008344C6" w:rsidRPr="00180137">
              <w:rPr>
                <w:spacing w:val="-2"/>
                <w:sz w:val="19"/>
                <w:szCs w:val="19"/>
              </w:rPr>
              <w:t xml:space="preserve">, </w:t>
            </w:r>
            <w:r w:rsidR="002D147C" w:rsidRPr="00180137">
              <w:rPr>
                <w:spacing w:val="-2"/>
                <w:sz w:val="19"/>
                <w:szCs w:val="19"/>
              </w:rPr>
              <w:t xml:space="preserve">the </w:t>
            </w:r>
            <w:r w:rsidR="008C22A6" w:rsidRPr="00180137">
              <w:rPr>
                <w:spacing w:val="-2"/>
                <w:sz w:val="19"/>
                <w:szCs w:val="19"/>
              </w:rPr>
              <w:t>‘marginal</w:t>
            </w:r>
            <w:r w:rsidR="006525E5" w:rsidRPr="00180137">
              <w:rPr>
                <w:spacing w:val="-2"/>
                <w:sz w:val="19"/>
                <w:szCs w:val="19"/>
              </w:rPr>
              <w:t>’</w:t>
            </w:r>
            <w:r w:rsidR="008C22A6" w:rsidRPr="00180137">
              <w:rPr>
                <w:spacing w:val="-2"/>
                <w:sz w:val="19"/>
                <w:szCs w:val="19"/>
              </w:rPr>
              <w:t xml:space="preserve"> (or </w:t>
            </w:r>
            <w:r w:rsidR="006579CD" w:rsidRPr="00180137">
              <w:rPr>
                <w:spacing w:val="-2"/>
                <w:sz w:val="19"/>
                <w:szCs w:val="19"/>
              </w:rPr>
              <w:t>incremental</w:t>
            </w:r>
            <w:r w:rsidR="008C22A6" w:rsidRPr="00180137">
              <w:rPr>
                <w:spacing w:val="-2"/>
                <w:sz w:val="19"/>
                <w:szCs w:val="19"/>
              </w:rPr>
              <w:t>)</w:t>
            </w:r>
            <w:r w:rsidR="002A4768" w:rsidRPr="00180137">
              <w:rPr>
                <w:spacing w:val="-2"/>
                <w:sz w:val="19"/>
                <w:szCs w:val="19"/>
              </w:rPr>
              <w:t xml:space="preserve"> </w:t>
            </w:r>
            <w:r w:rsidR="003C78B3" w:rsidRPr="00180137">
              <w:rPr>
                <w:spacing w:val="-2"/>
                <w:sz w:val="19"/>
                <w:szCs w:val="19"/>
              </w:rPr>
              <w:t xml:space="preserve">gains </w:t>
            </w:r>
            <w:r w:rsidR="006579CD" w:rsidRPr="00180137">
              <w:rPr>
                <w:spacing w:val="-2"/>
                <w:sz w:val="19"/>
                <w:szCs w:val="19"/>
              </w:rPr>
              <w:t xml:space="preserve">in system savings </w:t>
            </w:r>
            <w:r w:rsidR="00EE500A" w:rsidRPr="00180137">
              <w:rPr>
                <w:spacing w:val="-2"/>
                <w:sz w:val="19"/>
                <w:szCs w:val="19"/>
              </w:rPr>
              <w:t>(</w:t>
            </w:r>
            <w:r w:rsidR="003C78B3" w:rsidRPr="00180137">
              <w:rPr>
                <w:spacing w:val="-2"/>
                <w:sz w:val="19"/>
                <w:szCs w:val="19"/>
              </w:rPr>
              <w:t>accru</w:t>
            </w:r>
            <w:r w:rsidR="00EE500A" w:rsidRPr="00180137">
              <w:rPr>
                <w:spacing w:val="-2"/>
                <w:sz w:val="19"/>
                <w:szCs w:val="19"/>
              </w:rPr>
              <w:t>ing</w:t>
            </w:r>
            <w:r w:rsidR="003C78B3" w:rsidRPr="00180137">
              <w:rPr>
                <w:spacing w:val="-2"/>
                <w:sz w:val="19"/>
                <w:szCs w:val="19"/>
              </w:rPr>
              <w:t xml:space="preserve"> from </w:t>
            </w:r>
            <w:r w:rsidR="006579CD" w:rsidRPr="00180137">
              <w:rPr>
                <w:spacing w:val="-2"/>
                <w:sz w:val="19"/>
                <w:szCs w:val="19"/>
              </w:rPr>
              <w:t xml:space="preserve">increases in </w:t>
            </w:r>
            <w:r w:rsidR="00AF679C" w:rsidRPr="00180137">
              <w:rPr>
                <w:spacing w:val="-2"/>
                <w:sz w:val="19"/>
                <w:szCs w:val="19"/>
              </w:rPr>
              <w:t xml:space="preserve">scale in any </w:t>
            </w:r>
            <w:r w:rsidR="003C78B3" w:rsidRPr="00180137">
              <w:rPr>
                <w:spacing w:val="-2"/>
                <w:sz w:val="19"/>
                <w:szCs w:val="19"/>
              </w:rPr>
              <w:t>yea</w:t>
            </w:r>
            <w:r w:rsidR="00AF679C" w:rsidRPr="00180137">
              <w:rPr>
                <w:spacing w:val="-2"/>
                <w:sz w:val="19"/>
                <w:szCs w:val="19"/>
              </w:rPr>
              <w:t>r</w:t>
            </w:r>
            <w:r w:rsidR="00EE500A" w:rsidRPr="00180137">
              <w:rPr>
                <w:spacing w:val="-2"/>
                <w:sz w:val="19"/>
                <w:szCs w:val="19"/>
              </w:rPr>
              <w:t>)</w:t>
            </w:r>
            <w:r w:rsidR="003C78B3" w:rsidRPr="00180137">
              <w:rPr>
                <w:spacing w:val="-2"/>
                <w:sz w:val="19"/>
                <w:szCs w:val="19"/>
              </w:rPr>
              <w:t xml:space="preserve"> </w:t>
            </w:r>
            <w:r w:rsidR="00DD547D" w:rsidRPr="00180137">
              <w:rPr>
                <w:spacing w:val="-2"/>
                <w:sz w:val="19"/>
                <w:szCs w:val="19"/>
              </w:rPr>
              <w:t>are estim</w:t>
            </w:r>
            <w:r w:rsidR="002D147C" w:rsidRPr="00180137">
              <w:rPr>
                <w:spacing w:val="-2"/>
                <w:sz w:val="19"/>
                <w:szCs w:val="19"/>
              </w:rPr>
              <w:t xml:space="preserve">ated to </w:t>
            </w:r>
            <w:r w:rsidR="00EE500A" w:rsidRPr="00180137">
              <w:rPr>
                <w:spacing w:val="-2"/>
                <w:sz w:val="19"/>
                <w:szCs w:val="19"/>
              </w:rPr>
              <w:t xml:space="preserve">average </w:t>
            </w:r>
            <w:r w:rsidR="006525E5" w:rsidRPr="00180137">
              <w:rPr>
                <w:spacing w:val="-2"/>
                <w:sz w:val="19"/>
                <w:szCs w:val="19"/>
              </w:rPr>
              <w:t>about $</w:t>
            </w:r>
            <w:r w:rsidR="00C910AB" w:rsidRPr="00180137">
              <w:rPr>
                <w:spacing w:val="-2"/>
                <w:sz w:val="19"/>
                <w:szCs w:val="19"/>
              </w:rPr>
              <w:t>34</w:t>
            </w:r>
            <w:r w:rsidR="006525E5" w:rsidRPr="00180137">
              <w:rPr>
                <w:spacing w:val="-2"/>
                <w:sz w:val="19"/>
                <w:szCs w:val="19"/>
              </w:rPr>
              <w:t>0 million</w:t>
            </w:r>
            <w:r w:rsidR="002D147C" w:rsidRPr="00180137">
              <w:rPr>
                <w:spacing w:val="-2"/>
                <w:sz w:val="19"/>
                <w:szCs w:val="19"/>
              </w:rPr>
              <w:t xml:space="preserve"> each year</w:t>
            </w:r>
            <w:r w:rsidR="00EE500A" w:rsidRPr="00180137">
              <w:rPr>
                <w:spacing w:val="-2"/>
                <w:sz w:val="19"/>
                <w:szCs w:val="19"/>
              </w:rPr>
              <w:t>, or</w:t>
            </w:r>
            <w:r w:rsidR="006525E5" w:rsidRPr="00180137">
              <w:rPr>
                <w:spacing w:val="-2"/>
                <w:sz w:val="19"/>
                <w:szCs w:val="19"/>
              </w:rPr>
              <w:t xml:space="preserve"> </w:t>
            </w:r>
            <w:r w:rsidR="004A16A8" w:rsidRPr="00180137">
              <w:rPr>
                <w:spacing w:val="-2"/>
                <w:sz w:val="19"/>
                <w:szCs w:val="19"/>
              </w:rPr>
              <w:t>$4.</w:t>
            </w:r>
            <w:r w:rsidR="00213394" w:rsidRPr="00180137">
              <w:rPr>
                <w:spacing w:val="-2"/>
                <w:sz w:val="19"/>
                <w:szCs w:val="19"/>
              </w:rPr>
              <w:t>5</w:t>
            </w:r>
            <w:r w:rsidR="00AF679C" w:rsidRPr="00180137">
              <w:rPr>
                <w:spacing w:val="-2"/>
                <w:sz w:val="19"/>
                <w:szCs w:val="19"/>
              </w:rPr>
              <w:t> </w:t>
            </w:r>
            <w:r w:rsidR="004A16A8" w:rsidRPr="00180137">
              <w:rPr>
                <w:spacing w:val="-2"/>
                <w:sz w:val="19"/>
                <w:szCs w:val="19"/>
              </w:rPr>
              <w:t>billion</w:t>
            </w:r>
            <w:r w:rsidR="003C78B3" w:rsidRPr="00180137">
              <w:rPr>
                <w:spacing w:val="-2"/>
                <w:sz w:val="19"/>
                <w:szCs w:val="19"/>
              </w:rPr>
              <w:t xml:space="preserve"> </w:t>
            </w:r>
            <w:r w:rsidR="00EE500A" w:rsidRPr="00180137">
              <w:rPr>
                <w:spacing w:val="-2"/>
                <w:sz w:val="19"/>
                <w:szCs w:val="19"/>
              </w:rPr>
              <w:t xml:space="preserve">in total </w:t>
            </w:r>
            <w:r w:rsidR="00DD547D" w:rsidRPr="00180137">
              <w:rPr>
                <w:spacing w:val="-2"/>
                <w:sz w:val="19"/>
                <w:szCs w:val="19"/>
              </w:rPr>
              <w:t xml:space="preserve">from </w:t>
            </w:r>
            <w:r w:rsidR="003C78B3" w:rsidRPr="00180137">
              <w:rPr>
                <w:spacing w:val="-2"/>
                <w:sz w:val="19"/>
                <w:szCs w:val="19"/>
              </w:rPr>
              <w:t>2004 to 2017</w:t>
            </w:r>
            <w:r w:rsidR="002D147C" w:rsidRPr="00180137">
              <w:rPr>
                <w:spacing w:val="-2"/>
                <w:sz w:val="19"/>
                <w:szCs w:val="19"/>
              </w:rPr>
              <w:t>.</w:t>
            </w:r>
            <w:r w:rsidR="002D147C" w:rsidRPr="00180137" w:rsidDel="002D147C">
              <w:rPr>
                <w:spacing w:val="-2"/>
                <w:sz w:val="19"/>
                <w:szCs w:val="19"/>
              </w:rPr>
              <w:t xml:space="preserve"> </w:t>
            </w:r>
            <w:r w:rsidR="002D147C" w:rsidRPr="00180137">
              <w:rPr>
                <w:spacing w:val="-2"/>
                <w:sz w:val="19"/>
                <w:szCs w:val="19"/>
              </w:rPr>
              <w:t xml:space="preserve">These are </w:t>
            </w:r>
            <w:r w:rsidR="00DD547D" w:rsidRPr="00180137">
              <w:rPr>
                <w:spacing w:val="-2"/>
                <w:sz w:val="19"/>
                <w:szCs w:val="19"/>
              </w:rPr>
              <w:t xml:space="preserve">sizeable </w:t>
            </w:r>
            <w:r w:rsidR="002A4768" w:rsidRPr="00180137">
              <w:rPr>
                <w:spacing w:val="-2"/>
                <w:sz w:val="19"/>
                <w:szCs w:val="19"/>
              </w:rPr>
              <w:t>savings when viewed relative to recorded expenses of about $2.5 billion in 2004 and just over $9 billion in 2017</w:t>
            </w:r>
            <w:r w:rsidR="002A4768" w:rsidRPr="00180137">
              <w:rPr>
                <w:spacing w:val="-2"/>
                <w:sz w:val="19"/>
                <w:szCs w:val="19"/>
                <w:lang w:eastAsia="en-US"/>
              </w:rPr>
              <w:t>.</w:t>
            </w:r>
          </w:p>
          <w:p w:rsidR="00C15691" w:rsidRPr="00180137" w:rsidRDefault="006525E5" w:rsidP="00180137">
            <w:pPr>
              <w:pStyle w:val="BoxListBullet2"/>
              <w:spacing w:line="240" w:lineRule="atLeast"/>
              <w:rPr>
                <w:spacing w:val="-2"/>
                <w:sz w:val="19"/>
                <w:szCs w:val="19"/>
              </w:rPr>
            </w:pPr>
            <w:r w:rsidRPr="00180137">
              <w:rPr>
                <w:spacing w:val="-2"/>
                <w:sz w:val="19"/>
                <w:szCs w:val="19"/>
                <w:lang w:eastAsia="en-US"/>
              </w:rPr>
              <w:t xml:space="preserve">Data limitations </w:t>
            </w:r>
            <w:r w:rsidR="00B2557A" w:rsidRPr="00180137">
              <w:rPr>
                <w:spacing w:val="-2"/>
                <w:sz w:val="19"/>
                <w:szCs w:val="19"/>
                <w:lang w:eastAsia="en-US"/>
              </w:rPr>
              <w:t>rule out</w:t>
            </w:r>
            <w:r w:rsidRPr="00180137">
              <w:rPr>
                <w:spacing w:val="-2"/>
                <w:sz w:val="19"/>
                <w:szCs w:val="19"/>
                <w:lang w:eastAsia="en-US"/>
              </w:rPr>
              <w:t xml:space="preserve"> estimation of </w:t>
            </w:r>
            <w:r w:rsidR="00B95D60" w:rsidRPr="00180137">
              <w:rPr>
                <w:spacing w:val="-2"/>
                <w:sz w:val="19"/>
                <w:szCs w:val="19"/>
                <w:lang w:eastAsia="en-US"/>
              </w:rPr>
              <w:t>realised</w:t>
            </w:r>
            <w:r w:rsidRPr="00180137">
              <w:rPr>
                <w:spacing w:val="-2"/>
                <w:sz w:val="19"/>
                <w:szCs w:val="19"/>
                <w:lang w:eastAsia="en-US"/>
              </w:rPr>
              <w:t xml:space="preserve"> </w:t>
            </w:r>
            <w:r w:rsidR="00AF679C" w:rsidRPr="00180137">
              <w:rPr>
                <w:spacing w:val="-2"/>
                <w:sz w:val="19"/>
                <w:szCs w:val="19"/>
                <w:lang w:eastAsia="en-US"/>
              </w:rPr>
              <w:t>‘</w:t>
            </w:r>
            <w:r w:rsidRPr="00180137">
              <w:rPr>
                <w:spacing w:val="-2"/>
                <w:sz w:val="19"/>
                <w:szCs w:val="19"/>
                <w:lang w:eastAsia="en-US"/>
              </w:rPr>
              <w:t>c</w:t>
            </w:r>
            <w:r w:rsidR="00AF679C" w:rsidRPr="00180137">
              <w:rPr>
                <w:spacing w:val="-2"/>
                <w:sz w:val="19"/>
                <w:szCs w:val="19"/>
                <w:lang w:eastAsia="en-US"/>
              </w:rPr>
              <w:t xml:space="preserve">umulative’ savings (scale benefits </w:t>
            </w:r>
            <w:r w:rsidR="00B95D60" w:rsidRPr="00180137">
              <w:rPr>
                <w:spacing w:val="-2"/>
                <w:sz w:val="19"/>
                <w:szCs w:val="19"/>
                <w:lang w:eastAsia="en-US"/>
              </w:rPr>
              <w:t xml:space="preserve">that </w:t>
            </w:r>
            <w:r w:rsidR="00AF679C" w:rsidRPr="00180137">
              <w:rPr>
                <w:spacing w:val="-2"/>
                <w:sz w:val="19"/>
                <w:szCs w:val="19"/>
                <w:lang w:eastAsia="en-US"/>
              </w:rPr>
              <w:t xml:space="preserve">persist beyond the year in which </w:t>
            </w:r>
            <w:r w:rsidR="00B95D60" w:rsidRPr="00180137">
              <w:rPr>
                <w:spacing w:val="-2"/>
                <w:sz w:val="19"/>
                <w:szCs w:val="19"/>
                <w:lang w:eastAsia="en-US"/>
              </w:rPr>
              <w:t>gains</w:t>
            </w:r>
            <w:r w:rsidR="00AF679C" w:rsidRPr="00180137">
              <w:rPr>
                <w:spacing w:val="-2"/>
                <w:sz w:val="19"/>
                <w:szCs w:val="19"/>
                <w:lang w:eastAsia="en-US"/>
              </w:rPr>
              <w:t xml:space="preserve"> are</w:t>
            </w:r>
            <w:r w:rsidR="007A1994" w:rsidRPr="00180137">
              <w:rPr>
                <w:spacing w:val="-2"/>
                <w:sz w:val="19"/>
                <w:szCs w:val="19"/>
                <w:lang w:eastAsia="en-US"/>
              </w:rPr>
              <w:t xml:space="preserve"> first</w:t>
            </w:r>
            <w:r w:rsidR="00AF679C" w:rsidRPr="00180137">
              <w:rPr>
                <w:spacing w:val="-2"/>
                <w:sz w:val="19"/>
                <w:szCs w:val="19"/>
                <w:lang w:eastAsia="en-US"/>
              </w:rPr>
              <w:t xml:space="preserve"> realised), </w:t>
            </w:r>
            <w:r w:rsidR="00B2557A" w:rsidRPr="00180137">
              <w:rPr>
                <w:spacing w:val="-2"/>
                <w:sz w:val="19"/>
                <w:szCs w:val="19"/>
                <w:lang w:eastAsia="en-US"/>
              </w:rPr>
              <w:t>but no doubt they have been material</w:t>
            </w:r>
            <w:r w:rsidR="007A1994" w:rsidRPr="00180137">
              <w:rPr>
                <w:spacing w:val="-2"/>
                <w:sz w:val="19"/>
                <w:szCs w:val="19"/>
                <w:lang w:eastAsia="en-US"/>
              </w:rPr>
              <w:t>.</w:t>
            </w:r>
          </w:p>
          <w:p w:rsidR="00C15691" w:rsidRPr="00180137" w:rsidRDefault="000B02BB" w:rsidP="00180137">
            <w:pPr>
              <w:pStyle w:val="BoxListBullet2"/>
              <w:spacing w:line="240" w:lineRule="atLeast"/>
              <w:rPr>
                <w:spacing w:val="-2"/>
                <w:sz w:val="19"/>
                <w:szCs w:val="19"/>
              </w:rPr>
            </w:pPr>
            <w:r w:rsidRPr="00180137">
              <w:rPr>
                <w:spacing w:val="-2"/>
                <w:sz w:val="19"/>
                <w:szCs w:val="19"/>
              </w:rPr>
              <w:t>L</w:t>
            </w:r>
            <w:r w:rsidR="00DC2DBD" w:rsidRPr="00180137">
              <w:rPr>
                <w:sz w:val="19"/>
                <w:szCs w:val="19"/>
              </w:rPr>
              <w:t xml:space="preserve">arge </w:t>
            </w:r>
            <w:r w:rsidR="00B45EA3" w:rsidRPr="00180137">
              <w:rPr>
                <w:spacing w:val="-2"/>
                <w:sz w:val="19"/>
                <w:szCs w:val="19"/>
              </w:rPr>
              <w:t>c</w:t>
            </w:r>
            <w:r w:rsidR="00CA657A" w:rsidRPr="00180137">
              <w:rPr>
                <w:spacing w:val="-2"/>
                <w:sz w:val="19"/>
                <w:szCs w:val="19"/>
              </w:rPr>
              <w:t xml:space="preserve">ost </w:t>
            </w:r>
            <w:r w:rsidR="00C15691" w:rsidRPr="00180137">
              <w:rPr>
                <w:spacing w:val="-2"/>
                <w:sz w:val="19"/>
                <w:szCs w:val="19"/>
              </w:rPr>
              <w:t xml:space="preserve">savings </w:t>
            </w:r>
            <w:r w:rsidR="006579CD" w:rsidRPr="00180137">
              <w:rPr>
                <w:spacing w:val="-2"/>
                <w:sz w:val="19"/>
                <w:szCs w:val="19"/>
              </w:rPr>
              <w:t>can still be realised</w:t>
            </w:r>
            <w:r w:rsidR="00EE500A" w:rsidRPr="00180137">
              <w:rPr>
                <w:spacing w:val="-2"/>
                <w:sz w:val="19"/>
                <w:szCs w:val="19"/>
              </w:rPr>
              <w:t>,</w:t>
            </w:r>
            <w:r w:rsidR="00D163F9" w:rsidRPr="00180137">
              <w:rPr>
                <w:spacing w:val="-2"/>
                <w:sz w:val="19"/>
                <w:szCs w:val="19"/>
              </w:rPr>
              <w:t xml:space="preserve"> especially from further consolidation</w:t>
            </w:r>
            <w:r w:rsidR="006579CD" w:rsidRPr="00180137">
              <w:rPr>
                <w:spacing w:val="-2"/>
                <w:sz w:val="19"/>
                <w:szCs w:val="19"/>
              </w:rPr>
              <w:t xml:space="preserve">. For example, the Commission has (conservatively) estimated that </w:t>
            </w:r>
            <w:r w:rsidR="00DC2DBD" w:rsidRPr="00180137">
              <w:rPr>
                <w:spacing w:val="-2"/>
                <w:sz w:val="19"/>
                <w:szCs w:val="19"/>
              </w:rPr>
              <w:t xml:space="preserve">annual </w:t>
            </w:r>
            <w:r w:rsidR="006579CD" w:rsidRPr="00180137">
              <w:rPr>
                <w:spacing w:val="-2"/>
                <w:sz w:val="19"/>
                <w:szCs w:val="19"/>
              </w:rPr>
              <w:t xml:space="preserve">cost savings of at least $1.8 billion </w:t>
            </w:r>
            <w:r w:rsidR="00DC2DBD" w:rsidRPr="00180137">
              <w:rPr>
                <w:spacing w:val="-2"/>
                <w:sz w:val="19"/>
                <w:szCs w:val="19"/>
              </w:rPr>
              <w:t>c</w:t>
            </w:r>
            <w:r w:rsidR="006579CD" w:rsidRPr="00180137">
              <w:rPr>
                <w:spacing w:val="-2"/>
                <w:sz w:val="19"/>
                <w:szCs w:val="19"/>
              </w:rPr>
              <w:t xml:space="preserve">ould </w:t>
            </w:r>
            <w:r w:rsidR="000D055D" w:rsidRPr="00180137">
              <w:rPr>
                <w:spacing w:val="-2"/>
                <w:sz w:val="19"/>
                <w:szCs w:val="19"/>
              </w:rPr>
              <w:t xml:space="preserve">be realised </w:t>
            </w:r>
            <w:r w:rsidR="006579CD" w:rsidRPr="00180137">
              <w:rPr>
                <w:spacing w:val="-2"/>
                <w:sz w:val="19"/>
                <w:szCs w:val="19"/>
              </w:rPr>
              <w:t xml:space="preserve">if </w:t>
            </w:r>
            <w:r w:rsidR="00C15691" w:rsidRPr="00180137">
              <w:rPr>
                <w:spacing w:val="-2"/>
                <w:sz w:val="19"/>
                <w:szCs w:val="19"/>
              </w:rPr>
              <w:t xml:space="preserve">the 50 highest cost </w:t>
            </w:r>
            <w:r w:rsidR="006579CD" w:rsidRPr="00180137">
              <w:rPr>
                <w:spacing w:val="-2"/>
                <w:sz w:val="19"/>
                <w:szCs w:val="19"/>
              </w:rPr>
              <w:t xml:space="preserve">funds merged with </w:t>
            </w:r>
            <w:r w:rsidR="00102C0B">
              <w:rPr>
                <w:spacing w:val="-2"/>
                <w:sz w:val="19"/>
                <w:szCs w:val="19"/>
              </w:rPr>
              <w:t xml:space="preserve">the </w:t>
            </w:r>
            <w:r w:rsidR="00C15691" w:rsidRPr="00180137">
              <w:rPr>
                <w:spacing w:val="-2"/>
                <w:sz w:val="19"/>
                <w:szCs w:val="19"/>
              </w:rPr>
              <w:t>10 low</w:t>
            </w:r>
            <w:r w:rsidR="00B45EA3" w:rsidRPr="00180137">
              <w:rPr>
                <w:spacing w:val="-2"/>
                <w:sz w:val="19"/>
                <w:szCs w:val="19"/>
              </w:rPr>
              <w:t>est</w:t>
            </w:r>
            <w:r w:rsidR="00C15691" w:rsidRPr="00180137">
              <w:rPr>
                <w:spacing w:val="-2"/>
                <w:sz w:val="19"/>
                <w:szCs w:val="19"/>
              </w:rPr>
              <w:t xml:space="preserve"> cost funds</w:t>
            </w:r>
            <w:r w:rsidR="00203B7F" w:rsidRPr="00180137">
              <w:rPr>
                <w:spacing w:val="-2"/>
                <w:sz w:val="19"/>
                <w:szCs w:val="19"/>
              </w:rPr>
              <w:t>.</w:t>
            </w:r>
          </w:p>
          <w:p w:rsidR="00EE500A" w:rsidRPr="00180137" w:rsidRDefault="00EE500A" w:rsidP="00180137">
            <w:pPr>
              <w:pStyle w:val="BoxListBullet2"/>
              <w:spacing w:line="240" w:lineRule="atLeast"/>
              <w:rPr>
                <w:spacing w:val="-2"/>
                <w:sz w:val="19"/>
                <w:szCs w:val="19"/>
              </w:rPr>
            </w:pPr>
            <w:r w:rsidRPr="00180137">
              <w:rPr>
                <w:spacing w:val="-2"/>
                <w:sz w:val="19"/>
                <w:szCs w:val="19"/>
              </w:rPr>
              <w:t>E</w:t>
            </w:r>
            <w:r w:rsidRPr="00180137" w:rsidDel="00323C19">
              <w:rPr>
                <w:spacing w:val="-2"/>
                <w:sz w:val="19"/>
                <w:szCs w:val="19"/>
              </w:rPr>
              <w:t xml:space="preserve">ven </w:t>
            </w:r>
            <w:r w:rsidR="002D147C" w:rsidRPr="00180137">
              <w:rPr>
                <w:spacing w:val="-2"/>
                <w:sz w:val="19"/>
                <w:szCs w:val="19"/>
              </w:rPr>
              <w:t>modest economies</w:t>
            </w:r>
            <w:r w:rsidR="002D147C" w:rsidRPr="00180137" w:rsidDel="00323C19">
              <w:rPr>
                <w:spacing w:val="-2"/>
                <w:sz w:val="19"/>
                <w:szCs w:val="19"/>
              </w:rPr>
              <w:t xml:space="preserve"> </w:t>
            </w:r>
            <w:r w:rsidR="002D147C" w:rsidRPr="00180137">
              <w:rPr>
                <w:spacing w:val="-2"/>
                <w:sz w:val="19"/>
                <w:szCs w:val="19"/>
              </w:rPr>
              <w:t xml:space="preserve">can </w:t>
            </w:r>
            <w:r w:rsidRPr="00180137" w:rsidDel="00323C19">
              <w:rPr>
                <w:spacing w:val="-2"/>
                <w:sz w:val="19"/>
                <w:szCs w:val="19"/>
              </w:rPr>
              <w:t>material</w:t>
            </w:r>
            <w:r w:rsidRPr="00180137">
              <w:rPr>
                <w:spacing w:val="-2"/>
                <w:sz w:val="19"/>
                <w:szCs w:val="19"/>
              </w:rPr>
              <w:t>ly reduce costs</w:t>
            </w:r>
            <w:r w:rsidRPr="00180137" w:rsidDel="00323C19">
              <w:rPr>
                <w:spacing w:val="-2"/>
                <w:sz w:val="19"/>
                <w:szCs w:val="19"/>
              </w:rPr>
              <w:t xml:space="preserve">. </w:t>
            </w:r>
            <w:r w:rsidRPr="00180137">
              <w:rPr>
                <w:spacing w:val="-2"/>
                <w:sz w:val="19"/>
                <w:szCs w:val="19"/>
              </w:rPr>
              <w:t>A</w:t>
            </w:r>
            <w:r w:rsidRPr="00180137" w:rsidDel="00323C19">
              <w:rPr>
                <w:spacing w:val="-2"/>
                <w:sz w:val="19"/>
                <w:szCs w:val="19"/>
              </w:rPr>
              <w:t xml:space="preserve"> </w:t>
            </w:r>
            <w:r w:rsidRPr="00180137">
              <w:rPr>
                <w:spacing w:val="-2"/>
                <w:sz w:val="19"/>
                <w:szCs w:val="19"/>
              </w:rPr>
              <w:t>one</w:t>
            </w:r>
            <w:r w:rsidRPr="00180137" w:rsidDel="00323C19">
              <w:rPr>
                <w:spacing w:val="-2"/>
                <w:sz w:val="19"/>
                <w:szCs w:val="19"/>
              </w:rPr>
              <w:t xml:space="preserve"> basis point reduction in administration expense ratios </w:t>
            </w:r>
            <w:r w:rsidR="004234BB" w:rsidRPr="00180137">
              <w:rPr>
                <w:spacing w:val="-2"/>
                <w:sz w:val="19"/>
                <w:szCs w:val="19"/>
              </w:rPr>
              <w:t xml:space="preserve">for funds with more </w:t>
            </w:r>
            <w:r w:rsidR="00F557BC" w:rsidRPr="00180137">
              <w:rPr>
                <w:spacing w:val="-2"/>
                <w:sz w:val="19"/>
                <w:szCs w:val="19"/>
              </w:rPr>
              <w:t xml:space="preserve">than </w:t>
            </w:r>
            <w:r w:rsidR="004234BB" w:rsidRPr="00180137">
              <w:rPr>
                <w:spacing w:val="-2"/>
                <w:sz w:val="19"/>
                <w:szCs w:val="19"/>
              </w:rPr>
              <w:t xml:space="preserve">$10 billion in assets </w:t>
            </w:r>
            <w:r w:rsidRPr="00180137">
              <w:rPr>
                <w:spacing w:val="-2"/>
                <w:sz w:val="19"/>
                <w:szCs w:val="19"/>
              </w:rPr>
              <w:t xml:space="preserve">would </w:t>
            </w:r>
            <w:r w:rsidR="002D147C" w:rsidRPr="00180137">
              <w:rPr>
                <w:spacing w:val="-2"/>
                <w:sz w:val="19"/>
                <w:szCs w:val="19"/>
              </w:rPr>
              <w:t xml:space="preserve">result in annual savings of </w:t>
            </w:r>
            <w:r w:rsidRPr="00180137">
              <w:rPr>
                <w:spacing w:val="-2"/>
                <w:sz w:val="19"/>
                <w:szCs w:val="19"/>
              </w:rPr>
              <w:t>around</w:t>
            </w:r>
            <w:r w:rsidRPr="00180137" w:rsidDel="00323C19">
              <w:rPr>
                <w:spacing w:val="-2"/>
                <w:sz w:val="19"/>
                <w:szCs w:val="19"/>
              </w:rPr>
              <w:t xml:space="preserve"> $</w:t>
            </w:r>
            <w:r w:rsidRPr="00180137">
              <w:rPr>
                <w:spacing w:val="-2"/>
                <w:sz w:val="19"/>
                <w:szCs w:val="19"/>
              </w:rPr>
              <w:t>130</w:t>
            </w:r>
            <w:r w:rsidRPr="00180137" w:rsidDel="00323C19">
              <w:rPr>
                <w:spacing w:val="-2"/>
                <w:sz w:val="19"/>
                <w:szCs w:val="19"/>
              </w:rPr>
              <w:t> million</w:t>
            </w:r>
            <w:r w:rsidRPr="00180137">
              <w:rPr>
                <w:spacing w:val="-2"/>
                <w:sz w:val="19"/>
                <w:szCs w:val="19"/>
              </w:rPr>
              <w:t>.</w:t>
            </w:r>
          </w:p>
          <w:p w:rsidR="001B467D" w:rsidRPr="00180137" w:rsidRDefault="000D055D" w:rsidP="00180137">
            <w:pPr>
              <w:pStyle w:val="BoxListBullet"/>
              <w:spacing w:line="240" w:lineRule="atLeast"/>
              <w:rPr>
                <w:sz w:val="19"/>
                <w:szCs w:val="19"/>
              </w:rPr>
            </w:pPr>
            <w:r w:rsidRPr="00180137">
              <w:rPr>
                <w:sz w:val="19"/>
                <w:szCs w:val="19"/>
              </w:rPr>
              <w:t xml:space="preserve">Scale </w:t>
            </w:r>
            <w:r w:rsidR="00396C68" w:rsidRPr="00180137">
              <w:rPr>
                <w:sz w:val="19"/>
                <w:szCs w:val="19"/>
              </w:rPr>
              <w:t>benefits can also manifest in investment performance</w:t>
            </w:r>
            <w:r w:rsidR="00F36A84" w:rsidRPr="00180137">
              <w:rPr>
                <w:sz w:val="19"/>
                <w:szCs w:val="19"/>
              </w:rPr>
              <w:t xml:space="preserve"> </w:t>
            </w:r>
            <w:r w:rsidR="00AC4F5C" w:rsidRPr="00180137">
              <w:rPr>
                <w:sz w:val="19"/>
                <w:szCs w:val="19"/>
              </w:rPr>
              <w:t>—</w:t>
            </w:r>
            <w:r w:rsidR="00F36A84" w:rsidRPr="00180137">
              <w:rPr>
                <w:sz w:val="19"/>
                <w:szCs w:val="19"/>
              </w:rPr>
              <w:t xml:space="preserve"> through increasing returns to scale</w:t>
            </w:r>
            <w:r w:rsidRPr="00180137">
              <w:rPr>
                <w:sz w:val="19"/>
                <w:szCs w:val="19"/>
              </w:rPr>
              <w:t xml:space="preserve">. </w:t>
            </w:r>
            <w:r w:rsidR="006A6C16" w:rsidRPr="00180137">
              <w:rPr>
                <w:sz w:val="19"/>
                <w:szCs w:val="19"/>
              </w:rPr>
              <w:t>N</w:t>
            </w:r>
            <w:r w:rsidR="001B467D" w:rsidRPr="00180137">
              <w:rPr>
                <w:sz w:val="19"/>
                <w:szCs w:val="19"/>
              </w:rPr>
              <w:t>et returns are positively related t</w:t>
            </w:r>
            <w:r w:rsidR="006A6C16" w:rsidRPr="00180137">
              <w:rPr>
                <w:sz w:val="19"/>
                <w:szCs w:val="19"/>
              </w:rPr>
              <w:t>o size for not</w:t>
            </w:r>
            <w:r w:rsidR="00F640C8" w:rsidRPr="00180137">
              <w:rPr>
                <w:sz w:val="19"/>
                <w:szCs w:val="19"/>
              </w:rPr>
              <w:noBreakHyphen/>
            </w:r>
            <w:r w:rsidR="006A6C16" w:rsidRPr="00180137">
              <w:rPr>
                <w:sz w:val="19"/>
                <w:szCs w:val="19"/>
              </w:rPr>
              <w:t>for</w:t>
            </w:r>
            <w:r w:rsidR="00F640C8" w:rsidRPr="00180137">
              <w:rPr>
                <w:sz w:val="19"/>
                <w:szCs w:val="19"/>
              </w:rPr>
              <w:noBreakHyphen/>
            </w:r>
            <w:r w:rsidR="006A6C16" w:rsidRPr="00180137">
              <w:rPr>
                <w:sz w:val="19"/>
                <w:szCs w:val="19"/>
              </w:rPr>
              <w:t>profit funds</w:t>
            </w:r>
            <w:r w:rsidR="001B467D" w:rsidRPr="00180137">
              <w:rPr>
                <w:spacing w:val="-2"/>
                <w:sz w:val="19"/>
                <w:szCs w:val="19"/>
              </w:rPr>
              <w:t>. No corresponding correlation was found for for</w:t>
            </w:r>
            <w:r w:rsidR="00F640C8" w:rsidRPr="00180137">
              <w:rPr>
                <w:spacing w:val="-2"/>
                <w:sz w:val="19"/>
                <w:szCs w:val="19"/>
              </w:rPr>
              <w:noBreakHyphen/>
            </w:r>
            <w:r w:rsidR="001B467D" w:rsidRPr="00180137">
              <w:rPr>
                <w:spacing w:val="-2"/>
                <w:sz w:val="19"/>
                <w:szCs w:val="19"/>
              </w:rPr>
              <w:t>profit funds.</w:t>
            </w:r>
          </w:p>
          <w:p w:rsidR="00FC3B76" w:rsidRPr="00180137" w:rsidRDefault="00B95D60" w:rsidP="00180137">
            <w:pPr>
              <w:pStyle w:val="BoxListBullet"/>
              <w:spacing w:line="240" w:lineRule="atLeast"/>
              <w:rPr>
                <w:sz w:val="19"/>
                <w:szCs w:val="19"/>
              </w:rPr>
            </w:pPr>
            <w:r w:rsidRPr="00180137">
              <w:rPr>
                <w:sz w:val="19"/>
                <w:szCs w:val="19"/>
              </w:rPr>
              <w:t>T</w:t>
            </w:r>
            <w:r w:rsidR="00190114" w:rsidRPr="00180137">
              <w:rPr>
                <w:sz w:val="19"/>
                <w:szCs w:val="19"/>
              </w:rPr>
              <w:t xml:space="preserve">here is little evidence that </w:t>
            </w:r>
            <w:r w:rsidR="00273A45" w:rsidRPr="00180137">
              <w:rPr>
                <w:sz w:val="19"/>
                <w:szCs w:val="19"/>
              </w:rPr>
              <w:t xml:space="preserve">scale </w:t>
            </w:r>
            <w:r w:rsidR="00190114" w:rsidRPr="00180137">
              <w:rPr>
                <w:sz w:val="19"/>
                <w:szCs w:val="19"/>
              </w:rPr>
              <w:t>benefits have been</w:t>
            </w:r>
            <w:r w:rsidR="00CA657A" w:rsidRPr="00180137">
              <w:rPr>
                <w:sz w:val="19"/>
                <w:szCs w:val="19"/>
              </w:rPr>
              <w:t xml:space="preserve"> </w:t>
            </w:r>
            <w:r w:rsidR="002725E5" w:rsidRPr="00180137">
              <w:rPr>
                <w:sz w:val="19"/>
                <w:szCs w:val="19"/>
              </w:rPr>
              <w:t xml:space="preserve">systematically </w:t>
            </w:r>
            <w:r w:rsidR="00190114" w:rsidRPr="00180137">
              <w:rPr>
                <w:sz w:val="19"/>
                <w:szCs w:val="19"/>
              </w:rPr>
              <w:t>passed through to members in the form of lower fees</w:t>
            </w:r>
            <w:r w:rsidR="007A1994" w:rsidRPr="00180137">
              <w:rPr>
                <w:sz w:val="19"/>
                <w:szCs w:val="19"/>
              </w:rPr>
              <w:t xml:space="preserve"> (</w:t>
            </w:r>
            <w:r w:rsidR="00EC3393" w:rsidRPr="00180137">
              <w:rPr>
                <w:sz w:val="19"/>
                <w:szCs w:val="19"/>
              </w:rPr>
              <w:t>albeit</w:t>
            </w:r>
            <w:r w:rsidR="00190114" w:rsidRPr="00180137">
              <w:rPr>
                <w:sz w:val="19"/>
                <w:szCs w:val="19"/>
              </w:rPr>
              <w:t xml:space="preserve"> this </w:t>
            </w:r>
            <w:r w:rsidR="00F36A84" w:rsidRPr="00180137">
              <w:rPr>
                <w:sz w:val="19"/>
                <w:szCs w:val="19"/>
              </w:rPr>
              <w:t>finding</w:t>
            </w:r>
            <w:r w:rsidR="00EB7257" w:rsidRPr="00180137">
              <w:rPr>
                <w:sz w:val="19"/>
                <w:szCs w:val="19"/>
              </w:rPr>
              <w:t xml:space="preserve"> is based on analysis of </w:t>
            </w:r>
            <w:r w:rsidR="003C1245" w:rsidRPr="00180137">
              <w:rPr>
                <w:sz w:val="19"/>
                <w:szCs w:val="19"/>
              </w:rPr>
              <w:t>only</w:t>
            </w:r>
            <w:r w:rsidR="00AC4F5C" w:rsidRPr="00180137">
              <w:rPr>
                <w:sz w:val="19"/>
                <w:szCs w:val="19"/>
              </w:rPr>
              <w:t xml:space="preserve"> 70</w:t>
            </w:r>
            <w:r w:rsidR="00C7079E" w:rsidRPr="00180137">
              <w:rPr>
                <w:sz w:val="19"/>
                <w:szCs w:val="19"/>
              </w:rPr>
              <w:t> </w:t>
            </w:r>
            <w:r w:rsidR="00AC4F5C" w:rsidRPr="00180137">
              <w:rPr>
                <w:sz w:val="19"/>
                <w:szCs w:val="19"/>
              </w:rPr>
              <w:t>per</w:t>
            </w:r>
            <w:r w:rsidR="00C7079E" w:rsidRPr="00180137">
              <w:rPr>
                <w:sz w:val="19"/>
                <w:szCs w:val="19"/>
              </w:rPr>
              <w:t> </w:t>
            </w:r>
            <w:r w:rsidR="00AC4F5C" w:rsidRPr="00180137">
              <w:rPr>
                <w:sz w:val="19"/>
                <w:szCs w:val="19"/>
              </w:rPr>
              <w:t>cent of the system</w:t>
            </w:r>
            <w:r w:rsidRPr="00180137">
              <w:rPr>
                <w:sz w:val="19"/>
                <w:szCs w:val="19"/>
              </w:rPr>
              <w:t>).</w:t>
            </w:r>
            <w:r w:rsidR="002725E5" w:rsidRPr="00180137">
              <w:rPr>
                <w:sz w:val="19"/>
                <w:szCs w:val="19"/>
              </w:rPr>
              <w:t xml:space="preserve"> </w:t>
            </w:r>
          </w:p>
          <w:p w:rsidR="00B83098" w:rsidRPr="00180137" w:rsidRDefault="00B83098" w:rsidP="00180137">
            <w:pPr>
              <w:pStyle w:val="BoxListBullet2"/>
              <w:spacing w:line="240" w:lineRule="atLeast"/>
              <w:rPr>
                <w:sz w:val="19"/>
                <w:szCs w:val="19"/>
              </w:rPr>
            </w:pPr>
            <w:r w:rsidRPr="00180137">
              <w:rPr>
                <w:sz w:val="19"/>
                <w:szCs w:val="19"/>
              </w:rPr>
              <w:t xml:space="preserve">Despite the realisation of economies of scale since 2004, the reduction in fees charged to members by the median fund did not fall. </w:t>
            </w:r>
            <w:r w:rsidR="009E4545" w:rsidRPr="00180137">
              <w:rPr>
                <w:sz w:val="19"/>
                <w:szCs w:val="19"/>
              </w:rPr>
              <w:t>Though s</w:t>
            </w:r>
            <w:r w:rsidR="008F4841" w:rsidRPr="00180137">
              <w:rPr>
                <w:sz w:val="19"/>
                <w:szCs w:val="19"/>
              </w:rPr>
              <w:t>ome funds have likely passed through at least some of the scale gains.</w:t>
            </w:r>
          </w:p>
          <w:p w:rsidR="001B467D" w:rsidRPr="00180137" w:rsidRDefault="001B467D" w:rsidP="00180137">
            <w:pPr>
              <w:pStyle w:val="BoxListBullet2"/>
              <w:spacing w:line="240" w:lineRule="atLeast"/>
              <w:rPr>
                <w:sz w:val="19"/>
                <w:szCs w:val="19"/>
              </w:rPr>
            </w:pPr>
            <w:r w:rsidRPr="00180137">
              <w:rPr>
                <w:sz w:val="19"/>
                <w:szCs w:val="19"/>
              </w:rPr>
              <w:t>N</w:t>
            </w:r>
            <w:r w:rsidR="00EC3393" w:rsidRPr="00180137">
              <w:rPr>
                <w:sz w:val="19"/>
                <w:szCs w:val="19"/>
              </w:rPr>
              <w:t>ot</w:t>
            </w:r>
            <w:r w:rsidR="00F640C8" w:rsidRPr="00180137">
              <w:rPr>
                <w:sz w:val="19"/>
                <w:szCs w:val="19"/>
              </w:rPr>
              <w:noBreakHyphen/>
            </w:r>
            <w:r w:rsidR="00190114" w:rsidRPr="00180137">
              <w:rPr>
                <w:sz w:val="19"/>
                <w:szCs w:val="19"/>
              </w:rPr>
              <w:t>for</w:t>
            </w:r>
            <w:r w:rsidR="00F640C8" w:rsidRPr="00180137">
              <w:rPr>
                <w:sz w:val="19"/>
                <w:szCs w:val="19"/>
              </w:rPr>
              <w:noBreakHyphen/>
            </w:r>
            <w:r w:rsidR="00190114" w:rsidRPr="00180137">
              <w:rPr>
                <w:sz w:val="19"/>
                <w:szCs w:val="19"/>
              </w:rPr>
              <w:t>profit funds</w:t>
            </w:r>
            <w:r w:rsidR="000E3CF3" w:rsidRPr="00180137">
              <w:rPr>
                <w:sz w:val="19"/>
                <w:szCs w:val="19"/>
              </w:rPr>
              <w:t>, on average,</w:t>
            </w:r>
            <w:r w:rsidR="00190114" w:rsidRPr="00180137">
              <w:rPr>
                <w:sz w:val="19"/>
                <w:szCs w:val="19"/>
              </w:rPr>
              <w:t xml:space="preserve"> </w:t>
            </w:r>
            <w:r w:rsidRPr="00180137">
              <w:rPr>
                <w:sz w:val="19"/>
                <w:szCs w:val="19"/>
              </w:rPr>
              <w:t>m</w:t>
            </w:r>
            <w:r w:rsidR="00F36A84" w:rsidRPr="00180137">
              <w:rPr>
                <w:sz w:val="19"/>
                <w:szCs w:val="19"/>
              </w:rPr>
              <w:t>ay</w:t>
            </w:r>
            <w:r w:rsidRPr="00180137">
              <w:rPr>
                <w:sz w:val="19"/>
                <w:szCs w:val="19"/>
              </w:rPr>
              <w:t xml:space="preserve"> </w:t>
            </w:r>
            <w:r w:rsidR="00190114" w:rsidRPr="00180137">
              <w:rPr>
                <w:sz w:val="19"/>
                <w:szCs w:val="19"/>
              </w:rPr>
              <w:t xml:space="preserve">have passed through </w:t>
            </w:r>
            <w:r w:rsidR="005821D9" w:rsidRPr="00180137">
              <w:rPr>
                <w:sz w:val="19"/>
                <w:szCs w:val="19"/>
              </w:rPr>
              <w:t xml:space="preserve">some </w:t>
            </w:r>
            <w:r w:rsidR="00190114" w:rsidRPr="00180137">
              <w:rPr>
                <w:sz w:val="19"/>
                <w:szCs w:val="19"/>
              </w:rPr>
              <w:t>scale economies</w:t>
            </w:r>
            <w:r w:rsidR="00F36A84" w:rsidRPr="00180137">
              <w:rPr>
                <w:sz w:val="19"/>
                <w:szCs w:val="19"/>
              </w:rPr>
              <w:t xml:space="preserve"> in higher returns (</w:t>
            </w:r>
            <w:r w:rsidR="00190114" w:rsidRPr="00180137">
              <w:rPr>
                <w:sz w:val="19"/>
                <w:szCs w:val="19"/>
              </w:rPr>
              <w:t xml:space="preserve">by investing more heavily in </w:t>
            </w:r>
            <w:r w:rsidR="005821D9" w:rsidRPr="00180137">
              <w:rPr>
                <w:sz w:val="19"/>
                <w:szCs w:val="19"/>
              </w:rPr>
              <w:t>(higher</w:t>
            </w:r>
            <w:r w:rsidR="000E3CF3" w:rsidRPr="00180137">
              <w:rPr>
                <w:sz w:val="19"/>
                <w:szCs w:val="19"/>
              </w:rPr>
              <w:noBreakHyphen/>
            </w:r>
            <w:r w:rsidR="005821D9" w:rsidRPr="00180137">
              <w:rPr>
                <w:sz w:val="19"/>
                <w:szCs w:val="19"/>
              </w:rPr>
              <w:t xml:space="preserve">cost) </w:t>
            </w:r>
            <w:r w:rsidR="00190114" w:rsidRPr="00180137">
              <w:rPr>
                <w:sz w:val="19"/>
                <w:szCs w:val="19"/>
              </w:rPr>
              <w:t>unlisted assets</w:t>
            </w:r>
            <w:r w:rsidR="00EC3393" w:rsidRPr="00180137">
              <w:rPr>
                <w:sz w:val="19"/>
                <w:szCs w:val="19"/>
              </w:rPr>
              <w:t xml:space="preserve"> </w:t>
            </w:r>
            <w:r w:rsidR="00190114" w:rsidRPr="00180137">
              <w:rPr>
                <w:sz w:val="19"/>
                <w:szCs w:val="19"/>
              </w:rPr>
              <w:t xml:space="preserve">and </w:t>
            </w:r>
            <w:r w:rsidR="00EC3393" w:rsidRPr="00180137">
              <w:rPr>
                <w:sz w:val="19"/>
                <w:szCs w:val="19"/>
              </w:rPr>
              <w:t>securing</w:t>
            </w:r>
            <w:r w:rsidR="00190114" w:rsidRPr="00180137">
              <w:rPr>
                <w:sz w:val="19"/>
                <w:szCs w:val="19"/>
              </w:rPr>
              <w:t xml:space="preserve"> higher returns</w:t>
            </w:r>
            <w:r w:rsidR="00AB3FB1" w:rsidRPr="00180137">
              <w:rPr>
                <w:sz w:val="19"/>
                <w:szCs w:val="19"/>
              </w:rPr>
              <w:t xml:space="preserve"> as a result</w:t>
            </w:r>
            <w:r w:rsidR="00F36A84" w:rsidRPr="00180137">
              <w:rPr>
                <w:sz w:val="19"/>
                <w:szCs w:val="19"/>
              </w:rPr>
              <w:t>)</w:t>
            </w:r>
            <w:r w:rsidRPr="00180137">
              <w:rPr>
                <w:sz w:val="19"/>
                <w:szCs w:val="19"/>
              </w:rPr>
              <w:t xml:space="preserve">, but data limitations </w:t>
            </w:r>
            <w:r w:rsidR="000D055D" w:rsidRPr="00180137">
              <w:rPr>
                <w:sz w:val="19"/>
                <w:szCs w:val="19"/>
              </w:rPr>
              <w:t xml:space="preserve">preclude </w:t>
            </w:r>
            <w:r w:rsidRPr="00180137">
              <w:rPr>
                <w:sz w:val="19"/>
                <w:szCs w:val="19"/>
              </w:rPr>
              <w:t xml:space="preserve">a firm </w:t>
            </w:r>
            <w:r w:rsidR="00F36A84" w:rsidRPr="00180137">
              <w:rPr>
                <w:sz w:val="19"/>
                <w:szCs w:val="19"/>
              </w:rPr>
              <w:t>finding</w:t>
            </w:r>
            <w:r w:rsidRPr="00180137">
              <w:rPr>
                <w:sz w:val="19"/>
                <w:szCs w:val="19"/>
              </w:rPr>
              <w:t>.</w:t>
            </w:r>
          </w:p>
          <w:p w:rsidR="00180137" w:rsidRPr="00180137" w:rsidRDefault="00180137" w:rsidP="00180137">
            <w:pPr>
              <w:pStyle w:val="BoxListBullet2"/>
              <w:spacing w:line="240" w:lineRule="atLeast"/>
            </w:pPr>
            <w:r w:rsidRPr="00180137">
              <w:rPr>
                <w:sz w:val="19"/>
                <w:szCs w:val="19"/>
              </w:rPr>
              <w:t>Scale benefits may also have been ‘passed through’ in the form of member services, increases in reserves or the costs of new regulatory requirements but this cannot be tested nor established due to data constraints.</w:t>
            </w:r>
          </w:p>
          <w:p w:rsidR="00180137" w:rsidRPr="00EF1A6E" w:rsidRDefault="00180137" w:rsidP="00180137">
            <w:pPr>
              <w:pStyle w:val="BoxListBullet"/>
              <w:rPr>
                <w:sz w:val="19"/>
                <w:szCs w:val="19"/>
              </w:rPr>
            </w:pPr>
            <w:r w:rsidRPr="00EF1A6E">
              <w:rPr>
                <w:sz w:val="19"/>
                <w:szCs w:val="19"/>
              </w:rPr>
              <w:t>Use of a Bayesian framework permitted robust modelling despite poor quality data. And two issues that inevitably biased previous research — survivor and selection bias (information for funds that have exited and missing data, respectively) — are explicitly addressed.</w:t>
            </w:r>
          </w:p>
        </w:tc>
      </w:tr>
      <w:tr w:rsidR="00C83249" w:rsidTr="00C83249">
        <w:tc>
          <w:tcPr>
            <w:tcW w:w="5000" w:type="pct"/>
            <w:tcBorders>
              <w:top w:val="nil"/>
              <w:left w:val="nil"/>
              <w:bottom w:val="single" w:sz="6" w:space="0" w:color="78A22F"/>
              <w:right w:val="nil"/>
            </w:tcBorders>
            <w:shd w:val="clear" w:color="auto" w:fill="F2F2F2"/>
          </w:tcPr>
          <w:p w:rsidR="00C83249" w:rsidRDefault="00C83249">
            <w:pPr>
              <w:pStyle w:val="Box"/>
              <w:spacing w:before="0" w:line="120" w:lineRule="exact"/>
            </w:pPr>
          </w:p>
        </w:tc>
      </w:tr>
      <w:tr w:rsidR="00C83249" w:rsidRPr="000863A5" w:rsidTr="00C83249">
        <w:tc>
          <w:tcPr>
            <w:tcW w:w="5000" w:type="pct"/>
            <w:tcBorders>
              <w:top w:val="single" w:sz="6" w:space="0" w:color="78A22F"/>
              <w:left w:val="nil"/>
              <w:bottom w:val="nil"/>
              <w:right w:val="nil"/>
            </w:tcBorders>
          </w:tcPr>
          <w:p w:rsidR="00C83249" w:rsidRPr="00626D32" w:rsidRDefault="00C83249" w:rsidP="00C83249">
            <w:pPr>
              <w:pStyle w:val="BoxSpaceBelow"/>
            </w:pPr>
          </w:p>
        </w:tc>
      </w:tr>
    </w:tbl>
    <w:p w:rsidR="007608B4" w:rsidRPr="00180137" w:rsidRDefault="007608B4" w:rsidP="007608B4">
      <w:pPr>
        <w:pStyle w:val="BodyText"/>
        <w:rPr>
          <w:spacing w:val="-6"/>
        </w:rPr>
      </w:pPr>
      <w:r w:rsidRPr="00180137">
        <w:rPr>
          <w:spacing w:val="-6"/>
        </w:rPr>
        <w:lastRenderedPageBreak/>
        <w:t xml:space="preserve">This is one of three supplementary papers the Commission is issuing following the May 2018 release of the draft report, </w:t>
      </w:r>
      <w:r w:rsidRPr="00180137">
        <w:rPr>
          <w:i/>
          <w:spacing w:val="-6"/>
        </w:rPr>
        <w:t>Superannuation: Assessing Efficiency and Competitiveness</w:t>
      </w:r>
      <w:r w:rsidR="00323699" w:rsidRPr="00180137">
        <w:rPr>
          <w:i/>
          <w:spacing w:val="-6"/>
        </w:rPr>
        <w:t xml:space="preserve"> </w:t>
      </w:r>
      <w:r w:rsidR="00323699" w:rsidRPr="00180137">
        <w:rPr>
          <w:spacing w:val="-6"/>
          <w:szCs w:val="24"/>
        </w:rPr>
        <w:t>(PC 2016)</w:t>
      </w:r>
      <w:r w:rsidRPr="00180137">
        <w:rPr>
          <w:spacing w:val="-6"/>
        </w:rPr>
        <w:t>. It also follows the receipt of post draft report submissions and public hearings by the Commission. The</w:t>
      </w:r>
      <w:r w:rsidRPr="00180137" w:rsidDel="00985378">
        <w:rPr>
          <w:spacing w:val="-6"/>
        </w:rPr>
        <w:t xml:space="preserve"> </w:t>
      </w:r>
      <w:r w:rsidRPr="00180137">
        <w:rPr>
          <w:spacing w:val="-6"/>
        </w:rPr>
        <w:t xml:space="preserve">draft inquiry report included a section (in chapter 7) covering </w:t>
      </w:r>
      <w:r w:rsidR="00CC17FC" w:rsidRPr="00180137">
        <w:rPr>
          <w:spacing w:val="-6"/>
        </w:rPr>
        <w:t>insights</w:t>
      </w:r>
      <w:r w:rsidRPr="00180137">
        <w:rPr>
          <w:spacing w:val="-6"/>
        </w:rPr>
        <w:t xml:space="preserve"> from preliminary analysis and one draft finding (</w:t>
      </w:r>
      <w:r w:rsidR="00C663B5" w:rsidRPr="00180137">
        <w:rPr>
          <w:spacing w:val="-6"/>
        </w:rPr>
        <w:t xml:space="preserve">replicated in </w:t>
      </w:r>
      <w:r w:rsidRPr="00180137">
        <w:rPr>
          <w:spacing w:val="-6"/>
        </w:rPr>
        <w:t xml:space="preserve">box 1) on economies of scale </w:t>
      </w:r>
      <w:r w:rsidR="000B08A2" w:rsidRPr="00180137">
        <w:rPr>
          <w:spacing w:val="-6"/>
        </w:rPr>
        <w:t xml:space="preserve">(EOS) </w:t>
      </w:r>
      <w:r w:rsidRPr="00180137">
        <w:rPr>
          <w:spacing w:val="-6"/>
        </w:rPr>
        <w:t>in superannuation.</w:t>
      </w:r>
    </w:p>
    <w:p w:rsidR="00985378" w:rsidRDefault="0098537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85378" w:rsidTr="003D0ED4">
        <w:trPr>
          <w:tblHeader/>
        </w:trPr>
        <w:tc>
          <w:tcPr>
            <w:tcW w:w="5000" w:type="pct"/>
            <w:tcBorders>
              <w:top w:val="single" w:sz="6" w:space="0" w:color="78A22F"/>
              <w:left w:val="nil"/>
              <w:bottom w:val="nil"/>
              <w:right w:val="nil"/>
            </w:tcBorders>
            <w:shd w:val="clear" w:color="auto" w:fill="F2F2F2"/>
          </w:tcPr>
          <w:p w:rsidR="00985378" w:rsidRDefault="00985378">
            <w:pPr>
              <w:pStyle w:val="BoxTitle"/>
            </w:pPr>
            <w:r>
              <w:rPr>
                <w:b w:val="0"/>
              </w:rPr>
              <w:t xml:space="preserve">Box </w:t>
            </w:r>
            <w:bookmarkStart w:id="4" w:name="OLE_LINK10"/>
            <w:r w:rsidR="004325AA">
              <w:rPr>
                <w:b w:val="0"/>
                <w:noProof/>
              </w:rPr>
              <w:t>1</w:t>
            </w:r>
            <w:bookmarkEnd w:id="4"/>
            <w:r>
              <w:tab/>
            </w:r>
            <w:r w:rsidR="00327F5F">
              <w:t>F</w:t>
            </w:r>
            <w:r w:rsidRPr="0061542B">
              <w:t>inding 7.5</w:t>
            </w:r>
            <w:r w:rsidR="00327F5F">
              <w:t xml:space="preserve"> from draft report</w:t>
            </w:r>
          </w:p>
        </w:tc>
      </w:tr>
      <w:tr w:rsidR="00985378" w:rsidTr="003D0ED4">
        <w:tc>
          <w:tcPr>
            <w:tcW w:w="5000" w:type="pct"/>
            <w:tcBorders>
              <w:top w:val="nil"/>
              <w:left w:val="nil"/>
              <w:bottom w:val="nil"/>
              <w:right w:val="nil"/>
            </w:tcBorders>
            <w:shd w:val="clear" w:color="auto" w:fill="F2F2F2"/>
          </w:tcPr>
          <w:p w:rsidR="00985378" w:rsidRDefault="00985378" w:rsidP="00985378">
            <w:pPr>
              <w:pStyle w:val="Box"/>
            </w:pPr>
            <w:r>
              <w:t>Over the past decade, significant economies of scale have been realised in the superannuation system, but this has mainly been driven by the exit of small, high</w:t>
            </w:r>
            <w:r>
              <w:noBreakHyphen/>
              <w:t>cost funds. It is not evident that individual funds have been able to realise cost efficiencies as they have grown in size.</w:t>
            </w:r>
          </w:p>
        </w:tc>
      </w:tr>
      <w:tr w:rsidR="00985378" w:rsidTr="003D0ED4">
        <w:tc>
          <w:tcPr>
            <w:tcW w:w="5000" w:type="pct"/>
            <w:tcBorders>
              <w:top w:val="nil"/>
              <w:left w:val="nil"/>
              <w:bottom w:val="single" w:sz="6" w:space="0" w:color="78A22F"/>
              <w:right w:val="nil"/>
            </w:tcBorders>
            <w:shd w:val="clear" w:color="auto" w:fill="F2F2F2"/>
          </w:tcPr>
          <w:p w:rsidR="00985378" w:rsidRDefault="00985378" w:rsidP="00985378">
            <w:pPr>
              <w:pStyle w:val="Box"/>
              <w:spacing w:before="0" w:line="120" w:lineRule="exact"/>
            </w:pPr>
          </w:p>
        </w:tc>
      </w:tr>
      <w:tr w:rsidR="00985378" w:rsidRPr="000863A5" w:rsidTr="003D0ED4">
        <w:tc>
          <w:tcPr>
            <w:tcW w:w="5000" w:type="pct"/>
            <w:tcBorders>
              <w:top w:val="single" w:sz="6" w:space="0" w:color="78A22F"/>
              <w:left w:val="nil"/>
              <w:bottom w:val="nil"/>
              <w:right w:val="nil"/>
            </w:tcBorders>
          </w:tcPr>
          <w:p w:rsidR="00985378" w:rsidRPr="00626D32" w:rsidRDefault="00985378" w:rsidP="00985378">
            <w:pPr>
              <w:pStyle w:val="BoxSpaceBelow"/>
            </w:pPr>
          </w:p>
        </w:tc>
      </w:tr>
    </w:tbl>
    <w:p w:rsidR="00327F5F" w:rsidRDefault="00327F5F" w:rsidP="00327F5F">
      <w:pPr>
        <w:pStyle w:val="BodyText"/>
        <w:rPr>
          <w:spacing w:val="-2"/>
        </w:rPr>
      </w:pPr>
      <w:r>
        <w:rPr>
          <w:spacing w:val="-2"/>
        </w:rPr>
        <w:t>The draft report stated the Commission would undertake further analysis for the final report</w:t>
      </w:r>
      <w:r w:rsidRPr="00F54D23">
        <w:rPr>
          <w:spacing w:val="-2"/>
        </w:rPr>
        <w:t> — </w:t>
      </w:r>
      <w:r>
        <w:rPr>
          <w:spacing w:val="-2"/>
        </w:rPr>
        <w:t xml:space="preserve">as now presented in </w:t>
      </w:r>
      <w:r w:rsidRPr="00F54D23">
        <w:rPr>
          <w:spacing w:val="-2"/>
        </w:rPr>
        <w:t>this paper</w:t>
      </w:r>
      <w:r>
        <w:rPr>
          <w:spacing w:val="-2"/>
        </w:rPr>
        <w:t>.</w:t>
      </w:r>
    </w:p>
    <w:p w:rsidR="00D95724" w:rsidRDefault="00CC17FC" w:rsidP="00D95724">
      <w:pPr>
        <w:pStyle w:val="BodyText"/>
      </w:pPr>
      <w:r>
        <w:t xml:space="preserve">This work responds to one criterion (of </w:t>
      </w:r>
      <w:r w:rsidR="00C663B5">
        <w:t>22</w:t>
      </w:r>
      <w:r>
        <w:t xml:space="preserve">) developed by the Commission </w:t>
      </w:r>
      <w:r w:rsidR="003D0ED4">
        <w:t xml:space="preserve">for assessing </w:t>
      </w:r>
      <w:r w:rsidR="00FA7FED">
        <w:t xml:space="preserve">the efficiency and </w:t>
      </w:r>
      <w:r w:rsidR="009C1164">
        <w:t>competitiveness</w:t>
      </w:r>
      <w:r w:rsidR="00FA7FED">
        <w:t xml:space="preserve"> of Australia’s superannuation system</w:t>
      </w:r>
      <w:r w:rsidR="002F0401">
        <w:t> — </w:t>
      </w:r>
      <w:r w:rsidR="00D95724">
        <w:rPr>
          <w:i/>
        </w:rPr>
        <w:t>Are economies of scale realised and the benefits passed through to members?</w:t>
      </w:r>
    </w:p>
    <w:p w:rsidR="00CE2695" w:rsidRPr="00243019" w:rsidRDefault="00CE2695" w:rsidP="00C21C4C">
      <w:pPr>
        <w:pStyle w:val="BodyText"/>
      </w:pPr>
      <w:r w:rsidRPr="00243019">
        <w:t xml:space="preserve">‘Economies of scale’ </w:t>
      </w:r>
      <w:r w:rsidR="00D41DA3" w:rsidRPr="00243019">
        <w:t>exist</w:t>
      </w:r>
      <w:r w:rsidRPr="00243019">
        <w:t xml:space="preserve"> if a fund’s costs per member account (or dollar of assets invested) fall as the fund gets larger. If </w:t>
      </w:r>
      <w:r w:rsidR="00102C0B">
        <w:t xml:space="preserve">such </w:t>
      </w:r>
      <w:r w:rsidRPr="00243019">
        <w:t>costs rise with size, a fund exhibits diseconomies of scale.</w:t>
      </w:r>
    </w:p>
    <w:p w:rsidR="00433DC3" w:rsidRPr="00243019" w:rsidRDefault="00D37ECD" w:rsidP="00C21C4C">
      <w:pPr>
        <w:pStyle w:val="BodyText"/>
      </w:pPr>
      <w:r w:rsidRPr="00243019">
        <w:t xml:space="preserve">Why </w:t>
      </w:r>
      <w:r w:rsidR="002F0401" w:rsidRPr="00243019">
        <w:t xml:space="preserve">might analysis of </w:t>
      </w:r>
      <w:r w:rsidR="009E5A53" w:rsidRPr="00243019">
        <w:t>economies of scale</w:t>
      </w:r>
      <w:r w:rsidR="00433DC3" w:rsidRPr="00243019">
        <w:t xml:space="preserve"> </w:t>
      </w:r>
      <w:r w:rsidR="002F0401" w:rsidRPr="00243019">
        <w:t>provide</w:t>
      </w:r>
      <w:r w:rsidR="003478A7" w:rsidRPr="00243019">
        <w:t xml:space="preserve"> insights into</w:t>
      </w:r>
      <w:r w:rsidR="00433DC3" w:rsidRPr="00243019">
        <w:t xml:space="preserve"> efficiency and competitiveness</w:t>
      </w:r>
      <w:r w:rsidR="009E5A53" w:rsidRPr="00243019">
        <w:t xml:space="preserve">? </w:t>
      </w:r>
      <w:r w:rsidRPr="00243019">
        <w:t>E</w:t>
      </w:r>
      <w:r w:rsidR="009C1164" w:rsidRPr="00243019">
        <w:t xml:space="preserve">vidence </w:t>
      </w:r>
      <w:r w:rsidR="00D70E93" w:rsidRPr="00243019">
        <w:t xml:space="preserve">that </w:t>
      </w:r>
      <w:r w:rsidR="009C1164" w:rsidRPr="00243019">
        <w:t xml:space="preserve">economies </w:t>
      </w:r>
      <w:r w:rsidR="00D70E93" w:rsidRPr="00243019">
        <w:t xml:space="preserve">exist but are not being realised </w:t>
      </w:r>
      <w:r w:rsidR="009C1164" w:rsidRPr="00243019">
        <w:t xml:space="preserve">could </w:t>
      </w:r>
      <w:r w:rsidR="00433DC3" w:rsidRPr="00243019">
        <w:t xml:space="preserve">signal </w:t>
      </w:r>
      <w:r w:rsidR="00D41DA3" w:rsidRPr="00243019">
        <w:t>a lack of</w:t>
      </w:r>
      <w:r w:rsidR="002F0401" w:rsidRPr="00243019">
        <w:t xml:space="preserve"> competitive pressure </w:t>
      </w:r>
      <w:r w:rsidR="00D41DA3" w:rsidRPr="00243019">
        <w:t xml:space="preserve">on funds </w:t>
      </w:r>
      <w:r w:rsidR="00E72FC4" w:rsidRPr="00243019">
        <w:t xml:space="preserve">to </w:t>
      </w:r>
      <w:r w:rsidRPr="00243019">
        <w:t>reduce costs</w:t>
      </w:r>
      <w:r w:rsidR="000101CF" w:rsidRPr="00243019">
        <w:t>,</w:t>
      </w:r>
      <w:r w:rsidR="00C67297" w:rsidRPr="00243019">
        <w:t xml:space="preserve"> or</w:t>
      </w:r>
      <w:r w:rsidR="000101CF" w:rsidRPr="00243019">
        <w:t xml:space="preserve"> </w:t>
      </w:r>
      <w:r w:rsidR="009A4247" w:rsidRPr="00243019">
        <w:t>that</w:t>
      </w:r>
      <w:r w:rsidR="002F0401" w:rsidRPr="00243019">
        <w:t xml:space="preserve"> </w:t>
      </w:r>
      <w:r w:rsidR="00846095" w:rsidRPr="00243019">
        <w:t>funds face</w:t>
      </w:r>
      <w:r w:rsidR="00C67297" w:rsidRPr="00243019">
        <w:t xml:space="preserve"> </w:t>
      </w:r>
      <w:r w:rsidR="00846095" w:rsidRPr="00243019">
        <w:t>impediments</w:t>
      </w:r>
      <w:r w:rsidR="00D70E93" w:rsidRPr="00243019">
        <w:t xml:space="preserve"> to </w:t>
      </w:r>
      <w:r w:rsidR="00846095" w:rsidRPr="00243019">
        <w:t>gaining</w:t>
      </w:r>
      <w:r w:rsidR="00D70E93" w:rsidRPr="00243019">
        <w:t xml:space="preserve"> scale</w:t>
      </w:r>
      <w:r w:rsidR="00B72AA3" w:rsidRPr="00243019">
        <w:t xml:space="preserve"> (for example</w:t>
      </w:r>
      <w:r w:rsidR="000101CF" w:rsidRPr="00243019">
        <w:t>,</w:t>
      </w:r>
      <w:r w:rsidR="00D70E93" w:rsidRPr="00243019">
        <w:t xml:space="preserve"> </w:t>
      </w:r>
      <w:r w:rsidR="00E72FC4" w:rsidRPr="00243019">
        <w:t>barriers to exits</w:t>
      </w:r>
      <w:r w:rsidR="00433DC3" w:rsidRPr="00243019">
        <w:t xml:space="preserve"> or </w:t>
      </w:r>
      <w:r w:rsidR="00E72FC4" w:rsidRPr="00243019">
        <w:t>mergers</w:t>
      </w:r>
      <w:r w:rsidR="00B72AA3" w:rsidRPr="00243019">
        <w:t>)</w:t>
      </w:r>
      <w:r w:rsidR="00846095" w:rsidRPr="00243019">
        <w:t> — </w:t>
      </w:r>
      <w:r w:rsidR="000101CF" w:rsidRPr="00243019">
        <w:t>contributing to in</w:t>
      </w:r>
      <w:r w:rsidR="00846095" w:rsidRPr="00243019">
        <w:t>efficiency.</w:t>
      </w:r>
      <w:r w:rsidR="009C1164" w:rsidRPr="00243019">
        <w:t xml:space="preserve"> </w:t>
      </w:r>
      <w:r w:rsidR="00C67297" w:rsidRPr="00243019">
        <w:t>E</w:t>
      </w:r>
      <w:r w:rsidR="00433DC3" w:rsidRPr="00243019">
        <w:t xml:space="preserve">vidence that </w:t>
      </w:r>
      <w:r w:rsidR="009C1164" w:rsidRPr="00243019">
        <w:t xml:space="preserve">economies of scale </w:t>
      </w:r>
      <w:r w:rsidR="00433DC3" w:rsidRPr="00243019">
        <w:t>have been</w:t>
      </w:r>
      <w:r w:rsidR="009C1164" w:rsidRPr="00243019">
        <w:t xml:space="preserve"> achieved but the gains not </w:t>
      </w:r>
      <w:r w:rsidR="00AA4E30" w:rsidRPr="00243019">
        <w:t>passed through to</w:t>
      </w:r>
      <w:r w:rsidR="009C1164" w:rsidRPr="00243019">
        <w:t xml:space="preserve"> members</w:t>
      </w:r>
      <w:r w:rsidR="00433DC3" w:rsidRPr="00243019">
        <w:t xml:space="preserve"> </w:t>
      </w:r>
      <w:r w:rsidR="009C1164" w:rsidRPr="00243019">
        <w:t xml:space="preserve">could </w:t>
      </w:r>
      <w:r w:rsidR="00C67297" w:rsidRPr="00243019">
        <w:t xml:space="preserve">also </w:t>
      </w:r>
      <w:r w:rsidR="009C1164" w:rsidRPr="00243019">
        <w:t xml:space="preserve">signal </w:t>
      </w:r>
      <w:r w:rsidR="009A4247" w:rsidRPr="00243019">
        <w:t>a lack of</w:t>
      </w:r>
      <w:r w:rsidR="00E72FC4" w:rsidRPr="00243019">
        <w:t xml:space="preserve"> </w:t>
      </w:r>
      <w:r w:rsidR="00433DC3" w:rsidRPr="00243019">
        <w:t>competitive pressure</w:t>
      </w:r>
      <w:r w:rsidR="009C1164" w:rsidRPr="00243019">
        <w:t>.</w:t>
      </w:r>
      <w:r w:rsidR="00E32CDC" w:rsidRPr="00243019">
        <w:t xml:space="preserve"> </w:t>
      </w:r>
      <w:r w:rsidR="00B72AA3" w:rsidRPr="00243019">
        <w:t>That said</w:t>
      </w:r>
      <w:r w:rsidR="00C67297" w:rsidRPr="00243019">
        <w:t xml:space="preserve">, </w:t>
      </w:r>
      <w:r w:rsidR="000101CF" w:rsidRPr="00243019">
        <w:t>if</w:t>
      </w:r>
      <w:r w:rsidR="00E32CDC" w:rsidRPr="00243019">
        <w:t xml:space="preserve"> funds adopt higher</w:t>
      </w:r>
      <w:r w:rsidR="00E32CDC" w:rsidRPr="00243019">
        <w:noBreakHyphen/>
        <w:t>cost, higher</w:t>
      </w:r>
      <w:r w:rsidR="00E32CDC" w:rsidRPr="00243019">
        <w:noBreakHyphen/>
        <w:t>return investment strategies as they grow</w:t>
      </w:r>
      <w:r w:rsidR="000534A6">
        <w:t xml:space="preserve"> (achieving increasing returns to scale)</w:t>
      </w:r>
      <w:r w:rsidR="00E32CDC" w:rsidRPr="00243019">
        <w:t xml:space="preserve">, </w:t>
      </w:r>
      <w:r w:rsidR="000101CF" w:rsidRPr="00243019">
        <w:t>the</w:t>
      </w:r>
      <w:r w:rsidR="00E32CDC" w:rsidRPr="00243019">
        <w:t xml:space="preserve"> benefits of scale </w:t>
      </w:r>
      <w:r w:rsidR="000101CF" w:rsidRPr="00243019">
        <w:t xml:space="preserve">might be </w:t>
      </w:r>
      <w:r w:rsidR="00E32CDC" w:rsidRPr="00243019">
        <w:t xml:space="preserve">seen in higher </w:t>
      </w:r>
      <w:r w:rsidR="001006DA" w:rsidRPr="00243019">
        <w:t xml:space="preserve">net </w:t>
      </w:r>
      <w:r w:rsidR="00E32CDC" w:rsidRPr="00243019">
        <w:t>returns rather than lower costs.</w:t>
      </w:r>
      <w:r w:rsidR="000A07B0">
        <w:t xml:space="preserve"> And funds might also have use</w:t>
      </w:r>
      <w:r w:rsidR="004325AA">
        <w:t>d</w:t>
      </w:r>
      <w:r w:rsidR="000A07B0">
        <w:t xml:space="preserve"> any realised gains to fund</w:t>
      </w:r>
      <w:r w:rsidR="004325AA">
        <w:t xml:space="preserve"> expenditures that would otherwise have </w:t>
      </w:r>
      <w:r w:rsidR="005F7329">
        <w:t xml:space="preserve">been </w:t>
      </w:r>
      <w:r w:rsidR="004325AA">
        <w:t xml:space="preserve">funded by </w:t>
      </w:r>
      <w:r w:rsidR="005F7329">
        <w:t xml:space="preserve">a </w:t>
      </w:r>
      <w:r w:rsidR="004325AA">
        <w:t>fee</w:t>
      </w:r>
      <w:r w:rsidR="005F7329">
        <w:t xml:space="preserve"> increase</w:t>
      </w:r>
      <w:r w:rsidR="009E4545">
        <w:t xml:space="preserve"> </w:t>
      </w:r>
      <w:r w:rsidR="004325AA">
        <w:t>—</w:t>
      </w:r>
      <w:r w:rsidR="000A07B0">
        <w:t xml:space="preserve"> for example, member services, increases in reserves or to meet the cost of new regulatory requirements. (Unfortunately, </w:t>
      </w:r>
      <w:r w:rsidR="00D453AA">
        <w:t xml:space="preserve">lack of </w:t>
      </w:r>
      <w:r w:rsidR="000A07B0">
        <w:t xml:space="preserve">data </w:t>
      </w:r>
      <w:r w:rsidR="005F7329">
        <w:t xml:space="preserve">deems </w:t>
      </w:r>
      <w:r w:rsidR="008F4841">
        <w:t>such</w:t>
      </w:r>
      <w:r w:rsidR="0033357A">
        <w:t xml:space="preserve"> </w:t>
      </w:r>
      <w:r w:rsidR="000A07B0">
        <w:t xml:space="preserve">analysis </w:t>
      </w:r>
      <w:r w:rsidR="00102C0B">
        <w:t>elusive</w:t>
      </w:r>
      <w:r w:rsidR="000A07B0">
        <w:t>.)</w:t>
      </w:r>
    </w:p>
    <w:p w:rsidR="009F6D9A" w:rsidRDefault="00B72AA3" w:rsidP="009F6D9A">
      <w:pPr>
        <w:pStyle w:val="BodyText"/>
      </w:pPr>
      <w:r>
        <w:t>To gain insights into economies of scale in super</w:t>
      </w:r>
      <w:r w:rsidR="007E3874">
        <w:t>annuation</w:t>
      </w:r>
      <w:r>
        <w:t xml:space="preserve"> t</w:t>
      </w:r>
      <w:r w:rsidR="00FE448F">
        <w:t xml:space="preserve">he Commission </w:t>
      </w:r>
      <w:r w:rsidR="00E23E95">
        <w:t xml:space="preserve">has </w:t>
      </w:r>
      <w:r w:rsidR="00FE448F">
        <w:t>considered</w:t>
      </w:r>
      <w:r w:rsidR="009F6D9A">
        <w:t xml:space="preserve"> </w:t>
      </w:r>
      <w:r w:rsidR="00E32CDC">
        <w:t>five</w:t>
      </w:r>
      <w:r w:rsidR="009F6D9A">
        <w:t xml:space="preserve"> </w:t>
      </w:r>
      <w:r w:rsidR="00FE448F">
        <w:t>questions</w:t>
      </w:r>
      <w:r w:rsidR="00C663B5">
        <w:t>.</w:t>
      </w:r>
    </w:p>
    <w:p w:rsidR="009F6D9A" w:rsidRPr="00F32EFF" w:rsidRDefault="009F6D9A" w:rsidP="009F6D9A">
      <w:pPr>
        <w:pStyle w:val="ListNumber"/>
        <w:rPr>
          <w:i/>
        </w:rPr>
      </w:pPr>
      <w:r>
        <w:rPr>
          <w:i/>
        </w:rPr>
        <w:t>W</w:t>
      </w:r>
      <w:r w:rsidRPr="00AD5627">
        <w:rPr>
          <w:i/>
        </w:rPr>
        <w:t xml:space="preserve">hat is the </w:t>
      </w:r>
      <w:r>
        <w:rPr>
          <w:i/>
        </w:rPr>
        <w:t xml:space="preserve">relationship between </w:t>
      </w:r>
      <w:r w:rsidRPr="00AD5627">
        <w:rPr>
          <w:i/>
        </w:rPr>
        <w:t xml:space="preserve">average </w:t>
      </w:r>
      <w:r w:rsidR="00FE448F">
        <w:rPr>
          <w:i/>
        </w:rPr>
        <w:t>cost and scale for super funds?</w:t>
      </w:r>
    </w:p>
    <w:p w:rsidR="009F6D9A" w:rsidRDefault="009F6D9A" w:rsidP="009F6D9A">
      <w:pPr>
        <w:pStyle w:val="ListNumber"/>
        <w:rPr>
          <w:i/>
        </w:rPr>
      </w:pPr>
      <w:r>
        <w:rPr>
          <w:i/>
        </w:rPr>
        <w:t>How large</w:t>
      </w:r>
      <w:r w:rsidRPr="00D0354C">
        <w:rPr>
          <w:i/>
        </w:rPr>
        <w:t xml:space="preserve"> have the re</w:t>
      </w:r>
      <w:r w:rsidR="00FE448F">
        <w:rPr>
          <w:i/>
        </w:rPr>
        <w:t>alised economies of scale been?</w:t>
      </w:r>
    </w:p>
    <w:p w:rsidR="009F6D9A" w:rsidRDefault="009F6D9A" w:rsidP="009F6D9A">
      <w:pPr>
        <w:pStyle w:val="ListNumber"/>
        <w:rPr>
          <w:i/>
        </w:rPr>
      </w:pPr>
      <w:r w:rsidRPr="008451BC">
        <w:rPr>
          <w:i/>
        </w:rPr>
        <w:t xml:space="preserve">What </w:t>
      </w:r>
      <w:r>
        <w:rPr>
          <w:i/>
        </w:rPr>
        <w:t>is</w:t>
      </w:r>
      <w:r w:rsidRPr="008451BC">
        <w:rPr>
          <w:i/>
        </w:rPr>
        <w:t xml:space="preserve"> the scope </w:t>
      </w:r>
      <w:r>
        <w:rPr>
          <w:i/>
        </w:rPr>
        <w:t>of</w:t>
      </w:r>
      <w:r w:rsidR="00FE448F">
        <w:rPr>
          <w:i/>
        </w:rPr>
        <w:t xml:space="preserve"> unrealised economies of scale?</w:t>
      </w:r>
    </w:p>
    <w:p w:rsidR="009F6D9A" w:rsidRPr="00E23E95" w:rsidRDefault="009F6D9A" w:rsidP="009F6D9A">
      <w:pPr>
        <w:pStyle w:val="ListNumber"/>
      </w:pPr>
      <w:r>
        <w:rPr>
          <w:i/>
        </w:rPr>
        <w:t>To what extent have benefits from scale economies been passed through to members?</w:t>
      </w:r>
    </w:p>
    <w:p w:rsidR="00E32CDC" w:rsidRPr="00C67297" w:rsidRDefault="00C67297" w:rsidP="009F6D9A">
      <w:pPr>
        <w:pStyle w:val="ListNumber"/>
        <w:rPr>
          <w:i/>
        </w:rPr>
      </w:pPr>
      <w:r w:rsidRPr="00C67297">
        <w:rPr>
          <w:i/>
        </w:rPr>
        <w:t>What is the relationship between returns (</w:t>
      </w:r>
      <w:r w:rsidR="00F971C4">
        <w:rPr>
          <w:i/>
        </w:rPr>
        <w:t xml:space="preserve">in total, and </w:t>
      </w:r>
      <w:r w:rsidRPr="00C67297">
        <w:rPr>
          <w:i/>
        </w:rPr>
        <w:t>relative to a fund’s benchmark) and scale?</w:t>
      </w:r>
    </w:p>
    <w:p w:rsidR="00FE448F" w:rsidRDefault="009245D9" w:rsidP="00C21C4C">
      <w:pPr>
        <w:pStyle w:val="BodyText"/>
        <w:rPr>
          <w:noProof/>
          <w:spacing w:val="-2"/>
        </w:rPr>
      </w:pPr>
      <w:r>
        <w:rPr>
          <w:spacing w:val="-2"/>
        </w:rPr>
        <w:lastRenderedPageBreak/>
        <w:t>In reaching answers to these questions, t</w:t>
      </w:r>
      <w:r w:rsidR="004E78C3">
        <w:rPr>
          <w:spacing w:val="-2"/>
        </w:rPr>
        <w:t xml:space="preserve">he paper summarises </w:t>
      </w:r>
      <w:r w:rsidR="0049360C">
        <w:rPr>
          <w:spacing w:val="-2"/>
        </w:rPr>
        <w:t>p</w:t>
      </w:r>
      <w:r w:rsidR="00AB4AA0" w:rsidRPr="0049360C">
        <w:rPr>
          <w:noProof/>
          <w:spacing w:val="-2"/>
        </w:rPr>
        <w:t>revious findings</w:t>
      </w:r>
      <w:r w:rsidR="00002C30" w:rsidRPr="0049360C">
        <w:rPr>
          <w:noProof/>
          <w:spacing w:val="-2"/>
        </w:rPr>
        <w:t xml:space="preserve"> </w:t>
      </w:r>
      <w:r w:rsidR="004E78C3">
        <w:rPr>
          <w:noProof/>
          <w:spacing w:val="-2"/>
        </w:rPr>
        <w:t>(</w:t>
      </w:r>
      <w:r w:rsidR="00002C30" w:rsidRPr="0049360C">
        <w:rPr>
          <w:noProof/>
          <w:spacing w:val="-2"/>
        </w:rPr>
        <w:t>section </w:t>
      </w:r>
      <w:r w:rsidR="004A0AF2" w:rsidRPr="0049360C">
        <w:rPr>
          <w:spacing w:val="-2"/>
        </w:rPr>
        <w:t>1</w:t>
      </w:r>
      <w:r w:rsidR="004E78C3">
        <w:rPr>
          <w:noProof/>
          <w:spacing w:val="-2"/>
        </w:rPr>
        <w:t>),</w:t>
      </w:r>
      <w:r w:rsidR="00BD0102" w:rsidRPr="0049360C">
        <w:rPr>
          <w:noProof/>
          <w:spacing w:val="-2"/>
        </w:rPr>
        <w:t xml:space="preserve"> </w:t>
      </w:r>
      <w:r w:rsidR="004E78C3">
        <w:rPr>
          <w:noProof/>
          <w:spacing w:val="-2"/>
        </w:rPr>
        <w:t xml:space="preserve">describes the estimation </w:t>
      </w:r>
      <w:r w:rsidR="0049360C">
        <w:rPr>
          <w:noProof/>
          <w:spacing w:val="-2"/>
        </w:rPr>
        <w:t>data</w:t>
      </w:r>
      <w:r w:rsidR="004E78C3">
        <w:rPr>
          <w:noProof/>
          <w:spacing w:val="-2"/>
        </w:rPr>
        <w:t>set</w:t>
      </w:r>
      <w:r>
        <w:rPr>
          <w:noProof/>
          <w:spacing w:val="-2"/>
        </w:rPr>
        <w:t>s</w:t>
      </w:r>
      <w:r w:rsidR="0049360C">
        <w:rPr>
          <w:noProof/>
          <w:spacing w:val="-2"/>
        </w:rPr>
        <w:t xml:space="preserve"> </w:t>
      </w:r>
      <w:r w:rsidR="004E78C3">
        <w:rPr>
          <w:spacing w:val="-2"/>
        </w:rPr>
        <w:t>and methodology (</w:t>
      </w:r>
      <w:r w:rsidR="00002C30" w:rsidRPr="0049360C">
        <w:rPr>
          <w:noProof/>
          <w:spacing w:val="-2"/>
        </w:rPr>
        <w:t>section </w:t>
      </w:r>
      <w:r w:rsidR="00B70E22">
        <w:rPr>
          <w:noProof/>
          <w:spacing w:val="-2"/>
        </w:rPr>
        <w:t>2</w:t>
      </w:r>
      <w:r w:rsidR="004E78C3">
        <w:rPr>
          <w:noProof/>
          <w:spacing w:val="-2"/>
        </w:rPr>
        <w:t>)</w:t>
      </w:r>
      <w:r w:rsidR="0049360C" w:rsidRPr="0049360C">
        <w:rPr>
          <w:noProof/>
          <w:spacing w:val="-2"/>
        </w:rPr>
        <w:t>,</w:t>
      </w:r>
      <w:r w:rsidR="00BD0102" w:rsidRPr="0049360C">
        <w:rPr>
          <w:noProof/>
          <w:spacing w:val="-2"/>
        </w:rPr>
        <w:t xml:space="preserve"> </w:t>
      </w:r>
      <w:r w:rsidR="004E78C3">
        <w:rPr>
          <w:noProof/>
          <w:spacing w:val="-2"/>
        </w:rPr>
        <w:t xml:space="preserve">then documents the Commission’s </w:t>
      </w:r>
      <w:r w:rsidR="00BD0102" w:rsidRPr="0049360C">
        <w:rPr>
          <w:noProof/>
          <w:spacing w:val="-2"/>
        </w:rPr>
        <w:t xml:space="preserve">findings </w:t>
      </w:r>
      <w:r w:rsidR="004E78C3">
        <w:rPr>
          <w:noProof/>
          <w:spacing w:val="-2"/>
        </w:rPr>
        <w:t>(</w:t>
      </w:r>
      <w:r w:rsidR="00BD0102" w:rsidRPr="0049360C">
        <w:rPr>
          <w:noProof/>
          <w:spacing w:val="-2"/>
        </w:rPr>
        <w:t>section </w:t>
      </w:r>
      <w:r w:rsidR="00B70E22">
        <w:rPr>
          <w:noProof/>
          <w:spacing w:val="-2"/>
        </w:rPr>
        <w:t>3</w:t>
      </w:r>
      <w:r w:rsidR="004E78C3">
        <w:rPr>
          <w:noProof/>
          <w:spacing w:val="-2"/>
        </w:rPr>
        <w:t>)</w:t>
      </w:r>
      <w:r w:rsidR="00BD0102" w:rsidRPr="0049360C">
        <w:rPr>
          <w:noProof/>
          <w:spacing w:val="-2"/>
        </w:rPr>
        <w:t>.</w:t>
      </w:r>
      <w:r w:rsidR="00727D8F">
        <w:rPr>
          <w:noProof/>
          <w:spacing w:val="-2"/>
        </w:rPr>
        <w:t xml:space="preserve"> Analysis of question 5 is presented at the end of section </w:t>
      </w:r>
      <w:r w:rsidR="00B70E22">
        <w:rPr>
          <w:noProof/>
          <w:spacing w:val="-2"/>
        </w:rPr>
        <w:t>3</w:t>
      </w:r>
      <w:r w:rsidR="00727D8F">
        <w:rPr>
          <w:noProof/>
          <w:spacing w:val="-2"/>
        </w:rPr>
        <w:t>.</w:t>
      </w:r>
    </w:p>
    <w:p w:rsidR="00975AB9" w:rsidRPr="00655794" w:rsidRDefault="00975AB9" w:rsidP="00C21C4C">
      <w:pPr>
        <w:pStyle w:val="BodyText"/>
      </w:pPr>
      <w:r w:rsidRPr="00655794">
        <w:t xml:space="preserve">Throughout the paper, the </w:t>
      </w:r>
      <w:r w:rsidR="000C2A38" w:rsidRPr="00655794">
        <w:t xml:space="preserve">term ‘costs’ is used in references to the </w:t>
      </w:r>
      <w:r w:rsidR="00655794" w:rsidRPr="00655794">
        <w:t xml:space="preserve">general </w:t>
      </w:r>
      <w:r w:rsidR="000C2A38" w:rsidRPr="00655794">
        <w:t>concept of costs, ‘</w:t>
      </w:r>
      <w:r w:rsidRPr="00655794">
        <w:t>expenses</w:t>
      </w:r>
      <w:r w:rsidR="000C2A38" w:rsidRPr="00655794">
        <w:t xml:space="preserve">’ is used in references to administration and investment </w:t>
      </w:r>
      <w:r w:rsidR="00482458" w:rsidRPr="00655794">
        <w:t xml:space="preserve">expenses </w:t>
      </w:r>
      <w:r w:rsidR="000C2A38" w:rsidRPr="00655794">
        <w:t>(reflecting the way these c</w:t>
      </w:r>
      <w:r w:rsidR="00655794" w:rsidRPr="00655794">
        <w:t>osts are labelled in the data used in the paper</w:t>
      </w:r>
      <w:r w:rsidR="000C2A38" w:rsidRPr="00655794">
        <w:t>);</w:t>
      </w:r>
      <w:r w:rsidRPr="00655794">
        <w:t xml:space="preserve"> the term </w:t>
      </w:r>
      <w:r w:rsidR="000C2A38" w:rsidRPr="00655794">
        <w:t>‘</w:t>
      </w:r>
      <w:r w:rsidRPr="00655794">
        <w:t>fees</w:t>
      </w:r>
      <w:r w:rsidR="000C2A38" w:rsidRPr="00655794">
        <w:t>’</w:t>
      </w:r>
      <w:r w:rsidR="0033357A">
        <w:t xml:space="preserve"> </w:t>
      </w:r>
      <w:r w:rsidRPr="00655794">
        <w:t>is used to represent the prices charged to members</w:t>
      </w:r>
      <w:r w:rsidR="000C2A38" w:rsidRPr="00655794">
        <w:t xml:space="preserve">; and the ‘system’ </w:t>
      </w:r>
      <w:r w:rsidR="00482458" w:rsidRPr="00655794">
        <w:t>is defined to include</w:t>
      </w:r>
      <w:r w:rsidR="000C2A38" w:rsidRPr="00655794">
        <w:t xml:space="preserve"> </w:t>
      </w:r>
      <w:r w:rsidR="00482458" w:rsidRPr="00655794">
        <w:t xml:space="preserve">only </w:t>
      </w:r>
      <w:r w:rsidR="000C2A38" w:rsidRPr="00655794">
        <w:t>large APRA</w:t>
      </w:r>
      <w:r w:rsidR="000C2A38" w:rsidRPr="00655794">
        <w:noBreakHyphen/>
        <w:t>regulated funds.</w:t>
      </w:r>
      <w:r w:rsidR="008674A1">
        <w:rPr>
          <w:rStyle w:val="FootnoteReference"/>
        </w:rPr>
        <w:footnoteReference w:id="2"/>
      </w:r>
    </w:p>
    <w:p w:rsidR="007608B4" w:rsidRPr="0049360C" w:rsidRDefault="007608B4" w:rsidP="00C21C4C">
      <w:pPr>
        <w:pStyle w:val="BodyText"/>
        <w:rPr>
          <w:spacing w:val="-2"/>
        </w:rPr>
      </w:pPr>
      <w:r w:rsidRPr="00243019">
        <w:t xml:space="preserve">In keeping with requirements under the Commission’s Act, the methodology and </w:t>
      </w:r>
      <w:r w:rsidR="00350EAA">
        <w:t>findings</w:t>
      </w:r>
      <w:r w:rsidR="00350EAA" w:rsidRPr="00243019">
        <w:t xml:space="preserve"> </w:t>
      </w:r>
      <w:r>
        <w:rPr>
          <w:noProof/>
          <w:spacing w:val="-2"/>
        </w:rPr>
        <w:t xml:space="preserve">have been subject to external technical peer review by </w:t>
      </w:r>
      <w:r w:rsidR="00A97C90">
        <w:rPr>
          <w:noProof/>
          <w:spacing w:val="-2"/>
        </w:rPr>
        <w:t xml:space="preserve">Associate Professor </w:t>
      </w:r>
      <w:r w:rsidR="006D7E22">
        <w:rPr>
          <w:noProof/>
          <w:spacing w:val="-2"/>
        </w:rPr>
        <w:t>Liana Jacobi</w:t>
      </w:r>
      <w:r w:rsidR="00CA3FA7">
        <w:rPr>
          <w:noProof/>
          <w:spacing w:val="-2"/>
        </w:rPr>
        <w:t>.</w:t>
      </w:r>
      <w:r w:rsidR="00240FBF" w:rsidRPr="00861568">
        <w:rPr>
          <w:rStyle w:val="FootnoteReference"/>
        </w:rPr>
        <w:footnoteReference w:id="3"/>
      </w:r>
      <w:r w:rsidR="00D937B6">
        <w:rPr>
          <w:noProof/>
          <w:spacing w:val="-2"/>
        </w:rPr>
        <w:t xml:space="preserve"> The Commission was also advised by Jim Savage</w:t>
      </w:r>
      <w:r w:rsidR="006279C3">
        <w:rPr>
          <w:noProof/>
          <w:spacing w:val="-2"/>
        </w:rPr>
        <w:t xml:space="preserve">, and the work benefited from </w:t>
      </w:r>
      <w:r w:rsidR="00A97C90">
        <w:rPr>
          <w:noProof/>
          <w:spacing w:val="-2"/>
        </w:rPr>
        <w:t>consultation</w:t>
      </w:r>
      <w:r w:rsidR="00B80D61">
        <w:rPr>
          <w:noProof/>
          <w:spacing w:val="-2"/>
        </w:rPr>
        <w:t xml:space="preserve"> with industry participants, including </w:t>
      </w:r>
      <w:r w:rsidR="006279C3">
        <w:rPr>
          <w:noProof/>
          <w:spacing w:val="-2"/>
        </w:rPr>
        <w:t xml:space="preserve">feedback </w:t>
      </w:r>
      <w:r w:rsidR="00B80D61">
        <w:rPr>
          <w:noProof/>
          <w:spacing w:val="-2"/>
        </w:rPr>
        <w:t>received through</w:t>
      </w:r>
      <w:r w:rsidR="006279C3">
        <w:rPr>
          <w:noProof/>
          <w:spacing w:val="-2"/>
        </w:rPr>
        <w:t xml:space="preserve"> a technical workshop.</w:t>
      </w:r>
      <w:r w:rsidR="00D937B6" w:rsidRPr="00861568">
        <w:rPr>
          <w:rStyle w:val="FootnoteReference"/>
        </w:rPr>
        <w:footnoteReference w:id="4"/>
      </w:r>
      <w:r w:rsidR="00742C34" w:rsidRPr="00742C34">
        <w:rPr>
          <w:noProof/>
          <w:spacing w:val="-2"/>
          <w:vertAlign w:val="superscript"/>
        </w:rPr>
        <w:t>,</w:t>
      </w:r>
      <w:r w:rsidR="00742C34">
        <w:rPr>
          <w:rStyle w:val="FootnoteReference"/>
          <w:noProof/>
          <w:spacing w:val="-2"/>
        </w:rPr>
        <w:footnoteReference w:id="5"/>
      </w:r>
    </w:p>
    <w:p w:rsidR="00666E02" w:rsidRDefault="004325AA" w:rsidP="00C21C4C">
      <w:pPr>
        <w:pStyle w:val="Heading2"/>
      </w:pPr>
      <w:bookmarkStart w:id="5" w:name="OLE_LINK1"/>
      <w:bookmarkStart w:id="6" w:name="_Toc530748476"/>
      <w:r>
        <w:rPr>
          <w:noProof/>
        </w:rPr>
        <w:t>1</w:t>
      </w:r>
      <w:bookmarkEnd w:id="5"/>
      <w:r w:rsidR="00C21C4C">
        <w:tab/>
      </w:r>
      <w:r w:rsidR="0027064B">
        <w:t>Previous</w:t>
      </w:r>
      <w:r w:rsidR="005C514B">
        <w:t xml:space="preserve"> </w:t>
      </w:r>
      <w:r w:rsidR="00A431C7">
        <w:t>studies have found evidence of economies of scale but have some gaps</w:t>
      </w:r>
      <w:bookmarkEnd w:id="6"/>
    </w:p>
    <w:p w:rsidR="00E72740" w:rsidRDefault="00E203CF" w:rsidP="00E203CF">
      <w:pPr>
        <w:pStyle w:val="BodyText"/>
      </w:pPr>
      <w:r>
        <w:t>Several Australian researchers have attempted to measure economies of scale in superannuation</w:t>
      </w:r>
      <w:r w:rsidR="00D11D41">
        <w:t xml:space="preserve"> (table </w:t>
      </w:r>
      <w:r w:rsidR="000C38F9">
        <w:t>1</w:t>
      </w:r>
      <w:r w:rsidR="00D11D41">
        <w:t>)</w:t>
      </w:r>
      <w:r w:rsidR="007F5F7B">
        <w:t>,</w:t>
      </w:r>
      <w:r w:rsidR="00D11D41">
        <w:t xml:space="preserve"> </w:t>
      </w:r>
      <w:r w:rsidR="007F5F7B">
        <w:t>adopting</w:t>
      </w:r>
      <w:r w:rsidR="00D11D41">
        <w:t xml:space="preserve"> various definitions of costs, potential explanatory variables</w:t>
      </w:r>
      <w:r w:rsidR="00E72740">
        <w:t xml:space="preserve"> and estimation methods</w:t>
      </w:r>
      <w:r w:rsidR="00D11D41">
        <w:t>. All found at least some confirming evidence.</w:t>
      </w:r>
      <w:r w:rsidR="00E72740">
        <w:t xml:space="preserve"> However, these analyses </w:t>
      </w:r>
      <w:r w:rsidR="00975AB9">
        <w:t xml:space="preserve">typically </w:t>
      </w:r>
      <w:r w:rsidR="007F5F7B">
        <w:t xml:space="preserve">focused </w:t>
      </w:r>
      <w:r w:rsidR="00E72740">
        <w:t>primarily on the first research question posed above</w:t>
      </w:r>
      <w:r w:rsidR="00A97C90">
        <w:t> — </w:t>
      </w:r>
      <w:r w:rsidR="00A97C90">
        <w:rPr>
          <w:i/>
        </w:rPr>
        <w:t>W</w:t>
      </w:r>
      <w:r w:rsidR="00A97C90" w:rsidRPr="00AD5627">
        <w:rPr>
          <w:i/>
        </w:rPr>
        <w:t xml:space="preserve">hat is the </w:t>
      </w:r>
      <w:r w:rsidR="00A97C90">
        <w:rPr>
          <w:i/>
        </w:rPr>
        <w:t xml:space="preserve">relationship between </w:t>
      </w:r>
      <w:r w:rsidR="00A97C90" w:rsidRPr="00AD5627">
        <w:rPr>
          <w:i/>
        </w:rPr>
        <w:t xml:space="preserve">average </w:t>
      </w:r>
      <w:r w:rsidR="00A97C90">
        <w:rPr>
          <w:i/>
        </w:rPr>
        <w:t>cost and scale for super funds?</w:t>
      </w:r>
      <w:r w:rsidR="00E72740">
        <w:t xml:space="preserve"> </w:t>
      </w:r>
      <w:r w:rsidR="0027064B">
        <w:t xml:space="preserve">None considered the question of pass through. </w:t>
      </w:r>
      <w:r w:rsidR="00E72740">
        <w:t xml:space="preserve">And some key </w:t>
      </w:r>
      <w:r w:rsidR="0027064B">
        <w:t xml:space="preserve">estimation </w:t>
      </w:r>
      <w:r w:rsidR="00E72740">
        <w:t>issues</w:t>
      </w:r>
      <w:r w:rsidR="0027064B">
        <w:t xml:space="preserve"> </w:t>
      </w:r>
      <w:r w:rsidR="00CC4ECD">
        <w:t xml:space="preserve">were </w:t>
      </w:r>
      <w:r w:rsidR="0027064B">
        <w:t>not addressed</w:t>
      </w:r>
      <w:r w:rsidR="00E72740">
        <w:t>.</w:t>
      </w:r>
    </w:p>
    <w:p w:rsidR="001A2A06" w:rsidRDefault="001A2A06" w:rsidP="001A2A06">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625"/>
      </w:tblGrid>
      <w:tr w:rsidR="00E203CF" w:rsidTr="00E44CA5">
        <w:tc>
          <w:tcPr>
            <w:tcW w:w="8625" w:type="dxa"/>
            <w:tcBorders>
              <w:top w:val="single" w:sz="6" w:space="0" w:color="78A22F"/>
              <w:left w:val="nil"/>
              <w:bottom w:val="nil"/>
              <w:right w:val="nil"/>
            </w:tcBorders>
            <w:shd w:val="clear" w:color="auto" w:fill="auto"/>
          </w:tcPr>
          <w:p w:rsidR="00E203CF" w:rsidRPr="00784A05" w:rsidRDefault="00E203CF" w:rsidP="00E44CA5">
            <w:pPr>
              <w:pStyle w:val="TableTitle"/>
            </w:pPr>
            <w:r>
              <w:rPr>
                <w:b w:val="0"/>
              </w:rPr>
              <w:t xml:space="preserve">Table </w:t>
            </w:r>
            <w:bookmarkStart w:id="7" w:name="OLE_LINK6"/>
            <w:r w:rsidR="004325AA">
              <w:rPr>
                <w:b w:val="0"/>
                <w:noProof/>
              </w:rPr>
              <w:t>1</w:t>
            </w:r>
            <w:bookmarkEnd w:id="7"/>
            <w:r>
              <w:tab/>
              <w:t>Recent studies on economies of scale in superannuation</w:t>
            </w:r>
            <w:r w:rsidRPr="0079469E">
              <w:rPr>
                <w:rStyle w:val="NoteLabel"/>
                <w:b/>
              </w:rPr>
              <w:t>a</w:t>
            </w:r>
          </w:p>
        </w:tc>
      </w:tr>
      <w:tr w:rsidR="00E203CF" w:rsidTr="00E44CA5">
        <w:tc>
          <w:tcPr>
            <w:tcW w:w="8625"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341"/>
              <w:gridCol w:w="3740"/>
              <w:gridCol w:w="3260"/>
            </w:tblGrid>
            <w:tr w:rsidR="003336B6" w:rsidTr="003336B6">
              <w:trPr>
                <w:tblHeader/>
              </w:trPr>
              <w:tc>
                <w:tcPr>
                  <w:tcW w:w="0" w:type="auto"/>
                  <w:tcBorders>
                    <w:top w:val="single" w:sz="6" w:space="0" w:color="BFBFBF"/>
                    <w:bottom w:val="single" w:sz="6" w:space="0" w:color="BFBFBF"/>
                  </w:tcBorders>
                  <w:shd w:val="clear" w:color="auto" w:fill="auto"/>
                  <w:tcMar>
                    <w:top w:w="28" w:type="dxa"/>
                  </w:tcMar>
                </w:tcPr>
                <w:p w:rsidR="00E203CF" w:rsidRDefault="00E203CF" w:rsidP="00E44CA5">
                  <w:pPr>
                    <w:pStyle w:val="TableColumnHeading"/>
                    <w:jc w:val="left"/>
                  </w:pPr>
                </w:p>
              </w:tc>
              <w:tc>
                <w:tcPr>
                  <w:tcW w:w="3740" w:type="dxa"/>
                  <w:tcBorders>
                    <w:top w:val="single" w:sz="6" w:space="0" w:color="BFBFBF"/>
                    <w:bottom w:val="single" w:sz="6" w:space="0" w:color="BFBFBF"/>
                  </w:tcBorders>
                </w:tcPr>
                <w:p w:rsidR="00E203CF" w:rsidRDefault="00E203CF" w:rsidP="00E44CA5">
                  <w:pPr>
                    <w:pStyle w:val="TableColumnHeading"/>
                    <w:jc w:val="left"/>
                  </w:pPr>
                  <w:r>
                    <w:t>Study details</w:t>
                  </w:r>
                </w:p>
              </w:tc>
              <w:tc>
                <w:tcPr>
                  <w:tcW w:w="3260" w:type="dxa"/>
                  <w:tcBorders>
                    <w:top w:val="single" w:sz="6" w:space="0" w:color="BFBFBF"/>
                    <w:bottom w:val="single" w:sz="6" w:space="0" w:color="BFBFBF"/>
                  </w:tcBorders>
                  <w:shd w:val="clear" w:color="auto" w:fill="auto"/>
                  <w:tcMar>
                    <w:top w:w="28" w:type="dxa"/>
                  </w:tcMar>
                </w:tcPr>
                <w:p w:rsidR="00E203CF" w:rsidRDefault="00E203CF" w:rsidP="00E44CA5">
                  <w:pPr>
                    <w:pStyle w:val="TableColumnHeading"/>
                    <w:ind w:right="28"/>
                    <w:jc w:val="left"/>
                  </w:pPr>
                  <w:r>
                    <w:t>Findings</w:t>
                  </w:r>
                </w:p>
              </w:tc>
            </w:tr>
            <w:tr w:rsidR="003336B6" w:rsidTr="003336B6">
              <w:tc>
                <w:tcPr>
                  <w:tcW w:w="0" w:type="auto"/>
                  <w:tcBorders>
                    <w:top w:val="single" w:sz="6" w:space="0" w:color="BFBFBF"/>
                  </w:tcBorders>
                  <w:shd w:val="clear" w:color="auto" w:fill="auto"/>
                </w:tcPr>
                <w:p w:rsidR="00E203CF" w:rsidRDefault="00E203CF" w:rsidP="00E44CA5">
                  <w:pPr>
                    <w:pStyle w:val="TableBodyText"/>
                    <w:jc w:val="left"/>
                  </w:pPr>
                  <w:r>
                    <w:t xml:space="preserve">Cummings </w:t>
                  </w:r>
                  <w:r w:rsidR="000B08A2" w:rsidRPr="000B08A2">
                    <w:rPr>
                      <w:rFonts w:cs="Arial"/>
                    </w:rPr>
                    <w:t>(2016)</w:t>
                  </w:r>
                </w:p>
              </w:tc>
              <w:tc>
                <w:tcPr>
                  <w:tcW w:w="3740" w:type="dxa"/>
                  <w:tcBorders>
                    <w:top w:val="single" w:sz="6" w:space="0" w:color="BFBFBF"/>
                  </w:tcBorders>
                </w:tcPr>
                <w:p w:rsidR="00E203CF" w:rsidRDefault="00606718" w:rsidP="00E44CA5">
                  <w:pPr>
                    <w:pStyle w:val="TableBodyText"/>
                    <w:jc w:val="left"/>
                  </w:pPr>
                  <w:r>
                    <w:t>Data from 280 funds, 2004–10</w:t>
                  </w:r>
                  <w:r w:rsidR="000C38F9">
                    <w:t>.</w:t>
                  </w:r>
                </w:p>
                <w:p w:rsidR="00E203CF" w:rsidRDefault="00E203CF" w:rsidP="00606718">
                  <w:pPr>
                    <w:pStyle w:val="TableBodyText"/>
                    <w:jc w:val="left"/>
                  </w:pPr>
                  <w:r>
                    <w:t xml:space="preserve">Relationship between fund size and investment returns, </w:t>
                  </w:r>
                  <w:r w:rsidR="00606718">
                    <w:t xml:space="preserve">and </w:t>
                  </w:r>
                  <w:r>
                    <w:t xml:space="preserve">investment and operating expenses </w:t>
                  </w:r>
                  <w:r w:rsidR="00606718">
                    <w:t>controlling for assets, average account balance, and retail and not</w:t>
                  </w:r>
                  <w:r w:rsidR="00606718">
                    <w:noBreakHyphen/>
                    <w:t>for</w:t>
                  </w:r>
                  <w:r w:rsidR="00606718">
                    <w:noBreakHyphen/>
                    <w:t>profit status</w:t>
                  </w:r>
                  <w:r w:rsidR="000C38F9">
                    <w:t>.</w:t>
                  </w:r>
                </w:p>
                <w:p w:rsidR="003336B6" w:rsidRDefault="003336B6" w:rsidP="003336B6">
                  <w:pPr>
                    <w:pStyle w:val="TableBodyText"/>
                    <w:jc w:val="left"/>
                  </w:pPr>
                  <w:r>
                    <w:t>O</w:t>
                  </w:r>
                  <w:r w:rsidR="00E920F0">
                    <w:t xml:space="preserve">rdinary </w:t>
                  </w:r>
                  <w:r>
                    <w:t>L</w:t>
                  </w:r>
                  <w:r w:rsidR="00E920F0">
                    <w:t xml:space="preserve">east </w:t>
                  </w:r>
                  <w:r>
                    <w:t>S</w:t>
                  </w:r>
                  <w:r w:rsidR="00E920F0">
                    <w:t>quares (OLS)</w:t>
                  </w:r>
                  <w:r>
                    <w:t xml:space="preserve"> regression analysis</w:t>
                  </w:r>
                  <w:r w:rsidR="000C38F9">
                    <w:t>.</w:t>
                  </w:r>
                </w:p>
              </w:tc>
              <w:tc>
                <w:tcPr>
                  <w:tcW w:w="3260" w:type="dxa"/>
                  <w:tcBorders>
                    <w:top w:val="single" w:sz="6" w:space="0" w:color="BFBFBF"/>
                  </w:tcBorders>
                  <w:shd w:val="clear" w:color="auto" w:fill="auto"/>
                </w:tcPr>
                <w:p w:rsidR="00E203CF" w:rsidRDefault="00E203CF" w:rsidP="00E44CA5">
                  <w:pPr>
                    <w:pStyle w:val="TableBodyText"/>
                    <w:ind w:right="28"/>
                    <w:jc w:val="left"/>
                  </w:pPr>
                  <w:r>
                    <w:t>Economies of scale exist in operation and investment (through improved diversification) for no</w:t>
                  </w:r>
                  <w:r w:rsidR="00606718">
                    <w:t>t</w:t>
                  </w:r>
                  <w:r w:rsidR="00F640C8">
                    <w:noBreakHyphen/>
                  </w:r>
                  <w:r w:rsidR="00606718">
                    <w:t>for</w:t>
                  </w:r>
                  <w:r>
                    <w:noBreakHyphen/>
                    <w:t>profit funds</w:t>
                  </w:r>
                  <w:r w:rsidR="000C38F9">
                    <w:t>.</w:t>
                  </w:r>
                </w:p>
                <w:p w:rsidR="00E203CF" w:rsidRDefault="00E203CF" w:rsidP="00975AB9">
                  <w:pPr>
                    <w:pStyle w:val="TableBodyText"/>
                    <w:ind w:right="28"/>
                    <w:jc w:val="left"/>
                  </w:pPr>
                  <w:r>
                    <w:t>Economies of scale exist for operation costs, but not investment costs for retail funds (due to platform structure of the funds)</w:t>
                  </w:r>
                  <w:r w:rsidR="000C38F9">
                    <w:t>.</w:t>
                  </w:r>
                </w:p>
              </w:tc>
            </w:tr>
            <w:tr w:rsidR="003336B6" w:rsidTr="003336B6">
              <w:tc>
                <w:tcPr>
                  <w:tcW w:w="0" w:type="auto"/>
                  <w:shd w:val="pct5" w:color="auto" w:fill="auto"/>
                </w:tcPr>
                <w:p w:rsidR="00E203CF" w:rsidRDefault="00E203CF" w:rsidP="00E44CA5">
                  <w:pPr>
                    <w:pStyle w:val="TableBodyText"/>
                    <w:jc w:val="left"/>
                  </w:pPr>
                  <w:r>
                    <w:t xml:space="preserve">Higgs and Worthington </w:t>
                  </w:r>
                  <w:r w:rsidR="000B08A2" w:rsidRPr="000B08A2">
                    <w:rPr>
                      <w:rFonts w:cs="Arial"/>
                    </w:rPr>
                    <w:t>(2012)</w:t>
                  </w:r>
                </w:p>
              </w:tc>
              <w:tc>
                <w:tcPr>
                  <w:tcW w:w="3740" w:type="dxa"/>
                  <w:shd w:val="pct5" w:color="auto" w:fill="auto"/>
                </w:tcPr>
                <w:p w:rsidR="00E203CF" w:rsidRDefault="00E203CF" w:rsidP="00E44CA5">
                  <w:pPr>
                    <w:pStyle w:val="TableBodyText"/>
                    <w:jc w:val="left"/>
                  </w:pPr>
                  <w:r>
                    <w:t>Largest 200 funds in 2011</w:t>
                  </w:r>
                  <w:r w:rsidR="000C38F9">
                    <w:t>.</w:t>
                  </w:r>
                </w:p>
                <w:p w:rsidR="00E203CF" w:rsidRDefault="00E203CF" w:rsidP="00606718">
                  <w:pPr>
                    <w:pStyle w:val="TableBodyText"/>
                    <w:jc w:val="left"/>
                  </w:pPr>
                  <w:r>
                    <w:t xml:space="preserve">Relationship between fund size and operating and investment </w:t>
                  </w:r>
                  <w:r w:rsidR="00606718">
                    <w:t>expenses</w:t>
                  </w:r>
                  <w:r>
                    <w:t>, and between fund size and scope economies from insourcing</w:t>
                  </w:r>
                  <w:r w:rsidR="003336B6">
                    <w:t>, controlling for assets, members, net contributions and net rollovers (operating expenses) and assets, investment options, % defined benefits, 5 year average return (investment expenses)</w:t>
                  </w:r>
                  <w:r w:rsidR="000C38F9">
                    <w:t>.</w:t>
                  </w:r>
                </w:p>
                <w:p w:rsidR="003336B6" w:rsidRDefault="003336B6" w:rsidP="00606718">
                  <w:pPr>
                    <w:pStyle w:val="TableBodyText"/>
                    <w:jc w:val="left"/>
                  </w:pPr>
                  <w:r>
                    <w:t>OLS regression analysis</w:t>
                  </w:r>
                  <w:r w:rsidR="000C38F9">
                    <w:t>.</w:t>
                  </w:r>
                </w:p>
              </w:tc>
              <w:tc>
                <w:tcPr>
                  <w:tcW w:w="3260" w:type="dxa"/>
                  <w:shd w:val="pct5" w:color="auto" w:fill="auto"/>
                </w:tcPr>
                <w:p w:rsidR="00E203CF" w:rsidRDefault="00E203CF" w:rsidP="00E44CA5">
                  <w:pPr>
                    <w:pStyle w:val="TableBodyText"/>
                    <w:ind w:right="28"/>
                    <w:jc w:val="left"/>
                  </w:pPr>
                  <w:r>
                    <w:t>Economies of scale exist in operation and investment up to at least 300 per cent of mean fund size</w:t>
                  </w:r>
                  <w:r w:rsidR="000C38F9">
                    <w:t>.</w:t>
                  </w:r>
                </w:p>
                <w:p w:rsidR="00E203CF" w:rsidRDefault="00E203CF" w:rsidP="00E44CA5">
                  <w:pPr>
                    <w:pStyle w:val="TableBodyText"/>
                    <w:ind w:right="28"/>
                    <w:jc w:val="left"/>
                  </w:pPr>
                  <w:r>
                    <w:t xml:space="preserve">Economies of scope are weak, only exist at extremely large fund size and only for operation — there are generally </w:t>
                  </w:r>
                  <w:r w:rsidR="00090CB2">
                    <w:t>cost savings in contracting out</w:t>
                  </w:r>
                  <w:r w:rsidR="000C38F9">
                    <w:t>.</w:t>
                  </w:r>
                </w:p>
              </w:tc>
            </w:tr>
            <w:tr w:rsidR="003336B6" w:rsidTr="003336B6">
              <w:tc>
                <w:tcPr>
                  <w:tcW w:w="0" w:type="auto"/>
                  <w:shd w:val="clear" w:color="auto" w:fill="auto"/>
                </w:tcPr>
                <w:p w:rsidR="00E203CF" w:rsidRDefault="00E203CF" w:rsidP="00E44CA5">
                  <w:pPr>
                    <w:pStyle w:val="TableBodyText"/>
                    <w:jc w:val="left"/>
                  </w:pPr>
                  <w:r>
                    <w:t xml:space="preserve">Sy </w:t>
                  </w:r>
                  <w:r w:rsidR="000B08A2" w:rsidRPr="000B08A2">
                    <w:rPr>
                      <w:rFonts w:cs="Arial"/>
                    </w:rPr>
                    <w:t>(2012)</w:t>
                  </w:r>
                </w:p>
                <w:p w:rsidR="00E203CF" w:rsidRDefault="00E203CF" w:rsidP="00E44CA5">
                  <w:pPr>
                    <w:pStyle w:val="TableBodyText"/>
                    <w:jc w:val="left"/>
                  </w:pPr>
                </w:p>
              </w:tc>
              <w:tc>
                <w:tcPr>
                  <w:tcW w:w="3740" w:type="dxa"/>
                </w:tcPr>
                <w:p w:rsidR="00E203CF" w:rsidRDefault="00E203CF" w:rsidP="00E44CA5">
                  <w:pPr>
                    <w:pStyle w:val="TableBodyText"/>
                    <w:jc w:val="left"/>
                  </w:pPr>
                  <w:r>
                    <w:t>Data from all APRA regulated funds between 2004–11</w:t>
                  </w:r>
                  <w:r w:rsidR="003336B6">
                    <w:t xml:space="preserve"> with positive expenses, more than 100 members, </w:t>
                  </w:r>
                  <w:r w:rsidR="007E3874">
                    <w:t xml:space="preserve">and </w:t>
                  </w:r>
                  <w:r w:rsidR="003336B6">
                    <w:t>greater than $10 million in assets</w:t>
                  </w:r>
                  <w:r w:rsidR="000C38F9">
                    <w:t>.</w:t>
                  </w:r>
                </w:p>
                <w:p w:rsidR="00E203CF" w:rsidRDefault="00E203CF" w:rsidP="003336B6">
                  <w:pPr>
                    <w:pStyle w:val="TableBodyText"/>
                    <w:jc w:val="left"/>
                  </w:pPr>
                  <w:r>
                    <w:t xml:space="preserve">Relationship between fund size and </w:t>
                  </w:r>
                  <w:r w:rsidR="003336B6">
                    <w:t>total direct</w:t>
                  </w:r>
                  <w:r>
                    <w:t xml:space="preserve"> reported expenses</w:t>
                  </w:r>
                  <w:r w:rsidR="003336B6">
                    <w:t xml:space="preserve"> controlling for assets, members, public offer status, and retail and not</w:t>
                  </w:r>
                  <w:r w:rsidR="003336B6">
                    <w:noBreakHyphen/>
                    <w:t>for</w:t>
                  </w:r>
                  <w:r w:rsidR="003336B6">
                    <w:noBreakHyphen/>
                    <w:t>profit status</w:t>
                  </w:r>
                  <w:r w:rsidR="000C38F9">
                    <w:t>.</w:t>
                  </w:r>
                </w:p>
                <w:p w:rsidR="003336B6" w:rsidRDefault="003336B6" w:rsidP="003336B6">
                  <w:pPr>
                    <w:pStyle w:val="TableBodyText"/>
                    <w:jc w:val="left"/>
                  </w:pPr>
                  <w:r>
                    <w:t>OLS regression analysis</w:t>
                  </w:r>
                  <w:r w:rsidR="000C38F9">
                    <w:t>.</w:t>
                  </w:r>
                </w:p>
              </w:tc>
              <w:tc>
                <w:tcPr>
                  <w:tcW w:w="3260" w:type="dxa"/>
                  <w:shd w:val="clear" w:color="auto" w:fill="auto"/>
                </w:tcPr>
                <w:p w:rsidR="00E203CF" w:rsidRDefault="00E203CF" w:rsidP="00E44CA5">
                  <w:pPr>
                    <w:pStyle w:val="TableBodyText"/>
                    <w:ind w:right="28"/>
                    <w:jc w:val="left"/>
                  </w:pPr>
                  <w:r>
                    <w:t>No economies of scale for retail funds (but there are data problems because</w:t>
                  </w:r>
                  <w:r w:rsidR="003336B6">
                    <w:t xml:space="preserve"> of related</w:t>
                  </w:r>
                  <w:r w:rsidR="003336B6">
                    <w:noBreakHyphen/>
                    <w:t>party transactions)</w:t>
                  </w:r>
                  <w:r w:rsidR="000C38F9">
                    <w:t>.</w:t>
                  </w:r>
                </w:p>
                <w:p w:rsidR="00E203CF" w:rsidRDefault="00E203CF" w:rsidP="00E44CA5">
                  <w:pPr>
                    <w:pStyle w:val="TableBodyText"/>
                    <w:ind w:right="28"/>
                    <w:jc w:val="left"/>
                  </w:pPr>
                  <w:r>
                    <w:t>No relationship between retail fund size and fees (due to dissipation of r</w:t>
                  </w:r>
                  <w:r w:rsidR="003336B6">
                    <w:t>ent to upstream intermediaries)</w:t>
                  </w:r>
                  <w:r w:rsidR="000C38F9">
                    <w:t>.</w:t>
                  </w:r>
                </w:p>
                <w:p w:rsidR="00E203CF" w:rsidRDefault="00E203CF" w:rsidP="00E44CA5">
                  <w:pPr>
                    <w:pStyle w:val="TableBodyText"/>
                    <w:ind w:right="28"/>
                    <w:jc w:val="left"/>
                  </w:pPr>
                  <w:r>
                    <w:t>Weak economies of scale for non</w:t>
                  </w:r>
                  <w:r>
                    <w:noBreakHyphen/>
                    <w:t xml:space="preserve">profit funds (high extent of outsourcing reduces the fixed cost base from which </w:t>
                  </w:r>
                  <w:r w:rsidR="003336B6">
                    <w:t>fund level economies can arise)</w:t>
                  </w:r>
                  <w:r w:rsidR="000C38F9">
                    <w:t>.</w:t>
                  </w:r>
                </w:p>
                <w:p w:rsidR="00E203CF" w:rsidRDefault="00E203CF" w:rsidP="00E44CA5">
                  <w:pPr>
                    <w:pStyle w:val="TableBodyText"/>
                    <w:ind w:right="28"/>
                    <w:jc w:val="left"/>
                  </w:pPr>
                  <w:r>
                    <w:t>Natural asset growth is a much bigger sou</w:t>
                  </w:r>
                  <w:r w:rsidR="003336B6">
                    <w:t>rce of scale than consolidation</w:t>
                  </w:r>
                  <w:r w:rsidR="00014394">
                    <w:t>.</w:t>
                  </w:r>
                </w:p>
              </w:tc>
            </w:tr>
            <w:tr w:rsidR="003336B6" w:rsidRPr="00E203CF" w:rsidTr="003336B6">
              <w:tc>
                <w:tcPr>
                  <w:tcW w:w="0" w:type="auto"/>
                  <w:shd w:val="clear" w:color="auto" w:fill="F2F2F2" w:themeFill="background1" w:themeFillShade="F2"/>
                </w:tcPr>
                <w:p w:rsidR="00E203CF" w:rsidRDefault="00E203CF" w:rsidP="00E203CF">
                  <w:pPr>
                    <w:pStyle w:val="TableBodyText"/>
                    <w:jc w:val="left"/>
                  </w:pPr>
                  <w:r>
                    <w:t xml:space="preserve">Rice Warner </w:t>
                  </w:r>
                  <w:r w:rsidR="008D4B9C" w:rsidRPr="008D4B9C">
                    <w:rPr>
                      <w:rFonts w:cs="Arial"/>
                    </w:rPr>
                    <w:t>(2014)</w:t>
                  </w:r>
                </w:p>
              </w:tc>
              <w:tc>
                <w:tcPr>
                  <w:tcW w:w="3740" w:type="dxa"/>
                  <w:shd w:val="clear" w:color="auto" w:fill="F2F2F2" w:themeFill="background1" w:themeFillShade="F2"/>
                </w:tcPr>
                <w:p w:rsidR="00E203CF" w:rsidRDefault="00E203CF" w:rsidP="00E203CF">
                  <w:pPr>
                    <w:pStyle w:val="TableBodyText"/>
                    <w:jc w:val="left"/>
                  </w:pPr>
                  <w:r>
                    <w:t>Relationship between fund size and fees, based on APRA and own expenses data for selected funds</w:t>
                  </w:r>
                  <w:r w:rsidR="000C38F9">
                    <w:t>.</w:t>
                  </w:r>
                </w:p>
                <w:p w:rsidR="003336B6" w:rsidRDefault="00ED0BFA" w:rsidP="00E203CF">
                  <w:pPr>
                    <w:pStyle w:val="TableBodyText"/>
                    <w:jc w:val="left"/>
                  </w:pPr>
                  <w:r>
                    <w:t>Plots of expenses against fund size</w:t>
                  </w:r>
                  <w:r w:rsidR="000C38F9">
                    <w:t>.</w:t>
                  </w:r>
                </w:p>
              </w:tc>
              <w:tc>
                <w:tcPr>
                  <w:tcW w:w="3260" w:type="dxa"/>
                  <w:shd w:val="clear" w:color="auto" w:fill="F2F2F2" w:themeFill="background1" w:themeFillShade="F2"/>
                </w:tcPr>
                <w:p w:rsidR="00E203CF" w:rsidRDefault="00E203CF" w:rsidP="00E203CF">
                  <w:pPr>
                    <w:pStyle w:val="TableBodyText"/>
                    <w:jc w:val="left"/>
                  </w:pPr>
                  <w:r>
                    <w:t>Economies of scale exist in operation (from growing number of members and average account balances) and in in</w:t>
                  </w:r>
                  <w:r w:rsidR="003336B6">
                    <w:t>vestment (from larger mandates)</w:t>
                  </w:r>
                  <w:r w:rsidR="00014394">
                    <w:t>.</w:t>
                  </w:r>
                </w:p>
                <w:p w:rsidR="00E203CF" w:rsidRDefault="00E203CF" w:rsidP="00E203CF">
                  <w:pPr>
                    <w:pStyle w:val="TableBodyText"/>
                    <w:jc w:val="left"/>
                  </w:pPr>
                  <w:r>
                    <w:t>Limited benefits from scale in operation beyond 400 000 members; investment scale largely exhausted at $10 bi</w:t>
                  </w:r>
                  <w:r w:rsidR="003336B6">
                    <w:t>llion of funds under management</w:t>
                  </w:r>
                  <w:r w:rsidR="00014394">
                    <w:t>.</w:t>
                  </w:r>
                </w:p>
              </w:tc>
            </w:tr>
            <w:tr w:rsidR="003336B6" w:rsidTr="003336B6">
              <w:tc>
                <w:tcPr>
                  <w:tcW w:w="0" w:type="auto"/>
                  <w:tcBorders>
                    <w:bottom w:val="single" w:sz="6" w:space="0" w:color="BFBFBF"/>
                  </w:tcBorders>
                  <w:shd w:val="clear" w:color="auto" w:fill="auto"/>
                </w:tcPr>
                <w:p w:rsidR="00E203CF" w:rsidRDefault="00E203CF" w:rsidP="00E203CF">
                  <w:pPr>
                    <w:pStyle w:val="TableBodyText"/>
                    <w:jc w:val="left"/>
                  </w:pPr>
                  <w:r>
                    <w:t xml:space="preserve">Minifie, Cameron and Savage </w:t>
                  </w:r>
                  <w:r w:rsidRPr="009B3559">
                    <w:rPr>
                      <w:rFonts w:cs="Arial"/>
                    </w:rPr>
                    <w:t>(2015)</w:t>
                  </w:r>
                  <w:r>
                    <w:t xml:space="preserve"> </w:t>
                  </w:r>
                </w:p>
              </w:tc>
              <w:tc>
                <w:tcPr>
                  <w:tcW w:w="3740" w:type="dxa"/>
                  <w:tcBorders>
                    <w:bottom w:val="single" w:sz="6" w:space="0" w:color="BFBFBF"/>
                  </w:tcBorders>
                </w:tcPr>
                <w:p w:rsidR="00E203CF" w:rsidRDefault="00E203CF" w:rsidP="00E203CF">
                  <w:pPr>
                    <w:pStyle w:val="TableBodyText"/>
                    <w:jc w:val="left"/>
                  </w:pPr>
                  <w:r>
                    <w:t>Relationship between fund size and administration fees</w:t>
                  </w:r>
                  <w:r w:rsidR="000C38F9">
                    <w:t>.</w:t>
                  </w:r>
                </w:p>
                <w:p w:rsidR="00D11D41" w:rsidRPr="002A1F46" w:rsidRDefault="002A1F46" w:rsidP="00E203CF">
                  <w:pPr>
                    <w:pStyle w:val="TableBodyText"/>
                    <w:jc w:val="left"/>
                    <w:rPr>
                      <w:rStyle w:val="DraftingNote"/>
                      <w:b w:val="0"/>
                      <w:color w:val="auto"/>
                      <w:sz w:val="18"/>
                      <w:u w:val="none"/>
                    </w:rPr>
                  </w:pPr>
                  <w:r>
                    <w:t>OLS regression analysis</w:t>
                  </w:r>
                  <w:r w:rsidR="000C38F9">
                    <w:t>.</w:t>
                  </w:r>
                </w:p>
              </w:tc>
              <w:tc>
                <w:tcPr>
                  <w:tcW w:w="3260" w:type="dxa"/>
                  <w:tcBorders>
                    <w:bottom w:val="single" w:sz="6" w:space="0" w:color="BFBFBF"/>
                  </w:tcBorders>
                  <w:shd w:val="clear" w:color="auto" w:fill="auto"/>
                </w:tcPr>
                <w:p w:rsidR="00E203CF" w:rsidRDefault="00E203CF" w:rsidP="00E203CF">
                  <w:pPr>
                    <w:pStyle w:val="TableBodyText"/>
                    <w:ind w:right="28"/>
                    <w:jc w:val="left"/>
                  </w:pPr>
                  <w:r>
                    <w:t xml:space="preserve">Fixed administration costs are one third of total fund costs </w:t>
                  </w:r>
                  <w:r w:rsidR="003336B6">
                    <w:t>and are the key source of scale</w:t>
                  </w:r>
                  <w:r w:rsidR="000C38F9">
                    <w:t>.</w:t>
                  </w:r>
                </w:p>
                <w:p w:rsidR="00E203CF" w:rsidRDefault="00E203CF" w:rsidP="00E203CF">
                  <w:pPr>
                    <w:pStyle w:val="TableBodyText"/>
                    <w:ind w:right="28"/>
                    <w:jc w:val="left"/>
                  </w:pPr>
                  <w:r>
                    <w:t>Consolidation of 50 largest funds into 25 funds would save one sixth</w:t>
                  </w:r>
                  <w:r w:rsidR="003336B6">
                    <w:t xml:space="preserve"> of total costs ($270 million)</w:t>
                  </w:r>
                  <w:r w:rsidR="000C38F9">
                    <w:t>.</w:t>
                  </w:r>
                </w:p>
              </w:tc>
            </w:tr>
          </w:tbl>
          <w:p w:rsidR="00E203CF" w:rsidRDefault="00E203CF" w:rsidP="00E44CA5">
            <w:pPr>
              <w:pStyle w:val="Box"/>
            </w:pPr>
          </w:p>
        </w:tc>
      </w:tr>
      <w:tr w:rsidR="00E203CF" w:rsidTr="00E44CA5">
        <w:tc>
          <w:tcPr>
            <w:tcW w:w="8625" w:type="dxa"/>
            <w:tcBorders>
              <w:top w:val="nil"/>
              <w:left w:val="nil"/>
              <w:bottom w:val="nil"/>
              <w:right w:val="nil"/>
            </w:tcBorders>
            <w:shd w:val="clear" w:color="auto" w:fill="auto"/>
          </w:tcPr>
          <w:p w:rsidR="00E203CF" w:rsidRDefault="00E203CF" w:rsidP="00E44CA5">
            <w:pPr>
              <w:pStyle w:val="Note"/>
              <w:rPr>
                <w:i/>
              </w:rPr>
            </w:pPr>
            <w:r w:rsidRPr="008E77FE">
              <w:rPr>
                <w:rStyle w:val="NoteLabel"/>
              </w:rPr>
              <w:t>a</w:t>
            </w:r>
            <w:r>
              <w:t xml:space="preserve"> Most of the studies presented in this table classify superannuation fund costs into operational and investment expenses, but some use the terms ‘operational’ and ‘</w:t>
            </w:r>
            <w:r w:rsidR="00AC19A3">
              <w:t>administration</w:t>
            </w:r>
            <w:r>
              <w:t xml:space="preserve">’ interchangeably. </w:t>
            </w:r>
          </w:p>
        </w:tc>
      </w:tr>
      <w:tr w:rsidR="00E203CF" w:rsidTr="00E44CA5">
        <w:tc>
          <w:tcPr>
            <w:tcW w:w="8625" w:type="dxa"/>
            <w:tcBorders>
              <w:top w:val="nil"/>
              <w:left w:val="nil"/>
              <w:bottom w:val="single" w:sz="6" w:space="0" w:color="78A22F"/>
              <w:right w:val="nil"/>
            </w:tcBorders>
            <w:shd w:val="clear" w:color="auto" w:fill="auto"/>
          </w:tcPr>
          <w:p w:rsidR="00E203CF" w:rsidRDefault="00E203CF" w:rsidP="00E44CA5">
            <w:pPr>
              <w:pStyle w:val="Box"/>
              <w:spacing w:before="0" w:line="120" w:lineRule="exact"/>
            </w:pPr>
          </w:p>
        </w:tc>
      </w:tr>
      <w:tr w:rsidR="00E203CF" w:rsidRPr="000863A5" w:rsidTr="00E44CA5">
        <w:tc>
          <w:tcPr>
            <w:tcW w:w="8625" w:type="dxa"/>
            <w:tcBorders>
              <w:top w:val="single" w:sz="6" w:space="0" w:color="78A22F"/>
              <w:left w:val="nil"/>
              <w:bottom w:val="nil"/>
              <w:right w:val="nil"/>
            </w:tcBorders>
          </w:tcPr>
          <w:p w:rsidR="00E203CF" w:rsidRPr="00626D32" w:rsidRDefault="00E203CF" w:rsidP="00E44CA5">
            <w:pPr>
              <w:pStyle w:val="BoxSpaceBelow"/>
            </w:pPr>
          </w:p>
        </w:tc>
      </w:tr>
    </w:tbl>
    <w:p w:rsidR="00180137" w:rsidRDefault="00180137">
      <w:pPr>
        <w:rPr>
          <w:szCs w:val="20"/>
        </w:rPr>
      </w:pPr>
      <w:bookmarkStart w:id="8" w:name="OLE_LINK3"/>
      <w:r>
        <w:br w:type="page"/>
      </w:r>
    </w:p>
    <w:p w:rsidR="001245AE" w:rsidRDefault="001245AE" w:rsidP="001245AE">
      <w:pPr>
        <w:pStyle w:val="BodyText"/>
      </w:pPr>
      <w:r>
        <w:lastRenderedPageBreak/>
        <w:t>None of the studies accounted for funds that have exited the industry (potential survivorship bias). Evidence suggests that those funds were small and high cost, meaning estimates of the relationship between fund size and costs generated using information only for remaining funds will be understated. Nor did these studies</w:t>
      </w:r>
      <w:r w:rsidDel="00CC4ECD">
        <w:t xml:space="preserve"> </w:t>
      </w:r>
      <w:r>
        <w:t>address the implications of gaps in the data (potential selection bias).</w:t>
      </w:r>
      <w:r w:rsidDel="009245D9">
        <w:t xml:space="preserve"> </w:t>
      </w:r>
    </w:p>
    <w:p w:rsidR="001245AE" w:rsidRDefault="001245AE" w:rsidP="001245AE">
      <w:pPr>
        <w:pStyle w:val="BodyText"/>
      </w:pPr>
      <w:r>
        <w:t>The Commission has estimated a cost model to quantify the extent of unused scale economies and examine the pass</w:t>
      </w:r>
      <w:r>
        <w:noBreakHyphen/>
        <w:t>through of realised scale economies that addresses these estimation issues. Details of the approach follow discussion of the dataset.</w:t>
      </w:r>
    </w:p>
    <w:p w:rsidR="009977E9" w:rsidRDefault="004325AA" w:rsidP="00AB4AA0">
      <w:pPr>
        <w:pStyle w:val="Heading2"/>
      </w:pPr>
      <w:bookmarkStart w:id="9" w:name="_Toc530748477"/>
      <w:r>
        <w:rPr>
          <w:noProof/>
          <w:spacing w:val="-4"/>
        </w:rPr>
        <w:t>2</w:t>
      </w:r>
      <w:r w:rsidR="009977E9" w:rsidRPr="009977E9">
        <w:rPr>
          <w:spacing w:val="-4"/>
        </w:rPr>
        <w:tab/>
      </w:r>
      <w:r w:rsidR="009977E9" w:rsidRPr="00E07613">
        <w:rPr>
          <w:spacing w:val="-2"/>
        </w:rPr>
        <w:t xml:space="preserve">Sufficient data </w:t>
      </w:r>
      <w:r w:rsidR="000357F9">
        <w:rPr>
          <w:spacing w:val="-2"/>
        </w:rPr>
        <w:t xml:space="preserve">are </w:t>
      </w:r>
      <w:r w:rsidR="009977E9" w:rsidRPr="00E07613">
        <w:rPr>
          <w:spacing w:val="-2"/>
        </w:rPr>
        <w:t>available</w:t>
      </w:r>
      <w:r w:rsidR="006C19C5">
        <w:rPr>
          <w:spacing w:val="-2"/>
        </w:rPr>
        <w:t xml:space="preserve"> but</w:t>
      </w:r>
      <w:r w:rsidR="009977E9" w:rsidRPr="00E07613">
        <w:rPr>
          <w:spacing w:val="-2"/>
        </w:rPr>
        <w:t xml:space="preserve"> quality creates challenges</w:t>
      </w:r>
      <w:bookmarkEnd w:id="9"/>
    </w:p>
    <w:bookmarkEnd w:id="8"/>
    <w:p w:rsidR="00242A26" w:rsidRPr="005706AA" w:rsidRDefault="00624863" w:rsidP="00242A26">
      <w:pPr>
        <w:pStyle w:val="BodyText"/>
        <w:rPr>
          <w:spacing w:val="-2"/>
        </w:rPr>
      </w:pPr>
      <w:r w:rsidRPr="005706AA">
        <w:rPr>
          <w:spacing w:val="-2"/>
        </w:rPr>
        <w:t xml:space="preserve">Data collected and published by the Australian Prudential Regulation Authority </w:t>
      </w:r>
      <w:r w:rsidR="0063461D" w:rsidRPr="0063461D">
        <w:rPr>
          <w:szCs w:val="24"/>
        </w:rPr>
        <w:t>(APRA 2018)</w:t>
      </w:r>
      <w:r w:rsidRPr="005706AA">
        <w:rPr>
          <w:spacing w:val="-2"/>
        </w:rPr>
        <w:t xml:space="preserve"> and the research </w:t>
      </w:r>
      <w:r w:rsidR="001D5C9D" w:rsidRPr="005706AA">
        <w:rPr>
          <w:spacing w:val="-2"/>
        </w:rPr>
        <w:t xml:space="preserve">firm </w:t>
      </w:r>
      <w:r w:rsidRPr="005706AA">
        <w:rPr>
          <w:spacing w:val="-2"/>
        </w:rPr>
        <w:t xml:space="preserve">SuperRatings </w:t>
      </w:r>
      <w:r w:rsidR="00085BC6" w:rsidRPr="005706AA">
        <w:rPr>
          <w:spacing w:val="-2"/>
        </w:rPr>
        <w:t xml:space="preserve">(SR) </w:t>
      </w:r>
      <w:r w:rsidRPr="005706AA">
        <w:rPr>
          <w:spacing w:val="-2"/>
        </w:rPr>
        <w:t xml:space="preserve">were </w:t>
      </w:r>
      <w:r w:rsidR="007909A7" w:rsidRPr="005706AA">
        <w:rPr>
          <w:spacing w:val="-2"/>
        </w:rPr>
        <w:t>used in the analysis.</w:t>
      </w:r>
    </w:p>
    <w:p w:rsidR="007D1ACA" w:rsidRPr="005706AA" w:rsidRDefault="00F33B96" w:rsidP="00E07613">
      <w:pPr>
        <w:pStyle w:val="Heading3"/>
        <w:rPr>
          <w:spacing w:val="-2"/>
        </w:rPr>
      </w:pPr>
      <w:bookmarkStart w:id="10" w:name="_Toc530748478"/>
      <w:r w:rsidRPr="005706AA">
        <w:rPr>
          <w:spacing w:val="-2"/>
        </w:rPr>
        <w:t>Data are available for a reasonably large panel of funds</w:t>
      </w:r>
      <w:bookmarkEnd w:id="10"/>
    </w:p>
    <w:p w:rsidR="00B862B8" w:rsidRDefault="007909A7" w:rsidP="007909A7">
      <w:pPr>
        <w:pStyle w:val="BodyText"/>
      </w:pPr>
      <w:r>
        <w:t xml:space="preserve">A </w:t>
      </w:r>
      <w:r w:rsidR="00D44791">
        <w:t>fund</w:t>
      </w:r>
      <w:r w:rsidR="00D44791">
        <w:noBreakHyphen/>
      </w:r>
      <w:r w:rsidR="001F00D8">
        <w:t>level</w:t>
      </w:r>
      <w:r w:rsidDel="00571A40">
        <w:t xml:space="preserve"> </w:t>
      </w:r>
      <w:r>
        <w:t xml:space="preserve">panel dataset was formed using </w:t>
      </w:r>
      <w:r w:rsidR="00A54FED">
        <w:t xml:space="preserve">APRA </w:t>
      </w:r>
      <w:r>
        <w:t xml:space="preserve">data </w:t>
      </w:r>
      <w:r w:rsidR="00A54FED">
        <w:t>for 200</w:t>
      </w:r>
      <w:r w:rsidR="00E07613">
        <w:t>4</w:t>
      </w:r>
      <w:r w:rsidR="00A54FED">
        <w:t xml:space="preserve"> to 201</w:t>
      </w:r>
      <w:r w:rsidR="00E07613">
        <w:t>6</w:t>
      </w:r>
      <w:r w:rsidR="00AE2B07">
        <w:t>.</w:t>
      </w:r>
      <w:r w:rsidR="00F642A0" w:rsidRPr="006007B3">
        <w:rPr>
          <w:rStyle w:val="FootnoteReference"/>
        </w:rPr>
        <w:footnoteReference w:id="6"/>
      </w:r>
      <w:r w:rsidR="00571A40">
        <w:t xml:space="preserve"> The panel is unbalanced </w:t>
      </w:r>
      <w:r w:rsidR="00571A40" w:rsidRPr="00243019">
        <w:t xml:space="preserve">— that is, data from some funds </w:t>
      </w:r>
      <w:r w:rsidR="001D5C9D">
        <w:t>are</w:t>
      </w:r>
      <w:r w:rsidR="001D5C9D" w:rsidRPr="00243019">
        <w:t xml:space="preserve"> </w:t>
      </w:r>
      <w:r w:rsidR="00571A40" w:rsidRPr="00243019">
        <w:t>not available for the whole period (typically due to fund mergers or exits).</w:t>
      </w:r>
    </w:p>
    <w:p w:rsidR="00B862B8" w:rsidRDefault="00AE2B07" w:rsidP="00E07613">
      <w:pPr>
        <w:pStyle w:val="ListBullet"/>
      </w:pPr>
      <w:r>
        <w:t>Eighteen e</w:t>
      </w:r>
      <w:r w:rsidR="007909A7">
        <w:t xml:space="preserve">ligible rollover funds </w:t>
      </w:r>
      <w:r w:rsidR="007909A7" w:rsidDel="00AE2B07">
        <w:t xml:space="preserve">and </w:t>
      </w:r>
      <w:r>
        <w:t xml:space="preserve">three </w:t>
      </w:r>
      <w:r w:rsidR="007909A7">
        <w:t>‘risk</w:t>
      </w:r>
      <w:r w:rsidR="007909A7">
        <w:noBreakHyphen/>
        <w:t>only’ funds (run solely to provide insurance) were excluded</w:t>
      </w:r>
      <w:r>
        <w:t xml:space="preserve"> </w:t>
      </w:r>
      <w:r w:rsidR="007D2A48">
        <w:t>because</w:t>
      </w:r>
      <w:r w:rsidR="007909A7">
        <w:t xml:space="preserve"> they have distinctly different objectives, and therefore operate differently, from other institutional </w:t>
      </w:r>
      <w:r w:rsidR="00F36A84">
        <w:t xml:space="preserve">super </w:t>
      </w:r>
      <w:r w:rsidR="007909A7">
        <w:t>funds.</w:t>
      </w:r>
    </w:p>
    <w:p w:rsidR="009977E9" w:rsidRDefault="009977E9" w:rsidP="009977E9">
      <w:pPr>
        <w:pStyle w:val="ListBullet"/>
      </w:pPr>
      <w:r>
        <w:t xml:space="preserve">Funds with fewer than three fund–year observations were also excluded because a </w:t>
      </w:r>
      <w:r w:rsidR="00FF508A">
        <w:t xml:space="preserve">robust </w:t>
      </w:r>
      <w:r>
        <w:t xml:space="preserve">economies of scale relationship cannot be observed with </w:t>
      </w:r>
      <w:r w:rsidR="00350EAA">
        <w:t>fewer than three</w:t>
      </w:r>
      <w:r>
        <w:t xml:space="preserve"> observations. Significant consolidation of corporate funds between 2004 and 2006 (from 751 to 198) </w:t>
      </w:r>
      <w:r w:rsidR="00645113">
        <w:t>made up most of these cases.</w:t>
      </w:r>
    </w:p>
    <w:p w:rsidR="00B862B8" w:rsidRDefault="00C21D11" w:rsidP="009977E9">
      <w:pPr>
        <w:pStyle w:val="ListBullet"/>
      </w:pPr>
      <w:r>
        <w:t>And o</w:t>
      </w:r>
      <w:r w:rsidR="00B862B8">
        <w:t xml:space="preserve">bservations </w:t>
      </w:r>
      <w:r w:rsidR="007D179D">
        <w:t xml:space="preserve">for some funds in some years (fund–year observations) </w:t>
      </w:r>
      <w:r w:rsidR="003C66EE">
        <w:t xml:space="preserve">were excluded </w:t>
      </w:r>
      <w:r w:rsidR="007D179D">
        <w:t>because</w:t>
      </w:r>
      <w:r w:rsidR="003C66EE">
        <w:t xml:space="preserve"> they lacked </w:t>
      </w:r>
      <w:r w:rsidR="001D5C9D">
        <w:t xml:space="preserve">data points for </w:t>
      </w:r>
      <w:r w:rsidR="004646DA">
        <w:t>all of the variables</w:t>
      </w:r>
      <w:r w:rsidR="005E0CCE">
        <w:t>:</w:t>
      </w:r>
      <w:r w:rsidR="004646DA">
        <w:t xml:space="preserve"> </w:t>
      </w:r>
      <w:r w:rsidR="00B862B8">
        <w:t>member accounts</w:t>
      </w:r>
      <w:r w:rsidR="00AE2B07">
        <w:t xml:space="preserve">, </w:t>
      </w:r>
      <w:r w:rsidR="00B97A76">
        <w:t>asset allocation</w:t>
      </w:r>
      <w:r w:rsidR="00AE2B07">
        <w:t xml:space="preserve">, </w:t>
      </w:r>
      <w:r w:rsidR="00B97A76">
        <w:t xml:space="preserve">annual returns </w:t>
      </w:r>
      <w:r w:rsidR="00AE2B07">
        <w:t xml:space="preserve">and </w:t>
      </w:r>
      <w:r w:rsidR="003C66EE">
        <w:t>total assets</w:t>
      </w:r>
      <w:r w:rsidR="007D179D">
        <w:t>.</w:t>
      </w:r>
      <w:r w:rsidRPr="006007B3">
        <w:rPr>
          <w:rStyle w:val="FootnoteReference"/>
        </w:rPr>
        <w:footnoteReference w:id="7"/>
      </w:r>
    </w:p>
    <w:p w:rsidR="00F86BAC" w:rsidRDefault="00E06446">
      <w:pPr>
        <w:pStyle w:val="BodyText"/>
      </w:pPr>
      <w:r>
        <w:t xml:space="preserve">The estimation dataset included </w:t>
      </w:r>
      <w:r w:rsidR="001440DF">
        <w:t>494</w:t>
      </w:r>
      <w:r w:rsidR="009720E9">
        <w:t xml:space="preserve"> funds (table</w:t>
      </w:r>
      <w:r w:rsidR="00F640C8">
        <w:t> </w:t>
      </w:r>
      <w:r w:rsidR="000C38F9">
        <w:t>2</w:t>
      </w:r>
      <w:r w:rsidR="009720E9">
        <w:t xml:space="preserve">) accounting for </w:t>
      </w:r>
      <w:r w:rsidR="00AE0136">
        <w:t xml:space="preserve">4138 </w:t>
      </w:r>
      <w:r w:rsidR="009720E9">
        <w:t>fund–year observations</w:t>
      </w:r>
      <w:r w:rsidR="00B50D6C" w:rsidRPr="00B50D6C">
        <w:t xml:space="preserve"> </w:t>
      </w:r>
      <w:r w:rsidR="00B50D6C">
        <w:t>and representing the majority of the system in terms of assets (</w:t>
      </w:r>
      <w:r w:rsidR="00FF508A">
        <w:t>from 89 to 100</w:t>
      </w:r>
      <w:r w:rsidR="007E3874">
        <w:t> </w:t>
      </w:r>
      <w:r w:rsidR="00FF508A">
        <w:t>per</w:t>
      </w:r>
      <w:r w:rsidR="007E3874">
        <w:t> </w:t>
      </w:r>
      <w:r w:rsidR="00FF508A">
        <w:t xml:space="preserve">cent across the time period, </w:t>
      </w:r>
      <w:r w:rsidR="00B50D6C">
        <w:t>table </w:t>
      </w:r>
      <w:r w:rsidR="000C38F9">
        <w:t>3</w:t>
      </w:r>
      <w:r w:rsidR="00B50D6C">
        <w:t>)</w:t>
      </w:r>
      <w:r w:rsidR="009720E9">
        <w:t>.</w:t>
      </w:r>
      <w:r w:rsidR="00694BE1">
        <w:t xml:space="preserve"> </w:t>
      </w:r>
      <w:r w:rsidR="00F36A84">
        <w:t>A</w:t>
      </w:r>
      <w:r w:rsidR="00694BE1">
        <w:t xml:space="preserve">bout 60 per cent </w:t>
      </w:r>
      <w:r w:rsidR="00F36A84">
        <w:t xml:space="preserve">of the (494) funds </w:t>
      </w:r>
      <w:r w:rsidR="00694BE1">
        <w:t xml:space="preserve">were </w:t>
      </w:r>
      <w:r>
        <w:t>in the panel</w:t>
      </w:r>
      <w:r w:rsidR="00694BE1">
        <w:t xml:space="preserve"> for at least seven years.</w:t>
      </w:r>
    </w:p>
    <w:p w:rsidR="009E5FB0" w:rsidRDefault="009E5FB0" w:rsidP="009E5FB0">
      <w:pPr>
        <w:pStyle w:val="BodyText"/>
      </w:pPr>
      <w:r>
        <w:lastRenderedPageBreak/>
        <w:t xml:space="preserve">Because APRA data lack information about fees charged to members — data needed to explore the pass through of benefits to members — SR data were purchased and </w:t>
      </w:r>
      <w:r w:rsidR="00FF508A">
        <w:t>linked</w:t>
      </w:r>
      <w:r>
        <w:t xml:space="preserve"> with the APRA panel.</w:t>
      </w:r>
    </w:p>
    <w:p w:rsidR="009E5FB0" w:rsidRPr="00BF3706" w:rsidRDefault="009E5FB0" w:rsidP="009E5FB0">
      <w:pPr>
        <w:pStyle w:val="BodyText"/>
        <w:rPr>
          <w:spacing w:val="-2"/>
        </w:rPr>
      </w:pPr>
      <w:r w:rsidRPr="00BF3706">
        <w:rPr>
          <w:spacing w:val="-2"/>
        </w:rPr>
        <w:t>One downside, however, is that</w:t>
      </w:r>
      <w:r w:rsidR="001D5C9D">
        <w:rPr>
          <w:spacing w:val="-2"/>
        </w:rPr>
        <w:t xml:space="preserve"> not all</w:t>
      </w:r>
      <w:r w:rsidRPr="00BF3706">
        <w:rPr>
          <w:spacing w:val="-2"/>
        </w:rPr>
        <w:t xml:space="preserve"> funds </w:t>
      </w:r>
      <w:r w:rsidR="000C38F9">
        <w:rPr>
          <w:spacing w:val="-2"/>
        </w:rPr>
        <w:t>provide data to SR</w:t>
      </w:r>
      <w:r w:rsidRPr="00BF3706">
        <w:rPr>
          <w:spacing w:val="-2"/>
        </w:rPr>
        <w:t>. As a result, the data capture a relatively small</w:t>
      </w:r>
      <w:r w:rsidR="00F36A84">
        <w:rPr>
          <w:spacing w:val="-2"/>
        </w:rPr>
        <w:t>er</w:t>
      </w:r>
      <w:r w:rsidRPr="00BF3706">
        <w:rPr>
          <w:spacing w:val="-2"/>
        </w:rPr>
        <w:t xml:space="preserve"> subset of funds in the institutional system (table </w:t>
      </w:r>
      <w:r w:rsidR="000C38F9">
        <w:rPr>
          <w:spacing w:val="-2"/>
        </w:rPr>
        <w:t>4</w:t>
      </w:r>
      <w:r w:rsidRPr="00BF3706">
        <w:rPr>
          <w:spacing w:val="-2"/>
        </w:rPr>
        <w:t>), and smaller, higher</w:t>
      </w:r>
      <w:r w:rsidRPr="00BF3706">
        <w:rPr>
          <w:spacing w:val="-2"/>
        </w:rPr>
        <w:noBreakHyphen/>
        <w:t>cost funds are underrepresented. In 2015</w:t>
      </w:r>
      <w:r w:rsidRPr="00BF3706">
        <w:rPr>
          <w:spacing w:val="-2"/>
        </w:rPr>
        <w:noBreakHyphen/>
        <w:t xml:space="preserve">16, for example, funds in the APRA panel </w:t>
      </w:r>
      <w:r w:rsidR="00FF508A">
        <w:rPr>
          <w:spacing w:val="-2"/>
        </w:rPr>
        <w:t>h</w:t>
      </w:r>
      <w:r w:rsidR="005E0CCE">
        <w:rPr>
          <w:spacing w:val="-2"/>
        </w:rPr>
        <w:t>ad</w:t>
      </w:r>
      <w:r w:rsidRPr="00BF3706">
        <w:rPr>
          <w:spacing w:val="-2"/>
        </w:rPr>
        <w:t xml:space="preserve"> </w:t>
      </w:r>
      <w:r w:rsidR="005E0CCE">
        <w:rPr>
          <w:spacing w:val="-2"/>
        </w:rPr>
        <w:t xml:space="preserve">average </w:t>
      </w:r>
      <w:r w:rsidRPr="00BF3706">
        <w:rPr>
          <w:spacing w:val="-2"/>
        </w:rPr>
        <w:t xml:space="preserve">assets of $2.2 billion and </w:t>
      </w:r>
      <w:r w:rsidR="00F36A84">
        <w:rPr>
          <w:spacing w:val="-2"/>
        </w:rPr>
        <w:t xml:space="preserve">average </w:t>
      </w:r>
      <w:r w:rsidRPr="00BF3706">
        <w:rPr>
          <w:spacing w:val="-2"/>
        </w:rPr>
        <w:t>expenses of $16.2 million</w:t>
      </w:r>
      <w:r w:rsidR="00FF508A">
        <w:rPr>
          <w:spacing w:val="-2"/>
        </w:rPr>
        <w:t xml:space="preserve">; those in the SR panel held </w:t>
      </w:r>
      <w:r w:rsidR="00F36A84">
        <w:rPr>
          <w:spacing w:val="-2"/>
        </w:rPr>
        <w:t xml:space="preserve">average </w:t>
      </w:r>
      <w:r w:rsidR="00FF508A">
        <w:rPr>
          <w:spacing w:val="-2"/>
        </w:rPr>
        <w:t xml:space="preserve">assets of </w:t>
      </w:r>
      <w:r w:rsidRPr="00BF3706">
        <w:rPr>
          <w:spacing w:val="-2"/>
        </w:rPr>
        <w:t xml:space="preserve">$9.9 billion and </w:t>
      </w:r>
      <w:r w:rsidR="00FF508A">
        <w:rPr>
          <w:spacing w:val="-2"/>
        </w:rPr>
        <w:t xml:space="preserve">had </w:t>
      </w:r>
      <w:r w:rsidR="00F36A84">
        <w:rPr>
          <w:spacing w:val="-2"/>
        </w:rPr>
        <w:t xml:space="preserve">average </w:t>
      </w:r>
      <w:r w:rsidR="00FF508A">
        <w:rPr>
          <w:spacing w:val="-2"/>
        </w:rPr>
        <w:t xml:space="preserve">expenses of </w:t>
      </w:r>
      <w:r w:rsidRPr="00BF3706">
        <w:rPr>
          <w:spacing w:val="-2"/>
        </w:rPr>
        <w:t>$64.1</w:t>
      </w:r>
      <w:r w:rsidR="000C38F9">
        <w:rPr>
          <w:spacing w:val="-2"/>
        </w:rPr>
        <w:t> </w:t>
      </w:r>
      <w:r w:rsidRPr="00BF3706">
        <w:rPr>
          <w:spacing w:val="-2"/>
        </w:rPr>
        <w:t>million. Additional selection bias is introduced into the analysis through use of these data.</w:t>
      </w:r>
      <w:r w:rsidR="0062404E" w:rsidRPr="00BF3706">
        <w:rPr>
          <w:spacing w:val="-2"/>
        </w:rPr>
        <w:t xml:space="preserve"> That said, </w:t>
      </w:r>
      <w:r w:rsidR="0062404E">
        <w:rPr>
          <w:spacing w:val="-2"/>
        </w:rPr>
        <w:t xml:space="preserve">the </w:t>
      </w:r>
      <w:r w:rsidR="004646DA">
        <w:rPr>
          <w:spacing w:val="-2"/>
        </w:rPr>
        <w:t xml:space="preserve">SR </w:t>
      </w:r>
      <w:r w:rsidR="0062404E" w:rsidRPr="00BF3706">
        <w:rPr>
          <w:spacing w:val="-2"/>
        </w:rPr>
        <w:t>sample account</w:t>
      </w:r>
      <w:r w:rsidR="007E3874">
        <w:rPr>
          <w:spacing w:val="-2"/>
        </w:rPr>
        <w:t>ed</w:t>
      </w:r>
      <w:r w:rsidR="0062404E" w:rsidRPr="00BF3706">
        <w:rPr>
          <w:spacing w:val="-2"/>
        </w:rPr>
        <w:t xml:space="preserve"> for 42 per cent of assets and 71 per cent of member accounts in the system as at 30</w:t>
      </w:r>
      <w:r w:rsidR="00F640C8">
        <w:rPr>
          <w:spacing w:val="-2"/>
        </w:rPr>
        <w:t> </w:t>
      </w:r>
      <w:r w:rsidR="0062404E" w:rsidRPr="00BF3706">
        <w:rPr>
          <w:spacing w:val="-2"/>
        </w:rPr>
        <w:t>June 2017, making it reasonably representative.</w:t>
      </w:r>
    </w:p>
    <w:p w:rsidR="009E5FB0" w:rsidRDefault="009E5FB0" w:rsidP="009E5FB0">
      <w:pPr>
        <w:pStyle w:val="BodyText"/>
      </w:pPr>
      <w:r>
        <w:t xml:space="preserve">The combined APRA–SR panel includes </w:t>
      </w:r>
      <w:r w:rsidRPr="00B3644B">
        <w:t>1316</w:t>
      </w:r>
      <w:r>
        <w:t xml:space="preserve"> fund–year observations. All analysis except the work on pass through </w:t>
      </w:r>
      <w:r w:rsidR="00CE432F">
        <w:t xml:space="preserve">(which requires the fees data) </w:t>
      </w:r>
      <w:r>
        <w:t>is based on the larger APRA panel.</w:t>
      </w:r>
    </w:p>
    <w:p w:rsidR="007909A7" w:rsidRDefault="007909A7" w:rsidP="007909A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909A7" w:rsidTr="002B50D5">
        <w:trPr>
          <w:tblHeader/>
        </w:trPr>
        <w:tc>
          <w:tcPr>
            <w:tcW w:w="5000" w:type="pct"/>
            <w:tcBorders>
              <w:top w:val="single" w:sz="6" w:space="0" w:color="78A22F"/>
              <w:left w:val="nil"/>
              <w:bottom w:val="nil"/>
              <w:right w:val="nil"/>
            </w:tcBorders>
            <w:shd w:val="clear" w:color="auto" w:fill="auto"/>
          </w:tcPr>
          <w:p w:rsidR="007909A7" w:rsidRDefault="007909A7" w:rsidP="002B50D5">
            <w:pPr>
              <w:pStyle w:val="TableTitle"/>
              <w:rPr>
                <w:rStyle w:val="NoteLabel"/>
                <w:b/>
              </w:rPr>
            </w:pPr>
            <w:r>
              <w:rPr>
                <w:b w:val="0"/>
              </w:rPr>
              <w:t xml:space="preserve">Table </w:t>
            </w:r>
            <w:bookmarkStart w:id="11" w:name="OLE_LINK9"/>
            <w:r w:rsidR="004325AA">
              <w:rPr>
                <w:b w:val="0"/>
                <w:noProof/>
              </w:rPr>
              <w:t>2</w:t>
            </w:r>
            <w:bookmarkEnd w:id="11"/>
            <w:r>
              <w:tab/>
              <w:t xml:space="preserve">Funds captured in the </w:t>
            </w:r>
            <w:r w:rsidR="006B3CC2">
              <w:t>panel built from APRA</w:t>
            </w:r>
            <w:r>
              <w:t xml:space="preserve"> data</w:t>
            </w:r>
            <w:r w:rsidRPr="00DF3CD4">
              <w:rPr>
                <w:rStyle w:val="NoteLabel"/>
                <w:b/>
              </w:rPr>
              <w:t>a</w:t>
            </w:r>
            <w:r w:rsidR="0049332F">
              <w:rPr>
                <w:rStyle w:val="NoteLabel"/>
                <w:b/>
              </w:rPr>
              <w:t>,b</w:t>
            </w:r>
          </w:p>
          <w:p w:rsidR="00A33B0C" w:rsidRPr="00784A05" w:rsidRDefault="00A33B0C" w:rsidP="00BF3706">
            <w:pPr>
              <w:pStyle w:val="Subtitle"/>
            </w:pPr>
            <w:r>
              <w:t>Number of funds</w:t>
            </w:r>
            <w:r w:rsidR="001B658C">
              <w:t xml:space="preserve"> by segment</w:t>
            </w:r>
            <w:r>
              <w:t>, 2004–</w:t>
            </w:r>
            <w:r w:rsidR="00CE432F">
              <w:t>20</w:t>
            </w:r>
            <w:r>
              <w:t>16</w:t>
            </w:r>
          </w:p>
        </w:tc>
      </w:tr>
      <w:tr w:rsidR="007909A7" w:rsidTr="002B50D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582"/>
              <w:gridCol w:w="1818"/>
            </w:tblGrid>
            <w:tr w:rsidR="007909A7" w:rsidTr="004D3DB9">
              <w:trPr>
                <w:tblHeader/>
              </w:trPr>
              <w:tc>
                <w:tcPr>
                  <w:tcW w:w="1001" w:type="pct"/>
                  <w:tcBorders>
                    <w:top w:val="single" w:sz="6" w:space="0" w:color="BFBFBF"/>
                    <w:bottom w:val="single" w:sz="6" w:space="0" w:color="BFBFBF"/>
                  </w:tcBorders>
                  <w:shd w:val="clear" w:color="auto" w:fill="auto"/>
                  <w:tcMar>
                    <w:top w:w="28" w:type="dxa"/>
                  </w:tcMar>
                </w:tcPr>
                <w:p w:rsidR="007909A7" w:rsidRDefault="00971B3A" w:rsidP="002B50D5">
                  <w:pPr>
                    <w:pStyle w:val="TableColumnHeading"/>
                    <w:jc w:val="left"/>
                  </w:pPr>
                  <w:r>
                    <w:br/>
                  </w:r>
                  <w:r w:rsidR="007909A7">
                    <w:t>Segment</w:t>
                  </w:r>
                </w:p>
              </w:tc>
              <w:tc>
                <w:tcPr>
                  <w:tcW w:w="1000" w:type="pct"/>
                  <w:tcBorders>
                    <w:top w:val="single" w:sz="6" w:space="0" w:color="BFBFBF"/>
                    <w:bottom w:val="single" w:sz="6" w:space="0" w:color="BFBFBF"/>
                  </w:tcBorders>
                </w:tcPr>
                <w:p w:rsidR="007909A7" w:rsidRDefault="00971B3A" w:rsidP="002B50D5">
                  <w:pPr>
                    <w:pStyle w:val="TableColumnHeading"/>
                  </w:pPr>
                  <w:r>
                    <w:br/>
                  </w:r>
                  <w:r w:rsidR="007909A7">
                    <w:t>2004</w:t>
                  </w:r>
                  <w:r w:rsidR="00F640C8">
                    <w:noBreakHyphen/>
                  </w:r>
                  <w:r w:rsidR="007909A7">
                    <w:t>05</w:t>
                  </w:r>
                </w:p>
              </w:tc>
              <w:tc>
                <w:tcPr>
                  <w:tcW w:w="1000" w:type="pct"/>
                  <w:tcBorders>
                    <w:top w:val="single" w:sz="6" w:space="0" w:color="BFBFBF"/>
                    <w:bottom w:val="single" w:sz="6" w:space="0" w:color="BFBFBF"/>
                  </w:tcBorders>
                  <w:shd w:val="clear" w:color="auto" w:fill="auto"/>
                  <w:tcMar>
                    <w:top w:w="28" w:type="dxa"/>
                  </w:tcMar>
                </w:tcPr>
                <w:p w:rsidR="007909A7" w:rsidRDefault="00971B3A" w:rsidP="002B50D5">
                  <w:pPr>
                    <w:pStyle w:val="TableColumnHeading"/>
                  </w:pPr>
                  <w:r>
                    <w:br/>
                  </w:r>
                  <w:r w:rsidR="007909A7">
                    <w:t>2009</w:t>
                  </w:r>
                  <w:r w:rsidR="00F640C8">
                    <w:noBreakHyphen/>
                  </w:r>
                  <w:r w:rsidR="007909A7">
                    <w:t>10</w:t>
                  </w:r>
                </w:p>
              </w:tc>
              <w:tc>
                <w:tcPr>
                  <w:tcW w:w="930" w:type="pct"/>
                  <w:tcBorders>
                    <w:top w:val="single" w:sz="6" w:space="0" w:color="BFBFBF"/>
                    <w:bottom w:val="single" w:sz="6" w:space="0" w:color="BFBFBF"/>
                  </w:tcBorders>
                </w:tcPr>
                <w:p w:rsidR="007909A7" w:rsidRDefault="00971B3A" w:rsidP="002B50D5">
                  <w:pPr>
                    <w:pStyle w:val="TableColumnHeading"/>
                    <w:ind w:right="28"/>
                  </w:pPr>
                  <w:r>
                    <w:br/>
                  </w:r>
                  <w:r w:rsidR="007909A7">
                    <w:t>201</w:t>
                  </w:r>
                  <w:r w:rsidR="009B5CBD">
                    <w:t>5</w:t>
                  </w:r>
                  <w:r w:rsidR="00F640C8">
                    <w:noBreakHyphen/>
                  </w:r>
                  <w:r w:rsidR="007909A7">
                    <w:t>1</w:t>
                  </w:r>
                  <w:r w:rsidR="009B5CBD">
                    <w:t>6</w:t>
                  </w:r>
                </w:p>
              </w:tc>
              <w:tc>
                <w:tcPr>
                  <w:tcW w:w="1069" w:type="pct"/>
                  <w:tcBorders>
                    <w:top w:val="single" w:sz="6" w:space="0" w:color="BFBFBF"/>
                    <w:bottom w:val="single" w:sz="6" w:space="0" w:color="BFBFBF"/>
                  </w:tcBorders>
                  <w:shd w:val="clear" w:color="auto" w:fill="auto"/>
                  <w:tcMar>
                    <w:top w:w="28" w:type="dxa"/>
                  </w:tcMar>
                </w:tcPr>
                <w:p w:rsidR="007909A7" w:rsidRDefault="00971B3A" w:rsidP="006E6307">
                  <w:pPr>
                    <w:pStyle w:val="TableColumnHeading"/>
                    <w:ind w:right="28"/>
                  </w:pPr>
                  <w:r>
                    <w:t xml:space="preserve">Number of unique funds in the </w:t>
                  </w:r>
                  <w:r w:rsidR="007909A7">
                    <w:t>sample</w:t>
                  </w:r>
                  <w:r w:rsidR="006E6307" w:rsidRPr="004A16A8">
                    <w:rPr>
                      <w:rStyle w:val="NoteLabel"/>
                    </w:rPr>
                    <w:t>c</w:t>
                  </w:r>
                </w:p>
              </w:tc>
            </w:tr>
            <w:tr w:rsidR="007909A7" w:rsidTr="004D3DB9">
              <w:tc>
                <w:tcPr>
                  <w:tcW w:w="1001" w:type="pct"/>
                  <w:tcBorders>
                    <w:top w:val="single" w:sz="6" w:space="0" w:color="BFBFBF"/>
                  </w:tcBorders>
                  <w:shd w:val="clear" w:color="auto" w:fill="F2F2F2" w:themeFill="background1" w:themeFillShade="F2"/>
                </w:tcPr>
                <w:p w:rsidR="007909A7" w:rsidRPr="00BA0DB4" w:rsidRDefault="007909A7" w:rsidP="002B50D5">
                  <w:pPr>
                    <w:pStyle w:val="TableUnitsRow"/>
                    <w:jc w:val="left"/>
                    <w:rPr>
                      <w:b/>
                    </w:rPr>
                  </w:pPr>
                  <w:r>
                    <w:rPr>
                      <w:b/>
                    </w:rPr>
                    <w:t>Funds captured</w:t>
                  </w:r>
                </w:p>
              </w:tc>
              <w:tc>
                <w:tcPr>
                  <w:tcW w:w="1000" w:type="pct"/>
                  <w:tcBorders>
                    <w:top w:val="single" w:sz="6" w:space="0" w:color="BFBFBF"/>
                  </w:tcBorders>
                  <w:shd w:val="clear" w:color="auto" w:fill="F2F2F2" w:themeFill="background1" w:themeFillShade="F2"/>
                </w:tcPr>
                <w:p w:rsidR="007909A7" w:rsidRDefault="007909A7" w:rsidP="002B50D5">
                  <w:pPr>
                    <w:pStyle w:val="TableUnitsRow"/>
                  </w:pPr>
                </w:p>
              </w:tc>
              <w:tc>
                <w:tcPr>
                  <w:tcW w:w="1000" w:type="pct"/>
                  <w:tcBorders>
                    <w:top w:val="single" w:sz="6" w:space="0" w:color="BFBFBF"/>
                  </w:tcBorders>
                  <w:shd w:val="clear" w:color="auto" w:fill="F2F2F2" w:themeFill="background1" w:themeFillShade="F2"/>
                </w:tcPr>
                <w:p w:rsidR="007909A7" w:rsidRDefault="007909A7" w:rsidP="002B50D5">
                  <w:pPr>
                    <w:pStyle w:val="TableUnitsRow"/>
                  </w:pPr>
                </w:p>
              </w:tc>
              <w:tc>
                <w:tcPr>
                  <w:tcW w:w="930" w:type="pct"/>
                  <w:tcBorders>
                    <w:top w:val="single" w:sz="6" w:space="0" w:color="BFBFBF"/>
                  </w:tcBorders>
                  <w:shd w:val="clear" w:color="auto" w:fill="F2F2F2" w:themeFill="background1" w:themeFillShade="F2"/>
                </w:tcPr>
                <w:p w:rsidR="007909A7" w:rsidRDefault="007909A7" w:rsidP="002B50D5">
                  <w:pPr>
                    <w:pStyle w:val="TableUnitsRow"/>
                    <w:ind w:right="28"/>
                  </w:pPr>
                </w:p>
              </w:tc>
              <w:tc>
                <w:tcPr>
                  <w:tcW w:w="1069" w:type="pct"/>
                  <w:tcBorders>
                    <w:top w:val="single" w:sz="6" w:space="0" w:color="BFBFBF"/>
                  </w:tcBorders>
                  <w:shd w:val="clear" w:color="auto" w:fill="F2F2F2" w:themeFill="background1" w:themeFillShade="F2"/>
                </w:tcPr>
                <w:p w:rsidR="007909A7" w:rsidRDefault="007909A7" w:rsidP="002B50D5">
                  <w:pPr>
                    <w:pStyle w:val="TableUnitsRow"/>
                    <w:ind w:right="28"/>
                  </w:pPr>
                </w:p>
              </w:tc>
            </w:tr>
            <w:tr w:rsidR="009B5CBD" w:rsidTr="001B2793">
              <w:tc>
                <w:tcPr>
                  <w:tcW w:w="1001" w:type="pct"/>
                  <w:tcBorders>
                    <w:top w:val="single" w:sz="6" w:space="0" w:color="BFBFBF"/>
                  </w:tcBorders>
                </w:tcPr>
                <w:p w:rsidR="009B5CBD" w:rsidRDefault="009B5CBD" w:rsidP="009B5CBD">
                  <w:pPr>
                    <w:pStyle w:val="TableUnitsRow"/>
                    <w:jc w:val="left"/>
                  </w:pPr>
                  <w:r>
                    <w:t>Corporate</w:t>
                  </w:r>
                </w:p>
              </w:tc>
              <w:tc>
                <w:tcPr>
                  <w:tcW w:w="1000" w:type="pct"/>
                  <w:tcBorders>
                    <w:top w:val="single" w:sz="6" w:space="0" w:color="BFBFBF"/>
                  </w:tcBorders>
                  <w:vAlign w:val="center"/>
                </w:tcPr>
                <w:p w:rsidR="009B5CBD" w:rsidRDefault="009B5CBD" w:rsidP="009B5CBD">
                  <w:pPr>
                    <w:pStyle w:val="TableUnitsRow"/>
                  </w:pPr>
                  <w:r w:rsidRPr="00C71513">
                    <w:t>181</w:t>
                  </w:r>
                </w:p>
              </w:tc>
              <w:tc>
                <w:tcPr>
                  <w:tcW w:w="1000" w:type="pct"/>
                  <w:tcBorders>
                    <w:top w:val="single" w:sz="6" w:space="0" w:color="BFBFBF"/>
                  </w:tcBorders>
                  <w:vAlign w:val="center"/>
                </w:tcPr>
                <w:p w:rsidR="009B5CBD" w:rsidRDefault="009B5CBD" w:rsidP="009B5CBD">
                  <w:pPr>
                    <w:pStyle w:val="TableUnitsRow"/>
                  </w:pPr>
                  <w:r w:rsidRPr="00C71513">
                    <w:t>74</w:t>
                  </w:r>
                </w:p>
              </w:tc>
              <w:tc>
                <w:tcPr>
                  <w:tcW w:w="930" w:type="pct"/>
                  <w:tcBorders>
                    <w:top w:val="single" w:sz="6" w:space="0" w:color="BFBFBF"/>
                  </w:tcBorders>
                  <w:vAlign w:val="center"/>
                </w:tcPr>
                <w:p w:rsidR="009B5CBD" w:rsidRDefault="009B5CBD" w:rsidP="001B2793">
                  <w:pPr>
                    <w:pStyle w:val="TableUnitsRow"/>
                  </w:pPr>
                  <w:r w:rsidRPr="00C71513">
                    <w:t>27</w:t>
                  </w:r>
                </w:p>
              </w:tc>
              <w:tc>
                <w:tcPr>
                  <w:tcW w:w="1069" w:type="pct"/>
                  <w:tcBorders>
                    <w:top w:val="single" w:sz="6" w:space="0" w:color="BFBFBF"/>
                  </w:tcBorders>
                  <w:vAlign w:val="center"/>
                </w:tcPr>
                <w:p w:rsidR="009B5CBD" w:rsidRDefault="00A0341E" w:rsidP="001B2793">
                  <w:pPr>
                    <w:pStyle w:val="TableBodyText"/>
                  </w:pPr>
                  <w:r>
                    <w:t>138</w:t>
                  </w:r>
                </w:p>
              </w:tc>
            </w:tr>
            <w:tr w:rsidR="009B5CBD" w:rsidTr="001B2793">
              <w:tc>
                <w:tcPr>
                  <w:tcW w:w="1001" w:type="pct"/>
                </w:tcPr>
                <w:p w:rsidR="009B5CBD" w:rsidRDefault="009B5CBD" w:rsidP="00C71513">
                  <w:pPr>
                    <w:pStyle w:val="TableUnitsRow"/>
                    <w:jc w:val="left"/>
                  </w:pPr>
                  <w:r>
                    <w:t>Industry</w:t>
                  </w:r>
                </w:p>
              </w:tc>
              <w:tc>
                <w:tcPr>
                  <w:tcW w:w="1000" w:type="pct"/>
                  <w:vAlign w:val="center"/>
                </w:tcPr>
                <w:p w:rsidR="009B5CBD" w:rsidRDefault="009B5CBD" w:rsidP="00C71513">
                  <w:pPr>
                    <w:pStyle w:val="TableUnitsRow"/>
                  </w:pPr>
                  <w:r w:rsidRPr="00C71513">
                    <w:t>67</w:t>
                  </w:r>
                </w:p>
              </w:tc>
              <w:tc>
                <w:tcPr>
                  <w:tcW w:w="1000" w:type="pct"/>
                  <w:vAlign w:val="center"/>
                </w:tcPr>
                <w:p w:rsidR="009B5CBD" w:rsidRDefault="009B5CBD" w:rsidP="00C71513">
                  <w:pPr>
                    <w:pStyle w:val="TableUnitsRow"/>
                  </w:pPr>
                  <w:r w:rsidRPr="00C71513">
                    <w:t>58</w:t>
                  </w:r>
                </w:p>
              </w:tc>
              <w:tc>
                <w:tcPr>
                  <w:tcW w:w="930" w:type="pct"/>
                  <w:vAlign w:val="center"/>
                </w:tcPr>
                <w:p w:rsidR="009B5CBD" w:rsidRDefault="009B5CBD" w:rsidP="001B2793">
                  <w:pPr>
                    <w:pStyle w:val="TableUnitsRow"/>
                  </w:pPr>
                  <w:r w:rsidRPr="00C71513">
                    <w:t>41</w:t>
                  </w:r>
                </w:p>
              </w:tc>
              <w:tc>
                <w:tcPr>
                  <w:tcW w:w="1069" w:type="pct"/>
                  <w:vAlign w:val="center"/>
                </w:tcPr>
                <w:p w:rsidR="009B5CBD" w:rsidRDefault="00A0341E" w:rsidP="001B2793">
                  <w:pPr>
                    <w:pStyle w:val="TableBodyText"/>
                  </w:pPr>
                  <w:r>
                    <w:t>65</w:t>
                  </w:r>
                </w:p>
              </w:tc>
            </w:tr>
            <w:tr w:rsidR="009B5CBD" w:rsidTr="001B2793">
              <w:tc>
                <w:tcPr>
                  <w:tcW w:w="1001" w:type="pct"/>
                  <w:shd w:val="clear" w:color="auto" w:fill="auto"/>
                </w:tcPr>
                <w:p w:rsidR="009B5CBD" w:rsidRDefault="009B5CBD" w:rsidP="00C71513">
                  <w:pPr>
                    <w:pStyle w:val="TableUnitsRow"/>
                    <w:jc w:val="left"/>
                  </w:pPr>
                  <w:r>
                    <w:t xml:space="preserve">Public </w:t>
                  </w:r>
                  <w:r w:rsidR="007608B4">
                    <w:t>sector</w:t>
                  </w:r>
                </w:p>
              </w:tc>
              <w:tc>
                <w:tcPr>
                  <w:tcW w:w="1000" w:type="pct"/>
                  <w:vAlign w:val="center"/>
                </w:tcPr>
                <w:p w:rsidR="009B5CBD" w:rsidRDefault="009B5CBD" w:rsidP="00C71513">
                  <w:pPr>
                    <w:pStyle w:val="TableUnitsRow"/>
                  </w:pPr>
                  <w:r w:rsidRPr="00C71513">
                    <w:t>21</w:t>
                  </w:r>
                </w:p>
              </w:tc>
              <w:tc>
                <w:tcPr>
                  <w:tcW w:w="1000" w:type="pct"/>
                  <w:shd w:val="clear" w:color="auto" w:fill="auto"/>
                  <w:vAlign w:val="center"/>
                </w:tcPr>
                <w:p w:rsidR="009B5CBD" w:rsidRDefault="009B5CBD" w:rsidP="00C71513">
                  <w:pPr>
                    <w:pStyle w:val="TableUnitsRow"/>
                  </w:pPr>
                  <w:r w:rsidRPr="00C71513">
                    <w:t>21</w:t>
                  </w:r>
                </w:p>
              </w:tc>
              <w:tc>
                <w:tcPr>
                  <w:tcW w:w="930" w:type="pct"/>
                  <w:vAlign w:val="center"/>
                </w:tcPr>
                <w:p w:rsidR="009B5CBD" w:rsidRDefault="009B5CBD" w:rsidP="001B2793">
                  <w:pPr>
                    <w:pStyle w:val="TableUnitsRow"/>
                  </w:pPr>
                  <w:r w:rsidRPr="00C71513">
                    <w:t>17</w:t>
                  </w:r>
                </w:p>
              </w:tc>
              <w:tc>
                <w:tcPr>
                  <w:tcW w:w="1069" w:type="pct"/>
                  <w:shd w:val="clear" w:color="auto" w:fill="auto"/>
                  <w:vAlign w:val="center"/>
                </w:tcPr>
                <w:p w:rsidR="009B5CBD" w:rsidRDefault="00A0341E" w:rsidP="001B2793">
                  <w:pPr>
                    <w:pStyle w:val="TableBodyText"/>
                  </w:pPr>
                  <w:r>
                    <w:t>23</w:t>
                  </w:r>
                </w:p>
              </w:tc>
            </w:tr>
            <w:tr w:rsidR="009B5CBD" w:rsidTr="001B2793">
              <w:tc>
                <w:tcPr>
                  <w:tcW w:w="1001" w:type="pct"/>
                  <w:shd w:val="clear" w:color="auto" w:fill="auto"/>
                </w:tcPr>
                <w:p w:rsidR="009B5CBD" w:rsidRDefault="009B5CBD" w:rsidP="00C71513">
                  <w:pPr>
                    <w:pStyle w:val="TableUnitsRow"/>
                    <w:jc w:val="left"/>
                  </w:pPr>
                  <w:r>
                    <w:t>Retail</w:t>
                  </w:r>
                </w:p>
              </w:tc>
              <w:tc>
                <w:tcPr>
                  <w:tcW w:w="1000" w:type="pct"/>
                  <w:vAlign w:val="center"/>
                </w:tcPr>
                <w:p w:rsidR="009B5CBD" w:rsidRDefault="009B5CBD" w:rsidP="00C71513">
                  <w:pPr>
                    <w:pStyle w:val="TableUnitsRow"/>
                  </w:pPr>
                  <w:r w:rsidRPr="00C71513">
                    <w:t>165</w:t>
                  </w:r>
                </w:p>
              </w:tc>
              <w:tc>
                <w:tcPr>
                  <w:tcW w:w="1000" w:type="pct"/>
                  <w:shd w:val="clear" w:color="auto" w:fill="auto"/>
                  <w:vAlign w:val="center"/>
                </w:tcPr>
                <w:p w:rsidR="009B5CBD" w:rsidRDefault="009B5CBD" w:rsidP="00C71513">
                  <w:pPr>
                    <w:pStyle w:val="TableUnitsRow"/>
                  </w:pPr>
                  <w:r w:rsidRPr="00C71513">
                    <w:t>170</w:t>
                  </w:r>
                </w:p>
              </w:tc>
              <w:tc>
                <w:tcPr>
                  <w:tcW w:w="930" w:type="pct"/>
                  <w:vAlign w:val="center"/>
                </w:tcPr>
                <w:p w:rsidR="009B5CBD" w:rsidRDefault="009B5CBD" w:rsidP="001B2793">
                  <w:pPr>
                    <w:pStyle w:val="TableUnitsRow"/>
                  </w:pPr>
                  <w:r w:rsidRPr="00C71513">
                    <w:t>115</w:t>
                  </w:r>
                </w:p>
              </w:tc>
              <w:tc>
                <w:tcPr>
                  <w:tcW w:w="1069" w:type="pct"/>
                  <w:shd w:val="clear" w:color="auto" w:fill="auto"/>
                  <w:vAlign w:val="center"/>
                </w:tcPr>
                <w:p w:rsidR="009B5CBD" w:rsidRDefault="00A0341E" w:rsidP="001B2793">
                  <w:pPr>
                    <w:pStyle w:val="TableBodyText"/>
                  </w:pPr>
                  <w:r>
                    <w:t>268</w:t>
                  </w:r>
                </w:p>
              </w:tc>
            </w:tr>
            <w:tr w:rsidR="007909A7" w:rsidTr="001B2793">
              <w:tc>
                <w:tcPr>
                  <w:tcW w:w="1001" w:type="pct"/>
                  <w:shd w:val="clear" w:color="auto" w:fill="auto"/>
                </w:tcPr>
                <w:p w:rsidR="007909A7" w:rsidRPr="00DF3CD4" w:rsidRDefault="007909A7" w:rsidP="002B50D5">
                  <w:pPr>
                    <w:pStyle w:val="TableBodyText"/>
                    <w:jc w:val="left"/>
                    <w:rPr>
                      <w:b/>
                    </w:rPr>
                  </w:pPr>
                  <w:r>
                    <w:rPr>
                      <w:b/>
                    </w:rPr>
                    <w:t>Sub</w:t>
                  </w:r>
                  <w:r w:rsidR="00F640C8">
                    <w:rPr>
                      <w:b/>
                    </w:rPr>
                    <w:noBreakHyphen/>
                  </w:r>
                  <w:r>
                    <w:rPr>
                      <w:b/>
                    </w:rPr>
                    <w:t>t</w:t>
                  </w:r>
                  <w:r w:rsidRPr="00DF3CD4">
                    <w:rPr>
                      <w:b/>
                    </w:rPr>
                    <w:t>otal</w:t>
                  </w:r>
                </w:p>
              </w:tc>
              <w:tc>
                <w:tcPr>
                  <w:tcW w:w="1000" w:type="pct"/>
                </w:tcPr>
                <w:p w:rsidR="007909A7" w:rsidRPr="00DF3CD4" w:rsidRDefault="009B5CBD" w:rsidP="002B50D5">
                  <w:pPr>
                    <w:pStyle w:val="TableBodyText"/>
                    <w:rPr>
                      <w:b/>
                    </w:rPr>
                  </w:pPr>
                  <w:r>
                    <w:rPr>
                      <w:b/>
                    </w:rPr>
                    <w:t>434</w:t>
                  </w:r>
                </w:p>
              </w:tc>
              <w:tc>
                <w:tcPr>
                  <w:tcW w:w="1000" w:type="pct"/>
                  <w:shd w:val="clear" w:color="auto" w:fill="auto"/>
                </w:tcPr>
                <w:p w:rsidR="007909A7" w:rsidRPr="00DF3CD4" w:rsidRDefault="009B5CBD" w:rsidP="009B5CBD">
                  <w:pPr>
                    <w:pStyle w:val="TableBodyText"/>
                    <w:rPr>
                      <w:b/>
                    </w:rPr>
                  </w:pPr>
                  <w:r>
                    <w:rPr>
                      <w:b/>
                    </w:rPr>
                    <w:t>323</w:t>
                  </w:r>
                </w:p>
              </w:tc>
              <w:tc>
                <w:tcPr>
                  <w:tcW w:w="930" w:type="pct"/>
                </w:tcPr>
                <w:p w:rsidR="007909A7" w:rsidRPr="00DF3CD4" w:rsidRDefault="009B5CBD" w:rsidP="001B2793">
                  <w:pPr>
                    <w:pStyle w:val="TableBodyText"/>
                    <w:rPr>
                      <w:b/>
                    </w:rPr>
                  </w:pPr>
                  <w:r>
                    <w:rPr>
                      <w:b/>
                    </w:rPr>
                    <w:t>200</w:t>
                  </w:r>
                </w:p>
              </w:tc>
              <w:tc>
                <w:tcPr>
                  <w:tcW w:w="1069" w:type="pct"/>
                  <w:shd w:val="clear" w:color="auto" w:fill="auto"/>
                  <w:vAlign w:val="center"/>
                </w:tcPr>
                <w:p w:rsidR="007909A7" w:rsidRPr="00DF3CD4" w:rsidRDefault="00A0341E" w:rsidP="001B2793">
                  <w:pPr>
                    <w:pStyle w:val="TableBodyText"/>
                    <w:rPr>
                      <w:b/>
                    </w:rPr>
                  </w:pPr>
                  <w:r>
                    <w:rPr>
                      <w:b/>
                    </w:rPr>
                    <w:t>494</w:t>
                  </w:r>
                </w:p>
              </w:tc>
            </w:tr>
            <w:tr w:rsidR="007909A7" w:rsidTr="001B2793">
              <w:tc>
                <w:tcPr>
                  <w:tcW w:w="2001" w:type="pct"/>
                  <w:gridSpan w:val="2"/>
                  <w:shd w:val="clear" w:color="auto" w:fill="F2F2F2" w:themeFill="background1" w:themeFillShade="F2"/>
                </w:tcPr>
                <w:p w:rsidR="007909A7" w:rsidRDefault="007909A7" w:rsidP="002B50D5">
                  <w:pPr>
                    <w:pStyle w:val="TableBodyText"/>
                    <w:jc w:val="left"/>
                  </w:pPr>
                  <w:r>
                    <w:rPr>
                      <w:b/>
                    </w:rPr>
                    <w:t>Funds not captured</w:t>
                  </w:r>
                </w:p>
              </w:tc>
              <w:tc>
                <w:tcPr>
                  <w:tcW w:w="1000" w:type="pct"/>
                  <w:shd w:val="clear" w:color="auto" w:fill="F2F2F2" w:themeFill="background1" w:themeFillShade="F2"/>
                </w:tcPr>
                <w:p w:rsidR="007909A7" w:rsidRDefault="007909A7" w:rsidP="002B50D5">
                  <w:pPr>
                    <w:pStyle w:val="TableBodyText"/>
                  </w:pPr>
                </w:p>
              </w:tc>
              <w:tc>
                <w:tcPr>
                  <w:tcW w:w="930" w:type="pct"/>
                  <w:shd w:val="clear" w:color="auto" w:fill="F2F2F2" w:themeFill="background1" w:themeFillShade="F2"/>
                </w:tcPr>
                <w:p w:rsidR="007909A7" w:rsidRDefault="007909A7" w:rsidP="001B2793">
                  <w:pPr>
                    <w:pStyle w:val="TableBodyText"/>
                  </w:pPr>
                </w:p>
              </w:tc>
              <w:tc>
                <w:tcPr>
                  <w:tcW w:w="1069" w:type="pct"/>
                  <w:shd w:val="clear" w:color="auto" w:fill="F2F2F2" w:themeFill="background1" w:themeFillShade="F2"/>
                  <w:vAlign w:val="center"/>
                </w:tcPr>
                <w:p w:rsidR="007909A7" w:rsidRDefault="007909A7" w:rsidP="001B2793">
                  <w:pPr>
                    <w:pStyle w:val="TableBodyText"/>
                  </w:pPr>
                </w:p>
              </w:tc>
            </w:tr>
            <w:tr w:rsidR="00296465" w:rsidTr="001B2793">
              <w:tc>
                <w:tcPr>
                  <w:tcW w:w="1001" w:type="pct"/>
                  <w:shd w:val="clear" w:color="auto" w:fill="auto"/>
                </w:tcPr>
                <w:p w:rsidR="00296465" w:rsidRDefault="00296465" w:rsidP="00C71513">
                  <w:pPr>
                    <w:pStyle w:val="TableUnitsRow"/>
                    <w:jc w:val="left"/>
                  </w:pPr>
                  <w:r>
                    <w:t>Corporate</w:t>
                  </w:r>
                </w:p>
              </w:tc>
              <w:tc>
                <w:tcPr>
                  <w:tcW w:w="1000" w:type="pct"/>
                  <w:vAlign w:val="center"/>
                </w:tcPr>
                <w:p w:rsidR="00296465" w:rsidRDefault="00296465" w:rsidP="00C71513">
                  <w:pPr>
                    <w:pStyle w:val="TableUnitsRow"/>
                  </w:pPr>
                  <w:r w:rsidRPr="00C71513">
                    <w:t>342</w:t>
                  </w:r>
                </w:p>
              </w:tc>
              <w:tc>
                <w:tcPr>
                  <w:tcW w:w="1000" w:type="pct"/>
                  <w:shd w:val="clear" w:color="auto" w:fill="auto"/>
                  <w:vAlign w:val="center"/>
                </w:tcPr>
                <w:p w:rsidR="00296465" w:rsidRDefault="00296465" w:rsidP="00C71513">
                  <w:pPr>
                    <w:pStyle w:val="TableUnitsRow"/>
                  </w:pPr>
                  <w:r w:rsidRPr="00C71513">
                    <w:t>1</w:t>
                  </w:r>
                </w:p>
              </w:tc>
              <w:tc>
                <w:tcPr>
                  <w:tcW w:w="930" w:type="pct"/>
                </w:tcPr>
                <w:p w:rsidR="00296465" w:rsidRDefault="00296465" w:rsidP="001B2793">
                  <w:pPr>
                    <w:pStyle w:val="TableUnitsRow"/>
                  </w:pPr>
                  <w:r>
                    <w:t>0</w:t>
                  </w:r>
                </w:p>
              </w:tc>
              <w:tc>
                <w:tcPr>
                  <w:tcW w:w="1069" w:type="pct"/>
                  <w:shd w:val="clear" w:color="auto" w:fill="auto"/>
                  <w:vAlign w:val="center"/>
                </w:tcPr>
                <w:p w:rsidR="00296465" w:rsidRDefault="00296465" w:rsidP="001B2793">
                  <w:pPr>
                    <w:pStyle w:val="TableBodyText"/>
                  </w:pPr>
                  <w:r>
                    <w:t>693</w:t>
                  </w:r>
                </w:p>
              </w:tc>
            </w:tr>
            <w:tr w:rsidR="00296465" w:rsidTr="001B2793">
              <w:tc>
                <w:tcPr>
                  <w:tcW w:w="1001" w:type="pct"/>
                  <w:shd w:val="clear" w:color="auto" w:fill="auto"/>
                </w:tcPr>
                <w:p w:rsidR="00296465" w:rsidRDefault="00296465" w:rsidP="00C71513">
                  <w:pPr>
                    <w:pStyle w:val="TableUnitsRow"/>
                    <w:jc w:val="left"/>
                  </w:pPr>
                  <w:r>
                    <w:t>Industry</w:t>
                  </w:r>
                </w:p>
              </w:tc>
              <w:tc>
                <w:tcPr>
                  <w:tcW w:w="1000" w:type="pct"/>
                  <w:vAlign w:val="center"/>
                </w:tcPr>
                <w:p w:rsidR="00296465" w:rsidRDefault="00296465" w:rsidP="00C71513">
                  <w:pPr>
                    <w:pStyle w:val="TableUnitsRow"/>
                  </w:pPr>
                  <w:r w:rsidRPr="00C71513">
                    <w:t>7</w:t>
                  </w:r>
                </w:p>
              </w:tc>
              <w:tc>
                <w:tcPr>
                  <w:tcW w:w="1000" w:type="pct"/>
                  <w:shd w:val="clear" w:color="auto" w:fill="auto"/>
                  <w:vAlign w:val="center"/>
                </w:tcPr>
                <w:p w:rsidR="00296465" w:rsidRDefault="00296465" w:rsidP="00C71513">
                  <w:pPr>
                    <w:pStyle w:val="TableUnitsRow"/>
                  </w:pPr>
                  <w:r w:rsidRPr="00C71513">
                    <w:t>1</w:t>
                  </w:r>
                </w:p>
              </w:tc>
              <w:tc>
                <w:tcPr>
                  <w:tcW w:w="930" w:type="pct"/>
                </w:tcPr>
                <w:p w:rsidR="00296465" w:rsidRDefault="00296465" w:rsidP="001B2793">
                  <w:pPr>
                    <w:pStyle w:val="TableUnitsRow"/>
                  </w:pPr>
                  <w:r>
                    <w:t>0</w:t>
                  </w:r>
                </w:p>
              </w:tc>
              <w:tc>
                <w:tcPr>
                  <w:tcW w:w="1069" w:type="pct"/>
                  <w:shd w:val="clear" w:color="auto" w:fill="auto"/>
                  <w:vAlign w:val="center"/>
                </w:tcPr>
                <w:p w:rsidR="00296465" w:rsidRDefault="00296465" w:rsidP="001B2793">
                  <w:pPr>
                    <w:pStyle w:val="TableBodyText"/>
                  </w:pPr>
                  <w:r>
                    <w:t>10</w:t>
                  </w:r>
                </w:p>
              </w:tc>
            </w:tr>
            <w:tr w:rsidR="00296465" w:rsidTr="001B2793">
              <w:tc>
                <w:tcPr>
                  <w:tcW w:w="1001" w:type="pct"/>
                  <w:shd w:val="clear" w:color="auto" w:fill="auto"/>
                </w:tcPr>
                <w:p w:rsidR="00296465" w:rsidRDefault="00296465" w:rsidP="00C71513">
                  <w:pPr>
                    <w:pStyle w:val="TableUnitsRow"/>
                    <w:jc w:val="left"/>
                  </w:pPr>
                  <w:r>
                    <w:t xml:space="preserve">Public </w:t>
                  </w:r>
                  <w:r w:rsidR="007608B4">
                    <w:t>sector</w:t>
                  </w:r>
                </w:p>
              </w:tc>
              <w:tc>
                <w:tcPr>
                  <w:tcW w:w="1000" w:type="pct"/>
                  <w:vAlign w:val="center"/>
                </w:tcPr>
                <w:p w:rsidR="00296465" w:rsidRDefault="00296465" w:rsidP="00C71513">
                  <w:pPr>
                    <w:pStyle w:val="TableUnitsRow"/>
                  </w:pPr>
                  <w:r w:rsidRPr="00C71513">
                    <w:t>5</w:t>
                  </w:r>
                </w:p>
              </w:tc>
              <w:tc>
                <w:tcPr>
                  <w:tcW w:w="1000" w:type="pct"/>
                  <w:shd w:val="clear" w:color="auto" w:fill="auto"/>
                  <w:vAlign w:val="center"/>
                </w:tcPr>
                <w:p w:rsidR="00296465" w:rsidRDefault="00296465" w:rsidP="00C71513">
                  <w:pPr>
                    <w:pStyle w:val="TableUnitsRow"/>
                  </w:pPr>
                  <w:r w:rsidRPr="00C71513">
                    <w:t>11</w:t>
                  </w:r>
                </w:p>
              </w:tc>
              <w:tc>
                <w:tcPr>
                  <w:tcW w:w="930" w:type="pct"/>
                </w:tcPr>
                <w:p w:rsidR="00296465" w:rsidRDefault="00296465" w:rsidP="001B2793">
                  <w:pPr>
                    <w:pStyle w:val="TableUnitsRow"/>
                  </w:pPr>
                  <w:r>
                    <w:t>1</w:t>
                  </w:r>
                </w:p>
              </w:tc>
              <w:tc>
                <w:tcPr>
                  <w:tcW w:w="1069" w:type="pct"/>
                  <w:shd w:val="clear" w:color="auto" w:fill="auto"/>
                  <w:vAlign w:val="center"/>
                </w:tcPr>
                <w:p w:rsidR="00296465" w:rsidRDefault="00296465" w:rsidP="001B2793">
                  <w:pPr>
                    <w:pStyle w:val="TableBodyText"/>
                  </w:pPr>
                  <w:r>
                    <w:t>7</w:t>
                  </w:r>
                </w:p>
              </w:tc>
            </w:tr>
            <w:tr w:rsidR="00296465" w:rsidTr="001B2793">
              <w:tc>
                <w:tcPr>
                  <w:tcW w:w="1001" w:type="pct"/>
                  <w:shd w:val="clear" w:color="auto" w:fill="auto"/>
                </w:tcPr>
                <w:p w:rsidR="00296465" w:rsidRDefault="00296465" w:rsidP="00C71513">
                  <w:pPr>
                    <w:pStyle w:val="TableUnitsRow"/>
                    <w:jc w:val="left"/>
                  </w:pPr>
                  <w:r>
                    <w:t>Retail</w:t>
                  </w:r>
                </w:p>
              </w:tc>
              <w:tc>
                <w:tcPr>
                  <w:tcW w:w="1000" w:type="pct"/>
                  <w:vAlign w:val="center"/>
                </w:tcPr>
                <w:p w:rsidR="00296465" w:rsidRDefault="00296465" w:rsidP="00C71513">
                  <w:pPr>
                    <w:pStyle w:val="TableUnitsRow"/>
                  </w:pPr>
                  <w:r w:rsidRPr="00C71513">
                    <w:t>68</w:t>
                  </w:r>
                </w:p>
              </w:tc>
              <w:tc>
                <w:tcPr>
                  <w:tcW w:w="1000" w:type="pct"/>
                  <w:shd w:val="clear" w:color="auto" w:fill="auto"/>
                  <w:vAlign w:val="center"/>
                </w:tcPr>
                <w:p w:rsidR="00296465" w:rsidRDefault="00296465" w:rsidP="00C71513">
                  <w:pPr>
                    <w:pStyle w:val="TableUnitsRow"/>
                  </w:pPr>
                  <w:r w:rsidRPr="00C71513">
                    <w:t>1</w:t>
                  </w:r>
                </w:p>
              </w:tc>
              <w:tc>
                <w:tcPr>
                  <w:tcW w:w="930" w:type="pct"/>
                </w:tcPr>
                <w:p w:rsidR="00296465" w:rsidRDefault="00296465" w:rsidP="001B2793">
                  <w:pPr>
                    <w:pStyle w:val="TableUnitsRow"/>
                  </w:pPr>
                  <w:r>
                    <w:t>7</w:t>
                  </w:r>
                </w:p>
              </w:tc>
              <w:tc>
                <w:tcPr>
                  <w:tcW w:w="1069" w:type="pct"/>
                  <w:shd w:val="clear" w:color="auto" w:fill="auto"/>
                  <w:vAlign w:val="center"/>
                </w:tcPr>
                <w:p w:rsidR="00296465" w:rsidRDefault="00296465" w:rsidP="001B2793">
                  <w:pPr>
                    <w:pStyle w:val="TableBodyText"/>
                  </w:pPr>
                  <w:r>
                    <w:t>201</w:t>
                  </w:r>
                </w:p>
              </w:tc>
            </w:tr>
            <w:tr w:rsidR="007909A7" w:rsidTr="001B2793">
              <w:tc>
                <w:tcPr>
                  <w:tcW w:w="1001" w:type="pct"/>
                  <w:shd w:val="clear" w:color="auto" w:fill="auto"/>
                </w:tcPr>
                <w:p w:rsidR="007909A7" w:rsidRPr="00DF3CD4" w:rsidRDefault="007909A7" w:rsidP="002B50D5">
                  <w:pPr>
                    <w:pStyle w:val="TableBodyText"/>
                    <w:jc w:val="left"/>
                    <w:rPr>
                      <w:b/>
                    </w:rPr>
                  </w:pPr>
                  <w:r>
                    <w:rPr>
                      <w:b/>
                    </w:rPr>
                    <w:t>Sub</w:t>
                  </w:r>
                  <w:r w:rsidR="00F640C8">
                    <w:rPr>
                      <w:b/>
                    </w:rPr>
                    <w:noBreakHyphen/>
                  </w:r>
                  <w:r>
                    <w:rPr>
                      <w:b/>
                    </w:rPr>
                    <w:t>t</w:t>
                  </w:r>
                  <w:r w:rsidRPr="00DF3CD4">
                    <w:rPr>
                      <w:b/>
                    </w:rPr>
                    <w:t>otal</w:t>
                  </w:r>
                </w:p>
              </w:tc>
              <w:tc>
                <w:tcPr>
                  <w:tcW w:w="1000" w:type="pct"/>
                </w:tcPr>
                <w:p w:rsidR="007909A7" w:rsidRPr="00DF3CD4" w:rsidRDefault="00296465" w:rsidP="002B50D5">
                  <w:pPr>
                    <w:pStyle w:val="TableBodyText"/>
                    <w:rPr>
                      <w:b/>
                    </w:rPr>
                  </w:pPr>
                  <w:r>
                    <w:rPr>
                      <w:b/>
                    </w:rPr>
                    <w:t>422</w:t>
                  </w:r>
                </w:p>
              </w:tc>
              <w:tc>
                <w:tcPr>
                  <w:tcW w:w="1000" w:type="pct"/>
                  <w:shd w:val="clear" w:color="auto" w:fill="auto"/>
                </w:tcPr>
                <w:p w:rsidR="007909A7" w:rsidRPr="00DF3CD4" w:rsidRDefault="00296465" w:rsidP="002B50D5">
                  <w:pPr>
                    <w:pStyle w:val="TableBodyText"/>
                    <w:rPr>
                      <w:b/>
                    </w:rPr>
                  </w:pPr>
                  <w:r>
                    <w:rPr>
                      <w:b/>
                    </w:rPr>
                    <w:t>14</w:t>
                  </w:r>
                </w:p>
              </w:tc>
              <w:tc>
                <w:tcPr>
                  <w:tcW w:w="930" w:type="pct"/>
                </w:tcPr>
                <w:p w:rsidR="007909A7" w:rsidRPr="00DF3CD4" w:rsidRDefault="00296465" w:rsidP="001B2793">
                  <w:pPr>
                    <w:pStyle w:val="TableBodyText"/>
                    <w:rPr>
                      <w:b/>
                    </w:rPr>
                  </w:pPr>
                  <w:r>
                    <w:rPr>
                      <w:b/>
                    </w:rPr>
                    <w:t>8</w:t>
                  </w:r>
                </w:p>
              </w:tc>
              <w:tc>
                <w:tcPr>
                  <w:tcW w:w="1069" w:type="pct"/>
                  <w:shd w:val="clear" w:color="auto" w:fill="auto"/>
                  <w:vAlign w:val="center"/>
                </w:tcPr>
                <w:p w:rsidR="007909A7" w:rsidRPr="00DF3CD4" w:rsidRDefault="00296465" w:rsidP="001B2793">
                  <w:pPr>
                    <w:pStyle w:val="TableBodyText"/>
                    <w:rPr>
                      <w:b/>
                    </w:rPr>
                  </w:pPr>
                  <w:r>
                    <w:rPr>
                      <w:b/>
                    </w:rPr>
                    <w:t>911</w:t>
                  </w:r>
                </w:p>
              </w:tc>
            </w:tr>
            <w:tr w:rsidR="007909A7" w:rsidTr="001B2793">
              <w:tc>
                <w:tcPr>
                  <w:tcW w:w="1001" w:type="pct"/>
                  <w:tcBorders>
                    <w:bottom w:val="single" w:sz="6" w:space="0" w:color="BFBFBF"/>
                  </w:tcBorders>
                  <w:shd w:val="clear" w:color="auto" w:fill="F2F2F2" w:themeFill="background1" w:themeFillShade="F2"/>
                </w:tcPr>
                <w:p w:rsidR="007909A7" w:rsidRDefault="007909A7" w:rsidP="002B50D5">
                  <w:pPr>
                    <w:pStyle w:val="TableBodyText"/>
                    <w:jc w:val="left"/>
                    <w:rPr>
                      <w:b/>
                    </w:rPr>
                  </w:pPr>
                  <w:r>
                    <w:rPr>
                      <w:b/>
                    </w:rPr>
                    <w:t>Overall total</w:t>
                  </w:r>
                </w:p>
              </w:tc>
              <w:tc>
                <w:tcPr>
                  <w:tcW w:w="1000" w:type="pct"/>
                  <w:tcBorders>
                    <w:bottom w:val="single" w:sz="6" w:space="0" w:color="BFBFBF"/>
                  </w:tcBorders>
                  <w:shd w:val="clear" w:color="auto" w:fill="F2F2F2" w:themeFill="background1" w:themeFillShade="F2"/>
                </w:tcPr>
                <w:p w:rsidR="007909A7" w:rsidRPr="00DF3CD4" w:rsidRDefault="00296465" w:rsidP="002B50D5">
                  <w:pPr>
                    <w:pStyle w:val="TableBodyText"/>
                    <w:rPr>
                      <w:b/>
                    </w:rPr>
                  </w:pPr>
                  <w:r>
                    <w:rPr>
                      <w:b/>
                    </w:rPr>
                    <w:t>856</w:t>
                  </w:r>
                </w:p>
              </w:tc>
              <w:tc>
                <w:tcPr>
                  <w:tcW w:w="1000" w:type="pct"/>
                  <w:tcBorders>
                    <w:bottom w:val="single" w:sz="6" w:space="0" w:color="BFBFBF"/>
                  </w:tcBorders>
                  <w:shd w:val="clear" w:color="auto" w:fill="F2F2F2" w:themeFill="background1" w:themeFillShade="F2"/>
                </w:tcPr>
                <w:p w:rsidR="007909A7" w:rsidRPr="00DF3CD4" w:rsidRDefault="007909A7" w:rsidP="002B50D5">
                  <w:pPr>
                    <w:pStyle w:val="TableBodyText"/>
                    <w:rPr>
                      <w:b/>
                    </w:rPr>
                  </w:pPr>
                  <w:r>
                    <w:rPr>
                      <w:b/>
                    </w:rPr>
                    <w:t>3</w:t>
                  </w:r>
                  <w:r w:rsidR="00296465">
                    <w:rPr>
                      <w:b/>
                    </w:rPr>
                    <w:t>37</w:t>
                  </w:r>
                </w:p>
              </w:tc>
              <w:tc>
                <w:tcPr>
                  <w:tcW w:w="930" w:type="pct"/>
                  <w:tcBorders>
                    <w:bottom w:val="single" w:sz="6" w:space="0" w:color="BFBFBF"/>
                  </w:tcBorders>
                  <w:shd w:val="clear" w:color="auto" w:fill="F2F2F2" w:themeFill="background1" w:themeFillShade="F2"/>
                </w:tcPr>
                <w:p w:rsidR="007909A7" w:rsidRPr="00DF3CD4" w:rsidRDefault="007909A7" w:rsidP="001B2793">
                  <w:pPr>
                    <w:pStyle w:val="TableBodyText"/>
                    <w:rPr>
                      <w:b/>
                    </w:rPr>
                  </w:pPr>
                  <w:r>
                    <w:rPr>
                      <w:b/>
                    </w:rPr>
                    <w:t>2</w:t>
                  </w:r>
                  <w:r w:rsidR="00296465">
                    <w:rPr>
                      <w:b/>
                    </w:rPr>
                    <w:t>08</w:t>
                  </w:r>
                </w:p>
              </w:tc>
              <w:tc>
                <w:tcPr>
                  <w:tcW w:w="1069" w:type="pct"/>
                  <w:tcBorders>
                    <w:bottom w:val="single" w:sz="6" w:space="0" w:color="BFBFBF"/>
                  </w:tcBorders>
                  <w:shd w:val="clear" w:color="auto" w:fill="F2F2F2" w:themeFill="background1" w:themeFillShade="F2"/>
                  <w:vAlign w:val="center"/>
                </w:tcPr>
                <w:p w:rsidR="007909A7" w:rsidRPr="00DF3CD4" w:rsidRDefault="00296465" w:rsidP="001B2793">
                  <w:pPr>
                    <w:pStyle w:val="TableBodyText"/>
                    <w:rPr>
                      <w:b/>
                    </w:rPr>
                  </w:pPr>
                  <w:r>
                    <w:rPr>
                      <w:b/>
                    </w:rPr>
                    <w:t>1</w:t>
                  </w:r>
                  <w:r w:rsidR="00F640C8">
                    <w:rPr>
                      <w:b/>
                    </w:rPr>
                    <w:t> </w:t>
                  </w:r>
                  <w:r>
                    <w:rPr>
                      <w:b/>
                    </w:rPr>
                    <w:t>469</w:t>
                  </w:r>
                </w:p>
              </w:tc>
            </w:tr>
          </w:tbl>
          <w:p w:rsidR="007909A7" w:rsidRDefault="007909A7" w:rsidP="002B50D5">
            <w:pPr>
              <w:pStyle w:val="Box"/>
            </w:pPr>
          </w:p>
        </w:tc>
      </w:tr>
      <w:tr w:rsidR="007909A7" w:rsidRPr="004D3DB9" w:rsidTr="002B50D5">
        <w:tc>
          <w:tcPr>
            <w:tcW w:w="5000" w:type="pct"/>
            <w:tcBorders>
              <w:top w:val="nil"/>
              <w:left w:val="nil"/>
              <w:bottom w:val="nil"/>
              <w:right w:val="nil"/>
            </w:tcBorders>
            <w:shd w:val="clear" w:color="auto" w:fill="auto"/>
          </w:tcPr>
          <w:p w:rsidR="007909A7" w:rsidRPr="004D3DB9" w:rsidRDefault="007909A7" w:rsidP="004D3DB9">
            <w:pPr>
              <w:pStyle w:val="Note"/>
              <w:rPr>
                <w:i/>
                <w:spacing w:val="-2"/>
              </w:rPr>
            </w:pPr>
            <w:r w:rsidRPr="004D3DB9">
              <w:rPr>
                <w:rStyle w:val="NoteLabel"/>
                <w:spacing w:val="-2"/>
              </w:rPr>
              <w:t>a</w:t>
            </w:r>
            <w:r w:rsidRPr="004D3DB9">
              <w:rPr>
                <w:spacing w:val="-2"/>
              </w:rPr>
              <w:t xml:space="preserve"> Eligible rollover funds (which hold lost super) and risk</w:t>
            </w:r>
            <w:r w:rsidR="00F640C8">
              <w:rPr>
                <w:spacing w:val="-2"/>
              </w:rPr>
              <w:noBreakHyphen/>
            </w:r>
            <w:r w:rsidRPr="004D3DB9">
              <w:rPr>
                <w:spacing w:val="-2"/>
              </w:rPr>
              <w:t>only superannuation funds (which only offer insurance) are excluded from th</w:t>
            </w:r>
            <w:r w:rsidR="006866FE" w:rsidRPr="004D3DB9">
              <w:rPr>
                <w:spacing w:val="-2"/>
              </w:rPr>
              <w:t>is table</w:t>
            </w:r>
            <w:r w:rsidRPr="004D3DB9">
              <w:rPr>
                <w:spacing w:val="-2"/>
              </w:rPr>
              <w:t>.</w:t>
            </w:r>
            <w:r w:rsidR="0049332F" w:rsidRPr="004D3DB9">
              <w:rPr>
                <w:spacing w:val="-2"/>
              </w:rPr>
              <w:t> </w:t>
            </w:r>
            <w:r w:rsidR="0049332F" w:rsidRPr="004D3DB9">
              <w:rPr>
                <w:rStyle w:val="NoteLabel"/>
                <w:spacing w:val="-2"/>
              </w:rPr>
              <w:t>b</w:t>
            </w:r>
            <w:r w:rsidR="0049332F" w:rsidRPr="004D3DB9">
              <w:rPr>
                <w:spacing w:val="-2"/>
              </w:rPr>
              <w:t xml:space="preserve"> </w:t>
            </w:r>
            <w:r w:rsidR="00690E47" w:rsidRPr="004D3DB9">
              <w:rPr>
                <w:spacing w:val="-2"/>
              </w:rPr>
              <w:t>The</w:t>
            </w:r>
            <w:r w:rsidR="00690E47" w:rsidRPr="004D3DB9" w:rsidDel="001D5C9D">
              <w:rPr>
                <w:spacing w:val="-2"/>
              </w:rPr>
              <w:t xml:space="preserve"> </w:t>
            </w:r>
            <w:r w:rsidR="00690E47" w:rsidRPr="004D3DB9">
              <w:rPr>
                <w:spacing w:val="-2"/>
              </w:rPr>
              <w:t xml:space="preserve">high number of funds not captured (911) </w:t>
            </w:r>
            <w:r w:rsidR="001D5C9D" w:rsidRPr="004D3DB9">
              <w:rPr>
                <w:spacing w:val="-2"/>
              </w:rPr>
              <w:t>relative to</w:t>
            </w:r>
            <w:r w:rsidR="00690E47" w:rsidRPr="004D3DB9">
              <w:rPr>
                <w:spacing w:val="-2"/>
              </w:rPr>
              <w:t xml:space="preserve"> the number of funds in the panel in 2004</w:t>
            </w:r>
            <w:r w:rsidR="00F640C8">
              <w:rPr>
                <w:spacing w:val="-2"/>
              </w:rPr>
              <w:noBreakHyphen/>
            </w:r>
            <w:r w:rsidR="00690E47" w:rsidRPr="004D3DB9">
              <w:rPr>
                <w:spacing w:val="-2"/>
              </w:rPr>
              <w:t xml:space="preserve">05 (856) reflects exits by funds that entered the system over the period but remained in operation for 2 or </w:t>
            </w:r>
            <w:r w:rsidR="001D5C9D" w:rsidRPr="004D3DB9">
              <w:rPr>
                <w:spacing w:val="-2"/>
              </w:rPr>
              <w:t>fewer</w:t>
            </w:r>
            <w:r w:rsidR="00690E47" w:rsidRPr="004D3DB9">
              <w:rPr>
                <w:spacing w:val="-2"/>
              </w:rPr>
              <w:t xml:space="preserve"> years.</w:t>
            </w:r>
            <w:r w:rsidR="006E6307" w:rsidRPr="004D3DB9">
              <w:rPr>
                <w:rStyle w:val="NoteLabel"/>
                <w:spacing w:val="-2"/>
              </w:rPr>
              <w:t xml:space="preserve"> c</w:t>
            </w:r>
            <w:r w:rsidR="006E6307" w:rsidRPr="004D3DB9">
              <w:rPr>
                <w:spacing w:val="-2"/>
              </w:rPr>
              <w:t xml:space="preserve"> Funds are counted based on their last recorded fund</w:t>
            </w:r>
            <w:r w:rsidR="00F640C8">
              <w:rPr>
                <w:spacing w:val="-2"/>
              </w:rPr>
              <w:noBreakHyphen/>
            </w:r>
            <w:r w:rsidR="006E6307" w:rsidRPr="004D3DB9">
              <w:rPr>
                <w:spacing w:val="-2"/>
              </w:rPr>
              <w:t>type</w:t>
            </w:r>
            <w:r w:rsidR="00997DB3" w:rsidRPr="004D3DB9">
              <w:rPr>
                <w:spacing w:val="-2"/>
              </w:rPr>
              <w:t>, as defined</w:t>
            </w:r>
            <w:r w:rsidR="004C40C6" w:rsidRPr="004D3DB9">
              <w:rPr>
                <w:spacing w:val="-2"/>
              </w:rPr>
              <w:t xml:space="preserve"> by APRA, many </w:t>
            </w:r>
            <w:r w:rsidR="004D3DB9" w:rsidRPr="004D3DB9">
              <w:rPr>
                <w:spacing w:val="-2"/>
              </w:rPr>
              <w:t>c</w:t>
            </w:r>
            <w:r w:rsidR="004C40C6" w:rsidRPr="004D3DB9">
              <w:rPr>
                <w:spacing w:val="-2"/>
              </w:rPr>
              <w:t>orporate funds in particular have changed their classification to retail over the sample period. Note that for modelling purposes each observation is included based on the recorded fund</w:t>
            </w:r>
            <w:r w:rsidR="004D3DB9" w:rsidRPr="004D3DB9">
              <w:rPr>
                <w:spacing w:val="-2"/>
              </w:rPr>
              <w:noBreakHyphen/>
            </w:r>
            <w:r w:rsidR="004C40C6" w:rsidRPr="004D3DB9">
              <w:rPr>
                <w:spacing w:val="-2"/>
              </w:rPr>
              <w:t>type at that date.</w:t>
            </w:r>
          </w:p>
        </w:tc>
      </w:tr>
      <w:tr w:rsidR="006723CF" w:rsidRPr="00176D3F" w:rsidTr="005D4BC3">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rsidR="006723CF" w:rsidRPr="00176D3F" w:rsidRDefault="006723CF" w:rsidP="005D4BC3">
            <w:pPr>
              <w:pStyle w:val="Source"/>
            </w:pPr>
            <w:r>
              <w:rPr>
                <w:i/>
              </w:rPr>
              <w:t>S</w:t>
            </w:r>
            <w:r w:rsidRPr="00784A05">
              <w:rPr>
                <w:i/>
              </w:rPr>
              <w:t>ource</w:t>
            </w:r>
            <w:r w:rsidRPr="00176D3F">
              <w:t xml:space="preserve">: </w:t>
            </w:r>
            <w:r>
              <w:rPr>
                <w:rFonts w:eastAsia="+mn-ea" w:cs="Arial"/>
                <w:color w:val="000000" w:themeColor="text1"/>
                <w:kern w:val="24"/>
                <w:szCs w:val="18"/>
              </w:rPr>
              <w:t xml:space="preserve">PC analysis of APRA </w:t>
            </w:r>
            <w:r w:rsidR="0018371D">
              <w:rPr>
                <w:rFonts w:eastAsia="+mn-ea" w:cs="Arial"/>
                <w:color w:val="000000" w:themeColor="text1"/>
                <w:kern w:val="24"/>
                <w:szCs w:val="18"/>
              </w:rPr>
              <w:t>data.</w:t>
            </w:r>
          </w:p>
        </w:tc>
      </w:tr>
      <w:tr w:rsidR="007909A7" w:rsidTr="002B50D5">
        <w:tc>
          <w:tcPr>
            <w:tcW w:w="5000" w:type="pct"/>
            <w:tcBorders>
              <w:top w:val="nil"/>
              <w:left w:val="nil"/>
              <w:bottom w:val="single" w:sz="6" w:space="0" w:color="78A22F"/>
              <w:right w:val="nil"/>
            </w:tcBorders>
            <w:shd w:val="clear" w:color="auto" w:fill="auto"/>
          </w:tcPr>
          <w:p w:rsidR="007909A7" w:rsidRDefault="007909A7" w:rsidP="002B50D5">
            <w:pPr>
              <w:pStyle w:val="Box"/>
              <w:spacing w:before="0" w:line="120" w:lineRule="exact"/>
            </w:pPr>
          </w:p>
        </w:tc>
      </w:tr>
      <w:tr w:rsidR="007909A7" w:rsidRPr="000863A5" w:rsidTr="002B50D5">
        <w:tc>
          <w:tcPr>
            <w:tcW w:w="5000" w:type="pct"/>
            <w:tcBorders>
              <w:top w:val="single" w:sz="6" w:space="0" w:color="78A22F"/>
              <w:left w:val="nil"/>
              <w:bottom w:val="nil"/>
              <w:right w:val="nil"/>
            </w:tcBorders>
          </w:tcPr>
          <w:p w:rsidR="007909A7" w:rsidRPr="00626D32" w:rsidRDefault="007909A7" w:rsidP="002B50D5">
            <w:pPr>
              <w:pStyle w:val="BoxSpaceBelow"/>
            </w:pPr>
          </w:p>
        </w:tc>
      </w:tr>
    </w:tbl>
    <w:p w:rsidR="00ED0AB7" w:rsidRDefault="00ED0AB7" w:rsidP="009F3C8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0AB7" w:rsidTr="009F3C8D">
        <w:trPr>
          <w:tblHeader/>
        </w:trPr>
        <w:tc>
          <w:tcPr>
            <w:tcW w:w="5000" w:type="pct"/>
            <w:tcBorders>
              <w:top w:val="single" w:sz="6" w:space="0" w:color="78A22F"/>
              <w:left w:val="nil"/>
              <w:bottom w:val="nil"/>
              <w:right w:val="nil"/>
            </w:tcBorders>
            <w:shd w:val="clear" w:color="auto" w:fill="auto"/>
          </w:tcPr>
          <w:p w:rsidR="00ED0AB7" w:rsidRDefault="00ED0AB7" w:rsidP="009F3C8D">
            <w:pPr>
              <w:pStyle w:val="TableTitle"/>
            </w:pPr>
            <w:r>
              <w:rPr>
                <w:b w:val="0"/>
              </w:rPr>
              <w:t xml:space="preserve">Table </w:t>
            </w:r>
            <w:bookmarkStart w:id="12" w:name="OLE_LINK2"/>
            <w:r w:rsidR="004325AA">
              <w:rPr>
                <w:b w:val="0"/>
                <w:noProof/>
              </w:rPr>
              <w:t>3</w:t>
            </w:r>
            <w:bookmarkEnd w:id="12"/>
            <w:r>
              <w:tab/>
              <w:t>Assets captured in the panel built from APRA data</w:t>
            </w:r>
            <w:r w:rsidR="0005176F" w:rsidRPr="0005176F">
              <w:rPr>
                <w:rStyle w:val="NoteLabel"/>
                <w:b/>
                <w:spacing w:val="-2"/>
              </w:rPr>
              <w:t>a</w:t>
            </w:r>
          </w:p>
          <w:p w:rsidR="00ED0AB7" w:rsidRPr="00784A05" w:rsidRDefault="00ED0AB7" w:rsidP="005A28D6">
            <w:pPr>
              <w:pStyle w:val="Subtitle"/>
            </w:pPr>
            <w:r>
              <w:t>Percentage of assets</w:t>
            </w:r>
            <w:r w:rsidDel="001B658C">
              <w:t xml:space="preserve"> </w:t>
            </w:r>
            <w:r w:rsidR="001B658C">
              <w:t>captured by segment</w:t>
            </w:r>
            <w:r w:rsidR="00A33B0C">
              <w:t>, 2004–</w:t>
            </w:r>
            <w:r w:rsidR="00971B3A">
              <w:t>20</w:t>
            </w:r>
            <w:r w:rsidR="00A33B0C">
              <w:t>16</w:t>
            </w:r>
          </w:p>
        </w:tc>
      </w:tr>
      <w:tr w:rsidR="00ED0AB7" w:rsidTr="009F3C8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ED0AB7" w:rsidTr="00CA3FA7">
              <w:trPr>
                <w:tblHeader/>
              </w:trPr>
              <w:tc>
                <w:tcPr>
                  <w:tcW w:w="1251" w:type="pct"/>
                  <w:tcBorders>
                    <w:top w:val="single" w:sz="6" w:space="0" w:color="BFBFBF"/>
                    <w:bottom w:val="single" w:sz="6" w:space="0" w:color="BFBFBF"/>
                  </w:tcBorders>
                  <w:shd w:val="clear" w:color="auto" w:fill="auto"/>
                  <w:tcMar>
                    <w:top w:w="28" w:type="dxa"/>
                  </w:tcMar>
                </w:tcPr>
                <w:p w:rsidR="00ED0AB7" w:rsidRDefault="00ED0AB7" w:rsidP="009F3C8D">
                  <w:pPr>
                    <w:pStyle w:val="TableColumnHeading"/>
                    <w:jc w:val="left"/>
                  </w:pPr>
                  <w:r>
                    <w:t>Segment</w:t>
                  </w:r>
                </w:p>
              </w:tc>
              <w:tc>
                <w:tcPr>
                  <w:tcW w:w="1250" w:type="pct"/>
                  <w:tcBorders>
                    <w:top w:val="single" w:sz="6" w:space="0" w:color="BFBFBF"/>
                    <w:bottom w:val="single" w:sz="6" w:space="0" w:color="BFBFBF"/>
                  </w:tcBorders>
                </w:tcPr>
                <w:p w:rsidR="00ED0AB7" w:rsidRDefault="00ED0AB7" w:rsidP="009F3C8D">
                  <w:pPr>
                    <w:pStyle w:val="TableColumnHeading"/>
                  </w:pPr>
                  <w:r>
                    <w:t>2004</w:t>
                  </w:r>
                  <w:r w:rsidR="00F640C8">
                    <w:noBreakHyphen/>
                  </w:r>
                  <w:r>
                    <w:t>05</w:t>
                  </w:r>
                </w:p>
              </w:tc>
              <w:tc>
                <w:tcPr>
                  <w:tcW w:w="1250" w:type="pct"/>
                  <w:tcBorders>
                    <w:top w:val="single" w:sz="6" w:space="0" w:color="BFBFBF"/>
                    <w:bottom w:val="single" w:sz="6" w:space="0" w:color="BFBFBF"/>
                  </w:tcBorders>
                  <w:shd w:val="clear" w:color="auto" w:fill="auto"/>
                  <w:tcMar>
                    <w:top w:w="28" w:type="dxa"/>
                  </w:tcMar>
                </w:tcPr>
                <w:p w:rsidR="00ED0AB7" w:rsidRDefault="00ED0AB7" w:rsidP="009F3C8D">
                  <w:pPr>
                    <w:pStyle w:val="TableColumnHeading"/>
                  </w:pPr>
                  <w:r>
                    <w:t>2009</w:t>
                  </w:r>
                  <w:r w:rsidR="00F640C8">
                    <w:noBreakHyphen/>
                  </w:r>
                  <w:r>
                    <w:t>10</w:t>
                  </w:r>
                </w:p>
              </w:tc>
              <w:tc>
                <w:tcPr>
                  <w:tcW w:w="1249" w:type="pct"/>
                  <w:tcBorders>
                    <w:top w:val="single" w:sz="6" w:space="0" w:color="BFBFBF"/>
                    <w:bottom w:val="single" w:sz="6" w:space="0" w:color="BFBFBF"/>
                  </w:tcBorders>
                  <w:shd w:val="clear" w:color="auto" w:fill="auto"/>
                  <w:tcMar>
                    <w:top w:w="28" w:type="dxa"/>
                  </w:tcMar>
                </w:tcPr>
                <w:p w:rsidR="00ED0AB7" w:rsidRDefault="00ED0AB7" w:rsidP="009F3C8D">
                  <w:pPr>
                    <w:pStyle w:val="TableColumnHeading"/>
                    <w:ind w:right="28"/>
                  </w:pPr>
                  <w:r>
                    <w:t>2015</w:t>
                  </w:r>
                  <w:r w:rsidR="00F640C8">
                    <w:noBreakHyphen/>
                  </w:r>
                  <w:r>
                    <w:t>16</w:t>
                  </w:r>
                </w:p>
              </w:tc>
            </w:tr>
            <w:tr w:rsidR="00ED0AB7" w:rsidTr="001B2793">
              <w:tc>
                <w:tcPr>
                  <w:tcW w:w="1251" w:type="pct"/>
                  <w:tcBorders>
                    <w:top w:val="single" w:sz="6" w:space="0" w:color="BFBFBF"/>
                  </w:tcBorders>
                </w:tcPr>
                <w:p w:rsidR="00ED0AB7" w:rsidRDefault="00ED0AB7" w:rsidP="009F3C8D">
                  <w:pPr>
                    <w:pStyle w:val="TableUnitsRow"/>
                    <w:jc w:val="left"/>
                  </w:pPr>
                  <w:r>
                    <w:t>Corporate</w:t>
                  </w:r>
                </w:p>
              </w:tc>
              <w:tc>
                <w:tcPr>
                  <w:tcW w:w="1250" w:type="pct"/>
                  <w:tcBorders>
                    <w:top w:val="single" w:sz="6" w:space="0" w:color="BFBFBF"/>
                  </w:tcBorders>
                </w:tcPr>
                <w:p w:rsidR="00ED0AB7" w:rsidRDefault="00ED0AB7" w:rsidP="009F3C8D">
                  <w:pPr>
                    <w:pStyle w:val="TableUnitsRow"/>
                  </w:pPr>
                  <w:r>
                    <w:t>75.5</w:t>
                  </w:r>
                </w:p>
              </w:tc>
              <w:tc>
                <w:tcPr>
                  <w:tcW w:w="1250" w:type="pct"/>
                  <w:tcBorders>
                    <w:top w:val="single" w:sz="6" w:space="0" w:color="BFBFBF"/>
                  </w:tcBorders>
                </w:tcPr>
                <w:p w:rsidR="00ED0AB7" w:rsidRDefault="00ED0AB7" w:rsidP="009F3C8D">
                  <w:pPr>
                    <w:pStyle w:val="TableUnitsRow"/>
                  </w:pPr>
                  <w:r>
                    <w:t>100</w:t>
                  </w:r>
                </w:p>
              </w:tc>
              <w:tc>
                <w:tcPr>
                  <w:tcW w:w="1249" w:type="pct"/>
                  <w:tcBorders>
                    <w:top w:val="single" w:sz="6" w:space="0" w:color="BFBFBF"/>
                  </w:tcBorders>
                  <w:vAlign w:val="center"/>
                </w:tcPr>
                <w:p w:rsidR="00ED0AB7" w:rsidRDefault="00ED0AB7" w:rsidP="001B2793">
                  <w:pPr>
                    <w:pStyle w:val="TableBodyText"/>
                  </w:pPr>
                  <w:r>
                    <w:t>100</w:t>
                  </w:r>
                </w:p>
              </w:tc>
            </w:tr>
            <w:tr w:rsidR="00ED0AB7" w:rsidTr="001B2793">
              <w:tc>
                <w:tcPr>
                  <w:tcW w:w="1251" w:type="pct"/>
                </w:tcPr>
                <w:p w:rsidR="00ED0AB7" w:rsidRDefault="00ED0AB7" w:rsidP="009F3C8D">
                  <w:pPr>
                    <w:pStyle w:val="TableBodyText"/>
                    <w:jc w:val="left"/>
                  </w:pPr>
                  <w:r>
                    <w:t>Industry</w:t>
                  </w:r>
                </w:p>
              </w:tc>
              <w:tc>
                <w:tcPr>
                  <w:tcW w:w="1250" w:type="pct"/>
                </w:tcPr>
                <w:p w:rsidR="00ED0AB7" w:rsidRDefault="00ED0AB7" w:rsidP="009F3C8D">
                  <w:pPr>
                    <w:pStyle w:val="TableBodyText"/>
                  </w:pPr>
                  <w:r>
                    <w:t>91.5</w:t>
                  </w:r>
                </w:p>
              </w:tc>
              <w:tc>
                <w:tcPr>
                  <w:tcW w:w="1250" w:type="pct"/>
                </w:tcPr>
                <w:p w:rsidR="00ED0AB7" w:rsidRDefault="00ED0AB7" w:rsidP="009F3C8D">
                  <w:pPr>
                    <w:pStyle w:val="TableBodyText"/>
                  </w:pPr>
                  <w:r>
                    <w:t>100</w:t>
                  </w:r>
                </w:p>
              </w:tc>
              <w:tc>
                <w:tcPr>
                  <w:tcW w:w="1249" w:type="pct"/>
                  <w:vAlign w:val="center"/>
                </w:tcPr>
                <w:p w:rsidR="00ED0AB7" w:rsidRDefault="00ED0AB7" w:rsidP="001B2793">
                  <w:pPr>
                    <w:pStyle w:val="TableBodyText"/>
                  </w:pPr>
                  <w:r>
                    <w:t>100</w:t>
                  </w:r>
                </w:p>
              </w:tc>
            </w:tr>
            <w:tr w:rsidR="00ED0AB7" w:rsidTr="001B2793">
              <w:tc>
                <w:tcPr>
                  <w:tcW w:w="1251" w:type="pct"/>
                  <w:shd w:val="clear" w:color="auto" w:fill="auto"/>
                </w:tcPr>
                <w:p w:rsidR="00ED0AB7" w:rsidRDefault="00ED0AB7" w:rsidP="009F3C8D">
                  <w:pPr>
                    <w:pStyle w:val="TableBodyText"/>
                    <w:jc w:val="left"/>
                  </w:pPr>
                  <w:r>
                    <w:t>Public Sector</w:t>
                  </w:r>
                </w:p>
              </w:tc>
              <w:tc>
                <w:tcPr>
                  <w:tcW w:w="1250" w:type="pct"/>
                </w:tcPr>
                <w:p w:rsidR="00ED0AB7" w:rsidRDefault="00ED0AB7" w:rsidP="009F3C8D">
                  <w:pPr>
                    <w:pStyle w:val="TableBodyText"/>
                  </w:pPr>
                  <w:r>
                    <w:t>99.7</w:t>
                  </w:r>
                </w:p>
              </w:tc>
              <w:tc>
                <w:tcPr>
                  <w:tcW w:w="1250" w:type="pct"/>
                  <w:shd w:val="clear" w:color="auto" w:fill="auto"/>
                </w:tcPr>
                <w:p w:rsidR="00ED0AB7" w:rsidRDefault="00ED0AB7" w:rsidP="009F3C8D">
                  <w:pPr>
                    <w:pStyle w:val="TableBodyText"/>
                  </w:pPr>
                  <w:r>
                    <w:t>100</w:t>
                  </w:r>
                </w:p>
              </w:tc>
              <w:tc>
                <w:tcPr>
                  <w:tcW w:w="1249" w:type="pct"/>
                  <w:shd w:val="clear" w:color="auto" w:fill="auto"/>
                  <w:vAlign w:val="center"/>
                </w:tcPr>
                <w:p w:rsidR="00ED0AB7" w:rsidRDefault="00ED0AB7" w:rsidP="001B2793">
                  <w:pPr>
                    <w:pStyle w:val="TableBodyText"/>
                  </w:pPr>
                  <w:r>
                    <w:t>100</w:t>
                  </w:r>
                </w:p>
              </w:tc>
            </w:tr>
            <w:tr w:rsidR="00ED0AB7" w:rsidTr="001B2793">
              <w:tc>
                <w:tcPr>
                  <w:tcW w:w="1251" w:type="pct"/>
                  <w:shd w:val="clear" w:color="auto" w:fill="auto"/>
                </w:tcPr>
                <w:p w:rsidR="00ED0AB7" w:rsidRDefault="00ED0AB7" w:rsidP="009F3C8D">
                  <w:pPr>
                    <w:pStyle w:val="TableBodyText"/>
                    <w:jc w:val="left"/>
                  </w:pPr>
                  <w:r>
                    <w:t>Retail</w:t>
                  </w:r>
                </w:p>
              </w:tc>
              <w:tc>
                <w:tcPr>
                  <w:tcW w:w="1250" w:type="pct"/>
                </w:tcPr>
                <w:p w:rsidR="00ED0AB7" w:rsidRDefault="00ED0AB7" w:rsidP="009F3C8D">
                  <w:pPr>
                    <w:pStyle w:val="TableBodyText"/>
                  </w:pPr>
                  <w:r>
                    <w:t>87.0</w:t>
                  </w:r>
                </w:p>
              </w:tc>
              <w:tc>
                <w:tcPr>
                  <w:tcW w:w="1250" w:type="pct"/>
                  <w:shd w:val="clear" w:color="auto" w:fill="auto"/>
                </w:tcPr>
                <w:p w:rsidR="00ED0AB7" w:rsidRDefault="00ED0AB7" w:rsidP="009F3C8D">
                  <w:pPr>
                    <w:pStyle w:val="TableBodyText"/>
                  </w:pPr>
                  <w:r>
                    <w:t>98.4</w:t>
                  </w:r>
                </w:p>
              </w:tc>
              <w:tc>
                <w:tcPr>
                  <w:tcW w:w="1249" w:type="pct"/>
                  <w:shd w:val="clear" w:color="auto" w:fill="auto"/>
                  <w:vAlign w:val="center"/>
                </w:tcPr>
                <w:p w:rsidR="00ED0AB7" w:rsidRDefault="00ED0AB7" w:rsidP="001B2793">
                  <w:pPr>
                    <w:pStyle w:val="TableBodyText"/>
                  </w:pPr>
                  <w:r>
                    <w:t>100</w:t>
                  </w:r>
                </w:p>
              </w:tc>
            </w:tr>
            <w:tr w:rsidR="00DC579E" w:rsidTr="001B2793">
              <w:tc>
                <w:tcPr>
                  <w:tcW w:w="1251" w:type="pct"/>
                  <w:tcBorders>
                    <w:bottom w:val="single" w:sz="6" w:space="0" w:color="BFBFBF"/>
                  </w:tcBorders>
                  <w:shd w:val="clear" w:color="auto" w:fill="auto"/>
                </w:tcPr>
                <w:p w:rsidR="00DC579E" w:rsidRPr="00BF3706" w:rsidRDefault="00DC579E" w:rsidP="009F3C8D">
                  <w:pPr>
                    <w:pStyle w:val="TableBodyText"/>
                    <w:jc w:val="left"/>
                    <w:rPr>
                      <w:b/>
                    </w:rPr>
                  </w:pPr>
                  <w:r w:rsidRPr="00BF3706">
                    <w:rPr>
                      <w:b/>
                    </w:rPr>
                    <w:t>Total</w:t>
                  </w:r>
                </w:p>
              </w:tc>
              <w:tc>
                <w:tcPr>
                  <w:tcW w:w="1250" w:type="pct"/>
                  <w:tcBorders>
                    <w:bottom w:val="single" w:sz="6" w:space="0" w:color="BFBFBF"/>
                  </w:tcBorders>
                </w:tcPr>
                <w:p w:rsidR="00DC579E" w:rsidRPr="00BF3706" w:rsidRDefault="00736369" w:rsidP="009F3C8D">
                  <w:pPr>
                    <w:pStyle w:val="TableBodyText"/>
                    <w:rPr>
                      <w:b/>
                    </w:rPr>
                  </w:pPr>
                  <w:r w:rsidRPr="00736369">
                    <w:rPr>
                      <w:b/>
                    </w:rPr>
                    <w:t>88.5</w:t>
                  </w:r>
                </w:p>
              </w:tc>
              <w:tc>
                <w:tcPr>
                  <w:tcW w:w="1250" w:type="pct"/>
                  <w:tcBorders>
                    <w:bottom w:val="single" w:sz="6" w:space="0" w:color="BFBFBF"/>
                  </w:tcBorders>
                  <w:shd w:val="clear" w:color="auto" w:fill="auto"/>
                </w:tcPr>
                <w:p w:rsidR="00DC579E" w:rsidRPr="00BF3706" w:rsidRDefault="00736369" w:rsidP="009F3C8D">
                  <w:pPr>
                    <w:pStyle w:val="TableBodyText"/>
                    <w:rPr>
                      <w:b/>
                    </w:rPr>
                  </w:pPr>
                  <w:r w:rsidRPr="00736369">
                    <w:rPr>
                      <w:b/>
                    </w:rPr>
                    <w:t>99.2</w:t>
                  </w:r>
                </w:p>
              </w:tc>
              <w:tc>
                <w:tcPr>
                  <w:tcW w:w="1249" w:type="pct"/>
                  <w:tcBorders>
                    <w:bottom w:val="single" w:sz="6" w:space="0" w:color="BFBFBF"/>
                  </w:tcBorders>
                  <w:shd w:val="clear" w:color="auto" w:fill="auto"/>
                  <w:vAlign w:val="center"/>
                </w:tcPr>
                <w:p w:rsidR="00DC579E" w:rsidRPr="00BF3706" w:rsidRDefault="00DC579E" w:rsidP="001B2793">
                  <w:pPr>
                    <w:pStyle w:val="TableBodyText"/>
                    <w:rPr>
                      <w:b/>
                    </w:rPr>
                  </w:pPr>
                  <w:r w:rsidRPr="00BF3706">
                    <w:rPr>
                      <w:b/>
                    </w:rPr>
                    <w:t>100</w:t>
                  </w:r>
                </w:p>
              </w:tc>
            </w:tr>
          </w:tbl>
          <w:p w:rsidR="00ED0AB7" w:rsidRDefault="00ED0AB7" w:rsidP="009F3C8D">
            <w:pPr>
              <w:pStyle w:val="Box"/>
            </w:pPr>
          </w:p>
        </w:tc>
      </w:tr>
      <w:tr w:rsidR="0005176F" w:rsidRPr="00176D3F" w:rsidTr="005D4BC3">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rsidR="0005176F" w:rsidRDefault="0005176F" w:rsidP="0005176F">
            <w:pPr>
              <w:pStyle w:val="Source"/>
              <w:rPr>
                <w:i/>
              </w:rPr>
            </w:pPr>
            <w:r w:rsidRPr="004D3DB9">
              <w:rPr>
                <w:rStyle w:val="NoteLabel"/>
                <w:spacing w:val="-2"/>
              </w:rPr>
              <w:t>a</w:t>
            </w:r>
            <w:r w:rsidRPr="004D3DB9">
              <w:rPr>
                <w:spacing w:val="-2"/>
              </w:rPr>
              <w:t xml:space="preserve"> </w:t>
            </w:r>
            <w:r>
              <w:rPr>
                <w:spacing w:val="-2"/>
              </w:rPr>
              <w:t xml:space="preserve">The denominator used for this table and </w:t>
            </w:r>
            <w:r w:rsidR="0023608F">
              <w:rPr>
                <w:spacing w:val="-2"/>
              </w:rPr>
              <w:t>other</w:t>
            </w:r>
            <w:r>
              <w:rPr>
                <w:spacing w:val="-2"/>
              </w:rPr>
              <w:t xml:space="preserve"> coverage metrics in th</w:t>
            </w:r>
            <w:r w:rsidR="0023608F">
              <w:rPr>
                <w:spacing w:val="-2"/>
              </w:rPr>
              <w:t>e</w:t>
            </w:r>
            <w:r>
              <w:rPr>
                <w:spacing w:val="-2"/>
              </w:rPr>
              <w:t xml:space="preserve"> paper (unless otherwise stated) </w:t>
            </w:r>
            <w:r w:rsidR="0023608F">
              <w:rPr>
                <w:spacing w:val="-2"/>
              </w:rPr>
              <w:t>is</w:t>
            </w:r>
            <w:r>
              <w:rPr>
                <w:spacing w:val="-2"/>
              </w:rPr>
              <w:t xml:space="preserve"> the sum of assets </w:t>
            </w:r>
            <w:r w:rsidR="0023608F">
              <w:rPr>
                <w:spacing w:val="-2"/>
              </w:rPr>
              <w:t>held by</w:t>
            </w:r>
            <w:r>
              <w:rPr>
                <w:spacing w:val="-2"/>
              </w:rPr>
              <w:t xml:space="preserve"> funds captured in the APRA fund</w:t>
            </w:r>
            <w:r w:rsidR="0023608F">
              <w:rPr>
                <w:spacing w:val="-2"/>
              </w:rPr>
              <w:noBreakHyphen/>
            </w:r>
            <w:r>
              <w:rPr>
                <w:spacing w:val="-2"/>
              </w:rPr>
              <w:t>level dataset.</w:t>
            </w:r>
          </w:p>
        </w:tc>
      </w:tr>
      <w:tr w:rsidR="006723CF" w:rsidRPr="00176D3F" w:rsidTr="005D4BC3">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rsidR="006723CF" w:rsidRPr="00176D3F" w:rsidRDefault="006723CF" w:rsidP="005D4BC3">
            <w:pPr>
              <w:pStyle w:val="Source"/>
            </w:pPr>
            <w:r>
              <w:rPr>
                <w:i/>
              </w:rPr>
              <w:t>S</w:t>
            </w:r>
            <w:r w:rsidRPr="00784A05">
              <w:rPr>
                <w:i/>
              </w:rPr>
              <w:t>ource</w:t>
            </w:r>
            <w:r w:rsidRPr="00176D3F">
              <w:t xml:space="preserve">: </w:t>
            </w:r>
            <w:r>
              <w:rPr>
                <w:rFonts w:eastAsia="+mn-ea" w:cs="Arial"/>
                <w:color w:val="000000" w:themeColor="text1"/>
                <w:kern w:val="24"/>
                <w:szCs w:val="18"/>
              </w:rPr>
              <w:t xml:space="preserve">PC analysis of APRA </w:t>
            </w:r>
            <w:r w:rsidR="0018371D" w:rsidRPr="0018371D">
              <w:rPr>
                <w:rFonts w:eastAsia="+mn-ea" w:cs="Arial"/>
                <w:color w:val="000000" w:themeColor="text1"/>
                <w:kern w:val="24"/>
                <w:szCs w:val="18"/>
              </w:rPr>
              <w:t>data.</w:t>
            </w:r>
          </w:p>
        </w:tc>
      </w:tr>
      <w:tr w:rsidR="00ED0AB7" w:rsidTr="009F3C8D">
        <w:tc>
          <w:tcPr>
            <w:tcW w:w="5000" w:type="pct"/>
            <w:tcBorders>
              <w:top w:val="nil"/>
              <w:left w:val="nil"/>
              <w:bottom w:val="single" w:sz="6" w:space="0" w:color="78A22F"/>
              <w:right w:val="nil"/>
            </w:tcBorders>
            <w:shd w:val="clear" w:color="auto" w:fill="auto"/>
          </w:tcPr>
          <w:p w:rsidR="00ED0AB7" w:rsidRDefault="00ED0AB7" w:rsidP="009F3C8D">
            <w:pPr>
              <w:pStyle w:val="Box"/>
              <w:spacing w:before="0" w:line="120" w:lineRule="exact"/>
            </w:pPr>
          </w:p>
        </w:tc>
      </w:tr>
      <w:tr w:rsidR="00ED0AB7" w:rsidRPr="000863A5" w:rsidTr="009F3C8D">
        <w:tc>
          <w:tcPr>
            <w:tcW w:w="5000" w:type="pct"/>
            <w:tcBorders>
              <w:top w:val="single" w:sz="6" w:space="0" w:color="78A22F"/>
              <w:left w:val="nil"/>
              <w:bottom w:val="nil"/>
              <w:right w:val="nil"/>
            </w:tcBorders>
          </w:tcPr>
          <w:p w:rsidR="00ED0AB7" w:rsidRPr="00626D32" w:rsidRDefault="00ED0AB7" w:rsidP="009F3C8D">
            <w:pPr>
              <w:pStyle w:val="BoxSpaceBelow"/>
            </w:pPr>
          </w:p>
        </w:tc>
      </w:tr>
    </w:tbl>
    <w:p w:rsidR="003E46B2" w:rsidRDefault="003E46B2" w:rsidP="003E46B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E46B2" w:rsidTr="00CA60A3">
        <w:trPr>
          <w:tblHeader/>
        </w:trPr>
        <w:tc>
          <w:tcPr>
            <w:tcW w:w="5000" w:type="pct"/>
            <w:tcBorders>
              <w:top w:val="single" w:sz="6" w:space="0" w:color="78A22F"/>
              <w:left w:val="nil"/>
              <w:bottom w:val="nil"/>
              <w:right w:val="nil"/>
            </w:tcBorders>
            <w:shd w:val="clear" w:color="auto" w:fill="auto"/>
          </w:tcPr>
          <w:p w:rsidR="001B658C" w:rsidRDefault="003E46B2" w:rsidP="003015A8">
            <w:pPr>
              <w:pStyle w:val="TableTitle"/>
            </w:pPr>
            <w:r>
              <w:rPr>
                <w:b w:val="0"/>
              </w:rPr>
              <w:t xml:space="preserve">Table </w:t>
            </w:r>
            <w:bookmarkStart w:id="13" w:name="OLE_LINK7"/>
            <w:r w:rsidR="004325AA">
              <w:rPr>
                <w:b w:val="0"/>
                <w:noProof/>
              </w:rPr>
              <w:t>4</w:t>
            </w:r>
            <w:bookmarkEnd w:id="13"/>
            <w:r>
              <w:tab/>
              <w:t xml:space="preserve">Funds captured by </w:t>
            </w:r>
            <w:r w:rsidR="003015A8">
              <w:t>SR fees data</w:t>
            </w:r>
          </w:p>
          <w:p w:rsidR="003E46B2" w:rsidRPr="00784A05" w:rsidRDefault="001B658C" w:rsidP="00BF3706">
            <w:pPr>
              <w:pStyle w:val="Subtitle"/>
            </w:pPr>
            <w:r>
              <w:t>Number of funds by segment, 2004–</w:t>
            </w:r>
            <w:r w:rsidR="00971B3A">
              <w:t>2016</w:t>
            </w:r>
          </w:p>
        </w:tc>
      </w:tr>
      <w:tr w:rsidR="003E46B2" w:rsidTr="00CA60A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3E46B2" w:rsidTr="00CA60A3">
              <w:trPr>
                <w:tblHeader/>
              </w:trPr>
              <w:tc>
                <w:tcPr>
                  <w:tcW w:w="1001" w:type="pct"/>
                  <w:tcBorders>
                    <w:top w:val="single" w:sz="6" w:space="0" w:color="BFBFBF"/>
                    <w:bottom w:val="single" w:sz="6" w:space="0" w:color="BFBFBF"/>
                  </w:tcBorders>
                  <w:shd w:val="clear" w:color="auto" w:fill="auto"/>
                  <w:tcMar>
                    <w:top w:w="28" w:type="dxa"/>
                  </w:tcMar>
                </w:tcPr>
                <w:p w:rsidR="003E46B2" w:rsidRDefault="00971B3A" w:rsidP="00CA60A3">
                  <w:pPr>
                    <w:pStyle w:val="TableColumnHeading"/>
                    <w:jc w:val="left"/>
                  </w:pPr>
                  <w:r>
                    <w:br/>
                  </w:r>
                  <w:r w:rsidR="003E46B2">
                    <w:t>Segment</w:t>
                  </w:r>
                </w:p>
              </w:tc>
              <w:tc>
                <w:tcPr>
                  <w:tcW w:w="1000" w:type="pct"/>
                  <w:tcBorders>
                    <w:top w:val="single" w:sz="6" w:space="0" w:color="BFBFBF"/>
                    <w:bottom w:val="single" w:sz="6" w:space="0" w:color="BFBFBF"/>
                  </w:tcBorders>
                </w:tcPr>
                <w:p w:rsidR="003E46B2" w:rsidRDefault="00971B3A" w:rsidP="00CA60A3">
                  <w:pPr>
                    <w:pStyle w:val="TableColumnHeading"/>
                  </w:pPr>
                  <w:r>
                    <w:br/>
                  </w:r>
                  <w:r w:rsidR="003E46B2">
                    <w:t>2004</w:t>
                  </w:r>
                  <w:r w:rsidR="00F640C8">
                    <w:noBreakHyphen/>
                  </w:r>
                  <w:r w:rsidR="003E46B2">
                    <w:t>05</w:t>
                  </w:r>
                </w:p>
              </w:tc>
              <w:tc>
                <w:tcPr>
                  <w:tcW w:w="1000" w:type="pct"/>
                  <w:tcBorders>
                    <w:top w:val="single" w:sz="6" w:space="0" w:color="BFBFBF"/>
                    <w:bottom w:val="single" w:sz="6" w:space="0" w:color="BFBFBF"/>
                  </w:tcBorders>
                  <w:shd w:val="clear" w:color="auto" w:fill="auto"/>
                  <w:tcMar>
                    <w:top w:w="28" w:type="dxa"/>
                  </w:tcMar>
                </w:tcPr>
                <w:p w:rsidR="003E46B2" w:rsidRDefault="00971B3A" w:rsidP="00CA60A3">
                  <w:pPr>
                    <w:pStyle w:val="TableColumnHeading"/>
                  </w:pPr>
                  <w:r>
                    <w:br/>
                  </w:r>
                  <w:r w:rsidR="003E46B2">
                    <w:t>2009</w:t>
                  </w:r>
                  <w:r w:rsidR="00F640C8">
                    <w:noBreakHyphen/>
                  </w:r>
                  <w:r w:rsidR="003E46B2">
                    <w:t>10</w:t>
                  </w:r>
                </w:p>
              </w:tc>
              <w:tc>
                <w:tcPr>
                  <w:tcW w:w="1000" w:type="pct"/>
                  <w:tcBorders>
                    <w:top w:val="single" w:sz="6" w:space="0" w:color="BFBFBF"/>
                    <w:bottom w:val="single" w:sz="6" w:space="0" w:color="BFBFBF"/>
                  </w:tcBorders>
                </w:tcPr>
                <w:p w:rsidR="003E46B2" w:rsidRDefault="00971B3A" w:rsidP="00CA60A3">
                  <w:pPr>
                    <w:pStyle w:val="TableColumnHeading"/>
                    <w:ind w:right="28"/>
                  </w:pPr>
                  <w:r>
                    <w:br/>
                  </w:r>
                  <w:r w:rsidR="003E46B2">
                    <w:t>201</w:t>
                  </w:r>
                  <w:r w:rsidR="003015A8">
                    <w:t>5</w:t>
                  </w:r>
                  <w:r w:rsidR="00F640C8">
                    <w:noBreakHyphen/>
                  </w:r>
                  <w:r w:rsidR="003E46B2">
                    <w:t>1</w:t>
                  </w:r>
                  <w:r w:rsidR="003015A8">
                    <w:t>6</w:t>
                  </w:r>
                </w:p>
              </w:tc>
              <w:tc>
                <w:tcPr>
                  <w:tcW w:w="999" w:type="pct"/>
                  <w:tcBorders>
                    <w:top w:val="single" w:sz="6" w:space="0" w:color="BFBFBF"/>
                    <w:bottom w:val="single" w:sz="6" w:space="0" w:color="BFBFBF"/>
                  </w:tcBorders>
                  <w:shd w:val="clear" w:color="auto" w:fill="auto"/>
                  <w:tcMar>
                    <w:top w:w="28" w:type="dxa"/>
                  </w:tcMar>
                </w:tcPr>
                <w:p w:rsidR="003E46B2" w:rsidRDefault="00971B3A" w:rsidP="00CA60A3">
                  <w:pPr>
                    <w:pStyle w:val="TableColumnHeading"/>
                    <w:ind w:right="28"/>
                  </w:pPr>
                  <w:r>
                    <w:t>Number of unique funds in the sample</w:t>
                  </w:r>
                </w:p>
              </w:tc>
            </w:tr>
            <w:tr w:rsidR="003E46B2" w:rsidTr="00CA60A3">
              <w:tc>
                <w:tcPr>
                  <w:tcW w:w="1001" w:type="pct"/>
                  <w:tcBorders>
                    <w:top w:val="single" w:sz="6" w:space="0" w:color="BFBFBF"/>
                  </w:tcBorders>
                </w:tcPr>
                <w:p w:rsidR="003E46B2" w:rsidRDefault="003E46B2" w:rsidP="00CA60A3">
                  <w:pPr>
                    <w:pStyle w:val="TableUnitsRow"/>
                    <w:jc w:val="left"/>
                  </w:pPr>
                  <w:r>
                    <w:t>Corporate</w:t>
                  </w:r>
                </w:p>
              </w:tc>
              <w:tc>
                <w:tcPr>
                  <w:tcW w:w="1000" w:type="pct"/>
                  <w:tcBorders>
                    <w:top w:val="single" w:sz="6" w:space="0" w:color="BFBFBF"/>
                  </w:tcBorders>
                </w:tcPr>
                <w:p w:rsidR="003E46B2" w:rsidRDefault="00AC7C28" w:rsidP="00CA60A3">
                  <w:pPr>
                    <w:pStyle w:val="TableUnitsRow"/>
                  </w:pPr>
                  <w:r>
                    <w:t>0</w:t>
                  </w:r>
                </w:p>
              </w:tc>
              <w:tc>
                <w:tcPr>
                  <w:tcW w:w="1000" w:type="pct"/>
                  <w:tcBorders>
                    <w:top w:val="single" w:sz="6" w:space="0" w:color="BFBFBF"/>
                  </w:tcBorders>
                </w:tcPr>
                <w:p w:rsidR="003E46B2" w:rsidRDefault="00AC7C28" w:rsidP="00CA60A3">
                  <w:pPr>
                    <w:pStyle w:val="TableUnitsRow"/>
                  </w:pPr>
                  <w:r>
                    <w:t>16</w:t>
                  </w:r>
                </w:p>
              </w:tc>
              <w:tc>
                <w:tcPr>
                  <w:tcW w:w="1000" w:type="pct"/>
                  <w:tcBorders>
                    <w:top w:val="single" w:sz="6" w:space="0" w:color="BFBFBF"/>
                  </w:tcBorders>
                </w:tcPr>
                <w:p w:rsidR="003E46B2" w:rsidRDefault="003E46B2" w:rsidP="00CA60A3">
                  <w:pPr>
                    <w:pStyle w:val="TableUnitsRow"/>
                    <w:ind w:right="28"/>
                  </w:pPr>
                  <w:r>
                    <w:t>12</w:t>
                  </w:r>
                </w:p>
              </w:tc>
              <w:tc>
                <w:tcPr>
                  <w:tcW w:w="999" w:type="pct"/>
                  <w:tcBorders>
                    <w:top w:val="single" w:sz="6" w:space="0" w:color="BFBFBF"/>
                  </w:tcBorders>
                </w:tcPr>
                <w:p w:rsidR="003E46B2" w:rsidRDefault="003E46B2" w:rsidP="00CA60A3">
                  <w:pPr>
                    <w:pStyle w:val="TableUnitsRow"/>
                    <w:ind w:right="28"/>
                  </w:pPr>
                  <w:r>
                    <w:t>16</w:t>
                  </w:r>
                </w:p>
              </w:tc>
            </w:tr>
            <w:tr w:rsidR="003E46B2" w:rsidTr="00CA60A3">
              <w:tc>
                <w:tcPr>
                  <w:tcW w:w="1001" w:type="pct"/>
                </w:tcPr>
                <w:p w:rsidR="003E46B2" w:rsidRDefault="003E46B2" w:rsidP="00CA60A3">
                  <w:pPr>
                    <w:pStyle w:val="TableBodyText"/>
                    <w:jc w:val="left"/>
                  </w:pPr>
                  <w:r>
                    <w:t>Industry</w:t>
                  </w:r>
                </w:p>
              </w:tc>
              <w:tc>
                <w:tcPr>
                  <w:tcW w:w="1000" w:type="pct"/>
                </w:tcPr>
                <w:p w:rsidR="003E46B2" w:rsidRDefault="00AC7C28" w:rsidP="00CA60A3">
                  <w:pPr>
                    <w:pStyle w:val="TableBodyText"/>
                  </w:pPr>
                  <w:r>
                    <w:t>20</w:t>
                  </w:r>
                </w:p>
              </w:tc>
              <w:tc>
                <w:tcPr>
                  <w:tcW w:w="1000" w:type="pct"/>
                </w:tcPr>
                <w:p w:rsidR="003E46B2" w:rsidRDefault="00AC7C28" w:rsidP="00CA60A3">
                  <w:pPr>
                    <w:pStyle w:val="TableBodyText"/>
                  </w:pPr>
                  <w:r>
                    <w:t>46</w:t>
                  </w:r>
                </w:p>
              </w:tc>
              <w:tc>
                <w:tcPr>
                  <w:tcW w:w="1000" w:type="pct"/>
                </w:tcPr>
                <w:p w:rsidR="003E46B2" w:rsidRDefault="00AC7C28" w:rsidP="00CA60A3">
                  <w:pPr>
                    <w:pStyle w:val="TableBodyText"/>
                    <w:ind w:right="28"/>
                  </w:pPr>
                  <w:r>
                    <w:t>41</w:t>
                  </w:r>
                </w:p>
              </w:tc>
              <w:tc>
                <w:tcPr>
                  <w:tcW w:w="999" w:type="pct"/>
                </w:tcPr>
                <w:p w:rsidR="003E46B2" w:rsidRDefault="00AC7C28" w:rsidP="00CA60A3">
                  <w:pPr>
                    <w:pStyle w:val="TableBodyText"/>
                    <w:ind w:right="28"/>
                  </w:pPr>
                  <w:r>
                    <w:t>50</w:t>
                  </w:r>
                </w:p>
              </w:tc>
            </w:tr>
            <w:tr w:rsidR="003E46B2" w:rsidTr="00CA60A3">
              <w:tc>
                <w:tcPr>
                  <w:tcW w:w="1001" w:type="pct"/>
                  <w:shd w:val="clear" w:color="auto" w:fill="auto"/>
                </w:tcPr>
                <w:p w:rsidR="003E46B2" w:rsidRDefault="003E46B2" w:rsidP="00CA60A3">
                  <w:pPr>
                    <w:pStyle w:val="TableBodyText"/>
                    <w:jc w:val="left"/>
                  </w:pPr>
                  <w:r>
                    <w:t>Public Segment</w:t>
                  </w:r>
                </w:p>
              </w:tc>
              <w:tc>
                <w:tcPr>
                  <w:tcW w:w="1000" w:type="pct"/>
                </w:tcPr>
                <w:p w:rsidR="003E46B2" w:rsidRDefault="00AC7C28" w:rsidP="00CA60A3">
                  <w:pPr>
                    <w:pStyle w:val="TableBodyText"/>
                  </w:pPr>
                  <w:r>
                    <w:t>3</w:t>
                  </w:r>
                </w:p>
              </w:tc>
              <w:tc>
                <w:tcPr>
                  <w:tcW w:w="1000" w:type="pct"/>
                  <w:shd w:val="clear" w:color="auto" w:fill="auto"/>
                </w:tcPr>
                <w:p w:rsidR="003E46B2" w:rsidRDefault="00AC7C28" w:rsidP="00CA60A3">
                  <w:pPr>
                    <w:pStyle w:val="TableBodyText"/>
                  </w:pPr>
                  <w:r>
                    <w:t>14</w:t>
                  </w:r>
                </w:p>
              </w:tc>
              <w:tc>
                <w:tcPr>
                  <w:tcW w:w="1000" w:type="pct"/>
                </w:tcPr>
                <w:p w:rsidR="003E46B2" w:rsidRDefault="003E46B2" w:rsidP="00CA60A3">
                  <w:pPr>
                    <w:pStyle w:val="TableBodyText"/>
                    <w:ind w:right="28"/>
                  </w:pPr>
                  <w:r>
                    <w:t>11</w:t>
                  </w:r>
                </w:p>
              </w:tc>
              <w:tc>
                <w:tcPr>
                  <w:tcW w:w="999" w:type="pct"/>
                  <w:shd w:val="clear" w:color="auto" w:fill="auto"/>
                </w:tcPr>
                <w:p w:rsidR="003E46B2" w:rsidRDefault="003E46B2" w:rsidP="00CA60A3">
                  <w:pPr>
                    <w:pStyle w:val="TableBodyText"/>
                    <w:ind w:right="28"/>
                  </w:pPr>
                  <w:r>
                    <w:t>1</w:t>
                  </w:r>
                  <w:r w:rsidR="00AC7C28">
                    <w:t>5</w:t>
                  </w:r>
                </w:p>
              </w:tc>
            </w:tr>
            <w:tr w:rsidR="003E46B2" w:rsidTr="000A01B7">
              <w:tc>
                <w:tcPr>
                  <w:tcW w:w="1001" w:type="pct"/>
                  <w:shd w:val="clear" w:color="auto" w:fill="auto"/>
                </w:tcPr>
                <w:p w:rsidR="003E46B2" w:rsidRDefault="003E46B2" w:rsidP="00CA60A3">
                  <w:pPr>
                    <w:pStyle w:val="TableBodyText"/>
                    <w:jc w:val="left"/>
                  </w:pPr>
                  <w:r>
                    <w:t>Retail</w:t>
                  </w:r>
                </w:p>
              </w:tc>
              <w:tc>
                <w:tcPr>
                  <w:tcW w:w="1000" w:type="pct"/>
                </w:tcPr>
                <w:p w:rsidR="003E46B2" w:rsidRDefault="00AC7C28" w:rsidP="00CA60A3">
                  <w:pPr>
                    <w:pStyle w:val="TableBodyText"/>
                  </w:pPr>
                  <w:r>
                    <w:t>8</w:t>
                  </w:r>
                </w:p>
              </w:tc>
              <w:tc>
                <w:tcPr>
                  <w:tcW w:w="1000" w:type="pct"/>
                  <w:shd w:val="clear" w:color="auto" w:fill="auto"/>
                </w:tcPr>
                <w:p w:rsidR="003E46B2" w:rsidRDefault="00AC7C28" w:rsidP="00CA60A3">
                  <w:pPr>
                    <w:pStyle w:val="TableBodyText"/>
                  </w:pPr>
                  <w:r>
                    <w:t>45</w:t>
                  </w:r>
                </w:p>
              </w:tc>
              <w:tc>
                <w:tcPr>
                  <w:tcW w:w="1000" w:type="pct"/>
                </w:tcPr>
                <w:p w:rsidR="003E46B2" w:rsidRDefault="00AC7C28" w:rsidP="00CA60A3">
                  <w:pPr>
                    <w:pStyle w:val="TableBodyText"/>
                    <w:ind w:right="28"/>
                  </w:pPr>
                  <w:r>
                    <w:t>46</w:t>
                  </w:r>
                </w:p>
              </w:tc>
              <w:tc>
                <w:tcPr>
                  <w:tcW w:w="999" w:type="pct"/>
                  <w:shd w:val="clear" w:color="auto" w:fill="auto"/>
                </w:tcPr>
                <w:p w:rsidR="003E46B2" w:rsidRDefault="003E46B2" w:rsidP="00CA60A3">
                  <w:pPr>
                    <w:pStyle w:val="TableBodyText"/>
                    <w:ind w:right="28"/>
                  </w:pPr>
                  <w:r>
                    <w:t>5</w:t>
                  </w:r>
                  <w:r w:rsidR="00AC7C28">
                    <w:t>7</w:t>
                  </w:r>
                </w:p>
              </w:tc>
            </w:tr>
            <w:tr w:rsidR="003E46B2" w:rsidRPr="00EE3DF7" w:rsidTr="000A01B7">
              <w:tc>
                <w:tcPr>
                  <w:tcW w:w="1001" w:type="pct"/>
                  <w:tcBorders>
                    <w:bottom w:val="single" w:sz="4" w:space="0" w:color="BFBFBF"/>
                  </w:tcBorders>
                  <w:shd w:val="clear" w:color="auto" w:fill="auto"/>
                </w:tcPr>
                <w:p w:rsidR="003E46B2" w:rsidRPr="00EE3DF7" w:rsidRDefault="003E46B2" w:rsidP="00CA60A3">
                  <w:pPr>
                    <w:pStyle w:val="TableBodyText"/>
                    <w:jc w:val="left"/>
                    <w:rPr>
                      <w:b/>
                    </w:rPr>
                  </w:pPr>
                  <w:r w:rsidRPr="00EE3DF7">
                    <w:rPr>
                      <w:b/>
                    </w:rPr>
                    <w:t>Total</w:t>
                  </w:r>
                </w:p>
              </w:tc>
              <w:tc>
                <w:tcPr>
                  <w:tcW w:w="1000" w:type="pct"/>
                  <w:tcBorders>
                    <w:bottom w:val="single" w:sz="4" w:space="0" w:color="BFBFBF"/>
                  </w:tcBorders>
                </w:tcPr>
                <w:p w:rsidR="003E46B2" w:rsidRPr="00EE3DF7" w:rsidRDefault="00AC7C28" w:rsidP="00CA60A3">
                  <w:pPr>
                    <w:pStyle w:val="TableBodyText"/>
                    <w:rPr>
                      <w:b/>
                    </w:rPr>
                  </w:pPr>
                  <w:r>
                    <w:rPr>
                      <w:b/>
                    </w:rPr>
                    <w:t>31</w:t>
                  </w:r>
                </w:p>
              </w:tc>
              <w:tc>
                <w:tcPr>
                  <w:tcW w:w="1000" w:type="pct"/>
                  <w:tcBorders>
                    <w:bottom w:val="single" w:sz="4" w:space="0" w:color="BFBFBF"/>
                  </w:tcBorders>
                  <w:shd w:val="clear" w:color="auto" w:fill="auto"/>
                </w:tcPr>
                <w:p w:rsidR="003E46B2" w:rsidRPr="00EE3DF7" w:rsidRDefault="00AC7C28" w:rsidP="00CA60A3">
                  <w:pPr>
                    <w:pStyle w:val="TableBodyText"/>
                    <w:rPr>
                      <w:b/>
                    </w:rPr>
                  </w:pPr>
                  <w:r>
                    <w:rPr>
                      <w:b/>
                    </w:rPr>
                    <w:t>121</w:t>
                  </w:r>
                </w:p>
              </w:tc>
              <w:tc>
                <w:tcPr>
                  <w:tcW w:w="1000" w:type="pct"/>
                  <w:tcBorders>
                    <w:bottom w:val="single" w:sz="4" w:space="0" w:color="BFBFBF"/>
                  </w:tcBorders>
                </w:tcPr>
                <w:p w:rsidR="003E46B2" w:rsidRPr="00EE3DF7" w:rsidRDefault="003E46B2" w:rsidP="00CA60A3">
                  <w:pPr>
                    <w:pStyle w:val="TableBodyText"/>
                    <w:ind w:right="28"/>
                    <w:rPr>
                      <w:b/>
                    </w:rPr>
                  </w:pPr>
                  <w:r w:rsidRPr="00EE3DF7">
                    <w:rPr>
                      <w:b/>
                    </w:rPr>
                    <w:t>1</w:t>
                  </w:r>
                  <w:r w:rsidR="00AC7C28">
                    <w:rPr>
                      <w:b/>
                    </w:rPr>
                    <w:t>10</w:t>
                  </w:r>
                </w:p>
              </w:tc>
              <w:tc>
                <w:tcPr>
                  <w:tcW w:w="999" w:type="pct"/>
                  <w:tcBorders>
                    <w:bottom w:val="single" w:sz="4" w:space="0" w:color="BFBFBF"/>
                  </w:tcBorders>
                  <w:shd w:val="clear" w:color="auto" w:fill="auto"/>
                </w:tcPr>
                <w:p w:rsidR="003E46B2" w:rsidRPr="00EE3DF7" w:rsidRDefault="00AC7C28" w:rsidP="00CA60A3">
                  <w:pPr>
                    <w:pStyle w:val="TableBodyText"/>
                    <w:ind w:right="28"/>
                    <w:rPr>
                      <w:b/>
                    </w:rPr>
                  </w:pPr>
                  <w:r>
                    <w:rPr>
                      <w:b/>
                    </w:rPr>
                    <w:t>138</w:t>
                  </w:r>
                </w:p>
              </w:tc>
            </w:tr>
          </w:tbl>
          <w:p w:rsidR="003E46B2" w:rsidRDefault="003E46B2" w:rsidP="00CA60A3">
            <w:pPr>
              <w:pStyle w:val="Box"/>
            </w:pPr>
          </w:p>
        </w:tc>
      </w:tr>
      <w:tr w:rsidR="00A33B0C" w:rsidTr="00CA60A3">
        <w:tc>
          <w:tcPr>
            <w:tcW w:w="5000" w:type="pct"/>
            <w:tcBorders>
              <w:top w:val="nil"/>
              <w:left w:val="nil"/>
              <w:bottom w:val="nil"/>
              <w:right w:val="nil"/>
            </w:tcBorders>
            <w:shd w:val="clear" w:color="auto" w:fill="auto"/>
          </w:tcPr>
          <w:p w:rsidR="00A33B0C" w:rsidRDefault="00A33B0C" w:rsidP="007701DB">
            <w:pPr>
              <w:pStyle w:val="Note"/>
              <w:rPr>
                <w:i/>
              </w:rPr>
            </w:pPr>
            <w:r>
              <w:rPr>
                <w:i/>
              </w:rPr>
              <w:t>S</w:t>
            </w:r>
            <w:r w:rsidRPr="00784A05">
              <w:rPr>
                <w:i/>
              </w:rPr>
              <w:t>ource</w:t>
            </w:r>
            <w:r w:rsidRPr="00176D3F">
              <w:t xml:space="preserve">: </w:t>
            </w:r>
            <w:r w:rsidR="005A28D6">
              <w:t xml:space="preserve">PC analysis of </w:t>
            </w:r>
            <w:r>
              <w:rPr>
                <w:rFonts w:eastAsia="+mn-ea" w:cs="Arial"/>
                <w:color w:val="000000" w:themeColor="text1"/>
                <w:kern w:val="24"/>
                <w:szCs w:val="18"/>
              </w:rPr>
              <w:t>SR data.</w:t>
            </w:r>
          </w:p>
        </w:tc>
      </w:tr>
      <w:tr w:rsidR="003E46B2" w:rsidTr="00CA60A3">
        <w:tc>
          <w:tcPr>
            <w:tcW w:w="5000" w:type="pct"/>
            <w:tcBorders>
              <w:top w:val="nil"/>
              <w:left w:val="nil"/>
              <w:bottom w:val="single" w:sz="6" w:space="0" w:color="78A22F"/>
              <w:right w:val="nil"/>
            </w:tcBorders>
            <w:shd w:val="clear" w:color="auto" w:fill="auto"/>
          </w:tcPr>
          <w:p w:rsidR="003E46B2" w:rsidRDefault="003E46B2" w:rsidP="00CA60A3">
            <w:pPr>
              <w:pStyle w:val="Box"/>
              <w:spacing w:before="0" w:line="120" w:lineRule="exact"/>
            </w:pPr>
          </w:p>
        </w:tc>
      </w:tr>
      <w:tr w:rsidR="003E46B2" w:rsidRPr="000863A5" w:rsidTr="00CA60A3">
        <w:tc>
          <w:tcPr>
            <w:tcW w:w="5000" w:type="pct"/>
            <w:tcBorders>
              <w:top w:val="single" w:sz="6" w:space="0" w:color="78A22F"/>
              <w:left w:val="nil"/>
              <w:bottom w:val="nil"/>
              <w:right w:val="nil"/>
            </w:tcBorders>
          </w:tcPr>
          <w:p w:rsidR="003E46B2" w:rsidRPr="00626D32" w:rsidRDefault="003E46B2" w:rsidP="00CA60A3">
            <w:pPr>
              <w:pStyle w:val="BoxSpaceBelow"/>
            </w:pPr>
          </w:p>
        </w:tc>
      </w:tr>
    </w:tbl>
    <w:p w:rsidR="00323C65" w:rsidRDefault="00C21D11" w:rsidP="008554CE">
      <w:pPr>
        <w:pStyle w:val="Heading3"/>
      </w:pPr>
      <w:bookmarkStart w:id="14" w:name="_Toc530748479"/>
      <w:r>
        <w:t>Some m</w:t>
      </w:r>
      <w:r w:rsidR="00B11EA6">
        <w:t xml:space="preserve">issing </w:t>
      </w:r>
      <w:r w:rsidR="00C57F12">
        <w:t>data warrant explicit treatment</w:t>
      </w:r>
      <w:bookmarkEnd w:id="14"/>
    </w:p>
    <w:p w:rsidR="00B11EA6" w:rsidRDefault="00B11EA6" w:rsidP="00E51698">
      <w:pPr>
        <w:pStyle w:val="BodyText"/>
      </w:pPr>
      <w:r>
        <w:t>The APRA data are characterised by high levels of reporting of zero investment expenses (table</w:t>
      </w:r>
      <w:r w:rsidR="00F640C8">
        <w:t> </w:t>
      </w:r>
      <w:r w:rsidR="007C643E">
        <w:t>5</w:t>
      </w:r>
      <w:r w:rsidR="00951C87">
        <w:t>) — </w:t>
      </w:r>
      <w:r w:rsidR="00D0032A">
        <w:t xml:space="preserve">for example, </w:t>
      </w:r>
      <w:r w:rsidR="00951C87">
        <w:t>just over</w:t>
      </w:r>
      <w:r>
        <w:t xml:space="preserve"> one quarter of funds </w:t>
      </w:r>
      <w:r w:rsidR="00CB17FF">
        <w:t>(mostly retail)</w:t>
      </w:r>
      <w:r w:rsidR="00951C87">
        <w:t xml:space="preserve"> </w:t>
      </w:r>
      <w:r w:rsidR="00D0032A">
        <w:t xml:space="preserve">reported zero investment expenses </w:t>
      </w:r>
      <w:r w:rsidR="00951C87">
        <w:t>in 2015</w:t>
      </w:r>
      <w:r w:rsidR="00951C87">
        <w:noBreakHyphen/>
        <w:t>16</w:t>
      </w:r>
      <w:r>
        <w:t xml:space="preserve">. </w:t>
      </w:r>
      <w:r w:rsidR="0000036A">
        <w:t>There are system</w:t>
      </w:r>
      <w:r w:rsidR="005E0CCE">
        <w:t>at</w:t>
      </w:r>
      <w:r w:rsidR="0000036A">
        <w:t xml:space="preserve">ic differences between funds </w:t>
      </w:r>
      <w:r w:rsidR="00951C87">
        <w:t>that</w:t>
      </w:r>
      <w:r w:rsidR="0000036A">
        <w:t xml:space="preserve"> </w:t>
      </w:r>
      <w:r w:rsidR="00951C87">
        <w:t xml:space="preserve">do and do not </w:t>
      </w:r>
      <w:r w:rsidR="0000036A">
        <w:t>report</w:t>
      </w:r>
      <w:r w:rsidR="005A28D6">
        <w:t xml:space="preserve"> zeros</w:t>
      </w:r>
      <w:r w:rsidR="00951C87">
        <w:t>.</w:t>
      </w:r>
      <w:r w:rsidR="0000036A">
        <w:t xml:space="preserve"> </w:t>
      </w:r>
      <w:r w:rsidR="00951C87">
        <w:t>I</w:t>
      </w:r>
      <w:r w:rsidR="00E73C5E">
        <w:t>n 2016</w:t>
      </w:r>
      <w:r w:rsidR="00951C87">
        <w:t>, for example,</w:t>
      </w:r>
      <w:r w:rsidR="00E73C5E">
        <w:t xml:space="preserve"> </w:t>
      </w:r>
      <w:r w:rsidR="00951C87">
        <w:t xml:space="preserve">the average </w:t>
      </w:r>
      <w:r w:rsidR="00E73C5E">
        <w:t xml:space="preserve">fund reporting zero investment expenses had an annual </w:t>
      </w:r>
      <w:r w:rsidR="00C351A1">
        <w:t xml:space="preserve">net </w:t>
      </w:r>
      <w:r w:rsidR="00E73C5E">
        <w:t>return of 2.2</w:t>
      </w:r>
      <w:r w:rsidR="00951C87">
        <w:t xml:space="preserve"> per cent, </w:t>
      </w:r>
      <w:r w:rsidR="00E73C5E">
        <w:t>compare</w:t>
      </w:r>
      <w:r w:rsidR="00951C87">
        <w:t>d</w:t>
      </w:r>
      <w:r w:rsidR="00E73C5E">
        <w:t xml:space="preserve"> with 6.2</w:t>
      </w:r>
      <w:r w:rsidR="00951C87">
        <w:t xml:space="preserve"> per cent</w:t>
      </w:r>
      <w:r w:rsidR="00E73C5E">
        <w:t xml:space="preserve"> </w:t>
      </w:r>
      <w:r w:rsidR="00951C87">
        <w:t xml:space="preserve">for the average </w:t>
      </w:r>
      <w:r w:rsidR="00E73C5E">
        <w:t>fund report</w:t>
      </w:r>
      <w:r w:rsidR="00951C87">
        <w:t>ing</w:t>
      </w:r>
      <w:r w:rsidR="00E73C5E">
        <w:t xml:space="preserve"> positive investment expenses</w:t>
      </w:r>
      <w:r w:rsidR="0000036A">
        <w:t>.</w:t>
      </w:r>
      <w:r w:rsidR="00170A0A">
        <w:t xml:space="preserve"> </w:t>
      </w:r>
      <w:r w:rsidR="008A4657">
        <w:t xml:space="preserve">Investment expenses clearly are not zero. Funds that report zero </w:t>
      </w:r>
      <w:r w:rsidR="00170A0A">
        <w:t xml:space="preserve">are </w:t>
      </w:r>
      <w:r w:rsidR="008A4657">
        <w:t xml:space="preserve">likely </w:t>
      </w:r>
      <w:r w:rsidR="00855B99">
        <w:t>outsourc</w:t>
      </w:r>
      <w:r w:rsidR="00170A0A">
        <w:t>ing</w:t>
      </w:r>
      <w:r w:rsidR="00855B99">
        <w:t xml:space="preserve"> their investment management </w:t>
      </w:r>
      <w:r w:rsidR="008A1F79">
        <w:t xml:space="preserve">or provide platform investments </w:t>
      </w:r>
      <w:r w:rsidR="00855B99">
        <w:t xml:space="preserve">and the </w:t>
      </w:r>
      <w:r w:rsidR="00FF78E5">
        <w:t xml:space="preserve">investment management fees are captured in lower net returns (that </w:t>
      </w:r>
      <w:r w:rsidR="00A855C9">
        <w:t xml:space="preserve">is </w:t>
      </w:r>
      <w:r w:rsidR="00FF78E5">
        <w:t>indirectly</w:t>
      </w:r>
      <w:r w:rsidR="00A855C9">
        <w:t>)</w:t>
      </w:r>
      <w:r w:rsidR="00FF78E5">
        <w:t>, rather than explicitly recorded</w:t>
      </w:r>
      <w:r w:rsidR="00A855C9">
        <w:t>.</w:t>
      </w:r>
    </w:p>
    <w:p w:rsidR="00B801F5" w:rsidRDefault="00B801F5" w:rsidP="00572A90">
      <w:pPr>
        <w:pStyle w:val="BodyText"/>
      </w:pPr>
      <w:r>
        <w:t>E</w:t>
      </w:r>
      <w:r w:rsidRPr="00C21D11">
        <w:t>xcluding funds with zero investment expenses from the analysis — </w:t>
      </w:r>
      <w:r>
        <w:t>one option for dealing with the</w:t>
      </w:r>
      <w:r w:rsidRPr="00C21D11">
        <w:t xml:space="preserve"> issue — would give rise to </w:t>
      </w:r>
      <w:r>
        <w:t xml:space="preserve">significant </w:t>
      </w:r>
      <w:r w:rsidRPr="00C21D11">
        <w:t>selection bias</w:t>
      </w:r>
      <w:r>
        <w:t xml:space="preserve"> because of</w:t>
      </w:r>
      <w:r w:rsidRPr="00C21D11">
        <w:t xml:space="preserve"> </w:t>
      </w:r>
      <w:r>
        <w:t xml:space="preserve">the prevalence of the issue among retail funds. </w:t>
      </w:r>
      <w:r w:rsidRPr="00C21D11">
        <w:t>Results</w:t>
      </w:r>
      <w:r>
        <w:t xml:space="preserve"> </w:t>
      </w:r>
      <w:r w:rsidRPr="00C21D11">
        <w:t xml:space="preserve">could not </w:t>
      </w:r>
      <w:r w:rsidR="007E3874">
        <w:t xml:space="preserve">then </w:t>
      </w:r>
      <w:r w:rsidRPr="00C21D11">
        <w:t xml:space="preserve">be interpreted as </w:t>
      </w:r>
      <w:r>
        <w:t xml:space="preserve">system </w:t>
      </w:r>
      <w:r w:rsidRPr="00C21D11">
        <w:t>representative</w:t>
      </w:r>
      <w:r>
        <w:t>. T</w:t>
      </w:r>
      <w:r w:rsidRPr="00C21D11">
        <w:t xml:space="preserve">he extent of </w:t>
      </w:r>
      <w:r>
        <w:t>the</w:t>
      </w:r>
      <w:r w:rsidRPr="00C21D11">
        <w:t xml:space="preserve"> problem</w:t>
      </w:r>
      <w:r>
        <w:t xml:space="preserve"> means it</w:t>
      </w:r>
      <w:r w:rsidRPr="00C21D11">
        <w:t xml:space="preserve"> warrants explicit treatment</w:t>
      </w:r>
      <w:r>
        <w:t xml:space="preserve"> via imputation of missing information (detailed below</w:t>
      </w:r>
      <w:r w:rsidRPr="004B0CED">
        <w:t>).</w:t>
      </w:r>
    </w:p>
    <w:p w:rsidR="00B11EA6" w:rsidRPr="00385B52" w:rsidRDefault="00B11EA6" w:rsidP="00B11EA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11EA6" w:rsidTr="00CA60A3">
        <w:trPr>
          <w:tblHeader/>
        </w:trPr>
        <w:tc>
          <w:tcPr>
            <w:tcW w:w="5000" w:type="pct"/>
            <w:tcBorders>
              <w:top w:val="single" w:sz="6" w:space="0" w:color="78A22F"/>
              <w:left w:val="nil"/>
              <w:bottom w:val="nil"/>
              <w:right w:val="nil"/>
            </w:tcBorders>
            <w:shd w:val="clear" w:color="auto" w:fill="auto"/>
          </w:tcPr>
          <w:p w:rsidR="00B11EA6" w:rsidRDefault="00B11EA6" w:rsidP="00CA60A3">
            <w:pPr>
              <w:pStyle w:val="TableTitle"/>
            </w:pPr>
            <w:r>
              <w:rPr>
                <w:b w:val="0"/>
              </w:rPr>
              <w:t xml:space="preserve">Table </w:t>
            </w:r>
            <w:bookmarkStart w:id="15" w:name="OLE_LINK8"/>
            <w:r w:rsidR="004325AA">
              <w:rPr>
                <w:b w:val="0"/>
                <w:noProof/>
              </w:rPr>
              <w:t>5</w:t>
            </w:r>
            <w:bookmarkEnd w:id="15"/>
            <w:r>
              <w:tab/>
              <w:t>Zero investment expense</w:t>
            </w:r>
            <w:r w:rsidR="00D0032A">
              <w:t>s</w:t>
            </w:r>
            <w:r>
              <w:t xml:space="preserve"> reporting in the APRA panel</w:t>
            </w:r>
          </w:p>
          <w:p w:rsidR="00B11EA6" w:rsidRPr="00912F40" w:rsidRDefault="00B11EA6" w:rsidP="00CA60A3">
            <w:pPr>
              <w:pStyle w:val="Subtitle"/>
            </w:pPr>
            <w:r w:rsidRPr="00912F40">
              <w:t>Per cent</w:t>
            </w:r>
            <w:r w:rsidR="006556A3">
              <w:t>, 2004–</w:t>
            </w:r>
            <w:r w:rsidR="00971B3A">
              <w:t>2016</w:t>
            </w:r>
          </w:p>
        </w:tc>
      </w:tr>
      <w:tr w:rsidR="00B11EA6" w:rsidTr="00CA60A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B11EA6" w:rsidTr="00CA60A3">
              <w:trPr>
                <w:tblHeader/>
              </w:trPr>
              <w:tc>
                <w:tcPr>
                  <w:tcW w:w="1251" w:type="pct"/>
                  <w:tcBorders>
                    <w:top w:val="single" w:sz="6" w:space="0" w:color="BFBFBF"/>
                    <w:bottom w:val="single" w:sz="6" w:space="0" w:color="BFBFBF"/>
                  </w:tcBorders>
                  <w:shd w:val="clear" w:color="auto" w:fill="auto"/>
                  <w:tcMar>
                    <w:top w:w="28" w:type="dxa"/>
                  </w:tcMar>
                </w:tcPr>
                <w:p w:rsidR="00B11EA6" w:rsidRDefault="00B11EA6" w:rsidP="00CA60A3">
                  <w:pPr>
                    <w:pStyle w:val="TableColumnHeading"/>
                    <w:jc w:val="left"/>
                  </w:pPr>
                </w:p>
              </w:tc>
              <w:tc>
                <w:tcPr>
                  <w:tcW w:w="1250" w:type="pct"/>
                  <w:tcBorders>
                    <w:top w:val="single" w:sz="6" w:space="0" w:color="BFBFBF"/>
                    <w:bottom w:val="single" w:sz="6" w:space="0" w:color="BFBFBF"/>
                  </w:tcBorders>
                </w:tcPr>
                <w:p w:rsidR="00B11EA6" w:rsidRDefault="00B11EA6" w:rsidP="00CA60A3">
                  <w:pPr>
                    <w:pStyle w:val="TableColumnHeading"/>
                  </w:pPr>
                  <w:r>
                    <w:t>2004</w:t>
                  </w:r>
                  <w:r w:rsidR="00F640C8">
                    <w:noBreakHyphen/>
                  </w:r>
                  <w:r>
                    <w:t>05</w:t>
                  </w:r>
                </w:p>
              </w:tc>
              <w:tc>
                <w:tcPr>
                  <w:tcW w:w="1250" w:type="pct"/>
                  <w:tcBorders>
                    <w:top w:val="single" w:sz="6" w:space="0" w:color="BFBFBF"/>
                    <w:bottom w:val="single" w:sz="6" w:space="0" w:color="BFBFBF"/>
                  </w:tcBorders>
                  <w:shd w:val="clear" w:color="auto" w:fill="auto"/>
                  <w:tcMar>
                    <w:top w:w="28" w:type="dxa"/>
                  </w:tcMar>
                </w:tcPr>
                <w:p w:rsidR="00B11EA6" w:rsidRDefault="00B11EA6" w:rsidP="00CA60A3">
                  <w:pPr>
                    <w:pStyle w:val="TableColumnHeading"/>
                  </w:pPr>
                  <w:r>
                    <w:t>2009</w:t>
                  </w:r>
                  <w:r w:rsidR="00F640C8">
                    <w:noBreakHyphen/>
                  </w:r>
                  <w:r>
                    <w:t>10</w:t>
                  </w:r>
                </w:p>
              </w:tc>
              <w:tc>
                <w:tcPr>
                  <w:tcW w:w="1249" w:type="pct"/>
                  <w:tcBorders>
                    <w:top w:val="single" w:sz="6" w:space="0" w:color="BFBFBF"/>
                    <w:bottom w:val="single" w:sz="6" w:space="0" w:color="BFBFBF"/>
                  </w:tcBorders>
                  <w:shd w:val="clear" w:color="auto" w:fill="auto"/>
                  <w:tcMar>
                    <w:top w:w="28" w:type="dxa"/>
                  </w:tcMar>
                </w:tcPr>
                <w:p w:rsidR="00B11EA6" w:rsidRDefault="00B11EA6" w:rsidP="00CA60A3">
                  <w:pPr>
                    <w:pStyle w:val="TableColumnHeading"/>
                    <w:ind w:right="28"/>
                  </w:pPr>
                  <w:r>
                    <w:t>2</w:t>
                  </w:r>
                  <w:r w:rsidR="008B7066">
                    <w:t>015</w:t>
                  </w:r>
                  <w:r w:rsidR="00F640C8">
                    <w:noBreakHyphen/>
                  </w:r>
                  <w:r>
                    <w:t>1</w:t>
                  </w:r>
                  <w:r w:rsidR="008B7066">
                    <w:t>6</w:t>
                  </w:r>
                </w:p>
              </w:tc>
            </w:tr>
            <w:tr w:rsidR="00B11EA6" w:rsidTr="000B08A2">
              <w:tc>
                <w:tcPr>
                  <w:tcW w:w="2501" w:type="pct"/>
                  <w:gridSpan w:val="2"/>
                  <w:tcBorders>
                    <w:top w:val="single" w:sz="6" w:space="0" w:color="BFBFBF"/>
                  </w:tcBorders>
                  <w:shd w:val="clear" w:color="auto" w:fill="F2F2F2" w:themeFill="background1" w:themeFillShade="F2"/>
                </w:tcPr>
                <w:p w:rsidR="00B11EA6" w:rsidRDefault="008B7066" w:rsidP="00CA60A3">
                  <w:pPr>
                    <w:pStyle w:val="TableUnitsRow"/>
                    <w:jc w:val="left"/>
                  </w:pPr>
                  <w:r>
                    <w:rPr>
                      <w:i/>
                    </w:rPr>
                    <w:t>As a share of all funds</w:t>
                  </w:r>
                </w:p>
              </w:tc>
              <w:tc>
                <w:tcPr>
                  <w:tcW w:w="1250" w:type="pct"/>
                  <w:tcBorders>
                    <w:top w:val="single" w:sz="6" w:space="0" w:color="BFBFBF"/>
                  </w:tcBorders>
                  <w:shd w:val="clear" w:color="auto" w:fill="F2F2F2" w:themeFill="background1" w:themeFillShade="F2"/>
                </w:tcPr>
                <w:p w:rsidR="00B11EA6" w:rsidRDefault="00B11EA6" w:rsidP="00CA60A3">
                  <w:pPr>
                    <w:pStyle w:val="TableUnitsRow"/>
                  </w:pPr>
                </w:p>
              </w:tc>
              <w:tc>
                <w:tcPr>
                  <w:tcW w:w="1249" w:type="pct"/>
                  <w:tcBorders>
                    <w:top w:val="single" w:sz="6" w:space="0" w:color="BFBFBF"/>
                  </w:tcBorders>
                  <w:shd w:val="clear" w:color="auto" w:fill="F2F2F2" w:themeFill="background1" w:themeFillShade="F2"/>
                </w:tcPr>
                <w:p w:rsidR="00B11EA6" w:rsidRDefault="00B11EA6" w:rsidP="00CA60A3">
                  <w:pPr>
                    <w:pStyle w:val="TableUnitsRow"/>
                    <w:ind w:right="28"/>
                  </w:pPr>
                </w:p>
              </w:tc>
            </w:tr>
            <w:tr w:rsidR="00B11EA6" w:rsidRPr="00912F40" w:rsidTr="00CA60A3">
              <w:tc>
                <w:tcPr>
                  <w:tcW w:w="1251" w:type="pct"/>
                  <w:shd w:val="clear" w:color="auto" w:fill="auto"/>
                </w:tcPr>
                <w:p w:rsidR="00B11EA6" w:rsidRPr="00912F40" w:rsidRDefault="00B11EA6" w:rsidP="00CA60A3">
                  <w:pPr>
                    <w:pStyle w:val="TableBodyText"/>
                    <w:jc w:val="left"/>
                    <w:rPr>
                      <w:i/>
                    </w:rPr>
                  </w:pPr>
                  <w:r w:rsidRPr="00912F40">
                    <w:t>Total</w:t>
                  </w:r>
                </w:p>
              </w:tc>
              <w:tc>
                <w:tcPr>
                  <w:tcW w:w="1250" w:type="pct"/>
                </w:tcPr>
                <w:p w:rsidR="00B11EA6" w:rsidRPr="00912F40" w:rsidRDefault="008B7066" w:rsidP="00CA60A3">
                  <w:pPr>
                    <w:pStyle w:val="TableBodyText"/>
                  </w:pPr>
                  <w:r>
                    <w:t>39.0</w:t>
                  </w:r>
                </w:p>
              </w:tc>
              <w:tc>
                <w:tcPr>
                  <w:tcW w:w="1250" w:type="pct"/>
                  <w:shd w:val="clear" w:color="auto" w:fill="auto"/>
                </w:tcPr>
                <w:p w:rsidR="00B11EA6" w:rsidRPr="00912F40" w:rsidRDefault="008B7066" w:rsidP="00CA60A3">
                  <w:pPr>
                    <w:pStyle w:val="TableBodyText"/>
                  </w:pPr>
                  <w:r>
                    <w:t>33</w:t>
                  </w:r>
                  <w:r w:rsidR="00B11EA6" w:rsidRPr="00912F40">
                    <w:t>.</w:t>
                  </w:r>
                  <w:r>
                    <w:t>4</w:t>
                  </w:r>
                </w:p>
              </w:tc>
              <w:tc>
                <w:tcPr>
                  <w:tcW w:w="1249" w:type="pct"/>
                  <w:shd w:val="clear" w:color="auto" w:fill="auto"/>
                </w:tcPr>
                <w:p w:rsidR="00B11EA6" w:rsidRPr="00912F40" w:rsidRDefault="008B7066" w:rsidP="00CA60A3">
                  <w:pPr>
                    <w:pStyle w:val="TableBodyText"/>
                    <w:ind w:right="28"/>
                  </w:pPr>
                  <w:r>
                    <w:t>27.5</w:t>
                  </w:r>
                </w:p>
              </w:tc>
            </w:tr>
            <w:tr w:rsidR="00B11EA6" w:rsidTr="000B08A2">
              <w:tc>
                <w:tcPr>
                  <w:tcW w:w="3751" w:type="pct"/>
                  <w:gridSpan w:val="3"/>
                  <w:shd w:val="clear" w:color="auto" w:fill="F2F2F2" w:themeFill="background1" w:themeFillShade="F2"/>
                </w:tcPr>
                <w:p w:rsidR="00B11EA6" w:rsidRDefault="00B11EA6" w:rsidP="00CA60A3">
                  <w:pPr>
                    <w:pStyle w:val="TableUnitsRow"/>
                    <w:jc w:val="left"/>
                  </w:pPr>
                  <w:r w:rsidRPr="009C6F68">
                    <w:rPr>
                      <w:i/>
                    </w:rPr>
                    <w:t xml:space="preserve">As a </w:t>
                  </w:r>
                  <w:r>
                    <w:rPr>
                      <w:i/>
                    </w:rPr>
                    <w:t>share</w:t>
                  </w:r>
                  <w:r w:rsidRPr="009C6F68">
                    <w:rPr>
                      <w:i/>
                    </w:rPr>
                    <w:t xml:space="preserve"> of </w:t>
                  </w:r>
                  <w:r>
                    <w:rPr>
                      <w:i/>
                    </w:rPr>
                    <w:t xml:space="preserve">funds reporting </w:t>
                  </w:r>
                  <w:r w:rsidRPr="009C6F68">
                    <w:rPr>
                      <w:i/>
                    </w:rPr>
                    <w:t>zero investment expense</w:t>
                  </w:r>
                  <w:r>
                    <w:rPr>
                      <w:i/>
                    </w:rPr>
                    <w:t>s</w:t>
                  </w:r>
                </w:p>
              </w:tc>
              <w:tc>
                <w:tcPr>
                  <w:tcW w:w="1249" w:type="pct"/>
                  <w:shd w:val="clear" w:color="auto" w:fill="F2F2F2" w:themeFill="background1" w:themeFillShade="F2"/>
                </w:tcPr>
                <w:p w:rsidR="00B11EA6" w:rsidRDefault="00B11EA6" w:rsidP="00CA60A3">
                  <w:pPr>
                    <w:pStyle w:val="TableUnitsRow"/>
                    <w:ind w:right="28"/>
                  </w:pPr>
                </w:p>
              </w:tc>
            </w:tr>
            <w:tr w:rsidR="00B11EA6" w:rsidTr="00CA60A3">
              <w:tc>
                <w:tcPr>
                  <w:tcW w:w="1251" w:type="pct"/>
                </w:tcPr>
                <w:p w:rsidR="00B11EA6" w:rsidRDefault="00B11EA6" w:rsidP="00CA60A3">
                  <w:pPr>
                    <w:pStyle w:val="TableBodyText"/>
                    <w:jc w:val="left"/>
                  </w:pPr>
                  <w:r>
                    <w:t>Corporate</w:t>
                  </w:r>
                </w:p>
              </w:tc>
              <w:tc>
                <w:tcPr>
                  <w:tcW w:w="1250" w:type="pct"/>
                </w:tcPr>
                <w:p w:rsidR="00B11EA6" w:rsidRDefault="002C3BB2" w:rsidP="00CA60A3">
                  <w:pPr>
                    <w:pStyle w:val="TableBodyText"/>
                  </w:pPr>
                  <w:r>
                    <w:t>48.5</w:t>
                  </w:r>
                </w:p>
              </w:tc>
              <w:tc>
                <w:tcPr>
                  <w:tcW w:w="1250" w:type="pct"/>
                </w:tcPr>
                <w:p w:rsidR="00B11EA6" w:rsidRDefault="002C3BB2" w:rsidP="00CA60A3">
                  <w:pPr>
                    <w:pStyle w:val="TableBodyText"/>
                  </w:pPr>
                  <w:r>
                    <w:t>18.5</w:t>
                  </w:r>
                </w:p>
              </w:tc>
              <w:tc>
                <w:tcPr>
                  <w:tcW w:w="1249" w:type="pct"/>
                </w:tcPr>
                <w:p w:rsidR="00B11EA6" w:rsidRDefault="002C3BB2" w:rsidP="00CA60A3">
                  <w:pPr>
                    <w:pStyle w:val="TableBodyText"/>
                    <w:ind w:right="28"/>
                  </w:pPr>
                  <w:r>
                    <w:t>10.9</w:t>
                  </w:r>
                </w:p>
              </w:tc>
            </w:tr>
            <w:tr w:rsidR="00B11EA6" w:rsidTr="00CA60A3">
              <w:tc>
                <w:tcPr>
                  <w:tcW w:w="1251" w:type="pct"/>
                </w:tcPr>
                <w:p w:rsidR="00B11EA6" w:rsidRDefault="00B11EA6" w:rsidP="00CA60A3">
                  <w:pPr>
                    <w:pStyle w:val="TableBodyText"/>
                    <w:jc w:val="left"/>
                  </w:pPr>
                  <w:r>
                    <w:t>Industry</w:t>
                  </w:r>
                </w:p>
              </w:tc>
              <w:tc>
                <w:tcPr>
                  <w:tcW w:w="1250" w:type="pct"/>
                </w:tcPr>
                <w:p w:rsidR="00B11EA6" w:rsidRDefault="002C3BB2" w:rsidP="00CA60A3">
                  <w:pPr>
                    <w:pStyle w:val="TableBodyText"/>
                  </w:pPr>
                  <w:r>
                    <w:t>0.6</w:t>
                  </w:r>
                </w:p>
              </w:tc>
              <w:tc>
                <w:tcPr>
                  <w:tcW w:w="1250" w:type="pct"/>
                </w:tcPr>
                <w:p w:rsidR="00B11EA6" w:rsidRDefault="002C3BB2" w:rsidP="00CA60A3">
                  <w:pPr>
                    <w:pStyle w:val="TableBodyText"/>
                  </w:pPr>
                  <w:r>
                    <w:t>1.9</w:t>
                  </w:r>
                </w:p>
              </w:tc>
              <w:tc>
                <w:tcPr>
                  <w:tcW w:w="1249" w:type="pct"/>
                </w:tcPr>
                <w:p w:rsidR="00B11EA6" w:rsidRDefault="002C3BB2" w:rsidP="00CA60A3">
                  <w:pPr>
                    <w:pStyle w:val="TableBodyText"/>
                    <w:ind w:right="28"/>
                  </w:pPr>
                  <w:r>
                    <w:t>3.6</w:t>
                  </w:r>
                </w:p>
              </w:tc>
            </w:tr>
            <w:tr w:rsidR="00B11EA6" w:rsidTr="000B08A2">
              <w:tc>
                <w:tcPr>
                  <w:tcW w:w="1251" w:type="pct"/>
                  <w:shd w:val="clear" w:color="auto" w:fill="auto"/>
                </w:tcPr>
                <w:p w:rsidR="00B11EA6" w:rsidRDefault="00B11EA6" w:rsidP="00CA60A3">
                  <w:pPr>
                    <w:pStyle w:val="TableBodyText"/>
                    <w:jc w:val="left"/>
                  </w:pPr>
                  <w:r>
                    <w:t>Public Sector</w:t>
                  </w:r>
                </w:p>
              </w:tc>
              <w:tc>
                <w:tcPr>
                  <w:tcW w:w="1250" w:type="pct"/>
                </w:tcPr>
                <w:p w:rsidR="00B11EA6" w:rsidRDefault="00B11EA6" w:rsidP="00CA60A3">
                  <w:pPr>
                    <w:pStyle w:val="TableBodyText"/>
                  </w:pPr>
                  <w:r>
                    <w:t>0.0</w:t>
                  </w:r>
                </w:p>
              </w:tc>
              <w:tc>
                <w:tcPr>
                  <w:tcW w:w="1250" w:type="pct"/>
                  <w:shd w:val="clear" w:color="auto" w:fill="auto"/>
                </w:tcPr>
                <w:p w:rsidR="00B11EA6" w:rsidRDefault="002C3BB2" w:rsidP="00CA60A3">
                  <w:pPr>
                    <w:pStyle w:val="TableBodyText"/>
                  </w:pPr>
                  <w:r>
                    <w:t>3.7</w:t>
                  </w:r>
                </w:p>
              </w:tc>
              <w:tc>
                <w:tcPr>
                  <w:tcW w:w="1249" w:type="pct"/>
                  <w:shd w:val="clear" w:color="auto" w:fill="auto"/>
                </w:tcPr>
                <w:p w:rsidR="00B11EA6" w:rsidRDefault="002C3BB2" w:rsidP="00CA60A3">
                  <w:pPr>
                    <w:pStyle w:val="TableBodyText"/>
                    <w:ind w:right="28"/>
                  </w:pPr>
                  <w:r>
                    <w:t>9.1</w:t>
                  </w:r>
                </w:p>
              </w:tc>
            </w:tr>
            <w:tr w:rsidR="00B11EA6" w:rsidTr="000B08A2">
              <w:tc>
                <w:tcPr>
                  <w:tcW w:w="1251" w:type="pct"/>
                  <w:tcBorders>
                    <w:bottom w:val="single" w:sz="4" w:space="0" w:color="BFBFBF"/>
                  </w:tcBorders>
                  <w:shd w:val="clear" w:color="auto" w:fill="auto"/>
                </w:tcPr>
                <w:p w:rsidR="00B11EA6" w:rsidRDefault="00B11EA6" w:rsidP="00CA60A3">
                  <w:pPr>
                    <w:pStyle w:val="TableBodyText"/>
                    <w:jc w:val="left"/>
                  </w:pPr>
                  <w:r>
                    <w:t>Retail</w:t>
                  </w:r>
                </w:p>
              </w:tc>
              <w:tc>
                <w:tcPr>
                  <w:tcW w:w="1250" w:type="pct"/>
                  <w:tcBorders>
                    <w:bottom w:val="single" w:sz="4" w:space="0" w:color="BFBFBF"/>
                  </w:tcBorders>
                </w:tcPr>
                <w:p w:rsidR="00B11EA6" w:rsidRDefault="002C3BB2" w:rsidP="00CA60A3">
                  <w:pPr>
                    <w:pStyle w:val="TableBodyText"/>
                  </w:pPr>
                  <w:r>
                    <w:t>50.9</w:t>
                  </w:r>
                </w:p>
              </w:tc>
              <w:tc>
                <w:tcPr>
                  <w:tcW w:w="1250" w:type="pct"/>
                  <w:tcBorders>
                    <w:bottom w:val="single" w:sz="4" w:space="0" w:color="BFBFBF"/>
                  </w:tcBorders>
                  <w:shd w:val="clear" w:color="auto" w:fill="auto"/>
                </w:tcPr>
                <w:p w:rsidR="00B11EA6" w:rsidRDefault="002C3BB2" w:rsidP="00CA60A3">
                  <w:pPr>
                    <w:pStyle w:val="TableBodyText"/>
                  </w:pPr>
                  <w:r>
                    <w:t>75.9</w:t>
                  </w:r>
                </w:p>
              </w:tc>
              <w:tc>
                <w:tcPr>
                  <w:tcW w:w="1249" w:type="pct"/>
                  <w:tcBorders>
                    <w:bottom w:val="single" w:sz="4" w:space="0" w:color="BFBFBF"/>
                  </w:tcBorders>
                  <w:shd w:val="clear" w:color="auto" w:fill="auto"/>
                </w:tcPr>
                <w:p w:rsidR="00B11EA6" w:rsidRDefault="002C3BB2" w:rsidP="00CA60A3">
                  <w:pPr>
                    <w:pStyle w:val="TableBodyText"/>
                    <w:ind w:right="28"/>
                  </w:pPr>
                  <w:r>
                    <w:t>76</w:t>
                  </w:r>
                  <w:r w:rsidR="00B11EA6">
                    <w:t>.</w:t>
                  </w:r>
                  <w:r>
                    <w:t>4</w:t>
                  </w:r>
                </w:p>
              </w:tc>
            </w:tr>
          </w:tbl>
          <w:p w:rsidR="00B11EA6" w:rsidRDefault="00B11EA6" w:rsidP="00CA60A3">
            <w:pPr>
              <w:pStyle w:val="Box"/>
            </w:pPr>
          </w:p>
        </w:tc>
      </w:tr>
      <w:tr w:rsidR="006723CF" w:rsidRPr="00176D3F" w:rsidTr="005D4BC3">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rsidR="006723CF" w:rsidRPr="00176D3F" w:rsidRDefault="006723CF" w:rsidP="0076112C">
            <w:pPr>
              <w:pStyle w:val="Source"/>
            </w:pPr>
            <w:r>
              <w:rPr>
                <w:i/>
              </w:rPr>
              <w:t>S</w:t>
            </w:r>
            <w:r w:rsidRPr="00784A05">
              <w:rPr>
                <w:i/>
              </w:rPr>
              <w:t>ource</w:t>
            </w:r>
            <w:r w:rsidRPr="00176D3F">
              <w:t xml:space="preserve">: </w:t>
            </w:r>
            <w:r w:rsidRPr="00C378DA">
              <w:rPr>
                <w:rFonts w:eastAsia="+mn-ea"/>
                <w:color w:val="000000"/>
                <w:spacing w:val="-2"/>
              </w:rPr>
              <w:t xml:space="preserve">PC analysis of APRA </w:t>
            </w:r>
            <w:r w:rsidR="00D0032A" w:rsidRPr="00C378DA">
              <w:rPr>
                <w:color w:val="000000"/>
                <w:spacing w:val="-2"/>
              </w:rPr>
              <w:t>data.</w:t>
            </w:r>
          </w:p>
        </w:tc>
      </w:tr>
      <w:tr w:rsidR="00B11EA6" w:rsidTr="00CA60A3">
        <w:tc>
          <w:tcPr>
            <w:tcW w:w="5000" w:type="pct"/>
            <w:tcBorders>
              <w:top w:val="nil"/>
              <w:left w:val="nil"/>
              <w:bottom w:val="single" w:sz="6" w:space="0" w:color="78A22F"/>
              <w:right w:val="nil"/>
            </w:tcBorders>
            <w:shd w:val="clear" w:color="auto" w:fill="auto"/>
          </w:tcPr>
          <w:p w:rsidR="00B11EA6" w:rsidRDefault="00B11EA6" w:rsidP="00CA60A3">
            <w:pPr>
              <w:pStyle w:val="Box"/>
              <w:spacing w:before="0" w:line="120" w:lineRule="exact"/>
            </w:pPr>
          </w:p>
        </w:tc>
      </w:tr>
      <w:tr w:rsidR="00B11EA6" w:rsidRPr="000863A5" w:rsidTr="00CA60A3">
        <w:tc>
          <w:tcPr>
            <w:tcW w:w="5000" w:type="pct"/>
            <w:tcBorders>
              <w:top w:val="single" w:sz="6" w:space="0" w:color="78A22F"/>
              <w:left w:val="nil"/>
              <w:bottom w:val="nil"/>
              <w:right w:val="nil"/>
            </w:tcBorders>
          </w:tcPr>
          <w:p w:rsidR="00B11EA6" w:rsidRPr="00626D32" w:rsidRDefault="00B11EA6" w:rsidP="00CA60A3">
            <w:pPr>
              <w:pStyle w:val="BoxSpaceBelow"/>
            </w:pPr>
          </w:p>
        </w:tc>
      </w:tr>
    </w:tbl>
    <w:p w:rsidR="00044280" w:rsidRDefault="00044280" w:rsidP="00044280">
      <w:pPr>
        <w:pStyle w:val="BodyText"/>
      </w:pPr>
      <w:r>
        <w:t>In contrast</w:t>
      </w:r>
      <w:r w:rsidR="00B801F5">
        <w:t xml:space="preserve"> to investment expenses</w:t>
      </w:r>
      <w:r>
        <w:t>, no more than 3 per cent of funds in any year report zero administration expenses.</w:t>
      </w:r>
      <w:r w:rsidR="00B801F5">
        <w:t xml:space="preserve"> </w:t>
      </w:r>
      <w:r w:rsidR="000505EA">
        <w:t xml:space="preserve">Rather than drop these funds from the analysis, </w:t>
      </w:r>
      <w:r w:rsidR="002F6FFE">
        <w:t>and lose all of the information they bring to the analysis,</w:t>
      </w:r>
      <w:r w:rsidR="000505EA">
        <w:t xml:space="preserve"> </w:t>
      </w:r>
      <w:r w:rsidR="002F6FFE">
        <w:t xml:space="preserve">their </w:t>
      </w:r>
      <w:r w:rsidR="000505EA">
        <w:t>administration expenses were imputed.</w:t>
      </w:r>
      <w:r w:rsidR="003E0BE7">
        <w:rPr>
          <w:rStyle w:val="FootnoteReference"/>
        </w:rPr>
        <w:footnoteReference w:id="8"/>
      </w:r>
    </w:p>
    <w:p w:rsidR="00436C46" w:rsidRDefault="00044280" w:rsidP="00090716">
      <w:pPr>
        <w:pStyle w:val="BodyText"/>
      </w:pPr>
      <w:r w:rsidRPr="004B0CED">
        <w:t xml:space="preserve">Inspection of other variables revealed no other </w:t>
      </w:r>
      <w:r w:rsidR="0023608F">
        <w:t>major missing data issue</w:t>
      </w:r>
      <w:r w:rsidR="00102C0B">
        <w:t>s</w:t>
      </w:r>
      <w:r w:rsidRPr="004B0CED">
        <w:t xml:space="preserve">, with the exception of </w:t>
      </w:r>
      <w:r>
        <w:t xml:space="preserve">the number of </w:t>
      </w:r>
      <w:r w:rsidRPr="004B0CED">
        <w:t xml:space="preserve">investment options, where </w:t>
      </w:r>
      <w:r>
        <w:t xml:space="preserve">inexplicably </w:t>
      </w:r>
      <w:r w:rsidRPr="004B0CED">
        <w:t>nearly one quarter of fund–year observations were missing</w:t>
      </w:r>
      <w:r w:rsidR="000505EA">
        <w:t>. These data were also imputed.</w:t>
      </w:r>
      <w:r w:rsidR="00170A0A">
        <w:t xml:space="preserve"> </w:t>
      </w:r>
      <w:r w:rsidR="00C57F12">
        <w:t>Participants have also</w:t>
      </w:r>
      <w:r w:rsidR="00090716">
        <w:t xml:space="preserve"> </w:t>
      </w:r>
      <w:r w:rsidR="00C57F12">
        <w:t>pointed to</w:t>
      </w:r>
      <w:r w:rsidR="00090716">
        <w:t xml:space="preserve"> significant underreporting of both administration and investment expenses</w:t>
      </w:r>
      <w:r w:rsidR="00C57F12">
        <w:t xml:space="preserve"> (I</w:t>
      </w:r>
      <w:r w:rsidR="00E920F0">
        <w:t xml:space="preserve">ndustry </w:t>
      </w:r>
      <w:r w:rsidR="00C57F12">
        <w:t>S</w:t>
      </w:r>
      <w:r w:rsidR="00E920F0">
        <w:t xml:space="preserve">uper </w:t>
      </w:r>
      <w:r w:rsidR="00C57F12">
        <w:t>A</w:t>
      </w:r>
      <w:r w:rsidR="00E920F0">
        <w:t>ustralia</w:t>
      </w:r>
      <w:r w:rsidR="00C57F12">
        <w:t xml:space="preserve"> sub. 59; APRA sub 89)</w:t>
      </w:r>
      <w:r w:rsidR="00090716">
        <w:t xml:space="preserve">. </w:t>
      </w:r>
      <w:r w:rsidR="00436C46">
        <w:t xml:space="preserve">Commission estimates suggest that </w:t>
      </w:r>
      <w:r w:rsidR="005C6E0E">
        <w:t xml:space="preserve">around </w:t>
      </w:r>
      <w:r w:rsidR="0098296A">
        <w:t xml:space="preserve">$11 billion (or </w:t>
      </w:r>
      <w:r w:rsidR="00855B99">
        <w:t>5</w:t>
      </w:r>
      <w:r w:rsidR="0098296A">
        <w:t>0</w:t>
      </w:r>
      <w:r w:rsidR="00436C46">
        <w:t> per cent</w:t>
      </w:r>
      <w:r w:rsidR="0098296A">
        <w:t>)</w:t>
      </w:r>
      <w:r w:rsidR="00436C46">
        <w:t xml:space="preserve"> of </w:t>
      </w:r>
      <w:r w:rsidR="00855B99">
        <w:t xml:space="preserve">fee revenue </w:t>
      </w:r>
      <w:r w:rsidR="006674A9">
        <w:t>is</w:t>
      </w:r>
      <w:r w:rsidR="005C6E0E">
        <w:t xml:space="preserve"> not reported in </w:t>
      </w:r>
      <w:r w:rsidR="00436C46">
        <w:t>APRA data,</w:t>
      </w:r>
      <w:r w:rsidR="005C6E0E">
        <w:t xml:space="preserve"> with expenses</w:t>
      </w:r>
      <w:r w:rsidR="000505EA">
        <w:t xml:space="preserve"> data likely to be similarly underreported</w:t>
      </w:r>
      <w:r w:rsidR="005C6E0E">
        <w:t xml:space="preserve">. </w:t>
      </w:r>
      <w:r w:rsidR="000505EA">
        <w:t xml:space="preserve">Indirect investment costs likely account for a </w:t>
      </w:r>
      <w:r w:rsidR="00436C46">
        <w:t xml:space="preserve">significant proportion of </w:t>
      </w:r>
      <w:r w:rsidR="000505EA">
        <w:t>any</w:t>
      </w:r>
      <w:r w:rsidR="005C6E0E">
        <w:t xml:space="preserve"> </w:t>
      </w:r>
      <w:r w:rsidR="000505EA">
        <w:t>underreporting.</w:t>
      </w:r>
      <w:r w:rsidR="002F6FFE">
        <w:t xml:space="preserve"> This issue is noted, but it has not been addressed in the reported results.</w:t>
      </w:r>
      <w:r w:rsidR="002F6FFE">
        <w:rPr>
          <w:rStyle w:val="FootnoteReference"/>
        </w:rPr>
        <w:footnoteReference w:id="9"/>
      </w:r>
    </w:p>
    <w:p w:rsidR="0038039B" w:rsidRDefault="004D1FE3" w:rsidP="0038039B">
      <w:pPr>
        <w:pStyle w:val="Heading3"/>
      </w:pPr>
      <w:bookmarkStart w:id="16" w:name="_Toc530748480"/>
      <w:r>
        <w:t>And survivorship bias has to be taken into account</w:t>
      </w:r>
      <w:bookmarkEnd w:id="16"/>
    </w:p>
    <w:p w:rsidR="0038039B" w:rsidRDefault="0038039B" w:rsidP="0038039B">
      <w:pPr>
        <w:pStyle w:val="BodyText"/>
      </w:pPr>
      <w:r>
        <w:t xml:space="preserve">Substantial consolidation </w:t>
      </w:r>
      <w:r w:rsidR="003C6C18">
        <w:t xml:space="preserve">occurred </w:t>
      </w:r>
      <w:r>
        <w:t>in the superannuation industry over the decade to 2015</w:t>
      </w:r>
      <w:r>
        <w:noBreakHyphen/>
        <w:t xml:space="preserve">16 </w:t>
      </w:r>
      <w:r w:rsidR="003C6C18">
        <w:t>(</w:t>
      </w:r>
      <w:r>
        <w:t>table </w:t>
      </w:r>
      <w:r w:rsidR="001123D6">
        <w:t>2</w:t>
      </w:r>
      <w:r w:rsidR="003C6C18">
        <w:t>)</w:t>
      </w:r>
      <w:r w:rsidR="006674A9">
        <w:t>.</w:t>
      </w:r>
      <w:r w:rsidR="00CE1D8C">
        <w:t xml:space="preserve"> </w:t>
      </w:r>
      <w:r w:rsidR="006674A9">
        <w:t>S</w:t>
      </w:r>
      <w:r>
        <w:t>maller, higher</w:t>
      </w:r>
      <w:r w:rsidR="004D1FE3">
        <w:noBreakHyphen/>
      </w:r>
      <w:r>
        <w:t>cost funds were over</w:t>
      </w:r>
      <w:r w:rsidR="00F640C8">
        <w:noBreakHyphen/>
      </w:r>
      <w:r>
        <w:t xml:space="preserve">represented among those that exited </w:t>
      </w:r>
      <w:r w:rsidR="006674A9">
        <w:t xml:space="preserve">during this period </w:t>
      </w:r>
      <w:r>
        <w:t>(figure </w:t>
      </w:r>
      <w:r w:rsidR="001123D6" w:rsidRPr="001123D6">
        <w:t>1</w:t>
      </w:r>
      <w:r w:rsidRPr="00E32640">
        <w:t>)</w:t>
      </w:r>
      <w:r>
        <w:t> — illustrating the need to correct for survivorship bias</w:t>
      </w:r>
      <w:r w:rsidR="00CE1D8C">
        <w:t xml:space="preserve"> in the analysis </w:t>
      </w:r>
      <w:r w:rsidR="00D40BD6">
        <w:t xml:space="preserve">of </w:t>
      </w:r>
      <w:r w:rsidR="00CE1D8C">
        <w:t>the relationship between costs and scale</w:t>
      </w:r>
      <w:r>
        <w:t>.</w:t>
      </w:r>
    </w:p>
    <w:p w:rsidR="0038039B" w:rsidRDefault="0038039B" w:rsidP="003803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8039B" w:rsidTr="00CA60A3">
        <w:trPr>
          <w:tblHeader/>
        </w:trPr>
        <w:tc>
          <w:tcPr>
            <w:tcW w:w="5000" w:type="pct"/>
            <w:tcBorders>
              <w:top w:val="single" w:sz="6" w:space="0" w:color="78A22F"/>
              <w:left w:val="nil"/>
              <w:bottom w:val="nil"/>
              <w:right w:val="nil"/>
            </w:tcBorders>
            <w:shd w:val="clear" w:color="auto" w:fill="auto"/>
          </w:tcPr>
          <w:p w:rsidR="0038039B" w:rsidRDefault="0038039B" w:rsidP="00CA60A3">
            <w:pPr>
              <w:pStyle w:val="FigureTitle"/>
              <w:rPr>
                <w:rStyle w:val="NoteLabel"/>
                <w:b/>
              </w:rPr>
            </w:pPr>
            <w:r w:rsidRPr="00784A05">
              <w:rPr>
                <w:b w:val="0"/>
              </w:rPr>
              <w:t xml:space="preserve">Figure </w:t>
            </w:r>
            <w:r w:rsidR="004325AA">
              <w:rPr>
                <w:b w:val="0"/>
                <w:noProof/>
              </w:rPr>
              <w:t>1</w:t>
            </w:r>
            <w:r>
              <w:tab/>
              <w:t>Smaller, higher</w:t>
            </w:r>
            <w:r w:rsidR="007608B4">
              <w:noBreakHyphen/>
            </w:r>
            <w:r>
              <w:t xml:space="preserve">cost funds </w:t>
            </w:r>
            <w:r w:rsidR="00123633">
              <w:t xml:space="preserve">are </w:t>
            </w:r>
            <w:r>
              <w:t>over</w:t>
            </w:r>
            <w:r w:rsidR="007608B4">
              <w:noBreakHyphen/>
            </w:r>
            <w:r>
              <w:t>represented in exits</w:t>
            </w:r>
            <w:r w:rsidRPr="004F2408">
              <w:rPr>
                <w:rStyle w:val="NoteLabel"/>
                <w:b/>
              </w:rPr>
              <w:t>a</w:t>
            </w:r>
            <w:r>
              <w:rPr>
                <w:rStyle w:val="NoteLabel"/>
                <w:b/>
              </w:rPr>
              <w:t>,b</w:t>
            </w:r>
            <w:r w:rsidR="00123633">
              <w:rPr>
                <w:rStyle w:val="NoteLabel"/>
                <w:b/>
              </w:rPr>
              <w:t>,c</w:t>
            </w:r>
          </w:p>
          <w:p w:rsidR="00386836" w:rsidRPr="00674AA0" w:rsidRDefault="00386836" w:rsidP="00BF3706">
            <w:pPr>
              <w:pStyle w:val="Subtitle"/>
            </w:pPr>
            <w:r>
              <w:t xml:space="preserve">Exits </w:t>
            </w:r>
            <w:r w:rsidR="00123633">
              <w:t>between June</w:t>
            </w:r>
            <w:r>
              <w:t xml:space="preserve"> 2006</w:t>
            </w:r>
            <w:r w:rsidR="00123633">
              <w:t xml:space="preserve"> and June </w:t>
            </w:r>
            <w:r w:rsidDel="001123D6">
              <w:t>20</w:t>
            </w:r>
            <w:r>
              <w:t>16 by size and average expenses</w:t>
            </w:r>
          </w:p>
        </w:tc>
      </w:tr>
      <w:tr w:rsidR="0038039B" w:rsidTr="00CA60A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8039B" w:rsidRPr="00B1465D" w:rsidTr="00CA60A3">
              <w:trPr>
                <w:tblHeader/>
                <w:jc w:val="center"/>
              </w:trPr>
              <w:tc>
                <w:tcPr>
                  <w:tcW w:w="5000" w:type="pct"/>
                  <w:tcBorders>
                    <w:top w:val="nil"/>
                    <w:bottom w:val="nil"/>
                  </w:tcBorders>
                </w:tcPr>
                <w:p w:rsidR="0038039B" w:rsidRDefault="001F492C" w:rsidP="00CA60A3">
                  <w:pPr>
                    <w:pStyle w:val="Figure"/>
                    <w:spacing w:before="60" w:after="60"/>
                    <w:rPr>
                      <w:rFonts w:ascii="Arial" w:hAnsi="Arial" w:cs="Arial"/>
                      <w:sz w:val="18"/>
                      <w:szCs w:val="18"/>
                    </w:rPr>
                  </w:pPr>
                  <w:r w:rsidRPr="00644241">
                    <w:rPr>
                      <w:noProof/>
                    </w:rPr>
                    <w:drawing>
                      <wp:inline distT="0" distB="0" distL="0" distR="0" wp14:anchorId="0E76098C" wp14:editId="6158EDA4">
                        <wp:extent cx="5181600" cy="2865120"/>
                        <wp:effectExtent l="0" t="0" r="0" b="0"/>
                        <wp:docPr id="14" name="Picture 14" descr="The first bar graph shows the fund size quartile which exiting funds came from, showing that exiting funds tend to come from the bottom quartile. The second bar graph shows the average expenses of funds in each quartile, showing that exiting funds from the bottom quartile tend to have very high average expenses." title="Smaller, higher-cost funds are over-represented in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0" cy="28651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AF556C" w:rsidTr="00AF556C">
                    <w:trPr>
                      <w:tblHeader/>
                    </w:trPr>
                    <w:tc>
                      <w:tcPr>
                        <w:tcW w:w="1559" w:type="dxa"/>
                        <w:shd w:val="clear" w:color="auto" w:fill="F2F2F2" w:themeFill="background1" w:themeFillShade="F2"/>
                      </w:tcPr>
                      <w:p w:rsidR="00AF556C" w:rsidRDefault="00AF556C" w:rsidP="00AF556C">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AF556C" w:rsidRDefault="00AF556C" w:rsidP="00AF556C">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 xml:space="preserve"> (</w:t>
                        </w:r>
                        <w:r w:rsidRPr="00861568">
                          <w:rPr>
                            <w:rFonts w:ascii="Arial" w:eastAsia="+mn-ea" w:hAnsi="Arial" w:cs="Arial"/>
                            <w:color w:val="000000" w:themeColor="text1"/>
                            <w:kern w:val="24"/>
                            <w:sz w:val="18"/>
                            <w:szCs w:val="18"/>
                          </w:rPr>
                          <w:t>20</w:t>
                        </w:r>
                        <w:r>
                          <w:rPr>
                            <w:rFonts w:ascii="Arial" w:eastAsia="+mn-ea" w:hAnsi="Arial" w:cs="Arial"/>
                            <w:color w:val="000000" w:themeColor="text1"/>
                            <w:kern w:val="24"/>
                            <w:sz w:val="18"/>
                            <w:szCs w:val="18"/>
                          </w:rPr>
                          <w:t>0</w:t>
                        </w:r>
                        <w:r w:rsidR="00DE5F60">
                          <w:rPr>
                            <w:rFonts w:ascii="Arial" w:eastAsia="+mn-ea" w:hAnsi="Arial" w:cs="Arial"/>
                            <w:color w:val="000000" w:themeColor="text1"/>
                            <w:kern w:val="24"/>
                            <w:sz w:val="18"/>
                            <w:szCs w:val="18"/>
                          </w:rPr>
                          <w:t>6</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w:t>
                        </w:r>
                        <w:r>
                          <w:rPr>
                            <w:rFonts w:ascii="Arial" w:eastAsia="+mn-ea" w:hAnsi="Arial" w:cs="Arial"/>
                            <w:color w:val="000000" w:themeColor="text1"/>
                            <w:kern w:val="24"/>
                            <w:sz w:val="18"/>
                            <w:szCs w:val="18"/>
                          </w:rPr>
                          <w:t>6).</w:t>
                        </w:r>
                      </w:p>
                    </w:tc>
                  </w:tr>
                  <w:tr w:rsidR="00AF556C" w:rsidRPr="001F53B0" w:rsidTr="00AF556C">
                    <w:tc>
                      <w:tcPr>
                        <w:tcW w:w="1559" w:type="dxa"/>
                        <w:shd w:val="clear" w:color="auto" w:fill="F2F2F2" w:themeFill="background1" w:themeFillShade="F2"/>
                      </w:tcPr>
                      <w:p w:rsidR="00AF556C" w:rsidRDefault="00AF556C" w:rsidP="00AF556C">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AF556C" w:rsidRPr="00AF556C" w:rsidRDefault="00DE5F60" w:rsidP="00AF556C">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513</w:t>
                        </w:r>
                        <w:r w:rsidR="000D722C">
                          <w:rPr>
                            <w:rFonts w:ascii="Arial" w:eastAsia="+mn-ea" w:hAnsi="Arial" w:cs="Arial"/>
                            <w:color w:val="000000" w:themeColor="text1"/>
                            <w:kern w:val="24"/>
                            <w:sz w:val="18"/>
                            <w:szCs w:val="18"/>
                          </w:rPr>
                          <w:t xml:space="preserve"> </w:t>
                        </w:r>
                        <w:r w:rsidR="000D722C" w:rsidRPr="00A95597">
                          <w:rPr>
                            <w:rFonts w:ascii="Arial" w:eastAsia="+mn-ea" w:hAnsi="Arial" w:cs="Arial"/>
                            <w:color w:val="000000" w:themeColor="text1"/>
                            <w:kern w:val="24"/>
                            <w:sz w:val="18"/>
                            <w:szCs w:val="18"/>
                          </w:rPr>
                          <w:t>funds</w:t>
                        </w:r>
                        <w:r w:rsidR="000D722C">
                          <w:rPr>
                            <w:rFonts w:ascii="Arial" w:eastAsia="+mn-ea" w:hAnsi="Arial" w:cs="Arial"/>
                            <w:color w:val="000000" w:themeColor="text1"/>
                            <w:kern w:val="24"/>
                            <w:sz w:val="18"/>
                            <w:szCs w:val="18"/>
                          </w:rPr>
                          <w:t xml:space="preserve"> representing </w:t>
                        </w:r>
                        <w:r w:rsidR="000D722C" w:rsidRPr="00262154">
                          <w:rPr>
                            <w:rFonts w:ascii="Arial" w:eastAsia="+mn-ea" w:hAnsi="Arial" w:cs="Arial"/>
                            <w:color w:val="000000" w:themeColor="text1"/>
                            <w:kern w:val="24"/>
                            <w:sz w:val="18"/>
                            <w:szCs w:val="18"/>
                          </w:rPr>
                          <w:t>88 per cent</w:t>
                        </w:r>
                        <w:r w:rsidR="000D722C">
                          <w:rPr>
                            <w:rFonts w:ascii="Arial" w:eastAsia="+mn-ea" w:hAnsi="Arial" w:cs="Arial"/>
                            <w:color w:val="000000" w:themeColor="text1"/>
                            <w:kern w:val="24"/>
                            <w:sz w:val="18"/>
                            <w:szCs w:val="18"/>
                          </w:rPr>
                          <w:t xml:space="preserve"> of the system </w:t>
                        </w:r>
                        <w:r w:rsidR="000F2B85">
                          <w:rPr>
                            <w:rFonts w:ascii="Arial" w:eastAsia="+mn-ea" w:hAnsi="Arial" w:cs="Arial"/>
                            <w:color w:val="000000" w:themeColor="text1"/>
                            <w:kern w:val="24"/>
                            <w:sz w:val="18"/>
                            <w:szCs w:val="18"/>
                          </w:rPr>
                          <w:t>by assets</w:t>
                        </w:r>
                        <w:r w:rsidR="000D722C">
                          <w:rPr>
                            <w:rFonts w:ascii="Arial" w:eastAsia="+mn-ea" w:hAnsi="Arial" w:cs="Arial"/>
                            <w:color w:val="000000" w:themeColor="text1"/>
                            <w:kern w:val="24"/>
                            <w:sz w:val="18"/>
                            <w:szCs w:val="18"/>
                          </w:rPr>
                          <w:t xml:space="preserve"> in </w:t>
                        </w:r>
                        <w:r>
                          <w:rPr>
                            <w:rFonts w:ascii="Arial" w:eastAsia="+mn-ea" w:hAnsi="Arial" w:cs="Arial"/>
                            <w:color w:val="000000" w:themeColor="text1"/>
                            <w:kern w:val="24"/>
                            <w:sz w:val="18"/>
                            <w:szCs w:val="18"/>
                          </w:rPr>
                          <w:t>2005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06</w:t>
                        </w:r>
                        <w:r w:rsidR="000D722C">
                          <w:rPr>
                            <w:rFonts w:ascii="Arial" w:eastAsia="+mn-ea" w:hAnsi="Arial" w:cs="Arial"/>
                            <w:color w:val="000000" w:themeColor="text1"/>
                            <w:kern w:val="24"/>
                            <w:sz w:val="18"/>
                            <w:szCs w:val="18"/>
                          </w:rPr>
                          <w:t xml:space="preserve">. </w:t>
                        </w:r>
                        <w:r w:rsidR="00D141A0">
                          <w:rPr>
                            <w:rFonts w:ascii="Arial" w:eastAsia="+mn-ea" w:hAnsi="Arial" w:cs="Arial"/>
                            <w:color w:val="000000" w:themeColor="text1"/>
                            <w:kern w:val="24"/>
                            <w:sz w:val="18"/>
                            <w:szCs w:val="18"/>
                          </w:rPr>
                          <w:t>T</w:t>
                        </w:r>
                        <w:r w:rsidR="0005176F">
                          <w:rPr>
                            <w:rFonts w:ascii="Arial" w:eastAsia="+mn-ea" w:hAnsi="Arial" w:cs="Arial"/>
                            <w:color w:val="000000" w:themeColor="text1"/>
                            <w:kern w:val="24"/>
                            <w:sz w:val="18"/>
                            <w:szCs w:val="18"/>
                          </w:rPr>
                          <w:t xml:space="preserve">he denominator is the sum of assets for all </w:t>
                        </w:r>
                        <w:r w:rsidR="00D141A0">
                          <w:rPr>
                            <w:rFonts w:ascii="Arial" w:eastAsia="+mn-ea" w:hAnsi="Arial" w:cs="Arial"/>
                            <w:color w:val="000000" w:themeColor="text1"/>
                            <w:kern w:val="24"/>
                            <w:sz w:val="18"/>
                            <w:szCs w:val="18"/>
                          </w:rPr>
                          <w:t>large</w:t>
                        </w:r>
                        <w:r w:rsidR="00D141A0">
                          <w:rPr>
                            <w:rFonts w:ascii="Arial" w:eastAsia="+mn-ea" w:hAnsi="Arial" w:cs="Arial"/>
                            <w:color w:val="000000" w:themeColor="text1"/>
                            <w:kern w:val="24"/>
                            <w:sz w:val="18"/>
                            <w:szCs w:val="18"/>
                          </w:rPr>
                          <w:noBreakHyphen/>
                          <w:t>APRA regulated funds</w:t>
                        </w:r>
                        <w:r w:rsidR="0005176F">
                          <w:rPr>
                            <w:rFonts w:ascii="Arial" w:eastAsia="+mn-ea" w:hAnsi="Arial" w:cs="Arial"/>
                            <w:color w:val="000000" w:themeColor="text1"/>
                            <w:kern w:val="24"/>
                            <w:sz w:val="18"/>
                            <w:szCs w:val="18"/>
                          </w:rPr>
                          <w:t xml:space="preserve">. </w:t>
                        </w:r>
                      </w:p>
                    </w:tc>
                  </w:tr>
                </w:tbl>
                <w:p w:rsidR="00AF556C" w:rsidRPr="00B1465D" w:rsidRDefault="00AF556C" w:rsidP="00CA60A3">
                  <w:pPr>
                    <w:pStyle w:val="Figure"/>
                    <w:spacing w:before="60" w:after="60"/>
                    <w:rPr>
                      <w:rFonts w:ascii="Arial" w:hAnsi="Arial" w:cs="Arial"/>
                      <w:sz w:val="18"/>
                      <w:szCs w:val="18"/>
                    </w:rPr>
                  </w:pPr>
                </w:p>
              </w:tc>
            </w:tr>
          </w:tbl>
          <w:p w:rsidR="0038039B" w:rsidRDefault="0038039B" w:rsidP="00CA60A3">
            <w:pPr>
              <w:pStyle w:val="Figure"/>
            </w:pPr>
          </w:p>
        </w:tc>
        <w:bookmarkStart w:id="17" w:name="_GoBack"/>
        <w:bookmarkEnd w:id="17"/>
      </w:tr>
      <w:tr w:rsidR="0038039B" w:rsidRPr="00176D3F" w:rsidTr="00CA60A3">
        <w:tc>
          <w:tcPr>
            <w:tcW w:w="5000" w:type="pct"/>
            <w:tcBorders>
              <w:top w:val="nil"/>
              <w:left w:val="nil"/>
              <w:bottom w:val="nil"/>
              <w:right w:val="nil"/>
            </w:tcBorders>
            <w:shd w:val="clear" w:color="auto" w:fill="auto"/>
          </w:tcPr>
          <w:p w:rsidR="0038039B" w:rsidRPr="00176D3F" w:rsidRDefault="0038039B" w:rsidP="00CA60A3">
            <w:pPr>
              <w:pStyle w:val="Note"/>
            </w:pPr>
            <w:r>
              <w:rPr>
                <w:rStyle w:val="NoteLabel"/>
              </w:rPr>
              <w:t>a</w:t>
            </w:r>
            <w:r>
              <w:t xml:space="preserve"> A fund is considered to have exited if it left the market in or prior to 2015</w:t>
            </w:r>
            <w:r w:rsidR="00F640C8">
              <w:noBreakHyphen/>
            </w:r>
            <w:r>
              <w:t xml:space="preserve">16. </w:t>
            </w:r>
            <w:r>
              <w:rPr>
                <w:rStyle w:val="NoteLabel"/>
              </w:rPr>
              <w:t>b</w:t>
            </w:r>
            <w:r>
              <w:t xml:space="preserve"> Fund quartiles were computed using total assets in 2005</w:t>
            </w:r>
            <w:r w:rsidR="00F640C8">
              <w:noBreakHyphen/>
            </w:r>
            <w:r>
              <w:t>06.</w:t>
            </w:r>
            <w:r w:rsidR="00123633">
              <w:t xml:space="preserve"> </w:t>
            </w:r>
            <w:r w:rsidR="00123633">
              <w:rPr>
                <w:rStyle w:val="NoteLabel"/>
              </w:rPr>
              <w:t>c</w:t>
            </w:r>
            <w:r w:rsidR="00123633">
              <w:t xml:space="preserve"> 2017 data are not included because fund exits are identified by the proceeding year’s data.</w:t>
            </w:r>
          </w:p>
        </w:tc>
      </w:tr>
      <w:tr w:rsidR="0038039B" w:rsidTr="00CA60A3">
        <w:tc>
          <w:tcPr>
            <w:tcW w:w="5000" w:type="pct"/>
            <w:tcBorders>
              <w:top w:val="nil"/>
              <w:left w:val="nil"/>
              <w:bottom w:val="single" w:sz="6" w:space="0" w:color="78A22F"/>
              <w:right w:val="nil"/>
            </w:tcBorders>
            <w:shd w:val="clear" w:color="auto" w:fill="auto"/>
          </w:tcPr>
          <w:p w:rsidR="0038039B" w:rsidRDefault="0038039B" w:rsidP="00CA60A3">
            <w:pPr>
              <w:pStyle w:val="Figurespace"/>
            </w:pPr>
          </w:p>
        </w:tc>
      </w:tr>
      <w:tr w:rsidR="0038039B" w:rsidRPr="000863A5" w:rsidTr="00CA60A3">
        <w:tc>
          <w:tcPr>
            <w:tcW w:w="5000" w:type="pct"/>
            <w:tcBorders>
              <w:top w:val="single" w:sz="6" w:space="0" w:color="78A22F"/>
              <w:left w:val="nil"/>
              <w:bottom w:val="nil"/>
              <w:right w:val="nil"/>
            </w:tcBorders>
          </w:tcPr>
          <w:p w:rsidR="0038039B" w:rsidRPr="00626D32" w:rsidRDefault="0038039B" w:rsidP="00CA60A3">
            <w:pPr>
              <w:pStyle w:val="BoxSpaceBelow"/>
            </w:pPr>
          </w:p>
        </w:tc>
      </w:tr>
    </w:tbl>
    <w:p w:rsidR="00807506" w:rsidRDefault="00575184" w:rsidP="00807506">
      <w:pPr>
        <w:pStyle w:val="Heading3"/>
      </w:pPr>
      <w:bookmarkStart w:id="18" w:name="_Toc530748481"/>
      <w:r>
        <w:t>Economies of scale are present in the raw data</w:t>
      </w:r>
      <w:bookmarkEnd w:id="18"/>
    </w:p>
    <w:p w:rsidR="00A87B4A" w:rsidRPr="00170A0A" w:rsidDel="00E938E4" w:rsidRDefault="004158E6" w:rsidP="00406940">
      <w:pPr>
        <w:pStyle w:val="BodyText"/>
        <w:rPr>
          <w:spacing w:val="-2"/>
        </w:rPr>
      </w:pPr>
      <w:r w:rsidRPr="00170A0A">
        <w:rPr>
          <w:spacing w:val="-2"/>
        </w:rPr>
        <w:t xml:space="preserve">Plotting the data </w:t>
      </w:r>
      <w:r w:rsidR="0060284A" w:rsidRPr="00170A0A">
        <w:rPr>
          <w:spacing w:val="-2"/>
        </w:rPr>
        <w:t>shows</w:t>
      </w:r>
      <w:r w:rsidRPr="00170A0A">
        <w:rPr>
          <w:spacing w:val="-2"/>
        </w:rPr>
        <w:t xml:space="preserve"> — as would be expected — that larger funds record </w:t>
      </w:r>
      <w:r w:rsidR="00C40148">
        <w:rPr>
          <w:spacing w:val="-2"/>
        </w:rPr>
        <w:t xml:space="preserve">a </w:t>
      </w:r>
      <w:r w:rsidRPr="00170A0A">
        <w:rPr>
          <w:spacing w:val="-2"/>
        </w:rPr>
        <w:t xml:space="preserve">higher </w:t>
      </w:r>
      <w:r w:rsidR="00C40148">
        <w:rPr>
          <w:spacing w:val="-2"/>
        </w:rPr>
        <w:t>total quant</w:t>
      </w:r>
      <w:r w:rsidR="005B7A6D">
        <w:rPr>
          <w:spacing w:val="-2"/>
        </w:rPr>
        <w:t>u</w:t>
      </w:r>
      <w:r w:rsidR="00C40148">
        <w:rPr>
          <w:spacing w:val="-2"/>
        </w:rPr>
        <w:t xml:space="preserve">m of </w:t>
      </w:r>
      <w:r w:rsidRPr="00170A0A">
        <w:rPr>
          <w:spacing w:val="-2"/>
        </w:rPr>
        <w:t>administration and investment</w:t>
      </w:r>
      <w:r w:rsidR="00907B07">
        <w:rPr>
          <w:spacing w:val="-2"/>
        </w:rPr>
        <w:t xml:space="preserve"> expenses</w:t>
      </w:r>
      <w:r w:rsidR="008F5B7A">
        <w:rPr>
          <w:spacing w:val="-2"/>
        </w:rPr>
        <w:t xml:space="preserve"> (as distinct from fees charged)</w:t>
      </w:r>
      <w:r w:rsidRPr="00170A0A">
        <w:rPr>
          <w:spacing w:val="-2"/>
        </w:rPr>
        <w:t xml:space="preserve"> (figure</w:t>
      </w:r>
      <w:r w:rsidR="00F640C8">
        <w:rPr>
          <w:spacing w:val="-2"/>
        </w:rPr>
        <w:t> </w:t>
      </w:r>
      <w:r w:rsidR="00A55FFD">
        <w:t>2</w:t>
      </w:r>
      <w:r w:rsidRPr="00170A0A">
        <w:rPr>
          <w:spacing w:val="-2"/>
        </w:rPr>
        <w:t>). The</w:t>
      </w:r>
      <w:r w:rsidR="0060284A" w:rsidRPr="00170A0A">
        <w:rPr>
          <w:spacing w:val="-2"/>
        </w:rPr>
        <w:t xml:space="preserve"> plots also reveal marked</w:t>
      </w:r>
      <w:r w:rsidR="00994EB7" w:rsidRPr="00170A0A">
        <w:rPr>
          <w:spacing w:val="-2"/>
        </w:rPr>
        <w:t xml:space="preserve"> differences in the size–expenses relationship</w:t>
      </w:r>
      <w:r w:rsidR="0060284A" w:rsidRPr="00170A0A">
        <w:rPr>
          <w:spacing w:val="-2"/>
        </w:rPr>
        <w:t xml:space="preserve"> for</w:t>
      </w:r>
      <w:r w:rsidR="00510C3C" w:rsidRPr="00170A0A">
        <w:rPr>
          <w:spacing w:val="-2"/>
        </w:rPr>
        <w:t xml:space="preserve"> fund</w:t>
      </w:r>
      <w:r w:rsidR="00D46B61" w:rsidRPr="00170A0A">
        <w:rPr>
          <w:spacing w:val="-2"/>
        </w:rPr>
        <w:t>s in different segments</w:t>
      </w:r>
      <w:r w:rsidR="00994EB7" w:rsidRPr="00170A0A">
        <w:rPr>
          <w:spacing w:val="-2"/>
        </w:rPr>
        <w:t>.</w:t>
      </w:r>
      <w:r w:rsidRPr="00170A0A">
        <w:rPr>
          <w:spacing w:val="-2"/>
        </w:rPr>
        <w:t xml:space="preserve"> </w:t>
      </w:r>
      <w:r w:rsidR="00994EB7" w:rsidRPr="00170A0A">
        <w:rPr>
          <w:spacing w:val="-2"/>
        </w:rPr>
        <w:t>R</w:t>
      </w:r>
      <w:r w:rsidRPr="00170A0A">
        <w:rPr>
          <w:spacing w:val="-2"/>
        </w:rPr>
        <w:t>etail funds</w:t>
      </w:r>
      <w:r w:rsidR="00994EB7" w:rsidRPr="00170A0A">
        <w:rPr>
          <w:spacing w:val="-2"/>
        </w:rPr>
        <w:t>, for example,</w:t>
      </w:r>
      <w:r w:rsidRPr="00170A0A">
        <w:rPr>
          <w:spacing w:val="-2"/>
        </w:rPr>
        <w:t xml:space="preserve"> typically have higher administration expenses than not</w:t>
      </w:r>
      <w:r w:rsidRPr="00170A0A">
        <w:rPr>
          <w:spacing w:val="-2"/>
        </w:rPr>
        <w:noBreakHyphen/>
        <w:t>for</w:t>
      </w:r>
      <w:r w:rsidRPr="00170A0A">
        <w:rPr>
          <w:spacing w:val="-2"/>
        </w:rPr>
        <w:noBreakHyphen/>
        <w:t>profit funds of similar size.</w:t>
      </w:r>
      <w:r w:rsidR="00200B1E" w:rsidRPr="00170A0A">
        <w:rPr>
          <w:spacing w:val="-2"/>
        </w:rPr>
        <w:t xml:space="preserve"> </w:t>
      </w:r>
      <w:r w:rsidR="00575184" w:rsidRPr="00170A0A">
        <w:rPr>
          <w:spacing w:val="-2"/>
        </w:rPr>
        <w:t xml:space="preserve">Plots of </w:t>
      </w:r>
      <w:r w:rsidR="00575184" w:rsidRPr="00170A0A">
        <w:rPr>
          <w:i/>
          <w:spacing w:val="-2"/>
        </w:rPr>
        <w:t>average expenses</w:t>
      </w:r>
      <w:r w:rsidR="00575184" w:rsidRPr="00170A0A">
        <w:rPr>
          <w:spacing w:val="-2"/>
        </w:rPr>
        <w:t xml:space="preserve"> show clear evidence of </w:t>
      </w:r>
      <w:r w:rsidR="0060284A" w:rsidRPr="00170A0A">
        <w:rPr>
          <w:spacing w:val="-2"/>
        </w:rPr>
        <w:t>economies of scale</w:t>
      </w:r>
      <w:r w:rsidR="00575184" w:rsidRPr="00170A0A">
        <w:rPr>
          <w:spacing w:val="-2"/>
        </w:rPr>
        <w:t>, with the exception of the investment expenses reported by industry funds (figure </w:t>
      </w:r>
      <w:r w:rsidR="00A55FFD">
        <w:t>3</w:t>
      </w:r>
      <w:r w:rsidR="00575184" w:rsidRPr="00170A0A">
        <w:rPr>
          <w:spacing w:val="-2"/>
        </w:rPr>
        <w:t>)</w:t>
      </w:r>
      <w:r w:rsidR="0060284A" w:rsidRPr="00170A0A">
        <w:rPr>
          <w:spacing w:val="-2"/>
        </w:rPr>
        <w:t>.</w:t>
      </w:r>
      <w:r w:rsidR="0043512C">
        <w:rPr>
          <w:spacing w:val="-2"/>
        </w:rPr>
        <w:t xml:space="preserve"> Th</w:t>
      </w:r>
      <w:r w:rsidR="00F36A84">
        <w:rPr>
          <w:spacing w:val="-2"/>
        </w:rPr>
        <w:t>is</w:t>
      </w:r>
      <w:r w:rsidR="00802A37">
        <w:rPr>
          <w:spacing w:val="-2"/>
        </w:rPr>
        <w:t xml:space="preserve"> </w:t>
      </w:r>
      <w:r w:rsidR="0043512C">
        <w:rPr>
          <w:spacing w:val="-2"/>
        </w:rPr>
        <w:t xml:space="preserve">observation of scale economies </w:t>
      </w:r>
      <w:r w:rsidR="00802A37">
        <w:rPr>
          <w:spacing w:val="-2"/>
        </w:rPr>
        <w:t xml:space="preserve">is consistent with the </w:t>
      </w:r>
      <w:r w:rsidR="0043512C">
        <w:rPr>
          <w:spacing w:val="-2"/>
        </w:rPr>
        <w:t xml:space="preserve">analysis presented </w:t>
      </w:r>
      <w:r w:rsidR="00802A37">
        <w:rPr>
          <w:spacing w:val="-2"/>
        </w:rPr>
        <w:t>in the draft report</w:t>
      </w:r>
      <w:r w:rsidR="0043512C">
        <w:rPr>
          <w:spacing w:val="-2"/>
        </w:rPr>
        <w:t>.</w:t>
      </w:r>
    </w:p>
    <w:p w:rsidR="00262666" w:rsidRDefault="00262666" w:rsidP="00170A0A">
      <w:pPr>
        <w:pStyle w:val="BodyText"/>
      </w:pPr>
    </w:p>
    <w:p w:rsidR="00D045A3" w:rsidRDefault="00D045A3" w:rsidP="003015A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045A3" w:rsidTr="003015A8">
        <w:trPr>
          <w:tblHeader/>
        </w:trPr>
        <w:tc>
          <w:tcPr>
            <w:tcW w:w="5000" w:type="pct"/>
            <w:tcBorders>
              <w:top w:val="single" w:sz="6" w:space="0" w:color="78A22F"/>
              <w:left w:val="nil"/>
              <w:bottom w:val="nil"/>
              <w:right w:val="nil"/>
            </w:tcBorders>
            <w:shd w:val="clear" w:color="auto" w:fill="auto"/>
          </w:tcPr>
          <w:p w:rsidR="00D045A3" w:rsidRPr="00170A0A" w:rsidRDefault="00D045A3" w:rsidP="00243019">
            <w:pPr>
              <w:pStyle w:val="FigureTitle"/>
              <w:rPr>
                <w:spacing w:val="-2"/>
              </w:rPr>
            </w:pPr>
            <w:r w:rsidRPr="00784A05">
              <w:rPr>
                <w:b w:val="0"/>
              </w:rPr>
              <w:t xml:space="preserve">Figure </w:t>
            </w:r>
            <w:bookmarkStart w:id="19" w:name="OLE_LINK11"/>
            <w:r w:rsidR="004325AA">
              <w:rPr>
                <w:b w:val="0"/>
                <w:noProof/>
              </w:rPr>
              <w:t>2</w:t>
            </w:r>
            <w:bookmarkEnd w:id="19"/>
            <w:r>
              <w:tab/>
            </w:r>
            <w:r w:rsidR="00CD057F" w:rsidRPr="00170A0A">
              <w:rPr>
                <w:spacing w:val="-2"/>
              </w:rPr>
              <w:t>Fund s</w:t>
            </w:r>
            <w:r w:rsidR="00434F31" w:rsidRPr="00170A0A">
              <w:rPr>
                <w:spacing w:val="-2"/>
              </w:rPr>
              <w:t>ize–expenses relationships vary markedly by fund type</w:t>
            </w:r>
          </w:p>
          <w:p w:rsidR="00386836" w:rsidRPr="00674AA0" w:rsidRDefault="00386836" w:rsidP="00BF3706">
            <w:pPr>
              <w:pStyle w:val="Subtitle"/>
            </w:pPr>
            <w:r>
              <w:t>Total administration and investment expenses by fund size</w:t>
            </w:r>
            <w:r w:rsidR="0018557C">
              <w:t>, 2004</w:t>
            </w:r>
            <w:r w:rsidR="00CD057F">
              <w:t>–</w:t>
            </w:r>
            <w:r w:rsidR="0018557C">
              <w:t>2016</w:t>
            </w:r>
          </w:p>
        </w:tc>
      </w:tr>
      <w:tr w:rsidR="00D045A3" w:rsidTr="003015A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045A3" w:rsidRPr="00B1465D" w:rsidTr="003015A8">
              <w:trPr>
                <w:tblHeader/>
                <w:jc w:val="center"/>
              </w:trPr>
              <w:tc>
                <w:tcPr>
                  <w:tcW w:w="5000" w:type="pct"/>
                  <w:tcBorders>
                    <w:top w:val="nil"/>
                    <w:bottom w:val="nil"/>
                  </w:tcBorders>
                </w:tcPr>
                <w:p w:rsidR="00D045A3" w:rsidRDefault="00FB04EE" w:rsidP="003015A8">
                  <w:pPr>
                    <w:pStyle w:val="Figure"/>
                    <w:spacing w:before="60" w:after="60"/>
                    <w:rPr>
                      <w:rFonts w:ascii="Arial" w:hAnsi="Arial" w:cs="Arial"/>
                      <w:sz w:val="18"/>
                      <w:szCs w:val="18"/>
                    </w:rPr>
                  </w:pPr>
                  <w:r w:rsidRPr="00FB04EE">
                    <w:rPr>
                      <w:rFonts w:ascii="Arial" w:hAnsi="Arial" w:cs="Arial"/>
                      <w:noProof/>
                      <w:sz w:val="18"/>
                      <w:szCs w:val="18"/>
                    </w:rPr>
                    <w:drawing>
                      <wp:inline distT="0" distB="0" distL="0" distR="0" wp14:anchorId="29AC1799" wp14:editId="4A1210AA">
                        <wp:extent cx="4732020" cy="4960620"/>
                        <wp:effectExtent l="0" t="0" r="0" b="0"/>
                        <wp:docPr id="1" name="Picture 1" descr="This figure shows scatterplots of administration and investment expenses against total assets and number of member accounts, by fund type. While the relationship is upwards sloping, there are differences in the relationship between fund types; some are flatter and some are st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2020" cy="49606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457D55" w:rsidTr="00737B9B">
                    <w:trPr>
                      <w:tblHeader/>
                    </w:trPr>
                    <w:tc>
                      <w:tcPr>
                        <w:tcW w:w="1559" w:type="dxa"/>
                        <w:shd w:val="clear" w:color="auto" w:fill="F2F2F2" w:themeFill="background1" w:themeFillShade="F2"/>
                      </w:tcPr>
                      <w:p w:rsidR="00457D55" w:rsidRDefault="00457D55" w:rsidP="00457D55">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457D55" w:rsidRDefault="00457D55" w:rsidP="00457D55">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 xml:space="preserve"> (</w:t>
                        </w:r>
                        <w:r w:rsidRPr="00861568">
                          <w:rPr>
                            <w:rFonts w:ascii="Arial" w:eastAsia="+mn-ea" w:hAnsi="Arial" w:cs="Arial"/>
                            <w:color w:val="000000" w:themeColor="text1"/>
                            <w:kern w:val="24"/>
                            <w:sz w:val="18"/>
                            <w:szCs w:val="18"/>
                          </w:rPr>
                          <w:t>20</w:t>
                        </w:r>
                        <w:r>
                          <w:rPr>
                            <w:rFonts w:ascii="Arial" w:eastAsia="+mn-ea" w:hAnsi="Arial" w:cs="Arial"/>
                            <w:color w:val="000000" w:themeColor="text1"/>
                            <w:kern w:val="24"/>
                            <w:sz w:val="18"/>
                            <w:szCs w:val="18"/>
                          </w:rPr>
                          <w:t>0</w:t>
                        </w:r>
                        <w:r w:rsidRPr="00861568">
                          <w:rPr>
                            <w:rFonts w:ascii="Arial" w:eastAsia="+mn-ea" w:hAnsi="Arial" w:cs="Arial"/>
                            <w:color w:val="000000" w:themeColor="text1"/>
                            <w:kern w:val="24"/>
                            <w:sz w:val="18"/>
                            <w:szCs w:val="18"/>
                          </w:rPr>
                          <w:t>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w:t>
                        </w:r>
                        <w:r>
                          <w:rPr>
                            <w:rFonts w:ascii="Arial" w:eastAsia="+mn-ea" w:hAnsi="Arial" w:cs="Arial"/>
                            <w:color w:val="000000" w:themeColor="text1"/>
                            <w:kern w:val="24"/>
                            <w:sz w:val="18"/>
                            <w:szCs w:val="18"/>
                          </w:rPr>
                          <w:t>6).</w:t>
                        </w:r>
                      </w:p>
                    </w:tc>
                  </w:tr>
                  <w:tr w:rsidR="00457D55" w:rsidRPr="00AF556C" w:rsidTr="00737B9B">
                    <w:tc>
                      <w:tcPr>
                        <w:tcW w:w="1559" w:type="dxa"/>
                        <w:shd w:val="clear" w:color="auto" w:fill="F2F2F2" w:themeFill="background1" w:themeFillShade="F2"/>
                      </w:tcPr>
                      <w:p w:rsidR="00457D55" w:rsidRDefault="00457D55" w:rsidP="00457D55">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457D55" w:rsidRPr="00AF556C" w:rsidRDefault="00C252CC" w:rsidP="00457D55">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w:t>
                        </w:r>
                        <w:r w:rsidR="0005176F">
                          <w:rPr>
                            <w:rFonts w:ascii="Arial" w:eastAsia="+mn-ea" w:hAnsi="Arial" w:cs="Arial"/>
                            <w:color w:val="000000" w:themeColor="text1"/>
                            <w:kern w:val="24"/>
                            <w:sz w:val="18"/>
                            <w:szCs w:val="18"/>
                          </w:rPr>
                          <w:t>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w:t>
                        </w:r>
                        <w:r w:rsidR="000F2B85">
                          <w:rPr>
                            <w:rFonts w:ascii="Arial" w:eastAsia="+mn-ea" w:hAnsi="Arial" w:cs="Arial"/>
                            <w:color w:val="000000" w:themeColor="text1"/>
                            <w:kern w:val="24"/>
                            <w:sz w:val="18"/>
                            <w:szCs w:val="18"/>
                          </w:rPr>
                          <w:t>by assets</w:t>
                        </w:r>
                        <w:r>
                          <w:rPr>
                            <w:rFonts w:ascii="Arial" w:eastAsia="+mn-ea" w:hAnsi="Arial" w:cs="Arial"/>
                            <w:color w:val="000000" w:themeColor="text1"/>
                            <w:kern w:val="24"/>
                            <w:sz w:val="18"/>
                            <w:szCs w:val="18"/>
                          </w:rPr>
                          <w:t xml:space="preserve"> 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05 respectively. Excludes funds with less than two years of data.</w:t>
                        </w:r>
                      </w:p>
                    </w:tc>
                  </w:tr>
                </w:tbl>
                <w:p w:rsidR="00457D55" w:rsidRPr="00B1465D" w:rsidRDefault="00457D55" w:rsidP="003015A8">
                  <w:pPr>
                    <w:pStyle w:val="Figure"/>
                    <w:spacing w:before="60" w:after="60"/>
                    <w:rPr>
                      <w:rFonts w:ascii="Arial" w:hAnsi="Arial" w:cs="Arial"/>
                      <w:sz w:val="18"/>
                      <w:szCs w:val="18"/>
                    </w:rPr>
                  </w:pPr>
                </w:p>
              </w:tc>
            </w:tr>
          </w:tbl>
          <w:p w:rsidR="00D045A3" w:rsidRDefault="00D045A3" w:rsidP="003015A8">
            <w:pPr>
              <w:pStyle w:val="Figure"/>
            </w:pPr>
          </w:p>
        </w:tc>
      </w:tr>
      <w:tr w:rsidR="00D045A3" w:rsidTr="003015A8">
        <w:tc>
          <w:tcPr>
            <w:tcW w:w="5000" w:type="pct"/>
            <w:tcBorders>
              <w:top w:val="nil"/>
              <w:left w:val="nil"/>
              <w:bottom w:val="single" w:sz="6" w:space="0" w:color="78A22F"/>
              <w:right w:val="nil"/>
            </w:tcBorders>
            <w:shd w:val="clear" w:color="auto" w:fill="auto"/>
          </w:tcPr>
          <w:p w:rsidR="00D045A3" w:rsidRDefault="00D045A3" w:rsidP="003015A8">
            <w:pPr>
              <w:pStyle w:val="Figurespace"/>
            </w:pPr>
          </w:p>
        </w:tc>
      </w:tr>
      <w:tr w:rsidR="00D045A3" w:rsidRPr="000863A5" w:rsidTr="003015A8">
        <w:tc>
          <w:tcPr>
            <w:tcW w:w="5000" w:type="pct"/>
            <w:tcBorders>
              <w:top w:val="single" w:sz="6" w:space="0" w:color="78A22F"/>
              <w:left w:val="nil"/>
              <w:bottom w:val="nil"/>
              <w:right w:val="nil"/>
            </w:tcBorders>
          </w:tcPr>
          <w:p w:rsidR="00D045A3" w:rsidRPr="00626D32" w:rsidRDefault="00D045A3" w:rsidP="003015A8">
            <w:pPr>
              <w:pStyle w:val="BoxSpaceBelow"/>
            </w:pPr>
          </w:p>
        </w:tc>
      </w:tr>
    </w:tbl>
    <w:p w:rsidR="003D5406" w:rsidRDefault="003D5406" w:rsidP="003D540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D5406" w:rsidTr="003D5406">
        <w:trPr>
          <w:tblHeader/>
        </w:trPr>
        <w:tc>
          <w:tcPr>
            <w:tcW w:w="5000" w:type="pct"/>
            <w:tcBorders>
              <w:top w:val="single" w:sz="6" w:space="0" w:color="78A22F"/>
              <w:left w:val="nil"/>
              <w:bottom w:val="nil"/>
              <w:right w:val="nil"/>
            </w:tcBorders>
            <w:shd w:val="clear" w:color="auto" w:fill="auto"/>
          </w:tcPr>
          <w:p w:rsidR="003D5406" w:rsidRDefault="003D5406" w:rsidP="00527C10">
            <w:pPr>
              <w:pStyle w:val="FigureTitle"/>
            </w:pPr>
            <w:r w:rsidRPr="00784A05">
              <w:rPr>
                <w:b w:val="0"/>
              </w:rPr>
              <w:t xml:space="preserve">Figure </w:t>
            </w:r>
            <w:bookmarkStart w:id="20" w:name="OLE_LINK30"/>
            <w:r w:rsidR="004325AA">
              <w:rPr>
                <w:b w:val="0"/>
                <w:noProof/>
              </w:rPr>
              <w:t>3</w:t>
            </w:r>
            <w:bookmarkEnd w:id="20"/>
            <w:r>
              <w:tab/>
            </w:r>
            <w:r w:rsidR="00FF4256">
              <w:t xml:space="preserve">Economies of scale are </w:t>
            </w:r>
            <w:r w:rsidR="005E0CCE">
              <w:t xml:space="preserve">evident </w:t>
            </w:r>
            <w:r w:rsidR="00FF4256">
              <w:t>in the raw data</w:t>
            </w:r>
            <w:r w:rsidR="00AF2242" w:rsidRPr="00EA17D1">
              <w:rPr>
                <w:rStyle w:val="NoteLabel"/>
                <w:b/>
              </w:rPr>
              <w:t>a</w:t>
            </w:r>
          </w:p>
          <w:p w:rsidR="0018557C" w:rsidRPr="00176D3F" w:rsidRDefault="0018557C" w:rsidP="00BF3706">
            <w:pPr>
              <w:pStyle w:val="Subtitle"/>
            </w:pPr>
            <w:r>
              <w:t xml:space="preserve">Average administration and investment expenses by fund size, </w:t>
            </w:r>
            <w:r w:rsidR="00D23C86">
              <w:t>basis points (bps)</w:t>
            </w:r>
            <w:r w:rsidR="00CD057F">
              <w:t>,</w:t>
            </w:r>
            <w:r w:rsidR="00D23C86">
              <w:t xml:space="preserve"> </w:t>
            </w:r>
            <w:r>
              <w:t>2004</w:t>
            </w:r>
            <w:r w:rsidR="00D23C86">
              <w:t>–</w:t>
            </w:r>
            <w:r w:rsidR="00971B3A">
              <w:t>2016</w:t>
            </w:r>
          </w:p>
        </w:tc>
      </w:tr>
      <w:tr w:rsidR="003D5406" w:rsidTr="003D540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D5406" w:rsidRPr="00B1465D" w:rsidTr="003D5406">
              <w:trPr>
                <w:tblHeader/>
                <w:jc w:val="center"/>
              </w:trPr>
              <w:tc>
                <w:tcPr>
                  <w:tcW w:w="5000" w:type="pct"/>
                  <w:tcBorders>
                    <w:top w:val="nil"/>
                    <w:bottom w:val="nil"/>
                  </w:tcBorders>
                </w:tcPr>
                <w:p w:rsidR="003D5406" w:rsidRDefault="007B4886" w:rsidP="003D5406">
                  <w:pPr>
                    <w:pStyle w:val="Figure"/>
                    <w:spacing w:before="60" w:after="60"/>
                    <w:rPr>
                      <w:rFonts w:ascii="Arial" w:hAnsi="Arial" w:cs="Arial"/>
                      <w:sz w:val="18"/>
                      <w:szCs w:val="18"/>
                    </w:rPr>
                  </w:pPr>
                  <w:r w:rsidRPr="007B4886">
                    <w:rPr>
                      <w:rFonts w:ascii="Arial" w:hAnsi="Arial" w:cs="Arial"/>
                      <w:noProof/>
                      <w:sz w:val="18"/>
                      <w:szCs w:val="18"/>
                    </w:rPr>
                    <w:drawing>
                      <wp:inline distT="0" distB="0" distL="0" distR="0" wp14:anchorId="3216198F" wp14:editId="14DF4796">
                        <wp:extent cx="5394960" cy="2880360"/>
                        <wp:effectExtent l="0" t="0" r="0" b="0"/>
                        <wp:docPr id="46" name="Picture 46" descr="This figure shows scatterplots of average administration expense and average investment expenses against total assets by fund type, with a line of best fit plotted over the data. The lines are downwards sloping in most cases suggesting that there are economies of scale. However, the line of best fit for average investment expenses for industry funds is upwards sl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4960" cy="2880360"/>
                                </a:xfrm>
                                <a:prstGeom prst="rect">
                                  <a:avLst/>
                                </a:prstGeom>
                                <a:noFill/>
                                <a:ln>
                                  <a:noFill/>
                                </a:ln>
                              </pic:spPr>
                            </pic:pic>
                          </a:graphicData>
                        </a:graphic>
                      </wp:inline>
                    </w:drawing>
                  </w:r>
                </w:p>
                <w:p w:rsidR="003D5406" w:rsidRDefault="007B4886" w:rsidP="003D540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4CA07A7" wp14:editId="65947A6A">
                        <wp:extent cx="5400346" cy="2880153"/>
                        <wp:effectExtent l="0" t="0" r="0" b="0"/>
                        <wp:docPr id="6" name="Picture 6" descr="This figure shows scatterplots of average administration expense and average investment expenses against total assets by fund type, with a line of best fit plotted over the data. The lines are downwards sloping in most cases suggesting that there are economies of scale. However, the line of best fit for average investment expenses for industry funds is upwards sl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est_fig1_PHIL_20181113.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bl>
                  <w:tblPr>
                    <w:tblW w:w="0" w:type="auto"/>
                    <w:tblLook w:val="04A0" w:firstRow="1" w:lastRow="0" w:firstColumn="1" w:lastColumn="0" w:noHBand="0" w:noVBand="1"/>
                  </w:tblPr>
                  <w:tblGrid>
                    <w:gridCol w:w="1559"/>
                    <w:gridCol w:w="6935"/>
                  </w:tblGrid>
                  <w:tr w:rsidR="00442040" w:rsidTr="006E1D8F">
                    <w:trPr>
                      <w:tblHeader/>
                    </w:trPr>
                    <w:tc>
                      <w:tcPr>
                        <w:tcW w:w="1559" w:type="dxa"/>
                        <w:shd w:val="clear" w:color="auto" w:fill="F2F2F2" w:themeFill="background1" w:themeFillShade="F2"/>
                      </w:tcPr>
                      <w:p w:rsidR="00442040" w:rsidRDefault="00442040" w:rsidP="0044204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442040" w:rsidRDefault="00442040" w:rsidP="00442040">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 xml:space="preserve"> (</w:t>
                        </w:r>
                        <w:r w:rsidRPr="00861568">
                          <w:rPr>
                            <w:rFonts w:ascii="Arial" w:eastAsia="+mn-ea" w:hAnsi="Arial" w:cs="Arial"/>
                            <w:color w:val="000000" w:themeColor="text1"/>
                            <w:kern w:val="24"/>
                            <w:sz w:val="18"/>
                            <w:szCs w:val="18"/>
                          </w:rPr>
                          <w:t>20</w:t>
                        </w:r>
                        <w:r>
                          <w:rPr>
                            <w:rFonts w:ascii="Arial" w:eastAsia="+mn-ea" w:hAnsi="Arial" w:cs="Arial"/>
                            <w:color w:val="000000" w:themeColor="text1"/>
                            <w:kern w:val="24"/>
                            <w:sz w:val="18"/>
                            <w:szCs w:val="18"/>
                          </w:rPr>
                          <w:t>0</w:t>
                        </w:r>
                        <w:r w:rsidRPr="00861568">
                          <w:rPr>
                            <w:rFonts w:ascii="Arial" w:eastAsia="+mn-ea" w:hAnsi="Arial" w:cs="Arial"/>
                            <w:color w:val="000000" w:themeColor="text1"/>
                            <w:kern w:val="24"/>
                            <w:sz w:val="18"/>
                            <w:szCs w:val="18"/>
                          </w:rPr>
                          <w:t>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w:t>
                        </w:r>
                        <w:r>
                          <w:rPr>
                            <w:rFonts w:ascii="Arial" w:eastAsia="+mn-ea" w:hAnsi="Arial" w:cs="Arial"/>
                            <w:color w:val="000000" w:themeColor="text1"/>
                            <w:kern w:val="24"/>
                            <w:sz w:val="18"/>
                            <w:szCs w:val="18"/>
                          </w:rPr>
                          <w:t>6).</w:t>
                        </w:r>
                      </w:p>
                    </w:tc>
                  </w:tr>
                  <w:tr w:rsidR="00442040" w:rsidRPr="00AF556C" w:rsidTr="006E1D8F">
                    <w:tc>
                      <w:tcPr>
                        <w:tcW w:w="1559" w:type="dxa"/>
                        <w:shd w:val="clear" w:color="auto" w:fill="F2F2F2" w:themeFill="background1" w:themeFillShade="F2"/>
                      </w:tcPr>
                      <w:p w:rsidR="00442040" w:rsidRDefault="00442040" w:rsidP="0044204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442040" w:rsidRPr="00AF556C" w:rsidRDefault="00442040" w:rsidP="00442040">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w:t>
                        </w:r>
                        <w:r w:rsidR="0005176F">
                          <w:rPr>
                            <w:rFonts w:ascii="Arial" w:eastAsia="+mn-ea" w:hAnsi="Arial" w:cs="Arial"/>
                            <w:color w:val="000000" w:themeColor="text1"/>
                            <w:kern w:val="24"/>
                            <w:sz w:val="18"/>
                            <w:szCs w:val="18"/>
                          </w:rPr>
                          <w:t>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w:t>
                        </w:r>
                        <w:r w:rsidR="000F2B85">
                          <w:rPr>
                            <w:rFonts w:ascii="Arial" w:eastAsia="+mn-ea" w:hAnsi="Arial" w:cs="Arial"/>
                            <w:color w:val="000000" w:themeColor="text1"/>
                            <w:kern w:val="24"/>
                            <w:sz w:val="18"/>
                            <w:szCs w:val="18"/>
                          </w:rPr>
                          <w:t>by assets</w:t>
                        </w:r>
                        <w:r>
                          <w:rPr>
                            <w:rFonts w:ascii="Arial" w:eastAsia="+mn-ea" w:hAnsi="Arial" w:cs="Arial"/>
                            <w:color w:val="000000" w:themeColor="text1"/>
                            <w:kern w:val="24"/>
                            <w:sz w:val="18"/>
                            <w:szCs w:val="18"/>
                          </w:rPr>
                          <w:t xml:space="preserve"> 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05 respectively. Excludes funds with less than two years of data.</w:t>
                        </w:r>
                      </w:p>
                    </w:tc>
                  </w:tr>
                </w:tbl>
                <w:p w:rsidR="00442040" w:rsidRPr="00B1465D" w:rsidRDefault="00442040" w:rsidP="003D5406">
                  <w:pPr>
                    <w:pStyle w:val="Figure"/>
                    <w:spacing w:before="60" w:after="60"/>
                    <w:rPr>
                      <w:rFonts w:ascii="Arial" w:hAnsi="Arial" w:cs="Arial"/>
                      <w:sz w:val="18"/>
                      <w:szCs w:val="18"/>
                    </w:rPr>
                  </w:pPr>
                </w:p>
              </w:tc>
            </w:tr>
          </w:tbl>
          <w:p w:rsidR="003D5406" w:rsidRDefault="003D5406" w:rsidP="003D5406">
            <w:pPr>
              <w:pStyle w:val="Figure"/>
            </w:pPr>
          </w:p>
        </w:tc>
      </w:tr>
      <w:tr w:rsidR="003D5406" w:rsidRPr="00176D3F" w:rsidTr="003D5406">
        <w:tc>
          <w:tcPr>
            <w:tcW w:w="5000" w:type="pct"/>
            <w:tcBorders>
              <w:top w:val="nil"/>
              <w:left w:val="nil"/>
              <w:bottom w:val="nil"/>
              <w:right w:val="nil"/>
            </w:tcBorders>
            <w:shd w:val="clear" w:color="auto" w:fill="auto"/>
          </w:tcPr>
          <w:p w:rsidR="003D5406" w:rsidRPr="00176D3F" w:rsidRDefault="003D5406" w:rsidP="00442040">
            <w:pPr>
              <w:pStyle w:val="Note"/>
            </w:pPr>
            <w:r>
              <w:rPr>
                <w:rStyle w:val="NoteLabel"/>
              </w:rPr>
              <w:t>a</w:t>
            </w:r>
            <w:r>
              <w:t xml:space="preserve"> </w:t>
            </w:r>
            <w:r w:rsidR="0066396F">
              <w:t xml:space="preserve">The </w:t>
            </w:r>
            <w:r w:rsidR="00C73010">
              <w:t xml:space="preserve">95 per cent confidence </w:t>
            </w:r>
            <w:r w:rsidR="00CD057F">
              <w:t>interval</w:t>
            </w:r>
            <w:r w:rsidR="0066396F">
              <w:t xml:space="preserve">s </w:t>
            </w:r>
            <w:r w:rsidR="00AF2242">
              <w:t xml:space="preserve">for these relationships </w:t>
            </w:r>
            <w:r w:rsidR="0066396F">
              <w:t>are not presented but</w:t>
            </w:r>
            <w:r w:rsidR="00C73010">
              <w:t xml:space="preserve"> </w:t>
            </w:r>
            <w:r w:rsidR="0018557C">
              <w:t xml:space="preserve">sit very close to the estimated </w:t>
            </w:r>
            <w:r w:rsidR="000C012E">
              <w:t>curves</w:t>
            </w:r>
            <w:r w:rsidR="0066396F">
              <w:t>.</w:t>
            </w:r>
          </w:p>
        </w:tc>
      </w:tr>
      <w:tr w:rsidR="003D5406" w:rsidRPr="00176D3F" w:rsidTr="003D5406">
        <w:tc>
          <w:tcPr>
            <w:tcW w:w="5000" w:type="pct"/>
            <w:tcBorders>
              <w:top w:val="nil"/>
              <w:left w:val="nil"/>
              <w:bottom w:val="nil"/>
              <w:right w:val="nil"/>
            </w:tcBorders>
            <w:shd w:val="clear" w:color="auto" w:fill="auto"/>
          </w:tcPr>
          <w:p w:rsidR="003D5406" w:rsidRPr="00176D3F" w:rsidRDefault="00FD694C" w:rsidP="003D5406">
            <w:pPr>
              <w:pStyle w:val="Source"/>
            </w:pPr>
            <w:r>
              <w:rPr>
                <w:i/>
              </w:rPr>
              <w:t>S</w:t>
            </w:r>
            <w:r w:rsidRPr="00784A05">
              <w:rPr>
                <w:i/>
              </w:rPr>
              <w:t>ource</w:t>
            </w:r>
            <w:r w:rsidRPr="00176D3F">
              <w:t xml:space="preserve">: </w:t>
            </w:r>
            <w:r>
              <w:rPr>
                <w:rFonts w:eastAsia="+mn-ea" w:cs="Arial"/>
                <w:color w:val="000000" w:themeColor="text1"/>
                <w:kern w:val="24"/>
                <w:szCs w:val="18"/>
              </w:rPr>
              <w:t xml:space="preserve">PC analysis of APRA </w:t>
            </w:r>
            <w:r w:rsidR="00CD057F" w:rsidRPr="0018371D">
              <w:rPr>
                <w:rFonts w:eastAsia="+mn-ea" w:cs="Arial"/>
                <w:color w:val="000000" w:themeColor="text1"/>
                <w:kern w:val="24"/>
                <w:szCs w:val="18"/>
              </w:rPr>
              <w:t>data.</w:t>
            </w:r>
          </w:p>
        </w:tc>
      </w:tr>
      <w:tr w:rsidR="003D5406" w:rsidTr="003D5406">
        <w:tc>
          <w:tcPr>
            <w:tcW w:w="5000" w:type="pct"/>
            <w:tcBorders>
              <w:top w:val="nil"/>
              <w:left w:val="nil"/>
              <w:bottom w:val="single" w:sz="6" w:space="0" w:color="78A22F"/>
              <w:right w:val="nil"/>
            </w:tcBorders>
            <w:shd w:val="clear" w:color="auto" w:fill="auto"/>
          </w:tcPr>
          <w:p w:rsidR="003D5406" w:rsidRDefault="003D5406" w:rsidP="003D5406">
            <w:pPr>
              <w:pStyle w:val="Figurespace"/>
            </w:pPr>
          </w:p>
        </w:tc>
      </w:tr>
      <w:tr w:rsidR="003D5406" w:rsidRPr="000863A5" w:rsidTr="003D5406">
        <w:tc>
          <w:tcPr>
            <w:tcW w:w="5000" w:type="pct"/>
            <w:tcBorders>
              <w:top w:val="single" w:sz="6" w:space="0" w:color="78A22F"/>
              <w:left w:val="nil"/>
              <w:bottom w:val="nil"/>
              <w:right w:val="nil"/>
            </w:tcBorders>
          </w:tcPr>
          <w:p w:rsidR="003D5406" w:rsidRPr="00626D32" w:rsidRDefault="003D5406" w:rsidP="003D5406">
            <w:pPr>
              <w:pStyle w:val="BoxSpaceBelow"/>
            </w:pPr>
          </w:p>
        </w:tc>
      </w:tr>
    </w:tbl>
    <w:p w:rsidR="006F057C" w:rsidRDefault="006F057C" w:rsidP="00AF2242">
      <w:pPr>
        <w:pStyle w:val="BodyText"/>
      </w:pPr>
    </w:p>
    <w:p w:rsidR="006F057C" w:rsidRDefault="006F057C">
      <w:pPr>
        <w:rPr>
          <w:szCs w:val="20"/>
        </w:rPr>
      </w:pPr>
      <w:r>
        <w:br w:type="page"/>
      </w:r>
    </w:p>
    <w:p w:rsidR="00AF2242" w:rsidRDefault="00AF2242" w:rsidP="00AF2242">
      <w:pPr>
        <w:pStyle w:val="BodyText"/>
      </w:pPr>
      <w:r>
        <w:lastRenderedPageBreak/>
        <w:t>Pass</w:t>
      </w:r>
      <w:r>
        <w:noBreakHyphen/>
        <w:t>through of economies of scale (through lower average fees) is not evident on casual inspection of the data. If average costs decline as a fund grows and are passed through to members in the form of lower fees one might expect to see fees falling from year to year as funds become larger</w:t>
      </w:r>
      <w:r w:rsidR="00A96F83">
        <w:t>.</w:t>
      </w:r>
      <w:r>
        <w:rPr>
          <w:rStyle w:val="FootnoteReference"/>
        </w:rPr>
        <w:footnoteReference w:id="10"/>
      </w:r>
      <w:r>
        <w:t xml:space="preserve"> The raw data do not suggest a clear relationship of this type (figure 4).</w:t>
      </w:r>
    </w:p>
    <w:p w:rsidR="008322A1" w:rsidRDefault="008322A1" w:rsidP="008441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22A1" w:rsidTr="0084418D">
        <w:trPr>
          <w:tblHeader/>
        </w:trPr>
        <w:tc>
          <w:tcPr>
            <w:tcW w:w="5000" w:type="pct"/>
            <w:tcBorders>
              <w:top w:val="single" w:sz="6" w:space="0" w:color="78A22F"/>
              <w:left w:val="nil"/>
              <w:bottom w:val="nil"/>
              <w:right w:val="nil"/>
            </w:tcBorders>
            <w:shd w:val="clear" w:color="auto" w:fill="auto"/>
          </w:tcPr>
          <w:p w:rsidR="008322A1" w:rsidRDefault="008322A1" w:rsidP="0084418D">
            <w:pPr>
              <w:pStyle w:val="FigureTitle"/>
            </w:pPr>
            <w:r w:rsidRPr="00784A05">
              <w:rPr>
                <w:b w:val="0"/>
              </w:rPr>
              <w:t xml:space="preserve">Figure </w:t>
            </w:r>
            <w:bookmarkStart w:id="21" w:name="OLE_LINK14"/>
            <w:bookmarkStart w:id="22" w:name="OLE_LINK29"/>
            <w:r w:rsidR="004325AA">
              <w:rPr>
                <w:b w:val="0"/>
                <w:noProof/>
              </w:rPr>
              <w:t>4</w:t>
            </w:r>
            <w:bookmarkEnd w:id="21"/>
            <w:bookmarkEnd w:id="22"/>
            <w:r>
              <w:tab/>
            </w:r>
            <w:r w:rsidR="00C02B66">
              <w:t>Pass</w:t>
            </w:r>
            <w:r w:rsidR="00C02B66">
              <w:noBreakHyphen/>
              <w:t>through is not evident on casual inspection</w:t>
            </w:r>
            <w:r w:rsidR="00F642A0">
              <w:t xml:space="preserve"> </w:t>
            </w:r>
            <w:r w:rsidR="00A527CD">
              <w:t>of</w:t>
            </w:r>
            <w:r w:rsidR="00F642A0">
              <w:t xml:space="preserve"> year on year changes in expenses and fees</w:t>
            </w:r>
            <w:r w:rsidR="00A527CD">
              <w:t xml:space="preserve"> over time</w:t>
            </w:r>
          </w:p>
          <w:p w:rsidR="008322A1" w:rsidRPr="00176D3F" w:rsidRDefault="000C012E" w:rsidP="001B2793">
            <w:pPr>
              <w:pStyle w:val="Subtitle"/>
            </w:pPr>
            <w:r>
              <w:t>Annua</w:t>
            </w:r>
            <w:r w:rsidR="001B2793">
              <w:t>l basis point (b</w:t>
            </w:r>
            <w:r w:rsidR="00D23C86">
              <w:t>p</w:t>
            </w:r>
            <w:r w:rsidR="001B2793">
              <w:t>s</w:t>
            </w:r>
            <w:r w:rsidR="00D23C86">
              <w:t xml:space="preserve">) </w:t>
            </w:r>
            <w:r>
              <w:t xml:space="preserve">changes in administration and investment </w:t>
            </w:r>
            <w:r w:rsidR="00122EF5">
              <w:t>fees</w:t>
            </w:r>
            <w:r>
              <w:t xml:space="preserve"> by annual change in size, 2004</w:t>
            </w:r>
            <w:r w:rsidR="00123633">
              <w:t>–</w:t>
            </w:r>
            <w:r w:rsidR="00971B3A">
              <w:t>2016</w:t>
            </w:r>
          </w:p>
        </w:tc>
      </w:tr>
      <w:tr w:rsidR="008322A1" w:rsidTr="0084418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22A1" w:rsidRPr="00B1465D" w:rsidTr="0084418D">
              <w:trPr>
                <w:tblHeader/>
                <w:jc w:val="center"/>
              </w:trPr>
              <w:tc>
                <w:tcPr>
                  <w:tcW w:w="5000" w:type="pct"/>
                  <w:tcBorders>
                    <w:top w:val="nil"/>
                    <w:bottom w:val="nil"/>
                  </w:tcBorders>
                </w:tcPr>
                <w:p w:rsidR="008322A1" w:rsidRDefault="0005176F" w:rsidP="0084418D">
                  <w:pPr>
                    <w:pStyle w:val="Figure"/>
                    <w:spacing w:before="60" w:after="60"/>
                    <w:rPr>
                      <w:rFonts w:ascii="Arial" w:hAnsi="Arial" w:cs="Arial"/>
                      <w:sz w:val="18"/>
                      <w:szCs w:val="18"/>
                    </w:rPr>
                  </w:pPr>
                  <w:r w:rsidRPr="0005176F">
                    <w:rPr>
                      <w:rFonts w:ascii="Arial" w:hAnsi="Arial" w:cs="Arial"/>
                      <w:sz w:val="18"/>
                      <w:szCs w:val="18"/>
                    </w:rPr>
                    <w:t xml:space="preserve"> </w:t>
                  </w:r>
                  <w:r w:rsidR="005104F2" w:rsidRPr="005104F2">
                    <w:rPr>
                      <w:rFonts w:ascii="Arial" w:hAnsi="Arial" w:cs="Arial"/>
                      <w:noProof/>
                      <w:sz w:val="18"/>
                      <w:szCs w:val="18"/>
                    </w:rPr>
                    <w:drawing>
                      <wp:inline distT="0" distB="0" distL="0" distR="0" wp14:anchorId="0C29322B" wp14:editId="23764030">
                        <wp:extent cx="5021580" cy="3002280"/>
                        <wp:effectExtent l="0" t="0" r="0" b="0"/>
                        <wp:docPr id="53" name="Picture 53" descr="Scatterplots of the annual change in administration and investment fees against the annual change in assets. There does not appear to be a downwards sloping relationship, suggesting little evidence of pass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1580" cy="300228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B03CCA" w:rsidTr="00BB0E61">
                    <w:trPr>
                      <w:tblHeader/>
                    </w:trPr>
                    <w:tc>
                      <w:tcPr>
                        <w:tcW w:w="1559" w:type="dxa"/>
                        <w:shd w:val="clear" w:color="auto" w:fill="F2F2F2" w:themeFill="background1" w:themeFillShade="F2"/>
                      </w:tcPr>
                      <w:p w:rsidR="00B03CCA" w:rsidRDefault="00B03CCA" w:rsidP="00B03CCA">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B03CCA" w:rsidRDefault="00B03CCA" w:rsidP="00B03CCA">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SuperRatings and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 xml:space="preserve"> (</w:t>
                        </w:r>
                        <w:r w:rsidRPr="00861568">
                          <w:rPr>
                            <w:rFonts w:ascii="Arial" w:eastAsia="+mn-ea" w:hAnsi="Arial" w:cs="Arial"/>
                            <w:color w:val="000000" w:themeColor="text1"/>
                            <w:kern w:val="24"/>
                            <w:sz w:val="18"/>
                            <w:szCs w:val="18"/>
                          </w:rPr>
                          <w:t>20</w:t>
                        </w:r>
                        <w:r>
                          <w:rPr>
                            <w:rFonts w:ascii="Arial" w:eastAsia="+mn-ea" w:hAnsi="Arial" w:cs="Arial"/>
                            <w:color w:val="000000" w:themeColor="text1"/>
                            <w:kern w:val="24"/>
                            <w:sz w:val="18"/>
                            <w:szCs w:val="18"/>
                          </w:rPr>
                          <w:t>0</w:t>
                        </w:r>
                        <w:r w:rsidRPr="00861568">
                          <w:rPr>
                            <w:rFonts w:ascii="Arial" w:eastAsia="+mn-ea" w:hAnsi="Arial" w:cs="Arial"/>
                            <w:color w:val="000000" w:themeColor="text1"/>
                            <w:kern w:val="24"/>
                            <w:sz w:val="18"/>
                            <w:szCs w:val="18"/>
                          </w:rPr>
                          <w:t>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w:t>
                        </w:r>
                        <w:r>
                          <w:rPr>
                            <w:rFonts w:ascii="Arial" w:eastAsia="+mn-ea" w:hAnsi="Arial" w:cs="Arial"/>
                            <w:color w:val="000000" w:themeColor="text1"/>
                            <w:kern w:val="24"/>
                            <w:sz w:val="18"/>
                            <w:szCs w:val="18"/>
                          </w:rPr>
                          <w:t>6).</w:t>
                        </w:r>
                      </w:p>
                    </w:tc>
                  </w:tr>
                  <w:tr w:rsidR="00B03CCA" w:rsidRPr="00AF556C" w:rsidTr="00BB0E61">
                    <w:tc>
                      <w:tcPr>
                        <w:tcW w:w="1559" w:type="dxa"/>
                        <w:shd w:val="clear" w:color="auto" w:fill="F2F2F2" w:themeFill="background1" w:themeFillShade="F2"/>
                      </w:tcPr>
                      <w:p w:rsidR="00B03CCA" w:rsidRDefault="00B03CCA" w:rsidP="00B03CCA">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B03CCA" w:rsidRPr="00AF556C" w:rsidRDefault="00B03CCA" w:rsidP="00BB0E61">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118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w:t>
                        </w:r>
                        <w:r w:rsidR="00173EA7">
                          <w:rPr>
                            <w:rFonts w:ascii="Arial" w:eastAsia="+mn-ea" w:hAnsi="Arial" w:cs="Arial"/>
                            <w:color w:val="000000" w:themeColor="text1"/>
                            <w:kern w:val="24"/>
                            <w:sz w:val="18"/>
                            <w:szCs w:val="18"/>
                          </w:rPr>
                          <w:t>81</w:t>
                        </w:r>
                        <w:r>
                          <w:rPr>
                            <w:rFonts w:ascii="Arial" w:eastAsia="+mn-ea" w:hAnsi="Arial" w:cs="Arial"/>
                            <w:color w:val="000000" w:themeColor="text1"/>
                            <w:kern w:val="24"/>
                            <w:sz w:val="18"/>
                            <w:szCs w:val="18"/>
                          </w:rPr>
                          <w:t xml:space="preserve"> per cent and </w:t>
                        </w:r>
                        <w:r w:rsidR="00173EA7">
                          <w:rPr>
                            <w:rFonts w:ascii="Arial" w:eastAsia="+mn-ea" w:hAnsi="Arial" w:cs="Arial"/>
                            <w:color w:val="000000" w:themeColor="text1"/>
                            <w:kern w:val="24"/>
                            <w:sz w:val="18"/>
                            <w:szCs w:val="18"/>
                          </w:rPr>
                          <w:t>39</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w:t>
                        </w:r>
                        <w:r w:rsidR="00BB0E61">
                          <w:rPr>
                            <w:rFonts w:ascii="Arial" w:eastAsia="+mn-ea" w:hAnsi="Arial" w:cs="Arial"/>
                            <w:color w:val="000000" w:themeColor="text1"/>
                            <w:kern w:val="24"/>
                            <w:sz w:val="18"/>
                            <w:szCs w:val="18"/>
                          </w:rPr>
                          <w:t xml:space="preserve">f the system </w:t>
                        </w:r>
                        <w:r w:rsidR="000F2B85">
                          <w:rPr>
                            <w:rFonts w:ascii="Arial" w:eastAsia="+mn-ea" w:hAnsi="Arial" w:cs="Arial"/>
                            <w:color w:val="000000" w:themeColor="text1"/>
                            <w:kern w:val="24"/>
                            <w:sz w:val="18"/>
                            <w:szCs w:val="18"/>
                          </w:rPr>
                          <w:t xml:space="preserve">by assets </w:t>
                        </w:r>
                        <w:r w:rsidR="00BB0E61">
                          <w:rPr>
                            <w:rFonts w:ascii="Arial" w:eastAsia="+mn-ea" w:hAnsi="Arial" w:cs="Arial"/>
                            <w:color w:val="000000" w:themeColor="text1"/>
                            <w:kern w:val="24"/>
                            <w:sz w:val="18"/>
                            <w:szCs w:val="18"/>
                          </w:rPr>
                          <w:t>in 2015</w:t>
                        </w:r>
                        <w:r w:rsidR="00F640C8">
                          <w:rPr>
                            <w:rFonts w:ascii="Arial" w:eastAsia="+mn-ea" w:hAnsi="Arial" w:cs="Arial"/>
                            <w:color w:val="000000" w:themeColor="text1"/>
                            <w:kern w:val="24"/>
                            <w:sz w:val="18"/>
                            <w:szCs w:val="18"/>
                          </w:rPr>
                          <w:noBreakHyphen/>
                        </w:r>
                        <w:r w:rsidR="00BB0E61">
                          <w:rPr>
                            <w:rFonts w:ascii="Arial" w:eastAsia="+mn-ea" w:hAnsi="Arial" w:cs="Arial"/>
                            <w:color w:val="000000" w:themeColor="text1"/>
                            <w:kern w:val="24"/>
                            <w:sz w:val="18"/>
                            <w:szCs w:val="18"/>
                          </w:rPr>
                          <w:t>16 and 2005</w:t>
                        </w:r>
                        <w:r w:rsidR="00F640C8">
                          <w:rPr>
                            <w:rFonts w:ascii="Arial" w:eastAsia="+mn-ea" w:hAnsi="Arial" w:cs="Arial"/>
                            <w:color w:val="000000" w:themeColor="text1"/>
                            <w:kern w:val="24"/>
                            <w:sz w:val="18"/>
                            <w:szCs w:val="18"/>
                          </w:rPr>
                          <w:noBreakHyphen/>
                        </w:r>
                        <w:r w:rsidR="00BB0E61">
                          <w:rPr>
                            <w:rFonts w:ascii="Arial" w:eastAsia="+mn-ea" w:hAnsi="Arial" w:cs="Arial"/>
                            <w:color w:val="000000" w:themeColor="text1"/>
                            <w:kern w:val="24"/>
                            <w:sz w:val="18"/>
                            <w:szCs w:val="18"/>
                          </w:rPr>
                          <w:t>06</w:t>
                        </w:r>
                        <w:r>
                          <w:rPr>
                            <w:rFonts w:ascii="Arial" w:eastAsia="+mn-ea" w:hAnsi="Arial" w:cs="Arial"/>
                            <w:color w:val="000000" w:themeColor="text1"/>
                            <w:kern w:val="24"/>
                            <w:sz w:val="18"/>
                            <w:szCs w:val="18"/>
                          </w:rPr>
                          <w:t xml:space="preserve"> respectively</w:t>
                        </w:r>
                        <w:r w:rsidR="007A4CFA">
                          <w:rPr>
                            <w:rFonts w:ascii="Arial" w:eastAsia="+mn-ea" w:hAnsi="Arial" w:cs="Arial"/>
                            <w:color w:val="000000" w:themeColor="text1"/>
                            <w:kern w:val="24"/>
                            <w:sz w:val="18"/>
                            <w:szCs w:val="18"/>
                          </w:rPr>
                          <w:t xml:space="preserve"> for administration and investment</w:t>
                        </w:r>
                        <w:r>
                          <w:rPr>
                            <w:rFonts w:ascii="Arial" w:eastAsia="+mn-ea" w:hAnsi="Arial" w:cs="Arial"/>
                            <w:color w:val="000000" w:themeColor="text1"/>
                            <w:kern w:val="24"/>
                            <w:sz w:val="18"/>
                            <w:szCs w:val="18"/>
                          </w:rPr>
                          <w:t>. Excludes funds with less than two years of data.</w:t>
                        </w:r>
                        <w:r w:rsidR="002069DC">
                          <w:rPr>
                            <w:rFonts w:ascii="Arial" w:eastAsia="+mn-ea" w:hAnsi="Arial" w:cs="Arial"/>
                            <w:color w:val="000000" w:themeColor="text1"/>
                            <w:kern w:val="24"/>
                            <w:sz w:val="18"/>
                            <w:szCs w:val="18"/>
                          </w:rPr>
                          <w:t xml:space="preserve"> </w:t>
                        </w:r>
                      </w:p>
                    </w:tc>
                  </w:tr>
                </w:tbl>
                <w:p w:rsidR="00B03CCA" w:rsidRPr="00B1465D" w:rsidRDefault="00B03CCA" w:rsidP="0084418D">
                  <w:pPr>
                    <w:pStyle w:val="Figure"/>
                    <w:spacing w:before="60" w:after="60"/>
                    <w:rPr>
                      <w:rFonts w:ascii="Arial" w:hAnsi="Arial" w:cs="Arial"/>
                      <w:sz w:val="18"/>
                      <w:szCs w:val="18"/>
                    </w:rPr>
                  </w:pPr>
                </w:p>
              </w:tc>
            </w:tr>
          </w:tbl>
          <w:p w:rsidR="008322A1" w:rsidRDefault="008322A1" w:rsidP="0084418D">
            <w:pPr>
              <w:pStyle w:val="Figure"/>
            </w:pPr>
          </w:p>
        </w:tc>
      </w:tr>
      <w:tr w:rsidR="008322A1" w:rsidTr="0084418D">
        <w:tc>
          <w:tcPr>
            <w:tcW w:w="5000" w:type="pct"/>
            <w:tcBorders>
              <w:top w:val="nil"/>
              <w:left w:val="nil"/>
              <w:bottom w:val="single" w:sz="6" w:space="0" w:color="78A22F"/>
              <w:right w:val="nil"/>
            </w:tcBorders>
            <w:shd w:val="clear" w:color="auto" w:fill="auto"/>
          </w:tcPr>
          <w:p w:rsidR="008322A1" w:rsidRDefault="008322A1" w:rsidP="0084418D">
            <w:pPr>
              <w:pStyle w:val="Figurespace"/>
            </w:pPr>
          </w:p>
        </w:tc>
      </w:tr>
      <w:tr w:rsidR="008322A1" w:rsidRPr="000863A5" w:rsidTr="0084418D">
        <w:tc>
          <w:tcPr>
            <w:tcW w:w="5000" w:type="pct"/>
            <w:tcBorders>
              <w:top w:val="single" w:sz="6" w:space="0" w:color="78A22F"/>
              <w:left w:val="nil"/>
              <w:bottom w:val="nil"/>
              <w:right w:val="nil"/>
            </w:tcBorders>
          </w:tcPr>
          <w:p w:rsidR="008322A1" w:rsidRPr="00626D32" w:rsidRDefault="008322A1" w:rsidP="0084418D">
            <w:pPr>
              <w:pStyle w:val="BoxSpaceBelow"/>
            </w:pPr>
          </w:p>
        </w:tc>
      </w:tr>
    </w:tbl>
    <w:p w:rsidR="00AF2242" w:rsidRDefault="00AF2242" w:rsidP="00AF2242">
      <w:pPr>
        <w:pStyle w:val="BodyText"/>
      </w:pPr>
      <w:r>
        <w:t xml:space="preserve">That said, it might be that falls in fees lag the declines in average costs achieved with greater scale by more than a year (for example, because cost reductions come through contract renegotiations that do not happen annually). But a systematic relationship </w:t>
      </w:r>
      <w:r w:rsidR="00FE11A5">
        <w:t xml:space="preserve">between changes in costs and changes in fees </w:t>
      </w:r>
      <w:r>
        <w:t xml:space="preserve">is not apparent when changes over a longer period (specifically, over the 13 years from 2004 to 2017) </w:t>
      </w:r>
      <w:r w:rsidR="00FE11A5">
        <w:t>are compared</w:t>
      </w:r>
      <w:r>
        <w:t xml:space="preserve"> (figure 5). Only about one half of funds </w:t>
      </w:r>
      <w:r w:rsidR="00267B1C">
        <w:t xml:space="preserve">(represented by the </w:t>
      </w:r>
      <w:r w:rsidR="000F2B85">
        <w:t>yellow</w:t>
      </w:r>
      <w:r w:rsidR="00267B1C">
        <w:t xml:space="preserve"> and blue arrows) </w:t>
      </w:r>
      <w:r>
        <w:t>saw reported average expenses and average fees move in the same direction over th</w:t>
      </w:r>
      <w:r w:rsidR="00FE11A5">
        <w:t>is</w:t>
      </w:r>
      <w:r>
        <w:t xml:space="preserve"> period (though th</w:t>
      </w:r>
      <w:r w:rsidR="00FE11A5">
        <w:t>e</w:t>
      </w:r>
      <w:r>
        <w:t xml:space="preserve"> picture is muddied for investment expenses by the significant zero reporting and underreporting).</w:t>
      </w:r>
    </w:p>
    <w:p w:rsidR="00CE1258" w:rsidRDefault="00CE1258" w:rsidP="00DC203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E1258" w:rsidTr="00DC203B">
        <w:trPr>
          <w:tblHeader/>
        </w:trPr>
        <w:tc>
          <w:tcPr>
            <w:tcW w:w="5000" w:type="pct"/>
            <w:tcBorders>
              <w:top w:val="single" w:sz="6" w:space="0" w:color="78A22F"/>
              <w:left w:val="nil"/>
              <w:bottom w:val="nil"/>
              <w:right w:val="nil"/>
            </w:tcBorders>
            <w:shd w:val="clear" w:color="auto" w:fill="auto"/>
          </w:tcPr>
          <w:p w:rsidR="00CE1258" w:rsidRDefault="00CE1258" w:rsidP="00DC203B">
            <w:pPr>
              <w:pStyle w:val="FigureTitle"/>
            </w:pPr>
            <w:r w:rsidRPr="00784A05">
              <w:rPr>
                <w:b w:val="0"/>
              </w:rPr>
              <w:t xml:space="preserve">Figure </w:t>
            </w:r>
            <w:r w:rsidR="004325AA">
              <w:rPr>
                <w:b w:val="0"/>
                <w:noProof/>
              </w:rPr>
              <w:t>5</w:t>
            </w:r>
            <w:r>
              <w:tab/>
            </w:r>
            <w:r w:rsidR="00720755">
              <w:t>N</w:t>
            </w:r>
            <w:r w:rsidR="00F642A0">
              <w:t xml:space="preserve">or </w:t>
            </w:r>
            <w:r w:rsidR="00720755">
              <w:t>is pass</w:t>
            </w:r>
            <w:r w:rsidR="005C5954">
              <w:noBreakHyphen/>
            </w:r>
            <w:r w:rsidR="00720755">
              <w:t>through evident on casual inspection</w:t>
            </w:r>
            <w:r w:rsidR="00F642A0">
              <w:t xml:space="preserve"> when changes between 2004 and </w:t>
            </w:r>
            <w:r w:rsidR="003972B0">
              <w:t>201</w:t>
            </w:r>
            <w:r w:rsidR="00DA09D8">
              <w:t>7</w:t>
            </w:r>
            <w:r w:rsidR="003972B0">
              <w:t xml:space="preserve"> </w:t>
            </w:r>
            <w:r w:rsidR="00F642A0">
              <w:t>are considered</w:t>
            </w:r>
            <w:r w:rsidR="00F642A0" w:rsidRPr="00AF7376">
              <w:rPr>
                <w:rStyle w:val="NoteLabel"/>
                <w:b/>
              </w:rPr>
              <w:t>a</w:t>
            </w:r>
            <w:r w:rsidR="00E675FC">
              <w:rPr>
                <w:rStyle w:val="NoteLabel"/>
                <w:b/>
              </w:rPr>
              <w:t>,b</w:t>
            </w:r>
          </w:p>
          <w:p w:rsidR="00CE1258" w:rsidRPr="00176D3F" w:rsidRDefault="00122EF5" w:rsidP="00EF1A6E">
            <w:pPr>
              <w:pStyle w:val="Subtitle"/>
              <w:spacing w:after="0"/>
            </w:pPr>
            <w:r>
              <w:t xml:space="preserve">Changes </w:t>
            </w:r>
            <w:r w:rsidR="00E675FC">
              <w:t xml:space="preserve">in </w:t>
            </w:r>
            <w:r>
              <w:t xml:space="preserve">fees by changes in expenses, </w:t>
            </w:r>
            <w:r w:rsidR="00720755">
              <w:t>basis points (bps),</w:t>
            </w:r>
            <w:r w:rsidR="00303EBC">
              <w:t xml:space="preserve"> </w:t>
            </w:r>
            <w:r>
              <w:t>2004</w:t>
            </w:r>
            <w:r w:rsidR="00720755">
              <w:t>–</w:t>
            </w:r>
            <w:r w:rsidR="00A527CD">
              <w:t>201</w:t>
            </w:r>
            <w:r w:rsidR="00DA09D8">
              <w:t>7</w:t>
            </w:r>
          </w:p>
        </w:tc>
      </w:tr>
      <w:tr w:rsidR="00CE1258" w:rsidTr="00DC203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276"/>
              <w:gridCol w:w="7229"/>
            </w:tblGrid>
            <w:tr w:rsidR="00CE1258" w:rsidRPr="00B1465D" w:rsidTr="006E7B49">
              <w:trPr>
                <w:tblHeader/>
                <w:jc w:val="center"/>
              </w:trPr>
              <w:tc>
                <w:tcPr>
                  <w:tcW w:w="5000" w:type="pct"/>
                  <w:gridSpan w:val="2"/>
                  <w:tcBorders>
                    <w:top w:val="nil"/>
                    <w:bottom w:val="nil"/>
                  </w:tcBorders>
                </w:tcPr>
                <w:p w:rsidR="00CE1258" w:rsidRPr="00B1465D" w:rsidRDefault="005104F2" w:rsidP="00DC203B">
                  <w:pPr>
                    <w:pStyle w:val="Figure"/>
                    <w:spacing w:before="60" w:after="60"/>
                    <w:rPr>
                      <w:rFonts w:ascii="Arial" w:hAnsi="Arial" w:cs="Arial"/>
                      <w:sz w:val="18"/>
                      <w:szCs w:val="18"/>
                    </w:rPr>
                  </w:pPr>
                  <w:r w:rsidRPr="005104F2">
                    <w:rPr>
                      <w:rFonts w:ascii="Arial" w:hAnsi="Arial" w:cs="Arial"/>
                      <w:noProof/>
                      <w:sz w:val="18"/>
                      <w:szCs w:val="18"/>
                    </w:rPr>
                    <w:t xml:space="preserve"> </w:t>
                  </w:r>
                  <w:r w:rsidR="007B3548" w:rsidRPr="007B3548">
                    <w:rPr>
                      <w:rFonts w:ascii="Arial" w:hAnsi="Arial" w:cs="Arial"/>
                      <w:noProof/>
                      <w:sz w:val="18"/>
                      <w:szCs w:val="18"/>
                    </w:rPr>
                    <w:drawing>
                      <wp:inline distT="0" distB="0" distL="0" distR="0" wp14:anchorId="0A893D7E" wp14:editId="4E08CC43">
                        <wp:extent cx="5128260" cy="5074920"/>
                        <wp:effectExtent l="0" t="0" r="0" b="0"/>
                        <wp:docPr id="25" name="Picture 25" descr="Scatterplots of administration and investment fees against average administration and investment expenses respectively. Each point is an arrow, indicating the direction that the fund has moved between 2004 and 2016. Lower cost and lower fee funds have tended to have increasing fee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8260" cy="5074920"/>
                                </a:xfrm>
                                <a:prstGeom prst="rect">
                                  <a:avLst/>
                                </a:prstGeom>
                                <a:noFill/>
                                <a:ln>
                                  <a:noFill/>
                                </a:ln>
                              </pic:spPr>
                            </pic:pic>
                          </a:graphicData>
                        </a:graphic>
                      </wp:inline>
                    </w:drawing>
                  </w:r>
                  <w:r w:rsidR="00CE419D" w:rsidRPr="00CE419D" w:rsidDel="00CE419D">
                    <w:rPr>
                      <w:rFonts w:ascii="Arial" w:hAnsi="Arial" w:cs="Arial"/>
                      <w:noProof/>
                      <w:sz w:val="18"/>
                      <w:szCs w:val="18"/>
                    </w:rPr>
                    <w:t xml:space="preserve"> </w:t>
                  </w:r>
                </w:p>
              </w:tc>
            </w:tr>
            <w:tr w:rsidR="006E7B49" w:rsidTr="00861542">
              <w:trPr>
                <w:tblHeader/>
                <w:jc w:val="center"/>
              </w:trPr>
              <w:tc>
                <w:tcPr>
                  <w:tcW w:w="750" w:type="pct"/>
                  <w:tcBorders>
                    <w:bottom w:val="single" w:sz="6" w:space="0" w:color="BFBFBF" w:themeColor="background1" w:themeShade="BF"/>
                  </w:tcBorders>
                  <w:shd w:val="clear" w:color="auto" w:fill="F2F2F2" w:themeFill="background1" w:themeFillShade="F2"/>
                </w:tcPr>
                <w:p w:rsidR="006E7B49" w:rsidRDefault="006E7B49" w:rsidP="006E7B49">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4250" w:type="pct"/>
                  <w:tcBorders>
                    <w:bottom w:val="single" w:sz="6" w:space="0" w:color="BFBFBF" w:themeColor="background1" w:themeShade="BF"/>
                  </w:tcBorders>
                  <w:shd w:val="clear" w:color="auto" w:fill="F2F2F2" w:themeFill="background1" w:themeFillShade="F2"/>
                </w:tcPr>
                <w:p w:rsidR="006E7B49" w:rsidRDefault="006E7B49" w:rsidP="006E7B49">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APRA data</w:t>
                  </w:r>
                  <w:r>
                    <w:rPr>
                      <w:rFonts w:asciiTheme="minorHAnsi" w:hAnsi="Arial" w:cstheme="minorBidi"/>
                      <w:color w:val="000000" w:themeColor="text1"/>
                      <w:kern w:val="24"/>
                      <w:sz w:val="18"/>
                      <w:szCs w:val="18"/>
                    </w:rPr>
                    <w:t xml:space="preserve"> and </w:t>
                  </w:r>
                  <w:r w:rsidR="006B520E">
                    <w:rPr>
                      <w:rFonts w:asciiTheme="minorHAnsi" w:hAnsi="Arial" w:cstheme="minorBidi"/>
                      <w:color w:val="000000" w:themeColor="text1"/>
                      <w:kern w:val="24"/>
                      <w:sz w:val="18"/>
                      <w:szCs w:val="18"/>
                    </w:rPr>
                    <w:t>SR data</w:t>
                  </w:r>
                  <w:r w:rsidR="00771478">
                    <w:rPr>
                      <w:rFonts w:asciiTheme="minorHAnsi" w:hAnsi="Arial" w:cstheme="minorBidi"/>
                      <w:color w:val="000000" w:themeColor="text1"/>
                      <w:kern w:val="24"/>
                      <w:sz w:val="18"/>
                      <w:szCs w:val="18"/>
                    </w:rPr>
                    <w:t>.</w:t>
                  </w:r>
                </w:p>
              </w:tc>
            </w:tr>
            <w:tr w:rsidR="00847776" w:rsidTr="00861542">
              <w:trPr>
                <w:tblHeader/>
                <w:jc w:val="center"/>
              </w:trPr>
              <w:tc>
                <w:tcPr>
                  <w:tcW w:w="750" w:type="pct"/>
                  <w:tcBorders>
                    <w:bottom w:val="single" w:sz="6" w:space="0" w:color="BFBFBF" w:themeColor="background1" w:themeShade="BF"/>
                  </w:tcBorders>
                  <w:shd w:val="clear" w:color="auto" w:fill="F2F2F2" w:themeFill="background1" w:themeFillShade="F2"/>
                </w:tcPr>
                <w:p w:rsidR="00847776" w:rsidRDefault="00847776" w:rsidP="00847776">
                  <w:pPr>
                    <w:pStyle w:val="Figure"/>
                    <w:spacing w:before="0" w:after="0"/>
                    <w:jc w:val="left"/>
                    <w:rPr>
                      <w:rFonts w:asciiTheme="minorHAnsi" w:hAnsi="Arial" w:cstheme="minorBidi"/>
                      <w:b/>
                      <w:color w:val="000000" w:themeColor="text1"/>
                      <w:kern w:val="24"/>
                      <w:sz w:val="18"/>
                      <w:szCs w:val="18"/>
                    </w:rPr>
                  </w:pPr>
                  <w:r w:rsidRPr="002D6D85">
                    <w:rPr>
                      <w:rFonts w:asciiTheme="minorHAnsi" w:hAnsi="Arial" w:cstheme="minorBidi"/>
                      <w:b/>
                      <w:color w:val="000000" w:themeColor="text1"/>
                      <w:kern w:val="24"/>
                      <w:sz w:val="18"/>
                      <w:szCs w:val="18"/>
                    </w:rPr>
                    <w:t>Coverage</w:t>
                  </w:r>
                </w:p>
              </w:tc>
              <w:tc>
                <w:tcPr>
                  <w:tcW w:w="4250" w:type="pct"/>
                  <w:tcBorders>
                    <w:bottom w:val="single" w:sz="6" w:space="0" w:color="BFBFBF" w:themeColor="background1" w:themeShade="BF"/>
                  </w:tcBorders>
                  <w:shd w:val="clear" w:color="auto" w:fill="F2F2F2" w:themeFill="background1" w:themeFillShade="F2"/>
                </w:tcPr>
                <w:p w:rsidR="00847776" w:rsidRDefault="00847776" w:rsidP="00E6072C">
                  <w:pPr>
                    <w:pStyle w:val="Figure"/>
                    <w:spacing w:before="0" w:after="0"/>
                    <w:jc w:val="left"/>
                    <w:rPr>
                      <w:rFonts w:asciiTheme="minorHAnsi" w:hAnsi="Arial" w:cstheme="minorBidi"/>
                      <w:color w:val="000000" w:themeColor="text1"/>
                      <w:kern w:val="24"/>
                      <w:sz w:val="18"/>
                      <w:szCs w:val="18"/>
                    </w:rPr>
                  </w:pPr>
                  <w:r>
                    <w:rPr>
                      <w:rFonts w:ascii="Arial" w:eastAsia="+mn-ea" w:hAnsi="Arial" w:cs="Arial"/>
                      <w:color w:val="000000" w:themeColor="text1"/>
                      <w:kern w:val="24"/>
                      <w:sz w:val="18"/>
                      <w:szCs w:val="18"/>
                    </w:rPr>
                    <w:t xml:space="preserve">118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w:t>
                  </w:r>
                  <w:r w:rsidR="00FE13B0">
                    <w:rPr>
                      <w:rFonts w:ascii="Arial" w:eastAsia="+mn-ea" w:hAnsi="Arial" w:cs="Arial"/>
                      <w:color w:val="000000" w:themeColor="text1"/>
                      <w:kern w:val="24"/>
                      <w:sz w:val="18"/>
                      <w:szCs w:val="18"/>
                    </w:rPr>
                    <w:t>39</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w:t>
                  </w:r>
                  <w:r w:rsidR="00E6072C">
                    <w:rPr>
                      <w:rFonts w:ascii="Arial" w:eastAsia="+mn-ea" w:hAnsi="Arial" w:cs="Arial"/>
                      <w:color w:val="000000" w:themeColor="text1"/>
                      <w:kern w:val="24"/>
                      <w:sz w:val="18"/>
                      <w:szCs w:val="18"/>
                    </w:rPr>
                    <w:t xml:space="preserve">and </w:t>
                  </w:r>
                  <w:r w:rsidR="00FE13B0">
                    <w:rPr>
                      <w:rFonts w:ascii="Arial" w:eastAsia="+mn-ea" w:hAnsi="Arial" w:cs="Arial"/>
                      <w:color w:val="000000" w:themeColor="text1"/>
                      <w:kern w:val="24"/>
                      <w:sz w:val="18"/>
                      <w:szCs w:val="18"/>
                    </w:rPr>
                    <w:t>81</w:t>
                  </w:r>
                  <w:r w:rsidR="00E6072C">
                    <w:rPr>
                      <w:rFonts w:ascii="Arial" w:eastAsia="+mn-ea" w:hAnsi="Arial" w:cs="Arial"/>
                      <w:color w:val="000000" w:themeColor="text1"/>
                      <w:kern w:val="24"/>
                      <w:sz w:val="18"/>
                      <w:szCs w:val="18"/>
                    </w:rPr>
                    <w:t xml:space="preserve"> per cent </w:t>
                  </w:r>
                  <w:r>
                    <w:rPr>
                      <w:rFonts w:ascii="Arial" w:eastAsia="+mn-ea" w:hAnsi="Arial" w:cs="Arial"/>
                      <w:color w:val="000000" w:themeColor="text1"/>
                      <w:kern w:val="24"/>
                      <w:sz w:val="18"/>
                      <w:szCs w:val="18"/>
                    </w:rPr>
                    <w:t xml:space="preserve">of the system </w:t>
                  </w:r>
                  <w:r w:rsidR="000F2B85">
                    <w:rPr>
                      <w:rFonts w:ascii="Arial" w:eastAsia="+mn-ea" w:hAnsi="Arial" w:cs="Arial"/>
                      <w:color w:val="000000" w:themeColor="text1"/>
                      <w:kern w:val="24"/>
                      <w:sz w:val="18"/>
                      <w:szCs w:val="18"/>
                    </w:rPr>
                    <w:t xml:space="preserve">by assets </w:t>
                  </w:r>
                  <w:r>
                    <w:rPr>
                      <w:rFonts w:ascii="Arial" w:eastAsia="+mn-ea" w:hAnsi="Arial" w:cs="Arial"/>
                      <w:color w:val="000000" w:themeColor="text1"/>
                      <w:kern w:val="24"/>
                      <w:sz w:val="18"/>
                      <w:szCs w:val="18"/>
                    </w:rPr>
                    <w:t>in 2005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 xml:space="preserve">06 </w:t>
                  </w:r>
                  <w:r w:rsidR="00E6072C">
                    <w:rPr>
                      <w:rFonts w:ascii="Arial" w:eastAsia="+mn-ea" w:hAnsi="Arial" w:cs="Arial"/>
                      <w:color w:val="000000" w:themeColor="text1"/>
                      <w:kern w:val="24"/>
                      <w:sz w:val="18"/>
                      <w:szCs w:val="18"/>
                    </w:rPr>
                    <w:t>and 2015</w:t>
                  </w:r>
                  <w:r w:rsidR="00F640C8">
                    <w:rPr>
                      <w:rFonts w:ascii="Arial" w:eastAsia="+mn-ea" w:hAnsi="Arial" w:cs="Arial"/>
                      <w:color w:val="000000" w:themeColor="text1"/>
                      <w:kern w:val="24"/>
                      <w:sz w:val="18"/>
                      <w:szCs w:val="18"/>
                    </w:rPr>
                    <w:noBreakHyphen/>
                  </w:r>
                  <w:r w:rsidR="00E6072C">
                    <w:rPr>
                      <w:rFonts w:ascii="Arial" w:eastAsia="+mn-ea" w:hAnsi="Arial" w:cs="Arial"/>
                      <w:color w:val="000000" w:themeColor="text1"/>
                      <w:kern w:val="24"/>
                      <w:sz w:val="18"/>
                      <w:szCs w:val="18"/>
                    </w:rPr>
                    <w:t xml:space="preserve">16, </w:t>
                  </w:r>
                  <w:r>
                    <w:rPr>
                      <w:rFonts w:ascii="Arial" w:eastAsia="+mn-ea" w:hAnsi="Arial" w:cs="Arial"/>
                      <w:color w:val="000000" w:themeColor="text1"/>
                      <w:kern w:val="24"/>
                      <w:sz w:val="18"/>
                      <w:szCs w:val="18"/>
                    </w:rPr>
                    <w:t>respectively</w:t>
                  </w:r>
                  <w:r w:rsidR="007A4CFA">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Excludes funds with less than two years of data.</w:t>
                  </w:r>
                </w:p>
              </w:tc>
            </w:tr>
          </w:tbl>
          <w:p w:rsidR="00861542" w:rsidRPr="00261BAB" w:rsidRDefault="00861542">
            <w:pPr>
              <w:rPr>
                <w:sz w:val="2"/>
              </w:rPr>
            </w:pPr>
          </w:p>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3544"/>
              <w:gridCol w:w="2580"/>
              <w:gridCol w:w="2381"/>
            </w:tblGrid>
            <w:tr w:rsidR="00E03FE8" w:rsidRPr="006B520E" w:rsidTr="00261BAB">
              <w:trPr>
                <w:trHeight w:val="227"/>
                <w:jc w:val="center"/>
              </w:trPr>
              <w:tc>
                <w:tcPr>
                  <w:tcW w:w="5000" w:type="pct"/>
                  <w:gridSpan w:val="3"/>
                  <w:tcBorders>
                    <w:top w:val="nil"/>
                    <w:bottom w:val="nil"/>
                  </w:tcBorders>
                  <w:shd w:val="clear" w:color="auto" w:fill="auto"/>
                </w:tcPr>
                <w:p w:rsidR="00E03FE8" w:rsidRPr="006B520E" w:rsidRDefault="00A045BA" w:rsidP="006B520E">
                  <w:pPr>
                    <w:pStyle w:val="TableTitle"/>
                    <w:spacing w:before="60" w:after="60" w:line="240" w:lineRule="auto"/>
                    <w:rPr>
                      <w:sz w:val="20"/>
                    </w:rPr>
                  </w:pPr>
                  <w:r>
                    <w:rPr>
                      <w:sz w:val="20"/>
                    </w:rPr>
                    <w:t>Distribution of funds by direction of fee and average cost change</w:t>
                  </w:r>
                </w:p>
              </w:tc>
            </w:tr>
            <w:tr w:rsidR="006E7B49" w:rsidTr="00261BAB">
              <w:trPr>
                <w:jc w:val="center"/>
              </w:trPr>
              <w:tc>
                <w:tcPr>
                  <w:tcW w:w="2083" w:type="pct"/>
                  <w:tcBorders>
                    <w:top w:val="nil"/>
                    <w:bottom w:val="single" w:sz="6" w:space="0" w:color="BFBFBF" w:themeColor="background1" w:themeShade="BF"/>
                  </w:tcBorders>
                  <w:shd w:val="clear" w:color="auto" w:fill="auto"/>
                </w:tcPr>
                <w:p w:rsidR="006E7B49" w:rsidRPr="0066083C" w:rsidRDefault="006E7B49" w:rsidP="006E7B49">
                  <w:pPr>
                    <w:pStyle w:val="Figure"/>
                    <w:spacing w:before="0" w:after="0"/>
                    <w:jc w:val="left"/>
                    <w:rPr>
                      <w:rFonts w:ascii="Arial" w:hAnsi="Arial" w:cs="Arial"/>
                      <w:b/>
                      <w:sz w:val="18"/>
                      <w:szCs w:val="18"/>
                    </w:rPr>
                  </w:pPr>
                </w:p>
              </w:tc>
              <w:tc>
                <w:tcPr>
                  <w:tcW w:w="1517" w:type="pct"/>
                  <w:tcBorders>
                    <w:top w:val="nil"/>
                    <w:bottom w:val="single" w:sz="6" w:space="0" w:color="BFBFBF" w:themeColor="background1" w:themeShade="BF"/>
                  </w:tcBorders>
                  <w:shd w:val="clear" w:color="auto" w:fill="auto"/>
                </w:tcPr>
                <w:p w:rsidR="006E7B49" w:rsidRDefault="006E7B49" w:rsidP="00575016">
                  <w:pPr>
                    <w:pStyle w:val="TableBodyText"/>
                    <w:rPr>
                      <w:b/>
                    </w:rPr>
                  </w:pPr>
                  <w:r w:rsidRPr="00575016">
                    <w:rPr>
                      <w:b/>
                    </w:rPr>
                    <w:t>Administration</w:t>
                  </w:r>
                </w:p>
                <w:p w:rsidR="00035D65" w:rsidRPr="00575016" w:rsidRDefault="00035D65" w:rsidP="00575016">
                  <w:pPr>
                    <w:pStyle w:val="TableBodyText"/>
                    <w:rPr>
                      <w:b/>
                    </w:rPr>
                  </w:pPr>
                  <w:r>
                    <w:rPr>
                      <w:b/>
                    </w:rPr>
                    <w:t>(per cent of funds)</w:t>
                  </w:r>
                </w:p>
              </w:tc>
              <w:tc>
                <w:tcPr>
                  <w:tcW w:w="1400" w:type="pct"/>
                  <w:tcBorders>
                    <w:top w:val="nil"/>
                    <w:bottom w:val="single" w:sz="6" w:space="0" w:color="BFBFBF" w:themeColor="background1" w:themeShade="BF"/>
                  </w:tcBorders>
                  <w:shd w:val="clear" w:color="auto" w:fill="auto"/>
                </w:tcPr>
                <w:p w:rsidR="006E7B49" w:rsidRDefault="006E7B49">
                  <w:pPr>
                    <w:pStyle w:val="TableBodyText"/>
                    <w:rPr>
                      <w:b/>
                    </w:rPr>
                  </w:pPr>
                  <w:r w:rsidRPr="000C012E">
                    <w:rPr>
                      <w:b/>
                    </w:rPr>
                    <w:t>Investment</w:t>
                  </w:r>
                </w:p>
                <w:p w:rsidR="00035D65" w:rsidRPr="000C012E" w:rsidRDefault="00035D65">
                  <w:pPr>
                    <w:pStyle w:val="TableBodyText"/>
                    <w:rPr>
                      <w:b/>
                    </w:rPr>
                  </w:pPr>
                  <w:r>
                    <w:rPr>
                      <w:b/>
                    </w:rPr>
                    <w:t>(per cent of funds)</w:t>
                  </w:r>
                </w:p>
              </w:tc>
            </w:tr>
            <w:tr w:rsidR="006E7B49" w:rsidTr="00861542">
              <w:trPr>
                <w:jc w:val="center"/>
              </w:trPr>
              <w:tc>
                <w:tcPr>
                  <w:tcW w:w="2083" w:type="pct"/>
                  <w:tcBorders>
                    <w:top w:val="single" w:sz="6" w:space="0" w:color="BFBFBF" w:themeColor="background1" w:themeShade="BF"/>
                  </w:tcBorders>
                  <w:shd w:val="clear" w:color="auto" w:fill="F2F2F2" w:themeFill="background1" w:themeFillShade="F2"/>
                </w:tcPr>
                <w:p w:rsidR="006E7B49" w:rsidRPr="00806CCC" w:rsidRDefault="006E7B49" w:rsidP="006E7B49">
                  <w:pPr>
                    <w:pStyle w:val="Figure"/>
                    <w:spacing w:before="0" w:after="0"/>
                    <w:jc w:val="left"/>
                    <w:rPr>
                      <w:rFonts w:ascii="Arial" w:hAnsi="Arial"/>
                      <w:sz w:val="18"/>
                    </w:rPr>
                  </w:pPr>
                  <w:r w:rsidRPr="006E7B49">
                    <w:rPr>
                      <w:rFonts w:ascii="Arial" w:hAnsi="Arial"/>
                      <w:sz w:val="18"/>
                    </w:rPr>
                    <w:t xml:space="preserve">Increasing fees, decreasing </w:t>
                  </w:r>
                  <w:r w:rsidRPr="00806CCC">
                    <w:rPr>
                      <w:rFonts w:ascii="Arial" w:hAnsi="Arial"/>
                      <w:sz w:val="18"/>
                    </w:rPr>
                    <w:t>average cost</w:t>
                  </w:r>
                </w:p>
              </w:tc>
              <w:tc>
                <w:tcPr>
                  <w:tcW w:w="1517" w:type="pct"/>
                  <w:tcBorders>
                    <w:top w:val="single" w:sz="6" w:space="0" w:color="BFBFBF" w:themeColor="background1" w:themeShade="BF"/>
                  </w:tcBorders>
                  <w:shd w:val="clear" w:color="auto" w:fill="F2F2F2" w:themeFill="background1" w:themeFillShade="F2"/>
                </w:tcPr>
                <w:p w:rsidR="006E7B49" w:rsidRDefault="00035D0C" w:rsidP="00035D65">
                  <w:pPr>
                    <w:pStyle w:val="TableBodyText"/>
                  </w:pPr>
                  <w:r>
                    <w:t>28</w:t>
                  </w:r>
                </w:p>
              </w:tc>
              <w:tc>
                <w:tcPr>
                  <w:tcW w:w="1400" w:type="pct"/>
                  <w:tcBorders>
                    <w:top w:val="single" w:sz="6" w:space="0" w:color="BFBFBF" w:themeColor="background1" w:themeShade="BF"/>
                  </w:tcBorders>
                  <w:shd w:val="clear" w:color="auto" w:fill="F2F2F2" w:themeFill="background1" w:themeFillShade="F2"/>
                </w:tcPr>
                <w:p w:rsidR="006E7B49" w:rsidRDefault="00035D0C">
                  <w:pPr>
                    <w:pStyle w:val="TableBodyText"/>
                  </w:pPr>
                  <w:r>
                    <w:t>25</w:t>
                  </w:r>
                </w:p>
              </w:tc>
            </w:tr>
            <w:tr w:rsidR="006E7B49" w:rsidTr="00861542">
              <w:trPr>
                <w:jc w:val="center"/>
              </w:trPr>
              <w:tc>
                <w:tcPr>
                  <w:tcW w:w="2083" w:type="pct"/>
                  <w:shd w:val="clear" w:color="auto" w:fill="auto"/>
                </w:tcPr>
                <w:p w:rsidR="006E7B49" w:rsidRPr="00806CCC" w:rsidRDefault="00E03FE8" w:rsidP="006E7B49">
                  <w:pPr>
                    <w:pStyle w:val="Figure"/>
                    <w:spacing w:before="0" w:after="0"/>
                    <w:jc w:val="left"/>
                    <w:rPr>
                      <w:rFonts w:ascii="Arial" w:hAnsi="Arial"/>
                      <w:sz w:val="18"/>
                    </w:rPr>
                  </w:pPr>
                  <w:r>
                    <w:rPr>
                      <w:rFonts w:ascii="Arial" w:hAnsi="Arial"/>
                      <w:sz w:val="18"/>
                    </w:rPr>
                    <w:t>Increasing</w:t>
                  </w:r>
                  <w:r w:rsidR="006E7B49" w:rsidRPr="006E7B49">
                    <w:rPr>
                      <w:rFonts w:ascii="Arial" w:hAnsi="Arial"/>
                      <w:sz w:val="18"/>
                    </w:rPr>
                    <w:t xml:space="preserve"> fees, </w:t>
                  </w:r>
                  <w:r>
                    <w:rPr>
                      <w:rFonts w:ascii="Arial" w:hAnsi="Arial"/>
                      <w:sz w:val="18"/>
                    </w:rPr>
                    <w:t>in</w:t>
                  </w:r>
                  <w:r w:rsidR="006E7B49" w:rsidRPr="006E7B49">
                    <w:rPr>
                      <w:rFonts w:ascii="Arial" w:hAnsi="Arial"/>
                      <w:sz w:val="18"/>
                    </w:rPr>
                    <w:t>creasing average cost</w:t>
                  </w:r>
                </w:p>
              </w:tc>
              <w:tc>
                <w:tcPr>
                  <w:tcW w:w="1517" w:type="pct"/>
                  <w:shd w:val="clear" w:color="auto" w:fill="auto"/>
                </w:tcPr>
                <w:p w:rsidR="006E7B49" w:rsidRDefault="00E03FE8" w:rsidP="00575016">
                  <w:pPr>
                    <w:pStyle w:val="TableBodyText"/>
                  </w:pPr>
                  <w:r>
                    <w:t>25</w:t>
                  </w:r>
                </w:p>
              </w:tc>
              <w:tc>
                <w:tcPr>
                  <w:tcW w:w="1400" w:type="pct"/>
                  <w:shd w:val="clear" w:color="auto" w:fill="auto"/>
                </w:tcPr>
                <w:p w:rsidR="006E7B49" w:rsidRDefault="00E03FE8">
                  <w:pPr>
                    <w:pStyle w:val="TableBodyText"/>
                  </w:pPr>
                  <w:r>
                    <w:t>32</w:t>
                  </w:r>
                </w:p>
              </w:tc>
            </w:tr>
            <w:tr w:rsidR="00E03FE8" w:rsidTr="00861542">
              <w:trPr>
                <w:jc w:val="center"/>
              </w:trPr>
              <w:tc>
                <w:tcPr>
                  <w:tcW w:w="2083" w:type="pct"/>
                  <w:shd w:val="clear" w:color="auto" w:fill="F2F2F2" w:themeFill="background1" w:themeFillShade="F2"/>
                </w:tcPr>
                <w:p w:rsidR="00E03FE8" w:rsidRDefault="00E03FE8" w:rsidP="00E03FE8">
                  <w:pPr>
                    <w:pStyle w:val="Figure"/>
                    <w:spacing w:before="0" w:after="0"/>
                    <w:jc w:val="left"/>
                    <w:rPr>
                      <w:rFonts w:ascii="Arial" w:hAnsi="Arial"/>
                      <w:sz w:val="18"/>
                    </w:rPr>
                  </w:pPr>
                  <w:r w:rsidRPr="006E7B49">
                    <w:rPr>
                      <w:rFonts w:ascii="Arial" w:hAnsi="Arial"/>
                      <w:sz w:val="18"/>
                    </w:rPr>
                    <w:t xml:space="preserve">Decreasing fees, </w:t>
                  </w:r>
                  <w:r>
                    <w:rPr>
                      <w:rFonts w:ascii="Arial" w:hAnsi="Arial"/>
                      <w:sz w:val="18"/>
                    </w:rPr>
                    <w:t>d</w:t>
                  </w:r>
                  <w:r w:rsidRPr="006E7B49">
                    <w:rPr>
                      <w:rFonts w:ascii="Arial" w:hAnsi="Arial"/>
                      <w:sz w:val="18"/>
                    </w:rPr>
                    <w:t>ecreasing average cost</w:t>
                  </w:r>
                </w:p>
              </w:tc>
              <w:tc>
                <w:tcPr>
                  <w:tcW w:w="1517" w:type="pct"/>
                  <w:shd w:val="clear" w:color="auto" w:fill="F2F2F2" w:themeFill="background1" w:themeFillShade="F2"/>
                </w:tcPr>
                <w:p w:rsidR="00E03FE8" w:rsidRPr="006B520E" w:rsidRDefault="00E03FE8" w:rsidP="00E03FE8">
                  <w:pPr>
                    <w:pStyle w:val="TableBodyText"/>
                  </w:pPr>
                  <w:r w:rsidRPr="003E7ED8">
                    <w:t>31</w:t>
                  </w:r>
                </w:p>
              </w:tc>
              <w:tc>
                <w:tcPr>
                  <w:tcW w:w="1400" w:type="pct"/>
                  <w:shd w:val="clear" w:color="auto" w:fill="F2F2F2" w:themeFill="background1" w:themeFillShade="F2"/>
                </w:tcPr>
                <w:p w:rsidR="00E03FE8" w:rsidRPr="006B520E" w:rsidRDefault="00E03FE8" w:rsidP="00E03FE8">
                  <w:pPr>
                    <w:pStyle w:val="TableBodyText"/>
                  </w:pPr>
                  <w:r w:rsidRPr="003E7ED8">
                    <w:t>21</w:t>
                  </w:r>
                </w:p>
              </w:tc>
            </w:tr>
            <w:tr w:rsidR="006E7B49" w:rsidTr="00861542">
              <w:trPr>
                <w:jc w:val="center"/>
              </w:trPr>
              <w:tc>
                <w:tcPr>
                  <w:tcW w:w="2083" w:type="pct"/>
                  <w:tcBorders>
                    <w:bottom w:val="nil"/>
                  </w:tcBorders>
                  <w:shd w:val="clear" w:color="auto" w:fill="auto"/>
                </w:tcPr>
                <w:p w:rsidR="006E7B49" w:rsidRPr="00806CCC" w:rsidRDefault="006E7B49" w:rsidP="006E7B49">
                  <w:pPr>
                    <w:pStyle w:val="Figure"/>
                    <w:spacing w:before="0" w:after="0"/>
                    <w:jc w:val="left"/>
                    <w:rPr>
                      <w:rFonts w:ascii="Arial" w:hAnsi="Arial"/>
                      <w:sz w:val="18"/>
                    </w:rPr>
                  </w:pPr>
                  <w:r w:rsidRPr="006E7B49">
                    <w:rPr>
                      <w:rFonts w:ascii="Arial" w:hAnsi="Arial"/>
                      <w:sz w:val="18"/>
                    </w:rPr>
                    <w:t>Decreasing fees,</w:t>
                  </w:r>
                  <w:r w:rsidR="00E03FE8">
                    <w:rPr>
                      <w:rFonts w:ascii="Arial" w:hAnsi="Arial"/>
                      <w:sz w:val="18"/>
                    </w:rPr>
                    <w:t xml:space="preserve"> i</w:t>
                  </w:r>
                  <w:r w:rsidR="00E03FE8" w:rsidRPr="006E7B49">
                    <w:rPr>
                      <w:rFonts w:ascii="Arial" w:hAnsi="Arial"/>
                      <w:sz w:val="18"/>
                    </w:rPr>
                    <w:t>ncreasing</w:t>
                  </w:r>
                  <w:r w:rsidRPr="006E7B49">
                    <w:rPr>
                      <w:rFonts w:ascii="Arial" w:hAnsi="Arial"/>
                      <w:sz w:val="18"/>
                    </w:rPr>
                    <w:t xml:space="preserve"> average cost</w:t>
                  </w:r>
                </w:p>
              </w:tc>
              <w:tc>
                <w:tcPr>
                  <w:tcW w:w="1517" w:type="pct"/>
                  <w:tcBorders>
                    <w:bottom w:val="nil"/>
                  </w:tcBorders>
                  <w:shd w:val="clear" w:color="auto" w:fill="auto"/>
                </w:tcPr>
                <w:p w:rsidR="006E7B49" w:rsidRDefault="006E7B49" w:rsidP="00575016">
                  <w:pPr>
                    <w:pStyle w:val="TableBodyText"/>
                  </w:pPr>
                  <w:r>
                    <w:t>16</w:t>
                  </w:r>
                </w:p>
              </w:tc>
              <w:tc>
                <w:tcPr>
                  <w:tcW w:w="1400" w:type="pct"/>
                  <w:tcBorders>
                    <w:bottom w:val="nil"/>
                  </w:tcBorders>
                  <w:shd w:val="clear" w:color="auto" w:fill="auto"/>
                </w:tcPr>
                <w:p w:rsidR="006E7B49" w:rsidRDefault="00035D0C">
                  <w:pPr>
                    <w:pStyle w:val="TableBodyText"/>
                  </w:pPr>
                  <w:r>
                    <w:t>23</w:t>
                  </w:r>
                </w:p>
              </w:tc>
            </w:tr>
            <w:tr w:rsidR="00C73010" w:rsidTr="00EF1A6E">
              <w:trPr>
                <w:jc w:val="center"/>
              </w:trPr>
              <w:tc>
                <w:tcPr>
                  <w:tcW w:w="2083" w:type="pct"/>
                  <w:tcBorders>
                    <w:top w:val="nil"/>
                    <w:bottom w:val="single" w:sz="6" w:space="0" w:color="BFBFBF" w:themeColor="background1" w:themeShade="BF"/>
                  </w:tcBorders>
                  <w:shd w:val="clear" w:color="auto" w:fill="F2F2F2" w:themeFill="background1" w:themeFillShade="F2"/>
                </w:tcPr>
                <w:p w:rsidR="00C73010" w:rsidRDefault="00C73010" w:rsidP="00EF1A6E">
                  <w:pPr>
                    <w:pStyle w:val="Figure"/>
                    <w:spacing w:before="0" w:after="40"/>
                    <w:jc w:val="left"/>
                    <w:rPr>
                      <w:rFonts w:ascii="Arial" w:hAnsi="Arial"/>
                      <w:sz w:val="18"/>
                    </w:rPr>
                  </w:pPr>
                  <w:r>
                    <w:rPr>
                      <w:rFonts w:ascii="Arial" w:hAnsi="Arial"/>
                      <w:sz w:val="18"/>
                    </w:rPr>
                    <w:t>Total</w:t>
                  </w:r>
                </w:p>
              </w:tc>
              <w:tc>
                <w:tcPr>
                  <w:tcW w:w="1517" w:type="pct"/>
                  <w:tcBorders>
                    <w:top w:val="nil"/>
                    <w:bottom w:val="single" w:sz="6" w:space="0" w:color="BFBFBF" w:themeColor="background1" w:themeShade="BF"/>
                  </w:tcBorders>
                  <w:shd w:val="clear" w:color="auto" w:fill="F2F2F2" w:themeFill="background1" w:themeFillShade="F2"/>
                </w:tcPr>
                <w:p w:rsidR="00C73010" w:rsidRDefault="00C73010" w:rsidP="00EF1A6E">
                  <w:pPr>
                    <w:pStyle w:val="TableBodyText"/>
                  </w:pPr>
                  <w:r>
                    <w:t>100</w:t>
                  </w:r>
                </w:p>
              </w:tc>
              <w:tc>
                <w:tcPr>
                  <w:tcW w:w="1400" w:type="pct"/>
                  <w:tcBorders>
                    <w:top w:val="nil"/>
                    <w:bottom w:val="single" w:sz="6" w:space="0" w:color="BFBFBF" w:themeColor="background1" w:themeShade="BF"/>
                  </w:tcBorders>
                  <w:shd w:val="clear" w:color="auto" w:fill="F2F2F2" w:themeFill="background1" w:themeFillShade="F2"/>
                </w:tcPr>
                <w:p w:rsidR="00C73010" w:rsidRDefault="00C73010" w:rsidP="00EF1A6E">
                  <w:pPr>
                    <w:pStyle w:val="TableBodyText"/>
                  </w:pPr>
                  <w:r>
                    <w:t>100</w:t>
                  </w:r>
                </w:p>
              </w:tc>
            </w:tr>
          </w:tbl>
          <w:p w:rsidR="00CE1258" w:rsidRDefault="00CE1258" w:rsidP="00DC203B">
            <w:pPr>
              <w:pStyle w:val="Figure"/>
            </w:pPr>
          </w:p>
        </w:tc>
      </w:tr>
      <w:tr w:rsidR="00CE1258" w:rsidRPr="00176D3F" w:rsidTr="00DC203B">
        <w:tc>
          <w:tcPr>
            <w:tcW w:w="5000" w:type="pct"/>
            <w:tcBorders>
              <w:top w:val="nil"/>
              <w:left w:val="nil"/>
              <w:bottom w:val="nil"/>
              <w:right w:val="nil"/>
            </w:tcBorders>
            <w:shd w:val="clear" w:color="auto" w:fill="auto"/>
          </w:tcPr>
          <w:p w:rsidR="00CE1258" w:rsidRPr="00176D3F" w:rsidRDefault="00CE1258" w:rsidP="007E3874">
            <w:pPr>
              <w:pStyle w:val="Note"/>
            </w:pPr>
            <w:r>
              <w:rPr>
                <w:rStyle w:val="NoteLabel"/>
              </w:rPr>
              <w:t>a</w:t>
            </w:r>
            <w:r w:rsidR="001A3784">
              <w:rPr>
                <w:rStyle w:val="NoteLabel"/>
              </w:rPr>
              <w:t xml:space="preserve"> </w:t>
            </w:r>
            <w:r w:rsidR="00E675FC">
              <w:t>The whole sample spans 2004</w:t>
            </w:r>
            <w:r w:rsidR="00D04DA9">
              <w:t>–</w:t>
            </w:r>
            <w:r w:rsidR="00E675FC">
              <w:t>2017, but individual funds may have joined the market later, or exited the market</w:t>
            </w:r>
            <w:r w:rsidR="00D04DA9">
              <w:t xml:space="preserve"> pre</w:t>
            </w:r>
            <w:r w:rsidR="00D04DA9">
              <w:noBreakHyphen/>
              <w:t>2017</w:t>
            </w:r>
            <w:r w:rsidR="008C5783">
              <w:t>.</w:t>
            </w:r>
            <w:r w:rsidR="001A3784">
              <w:t xml:space="preserve"> </w:t>
            </w:r>
            <w:r w:rsidR="001A3784">
              <w:rPr>
                <w:rStyle w:val="NoteLabel"/>
              </w:rPr>
              <w:t xml:space="preserve">b </w:t>
            </w:r>
            <w:r w:rsidR="00017A69">
              <w:t xml:space="preserve">Differences between starting reported expenses and fees </w:t>
            </w:r>
            <w:r w:rsidR="001A3784">
              <w:t>could be due to underreporting or</w:t>
            </w:r>
            <w:r w:rsidR="00017A69">
              <w:t xml:space="preserve"> assumptions used to calculate fees</w:t>
            </w:r>
            <w:r w:rsidR="001A3784">
              <w:t xml:space="preserve"> (for example, calculated for a member with $50 000 balance)</w:t>
            </w:r>
            <w:r w:rsidR="00017A69">
              <w:t>.</w:t>
            </w:r>
          </w:p>
        </w:tc>
      </w:tr>
      <w:tr w:rsidR="00CE1258" w:rsidTr="00DC203B">
        <w:tc>
          <w:tcPr>
            <w:tcW w:w="5000" w:type="pct"/>
            <w:tcBorders>
              <w:top w:val="nil"/>
              <w:left w:val="nil"/>
              <w:bottom w:val="single" w:sz="6" w:space="0" w:color="78A22F"/>
              <w:right w:val="nil"/>
            </w:tcBorders>
            <w:shd w:val="clear" w:color="auto" w:fill="auto"/>
          </w:tcPr>
          <w:p w:rsidR="00CE1258" w:rsidRDefault="00CE1258" w:rsidP="00DC203B">
            <w:pPr>
              <w:pStyle w:val="Figurespace"/>
            </w:pPr>
          </w:p>
        </w:tc>
      </w:tr>
      <w:tr w:rsidR="00CE1258" w:rsidRPr="000863A5" w:rsidTr="00DC203B">
        <w:tc>
          <w:tcPr>
            <w:tcW w:w="5000" w:type="pct"/>
            <w:tcBorders>
              <w:top w:val="single" w:sz="6" w:space="0" w:color="78A22F"/>
              <w:left w:val="nil"/>
              <w:bottom w:val="nil"/>
              <w:right w:val="nil"/>
            </w:tcBorders>
          </w:tcPr>
          <w:p w:rsidR="00CE1258" w:rsidRPr="00626D32" w:rsidRDefault="00CE1258" w:rsidP="00DC203B">
            <w:pPr>
              <w:pStyle w:val="BoxSpaceBelow"/>
            </w:pPr>
          </w:p>
        </w:tc>
      </w:tr>
    </w:tbl>
    <w:p w:rsidR="00994EB7" w:rsidRDefault="00994EB7" w:rsidP="00994EB7">
      <w:pPr>
        <w:pStyle w:val="Heading3"/>
      </w:pPr>
      <w:bookmarkStart w:id="23" w:name="_Toc530748482"/>
      <w:r>
        <w:lastRenderedPageBreak/>
        <w:t>Variables included in the analysis</w:t>
      </w:r>
      <w:r w:rsidR="00085EF8">
        <w:t> — </w:t>
      </w:r>
      <w:r>
        <w:t>informed by consultation</w:t>
      </w:r>
      <w:bookmarkEnd w:id="23"/>
    </w:p>
    <w:p w:rsidR="00994EB7" w:rsidRPr="000E7EA1" w:rsidRDefault="00994EB7" w:rsidP="00994EB7">
      <w:pPr>
        <w:pStyle w:val="BodyText"/>
      </w:pPr>
      <w:r>
        <w:t xml:space="preserve">Previous research and consultation with a group of participants (technical experts </w:t>
      </w:r>
      <w:r w:rsidR="00D75875">
        <w:t xml:space="preserve">and practitioners </w:t>
      </w:r>
      <w:r>
        <w:t xml:space="preserve">identified from the </w:t>
      </w:r>
      <w:r w:rsidR="00055BE4">
        <w:t xml:space="preserve">Commission’s </w:t>
      </w:r>
      <w:r w:rsidR="00F642A0">
        <w:t>s</w:t>
      </w:r>
      <w:r>
        <w:t>tage 1 study</w:t>
      </w:r>
      <w:r w:rsidR="00F642A0">
        <w:t xml:space="preserve"> </w:t>
      </w:r>
      <w:r w:rsidR="00055BE4" w:rsidRPr="00055BE4">
        <w:rPr>
          <w:szCs w:val="24"/>
        </w:rPr>
        <w:t>(PC 2016)</w:t>
      </w:r>
      <w:r>
        <w:t>) informed the variables included in the analysis (table </w:t>
      </w:r>
      <w:r w:rsidR="00A55FFD">
        <w:t>6</w:t>
      </w:r>
      <w:r>
        <w:t>).</w:t>
      </w:r>
      <w:r w:rsidR="009C4271">
        <w:t xml:space="preserve"> Aside from the key scale variables (total assets and number of member accounts</w:t>
      </w:r>
      <w:r w:rsidR="000C012E" w:rsidRPr="000C012E">
        <w:t xml:space="preserve"> </w:t>
      </w:r>
      <w:r w:rsidR="000C012E">
        <w:t>at the end of the financial year</w:t>
      </w:r>
      <w:r w:rsidR="009C4271">
        <w:t>),</w:t>
      </w:r>
      <w:r w:rsidR="002F13B6">
        <w:t xml:space="preserve"> </w:t>
      </w:r>
      <w:r w:rsidR="009C4271">
        <w:t>variables were included because they were considered to be key drivers of fund costs</w:t>
      </w:r>
      <w:r w:rsidR="002F13B6">
        <w:t xml:space="preserve"> </w:t>
      </w:r>
      <w:r w:rsidR="000C012E">
        <w:t xml:space="preserve">whose omission </w:t>
      </w:r>
      <w:r w:rsidR="002F13B6">
        <w:t>would muddy the estimation of the scale</w:t>
      </w:r>
      <w:r w:rsidR="000C012E">
        <w:t>–</w:t>
      </w:r>
      <w:r w:rsidR="002F13B6">
        <w:t>cost relationship</w:t>
      </w:r>
      <w:r w:rsidR="009C4271">
        <w:t>.</w:t>
      </w:r>
    </w:p>
    <w:p w:rsidR="00E21ECB" w:rsidRDefault="00E21ECB" w:rsidP="003D5969">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21ECB" w:rsidTr="00015386">
        <w:trPr>
          <w:tblHeader/>
        </w:trPr>
        <w:tc>
          <w:tcPr>
            <w:tcW w:w="5000" w:type="pct"/>
            <w:tcBorders>
              <w:top w:val="single" w:sz="6" w:space="0" w:color="78A22F"/>
              <w:left w:val="nil"/>
              <w:bottom w:val="nil"/>
              <w:right w:val="nil"/>
            </w:tcBorders>
            <w:shd w:val="clear" w:color="auto" w:fill="auto"/>
          </w:tcPr>
          <w:p w:rsidR="00E21ECB" w:rsidRPr="00784A05" w:rsidRDefault="00E21ECB" w:rsidP="00710AD3">
            <w:pPr>
              <w:pStyle w:val="TableTitle"/>
            </w:pPr>
            <w:r>
              <w:rPr>
                <w:b w:val="0"/>
              </w:rPr>
              <w:t xml:space="preserve">Table </w:t>
            </w:r>
            <w:bookmarkStart w:id="24" w:name="OLE_LINK13"/>
            <w:r w:rsidR="004325AA">
              <w:rPr>
                <w:b w:val="0"/>
                <w:noProof/>
              </w:rPr>
              <w:t>6</w:t>
            </w:r>
            <w:bookmarkEnd w:id="24"/>
            <w:r>
              <w:tab/>
              <w:t>Variables used in the analysis</w:t>
            </w:r>
          </w:p>
        </w:tc>
      </w:tr>
      <w:tr w:rsidR="00E21ECB" w:rsidTr="00015386">
        <w:tc>
          <w:tcPr>
            <w:tcW w:w="5000" w:type="pct"/>
            <w:tcBorders>
              <w:top w:val="nil"/>
              <w:left w:val="nil"/>
              <w:bottom w:val="nil"/>
              <w:right w:val="nil"/>
            </w:tcBorders>
            <w:shd w:val="clear" w:color="auto" w:fill="auto"/>
          </w:tcPr>
          <w:tbl>
            <w:tblPr>
              <w:tblW w:w="8530" w:type="dxa"/>
              <w:tblLayout w:type="fixed"/>
              <w:tblCellMar>
                <w:top w:w="28" w:type="dxa"/>
                <w:left w:w="0" w:type="dxa"/>
                <w:right w:w="0" w:type="dxa"/>
              </w:tblCellMar>
              <w:tblLook w:val="0000" w:firstRow="0" w:lastRow="0" w:firstColumn="0" w:lastColumn="0" w:noHBand="0" w:noVBand="0"/>
            </w:tblPr>
            <w:tblGrid>
              <w:gridCol w:w="2151"/>
              <w:gridCol w:w="710"/>
              <w:gridCol w:w="1001"/>
              <w:gridCol w:w="4668"/>
            </w:tblGrid>
            <w:tr w:rsidR="00E21ECB" w:rsidTr="003B11F0">
              <w:trPr>
                <w:tblHeader/>
              </w:trPr>
              <w:tc>
                <w:tcPr>
                  <w:tcW w:w="1261" w:type="pct"/>
                  <w:tcBorders>
                    <w:top w:val="single" w:sz="6" w:space="0" w:color="BFBFBF"/>
                    <w:bottom w:val="single" w:sz="6" w:space="0" w:color="BFBFBF"/>
                  </w:tcBorders>
                  <w:shd w:val="clear" w:color="auto" w:fill="auto"/>
                  <w:tcMar>
                    <w:top w:w="28" w:type="dxa"/>
                  </w:tcMar>
                </w:tcPr>
                <w:p w:rsidR="00E21ECB" w:rsidRPr="008322A1" w:rsidRDefault="00E21ECB" w:rsidP="00675FDD">
                  <w:pPr>
                    <w:pStyle w:val="TableColumnHeading"/>
                    <w:jc w:val="left"/>
                    <w:rPr>
                      <w:spacing w:val="-2"/>
                    </w:rPr>
                  </w:pPr>
                  <w:r w:rsidRPr="008322A1">
                    <w:rPr>
                      <w:spacing w:val="-2"/>
                    </w:rPr>
                    <w:t>Variable</w:t>
                  </w:r>
                </w:p>
              </w:tc>
              <w:tc>
                <w:tcPr>
                  <w:tcW w:w="416" w:type="pct"/>
                  <w:tcBorders>
                    <w:top w:val="single" w:sz="6" w:space="0" w:color="BFBFBF"/>
                    <w:bottom w:val="single" w:sz="6" w:space="0" w:color="BFBFBF"/>
                  </w:tcBorders>
                </w:tcPr>
                <w:p w:rsidR="00E21ECB" w:rsidRDefault="00E21ECB" w:rsidP="00710AD3">
                  <w:pPr>
                    <w:pStyle w:val="TableColumnHeading"/>
                    <w:jc w:val="left"/>
                  </w:pPr>
                  <w:r>
                    <w:t>Admin</w:t>
                  </w:r>
                </w:p>
              </w:tc>
              <w:tc>
                <w:tcPr>
                  <w:tcW w:w="587" w:type="pct"/>
                  <w:tcBorders>
                    <w:top w:val="single" w:sz="6" w:space="0" w:color="BFBFBF"/>
                    <w:bottom w:val="single" w:sz="6" w:space="0" w:color="BFBFBF"/>
                  </w:tcBorders>
                  <w:shd w:val="clear" w:color="auto" w:fill="auto"/>
                  <w:tcMar>
                    <w:top w:w="28" w:type="dxa"/>
                  </w:tcMar>
                </w:tcPr>
                <w:p w:rsidR="00E21ECB" w:rsidRDefault="00E21ECB" w:rsidP="008918AC">
                  <w:pPr>
                    <w:pStyle w:val="TableColumnHeading"/>
                    <w:jc w:val="left"/>
                  </w:pPr>
                  <w:r>
                    <w:t>Investment</w:t>
                  </w:r>
                </w:p>
              </w:tc>
              <w:tc>
                <w:tcPr>
                  <w:tcW w:w="2736" w:type="pct"/>
                  <w:tcBorders>
                    <w:top w:val="single" w:sz="6" w:space="0" w:color="BFBFBF"/>
                    <w:bottom w:val="single" w:sz="6" w:space="0" w:color="BFBFBF"/>
                  </w:tcBorders>
                  <w:shd w:val="clear" w:color="auto" w:fill="auto"/>
                  <w:tcMar>
                    <w:top w:w="28" w:type="dxa"/>
                  </w:tcMar>
                </w:tcPr>
                <w:p w:rsidR="00E21ECB" w:rsidRDefault="00E21ECB" w:rsidP="00C6018C">
                  <w:pPr>
                    <w:pStyle w:val="TableColumnHeading"/>
                    <w:ind w:left="57" w:right="28"/>
                    <w:jc w:val="left"/>
                  </w:pPr>
                  <w:r>
                    <w:t>Issues/comments</w:t>
                  </w:r>
                </w:p>
              </w:tc>
            </w:tr>
            <w:tr w:rsidR="00E21ECB" w:rsidTr="00951F78">
              <w:tc>
                <w:tcPr>
                  <w:tcW w:w="1011" w:type="pct"/>
                </w:tcPr>
                <w:p w:rsidR="00E21ECB" w:rsidRPr="008322A1" w:rsidRDefault="00FF61CA" w:rsidP="003D5406">
                  <w:pPr>
                    <w:pStyle w:val="TableBodyText"/>
                    <w:jc w:val="left"/>
                    <w:rPr>
                      <w:spacing w:val="-2"/>
                    </w:rPr>
                  </w:pPr>
                  <w:r w:rsidRPr="008322A1">
                    <w:rPr>
                      <w:spacing w:val="-2"/>
                    </w:rPr>
                    <w:t xml:space="preserve">Admin </w:t>
                  </w:r>
                  <w:r w:rsidR="00E21ECB" w:rsidRPr="008322A1">
                    <w:rPr>
                      <w:spacing w:val="-2"/>
                    </w:rPr>
                    <w:t>exp</w:t>
                  </w:r>
                  <w:r w:rsidR="00406514">
                    <w:rPr>
                      <w:spacing w:val="-2"/>
                    </w:rPr>
                    <w:t>ense</w:t>
                  </w:r>
                  <w:r>
                    <w:rPr>
                      <w:spacing w:val="-2"/>
                    </w:rPr>
                    <w:t>s</w:t>
                  </w:r>
                </w:p>
              </w:tc>
              <w:tc>
                <w:tcPr>
                  <w:tcW w:w="391" w:type="pct"/>
                </w:tcPr>
                <w:p w:rsidR="00E21ECB" w:rsidRDefault="00E21ECB" w:rsidP="004E1438">
                  <w:pPr>
                    <w:pStyle w:val="TableBodyText"/>
                  </w:pPr>
                  <w:r>
                    <w:sym w:font="Wingdings" w:char="F0FC"/>
                  </w:r>
                </w:p>
              </w:tc>
              <w:tc>
                <w:tcPr>
                  <w:tcW w:w="587" w:type="pct"/>
                </w:tcPr>
                <w:p w:rsidR="00E21ECB" w:rsidRDefault="00E21ECB" w:rsidP="004E1438">
                  <w:pPr>
                    <w:pStyle w:val="TableBodyText"/>
                  </w:pPr>
                </w:p>
              </w:tc>
              <w:tc>
                <w:tcPr>
                  <w:tcW w:w="3011" w:type="pct"/>
                </w:tcPr>
                <w:p w:rsidR="00E21ECB" w:rsidRDefault="00E21ECB" w:rsidP="0004050F">
                  <w:pPr>
                    <w:pStyle w:val="TableBodyText"/>
                    <w:jc w:val="left"/>
                  </w:pPr>
                  <w:r>
                    <w:t>See previous discussion</w:t>
                  </w:r>
                  <w:r w:rsidR="005159A8">
                    <w:t>.</w:t>
                  </w:r>
                </w:p>
              </w:tc>
            </w:tr>
            <w:tr w:rsidR="00E21ECB" w:rsidTr="00951F78">
              <w:tc>
                <w:tcPr>
                  <w:tcW w:w="1011" w:type="pct"/>
                  <w:shd w:val="clear" w:color="auto" w:fill="auto"/>
                </w:tcPr>
                <w:p w:rsidR="00E21ECB" w:rsidRPr="008322A1" w:rsidRDefault="00FF61CA" w:rsidP="003D5406">
                  <w:pPr>
                    <w:pStyle w:val="TableBodyText"/>
                    <w:jc w:val="left"/>
                    <w:rPr>
                      <w:spacing w:val="-2"/>
                    </w:rPr>
                  </w:pPr>
                  <w:r w:rsidRPr="008322A1">
                    <w:rPr>
                      <w:spacing w:val="-2"/>
                    </w:rPr>
                    <w:t>Invest</w:t>
                  </w:r>
                  <w:r w:rsidR="00D0468C">
                    <w:rPr>
                      <w:spacing w:val="-2"/>
                    </w:rPr>
                    <w:t>ment</w:t>
                  </w:r>
                  <w:r w:rsidRPr="008322A1">
                    <w:rPr>
                      <w:spacing w:val="-2"/>
                    </w:rPr>
                    <w:t xml:space="preserve"> </w:t>
                  </w:r>
                  <w:r w:rsidR="003D5406" w:rsidRPr="008322A1">
                    <w:rPr>
                      <w:spacing w:val="-2"/>
                    </w:rPr>
                    <w:t>exp</w:t>
                  </w:r>
                  <w:r w:rsidR="00406514">
                    <w:rPr>
                      <w:spacing w:val="-2"/>
                    </w:rPr>
                    <w:t>ense</w:t>
                  </w:r>
                  <w:r>
                    <w:rPr>
                      <w:spacing w:val="-2"/>
                    </w:rPr>
                    <w:t>s</w:t>
                  </w:r>
                </w:p>
              </w:tc>
              <w:tc>
                <w:tcPr>
                  <w:tcW w:w="391" w:type="pct"/>
                </w:tcPr>
                <w:p w:rsidR="00E21ECB" w:rsidRDefault="00E21ECB" w:rsidP="004E1438">
                  <w:pPr>
                    <w:pStyle w:val="TableBodyText"/>
                  </w:pPr>
                </w:p>
              </w:tc>
              <w:tc>
                <w:tcPr>
                  <w:tcW w:w="587" w:type="pct"/>
                  <w:shd w:val="clear" w:color="auto" w:fill="auto"/>
                </w:tcPr>
                <w:p w:rsidR="00E21ECB" w:rsidRDefault="00E21ECB" w:rsidP="004E1438">
                  <w:pPr>
                    <w:pStyle w:val="TableBodyText"/>
                  </w:pPr>
                  <w:r>
                    <w:sym w:font="Wingdings" w:char="F0FC"/>
                  </w:r>
                </w:p>
              </w:tc>
              <w:tc>
                <w:tcPr>
                  <w:tcW w:w="3011" w:type="pct"/>
                  <w:shd w:val="clear" w:color="auto" w:fill="auto"/>
                </w:tcPr>
                <w:p w:rsidR="00E21ECB" w:rsidRDefault="00E21ECB" w:rsidP="0004050F">
                  <w:pPr>
                    <w:pStyle w:val="TableBodyText"/>
                    <w:jc w:val="left"/>
                  </w:pPr>
                  <w:r>
                    <w:t>See previous discussion</w:t>
                  </w:r>
                  <w:r w:rsidR="005159A8">
                    <w:t>.</w:t>
                  </w:r>
                </w:p>
              </w:tc>
            </w:tr>
            <w:tr w:rsidR="00E21ECB" w:rsidTr="00207C85">
              <w:tc>
                <w:tcPr>
                  <w:tcW w:w="1011" w:type="pct"/>
                  <w:shd w:val="clear" w:color="auto" w:fill="F2F2F2" w:themeFill="background1" w:themeFillShade="F2"/>
                </w:tcPr>
                <w:p w:rsidR="00E21ECB" w:rsidRPr="00951F78" w:rsidRDefault="00E21ECB" w:rsidP="00E21ECB">
                  <w:pPr>
                    <w:pStyle w:val="TableBodyText"/>
                    <w:jc w:val="left"/>
                    <w:rPr>
                      <w:spacing w:val="-2"/>
                    </w:rPr>
                  </w:pPr>
                  <w:r w:rsidRPr="00951F78">
                    <w:rPr>
                      <w:spacing w:val="-2"/>
                    </w:rPr>
                    <w:t>Total assets at the end of the financial year</w:t>
                  </w:r>
                </w:p>
              </w:tc>
              <w:tc>
                <w:tcPr>
                  <w:tcW w:w="392" w:type="pct"/>
                  <w:shd w:val="clear" w:color="auto" w:fill="F2F2F2" w:themeFill="background1" w:themeFillShade="F2"/>
                </w:tcPr>
                <w:p w:rsidR="00E21ECB" w:rsidRDefault="00E21ECB" w:rsidP="004E1438">
                  <w:pPr>
                    <w:pStyle w:val="TableBodyText"/>
                  </w:pPr>
                  <w:r>
                    <w:sym w:font="Wingdings" w:char="F0FC"/>
                  </w:r>
                </w:p>
              </w:tc>
              <w:tc>
                <w:tcPr>
                  <w:tcW w:w="587" w:type="pct"/>
                  <w:shd w:val="clear" w:color="auto" w:fill="F2F2F2" w:themeFill="background1" w:themeFillShade="F2"/>
                </w:tcPr>
                <w:p w:rsidR="00E21ECB" w:rsidRDefault="00E21ECB" w:rsidP="004E1438">
                  <w:pPr>
                    <w:pStyle w:val="TableBodyText"/>
                  </w:pPr>
                  <w:r>
                    <w:sym w:font="Wingdings" w:char="F0FC"/>
                  </w:r>
                </w:p>
              </w:tc>
              <w:tc>
                <w:tcPr>
                  <w:tcW w:w="3011" w:type="pct"/>
                  <w:shd w:val="clear" w:color="auto" w:fill="F2F2F2" w:themeFill="background1" w:themeFillShade="F2"/>
                </w:tcPr>
                <w:p w:rsidR="00E21ECB" w:rsidRDefault="00E21ECB" w:rsidP="0004050F">
                  <w:pPr>
                    <w:pStyle w:val="TableBodyText"/>
                    <w:jc w:val="left"/>
                  </w:pPr>
                  <w:r w:rsidRPr="00951F78">
                    <w:rPr>
                      <w:i/>
                    </w:rPr>
                    <w:t>Key scale variable,</w:t>
                  </w:r>
                  <w:r>
                    <w:t xml:space="preserve"> interacted to allow economies of scale relationships to vary on average by fund type.</w:t>
                  </w:r>
                </w:p>
                <w:p w:rsidR="00E21ECB" w:rsidRDefault="00E21ECB" w:rsidP="0004050F">
                  <w:pPr>
                    <w:pStyle w:val="TableBodyText"/>
                    <w:jc w:val="left"/>
                  </w:pPr>
                  <w:r>
                    <w:t>May be timing issues and lumpiness by using an end of period stock measure</w:t>
                  </w:r>
                  <w:r w:rsidR="00792044">
                    <w:t xml:space="preserve"> as it </w:t>
                  </w:r>
                  <w:r w:rsidR="00E532FF">
                    <w:t xml:space="preserve">not a perfect measurement of </w:t>
                  </w:r>
                  <w:r w:rsidR="00792044">
                    <w:t xml:space="preserve">size of the </w:t>
                  </w:r>
                  <w:r w:rsidR="00E532FF">
                    <w:t>fund throughout the financial year</w:t>
                  </w:r>
                  <w:r>
                    <w:t>.</w:t>
                  </w:r>
                </w:p>
                <w:p w:rsidR="00E21ECB" w:rsidRDefault="00E21ECB" w:rsidP="0004050F">
                  <w:pPr>
                    <w:pStyle w:val="TableBodyText"/>
                    <w:jc w:val="left"/>
                  </w:pPr>
                  <w:r>
                    <w:t xml:space="preserve">Also used to </w:t>
                  </w:r>
                  <w:r w:rsidR="005E6133">
                    <w:t xml:space="preserve">construct </w:t>
                  </w:r>
                  <w:r>
                    <w:t xml:space="preserve">a Hausman instrument (sum of all assets except fund </w:t>
                  </w:r>
                  <m:oMath>
                    <m:r>
                      <w:rPr>
                        <w:rFonts w:ascii="Cambria Math" w:hAnsi="Cambria Math"/>
                      </w:rPr>
                      <m:t>i</m:t>
                    </m:r>
                  </m:oMath>
                  <w:r>
                    <w:t xml:space="preserve"> in the system) for auxiliary models.</w:t>
                  </w:r>
                </w:p>
              </w:tc>
            </w:tr>
            <w:tr w:rsidR="00E21ECB" w:rsidTr="00207C85">
              <w:tc>
                <w:tcPr>
                  <w:tcW w:w="1011" w:type="pct"/>
                  <w:shd w:val="clear" w:color="auto" w:fill="auto"/>
                </w:tcPr>
                <w:p w:rsidR="00E21ECB" w:rsidRPr="00951F78" w:rsidRDefault="00E21ECB" w:rsidP="00E21ECB">
                  <w:pPr>
                    <w:pStyle w:val="TableBodyText"/>
                    <w:jc w:val="left"/>
                    <w:rPr>
                      <w:spacing w:val="-2"/>
                    </w:rPr>
                  </w:pPr>
                  <w:r w:rsidRPr="00951F78">
                    <w:rPr>
                      <w:spacing w:val="-2"/>
                    </w:rPr>
                    <w:t xml:space="preserve">Number of member accounts </w:t>
                  </w:r>
                </w:p>
              </w:tc>
              <w:tc>
                <w:tcPr>
                  <w:tcW w:w="392" w:type="pct"/>
                </w:tcPr>
                <w:p w:rsidR="00E21ECB" w:rsidRDefault="00E21ECB" w:rsidP="004E1438">
                  <w:pPr>
                    <w:pStyle w:val="TableBodyText"/>
                  </w:pPr>
                  <w:r>
                    <w:sym w:font="Wingdings" w:char="F0FC"/>
                  </w:r>
                </w:p>
              </w:tc>
              <w:tc>
                <w:tcPr>
                  <w:tcW w:w="587" w:type="pct"/>
                  <w:shd w:val="clear" w:color="auto" w:fill="auto"/>
                </w:tcPr>
                <w:p w:rsidR="00E21ECB" w:rsidRDefault="00E21ECB" w:rsidP="004E1438">
                  <w:pPr>
                    <w:pStyle w:val="TableBodyText"/>
                  </w:pPr>
                  <w:r>
                    <w:sym w:font="Wingdings" w:char="F0FC"/>
                  </w:r>
                </w:p>
              </w:tc>
              <w:tc>
                <w:tcPr>
                  <w:tcW w:w="3011" w:type="pct"/>
                  <w:shd w:val="clear" w:color="auto" w:fill="auto"/>
                </w:tcPr>
                <w:p w:rsidR="00E21ECB" w:rsidRDefault="00E21ECB" w:rsidP="0004050F">
                  <w:pPr>
                    <w:pStyle w:val="TableBodyText"/>
                    <w:jc w:val="left"/>
                  </w:pPr>
                  <w:r w:rsidRPr="00951F78">
                    <w:rPr>
                      <w:i/>
                    </w:rPr>
                    <w:t xml:space="preserve">Key scale variable, </w:t>
                  </w:r>
                  <w:r>
                    <w:t>interacted to allow economies of scale relationships to vary on average by fund type.</w:t>
                  </w:r>
                </w:p>
                <w:p w:rsidR="00E21ECB" w:rsidRDefault="00E21ECB" w:rsidP="0004050F">
                  <w:pPr>
                    <w:pStyle w:val="TableBodyText"/>
                    <w:jc w:val="left"/>
                  </w:pPr>
                  <w:r>
                    <w:t>Maybe timing issues and lumpiness by using an end of period stock measure.</w:t>
                  </w:r>
                </w:p>
                <w:p w:rsidR="00E21ECB" w:rsidRDefault="00E21ECB" w:rsidP="0004050F">
                  <w:pPr>
                    <w:pStyle w:val="TableBodyText"/>
                    <w:jc w:val="left"/>
                  </w:pPr>
                  <w:r>
                    <w:t>Some missing data.</w:t>
                  </w:r>
                </w:p>
                <w:p w:rsidR="00E21ECB" w:rsidRDefault="00E21ECB" w:rsidP="0004050F">
                  <w:pPr>
                    <w:pStyle w:val="TableBodyText"/>
                    <w:jc w:val="left"/>
                  </w:pPr>
                  <w:r>
                    <w:t xml:space="preserve">Also used to </w:t>
                  </w:r>
                  <w:r w:rsidR="005E6133">
                    <w:t xml:space="preserve">construct </w:t>
                  </w:r>
                  <w:r>
                    <w:t xml:space="preserve">a Hausman instrument (sum of all assets except fund </w:t>
                  </w:r>
                  <m:oMath>
                    <m:r>
                      <w:rPr>
                        <w:rFonts w:ascii="Cambria Math" w:hAnsi="Cambria Math"/>
                      </w:rPr>
                      <m:t>i</m:t>
                    </m:r>
                  </m:oMath>
                  <w:r>
                    <w:t xml:space="preserve"> in the system) for auxiliary models.</w:t>
                  </w:r>
                </w:p>
              </w:tc>
            </w:tr>
            <w:tr w:rsidR="00E21ECB" w:rsidTr="00207C85">
              <w:tc>
                <w:tcPr>
                  <w:tcW w:w="1011" w:type="pct"/>
                  <w:shd w:val="clear" w:color="auto" w:fill="F2F2F2" w:themeFill="background1" w:themeFillShade="F2"/>
                </w:tcPr>
                <w:p w:rsidR="00E21ECB" w:rsidRPr="008322A1" w:rsidRDefault="00E21ECB" w:rsidP="00E21ECB">
                  <w:pPr>
                    <w:pStyle w:val="TableBodyText"/>
                    <w:jc w:val="left"/>
                    <w:rPr>
                      <w:spacing w:val="-2"/>
                    </w:rPr>
                  </w:pPr>
                  <w:r w:rsidRPr="008322A1">
                    <w:rPr>
                      <w:spacing w:val="-2"/>
                    </w:rPr>
                    <w:t>Net contributions</w:t>
                  </w:r>
                </w:p>
              </w:tc>
              <w:tc>
                <w:tcPr>
                  <w:tcW w:w="392" w:type="pct"/>
                  <w:shd w:val="clear" w:color="auto" w:fill="F2F2F2" w:themeFill="background1" w:themeFillShade="F2"/>
                </w:tcPr>
                <w:p w:rsidR="00E21ECB" w:rsidRDefault="00E21ECB" w:rsidP="004E1438">
                  <w:pPr>
                    <w:pStyle w:val="TableBodyText"/>
                  </w:pPr>
                </w:p>
              </w:tc>
              <w:tc>
                <w:tcPr>
                  <w:tcW w:w="587" w:type="pct"/>
                  <w:shd w:val="clear" w:color="auto" w:fill="F2F2F2" w:themeFill="background1" w:themeFillShade="F2"/>
                </w:tcPr>
                <w:p w:rsidR="00E21ECB" w:rsidRDefault="00E21ECB" w:rsidP="004E1438">
                  <w:pPr>
                    <w:pStyle w:val="TableBodyText"/>
                  </w:pPr>
                  <w:r>
                    <w:sym w:font="Wingdings" w:char="F0FC"/>
                  </w:r>
                </w:p>
              </w:tc>
              <w:tc>
                <w:tcPr>
                  <w:tcW w:w="3011" w:type="pct"/>
                  <w:shd w:val="clear" w:color="auto" w:fill="F2F2F2" w:themeFill="background1" w:themeFillShade="F2"/>
                </w:tcPr>
                <w:p w:rsidR="00471BED" w:rsidRDefault="00471BED" w:rsidP="0004050F">
                  <w:pPr>
                    <w:pStyle w:val="TableBodyText"/>
                    <w:jc w:val="left"/>
                  </w:pPr>
                  <w:r>
                    <w:t>Net contributions are calculated as total member contributions minus total member benefits paid.</w:t>
                  </w:r>
                  <w:r w:rsidR="00F640C8">
                    <w:t xml:space="preserve"> </w:t>
                  </w:r>
                </w:p>
                <w:p w:rsidR="00E21ECB" w:rsidRDefault="00E21ECB" w:rsidP="0004050F">
                  <w:pPr>
                    <w:pStyle w:val="TableBodyText"/>
                    <w:jc w:val="left"/>
                  </w:pPr>
                  <w:r>
                    <w:t xml:space="preserve">Included </w:t>
                  </w:r>
                  <w:r w:rsidR="009F73DC">
                    <w:t>in investment</w:t>
                  </w:r>
                  <w:r>
                    <w:t xml:space="preserve"> because a net positive position means inflows can be used to reposition portfolios without needing to sell assets and incur transaction costs.</w:t>
                  </w:r>
                </w:p>
              </w:tc>
            </w:tr>
            <w:tr w:rsidR="00E21ECB" w:rsidTr="00207C85">
              <w:tc>
                <w:tcPr>
                  <w:tcW w:w="1011" w:type="pct"/>
                  <w:shd w:val="clear" w:color="auto" w:fill="auto"/>
                </w:tcPr>
                <w:p w:rsidR="00E21ECB" w:rsidRPr="008322A1" w:rsidRDefault="00E21ECB" w:rsidP="00E21ECB">
                  <w:pPr>
                    <w:pStyle w:val="TableBodyText"/>
                    <w:jc w:val="left"/>
                    <w:rPr>
                      <w:spacing w:val="-2"/>
                    </w:rPr>
                  </w:pPr>
                  <w:r w:rsidRPr="008322A1">
                    <w:rPr>
                      <w:spacing w:val="-2"/>
                    </w:rPr>
                    <w:t>Net rollovers</w:t>
                  </w:r>
                </w:p>
              </w:tc>
              <w:tc>
                <w:tcPr>
                  <w:tcW w:w="392" w:type="pct"/>
                </w:tcPr>
                <w:p w:rsidR="00E21ECB" w:rsidRDefault="00E21ECB" w:rsidP="004E1438">
                  <w:pPr>
                    <w:pStyle w:val="TableBodyText"/>
                  </w:pPr>
                  <w:r>
                    <w:sym w:font="Wingdings" w:char="F0FC"/>
                  </w:r>
                </w:p>
              </w:tc>
              <w:tc>
                <w:tcPr>
                  <w:tcW w:w="587" w:type="pct"/>
                  <w:shd w:val="clear" w:color="auto" w:fill="auto"/>
                </w:tcPr>
                <w:p w:rsidR="00E21ECB" w:rsidRDefault="00E21ECB" w:rsidP="004E1438">
                  <w:pPr>
                    <w:pStyle w:val="TableBodyText"/>
                  </w:pPr>
                  <w:r>
                    <w:sym w:font="Wingdings" w:char="F0FC"/>
                  </w:r>
                </w:p>
              </w:tc>
              <w:tc>
                <w:tcPr>
                  <w:tcW w:w="3011" w:type="pct"/>
                  <w:shd w:val="clear" w:color="auto" w:fill="auto"/>
                </w:tcPr>
                <w:p w:rsidR="00E21ECB" w:rsidRDefault="00E21ECB" w:rsidP="0004050F">
                  <w:pPr>
                    <w:pStyle w:val="TableBodyText"/>
                    <w:jc w:val="left"/>
                  </w:pPr>
                  <w:r>
                    <w:t xml:space="preserve">Included </w:t>
                  </w:r>
                  <w:r w:rsidR="009F73DC">
                    <w:t>in investment</w:t>
                  </w:r>
                  <w:r>
                    <w:t xml:space="preserve"> because a net positive position means inflows can be used to reposition portfolios without needing to sell assets and incur transaction costs.</w:t>
                  </w:r>
                </w:p>
              </w:tc>
            </w:tr>
            <w:tr w:rsidR="00675FDD" w:rsidTr="00207C85">
              <w:tc>
                <w:tcPr>
                  <w:tcW w:w="1011" w:type="pct"/>
                  <w:shd w:val="clear" w:color="auto" w:fill="F2F2F2" w:themeFill="background1" w:themeFillShade="F2"/>
                </w:tcPr>
                <w:p w:rsidR="00675FDD" w:rsidRPr="008322A1" w:rsidRDefault="00675FDD" w:rsidP="00675FDD">
                  <w:pPr>
                    <w:pStyle w:val="TableBodyText"/>
                    <w:jc w:val="left"/>
                    <w:rPr>
                      <w:spacing w:val="-2"/>
                    </w:rPr>
                  </w:pPr>
                  <w:r w:rsidRPr="008322A1">
                    <w:rPr>
                      <w:spacing w:val="-2"/>
                    </w:rPr>
                    <w:t>Net insurance flows</w:t>
                  </w:r>
                </w:p>
              </w:tc>
              <w:tc>
                <w:tcPr>
                  <w:tcW w:w="392" w:type="pct"/>
                  <w:shd w:val="clear" w:color="auto" w:fill="F2F2F2" w:themeFill="background1" w:themeFillShade="F2"/>
                </w:tcPr>
                <w:p w:rsidR="00675FDD" w:rsidRDefault="00675FDD" w:rsidP="004E1438">
                  <w:pPr>
                    <w:pStyle w:val="TableBodyText"/>
                  </w:pPr>
                  <w:r>
                    <w:sym w:font="Wingdings" w:char="F0FC"/>
                  </w:r>
                </w:p>
              </w:tc>
              <w:tc>
                <w:tcPr>
                  <w:tcW w:w="587" w:type="pct"/>
                  <w:shd w:val="clear" w:color="auto" w:fill="F2F2F2" w:themeFill="background1" w:themeFillShade="F2"/>
                </w:tcPr>
                <w:p w:rsidR="00675FDD" w:rsidRDefault="00675FDD" w:rsidP="004E1438">
                  <w:pPr>
                    <w:pStyle w:val="TableBodyText"/>
                  </w:pPr>
                </w:p>
              </w:tc>
              <w:tc>
                <w:tcPr>
                  <w:tcW w:w="3011" w:type="pct"/>
                  <w:shd w:val="clear" w:color="auto" w:fill="F2F2F2" w:themeFill="background1" w:themeFillShade="F2"/>
                </w:tcPr>
                <w:p w:rsidR="00675FDD" w:rsidRDefault="00D9461D" w:rsidP="0004050F">
                  <w:pPr>
                    <w:pStyle w:val="TableBodyText"/>
                    <w:jc w:val="left"/>
                  </w:pPr>
                  <w:r>
                    <w:t>Include</w:t>
                  </w:r>
                  <w:r w:rsidR="009F73DC">
                    <w:t>d</w:t>
                  </w:r>
                  <w:r>
                    <w:t xml:space="preserve"> </w:t>
                  </w:r>
                  <w:r w:rsidR="009F73DC">
                    <w:t>in administration to represent the costs of processing insurance claims.</w:t>
                  </w:r>
                </w:p>
              </w:tc>
            </w:tr>
          </w:tbl>
          <w:p w:rsidR="00E21ECB" w:rsidRDefault="00E21ECB" w:rsidP="003D5969">
            <w:pPr>
              <w:pStyle w:val="Box"/>
            </w:pPr>
          </w:p>
        </w:tc>
      </w:tr>
      <w:tr w:rsidR="00E21ECB" w:rsidTr="00015386">
        <w:tc>
          <w:tcPr>
            <w:tcW w:w="5000" w:type="pct"/>
            <w:tcBorders>
              <w:top w:val="nil"/>
              <w:left w:val="nil"/>
              <w:bottom w:val="nil"/>
              <w:right w:val="nil"/>
            </w:tcBorders>
            <w:shd w:val="clear" w:color="auto" w:fill="auto"/>
          </w:tcPr>
          <w:p w:rsidR="00E21ECB" w:rsidRPr="00C6018C" w:rsidRDefault="00FF61CA" w:rsidP="00C6018C">
            <w:pPr>
              <w:pStyle w:val="Continued"/>
            </w:pPr>
            <w:r w:rsidRPr="006D5BFD">
              <w:rPr>
                <w:rStyle w:val="NoteLabel"/>
                <w:b w:val="0"/>
                <w:position w:val="0"/>
              </w:rPr>
              <w:t>(continued next page)</w:t>
            </w:r>
          </w:p>
        </w:tc>
      </w:tr>
      <w:tr w:rsidR="00E21ECB" w:rsidTr="00015386">
        <w:tc>
          <w:tcPr>
            <w:tcW w:w="5000" w:type="pct"/>
            <w:tcBorders>
              <w:top w:val="nil"/>
              <w:left w:val="nil"/>
              <w:bottom w:val="single" w:sz="6" w:space="0" w:color="78A22F"/>
              <w:right w:val="nil"/>
            </w:tcBorders>
            <w:shd w:val="clear" w:color="auto" w:fill="auto"/>
          </w:tcPr>
          <w:p w:rsidR="00E21ECB" w:rsidRDefault="00E21ECB" w:rsidP="003D5969">
            <w:pPr>
              <w:pStyle w:val="Box"/>
              <w:spacing w:before="0" w:line="120" w:lineRule="exact"/>
            </w:pPr>
          </w:p>
        </w:tc>
      </w:tr>
      <w:tr w:rsidR="00E21ECB" w:rsidRPr="000863A5" w:rsidTr="00015386">
        <w:tc>
          <w:tcPr>
            <w:tcW w:w="5000" w:type="pct"/>
            <w:tcBorders>
              <w:top w:val="single" w:sz="6" w:space="0" w:color="78A22F"/>
              <w:left w:val="nil"/>
              <w:bottom w:val="nil"/>
              <w:right w:val="nil"/>
            </w:tcBorders>
          </w:tcPr>
          <w:p w:rsidR="00E21ECB" w:rsidRPr="00626D32" w:rsidRDefault="00E21ECB" w:rsidP="003D5969">
            <w:pPr>
              <w:pStyle w:val="BoxSpaceBelow"/>
            </w:pPr>
          </w:p>
        </w:tc>
      </w:tr>
    </w:tbl>
    <w:p w:rsidR="00FF61CA" w:rsidRDefault="00FF61CA" w:rsidP="00FC56E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F61CA" w:rsidTr="00FC56E2">
        <w:trPr>
          <w:tblHeader/>
        </w:trPr>
        <w:tc>
          <w:tcPr>
            <w:tcW w:w="5000" w:type="pct"/>
            <w:tcBorders>
              <w:top w:val="single" w:sz="6" w:space="0" w:color="78A22F"/>
              <w:left w:val="nil"/>
              <w:bottom w:val="nil"/>
              <w:right w:val="nil"/>
            </w:tcBorders>
            <w:shd w:val="clear" w:color="auto" w:fill="auto"/>
          </w:tcPr>
          <w:p w:rsidR="00FF61CA" w:rsidRPr="00784A05" w:rsidRDefault="00FF61CA" w:rsidP="00FA0640">
            <w:pPr>
              <w:pStyle w:val="TableTitle"/>
            </w:pPr>
            <w:r>
              <w:rPr>
                <w:b w:val="0"/>
              </w:rPr>
              <w:t xml:space="preserve">Table </w:t>
            </w:r>
            <w:r w:rsidR="00FA0640">
              <w:rPr>
                <w:b w:val="0"/>
              </w:rPr>
              <w:t>6</w:t>
            </w:r>
            <w:r>
              <w:tab/>
            </w:r>
            <w:r w:rsidRPr="00C6018C">
              <w:rPr>
                <w:b w:val="0"/>
                <w:sz w:val="18"/>
                <w:szCs w:val="18"/>
              </w:rPr>
              <w:t>(continued)</w:t>
            </w:r>
          </w:p>
        </w:tc>
      </w:tr>
      <w:tr w:rsidR="00FF61CA" w:rsidTr="00FC56E2">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151"/>
              <w:gridCol w:w="710"/>
              <w:gridCol w:w="1066"/>
              <w:gridCol w:w="4603"/>
            </w:tblGrid>
            <w:tr w:rsidR="00FF61CA" w:rsidTr="00207C85">
              <w:trPr>
                <w:tblHeader/>
              </w:trPr>
              <w:tc>
                <w:tcPr>
                  <w:tcW w:w="1261" w:type="pct"/>
                  <w:tcBorders>
                    <w:top w:val="single" w:sz="6" w:space="0" w:color="BFBFBF"/>
                    <w:bottom w:val="single" w:sz="6" w:space="0" w:color="BFBFBF"/>
                  </w:tcBorders>
                  <w:shd w:val="clear" w:color="auto" w:fill="auto"/>
                  <w:tcMar>
                    <w:top w:w="28" w:type="dxa"/>
                  </w:tcMar>
                </w:tcPr>
                <w:p w:rsidR="00FF61CA" w:rsidRDefault="00FF61CA" w:rsidP="00FF61CA">
                  <w:pPr>
                    <w:pStyle w:val="TableColumnHeading"/>
                    <w:jc w:val="left"/>
                  </w:pPr>
                  <w:r w:rsidRPr="008322A1">
                    <w:rPr>
                      <w:spacing w:val="-2"/>
                    </w:rPr>
                    <w:t>Variable</w:t>
                  </w:r>
                </w:p>
              </w:tc>
              <w:tc>
                <w:tcPr>
                  <w:tcW w:w="416" w:type="pct"/>
                  <w:tcBorders>
                    <w:top w:val="single" w:sz="6" w:space="0" w:color="BFBFBF"/>
                    <w:bottom w:val="single" w:sz="6" w:space="0" w:color="BFBFBF"/>
                  </w:tcBorders>
                </w:tcPr>
                <w:p w:rsidR="00FF61CA" w:rsidRDefault="00FF61CA" w:rsidP="00FF61CA">
                  <w:pPr>
                    <w:pStyle w:val="TableColumnHeading"/>
                  </w:pPr>
                  <w:r>
                    <w:t>Admin</w:t>
                  </w:r>
                </w:p>
              </w:tc>
              <w:tc>
                <w:tcPr>
                  <w:tcW w:w="625" w:type="pct"/>
                  <w:tcBorders>
                    <w:top w:val="single" w:sz="6" w:space="0" w:color="BFBFBF"/>
                    <w:bottom w:val="single" w:sz="6" w:space="0" w:color="BFBFBF"/>
                  </w:tcBorders>
                  <w:shd w:val="clear" w:color="auto" w:fill="auto"/>
                  <w:tcMar>
                    <w:top w:w="28" w:type="dxa"/>
                  </w:tcMar>
                </w:tcPr>
                <w:p w:rsidR="00FF61CA" w:rsidRDefault="00FF61CA" w:rsidP="00FF61CA">
                  <w:pPr>
                    <w:pStyle w:val="TableColumnHeading"/>
                  </w:pPr>
                  <w:r>
                    <w:t>Investment</w:t>
                  </w:r>
                </w:p>
              </w:tc>
              <w:tc>
                <w:tcPr>
                  <w:tcW w:w="2698" w:type="pct"/>
                  <w:tcBorders>
                    <w:top w:val="single" w:sz="6" w:space="0" w:color="BFBFBF"/>
                    <w:bottom w:val="single" w:sz="6" w:space="0" w:color="BFBFBF"/>
                  </w:tcBorders>
                  <w:shd w:val="clear" w:color="auto" w:fill="auto"/>
                  <w:tcMar>
                    <w:top w:w="28" w:type="dxa"/>
                  </w:tcMar>
                </w:tcPr>
                <w:p w:rsidR="00FF61CA" w:rsidRDefault="00FF61CA" w:rsidP="00C6018C">
                  <w:pPr>
                    <w:pStyle w:val="TableColumnHeading"/>
                    <w:ind w:right="28"/>
                    <w:jc w:val="left"/>
                  </w:pPr>
                  <w:r>
                    <w:t>Issues/comments</w:t>
                  </w:r>
                </w:p>
              </w:tc>
            </w:tr>
            <w:tr w:rsidR="003B11F0" w:rsidTr="003B11F0">
              <w:tc>
                <w:tcPr>
                  <w:tcW w:w="1261" w:type="pct"/>
                  <w:shd w:val="clear" w:color="auto" w:fill="auto"/>
                </w:tcPr>
                <w:p w:rsidR="003B11F0" w:rsidRPr="008322A1" w:rsidRDefault="003B11F0" w:rsidP="003B11F0">
                  <w:pPr>
                    <w:pStyle w:val="TableBodyText"/>
                    <w:jc w:val="left"/>
                    <w:rPr>
                      <w:spacing w:val="-2"/>
                    </w:rPr>
                  </w:pPr>
                  <w:r w:rsidRPr="008322A1">
                    <w:rPr>
                      <w:spacing w:val="-2"/>
                    </w:rPr>
                    <w:t>Introduction of Stronger Super</w:t>
                  </w:r>
                </w:p>
              </w:tc>
              <w:tc>
                <w:tcPr>
                  <w:tcW w:w="416" w:type="pct"/>
                  <w:shd w:val="clear" w:color="auto" w:fill="auto"/>
                </w:tcPr>
                <w:p w:rsidR="003B11F0" w:rsidRDefault="003B11F0" w:rsidP="004E1438">
                  <w:pPr>
                    <w:pStyle w:val="TableBodyText"/>
                  </w:pPr>
                  <w:r>
                    <w:sym w:font="Wingdings" w:char="F0FC"/>
                  </w:r>
                </w:p>
              </w:tc>
              <w:tc>
                <w:tcPr>
                  <w:tcW w:w="625" w:type="pct"/>
                  <w:shd w:val="clear" w:color="auto" w:fill="auto"/>
                </w:tcPr>
                <w:p w:rsidR="003B11F0" w:rsidRDefault="003B11F0" w:rsidP="004E1438">
                  <w:pPr>
                    <w:pStyle w:val="TableBodyText"/>
                  </w:pPr>
                  <w:r>
                    <w:sym w:font="Wingdings" w:char="F0FC"/>
                  </w:r>
                </w:p>
              </w:tc>
              <w:tc>
                <w:tcPr>
                  <w:tcW w:w="2698" w:type="pct"/>
                  <w:shd w:val="clear" w:color="auto" w:fill="auto"/>
                </w:tcPr>
                <w:p w:rsidR="003B11F0" w:rsidRDefault="003B11F0" w:rsidP="003B11F0">
                  <w:pPr>
                    <w:pStyle w:val="TableBodyText"/>
                    <w:jc w:val="left"/>
                  </w:pPr>
                  <w:r>
                    <w:t>A dummy variable representing the period in the sample for which the Stronger Super reforms apply (post 2013</w:t>
                  </w:r>
                  <w:r>
                    <w:noBreakHyphen/>
                    <w:t>14 inclusive).</w:t>
                  </w:r>
                </w:p>
              </w:tc>
            </w:tr>
            <w:tr w:rsidR="003B11F0" w:rsidTr="00207C85">
              <w:tc>
                <w:tcPr>
                  <w:tcW w:w="1261" w:type="pct"/>
                  <w:shd w:val="clear" w:color="auto" w:fill="F2F2F2" w:themeFill="background1" w:themeFillShade="F2"/>
                </w:tcPr>
                <w:p w:rsidR="003B11F0" w:rsidRPr="008322A1" w:rsidRDefault="003B11F0" w:rsidP="003B11F0">
                  <w:pPr>
                    <w:pStyle w:val="TableBodyText"/>
                    <w:jc w:val="left"/>
                    <w:rPr>
                      <w:spacing w:val="-2"/>
                    </w:rPr>
                  </w:pPr>
                  <w:r w:rsidRPr="008322A1">
                    <w:rPr>
                      <w:spacing w:val="-2"/>
                    </w:rPr>
                    <w:t>Introduction of significant reporting</w:t>
                  </w:r>
                  <w:r>
                    <w:rPr>
                      <w:spacing w:val="-2"/>
                    </w:rPr>
                    <w:noBreakHyphen/>
                  </w:r>
                  <w:r w:rsidRPr="008322A1">
                    <w:rPr>
                      <w:spacing w:val="-2"/>
                    </w:rPr>
                    <w:t>framework changes</w:t>
                  </w:r>
                </w:p>
              </w:tc>
              <w:tc>
                <w:tcPr>
                  <w:tcW w:w="416" w:type="pct"/>
                  <w:shd w:val="clear" w:color="auto" w:fill="F2F2F2" w:themeFill="background1" w:themeFillShade="F2"/>
                </w:tcPr>
                <w:p w:rsidR="003B11F0" w:rsidRDefault="003B11F0" w:rsidP="004E1438">
                  <w:pPr>
                    <w:pStyle w:val="TableBodyText"/>
                  </w:pPr>
                  <w:r>
                    <w:sym w:font="Wingdings" w:char="F0FC"/>
                  </w:r>
                </w:p>
              </w:tc>
              <w:tc>
                <w:tcPr>
                  <w:tcW w:w="625" w:type="pct"/>
                  <w:shd w:val="clear" w:color="auto" w:fill="F2F2F2" w:themeFill="background1" w:themeFillShade="F2"/>
                </w:tcPr>
                <w:p w:rsidR="003B11F0" w:rsidRDefault="003B11F0" w:rsidP="004E1438">
                  <w:pPr>
                    <w:pStyle w:val="TableBodyText"/>
                  </w:pPr>
                  <w:r>
                    <w:sym w:font="Wingdings" w:char="F0FC"/>
                  </w:r>
                </w:p>
              </w:tc>
              <w:tc>
                <w:tcPr>
                  <w:tcW w:w="2698" w:type="pct"/>
                  <w:shd w:val="clear" w:color="auto" w:fill="F2F2F2" w:themeFill="background1" w:themeFillShade="F2"/>
                </w:tcPr>
                <w:p w:rsidR="003B11F0" w:rsidRDefault="003B11F0" w:rsidP="003B11F0">
                  <w:pPr>
                    <w:pStyle w:val="TableBodyText"/>
                    <w:jc w:val="left"/>
                  </w:pPr>
                  <w:r>
                    <w:t>A dummy variable representing the period from 2014 onwards, to capture significant changes in the APRA reporting framework, particular on asset allocation.</w:t>
                  </w:r>
                </w:p>
                <w:p w:rsidR="003B11F0" w:rsidRDefault="003B11F0" w:rsidP="003B11F0">
                  <w:pPr>
                    <w:pStyle w:val="TableBodyText"/>
                    <w:jc w:val="left"/>
                  </w:pPr>
                  <w:r>
                    <w:t>Interacted with asset allocation to allow for a structural break in the type of asset allocation data reported.</w:t>
                  </w:r>
                </w:p>
              </w:tc>
            </w:tr>
            <w:tr w:rsidR="003B11F0" w:rsidTr="003B11F0">
              <w:tc>
                <w:tcPr>
                  <w:tcW w:w="1261" w:type="pct"/>
                  <w:shd w:val="clear" w:color="auto" w:fill="auto"/>
                </w:tcPr>
                <w:p w:rsidR="003B11F0" w:rsidRPr="008322A1" w:rsidRDefault="003B11F0" w:rsidP="003B11F0">
                  <w:pPr>
                    <w:pStyle w:val="TableBodyText"/>
                    <w:jc w:val="left"/>
                    <w:rPr>
                      <w:spacing w:val="-2"/>
                    </w:rPr>
                  </w:pPr>
                  <w:r w:rsidRPr="008322A1">
                    <w:rPr>
                      <w:spacing w:val="-2"/>
                    </w:rPr>
                    <w:t>Fund type indicators</w:t>
                  </w:r>
                </w:p>
              </w:tc>
              <w:tc>
                <w:tcPr>
                  <w:tcW w:w="416" w:type="pct"/>
                  <w:shd w:val="clear" w:color="auto" w:fill="auto"/>
                </w:tcPr>
                <w:p w:rsidR="003B11F0" w:rsidRDefault="003B11F0" w:rsidP="004E1438">
                  <w:pPr>
                    <w:pStyle w:val="TableBodyText"/>
                  </w:pPr>
                  <w:r>
                    <w:sym w:font="Wingdings" w:char="F0FC"/>
                  </w:r>
                </w:p>
              </w:tc>
              <w:tc>
                <w:tcPr>
                  <w:tcW w:w="625" w:type="pct"/>
                  <w:shd w:val="clear" w:color="auto" w:fill="auto"/>
                </w:tcPr>
                <w:p w:rsidR="003B11F0" w:rsidRDefault="003B11F0" w:rsidP="004E1438">
                  <w:pPr>
                    <w:pStyle w:val="TableBodyText"/>
                  </w:pPr>
                  <w:r>
                    <w:sym w:font="Wingdings" w:char="F0FC"/>
                  </w:r>
                </w:p>
              </w:tc>
              <w:tc>
                <w:tcPr>
                  <w:tcW w:w="2698" w:type="pct"/>
                  <w:shd w:val="clear" w:color="auto" w:fill="auto"/>
                </w:tcPr>
                <w:p w:rsidR="003B11F0" w:rsidRDefault="003B11F0" w:rsidP="003B11F0">
                  <w:pPr>
                    <w:pStyle w:val="TableBodyText"/>
                    <w:jc w:val="left"/>
                  </w:pPr>
                  <w:r>
                    <w:t>Corporate, industry, public sector and retail. Used to capture differences in economies of scale by fund type.</w:t>
                  </w:r>
                </w:p>
              </w:tc>
            </w:tr>
            <w:tr w:rsidR="00FF61CA" w:rsidTr="00207C85">
              <w:tc>
                <w:tcPr>
                  <w:tcW w:w="1261" w:type="pct"/>
                  <w:shd w:val="clear" w:color="auto" w:fill="F2F2F2" w:themeFill="background1" w:themeFillShade="F2"/>
                </w:tcPr>
                <w:p w:rsidR="00FF61CA" w:rsidRPr="008322A1" w:rsidRDefault="00FF61CA" w:rsidP="00FC56E2">
                  <w:pPr>
                    <w:pStyle w:val="TableBodyText"/>
                    <w:jc w:val="left"/>
                    <w:rPr>
                      <w:spacing w:val="-2"/>
                    </w:rPr>
                  </w:pPr>
                  <w:r w:rsidRPr="008322A1">
                    <w:rPr>
                      <w:spacing w:val="-2"/>
                    </w:rPr>
                    <w:t>Asset allocation data</w:t>
                  </w:r>
                </w:p>
              </w:tc>
              <w:tc>
                <w:tcPr>
                  <w:tcW w:w="416" w:type="pct"/>
                  <w:shd w:val="clear" w:color="auto" w:fill="F2F2F2" w:themeFill="background1" w:themeFillShade="F2"/>
                </w:tcPr>
                <w:p w:rsidR="00FF61CA" w:rsidRDefault="00FF61CA" w:rsidP="004E1438">
                  <w:pPr>
                    <w:pStyle w:val="TableBodyText"/>
                  </w:pPr>
                </w:p>
              </w:tc>
              <w:tc>
                <w:tcPr>
                  <w:tcW w:w="625" w:type="pct"/>
                  <w:shd w:val="clear" w:color="auto" w:fill="F2F2F2" w:themeFill="background1" w:themeFillShade="F2"/>
                </w:tcPr>
                <w:p w:rsidR="00FF61CA" w:rsidRDefault="00FF61CA" w:rsidP="004E1438">
                  <w:pPr>
                    <w:pStyle w:val="TableBodyText"/>
                  </w:pPr>
                  <w:r>
                    <w:sym w:font="Wingdings" w:char="F0FC"/>
                  </w:r>
                </w:p>
              </w:tc>
              <w:tc>
                <w:tcPr>
                  <w:tcW w:w="2698" w:type="pct"/>
                  <w:shd w:val="clear" w:color="auto" w:fill="F2F2F2" w:themeFill="background1" w:themeFillShade="F2"/>
                </w:tcPr>
                <w:p w:rsidR="00FF61CA" w:rsidRDefault="00FF61CA" w:rsidP="0004050F">
                  <w:pPr>
                    <w:pStyle w:val="TableBodyText"/>
                    <w:jc w:val="left"/>
                  </w:pPr>
                  <w:r>
                    <w:t>Some missing data.</w:t>
                  </w:r>
                </w:p>
                <w:p w:rsidR="00FF61CA" w:rsidRDefault="00FF61CA" w:rsidP="0004050F">
                  <w:pPr>
                    <w:pStyle w:val="TableBodyText"/>
                    <w:jc w:val="left"/>
                  </w:pPr>
                  <w:r>
                    <w:t xml:space="preserve">Asset classes </w:t>
                  </w:r>
                  <w:r w:rsidR="000A3EF3">
                    <w:t xml:space="preserve">included in the model are </w:t>
                  </w:r>
                  <w:r>
                    <w:t xml:space="preserve">Australian Fixed Interest, International Fixed interest, Australian Listed equity, International Listed equity, Listed </w:t>
                  </w:r>
                  <w:r w:rsidR="00FA0640">
                    <w:t>P</w:t>
                  </w:r>
                  <w:r>
                    <w:t xml:space="preserve">roperty, Unlisted Property and Other. </w:t>
                  </w:r>
                </w:p>
                <w:p w:rsidR="00FF61CA" w:rsidRDefault="000A3EF3" w:rsidP="0004050F">
                  <w:pPr>
                    <w:pStyle w:val="TableBodyText"/>
                    <w:jc w:val="left"/>
                  </w:pPr>
                  <w:r>
                    <w:t>In alternative specifications (appendix</w:t>
                  </w:r>
                  <w:r w:rsidR="00F640C8">
                    <w:t> </w:t>
                  </w:r>
                  <w:r w:rsidR="005159A8">
                    <w:t>D</w:t>
                  </w:r>
                  <w:r>
                    <w:t>),</w:t>
                  </w:r>
                  <w:r w:rsidR="007E3874">
                    <w:t xml:space="preserve"> </w:t>
                  </w:r>
                  <w:r>
                    <w:t>t</w:t>
                  </w:r>
                  <w:r w:rsidR="00FF61CA">
                    <w:t xml:space="preserve">hese have been aggregated into fixed interest, equity, listed property and other (with unlisted property being included in other) for model parsimony. </w:t>
                  </w:r>
                </w:p>
                <w:p w:rsidR="00FF61CA" w:rsidRDefault="00FF61CA" w:rsidP="0004050F">
                  <w:pPr>
                    <w:pStyle w:val="TableBodyText"/>
                    <w:jc w:val="left"/>
                  </w:pPr>
                  <w:r>
                    <w:t xml:space="preserve">Classes are different from those used in returns analysis, as we have avoided making additional adjustments and assumptions for this analysis. </w:t>
                  </w:r>
                </w:p>
                <w:p w:rsidR="00FF61CA" w:rsidRDefault="00FF61CA" w:rsidP="0004050F">
                  <w:pPr>
                    <w:pStyle w:val="TableBodyText"/>
                    <w:jc w:val="left"/>
                  </w:pPr>
                  <w:r>
                    <w:t>Composition of ‘Other’ may differ markedly between funds.</w:t>
                  </w:r>
                </w:p>
                <w:p w:rsidR="00FF61CA" w:rsidRDefault="000A3EF3" w:rsidP="0004050F">
                  <w:pPr>
                    <w:pStyle w:val="TableBodyText"/>
                    <w:jc w:val="left"/>
                  </w:pPr>
                  <w:r>
                    <w:t xml:space="preserve">Unlisted assets are </w:t>
                  </w:r>
                  <w:r w:rsidR="000A7F4F">
                    <w:t>not accurately captured</w:t>
                  </w:r>
                  <w:r>
                    <w:t xml:space="preserve"> prior to 201</w:t>
                  </w:r>
                  <w:r w:rsidR="0017233E">
                    <w:t>4</w:t>
                  </w:r>
                  <w:r w:rsidR="005159A8">
                    <w:t>.</w:t>
                  </w:r>
                </w:p>
              </w:tc>
            </w:tr>
            <w:tr w:rsidR="006B2715" w:rsidTr="00207C85">
              <w:tc>
                <w:tcPr>
                  <w:tcW w:w="1261" w:type="pct"/>
                  <w:shd w:val="clear" w:color="auto" w:fill="auto"/>
                </w:tcPr>
                <w:p w:rsidR="006B2715" w:rsidRPr="008322A1" w:rsidRDefault="006B2715" w:rsidP="00FC56E2">
                  <w:pPr>
                    <w:pStyle w:val="TableBodyText"/>
                    <w:jc w:val="left"/>
                    <w:rPr>
                      <w:spacing w:val="-2"/>
                    </w:rPr>
                  </w:pPr>
                  <w:r>
                    <w:rPr>
                      <w:spacing w:val="-2"/>
                    </w:rPr>
                    <w:t>Proportion of in</w:t>
                  </w:r>
                  <w:r w:rsidR="00F640C8">
                    <w:rPr>
                      <w:spacing w:val="-2"/>
                    </w:rPr>
                    <w:noBreakHyphen/>
                  </w:r>
                  <w:r>
                    <w:rPr>
                      <w:spacing w:val="-2"/>
                    </w:rPr>
                    <w:t>house managed investments</w:t>
                  </w:r>
                </w:p>
              </w:tc>
              <w:tc>
                <w:tcPr>
                  <w:tcW w:w="416" w:type="pct"/>
                </w:tcPr>
                <w:p w:rsidR="006B2715" w:rsidRDefault="006B2715" w:rsidP="004E1438">
                  <w:pPr>
                    <w:pStyle w:val="TableBodyText"/>
                  </w:pPr>
                </w:p>
              </w:tc>
              <w:tc>
                <w:tcPr>
                  <w:tcW w:w="625" w:type="pct"/>
                  <w:shd w:val="clear" w:color="auto" w:fill="auto"/>
                </w:tcPr>
                <w:p w:rsidR="006B2715" w:rsidRDefault="006B2715" w:rsidP="004E1438">
                  <w:pPr>
                    <w:pStyle w:val="TableBodyText"/>
                  </w:pPr>
                  <w:r>
                    <w:sym w:font="Wingdings" w:char="F0FC"/>
                  </w:r>
                </w:p>
              </w:tc>
              <w:tc>
                <w:tcPr>
                  <w:tcW w:w="2698" w:type="pct"/>
                  <w:shd w:val="clear" w:color="auto" w:fill="auto"/>
                </w:tcPr>
                <w:p w:rsidR="006B2715" w:rsidRDefault="006B2715" w:rsidP="0004050F">
                  <w:pPr>
                    <w:pStyle w:val="TableBodyText"/>
                    <w:jc w:val="left"/>
                  </w:pPr>
                  <w:r>
                    <w:t>The Commission collected the proportion of in</w:t>
                  </w:r>
                  <w:r w:rsidR="00F640C8">
                    <w:noBreakHyphen/>
                  </w:r>
                  <w:r>
                    <w:t>house managed investments from 10 funds</w:t>
                  </w:r>
                  <w:r w:rsidR="00FA0640">
                    <w:t>.</w:t>
                  </w:r>
                </w:p>
                <w:p w:rsidR="006B2715" w:rsidRDefault="006B2715" w:rsidP="0004050F">
                  <w:pPr>
                    <w:pStyle w:val="TableBodyText"/>
                    <w:jc w:val="left"/>
                  </w:pPr>
                  <w:r>
                    <w:t>The Commission tested the inclusion of this variable in an alternative specification (appendix</w:t>
                  </w:r>
                  <w:r w:rsidR="00F640C8">
                    <w:t> </w:t>
                  </w:r>
                  <w:r w:rsidR="005159A8">
                    <w:t>C</w:t>
                  </w:r>
                  <w:r>
                    <w:t>)</w:t>
                  </w:r>
                  <w:r w:rsidR="00FA0640">
                    <w:t>.</w:t>
                  </w:r>
                </w:p>
              </w:tc>
            </w:tr>
            <w:tr w:rsidR="00FF61CA" w:rsidTr="00207C85">
              <w:tc>
                <w:tcPr>
                  <w:tcW w:w="1261" w:type="pct"/>
                  <w:shd w:val="clear" w:color="auto" w:fill="F2F2F2" w:themeFill="background1" w:themeFillShade="F2"/>
                </w:tcPr>
                <w:p w:rsidR="00FF61CA" w:rsidRPr="008322A1" w:rsidRDefault="00FF61CA" w:rsidP="00FF61CA">
                  <w:pPr>
                    <w:pStyle w:val="TableBodyText"/>
                    <w:jc w:val="left"/>
                    <w:rPr>
                      <w:spacing w:val="-2"/>
                    </w:rPr>
                  </w:pPr>
                  <w:r w:rsidRPr="008322A1">
                    <w:rPr>
                      <w:spacing w:val="-2"/>
                    </w:rPr>
                    <w:t xml:space="preserve">Number of investment options </w:t>
                  </w:r>
                </w:p>
              </w:tc>
              <w:tc>
                <w:tcPr>
                  <w:tcW w:w="416" w:type="pct"/>
                  <w:shd w:val="clear" w:color="auto" w:fill="F2F2F2" w:themeFill="background1" w:themeFillShade="F2"/>
                </w:tcPr>
                <w:p w:rsidR="00FF61CA" w:rsidRDefault="00FF61CA" w:rsidP="004E1438">
                  <w:pPr>
                    <w:pStyle w:val="TableBodyText"/>
                  </w:pPr>
                  <w:r>
                    <w:sym w:font="Wingdings" w:char="F0FC"/>
                  </w:r>
                </w:p>
              </w:tc>
              <w:tc>
                <w:tcPr>
                  <w:tcW w:w="625" w:type="pct"/>
                  <w:shd w:val="clear" w:color="auto" w:fill="F2F2F2" w:themeFill="background1" w:themeFillShade="F2"/>
                </w:tcPr>
                <w:p w:rsidR="00FF61CA" w:rsidRDefault="00FF61CA" w:rsidP="004E1438">
                  <w:pPr>
                    <w:pStyle w:val="TableBodyText"/>
                  </w:pPr>
                  <w:r>
                    <w:sym w:font="Wingdings" w:char="F0FC"/>
                  </w:r>
                </w:p>
              </w:tc>
              <w:tc>
                <w:tcPr>
                  <w:tcW w:w="2698" w:type="pct"/>
                  <w:shd w:val="clear" w:color="auto" w:fill="F2F2F2" w:themeFill="background1" w:themeFillShade="F2"/>
                </w:tcPr>
                <w:p w:rsidR="00FF61CA" w:rsidRDefault="00FF61CA" w:rsidP="0004050F">
                  <w:pPr>
                    <w:pStyle w:val="TableBodyText"/>
                    <w:jc w:val="left"/>
                  </w:pPr>
                  <w:r>
                    <w:t>Significant missing data.</w:t>
                  </w:r>
                </w:p>
                <w:p w:rsidR="00FF61CA" w:rsidRDefault="00FF61CA" w:rsidP="0004050F">
                  <w:pPr>
                    <w:pStyle w:val="TableBodyText"/>
                    <w:jc w:val="left"/>
                  </w:pPr>
                  <w:r>
                    <w:t xml:space="preserve">Included to represent the costs of administering large arrays of investment options and incurring larger transaction costs for wrap products. </w:t>
                  </w:r>
                </w:p>
              </w:tc>
            </w:tr>
            <w:tr w:rsidR="00FF61CA" w:rsidTr="00207C85">
              <w:tc>
                <w:tcPr>
                  <w:tcW w:w="1261" w:type="pct"/>
                  <w:tcBorders>
                    <w:bottom w:val="single" w:sz="6" w:space="0" w:color="BFBFBF"/>
                  </w:tcBorders>
                  <w:shd w:val="clear" w:color="auto" w:fill="auto"/>
                </w:tcPr>
                <w:p w:rsidR="00FF61CA" w:rsidRPr="00D6014F" w:rsidRDefault="00FF61CA" w:rsidP="00FF61CA">
                  <w:pPr>
                    <w:pStyle w:val="TableBodyText"/>
                    <w:jc w:val="left"/>
                  </w:pPr>
                  <w:r w:rsidRPr="00C6018C">
                    <w:t>Annual returns</w:t>
                  </w:r>
                </w:p>
              </w:tc>
              <w:tc>
                <w:tcPr>
                  <w:tcW w:w="416" w:type="pct"/>
                  <w:tcBorders>
                    <w:bottom w:val="single" w:sz="6" w:space="0" w:color="BFBFBF"/>
                  </w:tcBorders>
                </w:tcPr>
                <w:p w:rsidR="00FF61CA" w:rsidRDefault="00FF61CA" w:rsidP="004E1438">
                  <w:pPr>
                    <w:pStyle w:val="TableBodyText"/>
                  </w:pPr>
                </w:p>
              </w:tc>
              <w:tc>
                <w:tcPr>
                  <w:tcW w:w="625" w:type="pct"/>
                  <w:tcBorders>
                    <w:bottom w:val="single" w:sz="6" w:space="0" w:color="BFBFBF"/>
                  </w:tcBorders>
                  <w:shd w:val="clear" w:color="auto" w:fill="auto"/>
                </w:tcPr>
                <w:p w:rsidR="00FF61CA" w:rsidRDefault="00FF61CA" w:rsidP="004E1438">
                  <w:pPr>
                    <w:pStyle w:val="TableBodyText"/>
                  </w:pPr>
                  <w:r>
                    <w:sym w:font="Wingdings" w:char="F0FC"/>
                  </w:r>
                </w:p>
              </w:tc>
              <w:tc>
                <w:tcPr>
                  <w:tcW w:w="2698" w:type="pct"/>
                  <w:tcBorders>
                    <w:bottom w:val="single" w:sz="6" w:space="0" w:color="BFBFBF"/>
                  </w:tcBorders>
                  <w:shd w:val="clear" w:color="auto" w:fill="auto"/>
                </w:tcPr>
                <w:p w:rsidR="00FF61CA" w:rsidRDefault="00FF61CA" w:rsidP="004F0EDB">
                  <w:pPr>
                    <w:pStyle w:val="TableBodyText"/>
                    <w:jc w:val="left"/>
                  </w:pPr>
                  <w:r>
                    <w:t xml:space="preserve">Used in auxilary models both by itself and as a Hausman instrument (sum of all returns except fund </w:t>
                  </w:r>
                  <m:oMath>
                    <m:r>
                      <w:rPr>
                        <w:rFonts w:ascii="Cambria Math" w:hAnsi="Cambria Math"/>
                      </w:rPr>
                      <m:t>i</m:t>
                    </m:r>
                  </m:oMath>
                  <w:r>
                    <w:t xml:space="preserve"> in the system)</w:t>
                  </w:r>
                  <w:r w:rsidR="00FA0640">
                    <w:t>.</w:t>
                  </w:r>
                </w:p>
              </w:tc>
            </w:tr>
          </w:tbl>
          <w:p w:rsidR="00FF61CA" w:rsidRDefault="00FF61CA" w:rsidP="00FC56E2">
            <w:pPr>
              <w:pStyle w:val="Box"/>
            </w:pPr>
          </w:p>
        </w:tc>
      </w:tr>
      <w:tr w:rsidR="00FF61CA" w:rsidTr="00FC56E2">
        <w:tc>
          <w:tcPr>
            <w:tcW w:w="5000" w:type="pct"/>
            <w:tcBorders>
              <w:top w:val="nil"/>
              <w:left w:val="nil"/>
              <w:bottom w:val="nil"/>
              <w:right w:val="nil"/>
            </w:tcBorders>
            <w:shd w:val="clear" w:color="auto" w:fill="auto"/>
          </w:tcPr>
          <w:p w:rsidR="00FF61CA" w:rsidRDefault="00FF61CA" w:rsidP="00FF61CA">
            <w:pPr>
              <w:pStyle w:val="Note"/>
              <w:rPr>
                <w:i/>
              </w:rPr>
            </w:pPr>
            <w:r w:rsidRPr="00604BFB">
              <w:rPr>
                <w:rStyle w:val="NoteLabel"/>
              </w:rPr>
              <w:t>a</w:t>
            </w:r>
            <w:r w:rsidRPr="00604BFB">
              <w:t> APRA provides fund</w:t>
            </w:r>
            <w:r w:rsidRPr="00604BFB">
              <w:noBreakHyphen/>
              <w:t>level financial data to the public, but data for many funds — particularly smaller ones — is ‘masked’ for privacy reasons. The Commission has used unmasked fund</w:t>
            </w:r>
            <w:r w:rsidRPr="00604BFB">
              <w:noBreakHyphen/>
              <w:t xml:space="preserve">level financial data. </w:t>
            </w:r>
            <w:r w:rsidRPr="00604BFB">
              <w:rPr>
                <w:rStyle w:val="NoteLabel"/>
              </w:rPr>
              <w:t>b</w:t>
            </w:r>
            <w:r w:rsidRPr="00604BFB">
              <w:t> All data cover the period 30</w:t>
            </w:r>
            <w:r w:rsidR="00F640C8">
              <w:t> </w:t>
            </w:r>
            <w:r w:rsidRPr="00604BFB">
              <w:t>June 2004 to 30</w:t>
            </w:r>
            <w:r w:rsidR="00F640C8">
              <w:t> </w:t>
            </w:r>
            <w:r w:rsidRPr="00604BFB">
              <w:t>June 2017.</w:t>
            </w:r>
          </w:p>
        </w:tc>
      </w:tr>
      <w:tr w:rsidR="00FF61CA" w:rsidTr="00FC56E2">
        <w:tc>
          <w:tcPr>
            <w:tcW w:w="5000" w:type="pct"/>
            <w:tcBorders>
              <w:top w:val="nil"/>
              <w:left w:val="nil"/>
              <w:bottom w:val="single" w:sz="6" w:space="0" w:color="78A22F"/>
              <w:right w:val="nil"/>
            </w:tcBorders>
            <w:shd w:val="clear" w:color="auto" w:fill="auto"/>
          </w:tcPr>
          <w:p w:rsidR="00FF61CA" w:rsidRDefault="00FF61CA" w:rsidP="00FC56E2">
            <w:pPr>
              <w:pStyle w:val="Box"/>
              <w:spacing w:before="0" w:line="120" w:lineRule="exact"/>
            </w:pPr>
          </w:p>
        </w:tc>
      </w:tr>
      <w:tr w:rsidR="00FF61CA" w:rsidRPr="000863A5" w:rsidTr="00FC56E2">
        <w:tc>
          <w:tcPr>
            <w:tcW w:w="5000" w:type="pct"/>
            <w:tcBorders>
              <w:top w:val="single" w:sz="6" w:space="0" w:color="78A22F"/>
              <w:left w:val="nil"/>
              <w:bottom w:val="nil"/>
              <w:right w:val="nil"/>
            </w:tcBorders>
          </w:tcPr>
          <w:p w:rsidR="00FF61CA" w:rsidRPr="00626D32" w:rsidRDefault="00FF61CA" w:rsidP="00FC56E2">
            <w:pPr>
              <w:pStyle w:val="BoxSpaceBelow"/>
            </w:pPr>
          </w:p>
        </w:tc>
      </w:tr>
    </w:tbl>
    <w:p w:rsidR="0009777A" w:rsidRDefault="0009777A" w:rsidP="002B3FF3">
      <w:pPr>
        <w:pStyle w:val="Heading3"/>
      </w:pPr>
      <w:bookmarkStart w:id="25" w:name="_Toc530748483"/>
      <w:r>
        <w:t>A cost function sits at the centre of the modelling work</w:t>
      </w:r>
      <w:bookmarkEnd w:id="25"/>
    </w:p>
    <w:p w:rsidR="002E7D94" w:rsidRDefault="0028129E" w:rsidP="002E7D94">
      <w:pPr>
        <w:pStyle w:val="BodyText"/>
      </w:pPr>
      <w:r w:rsidRPr="00FA065A">
        <w:rPr>
          <w:spacing w:val="-2"/>
        </w:rPr>
        <w:t>A cost function relating funds’ characteristics</w:t>
      </w:r>
      <w:r>
        <w:rPr>
          <w:spacing w:val="-2"/>
        </w:rPr>
        <w:t xml:space="preserve"> (detailed in table</w:t>
      </w:r>
      <w:r w:rsidR="00F640C8">
        <w:rPr>
          <w:spacing w:val="-2"/>
        </w:rPr>
        <w:t> </w:t>
      </w:r>
      <w:r>
        <w:rPr>
          <w:spacing w:val="-2"/>
        </w:rPr>
        <w:t>6)</w:t>
      </w:r>
      <w:r w:rsidRPr="00FA065A">
        <w:rPr>
          <w:spacing w:val="-2"/>
        </w:rPr>
        <w:t xml:space="preserve">, including scale, to expenses (costs) is at the centre of the Commission’s </w:t>
      </w:r>
      <w:r>
        <w:rPr>
          <w:spacing w:val="-2"/>
        </w:rPr>
        <w:t xml:space="preserve">cost modelling </w:t>
      </w:r>
      <w:r w:rsidRPr="00FA065A" w:rsidDel="009261EC">
        <w:rPr>
          <w:spacing w:val="-2"/>
        </w:rPr>
        <w:t>approach</w:t>
      </w:r>
      <w:r>
        <w:rPr>
          <w:spacing w:val="-2"/>
        </w:rPr>
        <w:t>.</w:t>
      </w:r>
      <w:r w:rsidR="002E7D94">
        <w:rPr>
          <w:spacing w:val="-2"/>
        </w:rPr>
        <w:t xml:space="preserve"> </w:t>
      </w:r>
      <w:r w:rsidR="002E7D94">
        <w:t>Results derived from this modelling were used in a variety of ways (box </w:t>
      </w:r>
      <w:r w:rsidR="007E3874">
        <w:t>2</w:t>
      </w:r>
      <w:r w:rsidR="002E7D94">
        <w:t xml:space="preserve">) to obtain answers to the first four of the Commission’s questions. Regression analysis, controlling for key factors </w:t>
      </w:r>
      <w:r w:rsidR="007E3874">
        <w:t xml:space="preserve">that </w:t>
      </w:r>
      <w:r w:rsidR="002E7D94">
        <w:t>are likely to influence returns — in particular, asset allocation — was used to capture the returns–scale relationship, delivering an answer to the fifth question.</w:t>
      </w:r>
    </w:p>
    <w:p w:rsidR="002E7D94" w:rsidRDefault="002E7D94" w:rsidP="002E7D9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E7D94" w:rsidTr="008B1C5A">
        <w:trPr>
          <w:tblHeader/>
        </w:trPr>
        <w:tc>
          <w:tcPr>
            <w:tcW w:w="5000" w:type="pct"/>
            <w:tcBorders>
              <w:top w:val="single" w:sz="6" w:space="0" w:color="78A22F"/>
              <w:left w:val="nil"/>
              <w:bottom w:val="nil"/>
              <w:right w:val="nil"/>
            </w:tcBorders>
            <w:shd w:val="clear" w:color="auto" w:fill="F2F2F2"/>
          </w:tcPr>
          <w:p w:rsidR="002E7D94" w:rsidRDefault="002E7D94" w:rsidP="008B1C5A">
            <w:pPr>
              <w:pStyle w:val="BoxTitle"/>
            </w:pPr>
            <w:r>
              <w:rPr>
                <w:b w:val="0"/>
              </w:rPr>
              <w:t xml:space="preserve">Box </w:t>
            </w:r>
            <w:r w:rsidR="004325AA">
              <w:rPr>
                <w:b w:val="0"/>
                <w:noProof/>
              </w:rPr>
              <w:t>2</w:t>
            </w:r>
            <w:r>
              <w:tab/>
              <w:t>Use of modelling results to answer research questions</w:t>
            </w:r>
          </w:p>
        </w:tc>
      </w:tr>
      <w:tr w:rsidR="002E7D94" w:rsidTr="008B1C5A">
        <w:tc>
          <w:tcPr>
            <w:tcW w:w="5000" w:type="pct"/>
            <w:tcBorders>
              <w:top w:val="nil"/>
              <w:left w:val="nil"/>
              <w:bottom w:val="nil"/>
              <w:right w:val="nil"/>
            </w:tcBorders>
            <w:shd w:val="clear" w:color="auto" w:fill="F2F2F2"/>
          </w:tcPr>
          <w:p w:rsidR="002E7D94" w:rsidRDefault="002E7D94" w:rsidP="008B1C5A">
            <w:pPr>
              <w:pStyle w:val="Box"/>
            </w:pPr>
            <w:r>
              <w:t>Answers to the Commission’s research questions were derived as follows.</w:t>
            </w:r>
          </w:p>
          <w:p w:rsidR="002E7D94" w:rsidRDefault="002E7D94" w:rsidP="008B1C5A">
            <w:pPr>
              <w:pStyle w:val="BoxListBullet"/>
            </w:pPr>
            <w:r>
              <w:t xml:space="preserve">Question: </w:t>
            </w:r>
            <w:r>
              <w:rPr>
                <w:i/>
              </w:rPr>
              <w:t>W</w:t>
            </w:r>
            <w:r w:rsidRPr="00AD5627">
              <w:rPr>
                <w:i/>
              </w:rPr>
              <w:t xml:space="preserve">hat is the </w:t>
            </w:r>
            <w:r>
              <w:rPr>
                <w:i/>
              </w:rPr>
              <w:t xml:space="preserve">relationship between </w:t>
            </w:r>
            <w:r w:rsidRPr="00AD5627">
              <w:rPr>
                <w:i/>
              </w:rPr>
              <w:t>average cost and scale for super funds?</w:t>
            </w:r>
          </w:p>
          <w:p w:rsidR="002E7D94" w:rsidRDefault="002E7D94" w:rsidP="008B1C5A">
            <w:pPr>
              <w:pStyle w:val="Box"/>
              <w:spacing w:before="0"/>
              <w:ind w:left="284"/>
            </w:pPr>
            <w:r w:rsidRPr="0096621D">
              <w:t>Approach:</w:t>
            </w:r>
            <w:r w:rsidRPr="00C13DA5">
              <w:t xml:space="preserve"> </w:t>
            </w:r>
            <w:r>
              <w:t>Results from the</w:t>
            </w:r>
            <w:r w:rsidDel="00DA4CFC">
              <w:t xml:space="preserve"> </w:t>
            </w:r>
            <w:r>
              <w:t>cost functions were used to estimate the relationship between average costs and scale</w:t>
            </w:r>
            <w:r w:rsidR="00D75875">
              <w:t xml:space="preserve"> for each of the funds in the panel</w:t>
            </w:r>
            <w:r>
              <w:t>.</w:t>
            </w:r>
          </w:p>
          <w:p w:rsidR="00FD4E0C" w:rsidRDefault="00FD4E0C" w:rsidP="008B1C5A">
            <w:pPr>
              <w:pStyle w:val="Box"/>
              <w:spacing w:before="0"/>
              <w:ind w:left="284"/>
            </w:pPr>
            <w:r>
              <w:t xml:space="preserve">Where: </w:t>
            </w:r>
            <w:r w:rsidR="00E7133C">
              <w:t>pp.</w:t>
            </w:r>
            <w:r w:rsidR="00F640C8">
              <w:t> </w:t>
            </w:r>
            <w:r w:rsidR="001B2793">
              <w:t>19–24</w:t>
            </w:r>
            <w:r w:rsidR="00E7133C">
              <w:t>.</w:t>
            </w:r>
          </w:p>
          <w:p w:rsidR="002E7D94" w:rsidRPr="00C13DA5" w:rsidRDefault="002E7D94" w:rsidP="008B1C5A">
            <w:pPr>
              <w:pStyle w:val="BoxListBullet"/>
              <w:rPr>
                <w:spacing w:val="-2"/>
              </w:rPr>
            </w:pPr>
            <w:r>
              <w:rPr>
                <w:spacing w:val="-2"/>
              </w:rPr>
              <w:t xml:space="preserve">Question: </w:t>
            </w:r>
            <w:r w:rsidRPr="00D71620">
              <w:rPr>
                <w:i/>
                <w:spacing w:val="-2"/>
              </w:rPr>
              <w:t>How large have realised economies of scale been?</w:t>
            </w:r>
          </w:p>
          <w:p w:rsidR="002E7D94" w:rsidRDefault="002E7D94" w:rsidP="008B1C5A">
            <w:pPr>
              <w:pStyle w:val="Box"/>
              <w:spacing w:before="0"/>
              <w:ind w:left="284"/>
              <w:rPr>
                <w:lang w:val="en-US"/>
              </w:rPr>
            </w:pPr>
            <w:r>
              <w:t xml:space="preserve">Approach: </w:t>
            </w:r>
            <w:r w:rsidRPr="00D71620">
              <w:t xml:space="preserve">The estimated </w:t>
            </w:r>
            <w:r>
              <w:t>cost functions were</w:t>
            </w:r>
            <w:r w:rsidRPr="00D71620">
              <w:t xml:space="preserve"> used to </w:t>
            </w:r>
            <w:r w:rsidRPr="00D71620">
              <w:rPr>
                <w:lang w:val="en-US"/>
              </w:rPr>
              <w:t>decompose the actual change in costs over time into contributions from different cost drivers to isolate the extent of realised economies of scale</w:t>
            </w:r>
            <w:r w:rsidR="00D75875">
              <w:rPr>
                <w:lang w:val="en-US"/>
              </w:rPr>
              <w:t xml:space="preserve"> </w:t>
            </w:r>
            <w:r w:rsidR="00D75875">
              <w:t>for each of the funds in the panel</w:t>
            </w:r>
            <w:r w:rsidRPr="00D71620">
              <w:rPr>
                <w:lang w:val="en-US"/>
              </w:rPr>
              <w:t>.</w:t>
            </w:r>
          </w:p>
          <w:p w:rsidR="00FD4E0C" w:rsidRPr="00D71620" w:rsidRDefault="00FD4E0C" w:rsidP="008B1C5A">
            <w:pPr>
              <w:pStyle w:val="Box"/>
              <w:spacing w:before="0"/>
              <w:ind w:left="284"/>
            </w:pPr>
            <w:r>
              <w:rPr>
                <w:lang w:val="en-US"/>
              </w:rPr>
              <w:t xml:space="preserve">Where: </w:t>
            </w:r>
            <w:r w:rsidR="00E7133C">
              <w:t>pp.</w:t>
            </w:r>
            <w:r w:rsidR="00F640C8">
              <w:t> </w:t>
            </w:r>
            <w:r w:rsidR="00E7133C">
              <w:t>2</w:t>
            </w:r>
            <w:r w:rsidR="001B2793">
              <w:t>5–31</w:t>
            </w:r>
            <w:r w:rsidR="00E7133C">
              <w:t>.</w:t>
            </w:r>
          </w:p>
          <w:p w:rsidR="002E7D94" w:rsidRPr="00C13DA5" w:rsidRDefault="002E7D94" w:rsidP="008B1C5A">
            <w:pPr>
              <w:pStyle w:val="BoxListBullet"/>
            </w:pPr>
            <w:r>
              <w:rPr>
                <w:lang w:val="en-US"/>
              </w:rPr>
              <w:t xml:space="preserve">Question: </w:t>
            </w:r>
            <w:r w:rsidRPr="00E02680">
              <w:rPr>
                <w:i/>
              </w:rPr>
              <w:t>What is the scope of unrealised economies of scale?</w:t>
            </w:r>
          </w:p>
          <w:p w:rsidR="002E7D94" w:rsidRDefault="00D75875" w:rsidP="008B1C5A">
            <w:pPr>
              <w:pStyle w:val="Box"/>
              <w:spacing w:before="0"/>
              <w:ind w:left="284"/>
            </w:pPr>
            <w:r>
              <w:t>Approach:</w:t>
            </w:r>
            <w:r w:rsidR="00F640C8">
              <w:t xml:space="preserve"> </w:t>
            </w:r>
            <w:r w:rsidR="002E7D94" w:rsidRPr="00C13DA5">
              <w:t>Projections</w:t>
            </w:r>
            <w:r w:rsidR="002E7D94">
              <w:t xml:space="preserve"> from the costs function for funds of different scale were used to estimate the extent of unrealised economies of scale in the Australian super industry.</w:t>
            </w:r>
          </w:p>
          <w:p w:rsidR="00FD4E0C" w:rsidRDefault="00FD4E0C" w:rsidP="008B1C5A">
            <w:pPr>
              <w:pStyle w:val="Box"/>
              <w:spacing w:before="0"/>
              <w:ind w:left="284"/>
            </w:pPr>
            <w:r>
              <w:t>Where:</w:t>
            </w:r>
            <w:r w:rsidR="00E7133C">
              <w:t xml:space="preserve"> pp.</w:t>
            </w:r>
            <w:r w:rsidR="00F640C8">
              <w:t> </w:t>
            </w:r>
            <w:r w:rsidR="001B2793">
              <w:t>31–32</w:t>
            </w:r>
            <w:r w:rsidR="00E7133C">
              <w:t>.</w:t>
            </w:r>
          </w:p>
          <w:p w:rsidR="002E7D94" w:rsidRPr="00C13DA5" w:rsidRDefault="002E7D94" w:rsidP="008B1C5A">
            <w:pPr>
              <w:pStyle w:val="BoxListBullet"/>
            </w:pPr>
            <w:r>
              <w:t xml:space="preserve">Question: </w:t>
            </w:r>
            <w:r w:rsidRPr="00DD4EAF">
              <w:rPr>
                <w:i/>
              </w:rPr>
              <w:t>To what extent have the benefits from scale economies been passed through to members?</w:t>
            </w:r>
          </w:p>
          <w:p w:rsidR="002E7D94" w:rsidRDefault="002E7D94" w:rsidP="008B1C5A">
            <w:pPr>
              <w:pStyle w:val="Box"/>
              <w:spacing w:before="0"/>
              <w:ind w:left="284"/>
            </w:pPr>
            <w:r w:rsidRPr="00C13DA5">
              <w:t xml:space="preserve">Approach: </w:t>
            </w:r>
            <w:r>
              <w:t>Changes in fees were regressed on cost changes (due only to size) estimated from the cost function to determine the extent to which any realised economies of scale have been passed through to members of super funds</w:t>
            </w:r>
            <w:r w:rsidR="00D75875">
              <w:t xml:space="preserve"> for each of the funds in the panel</w:t>
            </w:r>
            <w:r>
              <w:t>.</w:t>
            </w:r>
            <w:r w:rsidR="00F640C8">
              <w:t xml:space="preserve"> </w:t>
            </w:r>
            <w:r w:rsidR="00D75875">
              <w:t>This involved using econometric regression analysis</w:t>
            </w:r>
            <w:r w:rsidR="00FD4E0C">
              <w:t>.</w:t>
            </w:r>
          </w:p>
          <w:p w:rsidR="00FD4E0C" w:rsidRDefault="00FD4E0C" w:rsidP="008B1C5A">
            <w:pPr>
              <w:pStyle w:val="Box"/>
              <w:spacing w:before="0"/>
              <w:ind w:left="284"/>
            </w:pPr>
            <w:r>
              <w:t xml:space="preserve">Where: </w:t>
            </w:r>
            <w:r w:rsidR="00E7133C">
              <w:t>pp.</w:t>
            </w:r>
            <w:r w:rsidR="00F640C8">
              <w:t> </w:t>
            </w:r>
            <w:r w:rsidR="001B2793">
              <w:t>33–38</w:t>
            </w:r>
            <w:r w:rsidR="00E7133C">
              <w:t>.</w:t>
            </w:r>
          </w:p>
          <w:p w:rsidR="002E7D94" w:rsidRPr="00C13DA5" w:rsidRDefault="002E7D94" w:rsidP="008B1C5A">
            <w:pPr>
              <w:pStyle w:val="BoxListBullet"/>
              <w:rPr>
                <w:i/>
              </w:rPr>
            </w:pPr>
            <w:r>
              <w:t xml:space="preserve">Question: </w:t>
            </w:r>
            <w:r w:rsidRPr="00B33D72">
              <w:rPr>
                <w:i/>
              </w:rPr>
              <w:t>What is the relationship between returns (relative to a fund’s benchmark) and scale?</w:t>
            </w:r>
          </w:p>
          <w:p w:rsidR="002E7D94" w:rsidRDefault="002E7D94" w:rsidP="00D75875">
            <w:pPr>
              <w:pStyle w:val="Box"/>
              <w:spacing w:before="0"/>
              <w:ind w:left="284"/>
            </w:pPr>
            <w:r>
              <w:t>Approach: Net returns were regressed against fund size to determine if larger funds obtain higher returns. A similar analysis was conducted using returns relative to benchmarks to identify if larger funds make better investment decisions.</w:t>
            </w:r>
            <w:r w:rsidR="00F640C8">
              <w:t xml:space="preserve"> </w:t>
            </w:r>
            <w:r w:rsidR="00D75875">
              <w:t>This involved using econometric regression analysis</w:t>
            </w:r>
          </w:p>
          <w:p w:rsidR="00FD4E0C" w:rsidRPr="00D75875" w:rsidRDefault="00FD4E0C" w:rsidP="00E7133C">
            <w:pPr>
              <w:pStyle w:val="Box"/>
              <w:spacing w:before="0"/>
              <w:ind w:left="284"/>
            </w:pPr>
            <w:r>
              <w:t xml:space="preserve">Where: </w:t>
            </w:r>
            <w:r w:rsidR="00E7133C">
              <w:t>pp.</w:t>
            </w:r>
            <w:r w:rsidR="00F640C8">
              <w:t> </w:t>
            </w:r>
            <w:r w:rsidR="001B2793">
              <w:t>38–44</w:t>
            </w:r>
            <w:r w:rsidR="00E7133C">
              <w:t>.</w:t>
            </w:r>
          </w:p>
        </w:tc>
      </w:tr>
      <w:tr w:rsidR="002E7D94" w:rsidTr="008B1C5A">
        <w:tc>
          <w:tcPr>
            <w:tcW w:w="5000" w:type="pct"/>
            <w:tcBorders>
              <w:top w:val="nil"/>
              <w:left w:val="nil"/>
              <w:bottom w:val="single" w:sz="6" w:space="0" w:color="78A22F"/>
              <w:right w:val="nil"/>
            </w:tcBorders>
            <w:shd w:val="clear" w:color="auto" w:fill="F2F2F2"/>
          </w:tcPr>
          <w:p w:rsidR="002E7D94" w:rsidRDefault="002E7D94" w:rsidP="008B1C5A">
            <w:pPr>
              <w:pStyle w:val="Box"/>
              <w:spacing w:before="0" w:line="120" w:lineRule="exact"/>
            </w:pPr>
          </w:p>
        </w:tc>
      </w:tr>
      <w:tr w:rsidR="002E7D94" w:rsidRPr="000863A5" w:rsidTr="008B1C5A">
        <w:tc>
          <w:tcPr>
            <w:tcW w:w="5000" w:type="pct"/>
            <w:tcBorders>
              <w:top w:val="single" w:sz="6" w:space="0" w:color="78A22F"/>
              <w:left w:val="nil"/>
              <w:bottom w:val="nil"/>
              <w:right w:val="nil"/>
            </w:tcBorders>
          </w:tcPr>
          <w:p w:rsidR="002E7D94" w:rsidRPr="00626D32" w:rsidRDefault="002E7D94" w:rsidP="008B1C5A">
            <w:pPr>
              <w:pStyle w:val="BoxSpaceBelow"/>
            </w:pPr>
          </w:p>
        </w:tc>
      </w:tr>
    </w:tbl>
    <w:p w:rsidR="0009777A" w:rsidRPr="002B3FF3" w:rsidRDefault="0009777A" w:rsidP="002B3FF3">
      <w:pPr>
        <w:pStyle w:val="Heading3"/>
      </w:pPr>
      <w:bookmarkStart w:id="26" w:name="_Toc530748484"/>
      <w:r>
        <w:t xml:space="preserve">Data characteristics </w:t>
      </w:r>
      <w:r w:rsidR="00D75875">
        <w:t xml:space="preserve">(and problems) </w:t>
      </w:r>
      <w:r>
        <w:t>were tackled in a variety of ways</w:t>
      </w:r>
      <w:bookmarkEnd w:id="26"/>
    </w:p>
    <w:p w:rsidR="00994EB7" w:rsidRDefault="0028129E" w:rsidP="00994EB7">
      <w:pPr>
        <w:pStyle w:val="BodyText"/>
      </w:pPr>
      <w:r>
        <w:t xml:space="preserve">Challenges posed by missing data, </w:t>
      </w:r>
      <w:r w:rsidR="004B25C5">
        <w:t>and</w:t>
      </w:r>
      <w:r>
        <w:t xml:space="preserve"> the need to appropriately capture other characteristics of the data, mandated a variety </w:t>
      </w:r>
      <w:r w:rsidR="0009777A">
        <w:t xml:space="preserve">of </w:t>
      </w:r>
      <w:r>
        <w:t xml:space="preserve">approaches </w:t>
      </w:r>
      <w:r w:rsidR="0009777A">
        <w:t xml:space="preserve">in the modelling work </w:t>
      </w:r>
      <w:r>
        <w:t>(box </w:t>
      </w:r>
      <w:r w:rsidR="007E3874">
        <w:t>3</w:t>
      </w:r>
      <w:r>
        <w:t>).</w:t>
      </w:r>
    </w:p>
    <w:p w:rsidR="00DC082A" w:rsidRDefault="00DC082A" w:rsidP="00994EB7">
      <w:pPr>
        <w:pStyle w:val="BodyText"/>
      </w:pPr>
      <w:r>
        <w:t xml:space="preserve">Adoption of </w:t>
      </w:r>
      <w:r>
        <w:rPr>
          <w:spacing w:val="-2"/>
        </w:rPr>
        <w:t>a</w:t>
      </w:r>
      <w:r w:rsidRPr="00E97CFD">
        <w:rPr>
          <w:spacing w:val="-2"/>
        </w:rPr>
        <w:t xml:space="preserve"> Bayesian statistical framework</w:t>
      </w:r>
      <w:r>
        <w:rPr>
          <w:spacing w:val="-2"/>
        </w:rPr>
        <w:t xml:space="preserve"> enabled</w:t>
      </w:r>
      <w:r w:rsidRPr="00E97CFD">
        <w:rPr>
          <w:spacing w:val="-2"/>
        </w:rPr>
        <w:t xml:space="preserve"> solutions to all of the modelling issues to be implemented in a coherent </w:t>
      </w:r>
      <w:r>
        <w:rPr>
          <w:spacing w:val="-2"/>
        </w:rPr>
        <w:t>way</w:t>
      </w:r>
      <w:r w:rsidRPr="00E97CFD">
        <w:rPr>
          <w:spacing w:val="-2"/>
        </w:rPr>
        <w:t>.</w:t>
      </w:r>
      <w:r>
        <w:rPr>
          <w:rStyle w:val="FootnoteReference"/>
          <w:spacing w:val="-2"/>
        </w:rPr>
        <w:footnoteReference w:id="11"/>
      </w:r>
      <w:r>
        <w:rPr>
          <w:spacing w:val="-2"/>
        </w:rPr>
        <w:t xml:space="preserve"> More detail on Bayesian analysis and the Commission’s modelling strategy is presented in appendixes A and B, respectively.</w:t>
      </w:r>
    </w:p>
    <w:p w:rsidR="008C2330" w:rsidRDefault="008C2330" w:rsidP="008C233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261EC" w:rsidTr="00C02E37">
        <w:trPr>
          <w:tblHeader/>
        </w:trPr>
        <w:tc>
          <w:tcPr>
            <w:tcW w:w="5000" w:type="pct"/>
            <w:tcBorders>
              <w:top w:val="single" w:sz="6" w:space="0" w:color="78A22F"/>
              <w:left w:val="nil"/>
              <w:bottom w:val="nil"/>
              <w:right w:val="nil"/>
            </w:tcBorders>
            <w:shd w:val="clear" w:color="auto" w:fill="F2F2F2"/>
          </w:tcPr>
          <w:p w:rsidR="009261EC" w:rsidRDefault="009261EC" w:rsidP="00D71620">
            <w:pPr>
              <w:pStyle w:val="BoxTitle"/>
            </w:pPr>
            <w:r>
              <w:rPr>
                <w:b w:val="0"/>
              </w:rPr>
              <w:t xml:space="preserve">Box </w:t>
            </w:r>
            <w:bookmarkStart w:id="27" w:name="OLE_LINK5"/>
            <w:r w:rsidR="004325AA">
              <w:rPr>
                <w:b w:val="0"/>
                <w:noProof/>
              </w:rPr>
              <w:t>3</w:t>
            </w:r>
            <w:bookmarkEnd w:id="27"/>
            <w:r>
              <w:tab/>
            </w:r>
            <w:r w:rsidR="00C02E37">
              <w:t>Approaches to missing data and other data characteristics</w:t>
            </w:r>
          </w:p>
        </w:tc>
      </w:tr>
      <w:tr w:rsidR="009261EC" w:rsidTr="00C02E37">
        <w:tc>
          <w:tcPr>
            <w:tcW w:w="5000" w:type="pct"/>
            <w:tcBorders>
              <w:top w:val="nil"/>
              <w:left w:val="nil"/>
              <w:bottom w:val="nil"/>
              <w:right w:val="nil"/>
            </w:tcBorders>
            <w:shd w:val="clear" w:color="auto" w:fill="F2F2F2"/>
          </w:tcPr>
          <w:p w:rsidR="004B1195" w:rsidRDefault="004B1195" w:rsidP="00C13DA5">
            <w:pPr>
              <w:pStyle w:val="Box"/>
              <w:rPr>
                <w:spacing w:val="-2"/>
              </w:rPr>
            </w:pPr>
            <w:r w:rsidRPr="00E97CFD">
              <w:rPr>
                <w:spacing w:val="-2"/>
              </w:rPr>
              <w:t xml:space="preserve">As a </w:t>
            </w:r>
            <w:r>
              <w:rPr>
                <w:spacing w:val="-2"/>
              </w:rPr>
              <w:t>bundle</w:t>
            </w:r>
            <w:r w:rsidRPr="00E97CFD">
              <w:rPr>
                <w:spacing w:val="-2"/>
              </w:rPr>
              <w:t xml:space="preserve">, </w:t>
            </w:r>
            <w:r w:rsidR="004B25C5">
              <w:rPr>
                <w:spacing w:val="-2"/>
              </w:rPr>
              <w:t xml:space="preserve">missing information and other </w:t>
            </w:r>
            <w:r>
              <w:rPr>
                <w:spacing w:val="-2"/>
              </w:rPr>
              <w:t xml:space="preserve">characteristics of the data </w:t>
            </w:r>
            <w:r w:rsidRPr="00E97CFD">
              <w:rPr>
                <w:spacing w:val="-2"/>
              </w:rPr>
              <w:t>raised some formidable technical challenges</w:t>
            </w:r>
            <w:r>
              <w:rPr>
                <w:spacing w:val="-2"/>
              </w:rPr>
              <w:t>. These were addressed in a variety of ways.</w:t>
            </w:r>
          </w:p>
          <w:p w:rsidR="004B25C5" w:rsidRDefault="004B25C5" w:rsidP="004B25C5">
            <w:pPr>
              <w:pStyle w:val="BoxListBullet"/>
            </w:pPr>
            <w:r>
              <w:t>Gaps in data on expenses and the number of investment options were addressed using imputation. Predictions of missing data for a given fund–year combination were generated using regressions based on the information that was observed for the fund. Tractability constraints ruled out the use of imputation in the pass</w:t>
            </w:r>
            <w:r>
              <w:noBreakHyphen/>
              <w:t>through model. As a consequence, the pass</w:t>
            </w:r>
            <w:r w:rsidR="00F640C8">
              <w:noBreakHyphen/>
            </w:r>
            <w:r>
              <w:t>through results must be interpreted as relevant only to the sub</w:t>
            </w:r>
            <w:r w:rsidR="00F640C8">
              <w:noBreakHyphen/>
            </w:r>
            <w:r>
              <w:t>sample of funds used in the analysis, and not as system representative.</w:t>
            </w:r>
          </w:p>
          <w:p w:rsidR="004B25C5" w:rsidRPr="004B25C5" w:rsidRDefault="004B25C5" w:rsidP="00C13DA5">
            <w:pPr>
              <w:pStyle w:val="BoxListBullet"/>
            </w:pPr>
            <w:r>
              <w:rPr>
                <w:spacing w:val="-2"/>
              </w:rPr>
              <w:t>To allow for the possibility of different relationships between scale and a</w:t>
            </w:r>
            <w:r w:rsidR="009261EC" w:rsidRPr="00BD3D88">
              <w:rPr>
                <w:spacing w:val="-2"/>
              </w:rPr>
              <w:t>dministration and investment expenses</w:t>
            </w:r>
            <w:r>
              <w:rPr>
                <w:spacing w:val="-2"/>
              </w:rPr>
              <w:t xml:space="preserve">, the two expenses </w:t>
            </w:r>
            <w:r w:rsidR="009261EC" w:rsidRPr="00BD3D88">
              <w:rPr>
                <w:spacing w:val="-2"/>
              </w:rPr>
              <w:t>were modelled separately</w:t>
            </w:r>
            <w:r>
              <w:rPr>
                <w:spacing w:val="-2"/>
              </w:rPr>
              <w:t>.</w:t>
            </w:r>
          </w:p>
          <w:p w:rsidR="009261EC" w:rsidRPr="00BD3D88" w:rsidRDefault="004B25C5" w:rsidP="00C13DA5">
            <w:pPr>
              <w:pStyle w:val="BoxListBullet"/>
            </w:pPr>
            <w:r>
              <w:rPr>
                <w:spacing w:val="-2"/>
              </w:rPr>
              <w:t>I</w:t>
            </w:r>
            <w:r w:rsidR="009261EC">
              <w:t xml:space="preserve">nvestment and administration </w:t>
            </w:r>
            <w:r w:rsidR="009261EC" w:rsidRPr="00BA40CA">
              <w:t>expenses</w:t>
            </w:r>
            <w:r w:rsidR="009261EC">
              <w:t xml:space="preserve"> (the dependent variables), total assets, number of member accounts and number of investment options (all independent variables) were included in the model in logarithmic form.</w:t>
            </w:r>
            <w:r w:rsidR="00BA40CA" w:rsidRPr="00C13DA5">
              <w:rPr>
                <w:rStyle w:val="NoteLabel"/>
              </w:rPr>
              <w:t>a</w:t>
            </w:r>
          </w:p>
          <w:p w:rsidR="009261EC" w:rsidRPr="00BD3D88" w:rsidRDefault="009261EC" w:rsidP="00C13DA5">
            <w:pPr>
              <w:pStyle w:val="BoxListBullet"/>
            </w:pPr>
            <w:r w:rsidRPr="00E66F0C">
              <w:t>A Heckman correction approach</w:t>
            </w:r>
            <w:r w:rsidRPr="00E66F0C" w:rsidDel="00C96833">
              <w:t xml:space="preserve"> </w:t>
            </w:r>
            <w:r w:rsidRPr="00E66F0C">
              <w:t xml:space="preserve">was used to correct for survivorship bias </w:t>
            </w:r>
            <w:r w:rsidR="0063461D" w:rsidRPr="0063461D">
              <w:rPr>
                <w:rFonts w:cs="Arial"/>
                <w:szCs w:val="24"/>
              </w:rPr>
              <w:t>(Heckman 1979)</w:t>
            </w:r>
            <w:r w:rsidRPr="00E66F0C">
              <w:t>.</w:t>
            </w:r>
            <w:r w:rsidR="00BA40CA" w:rsidRPr="00C13DA5">
              <w:rPr>
                <w:rStyle w:val="NoteLabel"/>
              </w:rPr>
              <w:t>c</w:t>
            </w:r>
          </w:p>
          <w:p w:rsidR="009261EC" w:rsidRDefault="009261EC" w:rsidP="00C13DA5">
            <w:pPr>
              <w:pStyle w:val="BoxListBullet"/>
            </w:pPr>
            <w:r>
              <w:t xml:space="preserve">Large variation in </w:t>
            </w:r>
            <w:r w:rsidR="00B90524">
              <w:t>the shape</w:t>
            </w:r>
            <w:r>
              <w:t xml:space="preserve"> of </w:t>
            </w:r>
            <w:r w:rsidR="00B90524">
              <w:t>cost functions</w:t>
            </w:r>
            <w:r>
              <w:t xml:space="preserve"> </w:t>
            </w:r>
            <w:r w:rsidR="00B90524">
              <w:t>across</w:t>
            </w:r>
            <w:r w:rsidDel="00D43697">
              <w:t xml:space="preserve"> </w:t>
            </w:r>
            <w:r w:rsidR="0009777A">
              <w:t xml:space="preserve">funds </w:t>
            </w:r>
            <w:r>
              <w:t>was addressed using m</w:t>
            </w:r>
            <w:r w:rsidRPr="00BF0D97">
              <w:t xml:space="preserve">ultilevel modelling — effectively, </w:t>
            </w:r>
            <w:r>
              <w:t xml:space="preserve">estimation of </w:t>
            </w:r>
            <w:r w:rsidRPr="00BF0D97">
              <w:t>separate cost curves for each fund</w:t>
            </w:r>
            <w:r>
              <w:t xml:space="preserve">. This </w:t>
            </w:r>
            <w:r w:rsidRPr="00BF0D97">
              <w:t xml:space="preserve">enabled the derivation of more defensible results in those parts of the analysis that pose ‘what if’ questions. For example, what cost savings might arise if funds were larger by some amount? </w:t>
            </w:r>
            <w:r>
              <w:t xml:space="preserve">Use of </w:t>
            </w:r>
            <w:r w:rsidRPr="00B556E3">
              <w:t>system or segment curves</w:t>
            </w:r>
            <w:r w:rsidRPr="00EC0508">
              <w:t xml:space="preserve"> </w:t>
            </w:r>
            <w:r>
              <w:t xml:space="preserve">for this analysis would impose the assumption that the </w:t>
            </w:r>
            <w:r w:rsidRPr="00BF0D97">
              <w:t xml:space="preserve">impact </w:t>
            </w:r>
            <w:r>
              <w:t xml:space="preserve">would be similar </w:t>
            </w:r>
            <w:r w:rsidRPr="00BF0D97">
              <w:t>for all</w:t>
            </w:r>
            <w:r>
              <w:t xml:space="preserve"> </w:t>
            </w:r>
            <w:r w:rsidRPr="00BF0D97">
              <w:t>funds</w:t>
            </w:r>
            <w:r>
              <w:t xml:space="preserve"> (or members of a segment). This </w:t>
            </w:r>
            <w:r w:rsidRPr="00BF0D97">
              <w:t xml:space="preserve">would </w:t>
            </w:r>
            <w:r>
              <w:t xml:space="preserve">clearly </w:t>
            </w:r>
            <w:r w:rsidRPr="00BF0D97">
              <w:t xml:space="preserve">not be accurate. </w:t>
            </w:r>
            <w:r>
              <w:t>The multilevel approach</w:t>
            </w:r>
            <w:r w:rsidRPr="00BF0D97">
              <w:t xml:space="preserve"> also enabled analysis of the extent to which </w:t>
            </w:r>
            <w:r>
              <w:t>individual funds’ cost curves</w:t>
            </w:r>
            <w:r w:rsidRPr="00BF0D97">
              <w:t xml:space="preserve"> </w:t>
            </w:r>
            <w:r w:rsidRPr="00D02EA3">
              <w:t>exhibit</w:t>
            </w:r>
            <w:r w:rsidRPr="00BF0D97">
              <w:t xml:space="preserve"> economies of scale</w:t>
            </w:r>
            <w:r>
              <w:t>, taking into account</w:t>
            </w:r>
            <w:r w:rsidRPr="00BF0D97">
              <w:t xml:space="preserve"> other factors that influence costs.</w:t>
            </w:r>
            <w:r w:rsidR="00BA40CA" w:rsidRPr="00C13DA5">
              <w:rPr>
                <w:rStyle w:val="NoteLabel"/>
              </w:rPr>
              <w:t>d</w:t>
            </w:r>
          </w:p>
        </w:tc>
      </w:tr>
      <w:tr w:rsidR="00BA40CA" w:rsidTr="00C02E37">
        <w:tc>
          <w:tcPr>
            <w:tcW w:w="5000" w:type="pct"/>
            <w:tcBorders>
              <w:top w:val="nil"/>
              <w:left w:val="nil"/>
              <w:bottom w:val="nil"/>
              <w:right w:val="nil"/>
            </w:tcBorders>
            <w:shd w:val="clear" w:color="auto" w:fill="F2F2F2"/>
          </w:tcPr>
          <w:p w:rsidR="00BA40CA" w:rsidRPr="00E97CFD" w:rsidRDefault="00BA40CA" w:rsidP="00D21EF8">
            <w:pPr>
              <w:pStyle w:val="Note"/>
            </w:pPr>
            <w:r w:rsidRPr="00C13DA5">
              <w:rPr>
                <w:rStyle w:val="NoteLabel"/>
              </w:rPr>
              <w:t>a</w:t>
            </w:r>
            <w:r>
              <w:t xml:space="preserve"> </w:t>
            </w:r>
            <w:r w:rsidRPr="006B02DB">
              <w:t xml:space="preserve">Plots </w:t>
            </w:r>
            <w:r>
              <w:t xml:space="preserve">supporting the use of </w:t>
            </w:r>
            <w:r w:rsidRPr="006B02DB">
              <w:t>log transformations of investment and administration expenses</w:t>
            </w:r>
            <w:r>
              <w:t xml:space="preserve"> and allowing for fund</w:t>
            </w:r>
            <w:r w:rsidR="00B70E22">
              <w:noBreakHyphen/>
            </w:r>
            <w:r>
              <w:t xml:space="preserve">level variation in the </w:t>
            </w:r>
            <w:r w:rsidR="00B70E22">
              <w:t xml:space="preserve">size–expenses </w:t>
            </w:r>
            <w:r>
              <w:t>relationship are included in appendix</w:t>
            </w:r>
            <w:r w:rsidR="00F640C8">
              <w:t> </w:t>
            </w:r>
            <w:r w:rsidRPr="00BD3D88">
              <w:t>F</w:t>
            </w:r>
            <w:r>
              <w:t xml:space="preserve">. </w:t>
            </w:r>
            <w:r w:rsidRPr="00C13DA5">
              <w:rPr>
                <w:rStyle w:val="NoteLabel"/>
              </w:rPr>
              <w:t>b</w:t>
            </w:r>
            <w:r>
              <w:t xml:space="preserve"> The model imposes an assumption that a fund can only experience economies of scale or diseconomies of scale. But testing of this assumption reveals that most funds’ experiences fit one of these cases. </w:t>
            </w:r>
            <w:r w:rsidRPr="00C13DA5">
              <w:rPr>
                <w:rStyle w:val="NoteLabel"/>
              </w:rPr>
              <w:t>c</w:t>
            </w:r>
            <w:r>
              <w:t xml:space="preserve"> It is assumed that funds make their decision about whether to stay in the market in any year based on their outcomes in the preceding year. The cost model is therefore estimated on data covering 2004–16.</w:t>
            </w:r>
            <w:r w:rsidR="00D21EF8">
              <w:t xml:space="preserve"> Costs are predicted forward to 2017, so that</w:t>
            </w:r>
            <w:r>
              <w:t xml:space="preserve"> </w:t>
            </w:r>
            <w:r w:rsidR="00D21EF8">
              <w:t>e</w:t>
            </w:r>
            <w:r>
              <w:t>stimates of realised and unrealised economies of scale and the pass</w:t>
            </w:r>
            <w:r w:rsidR="00F640C8">
              <w:noBreakHyphen/>
            </w:r>
            <w:r>
              <w:t xml:space="preserve">through model are based on data to 2017. </w:t>
            </w:r>
            <w:r w:rsidRPr="00C13DA5">
              <w:rPr>
                <w:rStyle w:val="NoteLabel"/>
              </w:rPr>
              <w:t>d</w:t>
            </w:r>
            <w:r>
              <w:t xml:space="preserve"> </w:t>
            </w:r>
            <w:r w:rsidRPr="00BD3D88">
              <w:t>Multilevel modelling also has the advantage that it puts less weight on information from funds that appear to be markedly different from their peers — a strong plus given many funds report data of questionable quality.</w:t>
            </w:r>
          </w:p>
        </w:tc>
      </w:tr>
      <w:tr w:rsidR="009261EC" w:rsidTr="00C02E37">
        <w:tc>
          <w:tcPr>
            <w:tcW w:w="5000" w:type="pct"/>
            <w:tcBorders>
              <w:top w:val="nil"/>
              <w:left w:val="nil"/>
              <w:bottom w:val="single" w:sz="6" w:space="0" w:color="78A22F"/>
              <w:right w:val="nil"/>
            </w:tcBorders>
            <w:shd w:val="clear" w:color="auto" w:fill="F2F2F2"/>
          </w:tcPr>
          <w:p w:rsidR="009261EC" w:rsidRDefault="009261EC">
            <w:pPr>
              <w:pStyle w:val="Box"/>
              <w:spacing w:before="0" w:line="120" w:lineRule="exact"/>
            </w:pPr>
          </w:p>
        </w:tc>
      </w:tr>
      <w:tr w:rsidR="009261EC" w:rsidRPr="000863A5" w:rsidTr="00C02E37">
        <w:tc>
          <w:tcPr>
            <w:tcW w:w="5000" w:type="pct"/>
            <w:tcBorders>
              <w:top w:val="single" w:sz="6" w:space="0" w:color="78A22F"/>
              <w:left w:val="nil"/>
              <w:bottom w:val="nil"/>
              <w:right w:val="nil"/>
            </w:tcBorders>
          </w:tcPr>
          <w:p w:rsidR="009261EC" w:rsidRPr="00626D32" w:rsidRDefault="009261EC" w:rsidP="00C02E37">
            <w:pPr>
              <w:pStyle w:val="BoxSpaceBelow"/>
            </w:pPr>
          </w:p>
        </w:tc>
      </w:tr>
    </w:tbl>
    <w:p w:rsidR="0009777A" w:rsidRDefault="0009777A" w:rsidP="00655794">
      <w:pPr>
        <w:pStyle w:val="Heading3"/>
      </w:pPr>
      <w:bookmarkStart w:id="28" w:name="_Toc530748485"/>
      <w:r>
        <w:t>The modelling does a good job of representing the data</w:t>
      </w:r>
      <w:bookmarkEnd w:id="28"/>
    </w:p>
    <w:p w:rsidR="00F05C31" w:rsidRDefault="003F6D90" w:rsidP="00F05C31">
      <w:pPr>
        <w:pStyle w:val="BodyText"/>
      </w:pPr>
      <w:r>
        <w:t>Comparisons of the raw data and predictions from the model indicated that the cost models fit the data well</w:t>
      </w:r>
      <w:r w:rsidR="00AD5DDA">
        <w:t xml:space="preserve"> (figure 6)</w:t>
      </w:r>
      <w:r>
        <w:t xml:space="preserve">. For example, the distribution of the (log) administration expenses data </w:t>
      </w:r>
      <w:r w:rsidR="00AD5DDA">
        <w:t xml:space="preserve">(captured by the black line) </w:t>
      </w:r>
      <w:r>
        <w:t xml:space="preserve">sits within the distributions of predicted administration expenses </w:t>
      </w:r>
      <w:r w:rsidR="00AD5DDA">
        <w:t xml:space="preserve">(captured by the </w:t>
      </w:r>
      <w:r w:rsidR="00133372">
        <w:t>set of</w:t>
      </w:r>
      <w:r w:rsidR="00AD5DDA">
        <w:t xml:space="preserve"> blue lines) </w:t>
      </w:r>
      <w:r>
        <w:t>at most levels of expenses. A similar conclusion emerges for investment expenses and when the original raw data (rather than log transf</w:t>
      </w:r>
      <w:r w:rsidR="00F05C31">
        <w:t>ormations) are considered (appendix</w:t>
      </w:r>
      <w:r w:rsidR="00F640C8">
        <w:t> </w:t>
      </w:r>
      <w:r w:rsidR="00F05C31">
        <w:t>D).</w:t>
      </w:r>
    </w:p>
    <w:p w:rsidR="003F6D90" w:rsidRDefault="003F6D90" w:rsidP="003F6D9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F6D90" w:rsidTr="003F6D90">
        <w:trPr>
          <w:tblHeader/>
        </w:trPr>
        <w:tc>
          <w:tcPr>
            <w:tcW w:w="5000" w:type="pct"/>
            <w:tcBorders>
              <w:top w:val="single" w:sz="6" w:space="0" w:color="78A22F"/>
              <w:left w:val="nil"/>
              <w:bottom w:val="nil"/>
              <w:right w:val="nil"/>
            </w:tcBorders>
            <w:shd w:val="clear" w:color="auto" w:fill="auto"/>
          </w:tcPr>
          <w:p w:rsidR="003F6D90" w:rsidRPr="00176D3F" w:rsidRDefault="003F6D90" w:rsidP="003F6D90">
            <w:pPr>
              <w:pStyle w:val="FigureTitle"/>
            </w:pPr>
            <w:r w:rsidRPr="00784A05">
              <w:rPr>
                <w:b w:val="0"/>
              </w:rPr>
              <w:t xml:space="preserve">Figure </w:t>
            </w:r>
            <w:bookmarkStart w:id="29" w:name="OLE_LINK12"/>
            <w:r w:rsidR="004325AA">
              <w:rPr>
                <w:b w:val="0"/>
                <w:noProof/>
              </w:rPr>
              <w:t>6</w:t>
            </w:r>
            <w:bookmarkEnd w:id="29"/>
            <w:r>
              <w:tab/>
              <w:t>The models for both administration and investment expenses fit the data well</w:t>
            </w:r>
          </w:p>
        </w:tc>
      </w:tr>
      <w:tr w:rsidR="003F6D90" w:rsidTr="003F6D9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F6D90" w:rsidRPr="00B1465D" w:rsidTr="003F6D90">
              <w:trPr>
                <w:tblHeader/>
                <w:jc w:val="center"/>
              </w:trPr>
              <w:tc>
                <w:tcPr>
                  <w:tcW w:w="5000" w:type="pct"/>
                  <w:tcBorders>
                    <w:top w:val="nil"/>
                    <w:bottom w:val="nil"/>
                  </w:tcBorders>
                </w:tcPr>
                <w:p w:rsidR="003F6D90" w:rsidRPr="00B1465D" w:rsidRDefault="00D50001" w:rsidP="003F6D90">
                  <w:pPr>
                    <w:pStyle w:val="Figure"/>
                    <w:spacing w:before="60" w:after="60"/>
                    <w:rPr>
                      <w:rFonts w:ascii="Arial" w:hAnsi="Arial" w:cs="Arial"/>
                      <w:sz w:val="18"/>
                      <w:szCs w:val="18"/>
                    </w:rPr>
                  </w:pPr>
                  <w:r w:rsidRPr="00D50001">
                    <w:rPr>
                      <w:rFonts w:ascii="Arial" w:hAnsi="Arial" w:cs="Arial"/>
                      <w:noProof/>
                      <w:sz w:val="18"/>
                      <w:szCs w:val="18"/>
                    </w:rPr>
                    <w:drawing>
                      <wp:inline distT="0" distB="0" distL="0" distR="0" wp14:anchorId="4290F6BD" wp14:editId="4E5686AD">
                        <wp:extent cx="5387340" cy="2472877"/>
                        <wp:effectExtent l="0" t="0" r="0" b="0"/>
                        <wp:docPr id="4" name="Picture 4" descr="The figure shows the density of administration and investment expenses generated by the model against the actual density. The density generated by the model lies approximately on top of the actual densities, indicating the model fits the data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9029" cy="2473652"/>
                                </a:xfrm>
                                <a:prstGeom prst="rect">
                                  <a:avLst/>
                                </a:prstGeom>
                                <a:noFill/>
                                <a:ln>
                                  <a:noFill/>
                                </a:ln>
                              </pic:spPr>
                            </pic:pic>
                          </a:graphicData>
                        </a:graphic>
                      </wp:inline>
                    </w:drawing>
                  </w:r>
                </w:p>
              </w:tc>
            </w:tr>
          </w:tbl>
          <w:p w:rsidR="003F6D90" w:rsidRDefault="003F6D90" w:rsidP="003F6D90">
            <w:pPr>
              <w:pStyle w:val="Figure"/>
            </w:pPr>
          </w:p>
        </w:tc>
      </w:tr>
      <w:tr w:rsidR="003F6D90" w:rsidRPr="00176D3F" w:rsidTr="003F6D90">
        <w:tc>
          <w:tcPr>
            <w:tcW w:w="5000" w:type="pct"/>
            <w:tcBorders>
              <w:top w:val="nil"/>
              <w:left w:val="nil"/>
              <w:bottom w:val="nil"/>
              <w:right w:val="nil"/>
            </w:tcBorders>
            <w:shd w:val="clear" w:color="auto" w:fill="auto"/>
          </w:tcPr>
          <w:tbl>
            <w:tblPr>
              <w:tblW w:w="0" w:type="auto"/>
              <w:tblLook w:val="04A0" w:firstRow="1" w:lastRow="0" w:firstColumn="1" w:lastColumn="0" w:noHBand="0" w:noVBand="1"/>
            </w:tblPr>
            <w:tblGrid>
              <w:gridCol w:w="1559"/>
              <w:gridCol w:w="6935"/>
            </w:tblGrid>
            <w:tr w:rsidR="00FA32C2" w:rsidTr="005174FA">
              <w:trPr>
                <w:tblHeader/>
              </w:trPr>
              <w:tc>
                <w:tcPr>
                  <w:tcW w:w="1559" w:type="dxa"/>
                  <w:shd w:val="clear" w:color="auto" w:fill="F2F2F2" w:themeFill="background1" w:themeFillShade="F2"/>
                </w:tcPr>
                <w:p w:rsidR="00FA32C2" w:rsidRDefault="00FA32C2" w:rsidP="00FA32C2">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FA32C2" w:rsidRDefault="00FA32C2" w:rsidP="00FA32C2">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w:t>
                  </w:r>
                </w:p>
              </w:tc>
            </w:tr>
            <w:tr w:rsidR="00FA32C2" w:rsidRPr="00AF556C" w:rsidTr="005174FA">
              <w:tc>
                <w:tcPr>
                  <w:tcW w:w="1559" w:type="dxa"/>
                  <w:shd w:val="clear" w:color="auto" w:fill="F2F2F2" w:themeFill="background1" w:themeFillShade="F2"/>
                </w:tcPr>
                <w:p w:rsidR="00FA32C2" w:rsidRDefault="00FA32C2" w:rsidP="00FA32C2">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FA32C2" w:rsidRPr="00AF556C" w:rsidRDefault="00FA32C2" w:rsidP="00FA32C2">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w:t>
                  </w:r>
                  <w:r w:rsidR="00F3527F">
                    <w:rPr>
                      <w:rFonts w:ascii="Arial" w:eastAsia="+mn-ea" w:hAnsi="Arial" w:cs="Arial"/>
                      <w:color w:val="000000" w:themeColor="text1"/>
                      <w:kern w:val="24"/>
                      <w:sz w:val="18"/>
                      <w:szCs w:val="18"/>
                    </w:rPr>
                    <w:t>91</w:t>
                  </w:r>
                  <w:r w:rsidR="00F3527F" w:rsidRPr="00262154">
                    <w:rPr>
                      <w:rFonts w:ascii="Arial" w:eastAsia="+mn-ea" w:hAnsi="Arial" w:cs="Arial"/>
                      <w:color w:val="000000" w:themeColor="text1"/>
                      <w:kern w:val="24"/>
                      <w:sz w:val="18"/>
                      <w:szCs w:val="18"/>
                    </w:rPr>
                    <w:t> </w:t>
                  </w:r>
                  <w:r w:rsidRPr="00262154">
                    <w:rPr>
                      <w:rFonts w:ascii="Arial" w:eastAsia="+mn-ea" w:hAnsi="Arial" w:cs="Arial"/>
                      <w:color w:val="000000" w:themeColor="text1"/>
                      <w:kern w:val="24"/>
                      <w:sz w:val="18"/>
                      <w:szCs w:val="18"/>
                    </w:rPr>
                    <w:t>per cent</w:t>
                  </w:r>
                  <w:r>
                    <w:rPr>
                      <w:rFonts w:ascii="Arial" w:eastAsia="+mn-ea" w:hAnsi="Arial" w:cs="Arial"/>
                      <w:color w:val="000000" w:themeColor="text1"/>
                      <w:kern w:val="24"/>
                      <w:sz w:val="18"/>
                      <w:szCs w:val="18"/>
                    </w:rPr>
                    <w:t xml:space="preserve"> of the system </w:t>
                  </w:r>
                  <w:r w:rsidR="000F2B85">
                    <w:rPr>
                      <w:rFonts w:ascii="Arial" w:eastAsia="+mn-ea" w:hAnsi="Arial" w:cs="Arial"/>
                      <w:color w:val="000000" w:themeColor="text1"/>
                      <w:kern w:val="24"/>
                      <w:sz w:val="18"/>
                      <w:szCs w:val="18"/>
                    </w:rPr>
                    <w:t xml:space="preserve">by assets </w:t>
                  </w:r>
                  <w:r>
                    <w:rPr>
                      <w:rFonts w:ascii="Arial" w:eastAsia="+mn-ea" w:hAnsi="Arial" w:cs="Arial"/>
                      <w:color w:val="000000" w:themeColor="text1"/>
                      <w:kern w:val="24"/>
                      <w:sz w:val="18"/>
                      <w:szCs w:val="18"/>
                    </w:rPr>
                    <w:t>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05 respectively. Excludes funds with less than two years of data.</w:t>
                  </w:r>
                </w:p>
              </w:tc>
            </w:tr>
          </w:tbl>
          <w:p w:rsidR="003F6D90" w:rsidRPr="00176D3F" w:rsidRDefault="003F6D90" w:rsidP="003F6D90">
            <w:pPr>
              <w:pStyle w:val="Source"/>
            </w:pPr>
          </w:p>
        </w:tc>
      </w:tr>
      <w:tr w:rsidR="003F6D90" w:rsidTr="003F6D90">
        <w:tc>
          <w:tcPr>
            <w:tcW w:w="5000" w:type="pct"/>
            <w:tcBorders>
              <w:top w:val="nil"/>
              <w:left w:val="nil"/>
              <w:bottom w:val="single" w:sz="6" w:space="0" w:color="78A22F"/>
              <w:right w:val="nil"/>
            </w:tcBorders>
            <w:shd w:val="clear" w:color="auto" w:fill="auto"/>
          </w:tcPr>
          <w:p w:rsidR="003F6D90" w:rsidRDefault="003F6D90" w:rsidP="003F6D90">
            <w:pPr>
              <w:pStyle w:val="Figurespace"/>
            </w:pPr>
          </w:p>
        </w:tc>
      </w:tr>
      <w:tr w:rsidR="003F6D90" w:rsidRPr="000863A5" w:rsidTr="003F6D90">
        <w:tc>
          <w:tcPr>
            <w:tcW w:w="5000" w:type="pct"/>
            <w:tcBorders>
              <w:top w:val="single" w:sz="6" w:space="0" w:color="78A22F"/>
              <w:left w:val="nil"/>
              <w:bottom w:val="nil"/>
              <w:right w:val="nil"/>
            </w:tcBorders>
          </w:tcPr>
          <w:p w:rsidR="003F6D90" w:rsidRPr="00626D32" w:rsidRDefault="003F6D90" w:rsidP="003F6D90">
            <w:pPr>
              <w:pStyle w:val="BoxSpaceBelow"/>
            </w:pPr>
          </w:p>
        </w:tc>
      </w:tr>
    </w:tbl>
    <w:p w:rsidR="003F6D90" w:rsidRDefault="003F6D90" w:rsidP="003F6D90">
      <w:pPr>
        <w:pStyle w:val="Heading3"/>
      </w:pPr>
      <w:bookmarkStart w:id="30" w:name="_Toc530748486"/>
      <w:r>
        <w:t>Estimated economy of scale gains are likely to be a lower bound</w:t>
      </w:r>
      <w:bookmarkEnd w:id="30"/>
    </w:p>
    <w:p w:rsidR="003F6D90" w:rsidRPr="00EF49D7" w:rsidRDefault="003F6D90" w:rsidP="003F6D90">
      <w:pPr>
        <w:pStyle w:val="BodyText"/>
        <w:rPr>
          <w:spacing w:val="-2"/>
        </w:rPr>
      </w:pPr>
      <w:r>
        <w:t xml:space="preserve">Restrictions that prevent </w:t>
      </w:r>
      <w:r w:rsidRPr="00EF49D7">
        <w:rPr>
          <w:spacing w:val="-2"/>
        </w:rPr>
        <w:t xml:space="preserve">the trustees of registrable superannuation entities from directly realising profits mean that any realised gains from economies of scale not resulting in lower fees can only manifest in increased expenses or operational reserves. Stakeholders suggested some scenarios where economies of scale gains </w:t>
      </w:r>
      <w:r w:rsidR="00E672F7">
        <w:rPr>
          <w:spacing w:val="-2"/>
        </w:rPr>
        <w:t>might not be reflected in lower</w:t>
      </w:r>
      <w:r w:rsidRPr="00EF49D7">
        <w:rPr>
          <w:spacing w:val="-2"/>
        </w:rPr>
        <w:t xml:space="preserve"> expenses:</w:t>
      </w:r>
    </w:p>
    <w:p w:rsidR="003F6D90" w:rsidRDefault="003F6D90" w:rsidP="003F6D90">
      <w:pPr>
        <w:pStyle w:val="ListBullet"/>
      </w:pPr>
      <w:r>
        <w:t>higher related party expenses. To secure the gains from scale as profit, some funds might keep related</w:t>
      </w:r>
      <w:r w:rsidR="00F640C8">
        <w:noBreakHyphen/>
      </w:r>
      <w:r>
        <w:t>party administration and investment expenses artificially high</w:t>
      </w:r>
    </w:p>
    <w:p w:rsidR="003F6D90" w:rsidRDefault="003F6D90" w:rsidP="003F6D90">
      <w:pPr>
        <w:pStyle w:val="ListBullet"/>
      </w:pPr>
      <w:r>
        <w:t>more investments in higher</w:t>
      </w:r>
      <w:r>
        <w:noBreakHyphen/>
        <w:t>costs asset classes</w:t>
      </w:r>
      <w:r w:rsidR="00717871">
        <w:t xml:space="preserve"> (such as unlisted assets)</w:t>
      </w:r>
      <w:r>
        <w:t xml:space="preserve"> </w:t>
      </w:r>
    </w:p>
    <w:p w:rsidR="003F6D90" w:rsidRDefault="003F6D90" w:rsidP="003F6D90">
      <w:pPr>
        <w:pStyle w:val="ListBullet"/>
      </w:pPr>
      <w:r>
        <w:t>increased expenditure on member services. In recent years, funds have invested more heavily in member services, particularly through digital transformations. (Some funds have financed these investments from operational reserves.)</w:t>
      </w:r>
    </w:p>
    <w:p w:rsidR="00717871" w:rsidRDefault="00D40E59" w:rsidP="003F6D90">
      <w:pPr>
        <w:pStyle w:val="ListBullet"/>
      </w:pPr>
      <w:r>
        <w:t xml:space="preserve">meeting </w:t>
      </w:r>
      <w:r w:rsidR="00717871">
        <w:t xml:space="preserve">increased regulatory costs arising from changes in the prudential </w:t>
      </w:r>
      <w:r w:rsidR="000C3E97">
        <w:t>standards</w:t>
      </w:r>
      <w:r w:rsidR="00717871">
        <w:t xml:space="preserve"> (for example, the Stronger Super reforms in 2013)</w:t>
      </w:r>
      <w:r w:rsidR="00261706">
        <w:t>.</w:t>
      </w:r>
    </w:p>
    <w:p w:rsidR="004E1438" w:rsidRDefault="003F6D90" w:rsidP="003F6D90">
      <w:pPr>
        <w:pStyle w:val="BodyText"/>
      </w:pPr>
      <w:r>
        <w:t xml:space="preserve">Gains from scale that </w:t>
      </w:r>
      <w:r w:rsidR="001803B9">
        <w:t>do not translate into lower</w:t>
      </w:r>
      <w:r>
        <w:t xml:space="preserve"> expenses</w:t>
      </w:r>
      <w:r w:rsidR="00D40E59">
        <w:t xml:space="preserve"> </w:t>
      </w:r>
      <w:r>
        <w:t>have the potential to lead to underestimates of economies of scale</w:t>
      </w:r>
      <w:r w:rsidR="001803B9">
        <w:t xml:space="preserve"> i</w:t>
      </w:r>
      <w:r>
        <w:t xml:space="preserve">f </w:t>
      </w:r>
      <w:r w:rsidR="001803B9">
        <w:t>the drivers of</w:t>
      </w:r>
      <w:r>
        <w:t xml:space="preserve"> expenses </w:t>
      </w:r>
      <w:r w:rsidR="001803B9">
        <w:t xml:space="preserve">noted above </w:t>
      </w:r>
      <w:r>
        <w:t xml:space="preserve">cannot be </w:t>
      </w:r>
      <w:r w:rsidR="001803B9">
        <w:t xml:space="preserve">adequately </w:t>
      </w:r>
      <w:r>
        <w:t>captured by variables in the model</w:t>
      </w:r>
      <w:r w:rsidR="001803B9">
        <w:t>.</w:t>
      </w:r>
      <w:r>
        <w:t xml:space="preserve"> (</w:t>
      </w:r>
      <w:r w:rsidR="001803B9">
        <w:t xml:space="preserve">And </w:t>
      </w:r>
      <w:r>
        <w:t xml:space="preserve">it is </w:t>
      </w:r>
      <w:r w:rsidR="00D40E59">
        <w:t>not possible</w:t>
      </w:r>
      <w:r w:rsidR="001803B9">
        <w:t>, for example,</w:t>
      </w:r>
      <w:r w:rsidR="00D40E59">
        <w:t xml:space="preserve"> for the Commission </w:t>
      </w:r>
      <w:r>
        <w:t>to determine whe</w:t>
      </w:r>
      <w:r w:rsidR="00717871">
        <w:t>ther</w:t>
      </w:r>
      <w:r>
        <w:t xml:space="preserve"> related</w:t>
      </w:r>
      <w:r>
        <w:noBreakHyphen/>
        <w:t xml:space="preserve">party expenses have been inflated and </w:t>
      </w:r>
      <w:r w:rsidR="001803B9">
        <w:t xml:space="preserve">whether </w:t>
      </w:r>
      <w:r>
        <w:t>member services have been expanded</w:t>
      </w:r>
      <w:r w:rsidR="001803B9">
        <w:t>.</w:t>
      </w:r>
      <w:r>
        <w:t xml:space="preserve">) </w:t>
      </w:r>
    </w:p>
    <w:p w:rsidR="004E1438" w:rsidRDefault="004E1438">
      <w:pPr>
        <w:rPr>
          <w:szCs w:val="20"/>
        </w:rPr>
      </w:pPr>
      <w:r>
        <w:br w:type="page"/>
      </w:r>
    </w:p>
    <w:p w:rsidR="003F6D90" w:rsidRDefault="00676E06" w:rsidP="003F6D90">
      <w:pPr>
        <w:pStyle w:val="BodyText"/>
      </w:pPr>
      <w:r>
        <w:lastRenderedPageBreak/>
        <w:t xml:space="preserve">For example, if funds move into more expensive asset classes as they get bigger, but the costs of investing in those asset classes are not accurately captured in the model, the estimation procedure will </w:t>
      </w:r>
      <w:r w:rsidR="00A83B51">
        <w:t>conflate</w:t>
      </w:r>
      <w:r>
        <w:t xml:space="preserve"> those higher investment costs </w:t>
      </w:r>
      <w:r w:rsidR="00A83B51">
        <w:t xml:space="preserve">with the changes in costs associated with scale, meaning the estimated gains from scale will be </w:t>
      </w:r>
      <w:r w:rsidR="005F7329">
        <w:t>understated</w:t>
      </w:r>
      <w:r>
        <w:t>.</w:t>
      </w:r>
    </w:p>
    <w:p w:rsidR="00C77218" w:rsidRDefault="004325AA" w:rsidP="00192C17">
      <w:pPr>
        <w:pStyle w:val="Heading2"/>
      </w:pPr>
      <w:bookmarkStart w:id="31" w:name="_Toc530748487"/>
      <w:r>
        <w:rPr>
          <w:noProof/>
        </w:rPr>
        <w:t>3</w:t>
      </w:r>
      <w:r w:rsidR="00277C01">
        <w:tab/>
      </w:r>
      <w:r w:rsidR="00C87F92">
        <w:t>Evidence of economies of scale is compelling</w:t>
      </w:r>
      <w:bookmarkEnd w:id="31"/>
    </w:p>
    <w:p w:rsidR="007A6D59" w:rsidRDefault="007A6D59" w:rsidP="00277C01">
      <w:pPr>
        <w:pStyle w:val="Heading3"/>
        <w:spacing w:before="280"/>
      </w:pPr>
      <w:bookmarkStart w:id="32" w:name="_Toc530748488"/>
      <w:r>
        <w:t xml:space="preserve">Economies </w:t>
      </w:r>
      <w:r w:rsidR="003B7D44">
        <w:t>exist</w:t>
      </w:r>
      <w:r>
        <w:t xml:space="preserve"> at the system and segment level</w:t>
      </w:r>
      <w:bookmarkEnd w:id="32"/>
    </w:p>
    <w:p w:rsidR="001E74AB" w:rsidRPr="00CF1A0E" w:rsidRDefault="00CB2BBB" w:rsidP="00CB2BBB">
      <w:pPr>
        <w:pStyle w:val="BodyText"/>
        <w:rPr>
          <w:spacing w:val="-2"/>
        </w:rPr>
      </w:pPr>
      <w:r w:rsidRPr="00CF1A0E">
        <w:rPr>
          <w:spacing w:val="-2"/>
        </w:rPr>
        <w:t xml:space="preserve">When other factors that influence </w:t>
      </w:r>
      <w:r w:rsidR="00AC19A3" w:rsidRPr="00CF1A0E">
        <w:rPr>
          <w:spacing w:val="-2"/>
        </w:rPr>
        <w:t>administration</w:t>
      </w:r>
      <w:r w:rsidRPr="00CF1A0E">
        <w:rPr>
          <w:spacing w:val="-2"/>
        </w:rPr>
        <w:t xml:space="preserve"> expenses </w:t>
      </w:r>
      <w:r w:rsidR="000E3202">
        <w:rPr>
          <w:spacing w:val="-2"/>
        </w:rPr>
        <w:t>(as distinct from fees charged)</w:t>
      </w:r>
      <w:r w:rsidR="000E3202" w:rsidRPr="00170A0A">
        <w:rPr>
          <w:spacing w:val="-2"/>
        </w:rPr>
        <w:t xml:space="preserve"> </w:t>
      </w:r>
      <w:r w:rsidRPr="00CF1A0E">
        <w:rPr>
          <w:spacing w:val="-2"/>
        </w:rPr>
        <w:t>are held constant, Commission modelling suggests a clear relationship with scale for all segments</w:t>
      </w:r>
      <w:r w:rsidR="00FD4E0C">
        <w:rPr>
          <w:spacing w:val="-2"/>
        </w:rPr>
        <w:t xml:space="preserve"> of the system</w:t>
      </w:r>
      <w:r w:rsidRPr="00CF1A0E">
        <w:rPr>
          <w:spacing w:val="-2"/>
        </w:rPr>
        <w:t xml:space="preserve">. That is, average </w:t>
      </w:r>
      <w:r w:rsidR="00AC19A3" w:rsidRPr="00CF1A0E">
        <w:rPr>
          <w:spacing w:val="-2"/>
        </w:rPr>
        <w:t>administration</w:t>
      </w:r>
      <w:r w:rsidRPr="00CF1A0E">
        <w:rPr>
          <w:spacing w:val="-2"/>
        </w:rPr>
        <w:t xml:space="preserve"> </w:t>
      </w:r>
      <w:r w:rsidR="0012346F" w:rsidRPr="00CF1A0E">
        <w:rPr>
          <w:spacing w:val="-2"/>
        </w:rPr>
        <w:t>expense</w:t>
      </w:r>
      <w:r w:rsidRPr="00CF1A0E">
        <w:rPr>
          <w:spacing w:val="-2"/>
        </w:rPr>
        <w:t>s are typically lower in larger funds, with corporate funds realising economies most rapidly.</w:t>
      </w:r>
      <w:r w:rsidR="003C382E">
        <w:rPr>
          <w:rStyle w:val="FootnoteReference"/>
          <w:spacing w:val="-2"/>
        </w:rPr>
        <w:footnoteReference w:id="12"/>
      </w:r>
    </w:p>
    <w:p w:rsidR="00CB2BBB" w:rsidRPr="00C2577F" w:rsidRDefault="00CB2BBB" w:rsidP="00CB2BBB">
      <w:pPr>
        <w:pStyle w:val="BodyText"/>
      </w:pPr>
      <w:r w:rsidRPr="00C2577F">
        <w:t xml:space="preserve">A similar result exists on the investment side, though </w:t>
      </w:r>
      <w:r w:rsidR="00610248" w:rsidRPr="00C2577F">
        <w:t xml:space="preserve">the evidence suggests </w:t>
      </w:r>
      <w:r w:rsidRPr="00C2577F">
        <w:t>economies of scale in investment expenses</w:t>
      </w:r>
      <w:r w:rsidRPr="00C2577F" w:rsidDel="009A1FF4">
        <w:t xml:space="preserve"> </w:t>
      </w:r>
      <w:r w:rsidR="00610248" w:rsidRPr="00C2577F">
        <w:t xml:space="preserve">are </w:t>
      </w:r>
      <w:r w:rsidRPr="00C2577F">
        <w:t xml:space="preserve">more </w:t>
      </w:r>
      <w:r w:rsidR="00610248" w:rsidRPr="00C2577F">
        <w:t xml:space="preserve">pronounced </w:t>
      </w:r>
      <w:r w:rsidRPr="00C2577F">
        <w:t>for corporate, public sector and retail funds (and for the system as a whole) than for industry funds.</w:t>
      </w:r>
      <w:r w:rsidR="001E74AB" w:rsidRPr="00C2577F">
        <w:t xml:space="preserve"> </w:t>
      </w:r>
      <w:r w:rsidR="00A30696" w:rsidRPr="00C2577F">
        <w:t>As discussed further below, this may ref</w:t>
      </w:r>
      <w:r w:rsidR="006F073F" w:rsidRPr="00C2577F">
        <w:t>lect the greater use of (higher</w:t>
      </w:r>
      <w:r w:rsidR="006F073F" w:rsidRPr="00C2577F">
        <w:noBreakHyphen/>
      </w:r>
      <w:r w:rsidR="00A30696" w:rsidRPr="00C2577F">
        <w:t xml:space="preserve">cost) unlisted assets by industry funds, with members </w:t>
      </w:r>
      <w:r w:rsidR="00FD4E0C" w:rsidRPr="00C2577F">
        <w:t xml:space="preserve">(potentially) </w:t>
      </w:r>
      <w:r w:rsidR="00A30696" w:rsidRPr="00C2577F">
        <w:t>benefiting through higher returns, although data limitations preclude a firm conclusion on this point.</w:t>
      </w:r>
    </w:p>
    <w:p w:rsidR="00327818" w:rsidRPr="0034540B" w:rsidRDefault="00EE4FC5" w:rsidP="00B065E6">
      <w:pPr>
        <w:pStyle w:val="BodyText"/>
        <w:rPr>
          <w:spacing w:val="-2"/>
        </w:rPr>
      </w:pPr>
      <w:r w:rsidRPr="0034540B">
        <w:rPr>
          <w:spacing w:val="-2"/>
        </w:rPr>
        <w:t xml:space="preserve">While it is difficult to </w:t>
      </w:r>
      <w:r w:rsidR="00FD4E0C">
        <w:rPr>
          <w:spacing w:val="-2"/>
        </w:rPr>
        <w:t xml:space="preserve">illustrate </w:t>
      </w:r>
      <w:r w:rsidR="00E968CB" w:rsidRPr="0034540B">
        <w:rPr>
          <w:spacing w:val="-2"/>
        </w:rPr>
        <w:t xml:space="preserve">these </w:t>
      </w:r>
      <w:r w:rsidRPr="0034540B">
        <w:rPr>
          <w:spacing w:val="-2"/>
        </w:rPr>
        <w:t>aggregate relationships</w:t>
      </w:r>
      <w:r w:rsidR="00FD4E0C">
        <w:rPr>
          <w:spacing w:val="-2"/>
        </w:rPr>
        <w:t xml:space="preserve"> through traditional figures</w:t>
      </w:r>
      <w:r w:rsidRPr="0034540B">
        <w:rPr>
          <w:spacing w:val="-2"/>
        </w:rPr>
        <w:t xml:space="preserve">, the presence of economies of scale </w:t>
      </w:r>
      <w:r w:rsidR="00CE3D75" w:rsidRPr="0034540B">
        <w:rPr>
          <w:spacing w:val="-2"/>
        </w:rPr>
        <w:t xml:space="preserve">can be seen </w:t>
      </w:r>
      <w:r w:rsidR="00323C19" w:rsidRPr="0034540B">
        <w:rPr>
          <w:spacing w:val="-2"/>
        </w:rPr>
        <w:t>in the</w:t>
      </w:r>
      <w:r w:rsidR="00CE3D75" w:rsidRPr="0034540B">
        <w:rPr>
          <w:spacing w:val="-2"/>
        </w:rPr>
        <w:t xml:space="preserve"> </w:t>
      </w:r>
      <w:r w:rsidR="00BE696E" w:rsidRPr="0034540B">
        <w:rPr>
          <w:spacing w:val="-2"/>
        </w:rPr>
        <w:t>‘</w:t>
      </w:r>
      <w:r w:rsidR="00CE3D75" w:rsidRPr="0034540B">
        <w:rPr>
          <w:spacing w:val="-2"/>
        </w:rPr>
        <w:t>power coefficients</w:t>
      </w:r>
      <w:r w:rsidR="00BE696E" w:rsidRPr="0034540B">
        <w:rPr>
          <w:spacing w:val="-2"/>
        </w:rPr>
        <w:t>’</w:t>
      </w:r>
      <w:r w:rsidRPr="0034540B">
        <w:rPr>
          <w:spacing w:val="-2"/>
        </w:rPr>
        <w:t xml:space="preserve"> </w:t>
      </w:r>
      <w:r w:rsidR="00C40CBA" w:rsidRPr="0034540B">
        <w:rPr>
          <w:spacing w:val="-2"/>
        </w:rPr>
        <w:t xml:space="preserve">estimated for each segment </w:t>
      </w:r>
      <w:r w:rsidR="00842485" w:rsidRPr="0034540B">
        <w:rPr>
          <w:spacing w:val="-2"/>
        </w:rPr>
        <w:t>(box </w:t>
      </w:r>
      <w:r w:rsidR="00A55FFD" w:rsidRPr="0034540B">
        <w:rPr>
          <w:spacing w:val="-2"/>
        </w:rPr>
        <w:t>4</w:t>
      </w:r>
      <w:r w:rsidR="00E84DEC" w:rsidRPr="0034540B">
        <w:rPr>
          <w:spacing w:val="-2"/>
        </w:rPr>
        <w:t>;</w:t>
      </w:r>
      <w:r w:rsidR="00B75A96" w:rsidRPr="0034540B">
        <w:rPr>
          <w:spacing w:val="-2"/>
        </w:rPr>
        <w:t xml:space="preserve"> </w:t>
      </w:r>
      <w:r w:rsidRPr="0034540B">
        <w:rPr>
          <w:spacing w:val="-2"/>
        </w:rPr>
        <w:t>table </w:t>
      </w:r>
      <w:r w:rsidR="00A55FFD" w:rsidRPr="0034540B">
        <w:rPr>
          <w:spacing w:val="-2"/>
        </w:rPr>
        <w:t>7</w:t>
      </w:r>
      <w:r w:rsidRPr="0034540B">
        <w:rPr>
          <w:spacing w:val="-2"/>
        </w:rPr>
        <w:t>).</w:t>
      </w:r>
      <w:r w:rsidR="00EF6C67" w:rsidRPr="0034540B">
        <w:rPr>
          <w:rStyle w:val="FootnoteReference"/>
          <w:spacing w:val="-2"/>
        </w:rPr>
        <w:footnoteReference w:id="13"/>
      </w:r>
      <w:r w:rsidR="009E0836" w:rsidRPr="0034540B">
        <w:rPr>
          <w:spacing w:val="-2"/>
        </w:rPr>
        <w:t xml:space="preserve"> Given these parameters are estimated with uncertainty, a range of estimates spanning the likely true values</w:t>
      </w:r>
      <w:r w:rsidR="00E968CB" w:rsidRPr="0034540B">
        <w:rPr>
          <w:spacing w:val="-2"/>
        </w:rPr>
        <w:t xml:space="preserve"> </w:t>
      </w:r>
      <w:r w:rsidR="009E0836" w:rsidRPr="0034540B">
        <w:rPr>
          <w:spacing w:val="-2"/>
        </w:rPr>
        <w:t>is reported (box </w:t>
      </w:r>
      <w:r w:rsidR="00A55FFD" w:rsidRPr="0034540B">
        <w:rPr>
          <w:spacing w:val="-2"/>
        </w:rPr>
        <w:t>5</w:t>
      </w:r>
      <w:r w:rsidR="009E0836" w:rsidRPr="0034540B">
        <w:rPr>
          <w:spacing w:val="-2"/>
        </w:rPr>
        <w:t>).</w:t>
      </w:r>
      <w:r w:rsidR="00E968CB" w:rsidRPr="0034540B">
        <w:rPr>
          <w:spacing w:val="-2"/>
        </w:rPr>
        <w:t xml:space="preserve"> </w:t>
      </w:r>
      <w:r w:rsidR="00743A9F" w:rsidRPr="0034540B">
        <w:rPr>
          <w:spacing w:val="-2"/>
        </w:rPr>
        <w:t xml:space="preserve">For each segment, the </w:t>
      </w:r>
      <w:r w:rsidR="008C443C" w:rsidRPr="0034540B">
        <w:rPr>
          <w:spacing w:val="-2"/>
        </w:rPr>
        <w:t xml:space="preserve">range </w:t>
      </w:r>
      <w:r w:rsidR="00743A9F" w:rsidRPr="0034540B">
        <w:rPr>
          <w:spacing w:val="-2"/>
        </w:rPr>
        <w:t>lie</w:t>
      </w:r>
      <w:r w:rsidR="008C443C" w:rsidRPr="0034540B">
        <w:rPr>
          <w:spacing w:val="-2"/>
        </w:rPr>
        <w:t>s</w:t>
      </w:r>
      <w:r w:rsidR="00743A9F" w:rsidRPr="0034540B">
        <w:rPr>
          <w:spacing w:val="-2"/>
        </w:rPr>
        <w:t xml:space="preserve"> between zero and one</w:t>
      </w:r>
      <w:r w:rsidR="00FD4E0C">
        <w:rPr>
          <w:spacing w:val="-2"/>
        </w:rPr>
        <w:t xml:space="preserve"> (</w:t>
      </w:r>
      <w:r w:rsidR="00CD5F47">
        <w:t xml:space="preserve">the closer the value to zero, the stronger </w:t>
      </w:r>
      <w:r w:rsidR="006E33FB">
        <w:t xml:space="preserve">the </w:t>
      </w:r>
      <w:r w:rsidR="00CD5F47">
        <w:t>economies relationship</w:t>
      </w:r>
      <w:r w:rsidR="001D4FB0">
        <w:rPr>
          <w:rStyle w:val="FootnoteReference"/>
        </w:rPr>
        <w:footnoteReference w:id="14"/>
      </w:r>
      <w:r w:rsidR="00FD4E0C">
        <w:rPr>
          <w:spacing w:val="-2"/>
        </w:rPr>
        <w:t>)</w:t>
      </w:r>
      <w:r w:rsidR="00327818" w:rsidRPr="0034540B">
        <w:rPr>
          <w:spacing w:val="-2"/>
        </w:rPr>
        <w:t xml:space="preserve">, </w:t>
      </w:r>
      <w:r w:rsidR="00743A9F" w:rsidRPr="0034540B">
        <w:rPr>
          <w:spacing w:val="-2"/>
        </w:rPr>
        <w:t>indicating economies</w:t>
      </w:r>
      <w:r w:rsidR="00102C0B">
        <w:rPr>
          <w:spacing w:val="-2"/>
        </w:rPr>
        <w:t xml:space="preserve"> are evident</w:t>
      </w:r>
      <w:r w:rsidR="00327818" w:rsidRPr="0034540B">
        <w:rPr>
          <w:spacing w:val="-2"/>
        </w:rPr>
        <w:t xml:space="preserve">, </w:t>
      </w:r>
      <w:r w:rsidR="00F97064" w:rsidRPr="0034540B">
        <w:rPr>
          <w:spacing w:val="-2"/>
        </w:rPr>
        <w:t>though</w:t>
      </w:r>
      <w:r w:rsidR="008C443C" w:rsidRPr="0034540B">
        <w:rPr>
          <w:spacing w:val="-2"/>
        </w:rPr>
        <w:t xml:space="preserve"> the coefficient for investment expenses for industry funds is </w:t>
      </w:r>
      <w:r w:rsidR="00F97064" w:rsidRPr="0034540B">
        <w:rPr>
          <w:spacing w:val="-2"/>
        </w:rPr>
        <w:t>about</w:t>
      </w:r>
      <w:r w:rsidR="008C443C" w:rsidRPr="0034540B">
        <w:rPr>
          <w:spacing w:val="-2"/>
        </w:rPr>
        <w:t xml:space="preserve"> one at the top of the distribution</w:t>
      </w:r>
      <w:r w:rsidR="0034540B" w:rsidRPr="0034540B">
        <w:rPr>
          <w:rStyle w:val="FootnoteReference"/>
          <w:spacing w:val="-2"/>
        </w:rPr>
        <w:footnoteReference w:id="15"/>
      </w:r>
      <w:r w:rsidR="0034540B" w:rsidRPr="0034540B">
        <w:rPr>
          <w:spacing w:val="-2"/>
        </w:rPr>
        <w:t xml:space="preserve"> — indicating </w:t>
      </w:r>
      <w:r w:rsidR="00A6430D">
        <w:rPr>
          <w:spacing w:val="-2"/>
        </w:rPr>
        <w:t xml:space="preserve">(with 10 per cent probability) </w:t>
      </w:r>
      <w:r w:rsidR="0034540B" w:rsidRPr="0034540B">
        <w:rPr>
          <w:spacing w:val="-2"/>
        </w:rPr>
        <w:t xml:space="preserve">that investment costs </w:t>
      </w:r>
      <w:r w:rsidR="00A6430D" w:rsidRPr="0034540B">
        <w:rPr>
          <w:spacing w:val="-2"/>
        </w:rPr>
        <w:t>m</w:t>
      </w:r>
      <w:r w:rsidR="00A6430D">
        <w:rPr>
          <w:spacing w:val="-2"/>
        </w:rPr>
        <w:t>ight</w:t>
      </w:r>
      <w:r w:rsidR="0034540B" w:rsidRPr="0034540B">
        <w:rPr>
          <w:spacing w:val="-2"/>
        </w:rPr>
        <w:t xml:space="preserve"> not decrease with size for the average industry fund.</w:t>
      </w:r>
    </w:p>
    <w:p w:rsidR="00EE4FC5" w:rsidRDefault="004A0994" w:rsidP="00B065E6">
      <w:pPr>
        <w:pStyle w:val="BodyText"/>
      </w:pPr>
      <w:r>
        <w:t>M</w:t>
      </w:r>
      <w:r w:rsidR="00B75A96" w:rsidDel="00323C19">
        <w:t>odel outputs indicate about a 90 per cent chance that the system cost curve</w:t>
      </w:r>
      <w:r w:rsidR="00AA513B">
        <w:t>s</w:t>
      </w:r>
      <w:r w:rsidR="00B75A96" w:rsidDel="00323C19">
        <w:t xml:space="preserve"> </w:t>
      </w:r>
      <w:r w:rsidR="005B78BC">
        <w:t xml:space="preserve">for </w:t>
      </w:r>
      <w:r w:rsidR="00AA513B">
        <w:t xml:space="preserve">both </w:t>
      </w:r>
      <w:r w:rsidR="002069DC">
        <w:t>administration or investment</w:t>
      </w:r>
      <w:r w:rsidR="005B78BC">
        <w:t xml:space="preserve"> expenses</w:t>
      </w:r>
      <w:r w:rsidR="00B75A96" w:rsidDel="00323C19">
        <w:t xml:space="preserve"> exhibit economies of scale.</w:t>
      </w:r>
      <w:r w:rsidR="00B75A96">
        <w:rPr>
          <w:rStyle w:val="FootnoteReference"/>
        </w:rPr>
        <w:footnoteReference w:id="16"/>
      </w:r>
    </w:p>
    <w:p w:rsidR="00642256" w:rsidRDefault="00642256">
      <w:pPr>
        <w:rPr>
          <w:szCs w:val="20"/>
        </w:rPr>
      </w:pPr>
      <w:r>
        <w:br w:type="page"/>
      </w:r>
    </w:p>
    <w:p w:rsidR="004A0994" w:rsidRDefault="004A0994" w:rsidP="00B065E6">
      <w:pPr>
        <w:pStyle w:val="BodyText"/>
      </w:pPr>
      <w:r>
        <w:lastRenderedPageBreak/>
        <w:t xml:space="preserve">Further, the potential impact of economies of scale is evident in estimates of </w:t>
      </w:r>
      <w:r w:rsidR="00E968CB">
        <w:t xml:space="preserve">how </w:t>
      </w:r>
      <w:r>
        <w:t>expense</w:t>
      </w:r>
      <w:r w:rsidR="00E968CB">
        <w:t>s might fall</w:t>
      </w:r>
      <w:r>
        <w:t xml:space="preserve"> as funds grow. For example, the results imply that, on average, </w:t>
      </w:r>
      <w:r w:rsidR="00EC455C">
        <w:t>administration expenses (</w:t>
      </w:r>
      <w:r w:rsidR="004E424E">
        <w:t>as a share of assets</w:t>
      </w:r>
      <w:r w:rsidR="00EC455C">
        <w:t xml:space="preserve">) </w:t>
      </w:r>
      <w:r w:rsidR="000875D8">
        <w:t>for</w:t>
      </w:r>
      <w:r w:rsidR="00EC455C">
        <w:t xml:space="preserve"> </w:t>
      </w:r>
      <w:r>
        <w:t xml:space="preserve">an industry fund </w:t>
      </w:r>
      <w:r w:rsidR="000875D8">
        <w:t xml:space="preserve">starting at </w:t>
      </w:r>
      <w:r w:rsidR="002929C8">
        <w:t>65</w:t>
      </w:r>
      <w:r w:rsidR="000875D8">
        <w:t xml:space="preserve"> basis points </w:t>
      </w:r>
      <w:r>
        <w:t xml:space="preserve">would </w:t>
      </w:r>
      <w:r w:rsidR="00EC455C">
        <w:t xml:space="preserve">fall </w:t>
      </w:r>
      <w:r w:rsidR="002929C8">
        <w:t xml:space="preserve">to </w:t>
      </w:r>
      <w:r w:rsidR="000875D8">
        <w:t xml:space="preserve">50 basis points </w:t>
      </w:r>
      <w:r w:rsidR="00765A0B">
        <w:t>(</w:t>
      </w:r>
      <w:r w:rsidR="004E424E">
        <w:t xml:space="preserve">or </w:t>
      </w:r>
      <w:r w:rsidR="00EC455C">
        <w:t xml:space="preserve">by </w:t>
      </w:r>
      <w:r w:rsidR="000875D8">
        <w:t>2</w:t>
      </w:r>
      <w:r w:rsidR="00AD5AD1">
        <w:t>3</w:t>
      </w:r>
      <w:r w:rsidR="00EC455C">
        <w:t xml:space="preserve"> per cent</w:t>
      </w:r>
      <w:r w:rsidR="00765A0B">
        <w:t>)</w:t>
      </w:r>
      <w:r w:rsidR="00EC455C">
        <w:t xml:space="preserve"> with an increase in size from $500 million to $</w:t>
      </w:r>
      <w:r w:rsidR="000875D8">
        <w:t>1</w:t>
      </w:r>
      <w:r w:rsidR="00EC455C">
        <w:t> billion.</w:t>
      </w:r>
      <w:r w:rsidR="00E968CB">
        <w:rPr>
          <w:rStyle w:val="FootnoteReference"/>
        </w:rPr>
        <w:footnoteReference w:id="17"/>
      </w:r>
      <w:r w:rsidR="009630EE">
        <w:t xml:space="preserve"> </w:t>
      </w:r>
      <w:r w:rsidR="006E33FB">
        <w:t xml:space="preserve">Similarly on the investment expenses side, </w:t>
      </w:r>
      <w:r w:rsidR="002351FE">
        <w:t xml:space="preserve">on average, </w:t>
      </w:r>
      <w:r w:rsidR="006E33FB">
        <w:t xml:space="preserve">an industry fund starting at 40 basis points would </w:t>
      </w:r>
      <w:r w:rsidR="002351FE">
        <w:t xml:space="preserve">experience a </w:t>
      </w:r>
      <w:r w:rsidR="006E33FB">
        <w:t>fall to 37 basis points (or by 7</w:t>
      </w:r>
      <w:r w:rsidR="002351FE">
        <w:t> </w:t>
      </w:r>
      <w:r w:rsidR="006E33FB">
        <w:t>per cent).</w:t>
      </w:r>
    </w:p>
    <w:p w:rsidR="00EE4FC5" w:rsidRDefault="00EE4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E4FC5" w:rsidTr="00162E59">
        <w:trPr>
          <w:tblHeader/>
        </w:trPr>
        <w:tc>
          <w:tcPr>
            <w:tcW w:w="5000" w:type="pct"/>
            <w:tcBorders>
              <w:top w:val="single" w:sz="6" w:space="0" w:color="78A22F"/>
              <w:left w:val="nil"/>
              <w:bottom w:val="nil"/>
              <w:right w:val="nil"/>
            </w:tcBorders>
            <w:shd w:val="clear" w:color="auto" w:fill="F2F2F2"/>
          </w:tcPr>
          <w:p w:rsidR="00EE4FC5" w:rsidRDefault="00EE4FC5" w:rsidP="00EE4FC5">
            <w:pPr>
              <w:pStyle w:val="BoxTitle"/>
            </w:pPr>
            <w:r>
              <w:rPr>
                <w:b w:val="0"/>
              </w:rPr>
              <w:t xml:space="preserve">Box </w:t>
            </w:r>
            <w:bookmarkStart w:id="33" w:name="OLE_LINK17"/>
            <w:r w:rsidR="004325AA">
              <w:rPr>
                <w:b w:val="0"/>
                <w:noProof/>
              </w:rPr>
              <w:t>4</w:t>
            </w:r>
            <w:bookmarkEnd w:id="33"/>
            <w:r>
              <w:tab/>
              <w:t xml:space="preserve">Power coefficients as an indicator of </w:t>
            </w:r>
            <w:r w:rsidR="00B75A96">
              <w:t>economies of scale</w:t>
            </w:r>
          </w:p>
        </w:tc>
      </w:tr>
      <w:tr w:rsidR="00EE4FC5" w:rsidTr="00162E59">
        <w:tc>
          <w:tcPr>
            <w:tcW w:w="5000" w:type="pct"/>
            <w:tcBorders>
              <w:top w:val="nil"/>
              <w:left w:val="nil"/>
              <w:bottom w:val="nil"/>
              <w:right w:val="nil"/>
            </w:tcBorders>
            <w:shd w:val="clear" w:color="auto" w:fill="F2F2F2"/>
          </w:tcPr>
          <w:p w:rsidR="00EE4FC5" w:rsidRPr="00642256" w:rsidRDefault="00EE4FC5" w:rsidP="00642256">
            <w:pPr>
              <w:pStyle w:val="Box"/>
              <w:spacing w:line="240" w:lineRule="atLeast"/>
              <w:rPr>
                <w:spacing w:val="-6"/>
                <w:sz w:val="19"/>
                <w:szCs w:val="19"/>
              </w:rPr>
            </w:pPr>
            <w:r w:rsidRPr="00642256">
              <w:rPr>
                <w:spacing w:val="-6"/>
                <w:sz w:val="19"/>
                <w:szCs w:val="19"/>
              </w:rPr>
              <w:t>‘Power coefficients’</w:t>
            </w:r>
            <w:r w:rsidR="00AA513B" w:rsidRPr="00642256">
              <w:rPr>
                <w:spacing w:val="-6"/>
                <w:sz w:val="19"/>
                <w:szCs w:val="19"/>
              </w:rPr>
              <w:t>,</w:t>
            </w:r>
            <w:r w:rsidRPr="00642256">
              <w:rPr>
                <w:spacing w:val="-6"/>
                <w:sz w:val="19"/>
                <w:szCs w:val="19"/>
              </w:rPr>
              <w:t xml:space="preserve"> </w:t>
            </w:r>
            <w:r w:rsidR="00AA513B" w:rsidRPr="00642256">
              <w:rPr>
                <w:spacing w:val="-6"/>
                <w:sz w:val="19"/>
                <w:szCs w:val="19"/>
              </w:rPr>
              <w:t>calculated from the estimated coefficients relating to scale,</w:t>
            </w:r>
            <w:r w:rsidRPr="00642256">
              <w:rPr>
                <w:spacing w:val="-6"/>
                <w:sz w:val="19"/>
                <w:szCs w:val="19"/>
              </w:rPr>
              <w:t xml:space="preserve"> capture the strength of the economies of scale relationship.</w:t>
            </w:r>
          </w:p>
          <w:p w:rsidR="00EE4FC5" w:rsidRPr="00642256" w:rsidRDefault="00EE4FC5" w:rsidP="00642256">
            <w:pPr>
              <w:pStyle w:val="Box"/>
              <w:spacing w:line="240" w:lineRule="atLeast"/>
              <w:rPr>
                <w:spacing w:val="-6"/>
                <w:sz w:val="19"/>
                <w:szCs w:val="19"/>
              </w:rPr>
            </w:pPr>
            <w:r w:rsidRPr="00642256">
              <w:rPr>
                <w:spacing w:val="-6"/>
                <w:sz w:val="19"/>
                <w:szCs w:val="19"/>
              </w:rPr>
              <w:t>A value between zero and one indicates that, when all of the other factors that might influence expenses are taken into account, the relationship between average costs and scale exhibits economies. And the closer the value to zero, the stronger the relationship. Values above one are consistent with diseconomies and values below zero arise when the data suggest that a fund’s total costs would fall with larger size.</w:t>
            </w:r>
          </w:p>
          <w:p w:rsidR="00554F3F" w:rsidRPr="00642256" w:rsidRDefault="00654FB4" w:rsidP="00642256">
            <w:pPr>
              <w:pStyle w:val="Box"/>
              <w:spacing w:line="240" w:lineRule="atLeast"/>
              <w:rPr>
                <w:spacing w:val="-6"/>
                <w:sz w:val="19"/>
                <w:szCs w:val="19"/>
              </w:rPr>
            </w:pPr>
            <w:r w:rsidRPr="00642256">
              <w:rPr>
                <w:spacing w:val="-6"/>
                <w:sz w:val="19"/>
                <w:szCs w:val="19"/>
              </w:rPr>
              <w:t xml:space="preserve">Power coefficients can be calculated for individual funds </w:t>
            </w:r>
            <w:r w:rsidR="00842485" w:rsidRPr="00642256">
              <w:rPr>
                <w:spacing w:val="-6"/>
                <w:sz w:val="19"/>
                <w:szCs w:val="19"/>
              </w:rPr>
              <w:t>(by adding fund</w:t>
            </w:r>
            <w:r w:rsidR="00F640C8" w:rsidRPr="00642256">
              <w:rPr>
                <w:spacing w:val="-6"/>
                <w:sz w:val="19"/>
                <w:szCs w:val="19"/>
              </w:rPr>
              <w:noBreakHyphen/>
            </w:r>
            <w:r w:rsidR="00842485" w:rsidRPr="00642256">
              <w:rPr>
                <w:spacing w:val="-6"/>
                <w:sz w:val="19"/>
                <w:szCs w:val="19"/>
              </w:rPr>
              <w:t xml:space="preserve">specific </w:t>
            </w:r>
            <w:r w:rsidR="00554F3F" w:rsidRPr="00642256">
              <w:rPr>
                <w:spacing w:val="-6"/>
                <w:sz w:val="19"/>
                <w:szCs w:val="19"/>
              </w:rPr>
              <w:t xml:space="preserve">scale </w:t>
            </w:r>
            <w:r w:rsidR="00842485" w:rsidRPr="00642256">
              <w:rPr>
                <w:spacing w:val="-6"/>
                <w:sz w:val="19"/>
                <w:szCs w:val="19"/>
              </w:rPr>
              <w:t>terms to segment</w:t>
            </w:r>
            <w:r w:rsidR="00F640C8" w:rsidRPr="00642256">
              <w:rPr>
                <w:spacing w:val="-6"/>
                <w:sz w:val="19"/>
                <w:szCs w:val="19"/>
              </w:rPr>
              <w:noBreakHyphen/>
            </w:r>
            <w:r w:rsidR="00842485" w:rsidRPr="00642256">
              <w:rPr>
                <w:spacing w:val="-6"/>
                <w:sz w:val="19"/>
                <w:szCs w:val="19"/>
              </w:rPr>
              <w:t xml:space="preserve">level </w:t>
            </w:r>
            <w:r w:rsidR="00554F3F" w:rsidRPr="00642256">
              <w:rPr>
                <w:spacing w:val="-6"/>
                <w:sz w:val="19"/>
                <w:szCs w:val="19"/>
              </w:rPr>
              <w:t xml:space="preserve">scale </w:t>
            </w:r>
            <w:r w:rsidR="00842485" w:rsidRPr="00642256">
              <w:rPr>
                <w:spacing w:val="-6"/>
                <w:sz w:val="19"/>
                <w:szCs w:val="19"/>
              </w:rPr>
              <w:t xml:space="preserve">terms) </w:t>
            </w:r>
            <w:r w:rsidRPr="00642256">
              <w:rPr>
                <w:spacing w:val="-6"/>
                <w:sz w:val="19"/>
                <w:szCs w:val="19"/>
              </w:rPr>
              <w:t>or at the segment level</w:t>
            </w:r>
            <w:r w:rsidR="00842485" w:rsidRPr="00642256">
              <w:rPr>
                <w:spacing w:val="-6"/>
                <w:sz w:val="19"/>
                <w:szCs w:val="19"/>
              </w:rPr>
              <w:t xml:space="preserve"> (by only considering segment</w:t>
            </w:r>
            <w:r w:rsidR="00F640C8" w:rsidRPr="00642256">
              <w:rPr>
                <w:spacing w:val="-6"/>
                <w:sz w:val="19"/>
                <w:szCs w:val="19"/>
              </w:rPr>
              <w:noBreakHyphen/>
            </w:r>
            <w:r w:rsidR="00842485" w:rsidRPr="00642256">
              <w:rPr>
                <w:spacing w:val="-6"/>
                <w:sz w:val="19"/>
                <w:szCs w:val="19"/>
              </w:rPr>
              <w:t xml:space="preserve">level </w:t>
            </w:r>
            <w:r w:rsidR="00554F3F" w:rsidRPr="00642256">
              <w:rPr>
                <w:spacing w:val="-6"/>
                <w:sz w:val="19"/>
                <w:szCs w:val="19"/>
              </w:rPr>
              <w:t xml:space="preserve">scale </w:t>
            </w:r>
            <w:r w:rsidR="00842485" w:rsidRPr="00642256">
              <w:rPr>
                <w:spacing w:val="-6"/>
                <w:sz w:val="19"/>
                <w:szCs w:val="19"/>
              </w:rPr>
              <w:t>terms)</w:t>
            </w:r>
            <w:r w:rsidRPr="00642256">
              <w:rPr>
                <w:spacing w:val="-6"/>
                <w:sz w:val="19"/>
                <w:szCs w:val="19"/>
              </w:rPr>
              <w:t>.</w:t>
            </w:r>
          </w:p>
          <w:p w:rsidR="009B39E7" w:rsidRDefault="009B39E7" w:rsidP="00642256">
            <w:pPr>
              <w:pStyle w:val="Box"/>
              <w:spacing w:line="240" w:lineRule="atLeast"/>
            </w:pPr>
            <w:r w:rsidRPr="00642256">
              <w:rPr>
                <w:spacing w:val="-6"/>
                <w:sz w:val="19"/>
                <w:szCs w:val="19"/>
              </w:rPr>
              <w:t>More detail on the interpretation of scale parameters</w:t>
            </w:r>
            <w:r w:rsidR="002275DF" w:rsidRPr="00642256">
              <w:rPr>
                <w:spacing w:val="-6"/>
                <w:sz w:val="19"/>
                <w:szCs w:val="19"/>
              </w:rPr>
              <w:t xml:space="preserve"> (and how they are calculated)</w:t>
            </w:r>
            <w:r w:rsidRPr="00642256">
              <w:rPr>
                <w:spacing w:val="-6"/>
                <w:sz w:val="19"/>
                <w:szCs w:val="19"/>
              </w:rPr>
              <w:t xml:space="preserve"> is presented in </w:t>
            </w:r>
            <w:r w:rsidR="00F640C8" w:rsidRPr="00642256">
              <w:rPr>
                <w:spacing w:val="-6"/>
                <w:sz w:val="19"/>
                <w:szCs w:val="19"/>
              </w:rPr>
              <w:t>a</w:t>
            </w:r>
            <w:r w:rsidRPr="00642256">
              <w:rPr>
                <w:spacing w:val="-6"/>
                <w:sz w:val="19"/>
                <w:szCs w:val="19"/>
              </w:rPr>
              <w:t>ppendix</w:t>
            </w:r>
            <w:r w:rsidR="00F640C8" w:rsidRPr="00642256">
              <w:rPr>
                <w:spacing w:val="-6"/>
                <w:sz w:val="19"/>
                <w:szCs w:val="19"/>
              </w:rPr>
              <w:t> </w:t>
            </w:r>
            <w:r w:rsidRPr="00642256" w:rsidDel="005159A8">
              <w:rPr>
                <w:spacing w:val="-6"/>
                <w:sz w:val="19"/>
                <w:szCs w:val="19"/>
              </w:rPr>
              <w:t>B</w:t>
            </w:r>
            <w:r w:rsidRPr="00642256">
              <w:rPr>
                <w:spacing w:val="-6"/>
                <w:sz w:val="19"/>
                <w:szCs w:val="19"/>
              </w:rPr>
              <w:t>.</w:t>
            </w:r>
          </w:p>
        </w:tc>
      </w:tr>
      <w:tr w:rsidR="00EE4FC5" w:rsidTr="00162E59">
        <w:tc>
          <w:tcPr>
            <w:tcW w:w="5000" w:type="pct"/>
            <w:tcBorders>
              <w:top w:val="nil"/>
              <w:left w:val="nil"/>
              <w:bottom w:val="single" w:sz="6" w:space="0" w:color="78A22F"/>
              <w:right w:val="nil"/>
            </w:tcBorders>
            <w:shd w:val="clear" w:color="auto" w:fill="F2F2F2"/>
          </w:tcPr>
          <w:p w:rsidR="00EE4FC5" w:rsidRDefault="00EE4FC5">
            <w:pPr>
              <w:pStyle w:val="Box"/>
              <w:spacing w:before="0" w:line="120" w:lineRule="exact"/>
            </w:pPr>
          </w:p>
        </w:tc>
      </w:tr>
      <w:tr w:rsidR="00EE4FC5" w:rsidRPr="000863A5" w:rsidTr="00162E59">
        <w:tc>
          <w:tcPr>
            <w:tcW w:w="5000" w:type="pct"/>
            <w:tcBorders>
              <w:top w:val="single" w:sz="6" w:space="0" w:color="78A22F"/>
              <w:left w:val="nil"/>
              <w:bottom w:val="nil"/>
              <w:right w:val="nil"/>
            </w:tcBorders>
          </w:tcPr>
          <w:p w:rsidR="00EE4FC5" w:rsidRPr="00626D32" w:rsidRDefault="00EE4FC5" w:rsidP="00162E59">
            <w:pPr>
              <w:pStyle w:val="BoxSpaceBelow"/>
            </w:pPr>
          </w:p>
        </w:tc>
      </w:tr>
    </w:tbl>
    <w:p w:rsidR="00A6430D" w:rsidRDefault="00A6430D" w:rsidP="00A6430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6430D" w:rsidTr="00382ABD">
        <w:trPr>
          <w:tblHeader/>
        </w:trPr>
        <w:tc>
          <w:tcPr>
            <w:tcW w:w="5000" w:type="pct"/>
            <w:tcBorders>
              <w:top w:val="single" w:sz="6" w:space="0" w:color="78A22F"/>
              <w:left w:val="nil"/>
              <w:bottom w:val="nil"/>
              <w:right w:val="nil"/>
            </w:tcBorders>
            <w:shd w:val="clear" w:color="auto" w:fill="auto"/>
          </w:tcPr>
          <w:p w:rsidR="00A6430D" w:rsidRPr="00784A05" w:rsidRDefault="00A6430D" w:rsidP="00382ABD">
            <w:pPr>
              <w:pStyle w:val="TableTitle"/>
            </w:pPr>
            <w:r>
              <w:rPr>
                <w:b w:val="0"/>
              </w:rPr>
              <w:t xml:space="preserve">Table </w:t>
            </w:r>
            <w:r w:rsidR="004325AA">
              <w:rPr>
                <w:b w:val="0"/>
                <w:noProof/>
              </w:rPr>
              <w:t>7</w:t>
            </w:r>
            <w:r>
              <w:tab/>
              <w:t>Segment power coefficients suggest economies of scale evident</w:t>
            </w:r>
            <w:r w:rsidRPr="00E968CB">
              <w:rPr>
                <w:rStyle w:val="NoteLabel"/>
                <w:b/>
              </w:rPr>
              <w:t>a</w:t>
            </w:r>
            <w:r w:rsidR="002E3A67">
              <w:rPr>
                <w:rStyle w:val="NoteLabel"/>
                <w:b/>
              </w:rPr>
              <w:t>,b</w:t>
            </w:r>
          </w:p>
        </w:tc>
      </w:tr>
      <w:tr w:rsidR="00A6430D" w:rsidTr="00382AB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0"/>
              <w:gridCol w:w="7"/>
              <w:gridCol w:w="1698"/>
              <w:gridCol w:w="1701"/>
              <w:gridCol w:w="1701"/>
              <w:gridCol w:w="1698"/>
            </w:tblGrid>
            <w:tr w:rsidR="00A6430D" w:rsidTr="00382ABD">
              <w:trPr>
                <w:tblHeader/>
              </w:trPr>
              <w:tc>
                <w:tcPr>
                  <w:tcW w:w="1000" w:type="pct"/>
                  <w:tcBorders>
                    <w:top w:val="single" w:sz="6" w:space="0" w:color="BFBFBF"/>
                    <w:bottom w:val="single" w:sz="6" w:space="0" w:color="BFBFBF"/>
                  </w:tcBorders>
                  <w:shd w:val="clear" w:color="auto" w:fill="auto"/>
                  <w:tcMar>
                    <w:top w:w="28" w:type="dxa"/>
                  </w:tcMar>
                </w:tcPr>
                <w:p w:rsidR="00A6430D" w:rsidRDefault="00A6430D" w:rsidP="00382ABD">
                  <w:pPr>
                    <w:pStyle w:val="TableColumnHeading"/>
                    <w:jc w:val="left"/>
                  </w:pPr>
                </w:p>
              </w:tc>
              <w:tc>
                <w:tcPr>
                  <w:tcW w:w="1000" w:type="pct"/>
                  <w:gridSpan w:val="2"/>
                  <w:tcBorders>
                    <w:top w:val="single" w:sz="6" w:space="0" w:color="BFBFBF"/>
                    <w:bottom w:val="single" w:sz="6" w:space="0" w:color="BFBFBF"/>
                  </w:tcBorders>
                </w:tcPr>
                <w:p w:rsidR="00A6430D" w:rsidRDefault="00A6430D" w:rsidP="00382ABD">
                  <w:pPr>
                    <w:pStyle w:val="TableColumnHeading"/>
                  </w:pPr>
                  <w:r>
                    <w:t>10</w:t>
                  </w:r>
                  <w:r w:rsidRPr="00EE4FC5">
                    <w:rPr>
                      <w:vertAlign w:val="superscript"/>
                    </w:rPr>
                    <w:t>th</w:t>
                  </w:r>
                  <w:r>
                    <w:t xml:space="preserve"> percentile</w:t>
                  </w:r>
                </w:p>
              </w:tc>
              <w:tc>
                <w:tcPr>
                  <w:tcW w:w="1000" w:type="pct"/>
                  <w:tcBorders>
                    <w:top w:val="single" w:sz="6" w:space="0" w:color="BFBFBF"/>
                    <w:bottom w:val="single" w:sz="6" w:space="0" w:color="BFBFBF"/>
                  </w:tcBorders>
                  <w:shd w:val="clear" w:color="auto" w:fill="auto"/>
                  <w:tcMar>
                    <w:top w:w="28" w:type="dxa"/>
                  </w:tcMar>
                </w:tcPr>
                <w:p w:rsidR="00A6430D" w:rsidRDefault="00A6430D" w:rsidP="00382ABD">
                  <w:pPr>
                    <w:pStyle w:val="TableColumnHeading"/>
                  </w:pPr>
                  <w:r>
                    <w:t>50</w:t>
                  </w:r>
                  <w:r w:rsidRPr="00EE4FC5">
                    <w:rPr>
                      <w:vertAlign w:val="superscript"/>
                    </w:rPr>
                    <w:t>th</w:t>
                  </w:r>
                  <w:r>
                    <w:t xml:space="preserve"> percentile</w:t>
                  </w:r>
                </w:p>
              </w:tc>
              <w:tc>
                <w:tcPr>
                  <w:tcW w:w="1000" w:type="pct"/>
                  <w:tcBorders>
                    <w:top w:val="single" w:sz="6" w:space="0" w:color="BFBFBF"/>
                    <w:bottom w:val="single" w:sz="6" w:space="0" w:color="BFBFBF"/>
                  </w:tcBorders>
                  <w:shd w:val="clear" w:color="auto" w:fill="auto"/>
                  <w:tcMar>
                    <w:top w:w="28" w:type="dxa"/>
                  </w:tcMar>
                </w:tcPr>
                <w:p w:rsidR="00A6430D" w:rsidRDefault="00A6430D" w:rsidP="00382ABD">
                  <w:pPr>
                    <w:pStyle w:val="TableColumnHeading"/>
                    <w:ind w:right="28"/>
                  </w:pPr>
                  <w:r>
                    <w:t>90</w:t>
                  </w:r>
                  <w:r w:rsidRPr="00EE4FC5">
                    <w:rPr>
                      <w:vertAlign w:val="superscript"/>
                    </w:rPr>
                    <w:t>th</w:t>
                  </w:r>
                  <w:r>
                    <w:t xml:space="preserve"> percentile</w:t>
                  </w:r>
                </w:p>
              </w:tc>
              <w:tc>
                <w:tcPr>
                  <w:tcW w:w="1000" w:type="pct"/>
                  <w:tcBorders>
                    <w:top w:val="single" w:sz="6" w:space="0" w:color="BFBFBF"/>
                    <w:bottom w:val="single" w:sz="6" w:space="0" w:color="BFBFBF"/>
                  </w:tcBorders>
                </w:tcPr>
                <w:p w:rsidR="00A6430D" w:rsidRDefault="00A6430D" w:rsidP="00382ABD">
                  <w:pPr>
                    <w:pStyle w:val="TableColumnHeading"/>
                    <w:spacing w:before="0"/>
                    <w:ind w:right="28"/>
                  </w:pPr>
                  <w:r>
                    <w:t xml:space="preserve">Marginal </w:t>
                  </w:r>
                  <w:r w:rsidR="002E3A67">
                    <w:t>effect</w:t>
                  </w:r>
                  <w:r w:rsidR="002E3A67">
                    <w:rPr>
                      <w:rStyle w:val="NoteLabel"/>
                    </w:rPr>
                    <w:t>c</w:t>
                  </w:r>
                </w:p>
              </w:tc>
            </w:tr>
            <w:tr w:rsidR="00A6430D" w:rsidTr="00382ABD">
              <w:tc>
                <w:tcPr>
                  <w:tcW w:w="1004" w:type="pct"/>
                  <w:gridSpan w:val="2"/>
                  <w:tcBorders>
                    <w:top w:val="single" w:sz="6" w:space="0" w:color="BFBFBF"/>
                  </w:tcBorders>
                  <w:shd w:val="clear" w:color="auto" w:fill="F2F2F2" w:themeFill="background1" w:themeFillShade="F2"/>
                </w:tcPr>
                <w:p w:rsidR="00A6430D" w:rsidRPr="009F3C8D" w:rsidRDefault="00A6430D" w:rsidP="00382ABD">
                  <w:pPr>
                    <w:pStyle w:val="TableUnitsRow"/>
                    <w:jc w:val="left"/>
                    <w:rPr>
                      <w:b/>
                    </w:rPr>
                  </w:pPr>
                  <w:r w:rsidRPr="009F3C8D">
                    <w:rPr>
                      <w:b/>
                    </w:rPr>
                    <w:t>Administration</w:t>
                  </w:r>
                </w:p>
              </w:tc>
              <w:tc>
                <w:tcPr>
                  <w:tcW w:w="998" w:type="pct"/>
                  <w:tcBorders>
                    <w:top w:val="single" w:sz="6" w:space="0" w:color="BFBFBF"/>
                  </w:tcBorders>
                  <w:shd w:val="clear" w:color="auto" w:fill="F2F2F2" w:themeFill="background1" w:themeFillShade="F2"/>
                </w:tcPr>
                <w:p w:rsidR="00A6430D" w:rsidRDefault="00A6430D" w:rsidP="00382ABD">
                  <w:pPr>
                    <w:pStyle w:val="TableUnitsRow"/>
                  </w:pPr>
                </w:p>
              </w:tc>
              <w:tc>
                <w:tcPr>
                  <w:tcW w:w="999" w:type="pct"/>
                  <w:tcBorders>
                    <w:top w:val="single" w:sz="6" w:space="0" w:color="BFBFBF"/>
                  </w:tcBorders>
                  <w:shd w:val="clear" w:color="auto" w:fill="F2F2F2" w:themeFill="background1" w:themeFillShade="F2"/>
                </w:tcPr>
                <w:p w:rsidR="00A6430D" w:rsidRDefault="00A6430D" w:rsidP="00382ABD">
                  <w:pPr>
                    <w:pStyle w:val="TableUnitsRow"/>
                  </w:pPr>
                </w:p>
              </w:tc>
              <w:tc>
                <w:tcPr>
                  <w:tcW w:w="999" w:type="pct"/>
                  <w:tcBorders>
                    <w:top w:val="single" w:sz="6" w:space="0" w:color="BFBFBF"/>
                  </w:tcBorders>
                  <w:shd w:val="clear" w:color="auto" w:fill="F2F2F2" w:themeFill="background1" w:themeFillShade="F2"/>
                </w:tcPr>
                <w:p w:rsidR="00A6430D" w:rsidRDefault="00A6430D" w:rsidP="00382ABD">
                  <w:pPr>
                    <w:pStyle w:val="TableUnitsRow"/>
                    <w:ind w:right="28"/>
                  </w:pPr>
                </w:p>
              </w:tc>
              <w:tc>
                <w:tcPr>
                  <w:tcW w:w="1000" w:type="pct"/>
                  <w:tcBorders>
                    <w:top w:val="single" w:sz="6" w:space="0" w:color="BFBFBF"/>
                  </w:tcBorders>
                  <w:shd w:val="clear" w:color="auto" w:fill="F2F2F2" w:themeFill="background1" w:themeFillShade="F2"/>
                </w:tcPr>
                <w:p w:rsidR="00A6430D" w:rsidRDefault="00A6430D" w:rsidP="00382ABD">
                  <w:pPr>
                    <w:pStyle w:val="TableUnitsRow"/>
                    <w:ind w:right="28"/>
                  </w:pPr>
                </w:p>
              </w:tc>
            </w:tr>
            <w:tr w:rsidR="00A6430D" w:rsidTr="00382ABD">
              <w:tc>
                <w:tcPr>
                  <w:tcW w:w="1004" w:type="pct"/>
                  <w:gridSpan w:val="2"/>
                </w:tcPr>
                <w:p w:rsidR="00A6430D" w:rsidRDefault="00A6430D" w:rsidP="00382ABD">
                  <w:pPr>
                    <w:pStyle w:val="TableBodyText"/>
                    <w:ind w:left="170"/>
                    <w:jc w:val="left"/>
                  </w:pPr>
                  <w:r>
                    <w:t>Industry</w:t>
                  </w:r>
                </w:p>
              </w:tc>
              <w:tc>
                <w:tcPr>
                  <w:tcW w:w="998" w:type="pct"/>
                </w:tcPr>
                <w:p w:rsidR="00A6430D" w:rsidRDefault="00A6430D" w:rsidP="00382ABD">
                  <w:pPr>
                    <w:pStyle w:val="TableBodyText"/>
                  </w:pPr>
                  <w:r w:rsidRPr="00DF7C20">
                    <w:t>0.</w:t>
                  </w:r>
                  <w:r w:rsidRPr="00070803">
                    <w:t>57</w:t>
                  </w:r>
                </w:p>
              </w:tc>
              <w:tc>
                <w:tcPr>
                  <w:tcW w:w="999" w:type="pct"/>
                </w:tcPr>
                <w:p w:rsidR="00A6430D" w:rsidRDefault="00A6430D" w:rsidP="00382ABD">
                  <w:pPr>
                    <w:pStyle w:val="TableBodyText"/>
                  </w:pPr>
                  <w:r w:rsidRPr="00DF7C20">
                    <w:t>0.</w:t>
                  </w:r>
                  <w:r w:rsidRPr="00070803">
                    <w:t>63</w:t>
                  </w:r>
                </w:p>
              </w:tc>
              <w:tc>
                <w:tcPr>
                  <w:tcW w:w="999" w:type="pct"/>
                </w:tcPr>
                <w:p w:rsidR="00A6430D" w:rsidRDefault="00A6430D" w:rsidP="00382ABD">
                  <w:pPr>
                    <w:pStyle w:val="TableBodyText"/>
                    <w:ind w:right="28"/>
                  </w:pPr>
                  <w:r w:rsidRPr="00DF7C20">
                    <w:t>0.</w:t>
                  </w:r>
                  <w:r>
                    <w:t>70</w:t>
                  </w:r>
                </w:p>
              </w:tc>
              <w:tc>
                <w:tcPr>
                  <w:tcW w:w="1000" w:type="pct"/>
                </w:tcPr>
                <w:p w:rsidR="00A6430D" w:rsidRPr="00DF7C20" w:rsidRDefault="00A6430D" w:rsidP="00382ABD">
                  <w:pPr>
                    <w:pStyle w:val="TableBodyText"/>
                    <w:ind w:right="28"/>
                  </w:pPr>
                  <w:r>
                    <w:t>23 %</w:t>
                  </w:r>
                </w:p>
              </w:tc>
            </w:tr>
            <w:tr w:rsidR="00A6430D" w:rsidTr="00382ABD">
              <w:tc>
                <w:tcPr>
                  <w:tcW w:w="1004" w:type="pct"/>
                  <w:gridSpan w:val="2"/>
                </w:tcPr>
                <w:p w:rsidR="00A6430D" w:rsidRDefault="00A6430D" w:rsidP="00382ABD">
                  <w:pPr>
                    <w:pStyle w:val="TableBodyText"/>
                    <w:ind w:left="170"/>
                    <w:jc w:val="left"/>
                  </w:pPr>
                  <w:r>
                    <w:t>Retail</w:t>
                  </w:r>
                </w:p>
              </w:tc>
              <w:tc>
                <w:tcPr>
                  <w:tcW w:w="998" w:type="pct"/>
                </w:tcPr>
                <w:p w:rsidR="00A6430D" w:rsidRDefault="00A6430D" w:rsidP="00382ABD">
                  <w:pPr>
                    <w:pStyle w:val="TableBodyText"/>
                  </w:pPr>
                  <w:r w:rsidRPr="00DF7C20">
                    <w:t>0.</w:t>
                  </w:r>
                  <w:r w:rsidRPr="00070803">
                    <w:t>65</w:t>
                  </w:r>
                </w:p>
              </w:tc>
              <w:tc>
                <w:tcPr>
                  <w:tcW w:w="999" w:type="pct"/>
                </w:tcPr>
                <w:p w:rsidR="00A6430D" w:rsidRDefault="00A6430D" w:rsidP="00382ABD">
                  <w:pPr>
                    <w:pStyle w:val="TableBodyText"/>
                  </w:pPr>
                  <w:r w:rsidRPr="00DF7C20">
                    <w:t>0.</w:t>
                  </w:r>
                  <w:r w:rsidRPr="00070803">
                    <w:t>69</w:t>
                  </w:r>
                </w:p>
              </w:tc>
              <w:tc>
                <w:tcPr>
                  <w:tcW w:w="999" w:type="pct"/>
                </w:tcPr>
                <w:p w:rsidR="00A6430D" w:rsidRDefault="00A6430D" w:rsidP="00382ABD">
                  <w:pPr>
                    <w:pStyle w:val="TableBodyText"/>
                    <w:ind w:right="28"/>
                  </w:pPr>
                  <w:r w:rsidRPr="00DF7C20">
                    <w:t>0.</w:t>
                  </w:r>
                  <w:r w:rsidRPr="00070803">
                    <w:t>74</w:t>
                  </w:r>
                </w:p>
              </w:tc>
              <w:tc>
                <w:tcPr>
                  <w:tcW w:w="1000" w:type="pct"/>
                </w:tcPr>
                <w:p w:rsidR="00A6430D" w:rsidRPr="00DF7C20" w:rsidRDefault="00A6430D" w:rsidP="00382ABD">
                  <w:pPr>
                    <w:pStyle w:val="TableBodyText"/>
                    <w:ind w:right="28"/>
                  </w:pPr>
                  <w:r>
                    <w:t>19 %</w:t>
                  </w:r>
                </w:p>
              </w:tc>
            </w:tr>
            <w:tr w:rsidR="00A6430D" w:rsidTr="00382ABD">
              <w:tc>
                <w:tcPr>
                  <w:tcW w:w="1004" w:type="pct"/>
                  <w:gridSpan w:val="2"/>
                  <w:shd w:val="clear" w:color="auto" w:fill="auto"/>
                </w:tcPr>
                <w:p w:rsidR="00A6430D" w:rsidRDefault="00A6430D" w:rsidP="00382ABD">
                  <w:pPr>
                    <w:pStyle w:val="TableBodyText"/>
                    <w:ind w:left="170"/>
                    <w:jc w:val="left"/>
                  </w:pPr>
                  <w:r>
                    <w:t>Corporate</w:t>
                  </w:r>
                </w:p>
              </w:tc>
              <w:tc>
                <w:tcPr>
                  <w:tcW w:w="998" w:type="pct"/>
                </w:tcPr>
                <w:p w:rsidR="00A6430D" w:rsidRDefault="00A6430D" w:rsidP="00382ABD">
                  <w:pPr>
                    <w:pStyle w:val="TableBodyText"/>
                  </w:pPr>
                  <w:r w:rsidRPr="00DF7C20">
                    <w:t>0.4</w:t>
                  </w:r>
                  <w:r>
                    <w:t>3</w:t>
                  </w:r>
                </w:p>
              </w:tc>
              <w:tc>
                <w:tcPr>
                  <w:tcW w:w="999" w:type="pct"/>
                  <w:shd w:val="clear" w:color="auto" w:fill="auto"/>
                </w:tcPr>
                <w:p w:rsidR="00A6430D" w:rsidRDefault="00A6430D" w:rsidP="00382ABD">
                  <w:pPr>
                    <w:pStyle w:val="TableBodyText"/>
                  </w:pPr>
                  <w:r w:rsidRPr="00DF7C20">
                    <w:t>0.48</w:t>
                  </w:r>
                </w:p>
              </w:tc>
              <w:tc>
                <w:tcPr>
                  <w:tcW w:w="999" w:type="pct"/>
                  <w:shd w:val="clear" w:color="auto" w:fill="auto"/>
                </w:tcPr>
                <w:p w:rsidR="00A6430D" w:rsidRDefault="00A6430D" w:rsidP="00382ABD">
                  <w:pPr>
                    <w:pStyle w:val="TableBodyText"/>
                    <w:ind w:right="28"/>
                  </w:pPr>
                  <w:r w:rsidRPr="00DF7C20">
                    <w:t>0.53</w:t>
                  </w:r>
                </w:p>
              </w:tc>
              <w:tc>
                <w:tcPr>
                  <w:tcW w:w="1000" w:type="pct"/>
                </w:tcPr>
                <w:p w:rsidR="00A6430D" w:rsidRPr="00DF7C20" w:rsidRDefault="00A6430D" w:rsidP="00382ABD">
                  <w:pPr>
                    <w:pStyle w:val="TableBodyText"/>
                    <w:ind w:right="28"/>
                  </w:pPr>
                  <w:r>
                    <w:t>30 %</w:t>
                  </w:r>
                </w:p>
              </w:tc>
            </w:tr>
            <w:tr w:rsidR="00A6430D" w:rsidTr="00382ABD">
              <w:tc>
                <w:tcPr>
                  <w:tcW w:w="1004" w:type="pct"/>
                  <w:gridSpan w:val="2"/>
                  <w:shd w:val="clear" w:color="auto" w:fill="auto"/>
                </w:tcPr>
                <w:p w:rsidR="00A6430D" w:rsidRDefault="00A6430D" w:rsidP="00382ABD">
                  <w:pPr>
                    <w:pStyle w:val="TableBodyText"/>
                    <w:ind w:left="170"/>
                    <w:jc w:val="left"/>
                  </w:pPr>
                  <w:r>
                    <w:t>Public sector</w:t>
                  </w:r>
                </w:p>
              </w:tc>
              <w:tc>
                <w:tcPr>
                  <w:tcW w:w="998" w:type="pct"/>
                </w:tcPr>
                <w:p w:rsidR="00A6430D" w:rsidRDefault="00A6430D" w:rsidP="00382ABD">
                  <w:pPr>
                    <w:pStyle w:val="TableBodyText"/>
                  </w:pPr>
                  <w:r w:rsidRPr="00DF7C20">
                    <w:t>0.</w:t>
                  </w:r>
                  <w:r w:rsidRPr="00070803">
                    <w:t>43</w:t>
                  </w:r>
                </w:p>
              </w:tc>
              <w:tc>
                <w:tcPr>
                  <w:tcW w:w="999" w:type="pct"/>
                  <w:shd w:val="clear" w:color="auto" w:fill="auto"/>
                </w:tcPr>
                <w:p w:rsidR="00A6430D" w:rsidRDefault="00A6430D" w:rsidP="00382ABD">
                  <w:pPr>
                    <w:pStyle w:val="TableBodyText"/>
                  </w:pPr>
                  <w:r w:rsidRPr="00DF7C20">
                    <w:t>0.</w:t>
                  </w:r>
                  <w:r w:rsidRPr="00070803">
                    <w:t>55</w:t>
                  </w:r>
                </w:p>
              </w:tc>
              <w:tc>
                <w:tcPr>
                  <w:tcW w:w="999" w:type="pct"/>
                  <w:shd w:val="clear" w:color="auto" w:fill="auto"/>
                </w:tcPr>
                <w:p w:rsidR="00A6430D" w:rsidRDefault="00A6430D" w:rsidP="00382ABD">
                  <w:pPr>
                    <w:pStyle w:val="TableBodyText"/>
                    <w:ind w:right="28"/>
                  </w:pPr>
                  <w:r w:rsidRPr="00DF7C20">
                    <w:t>0.</w:t>
                  </w:r>
                  <w:r w:rsidRPr="00070803">
                    <w:t>6</w:t>
                  </w:r>
                  <w:r>
                    <w:t>7</w:t>
                  </w:r>
                </w:p>
              </w:tc>
              <w:tc>
                <w:tcPr>
                  <w:tcW w:w="1000" w:type="pct"/>
                </w:tcPr>
                <w:p w:rsidR="00A6430D" w:rsidRPr="00DF7C20" w:rsidRDefault="00A6430D" w:rsidP="00382ABD">
                  <w:pPr>
                    <w:pStyle w:val="TableBodyText"/>
                    <w:ind w:right="28"/>
                  </w:pPr>
                  <w:r>
                    <w:t>27 %</w:t>
                  </w:r>
                </w:p>
              </w:tc>
            </w:tr>
            <w:tr w:rsidR="00A6430D" w:rsidTr="00382ABD">
              <w:tc>
                <w:tcPr>
                  <w:tcW w:w="1004" w:type="pct"/>
                  <w:gridSpan w:val="2"/>
                  <w:shd w:val="clear" w:color="auto" w:fill="F2F2F2" w:themeFill="background1" w:themeFillShade="F2"/>
                </w:tcPr>
                <w:p w:rsidR="00A6430D" w:rsidRDefault="00A6430D" w:rsidP="00382ABD">
                  <w:pPr>
                    <w:pStyle w:val="TableBodyText"/>
                    <w:jc w:val="left"/>
                  </w:pPr>
                  <w:r>
                    <w:rPr>
                      <w:b/>
                    </w:rPr>
                    <w:t>Investment</w:t>
                  </w:r>
                </w:p>
              </w:tc>
              <w:tc>
                <w:tcPr>
                  <w:tcW w:w="998" w:type="pct"/>
                  <w:shd w:val="clear" w:color="auto" w:fill="F2F2F2" w:themeFill="background1" w:themeFillShade="F2"/>
                </w:tcPr>
                <w:p w:rsidR="00A6430D" w:rsidRDefault="00A6430D" w:rsidP="00382ABD">
                  <w:pPr>
                    <w:pStyle w:val="TableBodyText"/>
                  </w:pPr>
                </w:p>
              </w:tc>
              <w:tc>
                <w:tcPr>
                  <w:tcW w:w="999" w:type="pct"/>
                  <w:shd w:val="clear" w:color="auto" w:fill="F2F2F2" w:themeFill="background1" w:themeFillShade="F2"/>
                </w:tcPr>
                <w:p w:rsidR="00A6430D" w:rsidRDefault="00A6430D" w:rsidP="00382ABD">
                  <w:pPr>
                    <w:pStyle w:val="TableBodyText"/>
                  </w:pPr>
                </w:p>
              </w:tc>
              <w:tc>
                <w:tcPr>
                  <w:tcW w:w="999" w:type="pct"/>
                  <w:shd w:val="clear" w:color="auto" w:fill="F2F2F2" w:themeFill="background1" w:themeFillShade="F2"/>
                </w:tcPr>
                <w:p w:rsidR="00A6430D" w:rsidRDefault="00A6430D" w:rsidP="00382ABD">
                  <w:pPr>
                    <w:pStyle w:val="TableBodyText"/>
                    <w:ind w:right="28"/>
                  </w:pPr>
                </w:p>
              </w:tc>
              <w:tc>
                <w:tcPr>
                  <w:tcW w:w="1000" w:type="pct"/>
                  <w:shd w:val="clear" w:color="auto" w:fill="F2F2F2" w:themeFill="background1" w:themeFillShade="F2"/>
                </w:tcPr>
                <w:p w:rsidR="00A6430D" w:rsidRDefault="00A6430D" w:rsidP="00382ABD">
                  <w:pPr>
                    <w:pStyle w:val="TableBodyText"/>
                    <w:ind w:right="28"/>
                  </w:pPr>
                </w:p>
              </w:tc>
            </w:tr>
            <w:tr w:rsidR="00A6430D" w:rsidTr="00382ABD">
              <w:tc>
                <w:tcPr>
                  <w:tcW w:w="1004" w:type="pct"/>
                  <w:gridSpan w:val="2"/>
                  <w:shd w:val="clear" w:color="auto" w:fill="auto"/>
                </w:tcPr>
                <w:p w:rsidR="00A6430D" w:rsidRDefault="00A6430D" w:rsidP="00382ABD">
                  <w:pPr>
                    <w:pStyle w:val="TableBodyText"/>
                    <w:ind w:left="170"/>
                    <w:jc w:val="left"/>
                  </w:pPr>
                  <w:r>
                    <w:t>Industry</w:t>
                  </w:r>
                </w:p>
              </w:tc>
              <w:tc>
                <w:tcPr>
                  <w:tcW w:w="998" w:type="pct"/>
                </w:tcPr>
                <w:p w:rsidR="00A6430D" w:rsidRDefault="00A6430D" w:rsidP="00382ABD">
                  <w:pPr>
                    <w:pStyle w:val="TableBodyText"/>
                  </w:pPr>
                  <w:r w:rsidRPr="00D5691D">
                    <w:t>0.</w:t>
                  </w:r>
                  <w:r>
                    <w:t>80</w:t>
                  </w:r>
                </w:p>
              </w:tc>
              <w:tc>
                <w:tcPr>
                  <w:tcW w:w="999" w:type="pct"/>
                  <w:shd w:val="clear" w:color="auto" w:fill="auto"/>
                </w:tcPr>
                <w:p w:rsidR="00A6430D" w:rsidRDefault="00A6430D" w:rsidP="00382ABD">
                  <w:pPr>
                    <w:pStyle w:val="TableBodyText"/>
                  </w:pPr>
                  <w:r w:rsidRPr="009326A0">
                    <w:t>0.89</w:t>
                  </w:r>
                </w:p>
              </w:tc>
              <w:tc>
                <w:tcPr>
                  <w:tcW w:w="999" w:type="pct"/>
                  <w:shd w:val="clear" w:color="auto" w:fill="auto"/>
                </w:tcPr>
                <w:p w:rsidR="00A6430D" w:rsidRDefault="00A6430D" w:rsidP="00382ABD">
                  <w:pPr>
                    <w:pStyle w:val="TableBodyText"/>
                    <w:ind w:right="28"/>
                  </w:pPr>
                  <w:r w:rsidRPr="009326A0">
                    <w:t>0.9</w:t>
                  </w:r>
                  <w:r>
                    <w:t>9</w:t>
                  </w:r>
                </w:p>
              </w:tc>
              <w:tc>
                <w:tcPr>
                  <w:tcW w:w="1000" w:type="pct"/>
                </w:tcPr>
                <w:p w:rsidR="00A6430D" w:rsidRPr="009326A0" w:rsidRDefault="00A6430D" w:rsidP="00382ABD">
                  <w:pPr>
                    <w:pStyle w:val="TableBodyText"/>
                    <w:ind w:right="28"/>
                  </w:pPr>
                  <w:r>
                    <w:t>7 %</w:t>
                  </w:r>
                </w:p>
              </w:tc>
            </w:tr>
            <w:tr w:rsidR="00A6430D" w:rsidTr="00382ABD">
              <w:tc>
                <w:tcPr>
                  <w:tcW w:w="1004" w:type="pct"/>
                  <w:gridSpan w:val="2"/>
                  <w:shd w:val="clear" w:color="auto" w:fill="auto"/>
                </w:tcPr>
                <w:p w:rsidR="00A6430D" w:rsidRDefault="00A6430D" w:rsidP="00382ABD">
                  <w:pPr>
                    <w:pStyle w:val="TableBodyText"/>
                    <w:ind w:left="170"/>
                    <w:jc w:val="left"/>
                  </w:pPr>
                  <w:r>
                    <w:t>Retail</w:t>
                  </w:r>
                </w:p>
              </w:tc>
              <w:tc>
                <w:tcPr>
                  <w:tcW w:w="998" w:type="pct"/>
                </w:tcPr>
                <w:p w:rsidR="00A6430D" w:rsidRDefault="00A6430D" w:rsidP="00382ABD">
                  <w:pPr>
                    <w:pStyle w:val="TableBodyText"/>
                  </w:pPr>
                  <w:r w:rsidRPr="00D5691D">
                    <w:t>0.</w:t>
                  </w:r>
                  <w:r w:rsidRPr="009326A0">
                    <w:t>53</w:t>
                  </w:r>
                </w:p>
              </w:tc>
              <w:tc>
                <w:tcPr>
                  <w:tcW w:w="999" w:type="pct"/>
                  <w:shd w:val="clear" w:color="auto" w:fill="auto"/>
                </w:tcPr>
                <w:p w:rsidR="00A6430D" w:rsidRDefault="00A6430D" w:rsidP="00382ABD">
                  <w:pPr>
                    <w:pStyle w:val="TableBodyText"/>
                  </w:pPr>
                  <w:r w:rsidRPr="00D5691D">
                    <w:t>0.</w:t>
                  </w:r>
                  <w:r w:rsidRPr="009326A0">
                    <w:t>59</w:t>
                  </w:r>
                </w:p>
              </w:tc>
              <w:tc>
                <w:tcPr>
                  <w:tcW w:w="999" w:type="pct"/>
                  <w:shd w:val="clear" w:color="auto" w:fill="auto"/>
                </w:tcPr>
                <w:p w:rsidR="00A6430D" w:rsidRDefault="00A6430D" w:rsidP="00382ABD">
                  <w:pPr>
                    <w:pStyle w:val="TableBodyText"/>
                    <w:ind w:right="28"/>
                  </w:pPr>
                  <w:r w:rsidRPr="00D5691D">
                    <w:t>0.</w:t>
                  </w:r>
                  <w:r w:rsidRPr="009326A0">
                    <w:t>65</w:t>
                  </w:r>
                </w:p>
              </w:tc>
              <w:tc>
                <w:tcPr>
                  <w:tcW w:w="1000" w:type="pct"/>
                </w:tcPr>
                <w:p w:rsidR="00A6430D" w:rsidRPr="00D5691D" w:rsidRDefault="00A6430D" w:rsidP="00382ABD">
                  <w:pPr>
                    <w:pStyle w:val="TableBodyText"/>
                    <w:ind w:right="28"/>
                  </w:pPr>
                  <w:r>
                    <w:t>25 %</w:t>
                  </w:r>
                </w:p>
              </w:tc>
            </w:tr>
            <w:tr w:rsidR="00A6430D" w:rsidTr="00382ABD">
              <w:tc>
                <w:tcPr>
                  <w:tcW w:w="1004" w:type="pct"/>
                  <w:gridSpan w:val="2"/>
                  <w:shd w:val="clear" w:color="auto" w:fill="auto"/>
                </w:tcPr>
                <w:p w:rsidR="00A6430D" w:rsidRDefault="00A6430D" w:rsidP="00382ABD">
                  <w:pPr>
                    <w:pStyle w:val="TableBodyText"/>
                    <w:ind w:left="170"/>
                    <w:jc w:val="left"/>
                  </w:pPr>
                  <w:r>
                    <w:t>Corporate</w:t>
                  </w:r>
                </w:p>
              </w:tc>
              <w:tc>
                <w:tcPr>
                  <w:tcW w:w="998" w:type="pct"/>
                </w:tcPr>
                <w:p w:rsidR="00A6430D" w:rsidRDefault="00A6430D" w:rsidP="00382ABD">
                  <w:pPr>
                    <w:pStyle w:val="TableBodyText"/>
                  </w:pPr>
                  <w:r w:rsidRPr="00D5691D">
                    <w:t>0.70</w:t>
                  </w:r>
                </w:p>
              </w:tc>
              <w:tc>
                <w:tcPr>
                  <w:tcW w:w="999" w:type="pct"/>
                  <w:shd w:val="clear" w:color="auto" w:fill="auto"/>
                </w:tcPr>
                <w:p w:rsidR="00A6430D" w:rsidRDefault="00A6430D" w:rsidP="00382ABD">
                  <w:pPr>
                    <w:pStyle w:val="TableBodyText"/>
                  </w:pPr>
                  <w:r w:rsidRPr="00D5691D">
                    <w:t>0.76</w:t>
                  </w:r>
                </w:p>
              </w:tc>
              <w:tc>
                <w:tcPr>
                  <w:tcW w:w="999" w:type="pct"/>
                  <w:shd w:val="clear" w:color="auto" w:fill="auto"/>
                </w:tcPr>
                <w:p w:rsidR="00A6430D" w:rsidRDefault="00A6430D" w:rsidP="00382ABD">
                  <w:pPr>
                    <w:pStyle w:val="TableBodyText"/>
                    <w:ind w:right="28"/>
                  </w:pPr>
                  <w:r w:rsidRPr="00D5691D">
                    <w:t>0.8</w:t>
                  </w:r>
                  <w:r>
                    <w:t>4</w:t>
                  </w:r>
                </w:p>
              </w:tc>
              <w:tc>
                <w:tcPr>
                  <w:tcW w:w="1000" w:type="pct"/>
                </w:tcPr>
                <w:p w:rsidR="00A6430D" w:rsidRPr="00D5691D" w:rsidRDefault="00A6430D" w:rsidP="00382ABD">
                  <w:pPr>
                    <w:pStyle w:val="TableBodyText"/>
                    <w:ind w:right="28"/>
                  </w:pPr>
                  <w:r>
                    <w:t>15 %</w:t>
                  </w:r>
                </w:p>
              </w:tc>
            </w:tr>
            <w:tr w:rsidR="00A6430D" w:rsidRPr="000D4C74" w:rsidTr="00382ABD">
              <w:tc>
                <w:tcPr>
                  <w:tcW w:w="1004" w:type="pct"/>
                  <w:gridSpan w:val="2"/>
                  <w:tcBorders>
                    <w:bottom w:val="single" w:sz="6" w:space="0" w:color="BFBFBF"/>
                  </w:tcBorders>
                  <w:shd w:val="clear" w:color="auto" w:fill="auto"/>
                </w:tcPr>
                <w:p w:rsidR="00A6430D" w:rsidRDefault="00A6430D" w:rsidP="00382ABD">
                  <w:pPr>
                    <w:pStyle w:val="TableBodyText"/>
                    <w:ind w:left="170"/>
                    <w:jc w:val="left"/>
                  </w:pPr>
                  <w:r>
                    <w:t>Public sector</w:t>
                  </w:r>
                </w:p>
              </w:tc>
              <w:tc>
                <w:tcPr>
                  <w:tcW w:w="998" w:type="pct"/>
                  <w:tcBorders>
                    <w:bottom w:val="single" w:sz="6" w:space="0" w:color="BFBFBF"/>
                  </w:tcBorders>
                </w:tcPr>
                <w:p w:rsidR="00A6430D" w:rsidRDefault="00A6430D" w:rsidP="00382ABD">
                  <w:pPr>
                    <w:pStyle w:val="TableBodyText"/>
                  </w:pPr>
                  <w:r w:rsidRPr="00D5691D">
                    <w:t>0.</w:t>
                  </w:r>
                  <w:r w:rsidRPr="009326A0">
                    <w:t>41</w:t>
                  </w:r>
                </w:p>
              </w:tc>
              <w:tc>
                <w:tcPr>
                  <w:tcW w:w="999" w:type="pct"/>
                  <w:tcBorders>
                    <w:bottom w:val="single" w:sz="6" w:space="0" w:color="BFBFBF"/>
                  </w:tcBorders>
                  <w:shd w:val="clear" w:color="auto" w:fill="auto"/>
                </w:tcPr>
                <w:p w:rsidR="00A6430D" w:rsidRDefault="00A6430D" w:rsidP="00382ABD">
                  <w:pPr>
                    <w:pStyle w:val="TableBodyText"/>
                  </w:pPr>
                  <w:r w:rsidRPr="00D5691D">
                    <w:t>0.</w:t>
                  </w:r>
                  <w:r w:rsidRPr="009326A0">
                    <w:t>5</w:t>
                  </w:r>
                  <w:r>
                    <w:t>3</w:t>
                  </w:r>
                </w:p>
              </w:tc>
              <w:tc>
                <w:tcPr>
                  <w:tcW w:w="999" w:type="pct"/>
                  <w:tcBorders>
                    <w:bottom w:val="single" w:sz="6" w:space="0" w:color="BFBFBF"/>
                  </w:tcBorders>
                  <w:shd w:val="clear" w:color="auto" w:fill="auto"/>
                </w:tcPr>
                <w:p w:rsidR="00A6430D" w:rsidRDefault="00A6430D" w:rsidP="00382ABD">
                  <w:pPr>
                    <w:pStyle w:val="TableBodyText"/>
                    <w:ind w:right="28"/>
                  </w:pPr>
                  <w:r w:rsidRPr="00D5691D">
                    <w:t>0.</w:t>
                  </w:r>
                  <w:r w:rsidRPr="009326A0">
                    <w:t>64</w:t>
                  </w:r>
                </w:p>
              </w:tc>
              <w:tc>
                <w:tcPr>
                  <w:tcW w:w="1000" w:type="pct"/>
                  <w:tcBorders>
                    <w:bottom w:val="single" w:sz="6" w:space="0" w:color="BFBFBF"/>
                  </w:tcBorders>
                </w:tcPr>
                <w:p w:rsidR="00A6430D" w:rsidRPr="000D4C74" w:rsidRDefault="00A6430D" w:rsidP="00382ABD">
                  <w:pPr>
                    <w:pStyle w:val="TableBodyText"/>
                    <w:ind w:right="28"/>
                    <w:rPr>
                      <w:b/>
                      <w:vanish/>
                    </w:rPr>
                  </w:pPr>
                  <w:r>
                    <w:t>28 %</w:t>
                  </w:r>
                </w:p>
              </w:tc>
            </w:tr>
          </w:tbl>
          <w:p w:rsidR="00A6430D" w:rsidRDefault="00A6430D" w:rsidP="00382ABD">
            <w:pPr>
              <w:pStyle w:val="Box"/>
            </w:pPr>
          </w:p>
        </w:tc>
      </w:tr>
      <w:tr w:rsidR="00A6430D" w:rsidTr="00382ABD">
        <w:tc>
          <w:tcPr>
            <w:tcW w:w="5000" w:type="pct"/>
            <w:tcBorders>
              <w:top w:val="nil"/>
              <w:left w:val="nil"/>
              <w:bottom w:val="nil"/>
              <w:right w:val="nil"/>
            </w:tcBorders>
            <w:shd w:val="clear" w:color="auto" w:fill="auto"/>
          </w:tcPr>
          <w:p w:rsidR="00A6430D" w:rsidRPr="00642256" w:rsidRDefault="00A6430D" w:rsidP="00382ABD">
            <w:pPr>
              <w:pStyle w:val="Note"/>
              <w:rPr>
                <w:i/>
                <w:spacing w:val="-6"/>
              </w:rPr>
            </w:pPr>
            <w:r w:rsidRPr="00642256">
              <w:rPr>
                <w:rStyle w:val="NoteLabel"/>
                <w:spacing w:val="-6"/>
              </w:rPr>
              <w:t>a</w:t>
            </w:r>
            <w:r w:rsidRPr="00642256">
              <w:rPr>
                <w:spacing w:val="-6"/>
              </w:rPr>
              <w:t xml:space="preserve"> A power coefficient of less than one indicates economies of scale. The lower the coefficient, the stronger the economies. </w:t>
            </w:r>
            <w:r w:rsidRPr="00642256">
              <w:rPr>
                <w:rStyle w:val="NoteLabel"/>
                <w:spacing w:val="-6"/>
              </w:rPr>
              <w:t>b</w:t>
            </w:r>
            <w:r w:rsidRPr="00642256">
              <w:rPr>
                <w:spacing w:val="-6"/>
              </w:rPr>
              <w:t xml:space="preserve"> </w:t>
            </w:r>
            <w:r w:rsidR="00B0140C" w:rsidRPr="00642256">
              <w:rPr>
                <w:spacing w:val="-6"/>
              </w:rPr>
              <w:t>M</w:t>
            </w:r>
            <w:r w:rsidR="002E3A67" w:rsidRPr="00642256">
              <w:rPr>
                <w:spacing w:val="-6"/>
              </w:rPr>
              <w:t>ultiple power coefficient</w:t>
            </w:r>
            <w:r w:rsidR="00B0140C" w:rsidRPr="00642256">
              <w:rPr>
                <w:spacing w:val="-6"/>
              </w:rPr>
              <w:t>s,</w:t>
            </w:r>
            <w:r w:rsidR="002E3A67" w:rsidRPr="00642256">
              <w:rPr>
                <w:spacing w:val="-6"/>
              </w:rPr>
              <w:t xml:space="preserve"> spanning a range of values</w:t>
            </w:r>
            <w:r w:rsidR="00B0140C" w:rsidRPr="00642256">
              <w:rPr>
                <w:spacing w:val="-6"/>
              </w:rPr>
              <w:t>,</w:t>
            </w:r>
            <w:r w:rsidR="002E3A67" w:rsidRPr="00642256">
              <w:rPr>
                <w:spacing w:val="-6"/>
              </w:rPr>
              <w:t xml:space="preserve"> are generated </w:t>
            </w:r>
            <w:r w:rsidR="00B0140C" w:rsidRPr="00642256">
              <w:rPr>
                <w:spacing w:val="-6"/>
              </w:rPr>
              <w:t xml:space="preserve">for each segment </w:t>
            </w:r>
            <w:r w:rsidR="002E3A67" w:rsidRPr="00642256">
              <w:rPr>
                <w:spacing w:val="-6"/>
              </w:rPr>
              <w:t>by the modelling, reflecting the fact that the coefficients are estimated with uncertainty. Values f</w:t>
            </w:r>
            <w:r w:rsidR="00B0140C" w:rsidRPr="00642256">
              <w:rPr>
                <w:spacing w:val="-6"/>
              </w:rPr>
              <w:t>rom different percentiles of that</w:t>
            </w:r>
            <w:r w:rsidR="002E3A67" w:rsidRPr="00642256">
              <w:rPr>
                <w:spacing w:val="-6"/>
              </w:rPr>
              <w:t xml:space="preserve"> distribution indicate that uncertainty.</w:t>
            </w:r>
            <w:r w:rsidR="004F0EDB" w:rsidRPr="00642256">
              <w:rPr>
                <w:spacing w:val="-6"/>
              </w:rPr>
              <w:t xml:space="preserve"> The </w:t>
            </w:r>
            <w:r w:rsidR="00B0140C" w:rsidRPr="00642256">
              <w:rPr>
                <w:spacing w:val="-6"/>
              </w:rPr>
              <w:t>value at the 90</w:t>
            </w:r>
            <w:r w:rsidR="00B0140C" w:rsidRPr="00642256">
              <w:rPr>
                <w:spacing w:val="-6"/>
                <w:vertAlign w:val="superscript"/>
              </w:rPr>
              <w:t>th</w:t>
            </w:r>
            <w:r w:rsidR="00B0140C" w:rsidRPr="00642256">
              <w:rPr>
                <w:spacing w:val="-6"/>
              </w:rPr>
              <w:t xml:space="preserve"> percentile, for example, can be interpreted as meaning that ‘</w:t>
            </w:r>
            <w:r w:rsidR="00B0140C" w:rsidRPr="00642256">
              <w:rPr>
                <w:i/>
                <w:spacing w:val="-6"/>
              </w:rPr>
              <w:t>there is only a 10 per cent probability that the true parameter value is greater than this figure</w:t>
            </w:r>
            <w:r w:rsidR="00B0140C" w:rsidRPr="00642256">
              <w:rPr>
                <w:spacing w:val="-6"/>
              </w:rPr>
              <w:t>’.</w:t>
            </w:r>
            <w:r w:rsidR="002E3A67" w:rsidRPr="00642256">
              <w:rPr>
                <w:spacing w:val="-6"/>
              </w:rPr>
              <w:t xml:space="preserve"> </w:t>
            </w:r>
            <w:r w:rsidR="002E3A67" w:rsidRPr="00642256">
              <w:rPr>
                <w:rStyle w:val="NoteLabel"/>
                <w:spacing w:val="-6"/>
              </w:rPr>
              <w:t>c</w:t>
            </w:r>
            <w:r w:rsidRPr="00642256">
              <w:rPr>
                <w:spacing w:val="-6"/>
              </w:rPr>
              <w:t xml:space="preserve"> The percentage reduction in </w:t>
            </w:r>
            <w:r w:rsidR="00102C0B">
              <w:rPr>
                <w:spacing w:val="-6"/>
              </w:rPr>
              <w:t xml:space="preserve">average </w:t>
            </w:r>
            <w:r w:rsidRPr="00642256">
              <w:rPr>
                <w:spacing w:val="-6"/>
              </w:rPr>
              <w:t>expenses (using median estimates) of a fund increasing in size from $500 million to $1 billion.</w:t>
            </w:r>
          </w:p>
        </w:tc>
      </w:tr>
      <w:tr w:rsidR="00A6430D" w:rsidTr="00382ABD">
        <w:tc>
          <w:tcPr>
            <w:tcW w:w="5000" w:type="pct"/>
            <w:tcBorders>
              <w:top w:val="nil"/>
              <w:left w:val="nil"/>
              <w:bottom w:val="nil"/>
              <w:right w:val="nil"/>
            </w:tcBorders>
            <w:shd w:val="clear" w:color="auto" w:fill="auto"/>
          </w:tcPr>
          <w:tbl>
            <w:tblPr>
              <w:tblW w:w="0" w:type="auto"/>
              <w:tblLook w:val="04A0" w:firstRow="1" w:lastRow="0" w:firstColumn="1" w:lastColumn="0" w:noHBand="0" w:noVBand="1"/>
            </w:tblPr>
            <w:tblGrid>
              <w:gridCol w:w="1559"/>
              <w:gridCol w:w="6935"/>
            </w:tblGrid>
            <w:tr w:rsidR="00A6430D" w:rsidTr="00382ABD">
              <w:trPr>
                <w:tblHeader/>
              </w:trPr>
              <w:tc>
                <w:tcPr>
                  <w:tcW w:w="1559" w:type="dxa"/>
                  <w:shd w:val="clear" w:color="auto" w:fill="F2F2F2" w:themeFill="background1" w:themeFillShade="F2"/>
                </w:tcPr>
                <w:p w:rsidR="00A6430D" w:rsidRDefault="00A6430D" w:rsidP="00382ABD">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A6430D" w:rsidRDefault="00A6430D" w:rsidP="00382ABD">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w:t>
                  </w:r>
                </w:p>
              </w:tc>
            </w:tr>
            <w:tr w:rsidR="00A6430D" w:rsidRPr="00AF556C" w:rsidTr="00382ABD">
              <w:tc>
                <w:tcPr>
                  <w:tcW w:w="1559" w:type="dxa"/>
                  <w:shd w:val="clear" w:color="auto" w:fill="F2F2F2" w:themeFill="background1" w:themeFillShade="F2"/>
                </w:tcPr>
                <w:p w:rsidR="00A6430D" w:rsidRDefault="00A6430D" w:rsidP="00382ABD">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A6430D" w:rsidRPr="00AF556C" w:rsidRDefault="00A6430D" w:rsidP="00382ABD">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05 respectively. Excludes funds with less than two years of data.</w:t>
                  </w:r>
                </w:p>
              </w:tc>
            </w:tr>
          </w:tbl>
          <w:p w:rsidR="00A6430D" w:rsidRDefault="00A6430D" w:rsidP="00382ABD">
            <w:pPr>
              <w:pStyle w:val="Source"/>
            </w:pPr>
          </w:p>
        </w:tc>
      </w:tr>
      <w:tr w:rsidR="00A6430D" w:rsidTr="00382ABD">
        <w:tc>
          <w:tcPr>
            <w:tcW w:w="5000" w:type="pct"/>
            <w:tcBorders>
              <w:top w:val="nil"/>
              <w:left w:val="nil"/>
              <w:bottom w:val="single" w:sz="6" w:space="0" w:color="78A22F"/>
              <w:right w:val="nil"/>
            </w:tcBorders>
            <w:shd w:val="clear" w:color="auto" w:fill="auto"/>
          </w:tcPr>
          <w:p w:rsidR="00A6430D" w:rsidRDefault="00A6430D" w:rsidP="00382ABD">
            <w:pPr>
              <w:pStyle w:val="Box"/>
              <w:spacing w:before="0" w:line="120" w:lineRule="exact"/>
            </w:pPr>
          </w:p>
        </w:tc>
      </w:tr>
      <w:tr w:rsidR="00A6430D" w:rsidRPr="000863A5" w:rsidTr="00382ABD">
        <w:tc>
          <w:tcPr>
            <w:tcW w:w="5000" w:type="pct"/>
            <w:tcBorders>
              <w:top w:val="single" w:sz="6" w:space="0" w:color="78A22F"/>
              <w:left w:val="nil"/>
              <w:bottom w:val="nil"/>
              <w:right w:val="nil"/>
            </w:tcBorders>
          </w:tcPr>
          <w:p w:rsidR="00A6430D" w:rsidRPr="00626D32" w:rsidRDefault="00A6430D" w:rsidP="00382ABD">
            <w:pPr>
              <w:pStyle w:val="BoxSpaceBelow"/>
            </w:pPr>
          </w:p>
        </w:tc>
      </w:tr>
    </w:tbl>
    <w:p w:rsidR="00320BBB" w:rsidRPr="00C33A79" w:rsidRDefault="000605DA" w:rsidP="00320BBB">
      <w:pPr>
        <w:pStyle w:val="BodyText"/>
      </w:pPr>
      <w:r>
        <w:lastRenderedPageBreak/>
        <w:t>And even small falls in average costs for funds that have already achieved considerable scale (and are typically on a flatter section of their cost curve), would translate into material savings.</w:t>
      </w:r>
      <w:r w:rsidR="00320BBB" w:rsidDel="00323C19">
        <w:t xml:space="preserve"> For example, a </w:t>
      </w:r>
      <w:r w:rsidR="00320BBB">
        <w:t>one</w:t>
      </w:r>
      <w:r w:rsidR="00320BBB" w:rsidDel="00323C19">
        <w:t xml:space="preserve"> basis point reduction per year in administration expense ratios </w:t>
      </w:r>
      <w:r w:rsidR="009B2279">
        <w:t xml:space="preserve">for funds with assets </w:t>
      </w:r>
      <w:r>
        <w:t xml:space="preserve">of </w:t>
      </w:r>
      <w:r w:rsidR="009B2279">
        <w:t xml:space="preserve">over $10 billion </w:t>
      </w:r>
      <w:r w:rsidR="00320BBB">
        <w:t xml:space="preserve">(currently about </w:t>
      </w:r>
      <w:r w:rsidR="009B2279">
        <w:t>3</w:t>
      </w:r>
      <w:r w:rsidR="00320BBB">
        <w:t xml:space="preserve">5 basis points on average) </w:t>
      </w:r>
      <w:r w:rsidR="00320BBB" w:rsidDel="00323C19">
        <w:t xml:space="preserve">would translate to </w:t>
      </w:r>
      <w:r w:rsidR="00320BBB">
        <w:t>around</w:t>
      </w:r>
      <w:r w:rsidR="00320BBB" w:rsidDel="00323C19">
        <w:t xml:space="preserve"> $</w:t>
      </w:r>
      <w:r w:rsidR="009B2279">
        <w:t>130</w:t>
      </w:r>
      <w:r w:rsidR="009B2279" w:rsidDel="00323C19">
        <w:t> </w:t>
      </w:r>
      <w:r w:rsidR="00320BBB" w:rsidDel="00323C19">
        <w:t>million in savings per year.</w:t>
      </w:r>
    </w:p>
    <w:p w:rsidR="00320BBB" w:rsidRDefault="00320BBB" w:rsidP="00320BBB">
      <w:pPr>
        <w:pStyle w:val="BodyText"/>
      </w:pPr>
      <w:r>
        <w:t>The findings of economies of scale in administration expenses is consistent with past studies (table 1). Cummings (2016) found evidence of economies of scale in operating expenses for both retail and not</w:t>
      </w:r>
      <w:r w:rsidR="00F640C8">
        <w:noBreakHyphen/>
      </w:r>
      <w:r>
        <w:t>for</w:t>
      </w:r>
      <w:r w:rsidR="00F640C8">
        <w:noBreakHyphen/>
      </w:r>
      <w:r>
        <w:t>profit funds as assets increase, and Minifie, Cameron and Savage (2015) had similar</w:t>
      </w:r>
      <w:r w:rsidDel="00E84DEC">
        <w:t xml:space="preserve"> </w:t>
      </w:r>
      <w:r>
        <w:t>findings as the number of member accounts rise. For investment expenses, Higgs and Worthington (2012) found economies of scale across the system (however their results only utilise a single year of data).</w:t>
      </w:r>
    </w:p>
    <w:p w:rsidR="009E0836" w:rsidRDefault="009E0836" w:rsidP="009E083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836" w:rsidTr="00920732">
        <w:trPr>
          <w:tblHeader/>
        </w:trPr>
        <w:tc>
          <w:tcPr>
            <w:tcW w:w="5000" w:type="pct"/>
            <w:tcBorders>
              <w:top w:val="single" w:sz="6" w:space="0" w:color="78A22F"/>
              <w:left w:val="nil"/>
              <w:bottom w:val="nil"/>
              <w:right w:val="nil"/>
            </w:tcBorders>
            <w:shd w:val="clear" w:color="auto" w:fill="F2F2F2"/>
          </w:tcPr>
          <w:p w:rsidR="009E0836" w:rsidRDefault="009E0836" w:rsidP="00920732">
            <w:pPr>
              <w:pStyle w:val="BoxTitle"/>
            </w:pPr>
            <w:r>
              <w:rPr>
                <w:b w:val="0"/>
              </w:rPr>
              <w:t xml:space="preserve">Box </w:t>
            </w:r>
            <w:bookmarkStart w:id="34" w:name="OLE_LINK19"/>
            <w:r w:rsidR="004325AA">
              <w:rPr>
                <w:b w:val="0"/>
                <w:noProof/>
              </w:rPr>
              <w:t>5</w:t>
            </w:r>
            <w:bookmarkEnd w:id="34"/>
            <w:r>
              <w:tab/>
              <w:t>How are Bayesian outputs interpreted?</w:t>
            </w:r>
          </w:p>
        </w:tc>
      </w:tr>
      <w:tr w:rsidR="009E0836" w:rsidTr="00920732">
        <w:tc>
          <w:tcPr>
            <w:tcW w:w="5000" w:type="pct"/>
            <w:tcBorders>
              <w:top w:val="nil"/>
              <w:left w:val="nil"/>
              <w:bottom w:val="nil"/>
              <w:right w:val="nil"/>
            </w:tcBorders>
            <w:shd w:val="clear" w:color="auto" w:fill="F2F2F2"/>
          </w:tcPr>
          <w:p w:rsidR="009E0836" w:rsidRPr="00642256" w:rsidRDefault="009E0836" w:rsidP="008F5114">
            <w:pPr>
              <w:pStyle w:val="Box"/>
              <w:rPr>
                <w:spacing w:val="-4"/>
                <w:sz w:val="19"/>
                <w:szCs w:val="19"/>
              </w:rPr>
            </w:pPr>
            <w:r w:rsidRPr="00642256">
              <w:rPr>
                <w:spacing w:val="-4"/>
                <w:sz w:val="19"/>
                <w:szCs w:val="19"/>
              </w:rPr>
              <w:t>Bayesian methods deliver parameter estimates spanning a range of possible values.</w:t>
            </w:r>
            <w:r w:rsidR="002A3076" w:rsidRPr="00642256">
              <w:rPr>
                <w:spacing w:val="-4"/>
                <w:sz w:val="19"/>
                <w:szCs w:val="19"/>
              </w:rPr>
              <w:t xml:space="preserve"> </w:t>
            </w:r>
            <w:r w:rsidR="006875D6" w:rsidRPr="00642256">
              <w:rPr>
                <w:spacing w:val="-4"/>
                <w:sz w:val="19"/>
                <w:szCs w:val="19"/>
              </w:rPr>
              <w:t>The choice of</w:t>
            </w:r>
            <w:r w:rsidR="002A3076" w:rsidRPr="00642256">
              <w:rPr>
                <w:spacing w:val="-4"/>
                <w:sz w:val="19"/>
                <w:szCs w:val="19"/>
              </w:rPr>
              <w:t xml:space="preserve"> </w:t>
            </w:r>
            <w:r w:rsidR="006875D6" w:rsidRPr="00642256">
              <w:rPr>
                <w:spacing w:val="-4"/>
                <w:sz w:val="19"/>
                <w:szCs w:val="19"/>
              </w:rPr>
              <w:t xml:space="preserve">which </w:t>
            </w:r>
            <w:r w:rsidR="002A3076" w:rsidRPr="00642256">
              <w:rPr>
                <w:spacing w:val="-4"/>
                <w:sz w:val="19"/>
                <w:szCs w:val="19"/>
              </w:rPr>
              <w:t xml:space="preserve">statistic to </w:t>
            </w:r>
            <w:r w:rsidR="006875D6" w:rsidRPr="00642256">
              <w:rPr>
                <w:spacing w:val="-4"/>
                <w:sz w:val="19"/>
                <w:szCs w:val="19"/>
              </w:rPr>
              <w:t>present</w:t>
            </w:r>
            <w:r w:rsidR="002A3076" w:rsidRPr="00642256">
              <w:rPr>
                <w:spacing w:val="-4"/>
                <w:sz w:val="19"/>
                <w:szCs w:val="19"/>
              </w:rPr>
              <w:t xml:space="preserve"> </w:t>
            </w:r>
            <w:r w:rsidR="008F5114" w:rsidRPr="00642256">
              <w:rPr>
                <w:spacing w:val="-4"/>
                <w:sz w:val="19"/>
                <w:szCs w:val="19"/>
              </w:rPr>
              <w:t xml:space="preserve">requires </w:t>
            </w:r>
            <w:r w:rsidR="006875D6" w:rsidRPr="00642256">
              <w:rPr>
                <w:spacing w:val="-4"/>
                <w:sz w:val="19"/>
                <w:szCs w:val="19"/>
              </w:rPr>
              <w:t>judgment</w:t>
            </w:r>
            <w:r w:rsidR="002A3076" w:rsidRPr="00642256">
              <w:rPr>
                <w:spacing w:val="-4"/>
                <w:sz w:val="19"/>
                <w:szCs w:val="19"/>
              </w:rPr>
              <w:t>. In this work</w:t>
            </w:r>
            <w:r w:rsidR="007E3874" w:rsidRPr="00642256">
              <w:rPr>
                <w:spacing w:val="-4"/>
                <w:sz w:val="19"/>
                <w:szCs w:val="19"/>
              </w:rPr>
              <w:t>,</w:t>
            </w:r>
            <w:r w:rsidR="008F5114" w:rsidRPr="00642256">
              <w:rPr>
                <w:spacing w:val="-4"/>
                <w:sz w:val="19"/>
                <w:szCs w:val="19"/>
              </w:rPr>
              <w:t xml:space="preserve"> </w:t>
            </w:r>
            <w:r w:rsidR="002A3076" w:rsidRPr="00642256">
              <w:rPr>
                <w:spacing w:val="-4"/>
                <w:sz w:val="19"/>
                <w:szCs w:val="19"/>
              </w:rPr>
              <w:t>t</w:t>
            </w:r>
            <w:r w:rsidRPr="00642256">
              <w:rPr>
                <w:spacing w:val="-4"/>
                <w:sz w:val="19"/>
                <w:szCs w:val="19"/>
              </w:rPr>
              <w:t>he median (50</w:t>
            </w:r>
            <w:r w:rsidRPr="00642256">
              <w:rPr>
                <w:spacing w:val="-4"/>
                <w:sz w:val="19"/>
                <w:szCs w:val="19"/>
                <w:vertAlign w:val="superscript"/>
              </w:rPr>
              <w:t>th</w:t>
            </w:r>
            <w:r w:rsidRPr="00642256">
              <w:rPr>
                <w:spacing w:val="-4"/>
                <w:sz w:val="19"/>
                <w:szCs w:val="19"/>
              </w:rPr>
              <w:t xml:space="preserve"> percentile) </w:t>
            </w:r>
            <w:r w:rsidR="002A3076" w:rsidRPr="00642256">
              <w:rPr>
                <w:spacing w:val="-4"/>
                <w:sz w:val="19"/>
                <w:szCs w:val="19"/>
              </w:rPr>
              <w:t xml:space="preserve">is preferred as it represents outcomes </w:t>
            </w:r>
            <w:r w:rsidR="006875D6" w:rsidRPr="00642256">
              <w:rPr>
                <w:spacing w:val="-4"/>
                <w:sz w:val="19"/>
                <w:szCs w:val="19"/>
              </w:rPr>
              <w:t xml:space="preserve">with a reasonable chance of occurring and is not </w:t>
            </w:r>
            <w:r w:rsidR="002A3076" w:rsidRPr="00642256">
              <w:rPr>
                <w:spacing w:val="-4"/>
                <w:sz w:val="19"/>
                <w:szCs w:val="19"/>
              </w:rPr>
              <w:t>skewed</w:t>
            </w:r>
            <w:r w:rsidR="006875D6" w:rsidRPr="00642256">
              <w:rPr>
                <w:spacing w:val="-4"/>
                <w:sz w:val="19"/>
                <w:szCs w:val="19"/>
              </w:rPr>
              <w:t>, as the mean can be,</w:t>
            </w:r>
            <w:r w:rsidR="002A3076" w:rsidRPr="00642256">
              <w:rPr>
                <w:spacing w:val="-4"/>
                <w:sz w:val="19"/>
                <w:szCs w:val="19"/>
              </w:rPr>
              <w:t xml:space="preserve"> </w:t>
            </w:r>
            <w:r w:rsidR="006875D6" w:rsidRPr="00642256">
              <w:rPr>
                <w:spacing w:val="-4"/>
                <w:sz w:val="19"/>
                <w:szCs w:val="19"/>
              </w:rPr>
              <w:t xml:space="preserve">by outlier </w:t>
            </w:r>
            <w:r w:rsidR="00F30C23" w:rsidRPr="00642256">
              <w:rPr>
                <w:spacing w:val="-4"/>
                <w:sz w:val="19"/>
                <w:szCs w:val="19"/>
              </w:rPr>
              <w:t>draws</w:t>
            </w:r>
            <w:r w:rsidRPr="00642256">
              <w:rPr>
                <w:spacing w:val="-4"/>
                <w:sz w:val="19"/>
                <w:szCs w:val="19"/>
              </w:rPr>
              <w:t>.</w:t>
            </w:r>
            <w:r w:rsidR="008F5114" w:rsidRPr="00642256">
              <w:rPr>
                <w:spacing w:val="-4"/>
                <w:sz w:val="19"/>
                <w:szCs w:val="19"/>
              </w:rPr>
              <w:t xml:space="preserve"> </w:t>
            </w:r>
            <w:r w:rsidRPr="00642256">
              <w:rPr>
                <w:spacing w:val="-4"/>
                <w:sz w:val="19"/>
                <w:szCs w:val="19"/>
              </w:rPr>
              <w:t>Uncertainty associated with an estimate is often indicated by presenting values from percentiles at the top and bottom of the span. The value at the 90</w:t>
            </w:r>
            <w:r w:rsidRPr="00642256">
              <w:rPr>
                <w:spacing w:val="-4"/>
                <w:sz w:val="19"/>
                <w:szCs w:val="19"/>
                <w:vertAlign w:val="superscript"/>
              </w:rPr>
              <w:t>th</w:t>
            </w:r>
            <w:r w:rsidRPr="00642256">
              <w:rPr>
                <w:spacing w:val="-4"/>
                <w:sz w:val="19"/>
                <w:szCs w:val="19"/>
              </w:rPr>
              <w:t xml:space="preserve"> percentile, for example, can be interpreted as meaning that ‘</w:t>
            </w:r>
            <w:r w:rsidRPr="00642256">
              <w:rPr>
                <w:i/>
                <w:spacing w:val="-4"/>
                <w:sz w:val="19"/>
                <w:szCs w:val="19"/>
              </w:rPr>
              <w:t xml:space="preserve">there is </w:t>
            </w:r>
            <w:r w:rsidR="006875D6" w:rsidRPr="00642256">
              <w:rPr>
                <w:i/>
                <w:spacing w:val="-4"/>
                <w:sz w:val="19"/>
                <w:szCs w:val="19"/>
              </w:rPr>
              <w:t xml:space="preserve">only </w:t>
            </w:r>
            <w:r w:rsidRPr="00642256">
              <w:rPr>
                <w:i/>
                <w:spacing w:val="-4"/>
                <w:sz w:val="19"/>
                <w:szCs w:val="19"/>
              </w:rPr>
              <w:t>a 10 per cent probability that the true parameter value is greater than this figure</w:t>
            </w:r>
            <w:r w:rsidRPr="00642256">
              <w:rPr>
                <w:spacing w:val="-4"/>
                <w:sz w:val="19"/>
                <w:szCs w:val="19"/>
              </w:rPr>
              <w:t>’. Values between the 2.5</w:t>
            </w:r>
            <w:r w:rsidRPr="00642256">
              <w:rPr>
                <w:spacing w:val="-4"/>
                <w:sz w:val="19"/>
                <w:szCs w:val="19"/>
                <w:vertAlign w:val="superscript"/>
              </w:rPr>
              <w:t>th</w:t>
            </w:r>
            <w:r w:rsidRPr="00642256">
              <w:rPr>
                <w:spacing w:val="-4"/>
                <w:sz w:val="19"/>
                <w:szCs w:val="19"/>
              </w:rPr>
              <w:t xml:space="preserve"> and 97.5</w:t>
            </w:r>
            <w:r w:rsidRPr="00642256">
              <w:rPr>
                <w:spacing w:val="-4"/>
                <w:sz w:val="19"/>
                <w:szCs w:val="19"/>
                <w:vertAlign w:val="superscript"/>
              </w:rPr>
              <w:t>th</w:t>
            </w:r>
            <w:r w:rsidRPr="00642256">
              <w:rPr>
                <w:spacing w:val="-4"/>
                <w:sz w:val="19"/>
                <w:szCs w:val="19"/>
              </w:rPr>
              <w:t xml:space="preserve"> percentiles can be interpreted as indicating that ‘</w:t>
            </w:r>
            <w:r w:rsidRPr="00642256">
              <w:rPr>
                <w:i/>
                <w:spacing w:val="-4"/>
                <w:sz w:val="19"/>
                <w:szCs w:val="19"/>
              </w:rPr>
              <w:t>there is a 95 per cent chance that the true parameter value lies in this range’</w:t>
            </w:r>
            <w:r w:rsidRPr="00642256">
              <w:rPr>
                <w:spacing w:val="-4"/>
                <w:sz w:val="19"/>
                <w:szCs w:val="19"/>
              </w:rPr>
              <w:t>.</w:t>
            </w:r>
            <w:r w:rsidR="00F31121" w:rsidRPr="00642256">
              <w:rPr>
                <w:spacing w:val="-4"/>
                <w:sz w:val="19"/>
                <w:szCs w:val="19"/>
              </w:rPr>
              <w:t xml:space="preserve"> This is sometimes referred to as a </w:t>
            </w:r>
            <w:r w:rsidR="00F31121" w:rsidRPr="00642256">
              <w:rPr>
                <w:i/>
                <w:spacing w:val="-4"/>
                <w:sz w:val="19"/>
                <w:szCs w:val="19"/>
              </w:rPr>
              <w:t xml:space="preserve">credibility interval. </w:t>
            </w:r>
          </w:p>
        </w:tc>
      </w:tr>
      <w:tr w:rsidR="009E0836" w:rsidTr="00920732">
        <w:tc>
          <w:tcPr>
            <w:tcW w:w="5000" w:type="pct"/>
            <w:tcBorders>
              <w:top w:val="nil"/>
              <w:left w:val="nil"/>
              <w:bottom w:val="single" w:sz="6" w:space="0" w:color="78A22F"/>
              <w:right w:val="nil"/>
            </w:tcBorders>
            <w:shd w:val="clear" w:color="auto" w:fill="F2F2F2"/>
          </w:tcPr>
          <w:p w:rsidR="009E0836" w:rsidRDefault="009E0836" w:rsidP="00920732">
            <w:pPr>
              <w:pStyle w:val="Box"/>
              <w:spacing w:before="0" w:line="120" w:lineRule="exact"/>
            </w:pPr>
          </w:p>
        </w:tc>
      </w:tr>
      <w:tr w:rsidR="009E0836" w:rsidRPr="000863A5" w:rsidTr="00920732">
        <w:tc>
          <w:tcPr>
            <w:tcW w:w="5000" w:type="pct"/>
            <w:tcBorders>
              <w:top w:val="single" w:sz="6" w:space="0" w:color="78A22F"/>
              <w:left w:val="nil"/>
              <w:bottom w:val="nil"/>
              <w:right w:val="nil"/>
            </w:tcBorders>
          </w:tcPr>
          <w:p w:rsidR="009E0836" w:rsidRPr="00626D32" w:rsidRDefault="009E0836" w:rsidP="00920732">
            <w:pPr>
              <w:pStyle w:val="BoxSpaceBelow"/>
            </w:pPr>
          </w:p>
        </w:tc>
      </w:tr>
    </w:tbl>
    <w:p w:rsidR="00510AF3" w:rsidRDefault="00510AF3" w:rsidP="00277C01">
      <w:pPr>
        <w:pStyle w:val="Heading3"/>
      </w:pPr>
      <w:bookmarkStart w:id="35" w:name="_Toc530748489"/>
      <w:r>
        <w:t xml:space="preserve">Economies of scale </w:t>
      </w:r>
      <w:r w:rsidR="008C549D">
        <w:t xml:space="preserve">are also evident </w:t>
      </w:r>
      <w:r>
        <w:t>at the fund level</w:t>
      </w:r>
      <w:bookmarkEnd w:id="35"/>
    </w:p>
    <w:p w:rsidR="00375E12" w:rsidRPr="00642256" w:rsidRDefault="00043D8E" w:rsidP="00043D8E">
      <w:pPr>
        <w:pStyle w:val="BodyText"/>
        <w:rPr>
          <w:spacing w:val="-8"/>
        </w:rPr>
      </w:pPr>
      <w:r w:rsidRPr="00642256">
        <w:rPr>
          <w:spacing w:val="-8"/>
        </w:rPr>
        <w:t>As noted above</w:t>
      </w:r>
      <w:r w:rsidR="008C4D8F" w:rsidRPr="00642256">
        <w:rPr>
          <w:spacing w:val="-8"/>
        </w:rPr>
        <w:t xml:space="preserve"> (box </w:t>
      </w:r>
      <w:r w:rsidR="007E3874" w:rsidRPr="00642256">
        <w:rPr>
          <w:spacing w:val="-8"/>
        </w:rPr>
        <w:t>3</w:t>
      </w:r>
      <w:r w:rsidR="008C4D8F" w:rsidRPr="00642256">
        <w:rPr>
          <w:spacing w:val="-8"/>
        </w:rPr>
        <w:t>)</w:t>
      </w:r>
      <w:r w:rsidRPr="00642256">
        <w:rPr>
          <w:spacing w:val="-8"/>
        </w:rPr>
        <w:t>, use of a multilevel model has the advantage of shedding light on the relationship between costs and scale at a fund level</w:t>
      </w:r>
      <w:r w:rsidR="008A5ED6" w:rsidRPr="00642256">
        <w:rPr>
          <w:spacing w:val="-8"/>
        </w:rPr>
        <w:t xml:space="preserve"> (by adding fund</w:t>
      </w:r>
      <w:r w:rsidR="00F640C8" w:rsidRPr="00642256">
        <w:rPr>
          <w:spacing w:val="-8"/>
        </w:rPr>
        <w:noBreakHyphen/>
      </w:r>
      <w:r w:rsidR="008A5ED6" w:rsidRPr="00642256">
        <w:rPr>
          <w:spacing w:val="-8"/>
        </w:rPr>
        <w:t>specific effects</w:t>
      </w:r>
      <w:r w:rsidR="00DD3DFC" w:rsidRPr="00642256">
        <w:rPr>
          <w:spacing w:val="-8"/>
        </w:rPr>
        <w:t xml:space="preserve"> to </w:t>
      </w:r>
      <w:r w:rsidR="00882A75" w:rsidRPr="00642256">
        <w:rPr>
          <w:spacing w:val="-8"/>
        </w:rPr>
        <w:t>segment</w:t>
      </w:r>
      <w:r w:rsidR="00DD3DFC" w:rsidRPr="00642256">
        <w:rPr>
          <w:spacing w:val="-8"/>
        </w:rPr>
        <w:t xml:space="preserve"> effects</w:t>
      </w:r>
      <w:r w:rsidR="008A5ED6" w:rsidRPr="00642256">
        <w:rPr>
          <w:spacing w:val="-8"/>
        </w:rPr>
        <w:t>)</w:t>
      </w:r>
      <w:r w:rsidRPr="00642256">
        <w:rPr>
          <w:spacing w:val="-8"/>
        </w:rPr>
        <w:t xml:space="preserve">. </w:t>
      </w:r>
      <w:r w:rsidR="000605DA" w:rsidRPr="00642256">
        <w:rPr>
          <w:spacing w:val="-8"/>
        </w:rPr>
        <w:t>To illustrate this point, f</w:t>
      </w:r>
      <w:r w:rsidR="00375E12" w:rsidRPr="00642256">
        <w:rPr>
          <w:spacing w:val="-8"/>
        </w:rPr>
        <w:t xml:space="preserve">igures 7 and 8 provide examples of estimated average cost curves </w:t>
      </w:r>
      <w:r w:rsidR="00836315" w:rsidRPr="00642256">
        <w:rPr>
          <w:i/>
          <w:spacing w:val="-8"/>
        </w:rPr>
        <w:t>for selected funds</w:t>
      </w:r>
      <w:r w:rsidR="00C85ED0" w:rsidRPr="00642256">
        <w:rPr>
          <w:spacing w:val="-8"/>
        </w:rPr>
        <w:t> — </w:t>
      </w:r>
      <w:r w:rsidR="00153E48" w:rsidRPr="00642256">
        <w:rPr>
          <w:spacing w:val="-8"/>
        </w:rPr>
        <w:t xml:space="preserve">holding constant factors </w:t>
      </w:r>
      <w:r w:rsidR="00C85ED0" w:rsidRPr="00642256">
        <w:rPr>
          <w:spacing w:val="-8"/>
        </w:rPr>
        <w:t xml:space="preserve">other than scale </w:t>
      </w:r>
      <w:r w:rsidR="00153E48" w:rsidRPr="00642256">
        <w:rPr>
          <w:spacing w:val="-8"/>
        </w:rPr>
        <w:t xml:space="preserve">that </w:t>
      </w:r>
      <w:r w:rsidR="00CF1A0E" w:rsidRPr="00642256">
        <w:rPr>
          <w:spacing w:val="-8"/>
        </w:rPr>
        <w:t>are associated with</w:t>
      </w:r>
      <w:r w:rsidR="00153E48" w:rsidRPr="00642256">
        <w:rPr>
          <w:spacing w:val="-8"/>
        </w:rPr>
        <w:t xml:space="preserve"> expenses.</w:t>
      </w:r>
    </w:p>
    <w:p w:rsidR="004C7851" w:rsidRDefault="004C7851" w:rsidP="00043D8E">
      <w:pPr>
        <w:pStyle w:val="BodyText"/>
      </w:pPr>
      <w:r>
        <w:t>Power coefficients can also be generated for individual funds. Those estimates indicate, for both administration and investment expenses</w:t>
      </w:r>
      <w:r w:rsidR="00F56EED">
        <w:t xml:space="preserve"> </w:t>
      </w:r>
      <w:r w:rsidR="00F56EED">
        <w:rPr>
          <w:spacing w:val="-2"/>
        </w:rPr>
        <w:t>(as distinct from fees charged)</w:t>
      </w:r>
      <w:r>
        <w:t>, that at least half of all funds almost certainly have cost curves that exhibit economies of scale — that is, they have power coefficients that are less than one (with 97.5 per cent probability) (figures 9 and 10). Consistent with observations at a segment level, however, industry funds are less likely to be in this group for investment expenses.</w:t>
      </w:r>
    </w:p>
    <w:p w:rsidR="004C7851" w:rsidRPr="00655794" w:rsidRDefault="001C798B" w:rsidP="00043D8E">
      <w:pPr>
        <w:pStyle w:val="BodyText"/>
      </w:pPr>
      <w:r>
        <w:t>This analysis is considerably more sophisticated than the preliminary work on economies of scale at a fund level</w:t>
      </w:r>
      <w:r w:rsidR="00CD5F47">
        <w:t xml:space="preserve"> as presented in the Commission’s draft report</w:t>
      </w:r>
      <w:r>
        <w:t>. In particular, th</w:t>
      </w:r>
      <w:r w:rsidR="00F31CD9">
        <w:t>e current</w:t>
      </w:r>
      <w:r>
        <w:t xml:space="preserve"> work holds constant other factors that influence expenses to isolate the relationship between average costs and scale. The draft report simply looked at whether funds’ average expenses had risen or fallen (between 2004 and 2015). Results from the two bodies of analysis are not comparable</w:t>
      </w:r>
      <w:r w:rsidR="00CD5F47">
        <w:t xml:space="preserve"> but the findings are consistent</w:t>
      </w:r>
      <w:r>
        <w:t>.</w:t>
      </w:r>
    </w:p>
    <w:p w:rsidR="00375E12" w:rsidRDefault="00375E12" w:rsidP="00375E1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55FFD" w:rsidTr="003E39D7">
        <w:trPr>
          <w:tblHeader/>
        </w:trPr>
        <w:tc>
          <w:tcPr>
            <w:tcW w:w="5000" w:type="pct"/>
            <w:tcBorders>
              <w:top w:val="single" w:sz="6" w:space="0" w:color="78A22F"/>
              <w:left w:val="nil"/>
              <w:bottom w:val="nil"/>
              <w:right w:val="nil"/>
            </w:tcBorders>
            <w:shd w:val="clear" w:color="auto" w:fill="auto"/>
          </w:tcPr>
          <w:p w:rsidR="00A55FFD" w:rsidRDefault="00A55FFD" w:rsidP="003E39D7">
            <w:pPr>
              <w:pStyle w:val="FigureTitle"/>
            </w:pPr>
            <w:r w:rsidRPr="00784A05">
              <w:rPr>
                <w:b w:val="0"/>
              </w:rPr>
              <w:t xml:space="preserve">Figure </w:t>
            </w:r>
            <w:r w:rsidR="004325AA">
              <w:rPr>
                <w:b w:val="0"/>
                <w:noProof/>
              </w:rPr>
              <w:t>7</w:t>
            </w:r>
            <w:r>
              <w:tab/>
            </w:r>
            <w:r w:rsidRPr="00A55FFD">
              <w:rPr>
                <w:rStyle w:val="TableTitleChar"/>
                <w:b/>
                <w:spacing w:val="-4"/>
              </w:rPr>
              <w:t>Examples of economies of scale in administration expenses</w:t>
            </w:r>
            <w:r w:rsidRPr="00A55FFD">
              <w:rPr>
                <w:rStyle w:val="NoteLabel"/>
                <w:b/>
                <w:spacing w:val="-4"/>
              </w:rPr>
              <w:t>a,b,c</w:t>
            </w:r>
          </w:p>
          <w:p w:rsidR="00A55FFD" w:rsidRPr="00176D3F" w:rsidRDefault="00A30696" w:rsidP="00A30696">
            <w:pPr>
              <w:pStyle w:val="Subtitle"/>
            </w:pPr>
            <w:r w:rsidRPr="00B86A6F">
              <w:rPr>
                <w:spacing w:val="-2"/>
              </w:rPr>
              <w:t>P</w:t>
            </w:r>
            <w:r>
              <w:rPr>
                <w:spacing w:val="-2"/>
              </w:rPr>
              <w:t>rojected</w:t>
            </w:r>
            <w:r w:rsidRPr="00B86A6F">
              <w:rPr>
                <w:spacing w:val="-2"/>
              </w:rPr>
              <w:t xml:space="preserve"> </w:t>
            </w:r>
            <w:r w:rsidR="00A55FFD" w:rsidRPr="00B86A6F">
              <w:rPr>
                <w:spacing w:val="-2"/>
              </w:rPr>
              <w:t>average administration expenses</w:t>
            </w:r>
            <w:r w:rsidR="00A55FFD">
              <w:rPr>
                <w:spacing w:val="-2"/>
              </w:rPr>
              <w:t>,</w:t>
            </w:r>
            <w:r w:rsidR="00A55FFD" w:rsidRPr="00B86A6F">
              <w:rPr>
                <w:spacing w:val="-2"/>
              </w:rPr>
              <w:t xml:space="preserve"> </w:t>
            </w:r>
            <w:r w:rsidR="00A55FFD" w:rsidRPr="00261706">
              <w:rPr>
                <w:b/>
                <w:spacing w:val="-2"/>
              </w:rPr>
              <w:t>selected</w:t>
            </w:r>
            <w:r w:rsidR="00A55FFD" w:rsidRPr="00B86A6F">
              <w:rPr>
                <w:spacing w:val="-2"/>
              </w:rPr>
              <w:t xml:space="preserve"> funds, basis points (bps)</w:t>
            </w:r>
          </w:p>
        </w:tc>
      </w:tr>
      <w:tr w:rsidR="00A55FFD" w:rsidTr="0056213F">
        <w:trPr>
          <w:trHeight w:val="3969"/>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55FFD" w:rsidRPr="00B1465D" w:rsidTr="003E39D7">
              <w:trPr>
                <w:tblHeader/>
                <w:jc w:val="center"/>
              </w:trPr>
              <w:tc>
                <w:tcPr>
                  <w:tcW w:w="5000" w:type="pct"/>
                  <w:tcBorders>
                    <w:top w:val="nil"/>
                    <w:bottom w:val="nil"/>
                  </w:tcBorders>
                </w:tcPr>
                <w:p w:rsidR="00A55FFD" w:rsidRPr="00B1465D" w:rsidRDefault="001F65FA" w:rsidP="003E39D7">
                  <w:pPr>
                    <w:pStyle w:val="Figure"/>
                    <w:spacing w:before="60" w:after="60"/>
                    <w:rPr>
                      <w:rFonts w:ascii="Arial" w:hAnsi="Arial" w:cs="Arial"/>
                      <w:sz w:val="18"/>
                      <w:szCs w:val="18"/>
                    </w:rPr>
                  </w:pPr>
                  <w:r w:rsidRPr="001F65FA">
                    <w:rPr>
                      <w:rFonts w:ascii="Arial" w:hAnsi="Arial" w:cs="Arial"/>
                      <w:noProof/>
                      <w:sz w:val="18"/>
                      <w:szCs w:val="18"/>
                    </w:rPr>
                    <w:drawing>
                      <wp:inline distT="0" distB="0" distL="0" distR="0" wp14:anchorId="687988C4" wp14:editId="1980B2F4">
                        <wp:extent cx="5241600" cy="2520000"/>
                        <wp:effectExtent l="0" t="0" r="0" b="0"/>
                        <wp:docPr id="10" name="Picture 10" descr="This figure shows the average administration expenses against total assets for selected small and large funds. The data is plotted as points, and the estimated average cost curves are plotted as lines. The estimated average cost curves fit the data well and suggest economies of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1600" cy="2520000"/>
                                </a:xfrm>
                                <a:prstGeom prst="rect">
                                  <a:avLst/>
                                </a:prstGeom>
                                <a:noFill/>
                                <a:ln>
                                  <a:noFill/>
                                </a:ln>
                              </pic:spPr>
                            </pic:pic>
                          </a:graphicData>
                        </a:graphic>
                      </wp:inline>
                    </w:drawing>
                  </w:r>
                </w:p>
              </w:tc>
            </w:tr>
          </w:tbl>
          <w:p w:rsidR="00A55FFD" w:rsidRDefault="00A55FFD" w:rsidP="003E39D7">
            <w:pPr>
              <w:pStyle w:val="Figure"/>
            </w:pPr>
          </w:p>
        </w:tc>
      </w:tr>
      <w:tr w:rsidR="00A55FFD" w:rsidRPr="00655794" w:rsidTr="003E39D7">
        <w:tc>
          <w:tcPr>
            <w:tcW w:w="5000" w:type="pct"/>
            <w:tcBorders>
              <w:top w:val="nil"/>
              <w:left w:val="nil"/>
              <w:bottom w:val="nil"/>
              <w:right w:val="nil"/>
            </w:tcBorders>
            <w:shd w:val="clear" w:color="auto" w:fill="auto"/>
          </w:tcPr>
          <w:p w:rsidR="00A55FFD" w:rsidRPr="00655794" w:rsidRDefault="00A55FFD" w:rsidP="003E39D7">
            <w:pPr>
              <w:pStyle w:val="Note"/>
              <w:rPr>
                <w:spacing w:val="-2"/>
              </w:rPr>
            </w:pPr>
            <w:r w:rsidRPr="00655794">
              <w:rPr>
                <w:rStyle w:val="NoteLabel"/>
                <w:spacing w:val="-2"/>
              </w:rPr>
              <w:t>a</w:t>
            </w:r>
            <w:r w:rsidRPr="00655794">
              <w:rPr>
                <w:spacing w:val="-2"/>
              </w:rPr>
              <w:t xml:space="preserve"> Each line represents </w:t>
            </w:r>
            <w:r w:rsidR="0088045F" w:rsidRPr="00320596">
              <w:rPr>
                <w:spacing w:val="-2"/>
              </w:rPr>
              <w:t>the median estimate</w:t>
            </w:r>
            <w:r w:rsidR="00320596">
              <w:rPr>
                <w:spacing w:val="-2"/>
              </w:rPr>
              <w:t>d</w:t>
            </w:r>
            <w:r w:rsidR="0088045F" w:rsidRPr="00320596">
              <w:rPr>
                <w:spacing w:val="-2"/>
              </w:rPr>
              <w:t xml:space="preserve"> cost curve</w:t>
            </w:r>
            <w:r w:rsidRPr="00655794">
              <w:rPr>
                <w:spacing w:val="-2"/>
              </w:rPr>
              <w:t xml:space="preserve"> </w:t>
            </w:r>
            <w:r w:rsidR="00320596">
              <w:rPr>
                <w:spacing w:val="-2"/>
              </w:rPr>
              <w:t xml:space="preserve">for a </w:t>
            </w:r>
            <w:r w:rsidRPr="00655794">
              <w:rPr>
                <w:spacing w:val="-2"/>
              </w:rPr>
              <w:t xml:space="preserve">single fund </w:t>
            </w:r>
            <w:r w:rsidR="00320596">
              <w:rPr>
                <w:spacing w:val="-2"/>
              </w:rPr>
              <w:t>chosen for illustrative purposes</w:t>
            </w:r>
            <w:r w:rsidRPr="00655794">
              <w:rPr>
                <w:spacing w:val="-2"/>
              </w:rPr>
              <w:t>; the</w:t>
            </w:r>
            <w:r w:rsidR="00320596">
              <w:rPr>
                <w:spacing w:val="-2"/>
              </w:rPr>
              <w:t xml:space="preserve"> curves</w:t>
            </w:r>
            <w:r w:rsidRPr="00655794">
              <w:rPr>
                <w:spacing w:val="-2"/>
              </w:rPr>
              <w:t xml:space="preserve"> are not representative of </w:t>
            </w:r>
            <w:r w:rsidR="00320596">
              <w:rPr>
                <w:spacing w:val="-2"/>
              </w:rPr>
              <w:t>all funds within a segment</w:t>
            </w:r>
            <w:r w:rsidRPr="00655794">
              <w:rPr>
                <w:spacing w:val="-2"/>
              </w:rPr>
              <w:t xml:space="preserve">. </w:t>
            </w:r>
            <w:r w:rsidRPr="00655794">
              <w:rPr>
                <w:rStyle w:val="NoteLabel"/>
                <w:spacing w:val="-2"/>
              </w:rPr>
              <w:t>b</w:t>
            </w:r>
            <w:r w:rsidRPr="00655794">
              <w:rPr>
                <w:spacing w:val="-2"/>
              </w:rPr>
              <w:t xml:space="preserve"> Curves estimated using data over 2004–2016. </w:t>
            </w:r>
            <w:r w:rsidR="00A30696" w:rsidRPr="00655794">
              <w:rPr>
                <w:spacing w:val="-2"/>
              </w:rPr>
              <w:t xml:space="preserve">Small funds </w:t>
            </w:r>
            <w:r w:rsidR="001C798B" w:rsidRPr="00655794">
              <w:rPr>
                <w:spacing w:val="-2"/>
              </w:rPr>
              <w:t>had</w:t>
            </w:r>
            <w:r w:rsidR="00A30696" w:rsidRPr="00655794">
              <w:rPr>
                <w:spacing w:val="-2"/>
              </w:rPr>
              <w:t xml:space="preserve"> assets </w:t>
            </w:r>
            <w:r w:rsidR="001C798B" w:rsidRPr="00655794">
              <w:rPr>
                <w:spacing w:val="-2"/>
              </w:rPr>
              <w:t xml:space="preserve">of </w:t>
            </w:r>
            <w:r w:rsidR="00A30696" w:rsidRPr="00655794">
              <w:rPr>
                <w:spacing w:val="-2"/>
              </w:rPr>
              <w:t xml:space="preserve">less than </w:t>
            </w:r>
            <w:r w:rsidR="00A30696" w:rsidRPr="00655794">
              <w:rPr>
                <w:b/>
                <w:spacing w:val="-2"/>
              </w:rPr>
              <w:t>$</w:t>
            </w:r>
            <w:r w:rsidR="00A669AE" w:rsidRPr="00655794">
              <w:rPr>
                <w:b/>
                <w:spacing w:val="-2"/>
              </w:rPr>
              <w:t>1</w:t>
            </w:r>
            <w:r w:rsidR="00A30696" w:rsidRPr="00655794">
              <w:rPr>
                <w:b/>
                <w:spacing w:val="-2"/>
              </w:rPr>
              <w:t> </w:t>
            </w:r>
            <w:r w:rsidR="00A669AE" w:rsidRPr="00655794">
              <w:rPr>
                <w:b/>
                <w:spacing w:val="-2"/>
              </w:rPr>
              <w:t>b</w:t>
            </w:r>
            <w:r w:rsidR="00A30696" w:rsidRPr="00655794">
              <w:rPr>
                <w:b/>
                <w:spacing w:val="-2"/>
              </w:rPr>
              <w:t>illion</w:t>
            </w:r>
            <w:r w:rsidR="001C798B" w:rsidRPr="00655794">
              <w:rPr>
                <w:spacing w:val="-2"/>
              </w:rPr>
              <w:t>, and</w:t>
            </w:r>
            <w:r w:rsidR="00A30696" w:rsidRPr="00655794">
              <w:rPr>
                <w:spacing w:val="-2"/>
              </w:rPr>
              <w:t xml:space="preserve"> large funds </w:t>
            </w:r>
            <w:r w:rsidR="001C798B" w:rsidRPr="00655794">
              <w:rPr>
                <w:spacing w:val="-2"/>
              </w:rPr>
              <w:t>of</w:t>
            </w:r>
            <w:r w:rsidR="00A30696" w:rsidRPr="00655794">
              <w:rPr>
                <w:spacing w:val="-2"/>
              </w:rPr>
              <w:t xml:space="preserve"> more than </w:t>
            </w:r>
            <w:r w:rsidR="00A30696" w:rsidRPr="00655794">
              <w:rPr>
                <w:b/>
                <w:spacing w:val="-2"/>
              </w:rPr>
              <w:t>$</w:t>
            </w:r>
            <w:r w:rsidR="00A669AE" w:rsidRPr="00655794">
              <w:rPr>
                <w:b/>
                <w:spacing w:val="-2"/>
              </w:rPr>
              <w:t>50</w:t>
            </w:r>
            <w:r w:rsidR="00A30696" w:rsidRPr="00655794">
              <w:rPr>
                <w:b/>
                <w:spacing w:val="-2"/>
              </w:rPr>
              <w:t> billion</w:t>
            </w:r>
            <w:r w:rsidR="001C798B" w:rsidRPr="00655794">
              <w:rPr>
                <w:spacing w:val="-2"/>
              </w:rPr>
              <w:t>, when last observed in the data</w:t>
            </w:r>
            <w:r w:rsidR="00A30696" w:rsidRPr="00655794">
              <w:rPr>
                <w:spacing w:val="-2"/>
              </w:rPr>
              <w:t xml:space="preserve">. </w:t>
            </w:r>
            <w:r w:rsidRPr="00655794">
              <w:rPr>
                <w:rStyle w:val="NoteLabel"/>
                <w:spacing w:val="-2"/>
              </w:rPr>
              <w:t>c</w:t>
            </w:r>
            <w:r w:rsidR="00A30696" w:rsidRPr="00655794">
              <w:rPr>
                <w:spacing w:val="-2"/>
              </w:rPr>
              <w:t> </w:t>
            </w:r>
            <w:r w:rsidRPr="00655794">
              <w:rPr>
                <w:spacing w:val="-2"/>
              </w:rPr>
              <w:t>No example is presented for a large corporate fund</w:t>
            </w:r>
            <w:r w:rsidR="00320596">
              <w:rPr>
                <w:spacing w:val="-2"/>
              </w:rPr>
              <w:t> — </w:t>
            </w:r>
            <w:r w:rsidR="00E13030">
              <w:rPr>
                <w:spacing w:val="-2"/>
              </w:rPr>
              <w:t>no</w:t>
            </w:r>
            <w:r w:rsidRPr="00655794">
              <w:rPr>
                <w:spacing w:val="-2"/>
              </w:rPr>
              <w:t xml:space="preserve"> corporate fund in the dataset </w:t>
            </w:r>
            <w:r w:rsidR="00E13030">
              <w:rPr>
                <w:spacing w:val="-2"/>
              </w:rPr>
              <w:t>is</w:t>
            </w:r>
            <w:r w:rsidRPr="00655794">
              <w:rPr>
                <w:spacing w:val="-2"/>
              </w:rPr>
              <w:t xml:space="preserve"> </w:t>
            </w:r>
            <w:r w:rsidR="00EB7E43">
              <w:rPr>
                <w:spacing w:val="-2"/>
              </w:rPr>
              <w:t>large</w:t>
            </w:r>
          </w:p>
        </w:tc>
      </w:tr>
      <w:tr w:rsidR="00A55FFD" w:rsidRPr="00176D3F" w:rsidTr="003E39D7">
        <w:tc>
          <w:tcPr>
            <w:tcW w:w="5000" w:type="pct"/>
            <w:tcBorders>
              <w:top w:val="nil"/>
              <w:left w:val="nil"/>
              <w:bottom w:val="nil"/>
              <w:right w:val="nil"/>
            </w:tcBorders>
            <w:shd w:val="clear" w:color="auto" w:fill="auto"/>
          </w:tcPr>
          <w:p w:rsidR="00A55FFD" w:rsidRPr="00176D3F" w:rsidRDefault="00A55FFD" w:rsidP="003E39D7">
            <w:pPr>
              <w:pStyle w:val="Source"/>
            </w:pPr>
            <w:r>
              <w:rPr>
                <w:i/>
              </w:rPr>
              <w:t>S</w:t>
            </w:r>
            <w:r w:rsidRPr="00784A05">
              <w:rPr>
                <w:i/>
              </w:rPr>
              <w:t>ource</w:t>
            </w:r>
            <w:r w:rsidRPr="00176D3F">
              <w:t xml:space="preserve">: </w:t>
            </w:r>
            <w:r>
              <w:rPr>
                <w:rFonts w:eastAsia="+mn-ea" w:cs="Arial"/>
                <w:color w:val="000000" w:themeColor="text1"/>
                <w:kern w:val="24"/>
                <w:szCs w:val="18"/>
              </w:rPr>
              <w:t xml:space="preserve">PC analysis of APRA </w:t>
            </w:r>
            <w:r w:rsidRPr="0018371D">
              <w:rPr>
                <w:rFonts w:eastAsia="+mn-ea" w:cs="Arial"/>
                <w:color w:val="000000" w:themeColor="text1"/>
                <w:kern w:val="24"/>
                <w:szCs w:val="18"/>
              </w:rPr>
              <w:t>data</w:t>
            </w:r>
            <w:r>
              <w:rPr>
                <w:rFonts w:eastAsia="+mn-ea" w:cs="Arial"/>
                <w:color w:val="000000" w:themeColor="text1"/>
                <w:kern w:val="24"/>
                <w:szCs w:val="18"/>
              </w:rPr>
              <w:t xml:space="preserve"> and SR data</w:t>
            </w:r>
            <w:r w:rsidR="00EC1D49">
              <w:rPr>
                <w:rFonts w:eastAsia="+mn-ea" w:cs="Arial"/>
                <w:color w:val="000000" w:themeColor="text1"/>
                <w:kern w:val="24"/>
                <w:szCs w:val="18"/>
              </w:rPr>
              <w:t xml:space="preserve"> — sample of funds</w:t>
            </w:r>
            <w:r>
              <w:rPr>
                <w:rFonts w:eastAsia="+mn-ea" w:cs="Arial"/>
                <w:color w:val="000000" w:themeColor="text1"/>
                <w:kern w:val="24"/>
                <w:szCs w:val="18"/>
              </w:rPr>
              <w:t>.</w:t>
            </w:r>
          </w:p>
        </w:tc>
      </w:tr>
      <w:tr w:rsidR="00A55FFD" w:rsidTr="003E39D7">
        <w:tc>
          <w:tcPr>
            <w:tcW w:w="5000" w:type="pct"/>
            <w:tcBorders>
              <w:top w:val="nil"/>
              <w:left w:val="nil"/>
              <w:bottom w:val="single" w:sz="6" w:space="0" w:color="78A22F"/>
              <w:right w:val="nil"/>
            </w:tcBorders>
            <w:shd w:val="clear" w:color="auto" w:fill="auto"/>
          </w:tcPr>
          <w:p w:rsidR="00A55FFD" w:rsidRDefault="00A55FFD" w:rsidP="003E39D7">
            <w:pPr>
              <w:pStyle w:val="Figurespace"/>
            </w:pPr>
          </w:p>
        </w:tc>
      </w:tr>
      <w:tr w:rsidR="00A55FFD" w:rsidRPr="000863A5" w:rsidTr="003E39D7">
        <w:tc>
          <w:tcPr>
            <w:tcW w:w="5000" w:type="pct"/>
            <w:tcBorders>
              <w:top w:val="single" w:sz="6" w:space="0" w:color="78A22F"/>
              <w:left w:val="nil"/>
              <w:bottom w:val="nil"/>
              <w:right w:val="nil"/>
            </w:tcBorders>
          </w:tcPr>
          <w:p w:rsidR="00A55FFD" w:rsidRPr="00626D32" w:rsidRDefault="00A55FFD" w:rsidP="003E39D7">
            <w:pPr>
              <w:pStyle w:val="BoxSpaceBelow"/>
            </w:pPr>
          </w:p>
        </w:tc>
      </w:tr>
    </w:tbl>
    <w:p w:rsidR="00375E12" w:rsidRDefault="00375E12" w:rsidP="00375E1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5E12" w:rsidTr="00162E59">
        <w:trPr>
          <w:tblHeader/>
        </w:trPr>
        <w:tc>
          <w:tcPr>
            <w:tcW w:w="5000" w:type="pct"/>
            <w:tcBorders>
              <w:top w:val="single" w:sz="6" w:space="0" w:color="78A22F"/>
              <w:left w:val="nil"/>
              <w:bottom w:val="nil"/>
              <w:right w:val="nil"/>
            </w:tcBorders>
            <w:shd w:val="clear" w:color="auto" w:fill="auto"/>
          </w:tcPr>
          <w:p w:rsidR="00375E12" w:rsidRDefault="00375E12" w:rsidP="00162E59">
            <w:pPr>
              <w:pStyle w:val="FigureTitle"/>
            </w:pPr>
            <w:r w:rsidRPr="00784A05">
              <w:rPr>
                <w:b w:val="0"/>
              </w:rPr>
              <w:t xml:space="preserve">Figure </w:t>
            </w:r>
            <w:r w:rsidR="004325AA">
              <w:rPr>
                <w:b w:val="0"/>
                <w:noProof/>
              </w:rPr>
              <w:t>8</w:t>
            </w:r>
            <w:r>
              <w:tab/>
            </w:r>
            <w:r w:rsidR="00032F58">
              <w:t>Examples of e</w:t>
            </w:r>
            <w:r w:rsidR="00993BB2">
              <w:t xml:space="preserve">conomies of scale </w:t>
            </w:r>
            <w:r>
              <w:t>in investment expenses</w:t>
            </w:r>
            <w:r w:rsidR="00B86A6F" w:rsidRPr="00B86A6F">
              <w:rPr>
                <w:rStyle w:val="NoteLabel"/>
                <w:b/>
              </w:rPr>
              <w:t>a</w:t>
            </w:r>
            <w:r w:rsidR="008C4D8F">
              <w:rPr>
                <w:rStyle w:val="NoteLabel"/>
                <w:b/>
              </w:rPr>
              <w:t>,b,c</w:t>
            </w:r>
          </w:p>
          <w:p w:rsidR="00375E12" w:rsidRPr="00176D3F" w:rsidRDefault="00375E12" w:rsidP="00261706">
            <w:pPr>
              <w:pStyle w:val="Subtitle"/>
            </w:pPr>
            <w:r w:rsidRPr="00CB24B0">
              <w:t xml:space="preserve">Predicted average </w:t>
            </w:r>
            <w:r>
              <w:t>investment</w:t>
            </w:r>
            <w:r w:rsidRPr="00CB24B0">
              <w:t xml:space="preserve"> expenses</w:t>
            </w:r>
            <w:r w:rsidR="00261706">
              <w:t>,</w:t>
            </w:r>
            <w:r w:rsidR="00141637">
              <w:t xml:space="preserve"> </w:t>
            </w:r>
            <w:r w:rsidR="00141637" w:rsidRPr="00261706">
              <w:rPr>
                <w:b/>
              </w:rPr>
              <w:t>selected</w:t>
            </w:r>
            <w:r w:rsidR="00141637">
              <w:t xml:space="preserve"> funds</w:t>
            </w:r>
            <w:r w:rsidR="00993BB2">
              <w:t>, basis points (bps)</w:t>
            </w:r>
          </w:p>
        </w:tc>
      </w:tr>
      <w:tr w:rsidR="00375E12" w:rsidTr="00162E59">
        <w:tc>
          <w:tcPr>
            <w:tcW w:w="5000" w:type="pct"/>
            <w:tcBorders>
              <w:top w:val="nil"/>
              <w:left w:val="nil"/>
              <w:bottom w:val="nil"/>
              <w:right w:val="nil"/>
            </w:tcBorders>
            <w:shd w:val="clear" w:color="auto" w:fill="auto"/>
            <w:tcMar>
              <w:top w:w="28" w:type="dxa"/>
              <w:bottom w:w="28" w:type="dxa"/>
            </w:tcMar>
          </w:tcPr>
          <w:tbl>
            <w:tblPr>
              <w:tblW w:w="8601"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01"/>
            </w:tblGrid>
            <w:tr w:rsidR="00375E12" w:rsidRPr="00B1465D" w:rsidTr="0056213F">
              <w:trPr>
                <w:trHeight w:val="3946"/>
                <w:tblHeader/>
                <w:jc w:val="center"/>
              </w:trPr>
              <w:tc>
                <w:tcPr>
                  <w:tcW w:w="5000" w:type="pct"/>
                  <w:tcBorders>
                    <w:top w:val="nil"/>
                    <w:bottom w:val="nil"/>
                  </w:tcBorders>
                </w:tcPr>
                <w:p w:rsidR="00375E12" w:rsidRPr="00B1465D" w:rsidRDefault="001F65FA" w:rsidP="00162E59">
                  <w:pPr>
                    <w:pStyle w:val="Figure"/>
                    <w:spacing w:before="60" w:after="60"/>
                    <w:rPr>
                      <w:rFonts w:ascii="Arial" w:hAnsi="Arial" w:cs="Arial"/>
                      <w:sz w:val="18"/>
                      <w:szCs w:val="18"/>
                    </w:rPr>
                  </w:pPr>
                  <w:r w:rsidRPr="001F65FA">
                    <w:rPr>
                      <w:rFonts w:ascii="Arial" w:hAnsi="Arial" w:cs="Arial"/>
                      <w:noProof/>
                      <w:sz w:val="18"/>
                      <w:szCs w:val="18"/>
                    </w:rPr>
                    <w:drawing>
                      <wp:inline distT="0" distB="0" distL="0" distR="0" wp14:anchorId="795DF5C2" wp14:editId="24A9F962">
                        <wp:extent cx="5173200" cy="2520000"/>
                        <wp:effectExtent l="0" t="0" r="0" b="0"/>
                        <wp:docPr id="13" name="Picture 13" descr="This figure shows the average investment expenses against total assets for selected small and large funds. The data is plotted as points, and the estimated average cost curves are plotted as lines. Although there are economies of scale, it is less evident here compared to administration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73200" cy="2520000"/>
                                </a:xfrm>
                                <a:prstGeom prst="rect">
                                  <a:avLst/>
                                </a:prstGeom>
                                <a:noFill/>
                                <a:ln>
                                  <a:noFill/>
                                </a:ln>
                              </pic:spPr>
                            </pic:pic>
                          </a:graphicData>
                        </a:graphic>
                      </wp:inline>
                    </w:drawing>
                  </w:r>
                </w:p>
              </w:tc>
            </w:tr>
          </w:tbl>
          <w:p w:rsidR="00375E12" w:rsidRDefault="00375E12" w:rsidP="00162E59">
            <w:pPr>
              <w:pStyle w:val="Figure"/>
            </w:pPr>
          </w:p>
        </w:tc>
      </w:tr>
      <w:tr w:rsidR="00375E12" w:rsidRPr="00176D3F" w:rsidTr="00162E59">
        <w:tc>
          <w:tcPr>
            <w:tcW w:w="5000" w:type="pct"/>
            <w:tcBorders>
              <w:top w:val="nil"/>
              <w:left w:val="nil"/>
              <w:bottom w:val="nil"/>
              <w:right w:val="nil"/>
            </w:tcBorders>
            <w:shd w:val="clear" w:color="auto" w:fill="auto"/>
          </w:tcPr>
          <w:p w:rsidR="00375E12" w:rsidRPr="00176D3F" w:rsidRDefault="00C44DBF" w:rsidP="00642256">
            <w:pPr>
              <w:pStyle w:val="Note"/>
              <w:spacing w:line="200" w:lineRule="exact"/>
            </w:pPr>
            <w:r w:rsidRPr="00655794">
              <w:rPr>
                <w:rStyle w:val="NoteLabel"/>
                <w:spacing w:val="-2"/>
              </w:rPr>
              <w:t>a</w:t>
            </w:r>
            <w:r w:rsidRPr="00655794">
              <w:rPr>
                <w:spacing w:val="-2"/>
              </w:rPr>
              <w:t xml:space="preserve"> Each line represents </w:t>
            </w:r>
            <w:r w:rsidRPr="00320596">
              <w:rPr>
                <w:spacing w:val="-2"/>
              </w:rPr>
              <w:t>the median estimate</w:t>
            </w:r>
            <w:r>
              <w:rPr>
                <w:spacing w:val="-2"/>
              </w:rPr>
              <w:t>d</w:t>
            </w:r>
            <w:r w:rsidRPr="00320596">
              <w:rPr>
                <w:spacing w:val="-2"/>
              </w:rPr>
              <w:t xml:space="preserve"> cost curve</w:t>
            </w:r>
            <w:r>
              <w:rPr>
                <w:spacing w:val="-2"/>
              </w:rPr>
              <w:t xml:space="preserve"> for a </w:t>
            </w:r>
            <w:r w:rsidRPr="00655794">
              <w:rPr>
                <w:spacing w:val="-2"/>
              </w:rPr>
              <w:t xml:space="preserve">single fund </w:t>
            </w:r>
            <w:r>
              <w:rPr>
                <w:spacing w:val="-2"/>
              </w:rPr>
              <w:t>chosen for illustrative purposes</w:t>
            </w:r>
            <w:r w:rsidRPr="00655794">
              <w:rPr>
                <w:spacing w:val="-2"/>
              </w:rPr>
              <w:t>; the</w:t>
            </w:r>
            <w:r>
              <w:rPr>
                <w:spacing w:val="-2"/>
              </w:rPr>
              <w:t xml:space="preserve"> curves</w:t>
            </w:r>
            <w:r w:rsidRPr="00655794">
              <w:rPr>
                <w:spacing w:val="-2"/>
              </w:rPr>
              <w:t xml:space="preserve"> are not representative of </w:t>
            </w:r>
            <w:r>
              <w:rPr>
                <w:spacing w:val="-2"/>
              </w:rPr>
              <w:t>all funds within a segment</w:t>
            </w:r>
            <w:r w:rsidRPr="00655794">
              <w:rPr>
                <w:spacing w:val="-2"/>
              </w:rPr>
              <w:t xml:space="preserve">. </w:t>
            </w:r>
            <w:r w:rsidRPr="00655794">
              <w:rPr>
                <w:rStyle w:val="NoteLabel"/>
                <w:spacing w:val="-2"/>
              </w:rPr>
              <w:t>b</w:t>
            </w:r>
            <w:r w:rsidRPr="00655794">
              <w:rPr>
                <w:spacing w:val="-2"/>
              </w:rPr>
              <w:t xml:space="preserve"> Curves estimated using data over 2004–2016. Small funds had assets of less than </w:t>
            </w:r>
            <w:r w:rsidRPr="00655794">
              <w:rPr>
                <w:b/>
                <w:spacing w:val="-2"/>
              </w:rPr>
              <w:t>$1 billion</w:t>
            </w:r>
            <w:r w:rsidRPr="00655794">
              <w:rPr>
                <w:spacing w:val="-2"/>
              </w:rPr>
              <w:t xml:space="preserve">, and large funds of more than </w:t>
            </w:r>
            <w:r w:rsidRPr="00655794">
              <w:rPr>
                <w:b/>
                <w:spacing w:val="-2"/>
              </w:rPr>
              <w:t>$50 billion</w:t>
            </w:r>
            <w:r w:rsidRPr="00655794">
              <w:rPr>
                <w:spacing w:val="-2"/>
              </w:rPr>
              <w:t xml:space="preserve">, when last observed in the data. </w:t>
            </w:r>
            <w:r w:rsidRPr="00655794">
              <w:rPr>
                <w:rStyle w:val="NoteLabel"/>
                <w:spacing w:val="-2"/>
              </w:rPr>
              <w:t>c</w:t>
            </w:r>
            <w:r w:rsidRPr="00655794">
              <w:rPr>
                <w:spacing w:val="-2"/>
              </w:rPr>
              <w:t> No example is presented for a large corporate fund</w:t>
            </w:r>
            <w:r>
              <w:rPr>
                <w:spacing w:val="-2"/>
              </w:rPr>
              <w:t> — </w:t>
            </w:r>
            <w:r w:rsidR="00E13030">
              <w:rPr>
                <w:spacing w:val="-2"/>
              </w:rPr>
              <w:t>no</w:t>
            </w:r>
            <w:r w:rsidRPr="00655794">
              <w:rPr>
                <w:spacing w:val="-2"/>
              </w:rPr>
              <w:t xml:space="preserve"> corporate fund in the dataset </w:t>
            </w:r>
            <w:r w:rsidR="00E13030">
              <w:rPr>
                <w:spacing w:val="-2"/>
              </w:rPr>
              <w:t>is</w:t>
            </w:r>
            <w:r w:rsidRPr="00655794">
              <w:rPr>
                <w:spacing w:val="-2"/>
              </w:rPr>
              <w:t xml:space="preserve"> </w:t>
            </w:r>
            <w:r w:rsidR="00FF1FDE">
              <w:rPr>
                <w:spacing w:val="-2"/>
              </w:rPr>
              <w:t>large</w:t>
            </w:r>
            <w:r w:rsidRPr="00655794">
              <w:rPr>
                <w:spacing w:val="-2"/>
              </w:rPr>
              <w:t>.</w:t>
            </w:r>
          </w:p>
        </w:tc>
      </w:tr>
      <w:tr w:rsidR="00375E12" w:rsidRPr="00176D3F" w:rsidTr="00162E59">
        <w:tc>
          <w:tcPr>
            <w:tcW w:w="5000" w:type="pct"/>
            <w:tcBorders>
              <w:top w:val="nil"/>
              <w:left w:val="nil"/>
              <w:bottom w:val="nil"/>
              <w:right w:val="nil"/>
            </w:tcBorders>
            <w:shd w:val="clear" w:color="auto" w:fill="auto"/>
          </w:tcPr>
          <w:p w:rsidR="00375E12" w:rsidRPr="00176D3F" w:rsidRDefault="00323699" w:rsidP="00162E59">
            <w:pPr>
              <w:pStyle w:val="Source"/>
            </w:pPr>
            <w:r>
              <w:rPr>
                <w:i/>
              </w:rPr>
              <w:t>S</w:t>
            </w:r>
            <w:r w:rsidR="00375E12" w:rsidRPr="00784A05">
              <w:rPr>
                <w:i/>
              </w:rPr>
              <w:t>ource</w:t>
            </w:r>
            <w:r w:rsidR="00375E12" w:rsidRPr="00176D3F">
              <w:t xml:space="preserve">: </w:t>
            </w:r>
            <w:r w:rsidR="00BB5496">
              <w:rPr>
                <w:rFonts w:eastAsia="+mn-ea" w:cs="Arial"/>
                <w:color w:val="000000" w:themeColor="text1"/>
                <w:kern w:val="24"/>
                <w:szCs w:val="18"/>
              </w:rPr>
              <w:t xml:space="preserve">PC analysis of APRA </w:t>
            </w:r>
            <w:r w:rsidR="002248A8" w:rsidRPr="0018371D">
              <w:rPr>
                <w:rFonts w:eastAsia="+mn-ea" w:cs="Arial"/>
                <w:color w:val="000000" w:themeColor="text1"/>
                <w:kern w:val="24"/>
                <w:szCs w:val="18"/>
              </w:rPr>
              <w:t>data</w:t>
            </w:r>
            <w:r w:rsidR="00BB5496">
              <w:rPr>
                <w:rFonts w:eastAsia="+mn-ea" w:cs="Arial"/>
                <w:color w:val="000000" w:themeColor="text1"/>
                <w:kern w:val="24"/>
                <w:szCs w:val="18"/>
              </w:rPr>
              <w:t xml:space="preserve"> and SR data</w:t>
            </w:r>
            <w:r w:rsidR="00EC1D49">
              <w:rPr>
                <w:rFonts w:eastAsia="+mn-ea" w:cs="Arial"/>
                <w:color w:val="000000" w:themeColor="text1"/>
                <w:kern w:val="24"/>
                <w:szCs w:val="18"/>
              </w:rPr>
              <w:t xml:space="preserve"> — sample of funds</w:t>
            </w:r>
            <w:r w:rsidR="00BB5496">
              <w:rPr>
                <w:rFonts w:eastAsia="+mn-ea" w:cs="Arial"/>
                <w:color w:val="000000" w:themeColor="text1"/>
                <w:kern w:val="24"/>
                <w:szCs w:val="18"/>
              </w:rPr>
              <w:t>.</w:t>
            </w:r>
          </w:p>
        </w:tc>
      </w:tr>
      <w:tr w:rsidR="00375E12" w:rsidTr="00162E59">
        <w:tc>
          <w:tcPr>
            <w:tcW w:w="5000" w:type="pct"/>
            <w:tcBorders>
              <w:top w:val="nil"/>
              <w:left w:val="nil"/>
              <w:bottom w:val="single" w:sz="6" w:space="0" w:color="78A22F"/>
              <w:right w:val="nil"/>
            </w:tcBorders>
            <w:shd w:val="clear" w:color="auto" w:fill="auto"/>
          </w:tcPr>
          <w:p w:rsidR="00375E12" w:rsidRDefault="00375E12" w:rsidP="00162E59">
            <w:pPr>
              <w:pStyle w:val="Figurespace"/>
            </w:pPr>
          </w:p>
        </w:tc>
      </w:tr>
      <w:tr w:rsidR="00375E12" w:rsidRPr="000863A5" w:rsidTr="00162E59">
        <w:tc>
          <w:tcPr>
            <w:tcW w:w="5000" w:type="pct"/>
            <w:tcBorders>
              <w:top w:val="single" w:sz="6" w:space="0" w:color="78A22F"/>
              <w:left w:val="nil"/>
              <w:bottom w:val="nil"/>
              <w:right w:val="nil"/>
            </w:tcBorders>
          </w:tcPr>
          <w:p w:rsidR="00375E12" w:rsidRPr="00626D32" w:rsidRDefault="00375E12" w:rsidP="00162E59">
            <w:pPr>
              <w:pStyle w:val="BoxSpaceBelow"/>
            </w:pPr>
          </w:p>
        </w:tc>
      </w:tr>
    </w:tbl>
    <w:p w:rsidR="001149AC" w:rsidRDefault="001149AC" w:rsidP="001149A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49AC" w:rsidTr="001149AC">
        <w:trPr>
          <w:tblHeader/>
        </w:trPr>
        <w:tc>
          <w:tcPr>
            <w:tcW w:w="5000" w:type="pct"/>
            <w:tcBorders>
              <w:top w:val="single" w:sz="6" w:space="0" w:color="78A22F"/>
              <w:left w:val="nil"/>
              <w:bottom w:val="nil"/>
              <w:right w:val="nil"/>
            </w:tcBorders>
            <w:shd w:val="clear" w:color="auto" w:fill="auto"/>
          </w:tcPr>
          <w:p w:rsidR="001149AC" w:rsidRDefault="001149AC" w:rsidP="001149AC">
            <w:pPr>
              <w:pStyle w:val="FigureTitle"/>
            </w:pPr>
            <w:r w:rsidRPr="00784A05">
              <w:rPr>
                <w:b w:val="0"/>
              </w:rPr>
              <w:t xml:space="preserve">Figure </w:t>
            </w:r>
            <w:bookmarkStart w:id="36" w:name="OLE_LINK18"/>
            <w:r w:rsidR="004325AA">
              <w:rPr>
                <w:b w:val="0"/>
                <w:noProof/>
              </w:rPr>
              <w:t>9</w:t>
            </w:r>
            <w:bookmarkEnd w:id="36"/>
            <w:r>
              <w:tab/>
            </w:r>
            <w:r w:rsidR="00C71AC2">
              <w:t xml:space="preserve">Most funds’ </w:t>
            </w:r>
            <w:r w:rsidR="00AC19A3">
              <w:t>administration</w:t>
            </w:r>
            <w:r w:rsidR="00C71AC2">
              <w:t xml:space="preserve"> c</w:t>
            </w:r>
            <w:r w:rsidR="000F69AC">
              <w:t xml:space="preserve">ost functions </w:t>
            </w:r>
            <w:r w:rsidR="00C71AC2">
              <w:t>exhibit</w:t>
            </w:r>
            <w:r w:rsidR="000F69AC">
              <w:t xml:space="preserve"> </w:t>
            </w:r>
            <w:r w:rsidR="00993BB2">
              <w:t>economies of scale</w:t>
            </w:r>
            <w:r w:rsidR="00993BB2" w:rsidRPr="001E3030">
              <w:rPr>
                <w:rStyle w:val="NoteLabel"/>
                <w:b/>
              </w:rPr>
              <w:t>a</w:t>
            </w:r>
          </w:p>
          <w:p w:rsidR="001149AC" w:rsidRPr="00176D3F" w:rsidRDefault="000C7F0F" w:rsidP="00A87B4A">
            <w:pPr>
              <w:pStyle w:val="Subtitle"/>
            </w:pPr>
            <w:r>
              <w:t>P</w:t>
            </w:r>
            <w:r w:rsidR="00C71AC2">
              <w:t>ower coefficient</w:t>
            </w:r>
            <w:r w:rsidR="00993BB2">
              <w:t xml:space="preserve"> estimates</w:t>
            </w:r>
            <w:r w:rsidR="00C71AC2">
              <w:t>,</w:t>
            </w:r>
            <w:r w:rsidR="00C71AC2" w:rsidRPr="00CB24B0">
              <w:t xml:space="preserve"> </w:t>
            </w:r>
            <w:r w:rsidR="00AC19A3">
              <w:t>administration</w:t>
            </w:r>
            <w:r w:rsidR="00C71AC2" w:rsidRPr="00CB24B0">
              <w:t xml:space="preserve"> expenses</w:t>
            </w:r>
          </w:p>
        </w:tc>
      </w:tr>
      <w:tr w:rsidR="001149AC" w:rsidTr="00806CCC">
        <w:trPr>
          <w:trHeight w:val="4365"/>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49AC" w:rsidRPr="00B1465D" w:rsidTr="001E3030">
              <w:trPr>
                <w:trHeight w:val="4643"/>
                <w:tblHeader/>
                <w:jc w:val="center"/>
              </w:trPr>
              <w:tc>
                <w:tcPr>
                  <w:tcW w:w="5000" w:type="pct"/>
                  <w:tcBorders>
                    <w:top w:val="nil"/>
                    <w:bottom w:val="nil"/>
                  </w:tcBorders>
                </w:tcPr>
                <w:p w:rsidR="001149AC" w:rsidRDefault="00610D79" w:rsidP="001149AC">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27D0D947" wp14:editId="122C46DF">
                        <wp:extent cx="5265936" cy="2620891"/>
                        <wp:effectExtent l="0" t="0" r="0" b="0"/>
                        <wp:docPr id="11" name="Picture 11" descr="The figure shows the estimated range of the administration power coefficient for each fund type represented as a vertical bar. The plot is split into three parts: the top part corresponds to diseconomies of scale, the middle part corresponds to economies of scale, and the bottom part corresponds to decreasing cost. Most funds have bars lying in the economies of scale region, suggesting economies of scale in administration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85" b="1245"/>
                                <a:stretch/>
                              </pic:blipFill>
                              <pic:spPr bwMode="auto">
                                <a:xfrm>
                                  <a:off x="0" y="0"/>
                                  <a:ext cx="5269176" cy="262250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559"/>
                    <w:gridCol w:w="6935"/>
                  </w:tblGrid>
                  <w:tr w:rsidR="008E3729" w:rsidTr="00580558">
                    <w:trPr>
                      <w:tblHeader/>
                    </w:trPr>
                    <w:tc>
                      <w:tcPr>
                        <w:tcW w:w="1559" w:type="dxa"/>
                        <w:shd w:val="clear" w:color="auto" w:fill="F2F2F2" w:themeFill="background1" w:themeFillShade="F2"/>
                      </w:tcPr>
                      <w:p w:rsidR="008E3729" w:rsidRDefault="00573776" w:rsidP="008E3729">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8E3729" w:rsidRDefault="00404508" w:rsidP="008E3729">
                        <w:pPr>
                          <w:pStyle w:val="Figure"/>
                          <w:spacing w:before="0" w:after="0"/>
                          <w:jc w:val="left"/>
                          <w:rPr>
                            <w:rFonts w:ascii="Arial" w:hAnsi="Arial" w:cs="Arial"/>
                            <w:sz w:val="18"/>
                            <w:szCs w:val="18"/>
                          </w:rPr>
                        </w:pPr>
                        <w:r w:rsidRPr="000E45B5">
                          <w:rPr>
                            <w:rFonts w:ascii="Arial" w:eastAsia="+mn-ea" w:hAnsi="Arial" w:cs="Arial"/>
                            <w:color w:val="000000" w:themeColor="text1"/>
                            <w:kern w:val="24"/>
                            <w:sz w:val="18"/>
                            <w:szCs w:val="18"/>
                          </w:rPr>
                          <w:t>PC analysis of APRA data</w:t>
                        </w:r>
                        <w:r>
                          <w:rPr>
                            <w:rFonts w:ascii="Arial" w:eastAsia="+mn-ea" w:hAnsi="Arial" w:cs="Arial"/>
                            <w:color w:val="000000" w:themeColor="text1"/>
                            <w:kern w:val="24"/>
                            <w:sz w:val="18"/>
                            <w:szCs w:val="18"/>
                          </w:rPr>
                          <w:t>.</w:t>
                        </w:r>
                      </w:p>
                    </w:tc>
                  </w:tr>
                  <w:tr w:rsidR="008E3729" w:rsidRPr="001F53B0" w:rsidTr="00580558">
                    <w:tc>
                      <w:tcPr>
                        <w:tcW w:w="1559" w:type="dxa"/>
                        <w:shd w:val="clear" w:color="auto" w:fill="F2F2F2" w:themeFill="background1" w:themeFillShade="F2"/>
                      </w:tcPr>
                      <w:p w:rsidR="008E3729" w:rsidRDefault="008E3729" w:rsidP="008E3729">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8E3729" w:rsidRPr="001F53B0" w:rsidRDefault="00DC579E" w:rsidP="00DC579E">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494</w:t>
                        </w:r>
                        <w:r w:rsidR="008E3729">
                          <w:rPr>
                            <w:rFonts w:ascii="Arial" w:eastAsia="+mn-ea" w:hAnsi="Arial" w:cs="Arial"/>
                            <w:color w:val="000000" w:themeColor="text1"/>
                            <w:kern w:val="24"/>
                            <w:sz w:val="18"/>
                            <w:szCs w:val="18"/>
                          </w:rPr>
                          <w:t xml:space="preserve"> </w:t>
                        </w:r>
                        <w:r w:rsidR="008E3729"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w:t>
                        </w:r>
                        <w:r w:rsidR="000F2B85">
                          <w:rPr>
                            <w:rFonts w:ascii="Arial" w:eastAsia="+mn-ea" w:hAnsi="Arial" w:cs="Arial"/>
                            <w:color w:val="000000" w:themeColor="text1"/>
                            <w:kern w:val="24"/>
                            <w:sz w:val="18"/>
                            <w:szCs w:val="18"/>
                          </w:rPr>
                          <w:t>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w:t>
                        </w:r>
                        <w:r w:rsidR="000F2B85">
                          <w:rPr>
                            <w:rFonts w:ascii="Arial" w:eastAsia="+mn-ea" w:hAnsi="Arial" w:cs="Arial"/>
                            <w:color w:val="000000" w:themeColor="text1"/>
                            <w:kern w:val="24"/>
                            <w:sz w:val="18"/>
                            <w:szCs w:val="18"/>
                          </w:rPr>
                          <w:t>by assets</w:t>
                        </w:r>
                        <w:r>
                          <w:rPr>
                            <w:rFonts w:ascii="Arial" w:eastAsia="+mn-ea" w:hAnsi="Arial" w:cs="Arial"/>
                            <w:color w:val="000000" w:themeColor="text1"/>
                            <w:kern w:val="24"/>
                            <w:sz w:val="18"/>
                            <w:szCs w:val="18"/>
                          </w:rPr>
                          <w:t xml:space="preserve"> 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05 respectively</w:t>
                        </w:r>
                        <w:r w:rsidR="008E3729">
                          <w:rPr>
                            <w:rFonts w:ascii="Arial" w:eastAsia="+mn-ea" w:hAnsi="Arial" w:cs="Arial"/>
                            <w:color w:val="000000" w:themeColor="text1"/>
                            <w:kern w:val="24"/>
                            <w:sz w:val="18"/>
                            <w:szCs w:val="18"/>
                          </w:rPr>
                          <w:t xml:space="preserve">. </w:t>
                        </w:r>
                        <w:r w:rsidR="0050743B">
                          <w:rPr>
                            <w:rFonts w:ascii="Arial" w:eastAsia="+mn-ea" w:hAnsi="Arial" w:cs="Arial"/>
                            <w:color w:val="000000" w:themeColor="text1"/>
                            <w:kern w:val="24"/>
                            <w:sz w:val="18"/>
                            <w:szCs w:val="18"/>
                          </w:rPr>
                          <w:t>Excludes funds with less than two years of data.</w:t>
                        </w:r>
                      </w:p>
                    </w:tc>
                  </w:tr>
                </w:tbl>
                <w:p w:rsidR="001149AC" w:rsidRPr="00B1465D" w:rsidRDefault="001149AC" w:rsidP="001149AC">
                  <w:pPr>
                    <w:pStyle w:val="Figure"/>
                    <w:spacing w:before="60" w:after="60"/>
                    <w:rPr>
                      <w:rFonts w:ascii="Arial" w:hAnsi="Arial" w:cs="Arial"/>
                      <w:sz w:val="18"/>
                      <w:szCs w:val="18"/>
                    </w:rPr>
                  </w:pPr>
                </w:p>
              </w:tc>
            </w:tr>
          </w:tbl>
          <w:p w:rsidR="001149AC" w:rsidRDefault="001149AC" w:rsidP="001149AC">
            <w:pPr>
              <w:pStyle w:val="Figure"/>
            </w:pPr>
          </w:p>
        </w:tc>
      </w:tr>
      <w:tr w:rsidR="001149AC" w:rsidRPr="00261706" w:rsidTr="001149AC">
        <w:tc>
          <w:tcPr>
            <w:tcW w:w="5000" w:type="pct"/>
            <w:tcBorders>
              <w:top w:val="nil"/>
              <w:left w:val="nil"/>
              <w:bottom w:val="nil"/>
              <w:right w:val="nil"/>
            </w:tcBorders>
            <w:shd w:val="clear" w:color="auto" w:fill="auto"/>
          </w:tcPr>
          <w:p w:rsidR="001149AC" w:rsidRPr="00642256" w:rsidRDefault="001149AC" w:rsidP="00642256">
            <w:pPr>
              <w:pStyle w:val="Note"/>
              <w:spacing w:line="200" w:lineRule="exact"/>
              <w:rPr>
                <w:spacing w:val="-2"/>
                <w:szCs w:val="18"/>
              </w:rPr>
            </w:pPr>
            <w:r w:rsidRPr="00642256">
              <w:rPr>
                <w:rStyle w:val="NoteLabel"/>
                <w:spacing w:val="-2"/>
                <w:szCs w:val="18"/>
              </w:rPr>
              <w:t>a</w:t>
            </w:r>
            <w:r w:rsidRPr="00642256">
              <w:rPr>
                <w:spacing w:val="-2"/>
                <w:szCs w:val="18"/>
              </w:rPr>
              <w:t xml:space="preserve"> </w:t>
            </w:r>
            <w:r w:rsidR="00C1578D" w:rsidRPr="00642256">
              <w:rPr>
                <w:spacing w:val="-2"/>
                <w:szCs w:val="18"/>
              </w:rPr>
              <w:t>The</w:t>
            </w:r>
            <w:r w:rsidR="00C71AC2" w:rsidRPr="00642256">
              <w:rPr>
                <w:spacing w:val="-2"/>
                <w:szCs w:val="18"/>
              </w:rPr>
              <w:t xml:space="preserve"> power coefficient </w:t>
            </w:r>
            <w:r w:rsidR="00C1578D" w:rsidRPr="00642256">
              <w:rPr>
                <w:spacing w:val="-2"/>
                <w:szCs w:val="18"/>
              </w:rPr>
              <w:t>summarises</w:t>
            </w:r>
            <w:r w:rsidR="00C71AC2" w:rsidRPr="00642256">
              <w:rPr>
                <w:spacing w:val="-2"/>
                <w:szCs w:val="18"/>
              </w:rPr>
              <w:t xml:space="preserve"> the </w:t>
            </w:r>
            <w:r w:rsidR="00C1578D" w:rsidRPr="00642256">
              <w:rPr>
                <w:spacing w:val="-2"/>
                <w:szCs w:val="18"/>
              </w:rPr>
              <w:t>relationship</w:t>
            </w:r>
            <w:r w:rsidR="00C71AC2" w:rsidRPr="00642256">
              <w:rPr>
                <w:spacing w:val="-2"/>
                <w:szCs w:val="18"/>
              </w:rPr>
              <w:t xml:space="preserve"> between costs and scale </w:t>
            </w:r>
            <w:r w:rsidR="00C1578D" w:rsidRPr="00642256">
              <w:rPr>
                <w:spacing w:val="-2"/>
                <w:szCs w:val="18"/>
              </w:rPr>
              <w:t>in</w:t>
            </w:r>
            <w:r w:rsidR="00C71AC2" w:rsidRPr="00642256">
              <w:rPr>
                <w:spacing w:val="-2"/>
                <w:szCs w:val="18"/>
              </w:rPr>
              <w:t xml:space="preserve"> a </w:t>
            </w:r>
            <w:r w:rsidR="00C1578D" w:rsidRPr="00642256">
              <w:rPr>
                <w:spacing w:val="-2"/>
                <w:szCs w:val="18"/>
              </w:rPr>
              <w:t>fund’s cost function.</w:t>
            </w:r>
            <w:r w:rsidR="00D92FD4" w:rsidRPr="00642256">
              <w:rPr>
                <w:spacing w:val="-2"/>
                <w:szCs w:val="18"/>
              </w:rPr>
              <w:t xml:space="preserve"> </w:t>
            </w:r>
            <w:r w:rsidR="002439B1" w:rsidRPr="00642256">
              <w:rPr>
                <w:spacing w:val="-2"/>
                <w:szCs w:val="18"/>
              </w:rPr>
              <w:t>Estimates spanning the 2.5</w:t>
            </w:r>
            <w:r w:rsidR="002439B1" w:rsidRPr="00642256">
              <w:rPr>
                <w:spacing w:val="-2"/>
                <w:szCs w:val="18"/>
                <w:vertAlign w:val="superscript"/>
              </w:rPr>
              <w:t>th</w:t>
            </w:r>
            <w:r w:rsidR="002439B1" w:rsidRPr="00642256">
              <w:rPr>
                <w:spacing w:val="-2"/>
                <w:szCs w:val="18"/>
              </w:rPr>
              <w:t xml:space="preserve"> and 97.5</w:t>
            </w:r>
            <w:r w:rsidR="002439B1" w:rsidRPr="00642256">
              <w:rPr>
                <w:spacing w:val="-2"/>
                <w:szCs w:val="18"/>
                <w:vertAlign w:val="superscript"/>
              </w:rPr>
              <w:t>th</w:t>
            </w:r>
            <w:r w:rsidR="002439B1" w:rsidRPr="00642256">
              <w:rPr>
                <w:spacing w:val="-2"/>
                <w:szCs w:val="18"/>
              </w:rPr>
              <w:t xml:space="preserve"> percentiles are presented for each fund.</w:t>
            </w:r>
            <w:r w:rsidR="00610D79" w:rsidRPr="00642256">
              <w:rPr>
                <w:spacing w:val="-2"/>
                <w:szCs w:val="18"/>
              </w:rPr>
              <w:t xml:space="preserve"> </w:t>
            </w:r>
            <w:r w:rsidR="0055574C" w:rsidRPr="00642256">
              <w:rPr>
                <w:spacing w:val="-2"/>
                <w:szCs w:val="18"/>
              </w:rPr>
              <w:t>B</w:t>
            </w:r>
            <w:r w:rsidR="00610D79" w:rsidRPr="00642256">
              <w:rPr>
                <w:spacing w:val="-2"/>
                <w:szCs w:val="18"/>
              </w:rPr>
              <w:t>lack dot</w:t>
            </w:r>
            <w:r w:rsidR="005174FA" w:rsidRPr="00642256">
              <w:rPr>
                <w:spacing w:val="-2"/>
                <w:szCs w:val="18"/>
              </w:rPr>
              <w:t>s</w:t>
            </w:r>
            <w:r w:rsidR="00610D79" w:rsidRPr="00642256">
              <w:rPr>
                <w:spacing w:val="-2"/>
                <w:szCs w:val="18"/>
              </w:rPr>
              <w:t xml:space="preserve"> represent the median for each fund.</w:t>
            </w:r>
          </w:p>
        </w:tc>
      </w:tr>
      <w:tr w:rsidR="001149AC" w:rsidTr="001149AC">
        <w:tc>
          <w:tcPr>
            <w:tcW w:w="5000" w:type="pct"/>
            <w:tcBorders>
              <w:top w:val="nil"/>
              <w:left w:val="nil"/>
              <w:bottom w:val="single" w:sz="6" w:space="0" w:color="78A22F"/>
              <w:right w:val="nil"/>
            </w:tcBorders>
            <w:shd w:val="clear" w:color="auto" w:fill="auto"/>
          </w:tcPr>
          <w:p w:rsidR="001149AC" w:rsidRDefault="001149AC" w:rsidP="001149AC">
            <w:pPr>
              <w:pStyle w:val="Figurespace"/>
            </w:pPr>
          </w:p>
        </w:tc>
      </w:tr>
      <w:tr w:rsidR="001149AC" w:rsidRPr="000863A5" w:rsidTr="001149AC">
        <w:tc>
          <w:tcPr>
            <w:tcW w:w="5000" w:type="pct"/>
            <w:tcBorders>
              <w:top w:val="single" w:sz="6" w:space="0" w:color="78A22F"/>
              <w:left w:val="nil"/>
              <w:bottom w:val="nil"/>
              <w:right w:val="nil"/>
            </w:tcBorders>
          </w:tcPr>
          <w:p w:rsidR="001149AC" w:rsidRPr="00626D32" w:rsidRDefault="001149AC" w:rsidP="001149AC">
            <w:pPr>
              <w:pStyle w:val="BoxSpaceBelow"/>
            </w:pPr>
          </w:p>
        </w:tc>
      </w:tr>
    </w:tbl>
    <w:p w:rsidR="00571F25" w:rsidRDefault="00571F25" w:rsidP="00571F2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71F25" w:rsidTr="00571F25">
        <w:trPr>
          <w:tblHeader/>
        </w:trPr>
        <w:tc>
          <w:tcPr>
            <w:tcW w:w="5000" w:type="pct"/>
            <w:tcBorders>
              <w:top w:val="single" w:sz="6" w:space="0" w:color="78A22F"/>
              <w:left w:val="nil"/>
              <w:bottom w:val="nil"/>
              <w:right w:val="nil"/>
            </w:tcBorders>
            <w:shd w:val="clear" w:color="auto" w:fill="auto"/>
          </w:tcPr>
          <w:p w:rsidR="001856A3" w:rsidRDefault="00571F25" w:rsidP="001856A3">
            <w:pPr>
              <w:pStyle w:val="FigureTitle"/>
            </w:pPr>
            <w:r w:rsidRPr="00784A05">
              <w:rPr>
                <w:b w:val="0"/>
              </w:rPr>
              <w:t xml:space="preserve">Figure </w:t>
            </w:r>
            <w:bookmarkStart w:id="37" w:name="OLE_LINK20"/>
            <w:r w:rsidR="004325AA">
              <w:rPr>
                <w:b w:val="0"/>
                <w:noProof/>
              </w:rPr>
              <w:t>10</w:t>
            </w:r>
            <w:bookmarkEnd w:id="37"/>
            <w:r>
              <w:tab/>
            </w:r>
            <w:r w:rsidR="00EF6693">
              <w:t>M</w:t>
            </w:r>
            <w:r w:rsidR="001856A3">
              <w:t xml:space="preserve">ost funds’ investment cost functions exhibit </w:t>
            </w:r>
            <w:r w:rsidR="002248A8">
              <w:t>economies of scale</w:t>
            </w:r>
            <w:r w:rsidR="001856A3" w:rsidRPr="00ED324C">
              <w:rPr>
                <w:rStyle w:val="NoteLabel"/>
                <w:b/>
              </w:rPr>
              <w:t>a</w:t>
            </w:r>
          </w:p>
          <w:p w:rsidR="00571F25" w:rsidRPr="00176D3F" w:rsidRDefault="0034009C" w:rsidP="00571F25">
            <w:pPr>
              <w:pStyle w:val="Subtitle"/>
            </w:pPr>
            <w:r>
              <w:t>P</w:t>
            </w:r>
            <w:r w:rsidR="001856A3">
              <w:t>ower coefficient</w:t>
            </w:r>
            <w:r w:rsidR="00EF6693">
              <w:t xml:space="preserve"> estimates</w:t>
            </w:r>
            <w:r w:rsidR="001856A3">
              <w:t>,</w:t>
            </w:r>
            <w:r w:rsidR="001856A3" w:rsidRPr="00CB24B0">
              <w:t xml:space="preserve"> </w:t>
            </w:r>
            <w:r w:rsidR="001856A3">
              <w:t>investment</w:t>
            </w:r>
            <w:r w:rsidR="001856A3" w:rsidRPr="00CB24B0">
              <w:t xml:space="preserve"> expenses</w:t>
            </w:r>
          </w:p>
        </w:tc>
      </w:tr>
      <w:tr w:rsidR="00571F25" w:rsidTr="00262154">
        <w:trPr>
          <w:trHeight w:val="4535"/>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71F25" w:rsidRPr="00B1465D" w:rsidTr="00571F25">
              <w:trPr>
                <w:tblHeader/>
                <w:jc w:val="center"/>
              </w:trPr>
              <w:tc>
                <w:tcPr>
                  <w:tcW w:w="5000" w:type="pct"/>
                  <w:tcBorders>
                    <w:top w:val="nil"/>
                    <w:bottom w:val="nil"/>
                  </w:tcBorders>
                </w:tcPr>
                <w:p w:rsidR="00571F25" w:rsidRDefault="00610D79" w:rsidP="00571F25">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47A796D4" wp14:editId="0352173D">
                        <wp:extent cx="5351145" cy="2542869"/>
                        <wp:effectExtent l="0" t="0" r="0" b="0"/>
                        <wp:docPr id="18" name="Picture 18" descr="The figure shows the estimated range of the investment power coefficient for each fund type represented as a vertical bar. The plot is split into three parts: the top part corresponds to diseconomies of scale, the middle part corresponds to economies of scale, and the bottom part corresponds to decreasing cost. Most funds have bars lying in the economies of scale region, suggesting economies of scale in investment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80" b="3179"/>
                                <a:stretch/>
                              </pic:blipFill>
                              <pic:spPr bwMode="auto">
                                <a:xfrm>
                                  <a:off x="0" y="0"/>
                                  <a:ext cx="5365141" cy="254952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559"/>
                    <w:gridCol w:w="6935"/>
                  </w:tblGrid>
                  <w:tr w:rsidR="00DC579E" w:rsidTr="00580558">
                    <w:trPr>
                      <w:tblHeader/>
                    </w:trPr>
                    <w:tc>
                      <w:tcPr>
                        <w:tcW w:w="1559" w:type="dxa"/>
                        <w:shd w:val="clear" w:color="auto" w:fill="F2F2F2" w:themeFill="background1" w:themeFillShade="F2"/>
                      </w:tcPr>
                      <w:p w:rsidR="00DC579E" w:rsidRDefault="000E45B5" w:rsidP="00DC579E">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DC579E" w:rsidRDefault="000E45B5" w:rsidP="00DC579E">
                        <w:pPr>
                          <w:pStyle w:val="Figure"/>
                          <w:spacing w:before="0" w:after="0"/>
                          <w:jc w:val="left"/>
                          <w:rPr>
                            <w:rFonts w:ascii="Arial" w:hAnsi="Arial" w:cs="Arial"/>
                            <w:sz w:val="18"/>
                            <w:szCs w:val="18"/>
                          </w:rPr>
                        </w:pPr>
                        <w:r w:rsidRPr="000E45B5">
                          <w:rPr>
                            <w:rFonts w:ascii="Arial" w:eastAsia="+mn-ea" w:hAnsi="Arial" w:cs="Arial"/>
                            <w:color w:val="000000" w:themeColor="text1"/>
                            <w:kern w:val="24"/>
                            <w:sz w:val="18"/>
                            <w:szCs w:val="18"/>
                          </w:rPr>
                          <w:t>PC analysis of APRA data</w:t>
                        </w:r>
                        <w:r>
                          <w:rPr>
                            <w:rFonts w:ascii="Arial" w:eastAsia="+mn-ea" w:hAnsi="Arial" w:cs="Arial"/>
                            <w:color w:val="000000" w:themeColor="text1"/>
                            <w:kern w:val="24"/>
                            <w:sz w:val="18"/>
                            <w:szCs w:val="18"/>
                          </w:rPr>
                          <w:t>.</w:t>
                        </w:r>
                      </w:p>
                    </w:tc>
                  </w:tr>
                  <w:tr w:rsidR="00DC579E" w:rsidRPr="001F53B0" w:rsidTr="00580558">
                    <w:tc>
                      <w:tcPr>
                        <w:tcW w:w="1559" w:type="dxa"/>
                        <w:shd w:val="clear" w:color="auto" w:fill="F2F2F2" w:themeFill="background1" w:themeFillShade="F2"/>
                      </w:tcPr>
                      <w:p w:rsidR="00DC579E" w:rsidRDefault="00DC579E" w:rsidP="00DC579E">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DC579E" w:rsidRPr="001F53B0" w:rsidRDefault="00DC579E" w:rsidP="00DC579E">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w:t>
                        </w:r>
                        <w:r w:rsidR="000F2B85">
                          <w:rPr>
                            <w:rFonts w:ascii="Arial" w:eastAsia="+mn-ea" w:hAnsi="Arial" w:cs="Arial"/>
                            <w:color w:val="000000" w:themeColor="text1"/>
                            <w:kern w:val="24"/>
                            <w:sz w:val="18"/>
                            <w:szCs w:val="18"/>
                          </w:rPr>
                          <w:t>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w:t>
                        </w:r>
                        <w:r w:rsidR="000F2B85">
                          <w:rPr>
                            <w:rFonts w:ascii="Arial" w:eastAsia="+mn-ea" w:hAnsi="Arial" w:cs="Arial"/>
                            <w:color w:val="000000" w:themeColor="text1"/>
                            <w:kern w:val="24"/>
                            <w:sz w:val="18"/>
                            <w:szCs w:val="18"/>
                          </w:rPr>
                          <w:t>by assets</w:t>
                        </w:r>
                        <w:r>
                          <w:rPr>
                            <w:rFonts w:ascii="Arial" w:eastAsia="+mn-ea" w:hAnsi="Arial" w:cs="Arial"/>
                            <w:color w:val="000000" w:themeColor="text1"/>
                            <w:kern w:val="24"/>
                            <w:sz w:val="18"/>
                            <w:szCs w:val="18"/>
                          </w:rPr>
                          <w:t xml:space="preserve"> 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 xml:space="preserve">05 respectively. </w:t>
                        </w:r>
                        <w:r w:rsidR="0050743B">
                          <w:rPr>
                            <w:rFonts w:ascii="Arial" w:eastAsia="+mn-ea" w:hAnsi="Arial" w:cs="Arial"/>
                            <w:color w:val="000000" w:themeColor="text1"/>
                            <w:kern w:val="24"/>
                            <w:sz w:val="18"/>
                            <w:szCs w:val="18"/>
                          </w:rPr>
                          <w:t>Excludes funds with less than two years of data.</w:t>
                        </w:r>
                      </w:p>
                    </w:tc>
                  </w:tr>
                </w:tbl>
                <w:p w:rsidR="00571F25" w:rsidRPr="00B1465D" w:rsidRDefault="00571F25" w:rsidP="00571F25">
                  <w:pPr>
                    <w:pStyle w:val="Figure"/>
                    <w:spacing w:before="60" w:after="60"/>
                    <w:rPr>
                      <w:rFonts w:ascii="Arial" w:hAnsi="Arial" w:cs="Arial"/>
                      <w:sz w:val="18"/>
                      <w:szCs w:val="18"/>
                    </w:rPr>
                  </w:pPr>
                </w:p>
              </w:tc>
            </w:tr>
          </w:tbl>
          <w:p w:rsidR="00571F25" w:rsidRDefault="00571F25" w:rsidP="00571F25">
            <w:pPr>
              <w:pStyle w:val="Figure"/>
            </w:pPr>
          </w:p>
        </w:tc>
      </w:tr>
      <w:tr w:rsidR="00571F25" w:rsidRPr="00176D3F" w:rsidTr="00571F25">
        <w:tc>
          <w:tcPr>
            <w:tcW w:w="5000" w:type="pct"/>
            <w:tcBorders>
              <w:top w:val="nil"/>
              <w:left w:val="nil"/>
              <w:bottom w:val="nil"/>
              <w:right w:val="nil"/>
            </w:tcBorders>
            <w:shd w:val="clear" w:color="auto" w:fill="auto"/>
          </w:tcPr>
          <w:p w:rsidR="00571F25" w:rsidRPr="00642256" w:rsidRDefault="00ED2164" w:rsidP="00642256">
            <w:pPr>
              <w:pStyle w:val="Note"/>
              <w:spacing w:line="200" w:lineRule="exact"/>
              <w:rPr>
                <w:szCs w:val="18"/>
              </w:rPr>
            </w:pPr>
            <w:r w:rsidRPr="00642256">
              <w:rPr>
                <w:rStyle w:val="NoteLabel"/>
                <w:szCs w:val="18"/>
              </w:rPr>
              <w:t>a</w:t>
            </w:r>
            <w:r w:rsidRPr="00642256">
              <w:rPr>
                <w:szCs w:val="18"/>
              </w:rPr>
              <w:t xml:space="preserve"> </w:t>
            </w:r>
            <w:r w:rsidRPr="00642256">
              <w:rPr>
                <w:spacing w:val="-2"/>
                <w:szCs w:val="18"/>
              </w:rPr>
              <w:t>The power coefficient summarises the relationship between costs and scale in a fund’s cost function.</w:t>
            </w:r>
            <w:r w:rsidR="00D92FD4" w:rsidRPr="00642256">
              <w:rPr>
                <w:spacing w:val="-2"/>
                <w:szCs w:val="18"/>
              </w:rPr>
              <w:t xml:space="preserve"> </w:t>
            </w:r>
            <w:r w:rsidR="008659A8" w:rsidRPr="00642256">
              <w:rPr>
                <w:spacing w:val="-2"/>
                <w:szCs w:val="18"/>
              </w:rPr>
              <w:t>Estimates spanning the 2.5</w:t>
            </w:r>
            <w:r w:rsidR="008659A8" w:rsidRPr="00642256">
              <w:rPr>
                <w:spacing w:val="-2"/>
                <w:szCs w:val="18"/>
                <w:vertAlign w:val="superscript"/>
              </w:rPr>
              <w:t>th</w:t>
            </w:r>
            <w:r w:rsidR="008659A8" w:rsidRPr="00642256">
              <w:rPr>
                <w:spacing w:val="-2"/>
                <w:szCs w:val="18"/>
              </w:rPr>
              <w:t xml:space="preserve"> and 97.5</w:t>
            </w:r>
            <w:r w:rsidR="008659A8" w:rsidRPr="00642256">
              <w:rPr>
                <w:spacing w:val="-2"/>
                <w:szCs w:val="18"/>
                <w:vertAlign w:val="superscript"/>
              </w:rPr>
              <w:t>th</w:t>
            </w:r>
            <w:r w:rsidR="008659A8" w:rsidRPr="00642256">
              <w:rPr>
                <w:spacing w:val="-2"/>
                <w:szCs w:val="18"/>
              </w:rPr>
              <w:t xml:space="preserve"> percentiles are presented for each fund.</w:t>
            </w:r>
            <w:r w:rsidR="00610D79" w:rsidRPr="00642256">
              <w:rPr>
                <w:spacing w:val="-2"/>
                <w:szCs w:val="18"/>
              </w:rPr>
              <w:t xml:space="preserve"> </w:t>
            </w:r>
            <w:r w:rsidR="0055574C" w:rsidRPr="00642256">
              <w:rPr>
                <w:spacing w:val="-2"/>
                <w:szCs w:val="18"/>
              </w:rPr>
              <w:t>B</w:t>
            </w:r>
            <w:r w:rsidR="00610D79" w:rsidRPr="00642256">
              <w:rPr>
                <w:spacing w:val="-2"/>
                <w:szCs w:val="18"/>
              </w:rPr>
              <w:t>lack dot</w:t>
            </w:r>
            <w:r w:rsidR="00A15FF2" w:rsidRPr="00642256">
              <w:rPr>
                <w:spacing w:val="-2"/>
                <w:szCs w:val="18"/>
              </w:rPr>
              <w:t>s</w:t>
            </w:r>
            <w:r w:rsidR="00610D79" w:rsidRPr="00642256">
              <w:rPr>
                <w:spacing w:val="-2"/>
                <w:szCs w:val="18"/>
              </w:rPr>
              <w:t xml:space="preserve"> represent the median for each fund.</w:t>
            </w:r>
          </w:p>
        </w:tc>
      </w:tr>
      <w:tr w:rsidR="00571F25" w:rsidTr="00571F25">
        <w:tc>
          <w:tcPr>
            <w:tcW w:w="5000" w:type="pct"/>
            <w:tcBorders>
              <w:top w:val="nil"/>
              <w:left w:val="nil"/>
              <w:bottom w:val="single" w:sz="6" w:space="0" w:color="78A22F"/>
              <w:right w:val="nil"/>
            </w:tcBorders>
            <w:shd w:val="clear" w:color="auto" w:fill="auto"/>
          </w:tcPr>
          <w:p w:rsidR="00571F25" w:rsidRDefault="00571F25" w:rsidP="00571F25">
            <w:pPr>
              <w:pStyle w:val="Figurespace"/>
            </w:pPr>
          </w:p>
        </w:tc>
      </w:tr>
      <w:tr w:rsidR="00571F25" w:rsidRPr="000863A5" w:rsidTr="00571F25">
        <w:tc>
          <w:tcPr>
            <w:tcW w:w="5000" w:type="pct"/>
            <w:tcBorders>
              <w:top w:val="single" w:sz="6" w:space="0" w:color="78A22F"/>
              <w:left w:val="nil"/>
              <w:bottom w:val="nil"/>
              <w:right w:val="nil"/>
            </w:tcBorders>
          </w:tcPr>
          <w:p w:rsidR="00571F25" w:rsidRPr="00626D32" w:rsidRDefault="00571F25" w:rsidP="00571F25">
            <w:pPr>
              <w:pStyle w:val="BoxSpaceBelow"/>
            </w:pPr>
          </w:p>
        </w:tc>
      </w:tr>
    </w:tbl>
    <w:p w:rsidR="00C77218" w:rsidRPr="00C77218" w:rsidRDefault="00864FB2" w:rsidP="001E3030">
      <w:pPr>
        <w:pStyle w:val="Heading3"/>
      </w:pPr>
      <w:bookmarkStart w:id="38" w:name="_Toc530748490"/>
      <w:r>
        <w:t>E</w:t>
      </w:r>
      <w:r w:rsidR="00AC40A2">
        <w:t>conomies of scale</w:t>
      </w:r>
      <w:r w:rsidR="001A3A78">
        <w:t xml:space="preserve"> have been realised </w:t>
      </w:r>
      <w:r>
        <w:t xml:space="preserve">across the system </w:t>
      </w:r>
      <w:r w:rsidR="001A3A78">
        <w:t>since 2004</w:t>
      </w:r>
      <w:r w:rsidR="007746BB">
        <w:t xml:space="preserve"> but other expenses have risen</w:t>
      </w:r>
      <w:bookmarkEnd w:id="38"/>
    </w:p>
    <w:p w:rsidR="00613FBC" w:rsidRPr="001440DF" w:rsidRDefault="00613FBC" w:rsidP="001E3030">
      <w:pPr>
        <w:pStyle w:val="Heading4"/>
        <w:spacing w:before="240"/>
      </w:pPr>
      <w:r>
        <w:t xml:space="preserve">Gains </w:t>
      </w:r>
      <w:r w:rsidR="00AD1A0B">
        <w:t xml:space="preserve">are </w:t>
      </w:r>
      <w:r>
        <w:t>evident</w:t>
      </w:r>
    </w:p>
    <w:p w:rsidR="007746BB" w:rsidRDefault="00A37FF3" w:rsidP="001E3030">
      <w:pPr>
        <w:pStyle w:val="BodyText"/>
        <w:rPr>
          <w:spacing w:val="-2"/>
        </w:rPr>
      </w:pPr>
      <w:r>
        <w:rPr>
          <w:spacing w:val="-2"/>
        </w:rPr>
        <w:t>O</w:t>
      </w:r>
      <w:r w:rsidR="00E62693" w:rsidRPr="001E3030">
        <w:rPr>
          <w:spacing w:val="-2"/>
        </w:rPr>
        <w:t>ver the period 2004 to 2017</w:t>
      </w:r>
      <w:r>
        <w:rPr>
          <w:spacing w:val="-2"/>
        </w:rPr>
        <w:t xml:space="preserve">, </w:t>
      </w:r>
      <w:r w:rsidR="00F32A9A" w:rsidRPr="00AD5AD1">
        <w:rPr>
          <w:spacing w:val="-2"/>
        </w:rPr>
        <w:t>abstracting from other factors that influence costs</w:t>
      </w:r>
      <w:r w:rsidR="00BB5935" w:rsidRPr="00AD5AD1">
        <w:rPr>
          <w:spacing w:val="-2"/>
        </w:rPr>
        <w:t>,</w:t>
      </w:r>
      <w:r w:rsidR="00BB5935">
        <w:rPr>
          <w:i/>
          <w:spacing w:val="-2"/>
        </w:rPr>
        <w:t xml:space="preserve"> </w:t>
      </w:r>
      <w:r w:rsidR="00EF6693">
        <w:rPr>
          <w:spacing w:val="-2"/>
        </w:rPr>
        <w:t>the</w:t>
      </w:r>
      <w:r w:rsidR="00BB5935" w:rsidRPr="00BB5935">
        <w:rPr>
          <w:spacing w:val="-2"/>
        </w:rPr>
        <w:t xml:space="preserve"> modelling estimates</w:t>
      </w:r>
      <w:r w:rsidR="00F32A9A">
        <w:rPr>
          <w:spacing w:val="-2"/>
        </w:rPr>
        <w:t xml:space="preserve"> reveal that </w:t>
      </w:r>
      <w:r w:rsidR="00D94BE0">
        <w:rPr>
          <w:spacing w:val="-2"/>
        </w:rPr>
        <w:t xml:space="preserve">the majority of </w:t>
      </w:r>
      <w:r>
        <w:rPr>
          <w:spacing w:val="-2"/>
        </w:rPr>
        <w:t xml:space="preserve">funds have realised economies of scale </w:t>
      </w:r>
      <w:r w:rsidR="00C53612">
        <w:rPr>
          <w:spacing w:val="-2"/>
        </w:rPr>
        <w:t xml:space="preserve">in administration </w:t>
      </w:r>
      <w:r w:rsidR="00864FB2" w:rsidRPr="001E3030">
        <w:rPr>
          <w:spacing w:val="-2"/>
        </w:rPr>
        <w:t>(figure </w:t>
      </w:r>
      <w:r w:rsidR="005D1083">
        <w:t>11</w:t>
      </w:r>
      <w:r w:rsidR="00864FB2" w:rsidRPr="001E3030">
        <w:rPr>
          <w:spacing w:val="-2"/>
        </w:rPr>
        <w:t>)</w:t>
      </w:r>
      <w:r w:rsidR="00C53612">
        <w:rPr>
          <w:spacing w:val="-2"/>
        </w:rPr>
        <w:t xml:space="preserve"> and investment (figure </w:t>
      </w:r>
      <w:r w:rsidR="005D1083">
        <w:t>12</w:t>
      </w:r>
      <w:r w:rsidR="00C53612">
        <w:rPr>
          <w:spacing w:val="-2"/>
        </w:rPr>
        <w:t>)</w:t>
      </w:r>
      <w:r w:rsidR="00F32A9A">
        <w:rPr>
          <w:spacing w:val="-2"/>
        </w:rPr>
        <w:t xml:space="preserve"> expenses</w:t>
      </w:r>
      <w:r w:rsidR="00864FB2" w:rsidRPr="001E3030">
        <w:rPr>
          <w:spacing w:val="-2"/>
        </w:rPr>
        <w:t>.</w:t>
      </w:r>
      <w:r w:rsidR="00F32A9A">
        <w:rPr>
          <w:spacing w:val="-2"/>
        </w:rPr>
        <w:t xml:space="preserve"> In other words, </w:t>
      </w:r>
      <w:r w:rsidR="006A45C5">
        <w:rPr>
          <w:spacing w:val="-2"/>
        </w:rPr>
        <w:t>i</w:t>
      </w:r>
      <w:r w:rsidR="00F32A9A">
        <w:rPr>
          <w:spacing w:val="-2"/>
        </w:rPr>
        <w:t>f nothing else that impacts fund expenses had changed</w:t>
      </w:r>
      <w:r w:rsidR="00D94BE0">
        <w:rPr>
          <w:spacing w:val="-2"/>
        </w:rPr>
        <w:t xml:space="preserve"> over this period</w:t>
      </w:r>
      <w:r w:rsidR="00F32A9A">
        <w:rPr>
          <w:spacing w:val="-2"/>
        </w:rPr>
        <w:t xml:space="preserve">, average expenses </w:t>
      </w:r>
      <w:r w:rsidR="00F56EED">
        <w:rPr>
          <w:spacing w:val="-2"/>
        </w:rPr>
        <w:t>(as distinct from fees charged)</w:t>
      </w:r>
      <w:r w:rsidR="00F32A9A">
        <w:rPr>
          <w:spacing w:val="-2"/>
        </w:rPr>
        <w:t xml:space="preserve"> would have fallen</w:t>
      </w:r>
      <w:r w:rsidR="006A45C5">
        <w:rPr>
          <w:spacing w:val="-2"/>
        </w:rPr>
        <w:t xml:space="preserve"> for </w:t>
      </w:r>
      <w:r w:rsidR="002028A2">
        <w:rPr>
          <w:spacing w:val="-2"/>
        </w:rPr>
        <w:t xml:space="preserve">most </w:t>
      </w:r>
      <w:r w:rsidR="006A45C5">
        <w:rPr>
          <w:spacing w:val="-2"/>
        </w:rPr>
        <w:t>funds</w:t>
      </w:r>
      <w:r w:rsidR="00F32A9A">
        <w:rPr>
          <w:spacing w:val="-2"/>
        </w:rPr>
        <w:t>.</w:t>
      </w:r>
      <w:r w:rsidR="00D94BE0">
        <w:rPr>
          <w:spacing w:val="-2"/>
        </w:rPr>
        <w:t xml:space="preserve"> The black line in each figure </w:t>
      </w:r>
      <w:r w:rsidR="00917970">
        <w:rPr>
          <w:spacing w:val="-2"/>
        </w:rPr>
        <w:t>plots</w:t>
      </w:r>
      <w:r w:rsidR="00CA41AD">
        <w:rPr>
          <w:spacing w:val="-2"/>
        </w:rPr>
        <w:t xml:space="preserve"> individual fund’s </w:t>
      </w:r>
      <w:r w:rsidR="00D94BE0">
        <w:rPr>
          <w:spacing w:val="-2"/>
        </w:rPr>
        <w:t>estimated expenses in 2004</w:t>
      </w:r>
      <w:r w:rsidR="00CA41AD">
        <w:rPr>
          <w:spacing w:val="-2"/>
        </w:rPr>
        <w:t xml:space="preserve"> (or whenever a fund first appears in the dataset), ranked from lowest to highest.</w:t>
      </w:r>
      <w:r w:rsidR="00D94BE0">
        <w:rPr>
          <w:spacing w:val="-2"/>
        </w:rPr>
        <w:t xml:space="preserve"> </w:t>
      </w:r>
      <w:r w:rsidR="00CA41AD">
        <w:rPr>
          <w:spacing w:val="-2"/>
        </w:rPr>
        <w:t>T</w:t>
      </w:r>
      <w:r w:rsidR="00D94BE0">
        <w:rPr>
          <w:spacing w:val="-2"/>
        </w:rPr>
        <w:t>he dots</w:t>
      </w:r>
      <w:r w:rsidR="00CA41AD">
        <w:rPr>
          <w:spacing w:val="-2"/>
        </w:rPr>
        <w:t xml:space="preserve"> represent</w:t>
      </w:r>
      <w:r w:rsidR="00D94BE0">
        <w:rPr>
          <w:spacing w:val="-2"/>
        </w:rPr>
        <w:t xml:space="preserve"> estimated expenses in 2017</w:t>
      </w:r>
      <w:r w:rsidR="00CA41AD">
        <w:rPr>
          <w:spacing w:val="-2"/>
        </w:rPr>
        <w:t xml:space="preserve"> (or whenever a fund exited the system)</w:t>
      </w:r>
      <w:r w:rsidR="00D94BE0">
        <w:rPr>
          <w:spacing w:val="-2"/>
        </w:rPr>
        <w:t xml:space="preserve">. The majority of dots </w:t>
      </w:r>
      <w:r w:rsidR="00917970">
        <w:rPr>
          <w:spacing w:val="-2"/>
        </w:rPr>
        <w:t xml:space="preserve">in both figures </w:t>
      </w:r>
      <w:r w:rsidR="00D94BE0">
        <w:rPr>
          <w:spacing w:val="-2"/>
        </w:rPr>
        <w:t xml:space="preserve">fall below the black line, illustrating </w:t>
      </w:r>
      <w:r w:rsidR="00CA41AD">
        <w:rPr>
          <w:spacing w:val="-2"/>
        </w:rPr>
        <w:t xml:space="preserve">realised economies. Larger </w:t>
      </w:r>
      <w:r w:rsidR="002B4690">
        <w:rPr>
          <w:spacing w:val="-2"/>
        </w:rPr>
        <w:t>realised gains</w:t>
      </w:r>
      <w:r w:rsidR="00CA41AD">
        <w:rPr>
          <w:spacing w:val="-2"/>
        </w:rPr>
        <w:t xml:space="preserve"> are evident for administration than for investment expenses.</w:t>
      </w:r>
    </w:p>
    <w:p w:rsidR="0090271C" w:rsidRDefault="0090271C" w:rsidP="0090271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0271C" w:rsidTr="0090271C">
        <w:trPr>
          <w:tblHeader/>
        </w:trPr>
        <w:tc>
          <w:tcPr>
            <w:tcW w:w="5000" w:type="pct"/>
            <w:tcBorders>
              <w:top w:val="single" w:sz="6" w:space="0" w:color="78A22F"/>
              <w:left w:val="nil"/>
              <w:bottom w:val="nil"/>
              <w:right w:val="nil"/>
            </w:tcBorders>
            <w:shd w:val="clear" w:color="auto" w:fill="auto"/>
          </w:tcPr>
          <w:p w:rsidR="0090271C" w:rsidRDefault="0090271C" w:rsidP="0090271C">
            <w:pPr>
              <w:pStyle w:val="FigureTitle"/>
            </w:pPr>
            <w:r w:rsidRPr="00784A05">
              <w:rPr>
                <w:b w:val="0"/>
              </w:rPr>
              <w:t xml:space="preserve">Figure </w:t>
            </w:r>
            <w:bookmarkStart w:id="39" w:name="OLE_LINK38"/>
            <w:r w:rsidR="004325AA">
              <w:rPr>
                <w:b w:val="0"/>
                <w:noProof/>
              </w:rPr>
              <w:t>11</w:t>
            </w:r>
            <w:bookmarkEnd w:id="39"/>
            <w:r>
              <w:tab/>
            </w:r>
            <w:r w:rsidR="00C53612">
              <w:t xml:space="preserve">Most funds have realised scale benefits in </w:t>
            </w:r>
            <w:r w:rsidR="00723BD3">
              <w:t>administration</w:t>
            </w:r>
            <w:r w:rsidR="007F5EB9">
              <w:t xml:space="preserve"> expenses</w:t>
            </w:r>
            <w:r w:rsidR="007F5EB9" w:rsidRPr="002028A2">
              <w:rPr>
                <w:rStyle w:val="NoteLabel"/>
                <w:b/>
              </w:rPr>
              <w:t>a</w:t>
            </w:r>
            <w:r w:rsidR="00185852">
              <w:rPr>
                <w:rStyle w:val="NoteLabel"/>
                <w:b/>
              </w:rPr>
              <w:t>,b</w:t>
            </w:r>
          </w:p>
          <w:p w:rsidR="0090271C" w:rsidRPr="00176D3F" w:rsidRDefault="00A30696" w:rsidP="00A30696">
            <w:pPr>
              <w:pStyle w:val="Subtitle"/>
            </w:pPr>
            <w:r>
              <w:t xml:space="preserve">Projected </w:t>
            </w:r>
            <w:r w:rsidR="00C53612">
              <w:t xml:space="preserve">cost changes, </w:t>
            </w:r>
            <w:r w:rsidR="00FB6BD6">
              <w:t xml:space="preserve">basis points (bps), </w:t>
            </w:r>
            <w:r w:rsidR="00C53612">
              <w:t>2004</w:t>
            </w:r>
            <w:r w:rsidR="00FB6BD6">
              <w:t>–</w:t>
            </w:r>
            <w:r w:rsidR="00C53612">
              <w:t>17</w:t>
            </w:r>
            <w:r w:rsidR="007F5EB9">
              <w:t xml:space="preserve">, </w:t>
            </w:r>
            <w:r w:rsidR="00AC19A3">
              <w:t>administration</w:t>
            </w:r>
            <w:r w:rsidR="007F5EB9">
              <w:t xml:space="preserve"> expenses</w:t>
            </w:r>
          </w:p>
        </w:tc>
      </w:tr>
      <w:tr w:rsidR="0090271C" w:rsidTr="0090271C">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0271C" w:rsidRPr="00B1465D" w:rsidTr="0090271C">
              <w:trPr>
                <w:tblHeader/>
                <w:jc w:val="center"/>
                <w:hidden w:val="0"/>
              </w:trPr>
              <w:tc>
                <w:tcPr>
                  <w:tcW w:w="5000" w:type="pct"/>
                  <w:tcBorders>
                    <w:top w:val="nil"/>
                    <w:bottom w:val="nil"/>
                  </w:tcBorders>
                </w:tcPr>
                <w:p w:rsidR="0090271C" w:rsidRPr="00B1465D" w:rsidRDefault="00682E35" w:rsidP="0090271C">
                  <w:pPr>
                    <w:pStyle w:val="Figure"/>
                    <w:spacing w:before="60" w:after="60"/>
                    <w:rPr>
                      <w:rFonts w:ascii="Arial" w:hAnsi="Arial" w:cs="Arial"/>
                      <w:sz w:val="18"/>
                      <w:szCs w:val="18"/>
                    </w:rPr>
                  </w:pPr>
                  <w:r w:rsidRPr="00682E35">
                    <w:rPr>
                      <w:rStyle w:val="CommentReference"/>
                      <w:rFonts w:ascii="Arial" w:hAnsi="Arial" w:cs="Arial"/>
                      <w:b w:val="0"/>
                      <w:vanish w:val="0"/>
                      <w:color w:val="auto"/>
                      <w:sz w:val="18"/>
                      <w:szCs w:val="18"/>
                    </w:rPr>
                    <w:t xml:space="preserve"> </w:t>
                  </w:r>
                  <w:r w:rsidR="001A28C6" w:rsidRPr="001A28C6">
                    <w:rPr>
                      <w:rStyle w:val="CommentReference"/>
                      <w:rFonts w:ascii="Arial" w:hAnsi="Arial" w:cs="Arial"/>
                      <w:b w:val="0"/>
                      <w:noProof/>
                      <w:vanish w:val="0"/>
                      <w:color w:val="auto"/>
                      <w:sz w:val="18"/>
                      <w:szCs w:val="18"/>
                    </w:rPr>
                    <w:drawing>
                      <wp:inline distT="0" distB="0" distL="0" distR="0" wp14:anchorId="7F5238ED" wp14:editId="105EDE07">
                        <wp:extent cx="5417820" cy="2486868"/>
                        <wp:effectExtent l="0" t="0" r="0" b="0"/>
                        <wp:docPr id="22" name="Picture 22" descr="This figure shows the estimated starting and ending average administration expense, only due to changes in size. The starting estimated average expense is represented as a line, and the ending estimated average expense are represented as dots. Most dots lie below the black line, suggesting that most funds have realised scale benefits in administration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2663" cy="2489091"/>
                                </a:xfrm>
                                <a:prstGeom prst="rect">
                                  <a:avLst/>
                                </a:prstGeom>
                                <a:noFill/>
                                <a:ln>
                                  <a:noFill/>
                                </a:ln>
                              </pic:spPr>
                            </pic:pic>
                          </a:graphicData>
                        </a:graphic>
                      </wp:inline>
                    </w:drawing>
                  </w:r>
                </w:p>
              </w:tc>
            </w:tr>
            <w:tr w:rsidR="00DC579E" w:rsidRPr="00B1465D" w:rsidTr="0090271C">
              <w:trPr>
                <w:tblHeader/>
                <w:jc w:val="center"/>
              </w:trPr>
              <w:tc>
                <w:tcPr>
                  <w:tcW w:w="5000" w:type="pct"/>
                  <w:tcBorders>
                    <w:top w:val="nil"/>
                    <w:bottom w:val="nil"/>
                  </w:tcBorders>
                </w:tcPr>
                <w:tbl>
                  <w:tblPr>
                    <w:tblW w:w="0" w:type="auto"/>
                    <w:tblLook w:val="04A0" w:firstRow="1" w:lastRow="0" w:firstColumn="1" w:lastColumn="0" w:noHBand="0" w:noVBand="1"/>
                  </w:tblPr>
                  <w:tblGrid>
                    <w:gridCol w:w="1559"/>
                    <w:gridCol w:w="6935"/>
                  </w:tblGrid>
                  <w:tr w:rsidR="00DC579E" w:rsidTr="00580558">
                    <w:trPr>
                      <w:tblHeader/>
                    </w:trPr>
                    <w:tc>
                      <w:tcPr>
                        <w:tcW w:w="1559" w:type="dxa"/>
                        <w:shd w:val="clear" w:color="auto" w:fill="F2F2F2" w:themeFill="background1" w:themeFillShade="F2"/>
                      </w:tcPr>
                      <w:p w:rsidR="00DC579E" w:rsidRDefault="00DC579E" w:rsidP="00DC579E">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DC579E" w:rsidRDefault="00573776" w:rsidP="00DC579E">
                        <w:pPr>
                          <w:pStyle w:val="Figure"/>
                          <w:spacing w:before="0" w:after="0"/>
                          <w:jc w:val="left"/>
                          <w:rPr>
                            <w:rFonts w:ascii="Arial" w:hAnsi="Arial" w:cs="Arial"/>
                            <w:sz w:val="18"/>
                            <w:szCs w:val="18"/>
                          </w:rPr>
                        </w:pPr>
                        <w:r w:rsidRPr="000E45B5">
                          <w:rPr>
                            <w:rFonts w:ascii="Arial" w:eastAsia="+mn-ea" w:hAnsi="Arial" w:cs="Arial"/>
                            <w:color w:val="000000" w:themeColor="text1"/>
                            <w:kern w:val="24"/>
                            <w:sz w:val="18"/>
                            <w:szCs w:val="18"/>
                          </w:rPr>
                          <w:t>PC analysis of APRA data</w:t>
                        </w:r>
                        <w:r>
                          <w:rPr>
                            <w:rFonts w:ascii="Arial" w:eastAsia="+mn-ea" w:hAnsi="Arial" w:cs="Arial"/>
                            <w:color w:val="000000" w:themeColor="text1"/>
                            <w:kern w:val="24"/>
                            <w:sz w:val="18"/>
                            <w:szCs w:val="18"/>
                          </w:rPr>
                          <w:t>.</w:t>
                        </w:r>
                      </w:p>
                    </w:tc>
                  </w:tr>
                  <w:tr w:rsidR="00DC579E" w:rsidRPr="001F53B0" w:rsidTr="00580558">
                    <w:tc>
                      <w:tcPr>
                        <w:tcW w:w="1559" w:type="dxa"/>
                        <w:shd w:val="clear" w:color="auto" w:fill="F2F2F2" w:themeFill="background1" w:themeFillShade="F2"/>
                      </w:tcPr>
                      <w:p w:rsidR="00DC579E" w:rsidRDefault="00DC579E" w:rsidP="00DC579E">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DC579E" w:rsidRPr="001F53B0" w:rsidRDefault="00DC579E" w:rsidP="00DC579E">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w:t>
                        </w:r>
                        <w:r w:rsidR="00F3046D">
                          <w:rPr>
                            <w:rFonts w:ascii="Arial" w:eastAsia="+mn-ea" w:hAnsi="Arial" w:cs="Arial"/>
                            <w:color w:val="000000" w:themeColor="text1"/>
                            <w:kern w:val="24"/>
                            <w:sz w:val="18"/>
                            <w:szCs w:val="18"/>
                          </w:rPr>
                          <w:t>91</w:t>
                        </w:r>
                        <w:r w:rsidR="00F3046D" w:rsidRPr="00262154">
                          <w:rPr>
                            <w:rFonts w:ascii="Arial" w:eastAsia="+mn-ea" w:hAnsi="Arial" w:cs="Arial"/>
                            <w:color w:val="000000" w:themeColor="text1"/>
                            <w:kern w:val="24"/>
                            <w:sz w:val="18"/>
                            <w:szCs w:val="18"/>
                          </w:rPr>
                          <w:t> </w:t>
                        </w:r>
                        <w:r w:rsidRPr="00262154">
                          <w:rPr>
                            <w:rFonts w:ascii="Arial" w:eastAsia="+mn-ea" w:hAnsi="Arial" w:cs="Arial"/>
                            <w:color w:val="000000" w:themeColor="text1"/>
                            <w:kern w:val="24"/>
                            <w:sz w:val="18"/>
                            <w:szCs w:val="18"/>
                          </w:rPr>
                          <w:t>per cent</w:t>
                        </w:r>
                        <w:r>
                          <w:rPr>
                            <w:rFonts w:ascii="Arial" w:eastAsia="+mn-ea" w:hAnsi="Arial" w:cs="Arial"/>
                            <w:color w:val="000000" w:themeColor="text1"/>
                            <w:kern w:val="24"/>
                            <w:sz w:val="18"/>
                            <w:szCs w:val="18"/>
                          </w:rPr>
                          <w:t xml:space="preserve"> of the system </w:t>
                        </w:r>
                        <w:r w:rsidR="00F3046D">
                          <w:rPr>
                            <w:rFonts w:ascii="Arial" w:eastAsia="+mn-ea" w:hAnsi="Arial" w:cs="Arial"/>
                            <w:color w:val="000000" w:themeColor="text1"/>
                            <w:kern w:val="24"/>
                            <w:sz w:val="18"/>
                            <w:szCs w:val="18"/>
                          </w:rPr>
                          <w:t>by assets</w:t>
                        </w:r>
                        <w:r>
                          <w:rPr>
                            <w:rFonts w:ascii="Arial" w:eastAsia="+mn-ea" w:hAnsi="Arial" w:cs="Arial"/>
                            <w:color w:val="000000" w:themeColor="text1"/>
                            <w:kern w:val="24"/>
                            <w:sz w:val="18"/>
                            <w:szCs w:val="18"/>
                          </w:rPr>
                          <w:t xml:space="preserve"> 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 xml:space="preserve">05 respectively. </w:t>
                        </w:r>
                        <w:r w:rsidR="0050743B">
                          <w:rPr>
                            <w:rFonts w:ascii="Arial" w:eastAsia="+mn-ea" w:hAnsi="Arial" w:cs="Arial"/>
                            <w:color w:val="000000" w:themeColor="text1"/>
                            <w:kern w:val="24"/>
                            <w:sz w:val="18"/>
                            <w:szCs w:val="18"/>
                          </w:rPr>
                          <w:t>Excludes funds with less than two years of data.</w:t>
                        </w:r>
                      </w:p>
                    </w:tc>
                  </w:tr>
                </w:tbl>
                <w:p w:rsidR="00DC579E" w:rsidRPr="00E82902" w:rsidRDefault="00DC579E" w:rsidP="0090271C">
                  <w:pPr>
                    <w:pStyle w:val="Figure"/>
                    <w:spacing w:before="60" w:after="60"/>
                    <w:rPr>
                      <w:rFonts w:ascii="Arial" w:hAnsi="Arial" w:cs="Arial"/>
                      <w:sz w:val="18"/>
                      <w:szCs w:val="18"/>
                    </w:rPr>
                  </w:pPr>
                </w:p>
              </w:tc>
            </w:tr>
          </w:tbl>
          <w:p w:rsidR="0090271C" w:rsidRDefault="0090271C" w:rsidP="0090271C">
            <w:pPr>
              <w:pStyle w:val="Figure"/>
            </w:pPr>
          </w:p>
        </w:tc>
      </w:tr>
      <w:tr w:rsidR="0090271C" w:rsidRPr="00176D3F" w:rsidTr="0090271C">
        <w:tc>
          <w:tcPr>
            <w:tcW w:w="5000" w:type="pct"/>
            <w:tcBorders>
              <w:top w:val="nil"/>
              <w:left w:val="nil"/>
              <w:bottom w:val="nil"/>
              <w:right w:val="nil"/>
            </w:tcBorders>
            <w:shd w:val="clear" w:color="auto" w:fill="auto"/>
          </w:tcPr>
          <w:p w:rsidR="0090271C" w:rsidRPr="00176D3F" w:rsidRDefault="0090271C" w:rsidP="00185852">
            <w:pPr>
              <w:pStyle w:val="Note"/>
            </w:pPr>
            <w:r>
              <w:rPr>
                <w:rStyle w:val="NoteLabel"/>
              </w:rPr>
              <w:t>a</w:t>
            </w:r>
            <w:r>
              <w:t xml:space="preserve"> </w:t>
            </w:r>
            <w:r w:rsidR="00C53612" w:rsidRPr="00655794">
              <w:rPr>
                <w:spacing w:val="-2"/>
              </w:rPr>
              <w:t>The black line denotes the estimate average cost for funds in 2004 (or their first year of operation)</w:t>
            </w:r>
            <w:r w:rsidRPr="00655794">
              <w:rPr>
                <w:spacing w:val="-2"/>
              </w:rPr>
              <w:t>.</w:t>
            </w:r>
            <w:r w:rsidR="00C53612" w:rsidRPr="00655794">
              <w:rPr>
                <w:spacing w:val="-2"/>
              </w:rPr>
              <w:t xml:space="preserve"> The dots denote their estimated average costs </w:t>
            </w:r>
            <w:r w:rsidR="0094707C" w:rsidRPr="00655794">
              <w:rPr>
                <w:spacing w:val="-2"/>
              </w:rPr>
              <w:t>with their asset</w:t>
            </w:r>
            <w:r w:rsidR="001270BB" w:rsidRPr="00655794">
              <w:rPr>
                <w:spacing w:val="-2"/>
              </w:rPr>
              <w:t>s</w:t>
            </w:r>
            <w:r w:rsidR="0094707C" w:rsidRPr="00655794">
              <w:rPr>
                <w:spacing w:val="-2"/>
              </w:rPr>
              <w:t xml:space="preserve"> </w:t>
            </w:r>
            <w:r w:rsidR="00C71A58" w:rsidRPr="00655794">
              <w:rPr>
                <w:spacing w:val="-2"/>
              </w:rPr>
              <w:t xml:space="preserve">and </w:t>
            </w:r>
            <w:r w:rsidR="001270BB" w:rsidRPr="00655794">
              <w:rPr>
                <w:spacing w:val="-2"/>
              </w:rPr>
              <w:t xml:space="preserve">number of </w:t>
            </w:r>
            <w:r w:rsidR="00C71A58" w:rsidRPr="00655794">
              <w:rPr>
                <w:spacing w:val="-2"/>
              </w:rPr>
              <w:t>member</w:t>
            </w:r>
            <w:r w:rsidR="0094707C" w:rsidRPr="00655794">
              <w:rPr>
                <w:spacing w:val="-2"/>
              </w:rPr>
              <w:t xml:space="preserve"> </w:t>
            </w:r>
            <w:r w:rsidR="001270BB" w:rsidRPr="00655794">
              <w:rPr>
                <w:spacing w:val="-2"/>
              </w:rPr>
              <w:t>accounts</w:t>
            </w:r>
            <w:r w:rsidR="0094707C" w:rsidRPr="00655794">
              <w:rPr>
                <w:spacing w:val="-2"/>
              </w:rPr>
              <w:t xml:space="preserve"> for </w:t>
            </w:r>
            <w:r w:rsidR="00C53612" w:rsidRPr="00655794">
              <w:rPr>
                <w:spacing w:val="-2"/>
              </w:rPr>
              <w:t>2017 (or their last year of operation)</w:t>
            </w:r>
            <w:r w:rsidR="002028A2" w:rsidRPr="00655794">
              <w:rPr>
                <w:spacing w:val="-2"/>
              </w:rPr>
              <w:t>. The vertical gap between the dots and the black line represent the fund’s estimated average cost reduction</w:t>
            </w:r>
            <w:r w:rsidR="00BB5935" w:rsidRPr="00655794">
              <w:rPr>
                <w:spacing w:val="-2"/>
              </w:rPr>
              <w:t xml:space="preserve"> or increase</w:t>
            </w:r>
            <w:r w:rsidR="002028A2" w:rsidRPr="00655794">
              <w:rPr>
                <w:spacing w:val="-2"/>
              </w:rPr>
              <w:t xml:space="preserve"> from scale. Funds are ordered by estimated average cost in 2004.</w:t>
            </w:r>
            <w:r w:rsidR="00C81189">
              <w:rPr>
                <w:spacing w:val="-2"/>
              </w:rPr>
              <w:t xml:space="preserve"> </w:t>
            </w:r>
            <w:r w:rsidR="00185852">
              <w:rPr>
                <w:rStyle w:val="NoteLabel"/>
              </w:rPr>
              <w:t>b</w:t>
            </w:r>
            <w:r w:rsidR="00185852" w:rsidRPr="00F24F59">
              <w:t xml:space="preserve"> </w:t>
            </w:r>
            <w:r w:rsidR="00F24F59">
              <w:rPr>
                <w:spacing w:val="-2"/>
              </w:rPr>
              <w:t>S</w:t>
            </w:r>
            <w:r w:rsidR="00C81189">
              <w:rPr>
                <w:spacing w:val="-2"/>
              </w:rPr>
              <w:t xml:space="preserve">tarting estimated </w:t>
            </w:r>
            <w:r w:rsidR="00185852">
              <w:rPr>
                <w:spacing w:val="-2"/>
              </w:rPr>
              <w:t xml:space="preserve">average </w:t>
            </w:r>
            <w:r w:rsidR="00C81189">
              <w:rPr>
                <w:spacing w:val="-2"/>
              </w:rPr>
              <w:t xml:space="preserve">costs close to zero </w:t>
            </w:r>
            <w:r w:rsidR="00F24F59">
              <w:rPr>
                <w:spacing w:val="-2"/>
              </w:rPr>
              <w:t xml:space="preserve">for some funds </w:t>
            </w:r>
            <w:r w:rsidR="00C81189">
              <w:rPr>
                <w:spacing w:val="-2"/>
              </w:rPr>
              <w:t>are likely to be due to underreported costs</w:t>
            </w:r>
            <w:r w:rsidR="00185852">
              <w:rPr>
                <w:spacing w:val="-2"/>
              </w:rPr>
              <w:t>.</w:t>
            </w:r>
          </w:p>
        </w:tc>
      </w:tr>
      <w:tr w:rsidR="0090271C" w:rsidTr="0090271C">
        <w:tc>
          <w:tcPr>
            <w:tcW w:w="5000" w:type="pct"/>
            <w:tcBorders>
              <w:top w:val="nil"/>
              <w:left w:val="nil"/>
              <w:bottom w:val="single" w:sz="6" w:space="0" w:color="78A22F"/>
              <w:right w:val="nil"/>
            </w:tcBorders>
            <w:shd w:val="clear" w:color="auto" w:fill="auto"/>
          </w:tcPr>
          <w:p w:rsidR="0090271C" w:rsidRDefault="0090271C" w:rsidP="0090271C">
            <w:pPr>
              <w:pStyle w:val="Figurespace"/>
            </w:pPr>
          </w:p>
        </w:tc>
      </w:tr>
      <w:tr w:rsidR="0090271C" w:rsidRPr="000863A5" w:rsidTr="0090271C">
        <w:tc>
          <w:tcPr>
            <w:tcW w:w="5000" w:type="pct"/>
            <w:tcBorders>
              <w:top w:val="single" w:sz="6" w:space="0" w:color="78A22F"/>
              <w:left w:val="nil"/>
              <w:bottom w:val="nil"/>
              <w:right w:val="nil"/>
            </w:tcBorders>
          </w:tcPr>
          <w:p w:rsidR="0090271C" w:rsidRPr="00626D32" w:rsidRDefault="0090271C" w:rsidP="0090271C">
            <w:pPr>
              <w:pStyle w:val="BoxSpaceBelow"/>
            </w:pPr>
          </w:p>
        </w:tc>
      </w:tr>
    </w:tbl>
    <w:p w:rsidR="0090271C" w:rsidRDefault="0090271C" w:rsidP="00C35F5A">
      <w:pPr>
        <w:pStyle w:val="BodyText"/>
      </w:pPr>
    </w:p>
    <w:p w:rsidR="004443E9" w:rsidRDefault="004443E9" w:rsidP="001F44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443E9" w:rsidTr="001F446D">
        <w:trPr>
          <w:tblHeader/>
        </w:trPr>
        <w:tc>
          <w:tcPr>
            <w:tcW w:w="5000" w:type="pct"/>
            <w:tcBorders>
              <w:top w:val="single" w:sz="6" w:space="0" w:color="78A22F"/>
              <w:left w:val="nil"/>
              <w:bottom w:val="nil"/>
              <w:right w:val="nil"/>
            </w:tcBorders>
            <w:shd w:val="clear" w:color="auto" w:fill="auto"/>
          </w:tcPr>
          <w:p w:rsidR="004443E9" w:rsidRDefault="004443E9" w:rsidP="001F446D">
            <w:pPr>
              <w:pStyle w:val="FigureTitle"/>
            </w:pPr>
            <w:r w:rsidRPr="00784A05">
              <w:rPr>
                <w:b w:val="0"/>
              </w:rPr>
              <w:t xml:space="preserve">Figure </w:t>
            </w:r>
            <w:bookmarkStart w:id="40" w:name="OLE_LINK39"/>
            <w:r w:rsidR="004325AA">
              <w:rPr>
                <w:b w:val="0"/>
                <w:noProof/>
              </w:rPr>
              <w:t>12</w:t>
            </w:r>
            <w:bookmarkEnd w:id="40"/>
            <w:r>
              <w:tab/>
            </w:r>
            <w:r w:rsidR="00AF0B6C">
              <w:t xml:space="preserve">A similar story for investment </w:t>
            </w:r>
            <w:r w:rsidR="0012346F">
              <w:t>expense</w:t>
            </w:r>
            <w:r w:rsidR="00AF0B6C">
              <w:t>s</w:t>
            </w:r>
            <w:r w:rsidR="001B71E9" w:rsidRPr="00707DC6">
              <w:rPr>
                <w:rStyle w:val="NoteLabel"/>
                <w:b/>
              </w:rPr>
              <w:t>a</w:t>
            </w:r>
            <w:r w:rsidR="00185852">
              <w:rPr>
                <w:rStyle w:val="NoteLabel"/>
                <w:b/>
              </w:rPr>
              <w:t>,b</w:t>
            </w:r>
          </w:p>
          <w:p w:rsidR="004443E9" w:rsidRPr="00176D3F" w:rsidRDefault="00A30696" w:rsidP="00A30696">
            <w:pPr>
              <w:pStyle w:val="Subtitle"/>
            </w:pPr>
            <w:r>
              <w:t xml:space="preserve">Projected </w:t>
            </w:r>
            <w:r w:rsidR="00C53612">
              <w:t xml:space="preserve">cost changes, </w:t>
            </w:r>
            <w:r w:rsidR="00FB6BD6">
              <w:t xml:space="preserve">basis points (bps), </w:t>
            </w:r>
            <w:r w:rsidR="00C53612">
              <w:t>2004</w:t>
            </w:r>
            <w:r w:rsidR="00FB6BD6">
              <w:t>–</w:t>
            </w:r>
            <w:r w:rsidR="00C53612">
              <w:t>17</w:t>
            </w:r>
            <w:r w:rsidR="007F5EB9">
              <w:t>, investment expenses</w:t>
            </w:r>
          </w:p>
        </w:tc>
      </w:tr>
      <w:tr w:rsidR="004443E9" w:rsidTr="001F44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443E9" w:rsidRPr="00B1465D" w:rsidTr="001F446D">
              <w:trPr>
                <w:tblHeader/>
                <w:jc w:val="center"/>
              </w:trPr>
              <w:tc>
                <w:tcPr>
                  <w:tcW w:w="5000" w:type="pct"/>
                  <w:tcBorders>
                    <w:top w:val="nil"/>
                    <w:bottom w:val="nil"/>
                  </w:tcBorders>
                </w:tcPr>
                <w:p w:rsidR="004443E9" w:rsidRDefault="001A28C6" w:rsidP="001F446D">
                  <w:pPr>
                    <w:pStyle w:val="Figure"/>
                    <w:spacing w:before="60" w:after="60"/>
                    <w:rPr>
                      <w:rFonts w:ascii="Arial" w:hAnsi="Arial" w:cs="Arial"/>
                      <w:sz w:val="18"/>
                      <w:szCs w:val="18"/>
                    </w:rPr>
                  </w:pPr>
                  <w:r w:rsidRPr="001A28C6">
                    <w:rPr>
                      <w:rFonts w:ascii="Arial" w:hAnsi="Arial" w:cs="Arial"/>
                      <w:noProof/>
                      <w:sz w:val="18"/>
                      <w:szCs w:val="18"/>
                    </w:rPr>
                    <w:drawing>
                      <wp:inline distT="0" distB="0" distL="0" distR="0" wp14:anchorId="22787BC0" wp14:editId="033039FD">
                        <wp:extent cx="5478780" cy="2458331"/>
                        <wp:effectExtent l="0" t="0" r="0" b="0"/>
                        <wp:docPr id="19" name="Picture 19" descr="This figure shows the estimated starting and ending average investment expense, only due to changes in size. The starting estimated average expense is represented as a line, and the ending estimated average expense are represented as dots. Most dots lie below the black line, suggesting that most funds have realised scale benefits in investment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5665" cy="24614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580558" w:rsidTr="00580558">
                    <w:trPr>
                      <w:tblHeader/>
                    </w:trPr>
                    <w:tc>
                      <w:tcPr>
                        <w:tcW w:w="1559" w:type="dxa"/>
                        <w:shd w:val="clear" w:color="auto" w:fill="F2F2F2" w:themeFill="background1" w:themeFillShade="F2"/>
                      </w:tcPr>
                      <w:p w:rsidR="00580558" w:rsidRDefault="00580558" w:rsidP="00580558">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580558" w:rsidRDefault="00573776" w:rsidP="00434090">
                        <w:pPr>
                          <w:pStyle w:val="Figure"/>
                          <w:spacing w:before="0" w:after="0"/>
                          <w:jc w:val="left"/>
                          <w:rPr>
                            <w:rFonts w:ascii="Arial" w:hAnsi="Arial" w:cs="Arial"/>
                            <w:sz w:val="18"/>
                            <w:szCs w:val="18"/>
                          </w:rPr>
                        </w:pPr>
                        <w:r w:rsidRPr="000E45B5">
                          <w:rPr>
                            <w:rFonts w:ascii="Arial" w:eastAsia="+mn-ea" w:hAnsi="Arial" w:cs="Arial"/>
                            <w:color w:val="000000" w:themeColor="text1"/>
                            <w:kern w:val="24"/>
                            <w:sz w:val="18"/>
                            <w:szCs w:val="18"/>
                          </w:rPr>
                          <w:t>PC analysis of APRA data</w:t>
                        </w:r>
                        <w:r>
                          <w:rPr>
                            <w:rFonts w:ascii="Arial" w:eastAsia="+mn-ea" w:hAnsi="Arial" w:cs="Arial"/>
                            <w:color w:val="000000" w:themeColor="text1"/>
                            <w:kern w:val="24"/>
                            <w:sz w:val="18"/>
                            <w:szCs w:val="18"/>
                          </w:rPr>
                          <w:t>.</w:t>
                        </w:r>
                      </w:p>
                    </w:tc>
                  </w:tr>
                  <w:tr w:rsidR="00580558" w:rsidRPr="001F53B0" w:rsidTr="00580558">
                    <w:tc>
                      <w:tcPr>
                        <w:tcW w:w="1559" w:type="dxa"/>
                        <w:shd w:val="clear" w:color="auto" w:fill="F2F2F2" w:themeFill="background1" w:themeFillShade="F2"/>
                      </w:tcPr>
                      <w:p w:rsidR="00580558" w:rsidRDefault="00580558" w:rsidP="00580558">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580558" w:rsidRPr="001F53B0" w:rsidRDefault="00580558" w:rsidP="00580558">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w:t>
                        </w:r>
                        <w:r w:rsidRPr="000F2B85">
                          <w:rPr>
                            <w:rFonts w:ascii="Arial" w:eastAsia="+mn-ea" w:hAnsi="Arial" w:cs="Arial"/>
                            <w:color w:val="000000" w:themeColor="text1"/>
                            <w:kern w:val="24"/>
                            <w:sz w:val="18"/>
                            <w:szCs w:val="18"/>
                          </w:rPr>
                          <w:t xml:space="preserve">and </w:t>
                        </w:r>
                        <w:r w:rsidR="00F3046D">
                          <w:rPr>
                            <w:rFonts w:ascii="Arial" w:eastAsia="+mn-ea" w:hAnsi="Arial" w:cs="Arial"/>
                            <w:color w:val="000000" w:themeColor="text1"/>
                            <w:kern w:val="24"/>
                            <w:sz w:val="18"/>
                            <w:szCs w:val="18"/>
                          </w:rPr>
                          <w:t>91</w:t>
                        </w:r>
                        <w:r w:rsidR="00F3046D" w:rsidRPr="00262154">
                          <w:rPr>
                            <w:rFonts w:ascii="Arial" w:eastAsia="+mn-ea" w:hAnsi="Arial" w:cs="Arial"/>
                            <w:color w:val="000000" w:themeColor="text1"/>
                            <w:kern w:val="24"/>
                            <w:sz w:val="18"/>
                            <w:szCs w:val="18"/>
                          </w:rPr>
                          <w:t> </w:t>
                        </w:r>
                        <w:r w:rsidRPr="00262154">
                          <w:rPr>
                            <w:rFonts w:ascii="Arial" w:eastAsia="+mn-ea" w:hAnsi="Arial" w:cs="Arial"/>
                            <w:color w:val="000000" w:themeColor="text1"/>
                            <w:kern w:val="24"/>
                            <w:sz w:val="18"/>
                            <w:szCs w:val="18"/>
                          </w:rPr>
                          <w:t>per cent</w:t>
                        </w:r>
                        <w:r>
                          <w:rPr>
                            <w:rFonts w:ascii="Arial" w:eastAsia="+mn-ea" w:hAnsi="Arial" w:cs="Arial"/>
                            <w:color w:val="000000" w:themeColor="text1"/>
                            <w:kern w:val="24"/>
                            <w:sz w:val="18"/>
                            <w:szCs w:val="18"/>
                          </w:rPr>
                          <w:t xml:space="preserve"> of the system </w:t>
                        </w:r>
                        <w:r w:rsidR="000F2B85">
                          <w:rPr>
                            <w:rFonts w:ascii="Arial" w:eastAsia="+mn-ea" w:hAnsi="Arial" w:cs="Arial"/>
                            <w:color w:val="000000" w:themeColor="text1"/>
                            <w:kern w:val="24"/>
                            <w:sz w:val="18"/>
                            <w:szCs w:val="18"/>
                          </w:rPr>
                          <w:t>by assets</w:t>
                        </w:r>
                        <w:r>
                          <w:rPr>
                            <w:rFonts w:ascii="Arial" w:eastAsia="+mn-ea" w:hAnsi="Arial" w:cs="Arial"/>
                            <w:color w:val="000000" w:themeColor="text1"/>
                            <w:kern w:val="24"/>
                            <w:sz w:val="18"/>
                            <w:szCs w:val="18"/>
                          </w:rPr>
                          <w:t xml:space="preserve"> 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 xml:space="preserve">05 respectively. </w:t>
                        </w:r>
                        <w:r w:rsidR="0050743B">
                          <w:rPr>
                            <w:rFonts w:ascii="Arial" w:eastAsia="+mn-ea" w:hAnsi="Arial" w:cs="Arial"/>
                            <w:color w:val="000000" w:themeColor="text1"/>
                            <w:kern w:val="24"/>
                            <w:sz w:val="18"/>
                            <w:szCs w:val="18"/>
                          </w:rPr>
                          <w:t>Excludes funds with less than two years of data.</w:t>
                        </w:r>
                      </w:p>
                    </w:tc>
                  </w:tr>
                </w:tbl>
                <w:p w:rsidR="004443E9" w:rsidRPr="00B1465D" w:rsidRDefault="004443E9" w:rsidP="001F446D">
                  <w:pPr>
                    <w:pStyle w:val="Figure"/>
                    <w:spacing w:before="60" w:after="60"/>
                    <w:rPr>
                      <w:rFonts w:ascii="Arial" w:hAnsi="Arial" w:cs="Arial"/>
                      <w:sz w:val="18"/>
                      <w:szCs w:val="18"/>
                    </w:rPr>
                  </w:pPr>
                </w:p>
              </w:tc>
            </w:tr>
          </w:tbl>
          <w:p w:rsidR="004443E9" w:rsidRDefault="004443E9" w:rsidP="001F446D">
            <w:pPr>
              <w:pStyle w:val="Figure"/>
            </w:pPr>
          </w:p>
        </w:tc>
      </w:tr>
      <w:tr w:rsidR="004443E9" w:rsidRPr="00176D3F" w:rsidTr="001F446D">
        <w:tc>
          <w:tcPr>
            <w:tcW w:w="5000" w:type="pct"/>
            <w:tcBorders>
              <w:top w:val="nil"/>
              <w:left w:val="nil"/>
              <w:bottom w:val="nil"/>
              <w:right w:val="nil"/>
            </w:tcBorders>
            <w:shd w:val="clear" w:color="auto" w:fill="auto"/>
          </w:tcPr>
          <w:p w:rsidR="004443E9" w:rsidRPr="00176D3F" w:rsidRDefault="001B71E9" w:rsidP="00185852">
            <w:pPr>
              <w:pStyle w:val="Note"/>
            </w:pPr>
            <w:r>
              <w:rPr>
                <w:rStyle w:val="NoteLabel"/>
              </w:rPr>
              <w:t>a</w:t>
            </w:r>
            <w:r>
              <w:t xml:space="preserve"> </w:t>
            </w:r>
            <w:r w:rsidRPr="00655794">
              <w:rPr>
                <w:spacing w:val="-2"/>
              </w:rPr>
              <w:t>The black line denotes the estimate average cost for funds in 2004 (or their first year of operation). The dots denote their estimated average costs with their asset</w:t>
            </w:r>
            <w:r w:rsidR="001270BB" w:rsidRPr="00655794">
              <w:rPr>
                <w:spacing w:val="-2"/>
              </w:rPr>
              <w:t>s and number of member</w:t>
            </w:r>
            <w:r w:rsidR="00655794" w:rsidRPr="00655794">
              <w:rPr>
                <w:spacing w:val="-2"/>
              </w:rPr>
              <w:t xml:space="preserve"> accounts</w:t>
            </w:r>
            <w:r w:rsidRPr="00655794">
              <w:rPr>
                <w:spacing w:val="-2"/>
              </w:rPr>
              <w:t xml:space="preserve"> for 2017 (or their last year of operation). The vertical gap between the dots and the black line represent the fund’s estimated average cost reduction</w:t>
            </w:r>
            <w:r w:rsidR="00BB5935" w:rsidRPr="00655794">
              <w:rPr>
                <w:spacing w:val="-2"/>
              </w:rPr>
              <w:t xml:space="preserve"> or increase</w:t>
            </w:r>
            <w:r w:rsidRPr="00655794">
              <w:rPr>
                <w:spacing w:val="-2"/>
              </w:rPr>
              <w:t xml:space="preserve"> from scale. Funds are ordered by estimated average cost in 2004.</w:t>
            </w:r>
            <w:r w:rsidR="00185852">
              <w:rPr>
                <w:spacing w:val="-2"/>
              </w:rPr>
              <w:t xml:space="preserve"> </w:t>
            </w:r>
            <w:r w:rsidR="00185852">
              <w:rPr>
                <w:rStyle w:val="NoteLabel"/>
              </w:rPr>
              <w:t>b</w:t>
            </w:r>
            <w:r w:rsidR="00185852">
              <w:rPr>
                <w:spacing w:val="-2"/>
              </w:rPr>
              <w:t xml:space="preserve"> </w:t>
            </w:r>
            <w:r w:rsidR="00F24F59">
              <w:rPr>
                <w:spacing w:val="-2"/>
              </w:rPr>
              <w:t>S</w:t>
            </w:r>
            <w:r w:rsidR="00185852">
              <w:rPr>
                <w:spacing w:val="-2"/>
              </w:rPr>
              <w:t xml:space="preserve">tarting estimated average costs close to zero </w:t>
            </w:r>
            <w:r w:rsidR="00F24F59">
              <w:rPr>
                <w:spacing w:val="-2"/>
              </w:rPr>
              <w:t xml:space="preserve">for some funds </w:t>
            </w:r>
            <w:r w:rsidR="00185852">
              <w:rPr>
                <w:spacing w:val="-2"/>
              </w:rPr>
              <w:t xml:space="preserve">are likely to be due to underreported costs (or imputed values that are </w:t>
            </w:r>
            <w:r w:rsidR="008630F0">
              <w:rPr>
                <w:spacing w:val="-2"/>
              </w:rPr>
              <w:t>estimated as larger than zero for zero expense reporting funds, but still small</w:t>
            </w:r>
            <w:r w:rsidR="00185852">
              <w:rPr>
                <w:spacing w:val="-2"/>
              </w:rPr>
              <w:t>). The number of observations with low starting estimated average costs reinforces the problem of underreporting.</w:t>
            </w:r>
          </w:p>
        </w:tc>
      </w:tr>
      <w:tr w:rsidR="004443E9" w:rsidTr="001F446D">
        <w:tc>
          <w:tcPr>
            <w:tcW w:w="5000" w:type="pct"/>
            <w:tcBorders>
              <w:top w:val="nil"/>
              <w:left w:val="nil"/>
              <w:bottom w:val="single" w:sz="6" w:space="0" w:color="78A22F"/>
              <w:right w:val="nil"/>
            </w:tcBorders>
            <w:shd w:val="clear" w:color="auto" w:fill="auto"/>
          </w:tcPr>
          <w:p w:rsidR="004443E9" w:rsidRDefault="004443E9" w:rsidP="001F446D">
            <w:pPr>
              <w:pStyle w:val="Figurespace"/>
            </w:pPr>
          </w:p>
        </w:tc>
      </w:tr>
      <w:tr w:rsidR="004443E9" w:rsidRPr="000863A5" w:rsidTr="001F446D">
        <w:tc>
          <w:tcPr>
            <w:tcW w:w="5000" w:type="pct"/>
            <w:tcBorders>
              <w:top w:val="single" w:sz="6" w:space="0" w:color="78A22F"/>
              <w:left w:val="nil"/>
              <w:bottom w:val="nil"/>
              <w:right w:val="nil"/>
            </w:tcBorders>
          </w:tcPr>
          <w:p w:rsidR="004443E9" w:rsidRPr="00626D32" w:rsidRDefault="004443E9" w:rsidP="001F446D">
            <w:pPr>
              <w:pStyle w:val="BoxSpaceBelow"/>
            </w:pPr>
          </w:p>
        </w:tc>
      </w:tr>
    </w:tbl>
    <w:p w:rsidR="00613FBC" w:rsidRDefault="00A7798D" w:rsidP="00915746">
      <w:pPr>
        <w:pStyle w:val="Heading4"/>
        <w:rPr>
          <w:lang w:eastAsia="en-US"/>
        </w:rPr>
      </w:pPr>
      <w:r>
        <w:t>…</w:t>
      </w:r>
      <w:r>
        <w:rPr>
          <w:lang w:eastAsia="en-US"/>
        </w:rPr>
        <w:t xml:space="preserve"> </w:t>
      </w:r>
      <w:r w:rsidR="00AD1A0B">
        <w:rPr>
          <w:lang w:eastAsia="en-US"/>
        </w:rPr>
        <w:t xml:space="preserve">and </w:t>
      </w:r>
      <w:r w:rsidR="00613FBC">
        <w:rPr>
          <w:lang w:eastAsia="en-US"/>
        </w:rPr>
        <w:t>translate to significant system savings</w:t>
      </w:r>
    </w:p>
    <w:p w:rsidR="00915746" w:rsidRDefault="00915746" w:rsidP="00353029">
      <w:pPr>
        <w:pStyle w:val="BodyText"/>
        <w:rPr>
          <w:lang w:eastAsia="en-US"/>
        </w:rPr>
      </w:pPr>
      <w:r>
        <w:rPr>
          <w:lang w:eastAsia="en-US"/>
        </w:rPr>
        <w:t xml:space="preserve">At a system level, potential cost savings associated with </w:t>
      </w:r>
      <w:r w:rsidR="00FC00E6">
        <w:rPr>
          <w:lang w:eastAsia="en-US"/>
        </w:rPr>
        <w:t>scale could be achieved through</w:t>
      </w:r>
      <w:r>
        <w:rPr>
          <w:lang w:eastAsia="en-US"/>
        </w:rPr>
        <w:t>:</w:t>
      </w:r>
    </w:p>
    <w:p w:rsidR="00915746" w:rsidRPr="00915746" w:rsidRDefault="00915746" w:rsidP="00915746">
      <w:pPr>
        <w:pStyle w:val="ListBullet"/>
        <w:rPr>
          <w:lang w:eastAsia="en-US"/>
        </w:rPr>
      </w:pPr>
      <w:r>
        <w:rPr>
          <w:lang w:eastAsia="en-US"/>
        </w:rPr>
        <w:t>organic growth in funds’ assets stemming from investment returns</w:t>
      </w:r>
      <w:r w:rsidR="000B0322">
        <w:rPr>
          <w:lang w:eastAsia="en-US"/>
        </w:rPr>
        <w:t xml:space="preserve"> or contributions</w:t>
      </w:r>
    </w:p>
    <w:p w:rsidR="00915746" w:rsidRDefault="00915746" w:rsidP="00723BD3">
      <w:pPr>
        <w:pStyle w:val="ListBullet"/>
        <w:rPr>
          <w:lang w:eastAsia="en-US"/>
        </w:rPr>
      </w:pPr>
      <w:r>
        <w:rPr>
          <w:lang w:eastAsia="en-US"/>
        </w:rPr>
        <w:t>the exit of higher cost funds from the system and</w:t>
      </w:r>
      <w:r w:rsidR="00723BD3">
        <w:rPr>
          <w:lang w:eastAsia="en-US"/>
        </w:rPr>
        <w:t xml:space="preserve"> </w:t>
      </w:r>
      <w:r>
        <w:rPr>
          <w:lang w:eastAsia="en-US"/>
        </w:rPr>
        <w:t>the transfer of their assets to lower cost funds</w:t>
      </w:r>
      <w:r w:rsidR="00BB5935">
        <w:rPr>
          <w:lang w:eastAsia="en-US"/>
        </w:rPr>
        <w:t>.</w:t>
      </w:r>
    </w:p>
    <w:p w:rsidR="00915746" w:rsidRDefault="00D92FD4" w:rsidP="001E3030">
      <w:pPr>
        <w:pStyle w:val="BodyText"/>
        <w:rPr>
          <w:lang w:eastAsia="en-US"/>
        </w:rPr>
      </w:pPr>
      <w:r>
        <w:rPr>
          <w:lang w:eastAsia="en-US"/>
        </w:rPr>
        <w:t xml:space="preserve">The approach </w:t>
      </w:r>
      <w:r w:rsidR="007F2810">
        <w:rPr>
          <w:lang w:eastAsia="en-US"/>
        </w:rPr>
        <w:t xml:space="preserve">used to calculate the savings from each </w:t>
      </w:r>
      <w:r>
        <w:rPr>
          <w:lang w:eastAsia="en-US"/>
        </w:rPr>
        <w:t xml:space="preserve">of these </w:t>
      </w:r>
      <w:r w:rsidR="007F2810">
        <w:rPr>
          <w:lang w:eastAsia="en-US"/>
        </w:rPr>
        <w:t>source</w:t>
      </w:r>
      <w:r>
        <w:rPr>
          <w:lang w:eastAsia="en-US"/>
        </w:rPr>
        <w:t xml:space="preserve">s is presented in </w:t>
      </w:r>
      <w:r w:rsidR="007F2810">
        <w:rPr>
          <w:lang w:eastAsia="en-US"/>
        </w:rPr>
        <w:t>box </w:t>
      </w:r>
      <w:r w:rsidR="009039A8">
        <w:t>6</w:t>
      </w:r>
      <w:r w:rsidR="007F2810">
        <w:rPr>
          <w:lang w:eastAsia="en-US"/>
        </w:rPr>
        <w:t>.</w:t>
      </w:r>
      <w:r w:rsidR="00836786">
        <w:rPr>
          <w:lang w:eastAsia="en-US"/>
        </w:rPr>
        <w:t xml:space="preserve"> This approach goes well beyond the analysis presented in the draft report, which did not control for factors in addition to scale that are associated with costs, and </w:t>
      </w:r>
      <w:r w:rsidR="005338AF">
        <w:rPr>
          <w:lang w:eastAsia="en-US"/>
        </w:rPr>
        <w:t>drew attention to the role of exits in realised system savings.</w:t>
      </w:r>
    </w:p>
    <w:p w:rsidR="00915746" w:rsidRDefault="009157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15746" w:rsidTr="00066597">
        <w:trPr>
          <w:tblHeader/>
        </w:trPr>
        <w:tc>
          <w:tcPr>
            <w:tcW w:w="5000" w:type="pct"/>
            <w:tcBorders>
              <w:top w:val="single" w:sz="6" w:space="0" w:color="78A22F"/>
              <w:left w:val="nil"/>
              <w:bottom w:val="nil"/>
              <w:right w:val="nil"/>
            </w:tcBorders>
            <w:shd w:val="clear" w:color="auto" w:fill="F2F2F2"/>
          </w:tcPr>
          <w:p w:rsidR="00915746" w:rsidRDefault="00915746" w:rsidP="00915746">
            <w:pPr>
              <w:pStyle w:val="BoxTitle"/>
            </w:pPr>
            <w:r>
              <w:rPr>
                <w:b w:val="0"/>
              </w:rPr>
              <w:t xml:space="preserve">Box </w:t>
            </w:r>
            <w:bookmarkStart w:id="41" w:name="OLE_LINK21"/>
            <w:bookmarkStart w:id="42" w:name="OLE_LINK4"/>
            <w:r w:rsidR="004325AA">
              <w:rPr>
                <w:b w:val="0"/>
                <w:noProof/>
              </w:rPr>
              <w:t>6</w:t>
            </w:r>
            <w:bookmarkEnd w:id="41"/>
            <w:bookmarkEnd w:id="42"/>
            <w:r>
              <w:tab/>
              <w:t xml:space="preserve">Calculating system savings from realised </w:t>
            </w:r>
            <w:r w:rsidR="00CA1A49">
              <w:t>economies of scale</w:t>
            </w:r>
          </w:p>
        </w:tc>
      </w:tr>
      <w:tr w:rsidR="00915746" w:rsidTr="00066597">
        <w:tc>
          <w:tcPr>
            <w:tcW w:w="5000" w:type="pct"/>
            <w:tcBorders>
              <w:top w:val="nil"/>
              <w:left w:val="nil"/>
              <w:bottom w:val="nil"/>
              <w:right w:val="nil"/>
            </w:tcBorders>
            <w:shd w:val="clear" w:color="auto" w:fill="F2F2F2"/>
          </w:tcPr>
          <w:p w:rsidR="00915746" w:rsidRDefault="00FF6F4B" w:rsidP="00066597">
            <w:pPr>
              <w:pStyle w:val="Box"/>
            </w:pPr>
            <w:r>
              <w:t>The Commission has estimated realised economies of scale from two sources</w:t>
            </w:r>
            <w:r w:rsidR="00BB5935">
              <w:t>.</w:t>
            </w:r>
          </w:p>
          <w:p w:rsidR="000D3AFB" w:rsidRDefault="008C6606" w:rsidP="00760A14">
            <w:pPr>
              <w:pStyle w:val="BoxListNumber"/>
            </w:pPr>
            <w:r>
              <w:t>R</w:t>
            </w:r>
            <w:r w:rsidR="00FF6F4B">
              <w:t xml:space="preserve">eductions in costs </w:t>
            </w:r>
            <w:r w:rsidR="00D70CF4">
              <w:t>generated</w:t>
            </w:r>
            <w:r w:rsidR="00FF6F4B">
              <w:t xml:space="preserve"> </w:t>
            </w:r>
            <w:r>
              <w:t>by organic growth</w:t>
            </w:r>
            <w:r w:rsidR="00FF6F4B">
              <w:t xml:space="preserve"> (due to investment returns</w:t>
            </w:r>
            <w:r w:rsidR="00500A31">
              <w:t xml:space="preserve"> or</w:t>
            </w:r>
            <w:r w:rsidR="00FF6F4B">
              <w:t xml:space="preserve"> contributions).</w:t>
            </w:r>
            <w:r w:rsidR="000D3AFB">
              <w:t xml:space="preserve"> This is calculated by multiplying the stock of assets for a fund in a given year </w:t>
            </w:r>
            <w:r w:rsidR="00500A31">
              <w:t xml:space="preserve">and the fund’s additional assets excluding net rollovers, </w:t>
            </w:r>
            <w:r w:rsidR="000D3AFB">
              <w:t>by the difference between</w:t>
            </w:r>
            <w:r w:rsidR="000D642C">
              <w:t xml:space="preserve"> the fund’s</w:t>
            </w:r>
            <w:r w:rsidR="000D3AFB">
              <w:t>:</w:t>
            </w:r>
          </w:p>
          <w:p w:rsidR="000D3AFB" w:rsidRDefault="000D642C" w:rsidP="00760A14">
            <w:pPr>
              <w:pStyle w:val="BoxListNumber2"/>
            </w:pPr>
            <w:r>
              <w:t xml:space="preserve">estimated average cost in the </w:t>
            </w:r>
            <w:r w:rsidR="001E40F5">
              <w:t>previous</w:t>
            </w:r>
            <w:r>
              <w:t xml:space="preserve"> year</w:t>
            </w:r>
          </w:p>
          <w:p w:rsidR="000D642C" w:rsidRDefault="000D642C" w:rsidP="00760A14">
            <w:pPr>
              <w:pStyle w:val="BoxListNumber2"/>
            </w:pPr>
            <w:r>
              <w:t xml:space="preserve">estimated average cost with </w:t>
            </w:r>
            <w:r w:rsidR="001E40F5">
              <w:t>the current year’s</w:t>
            </w:r>
            <w:r>
              <w:t xml:space="preserve"> assets</w:t>
            </w:r>
            <w:r w:rsidR="001E40F5">
              <w:t xml:space="preserve"> (other variables held constant)</w:t>
            </w:r>
            <w:r w:rsidR="00BB5935">
              <w:t>.</w:t>
            </w:r>
          </w:p>
          <w:p w:rsidR="000D3AFB" w:rsidRPr="007E71F1" w:rsidRDefault="00FF6F4B" w:rsidP="00760A14">
            <w:pPr>
              <w:pStyle w:val="BoxListNumber"/>
              <w:rPr>
                <w:spacing w:val="-2"/>
              </w:rPr>
            </w:pPr>
            <w:r w:rsidRPr="00F947DF">
              <w:rPr>
                <w:spacing w:val="-2"/>
              </w:rPr>
              <w:t>The gains generated from funds exiting the system and their members moving to (typically) lower cost funds.</w:t>
            </w:r>
            <w:r w:rsidR="000D3AFB" w:rsidRPr="007E71F1">
              <w:rPr>
                <w:spacing w:val="-2"/>
              </w:rPr>
              <w:t xml:space="preserve"> This is </w:t>
            </w:r>
            <w:r w:rsidR="008C6606" w:rsidRPr="007E71F1">
              <w:rPr>
                <w:spacing w:val="-2"/>
              </w:rPr>
              <w:t>calculated</w:t>
            </w:r>
            <w:r w:rsidR="000D3AFB" w:rsidRPr="007E71F1">
              <w:rPr>
                <w:spacing w:val="-2"/>
              </w:rPr>
              <w:t xml:space="preserve"> by multiplying the value </w:t>
            </w:r>
            <w:r w:rsidR="00500A31" w:rsidRPr="007E71F1">
              <w:rPr>
                <w:spacing w:val="-2"/>
              </w:rPr>
              <w:t>of net rollovers</w:t>
            </w:r>
            <w:r w:rsidR="000D3AFB" w:rsidRPr="007E71F1">
              <w:rPr>
                <w:spacing w:val="-2"/>
              </w:rPr>
              <w:t xml:space="preserve"> </w:t>
            </w:r>
            <w:r w:rsidR="00500A31" w:rsidRPr="007E71F1">
              <w:rPr>
                <w:spacing w:val="-2"/>
              </w:rPr>
              <w:t>by the</w:t>
            </w:r>
            <w:r w:rsidR="000D3AFB" w:rsidRPr="007E71F1">
              <w:rPr>
                <w:spacing w:val="-2"/>
              </w:rPr>
              <w:t xml:space="preserve"> difference between:</w:t>
            </w:r>
          </w:p>
          <w:p w:rsidR="000D3AFB" w:rsidRDefault="000D3AFB" w:rsidP="00760A14">
            <w:pPr>
              <w:pStyle w:val="BoxListNumber2"/>
            </w:pPr>
            <w:r>
              <w:t xml:space="preserve">the </w:t>
            </w:r>
            <w:r w:rsidR="000D642C">
              <w:t xml:space="preserve">estimated </w:t>
            </w:r>
            <w:r>
              <w:t>average costs of the leaving funds</w:t>
            </w:r>
          </w:p>
          <w:p w:rsidR="00FF6F4B" w:rsidRDefault="000D3AFB" w:rsidP="00760A14">
            <w:pPr>
              <w:pStyle w:val="BoxListNumber2"/>
            </w:pPr>
            <w:r>
              <w:t xml:space="preserve">the </w:t>
            </w:r>
            <w:r w:rsidR="000D642C">
              <w:t xml:space="preserve">estimated </w:t>
            </w:r>
            <w:r>
              <w:t>average system cost in the same year.</w:t>
            </w:r>
          </w:p>
          <w:p w:rsidR="00AB70BE" w:rsidRDefault="00500A31" w:rsidP="00046B46">
            <w:pPr>
              <w:pStyle w:val="Box"/>
            </w:pPr>
            <w:r w:rsidRPr="0052570F">
              <w:t>These</w:t>
            </w:r>
            <w:r w:rsidRPr="0052570F" w:rsidDel="00C8517A">
              <w:t xml:space="preserve"> </w:t>
            </w:r>
            <w:r w:rsidR="00C8517A" w:rsidRPr="0052570F">
              <w:t xml:space="preserve">calculations </w:t>
            </w:r>
            <w:r w:rsidRPr="0052570F">
              <w:t xml:space="preserve">are not perfect </w:t>
            </w:r>
            <w:r w:rsidR="007D48F6" w:rsidRPr="0052570F">
              <w:t>and</w:t>
            </w:r>
            <w:r w:rsidRPr="0052570F">
              <w:t xml:space="preserve"> likely understate the full extent of savings</w:t>
            </w:r>
            <w:r w:rsidR="007D48F6" w:rsidRPr="0052570F">
              <w:t>. First, because the calculations are performed on a year</w:t>
            </w:r>
            <w:r w:rsidR="007D48F6" w:rsidRPr="0052570F">
              <w:noBreakHyphen/>
              <w:t>by</w:t>
            </w:r>
            <w:r w:rsidR="007D48F6" w:rsidRPr="0052570F">
              <w:noBreakHyphen/>
              <w:t xml:space="preserve">year basis they </w:t>
            </w:r>
            <w:r w:rsidR="00017B40" w:rsidRPr="0052570F">
              <w:t xml:space="preserve">only capture these ‘marginal’ savings and </w:t>
            </w:r>
            <w:r w:rsidR="007D48F6" w:rsidRPr="0052570F">
              <w:t xml:space="preserve">miss any cumulative savings. For example, in the </w:t>
            </w:r>
            <w:r w:rsidR="007D48F6" w:rsidRPr="0052570F">
              <w:rPr>
                <w:i/>
              </w:rPr>
              <w:t>highly</w:t>
            </w:r>
            <w:r w:rsidR="007D48F6" w:rsidRPr="0052570F">
              <w:t xml:space="preserve"> stylised figure below</w:t>
            </w:r>
            <w:r w:rsidR="006933D4" w:rsidRPr="0052570F">
              <w:t>,</w:t>
            </w:r>
            <w:r w:rsidR="007D48F6" w:rsidRPr="0052570F">
              <w:t xml:space="preserve"> </w:t>
            </w:r>
            <w:r w:rsidR="006933D4" w:rsidRPr="0052570F">
              <w:t xml:space="preserve">the average expense ratio falls over the first year depicted, with savings represented by area A. In the following year, the ratio falls further, with savings represented by area C. </w:t>
            </w:r>
            <w:r w:rsidR="00046B46" w:rsidRPr="0052570F">
              <w:t>T</w:t>
            </w:r>
            <w:r w:rsidR="006933D4" w:rsidRPr="0052570F">
              <w:t xml:space="preserve">he Commission’s modelling captures these </w:t>
            </w:r>
            <w:r w:rsidR="00F258BE" w:rsidRPr="0052570F">
              <w:t xml:space="preserve">(marginal) </w:t>
            </w:r>
            <w:r w:rsidR="006933D4" w:rsidRPr="0052570F">
              <w:t xml:space="preserve">changes. But there are also potential gains </w:t>
            </w:r>
            <w:r w:rsidR="00046B46" w:rsidRPr="0052570F">
              <w:t xml:space="preserve">in the second year, </w:t>
            </w:r>
            <w:r w:rsidR="006933D4" w:rsidRPr="0052570F">
              <w:t>represented by the area B</w:t>
            </w:r>
            <w:r w:rsidR="00046B46" w:rsidRPr="0052570F">
              <w:t> — that is, g</w:t>
            </w:r>
            <w:r w:rsidR="006933D4" w:rsidRPr="0052570F">
              <w:t>ains realised in the first year likely persist into the future.</w:t>
            </w:r>
            <w:r w:rsidR="00046B46" w:rsidRPr="0052570F">
              <w:t xml:space="preserve"> Similar arguments can be made for later years. These cumulative gains are not captured in the Commission’s estimates. Second, the estimated average system cost used in calculating the gains from </w:t>
            </w:r>
            <w:r w:rsidR="00D04F5E" w:rsidRPr="0052570F">
              <w:t xml:space="preserve">funds exiting the system </w:t>
            </w:r>
            <w:r w:rsidR="00046B46" w:rsidRPr="0052570F">
              <w:t xml:space="preserve">is likely to be high relative to the costs in the funds that </w:t>
            </w:r>
            <w:r w:rsidR="00D04F5E" w:rsidRPr="0052570F">
              <w:t xml:space="preserve">actually </w:t>
            </w:r>
            <w:r w:rsidR="00046B46" w:rsidRPr="0052570F">
              <w:t>receive assets from exiting funds.</w:t>
            </w:r>
          </w:p>
          <w:p w:rsidR="0052570F" w:rsidRDefault="00F71DF5" w:rsidP="00F71DF5">
            <w:pPr>
              <w:pStyle w:val="BoxHeading1"/>
            </w:pPr>
            <w:r>
              <w:rPr>
                <w:noProof/>
              </w:rPr>
              <w:drawing>
                <wp:anchor distT="0" distB="0" distL="114300" distR="114300" simplePos="0" relativeHeight="251662336" behindDoc="0" locked="0" layoutInCell="1" allowOverlap="1" wp14:anchorId="6C2D4C17" wp14:editId="20CCFC81">
                  <wp:simplePos x="0" y="0"/>
                  <wp:positionH relativeFrom="column">
                    <wp:posOffset>1223010</wp:posOffset>
                  </wp:positionH>
                  <wp:positionV relativeFrom="paragraph">
                    <wp:posOffset>448755</wp:posOffset>
                  </wp:positionV>
                  <wp:extent cx="2604770" cy="2466340"/>
                  <wp:effectExtent l="0" t="0" r="0" b="0"/>
                  <wp:wrapTopAndBottom/>
                  <wp:docPr id="36" name="Picture 36" descr="This figure shows a stylised illustration of potential savings from realised economies of scale over time. It illustrates the potential savings which are captured in the calculations and the savings which are not. &#1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4770" cy="2466340"/>
                          </a:xfrm>
                          <a:prstGeom prst="rect">
                            <a:avLst/>
                          </a:prstGeom>
                          <a:noFill/>
                          <a:ln>
                            <a:noFill/>
                          </a:ln>
                        </pic:spPr>
                      </pic:pic>
                    </a:graphicData>
                  </a:graphic>
                </wp:anchor>
              </w:drawing>
            </w:r>
            <w:r>
              <w:t xml:space="preserve">A </w:t>
            </w:r>
            <w:r w:rsidRPr="00017B87">
              <w:rPr>
                <w:i/>
              </w:rPr>
              <w:t>highly</w:t>
            </w:r>
            <w:r>
              <w:t xml:space="preserve"> stylised illustration of potential system savings</w:t>
            </w:r>
          </w:p>
          <w:p w:rsidR="00FF6F4B" w:rsidRDefault="00046B46" w:rsidP="00F71DF5">
            <w:pPr>
              <w:pStyle w:val="Box"/>
              <w:spacing w:before="240"/>
            </w:pPr>
            <w:r>
              <w:t xml:space="preserve">Derivation of estimates of the size of </w:t>
            </w:r>
            <w:r w:rsidR="00B06C42">
              <w:t>both cumulative savings and those stemming from funds exits</w:t>
            </w:r>
            <w:r>
              <w:t xml:space="preserve"> would require data on the flow of assets between funds, and this is not recorded in the data. The Commission has, therefore, taken a more conservative approach in deriving estimates of both realised (and unrealised) gains.</w:t>
            </w:r>
          </w:p>
        </w:tc>
      </w:tr>
      <w:tr w:rsidR="00915746" w:rsidTr="00066597">
        <w:tc>
          <w:tcPr>
            <w:tcW w:w="5000" w:type="pct"/>
            <w:tcBorders>
              <w:top w:val="nil"/>
              <w:left w:val="nil"/>
              <w:bottom w:val="single" w:sz="6" w:space="0" w:color="78A22F"/>
              <w:right w:val="nil"/>
            </w:tcBorders>
            <w:shd w:val="clear" w:color="auto" w:fill="F2F2F2"/>
          </w:tcPr>
          <w:p w:rsidR="00915746" w:rsidRDefault="00915746">
            <w:pPr>
              <w:pStyle w:val="Box"/>
              <w:spacing w:before="0" w:line="120" w:lineRule="exact"/>
            </w:pPr>
          </w:p>
        </w:tc>
      </w:tr>
      <w:tr w:rsidR="00915746" w:rsidRPr="000863A5" w:rsidTr="00066597">
        <w:tc>
          <w:tcPr>
            <w:tcW w:w="5000" w:type="pct"/>
            <w:tcBorders>
              <w:top w:val="single" w:sz="6" w:space="0" w:color="78A22F"/>
              <w:left w:val="nil"/>
              <w:bottom w:val="nil"/>
              <w:right w:val="nil"/>
            </w:tcBorders>
          </w:tcPr>
          <w:p w:rsidR="00915746" w:rsidRPr="00626D32" w:rsidRDefault="00915746" w:rsidP="00066597">
            <w:pPr>
              <w:pStyle w:val="BoxSpaceBelow"/>
            </w:pPr>
          </w:p>
        </w:tc>
      </w:tr>
    </w:tbl>
    <w:p w:rsidR="008B1C5A" w:rsidRPr="00916067" w:rsidRDefault="008B1C5A" w:rsidP="008B1C5A">
      <w:pPr>
        <w:pStyle w:val="BodyText"/>
        <w:rPr>
          <w:lang w:eastAsia="en-US"/>
        </w:rPr>
      </w:pPr>
      <w:r w:rsidRPr="00E51698">
        <w:rPr>
          <w:lang w:eastAsia="en-US"/>
        </w:rPr>
        <w:lastRenderedPageBreak/>
        <w:t xml:space="preserve">Holding constant other factors that influence costs, </w:t>
      </w:r>
      <w:r w:rsidRPr="00F947DF">
        <w:rPr>
          <w:lang w:eastAsia="en-US"/>
        </w:rPr>
        <w:t xml:space="preserve">between 2004 and 2017, </w:t>
      </w:r>
      <w:r>
        <w:rPr>
          <w:i/>
          <w:lang w:eastAsia="en-US"/>
        </w:rPr>
        <w:t>marginal</w:t>
      </w:r>
      <w:r w:rsidRPr="00D04F5E">
        <w:rPr>
          <w:lang w:eastAsia="en-US"/>
        </w:rPr>
        <w:t xml:space="preserve"> </w:t>
      </w:r>
      <w:r w:rsidRPr="00E51698">
        <w:rPr>
          <w:lang w:eastAsia="en-US"/>
        </w:rPr>
        <w:t xml:space="preserve">system savings </w:t>
      </w:r>
      <w:r>
        <w:rPr>
          <w:lang w:eastAsia="en-US"/>
        </w:rPr>
        <w:t>(</w:t>
      </w:r>
      <w:r>
        <w:rPr>
          <w:spacing w:val="-2"/>
          <w:lang w:eastAsia="en-US"/>
        </w:rPr>
        <w:t xml:space="preserve">that is the </w:t>
      </w:r>
      <w:r w:rsidR="00517F2A">
        <w:rPr>
          <w:spacing w:val="-2"/>
          <w:lang w:eastAsia="en-US"/>
        </w:rPr>
        <w:t xml:space="preserve">incremental </w:t>
      </w:r>
      <w:r>
        <w:rPr>
          <w:spacing w:val="-2"/>
          <w:lang w:eastAsia="en-US"/>
        </w:rPr>
        <w:t xml:space="preserve">gains accrued from year to year </w:t>
      </w:r>
      <w:r>
        <w:rPr>
          <w:lang w:eastAsia="en-US"/>
        </w:rPr>
        <w:t>(further defined in box </w:t>
      </w:r>
      <w:r w:rsidR="003820DC">
        <w:rPr>
          <w:lang w:eastAsia="en-US"/>
        </w:rPr>
        <w:t>6</w:t>
      </w:r>
      <w:r>
        <w:rPr>
          <w:lang w:eastAsia="en-US"/>
        </w:rPr>
        <w:t xml:space="preserve">)) </w:t>
      </w:r>
      <w:r w:rsidRPr="00E51698">
        <w:rPr>
          <w:lang w:eastAsia="en-US"/>
        </w:rPr>
        <w:t>associated with realised economies of</w:t>
      </w:r>
      <w:r w:rsidRPr="00F947DF">
        <w:rPr>
          <w:lang w:eastAsia="en-US"/>
        </w:rPr>
        <w:t xml:space="preserve"> scale are conservatively estimated to have averaged </w:t>
      </w:r>
      <w:r w:rsidRPr="007E71F1">
        <w:rPr>
          <w:lang w:eastAsia="en-US"/>
        </w:rPr>
        <w:t>about $3</w:t>
      </w:r>
      <w:r w:rsidR="00517F2A">
        <w:rPr>
          <w:lang w:eastAsia="en-US"/>
        </w:rPr>
        <w:t>4</w:t>
      </w:r>
      <w:r w:rsidRPr="007E71F1">
        <w:rPr>
          <w:lang w:eastAsia="en-US"/>
        </w:rPr>
        <w:t>0 million a year — or (with 50 per cent probability) to have totalled about $4.</w:t>
      </w:r>
      <w:r w:rsidR="00213394">
        <w:rPr>
          <w:lang w:eastAsia="en-US"/>
        </w:rPr>
        <w:t>5</w:t>
      </w:r>
      <w:r w:rsidR="007E3874">
        <w:rPr>
          <w:lang w:eastAsia="en-US"/>
        </w:rPr>
        <w:t> </w:t>
      </w:r>
      <w:r w:rsidRPr="007E71F1">
        <w:rPr>
          <w:lang w:eastAsia="en-US"/>
        </w:rPr>
        <w:t>billion for the period (figure </w:t>
      </w:r>
      <w:r>
        <w:t>13</w:t>
      </w:r>
      <w:r w:rsidRPr="007E71F1">
        <w:rPr>
          <w:lang w:eastAsia="en-US"/>
        </w:rPr>
        <w:t>, table </w:t>
      </w:r>
      <w:r>
        <w:t>8</w:t>
      </w:r>
      <w:r w:rsidRPr="007E71F1">
        <w:rPr>
          <w:lang w:eastAsia="en-US"/>
        </w:rPr>
        <w:t>).</w:t>
      </w:r>
    </w:p>
    <w:p w:rsidR="008B1C5A" w:rsidRPr="00E51698" w:rsidRDefault="008B1C5A" w:rsidP="008B1C5A">
      <w:pPr>
        <w:pStyle w:val="BodyText"/>
        <w:rPr>
          <w:lang w:eastAsia="en-US"/>
        </w:rPr>
      </w:pPr>
      <w:r w:rsidRPr="00E51698">
        <w:rPr>
          <w:lang w:eastAsia="en-US"/>
        </w:rPr>
        <w:t>These are significant savings (</w:t>
      </w:r>
      <w:r w:rsidRPr="00F947DF">
        <w:rPr>
          <w:lang w:eastAsia="en-US"/>
        </w:rPr>
        <w:t>and, as discussed in box </w:t>
      </w:r>
      <w:r>
        <w:t>6</w:t>
      </w:r>
      <w:r w:rsidRPr="00F947DF">
        <w:rPr>
          <w:lang w:eastAsia="en-US"/>
        </w:rPr>
        <w:t xml:space="preserve">, are likely to be underestimates). </w:t>
      </w:r>
      <w:r w:rsidRPr="007E71F1">
        <w:rPr>
          <w:lang w:eastAsia="en-US"/>
        </w:rPr>
        <w:t xml:space="preserve">For context, recorded expenses </w:t>
      </w:r>
      <w:r>
        <w:rPr>
          <w:lang w:eastAsia="en-US"/>
        </w:rPr>
        <w:t>for</w:t>
      </w:r>
      <w:r w:rsidRPr="00E51698">
        <w:rPr>
          <w:lang w:eastAsia="en-US"/>
        </w:rPr>
        <w:t xml:space="preserve"> APRA</w:t>
      </w:r>
      <w:r w:rsidRPr="00E51698">
        <w:rPr>
          <w:lang w:eastAsia="en-US"/>
        </w:rPr>
        <w:noBreakHyphen/>
        <w:t xml:space="preserve">regulated funds were </w:t>
      </w:r>
      <w:r w:rsidRPr="00F947DF">
        <w:rPr>
          <w:lang w:eastAsia="en-US"/>
        </w:rPr>
        <w:t>about $2.5 billion in 2004 and just over $9 billion in 2017.</w:t>
      </w:r>
    </w:p>
    <w:p w:rsidR="009F5D60" w:rsidRDefault="009F5D60" w:rsidP="008B1C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F5D60" w:rsidTr="009F5D60">
        <w:trPr>
          <w:tblHeader/>
        </w:trPr>
        <w:tc>
          <w:tcPr>
            <w:tcW w:w="5000" w:type="pct"/>
            <w:tcBorders>
              <w:top w:val="single" w:sz="6" w:space="0" w:color="78A22F"/>
              <w:left w:val="nil"/>
              <w:bottom w:val="nil"/>
              <w:right w:val="nil"/>
            </w:tcBorders>
            <w:shd w:val="clear" w:color="auto" w:fill="auto"/>
          </w:tcPr>
          <w:p w:rsidR="009F5D60" w:rsidRDefault="009F5D60" w:rsidP="009F5D60">
            <w:pPr>
              <w:pStyle w:val="FigureTitle"/>
            </w:pPr>
            <w:r w:rsidRPr="00784A05">
              <w:rPr>
                <w:b w:val="0"/>
              </w:rPr>
              <w:t xml:space="preserve">Figure </w:t>
            </w:r>
            <w:bookmarkStart w:id="43" w:name="OLE_LINK24"/>
            <w:r w:rsidR="004325AA">
              <w:rPr>
                <w:b w:val="0"/>
                <w:noProof/>
              </w:rPr>
              <w:t>13</w:t>
            </w:r>
            <w:bookmarkEnd w:id="43"/>
            <w:r>
              <w:tab/>
            </w:r>
            <w:r w:rsidR="00F258BE">
              <w:t>Large system savings from realised economies of scale</w:t>
            </w:r>
            <w:r w:rsidR="00105901" w:rsidRPr="00215235">
              <w:rPr>
                <w:rStyle w:val="NoteLabel"/>
                <w:b/>
              </w:rPr>
              <w:t>a,b</w:t>
            </w:r>
            <w:r w:rsidR="003820DC">
              <w:rPr>
                <w:rStyle w:val="NoteLabel"/>
                <w:b/>
              </w:rPr>
              <w:t>,c</w:t>
            </w:r>
          </w:p>
          <w:p w:rsidR="009F5D60" w:rsidRPr="00176D3F" w:rsidRDefault="00105901" w:rsidP="009F5D60">
            <w:pPr>
              <w:pStyle w:val="Subtitle"/>
            </w:pPr>
            <w:r>
              <w:t>Median marginal cost savings associated with realised EOS, 2</w:t>
            </w:r>
            <w:r w:rsidR="004822F8">
              <w:t>005</w:t>
            </w:r>
            <w:r>
              <w:t>–2017</w:t>
            </w:r>
          </w:p>
        </w:tc>
      </w:tr>
      <w:tr w:rsidR="009F5D60" w:rsidTr="009F5D6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F5D60" w:rsidRPr="00B1465D" w:rsidTr="009F5D60">
              <w:trPr>
                <w:tblHeader/>
                <w:jc w:val="center"/>
              </w:trPr>
              <w:tc>
                <w:tcPr>
                  <w:tcW w:w="5000" w:type="pct"/>
                  <w:tcBorders>
                    <w:top w:val="nil"/>
                    <w:bottom w:val="nil"/>
                  </w:tcBorders>
                </w:tcPr>
                <w:p w:rsidR="009F5D60" w:rsidRDefault="00EA6C60" w:rsidP="009F5D60">
                  <w:pPr>
                    <w:pStyle w:val="Figure"/>
                    <w:spacing w:before="60" w:after="60"/>
                    <w:rPr>
                      <w:rFonts w:ascii="Arial" w:hAnsi="Arial" w:cs="Arial"/>
                      <w:sz w:val="18"/>
                      <w:szCs w:val="18"/>
                    </w:rPr>
                  </w:pPr>
                  <w:r w:rsidRPr="00EA6C60">
                    <w:rPr>
                      <w:rFonts w:ascii="Arial" w:hAnsi="Arial" w:cs="Arial"/>
                      <w:noProof/>
                      <w:sz w:val="18"/>
                      <w:szCs w:val="18"/>
                    </w:rPr>
                    <w:drawing>
                      <wp:inline distT="0" distB="0" distL="0" distR="0" wp14:anchorId="72FFABDD" wp14:editId="557136AB">
                        <wp:extent cx="4821382" cy="2736215"/>
                        <wp:effectExtent l="0" t="0" r="0" b="6985"/>
                        <wp:docPr id="20" name="Picture 20" descr="This figures shows the median marginal yearly savings from realised economies of scale for each year between 2005 to 2017. On average, the savings are around $300  million per year, with a dip during 2008 and 2009 and a jump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26429" cy="273908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2466F2" w:rsidTr="002466F2">
                    <w:trPr>
                      <w:tblHeader/>
                    </w:trPr>
                    <w:tc>
                      <w:tcPr>
                        <w:tcW w:w="1559" w:type="dxa"/>
                        <w:shd w:val="clear" w:color="auto" w:fill="F2F2F2" w:themeFill="background1" w:themeFillShade="F2"/>
                      </w:tcPr>
                      <w:p w:rsidR="002466F2" w:rsidRDefault="002466F2" w:rsidP="002466F2">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2466F2" w:rsidRDefault="002466F2" w:rsidP="002466F2">
                        <w:pPr>
                          <w:pStyle w:val="Figure"/>
                          <w:spacing w:before="0" w:after="0"/>
                          <w:jc w:val="left"/>
                          <w:rPr>
                            <w:rFonts w:ascii="Arial" w:hAnsi="Arial" w:cs="Arial"/>
                            <w:sz w:val="18"/>
                            <w:szCs w:val="18"/>
                          </w:rPr>
                        </w:pPr>
                        <w:r w:rsidRPr="000E45B5">
                          <w:rPr>
                            <w:rFonts w:ascii="Arial" w:eastAsia="+mn-ea" w:hAnsi="Arial" w:cs="Arial"/>
                            <w:color w:val="000000" w:themeColor="text1"/>
                            <w:kern w:val="24"/>
                            <w:sz w:val="18"/>
                            <w:szCs w:val="18"/>
                          </w:rPr>
                          <w:t>PC analysis of APRA data</w:t>
                        </w:r>
                        <w:r>
                          <w:rPr>
                            <w:rFonts w:ascii="Arial" w:eastAsia="+mn-ea" w:hAnsi="Arial" w:cs="Arial"/>
                            <w:color w:val="000000" w:themeColor="text1"/>
                            <w:kern w:val="24"/>
                            <w:sz w:val="18"/>
                            <w:szCs w:val="18"/>
                          </w:rPr>
                          <w:t>.</w:t>
                        </w:r>
                      </w:p>
                    </w:tc>
                  </w:tr>
                  <w:tr w:rsidR="002466F2" w:rsidRPr="001F53B0" w:rsidTr="002466F2">
                    <w:tc>
                      <w:tcPr>
                        <w:tcW w:w="1559" w:type="dxa"/>
                        <w:shd w:val="clear" w:color="auto" w:fill="F2F2F2" w:themeFill="background1" w:themeFillShade="F2"/>
                      </w:tcPr>
                      <w:p w:rsidR="002466F2" w:rsidRDefault="002466F2" w:rsidP="002466F2">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rsidR="002466F2" w:rsidRPr="001F53B0" w:rsidRDefault="002466F2" w:rsidP="002466F2">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w:t>
                        </w:r>
                        <w:r w:rsidRPr="000F2B85">
                          <w:rPr>
                            <w:rFonts w:ascii="Arial" w:eastAsia="+mn-ea" w:hAnsi="Arial" w:cs="Arial"/>
                            <w:color w:val="000000" w:themeColor="text1"/>
                            <w:kern w:val="24"/>
                            <w:sz w:val="18"/>
                            <w:szCs w:val="18"/>
                          </w:rPr>
                          <w:t xml:space="preserve">and </w:t>
                        </w:r>
                        <w:r>
                          <w:rPr>
                            <w:rFonts w:ascii="Arial" w:eastAsia="+mn-ea" w:hAnsi="Arial" w:cs="Arial"/>
                            <w:color w:val="000000" w:themeColor="text1"/>
                            <w:kern w:val="24"/>
                            <w:sz w:val="18"/>
                            <w:szCs w:val="18"/>
                          </w:rPr>
                          <w:t>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05 respectively. Excludes funds with less than two years of data.</w:t>
                        </w:r>
                      </w:p>
                    </w:tc>
                  </w:tr>
                </w:tbl>
                <w:p w:rsidR="009F5D60" w:rsidRPr="00B1465D" w:rsidRDefault="009F5D60" w:rsidP="009F5D60">
                  <w:pPr>
                    <w:pStyle w:val="Figure"/>
                    <w:spacing w:before="60" w:after="60"/>
                    <w:rPr>
                      <w:rFonts w:ascii="Arial" w:hAnsi="Arial" w:cs="Arial"/>
                      <w:sz w:val="18"/>
                      <w:szCs w:val="18"/>
                    </w:rPr>
                  </w:pPr>
                </w:p>
              </w:tc>
            </w:tr>
          </w:tbl>
          <w:p w:rsidR="009F5D60" w:rsidRDefault="009F5D60" w:rsidP="009F5D60">
            <w:pPr>
              <w:pStyle w:val="Figure"/>
            </w:pPr>
          </w:p>
        </w:tc>
      </w:tr>
      <w:tr w:rsidR="009F5D60" w:rsidRPr="00176D3F" w:rsidTr="009F5D60">
        <w:tc>
          <w:tcPr>
            <w:tcW w:w="5000" w:type="pct"/>
            <w:tcBorders>
              <w:top w:val="nil"/>
              <w:left w:val="nil"/>
              <w:bottom w:val="nil"/>
              <w:right w:val="nil"/>
            </w:tcBorders>
            <w:shd w:val="clear" w:color="auto" w:fill="auto"/>
          </w:tcPr>
          <w:p w:rsidR="009F5D60" w:rsidRPr="00176D3F" w:rsidRDefault="009F5D60" w:rsidP="006E1D8F">
            <w:pPr>
              <w:pStyle w:val="Note"/>
            </w:pPr>
            <w:r>
              <w:rPr>
                <w:rStyle w:val="NoteLabel"/>
              </w:rPr>
              <w:t>a</w:t>
            </w:r>
            <w:r>
              <w:t xml:space="preserve"> </w:t>
            </w:r>
            <w:r w:rsidR="00AB70BE">
              <w:t>M</w:t>
            </w:r>
            <w:r>
              <w:t xml:space="preserve">any factors contribute to these being underestimates (two </w:t>
            </w:r>
            <w:r w:rsidR="00AB70BE">
              <w:t xml:space="preserve">key ones </w:t>
            </w:r>
            <w:r>
              <w:t>are described in box </w:t>
            </w:r>
            <w:r w:rsidR="007E3874">
              <w:t>6</w:t>
            </w:r>
            <w:r>
              <w:t>)</w:t>
            </w:r>
            <w:r w:rsidR="00AB70BE">
              <w:t xml:space="preserve">. On the other hand, the </w:t>
            </w:r>
            <w:r>
              <w:t>full extent of transition costs cannot be observed in APRA data</w:t>
            </w:r>
            <w:r w:rsidR="00AB70BE">
              <w:t xml:space="preserve"> — a source of overestimation in these estimates. </w:t>
            </w:r>
            <w:r>
              <w:rPr>
                <w:rStyle w:val="NoteLabel"/>
              </w:rPr>
              <w:t>b</w:t>
            </w:r>
            <w:r w:rsidRPr="00F947DF">
              <w:t xml:space="preserve"> </w:t>
            </w:r>
            <w:r>
              <w:t>Funds that reported asset allocations which included other assets of more than 95</w:t>
            </w:r>
            <w:r w:rsidR="007E3874">
              <w:t> per cent</w:t>
            </w:r>
            <w:r>
              <w:t xml:space="preserve"> were excluded from this calculation.</w:t>
            </w:r>
            <w:r w:rsidR="003820DC">
              <w:t xml:space="preserve"> </w:t>
            </w:r>
            <w:r w:rsidR="003820DC" w:rsidRPr="003820DC">
              <w:rPr>
                <w:rStyle w:val="NoteLabel"/>
              </w:rPr>
              <w:t>c</w:t>
            </w:r>
            <w:r w:rsidR="003820DC">
              <w:t xml:space="preserve"> The larger estimate for 2017 was influenced by </w:t>
            </w:r>
            <w:r w:rsidR="00EF7CAF">
              <w:t>a</w:t>
            </w:r>
            <w:r w:rsidR="003820DC">
              <w:t xml:space="preserve"> </w:t>
            </w:r>
            <w:r w:rsidR="006E1D8F">
              <w:t>significant increase in reported net assets</w:t>
            </w:r>
            <w:r w:rsidR="003820DC">
              <w:t xml:space="preserve"> </w:t>
            </w:r>
            <w:r w:rsidR="006E1D8F">
              <w:t xml:space="preserve">for </w:t>
            </w:r>
            <w:r w:rsidR="00894643">
              <w:t xml:space="preserve">Australian </w:t>
            </w:r>
            <w:r w:rsidR="003820DC">
              <w:t xml:space="preserve">public </w:t>
            </w:r>
            <w:r w:rsidR="00894643">
              <w:t>service</w:t>
            </w:r>
            <w:r w:rsidR="003820DC">
              <w:t xml:space="preserve"> super fund</w:t>
            </w:r>
            <w:r w:rsidR="0088045F">
              <w:t>s</w:t>
            </w:r>
            <w:r w:rsidR="003820DC">
              <w:t xml:space="preserve">. </w:t>
            </w:r>
            <w:r w:rsidR="00D965BC">
              <w:t>The effect of this is likely to be in the order of $150 million.</w:t>
            </w:r>
            <w:r w:rsidR="003820DC">
              <w:t xml:space="preserve"> The smaller estimates for 2008 and 2009 reflec</w:t>
            </w:r>
            <w:r w:rsidR="00185852">
              <w:t>t</w:t>
            </w:r>
            <w:r w:rsidR="003820DC">
              <w:t xml:space="preserve"> the impact of the global financial crisis.</w:t>
            </w:r>
          </w:p>
        </w:tc>
      </w:tr>
      <w:tr w:rsidR="009F5D60" w:rsidRPr="00176D3F" w:rsidTr="009F5D60">
        <w:tc>
          <w:tcPr>
            <w:tcW w:w="5000" w:type="pct"/>
            <w:tcBorders>
              <w:top w:val="nil"/>
              <w:left w:val="nil"/>
              <w:bottom w:val="nil"/>
              <w:right w:val="nil"/>
            </w:tcBorders>
            <w:shd w:val="clear" w:color="auto" w:fill="auto"/>
          </w:tcPr>
          <w:p w:rsidR="009F5D60" w:rsidRPr="00176D3F" w:rsidRDefault="009F5D60" w:rsidP="009F5D60">
            <w:pPr>
              <w:pStyle w:val="Source"/>
            </w:pPr>
            <w:r>
              <w:rPr>
                <w:i/>
              </w:rPr>
              <w:t>S</w:t>
            </w:r>
            <w:r w:rsidRPr="00784A05">
              <w:rPr>
                <w:i/>
              </w:rPr>
              <w:t>ource</w:t>
            </w:r>
            <w:r w:rsidRPr="00176D3F">
              <w:t xml:space="preserve">: </w:t>
            </w:r>
            <w:r>
              <w:t>PC analysis of APRA data.</w:t>
            </w:r>
          </w:p>
        </w:tc>
      </w:tr>
      <w:tr w:rsidR="009F5D60" w:rsidTr="009F5D60">
        <w:tc>
          <w:tcPr>
            <w:tcW w:w="5000" w:type="pct"/>
            <w:tcBorders>
              <w:top w:val="nil"/>
              <w:left w:val="nil"/>
              <w:bottom w:val="single" w:sz="6" w:space="0" w:color="78A22F"/>
              <w:right w:val="nil"/>
            </w:tcBorders>
            <w:shd w:val="clear" w:color="auto" w:fill="auto"/>
          </w:tcPr>
          <w:p w:rsidR="009F5D60" w:rsidRDefault="009F5D60" w:rsidP="009F5D60">
            <w:pPr>
              <w:pStyle w:val="Figurespace"/>
            </w:pPr>
          </w:p>
        </w:tc>
      </w:tr>
      <w:tr w:rsidR="009F5D60" w:rsidRPr="000863A5" w:rsidTr="009F5D60">
        <w:tc>
          <w:tcPr>
            <w:tcW w:w="5000" w:type="pct"/>
            <w:tcBorders>
              <w:top w:val="single" w:sz="6" w:space="0" w:color="78A22F"/>
              <w:left w:val="nil"/>
              <w:bottom w:val="nil"/>
              <w:right w:val="nil"/>
            </w:tcBorders>
          </w:tcPr>
          <w:p w:rsidR="009F5D60" w:rsidRPr="00626D32" w:rsidRDefault="009F5D60" w:rsidP="009F5D60">
            <w:pPr>
              <w:pStyle w:val="BoxSpaceBelow"/>
            </w:pPr>
          </w:p>
        </w:tc>
      </w:tr>
    </w:tbl>
    <w:p w:rsidR="00022851" w:rsidRDefault="00022851" w:rsidP="0047187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2851" w:rsidTr="0047187D">
        <w:trPr>
          <w:tblHeader/>
        </w:trPr>
        <w:tc>
          <w:tcPr>
            <w:tcW w:w="5000" w:type="pct"/>
            <w:tcBorders>
              <w:top w:val="single" w:sz="6" w:space="0" w:color="78A22F"/>
              <w:left w:val="nil"/>
              <w:bottom w:val="nil"/>
              <w:right w:val="nil"/>
            </w:tcBorders>
            <w:shd w:val="clear" w:color="auto" w:fill="auto"/>
          </w:tcPr>
          <w:p w:rsidR="00022851" w:rsidRDefault="00022851" w:rsidP="0047187D">
            <w:pPr>
              <w:pStyle w:val="TableTitle"/>
            </w:pPr>
            <w:r>
              <w:rPr>
                <w:b w:val="0"/>
              </w:rPr>
              <w:t xml:space="preserve">Table </w:t>
            </w:r>
            <w:bookmarkStart w:id="44" w:name="OLE_LINK22"/>
            <w:r w:rsidR="004325AA">
              <w:rPr>
                <w:b w:val="0"/>
                <w:noProof/>
              </w:rPr>
              <w:t>8</w:t>
            </w:r>
            <w:bookmarkEnd w:id="44"/>
            <w:r>
              <w:tab/>
            </w:r>
            <w:r w:rsidR="00105901">
              <w:t>L</w:t>
            </w:r>
            <w:r w:rsidR="007F2810">
              <w:t xml:space="preserve">arge system </w:t>
            </w:r>
            <w:r w:rsidR="009F5D60">
              <w:t>savings</w:t>
            </w:r>
            <w:r w:rsidR="00105901">
              <w:t xml:space="preserve"> from realised economies of scale</w:t>
            </w:r>
            <w:r w:rsidR="00105901" w:rsidRPr="00CB02E7">
              <w:rPr>
                <w:rStyle w:val="NoteLabel"/>
                <w:b/>
              </w:rPr>
              <w:t>a</w:t>
            </w:r>
            <w:r w:rsidR="007F2810" w:rsidRPr="009F5D60">
              <w:rPr>
                <w:rStyle w:val="NoteLabel"/>
                <w:b/>
              </w:rPr>
              <w:t>,</w:t>
            </w:r>
            <w:r w:rsidR="00105901">
              <w:rPr>
                <w:rStyle w:val="NoteLabel"/>
                <w:b/>
              </w:rPr>
              <w:t>b</w:t>
            </w:r>
          </w:p>
          <w:p w:rsidR="00022851" w:rsidRPr="00784A05" w:rsidRDefault="00A20F7D" w:rsidP="00AD1A0B">
            <w:pPr>
              <w:pStyle w:val="Subtitle"/>
            </w:pPr>
            <w:r>
              <w:t>Marginal c</w:t>
            </w:r>
            <w:r w:rsidR="007F2810">
              <w:t xml:space="preserve">ost savings associated with realised </w:t>
            </w:r>
            <w:r w:rsidR="00830D1E">
              <w:t xml:space="preserve">EOS </w:t>
            </w:r>
            <w:r w:rsidR="007F2810">
              <w:t>between 2004</w:t>
            </w:r>
            <w:r w:rsidR="00723BD3">
              <w:t xml:space="preserve"> and 2017</w:t>
            </w:r>
          </w:p>
        </w:tc>
      </w:tr>
      <w:tr w:rsidR="00022851" w:rsidTr="0047187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63"/>
              <w:gridCol w:w="2123"/>
              <w:gridCol w:w="2119"/>
            </w:tblGrid>
            <w:tr w:rsidR="009629F5" w:rsidTr="00F71DF5">
              <w:tc>
                <w:tcPr>
                  <w:tcW w:w="2506" w:type="pct"/>
                  <w:tcBorders>
                    <w:top w:val="single" w:sz="4" w:space="0" w:color="BFBFBF" w:themeColor="background1" w:themeShade="BF"/>
                    <w:bottom w:val="single" w:sz="4" w:space="0" w:color="BFBFBF" w:themeColor="background1" w:themeShade="BF"/>
                  </w:tcBorders>
                </w:tcPr>
                <w:p w:rsidR="009629F5" w:rsidRDefault="009629F5" w:rsidP="0047187D">
                  <w:pPr>
                    <w:pStyle w:val="TableUnitsRow"/>
                    <w:jc w:val="left"/>
                  </w:pPr>
                </w:p>
              </w:tc>
              <w:tc>
                <w:tcPr>
                  <w:tcW w:w="1248" w:type="pct"/>
                  <w:tcBorders>
                    <w:top w:val="single" w:sz="4" w:space="0" w:color="BFBFBF" w:themeColor="background1" w:themeShade="BF"/>
                    <w:bottom w:val="single" w:sz="4" w:space="0" w:color="BFBFBF" w:themeColor="background1" w:themeShade="BF"/>
                  </w:tcBorders>
                </w:tcPr>
                <w:p w:rsidR="00BB5935" w:rsidRDefault="009629F5" w:rsidP="0047187D">
                  <w:pPr>
                    <w:pStyle w:val="TableUnitsRow"/>
                    <w:ind w:right="28"/>
                    <w:rPr>
                      <w:rStyle w:val="NoteLabel"/>
                    </w:rPr>
                  </w:pPr>
                  <w:r>
                    <w:t>Average</w:t>
                  </w:r>
                  <w:r w:rsidR="00105901">
                    <w:t xml:space="preserve"> marginal </w:t>
                  </w:r>
                  <w:r w:rsidR="00105901">
                    <w:br/>
                    <w:t>savings</w:t>
                  </w:r>
                  <w:r>
                    <w:t xml:space="preserve"> per </w:t>
                  </w:r>
                  <w:r w:rsidR="00105901">
                    <w:t>year</w:t>
                  </w:r>
                  <w:r w:rsidR="00105901">
                    <w:rPr>
                      <w:rStyle w:val="NoteLabel"/>
                    </w:rPr>
                    <w:t>c</w:t>
                  </w:r>
                </w:p>
                <w:p w:rsidR="009629F5" w:rsidRPr="00BB5935" w:rsidRDefault="00BB5935" w:rsidP="00C469C2">
                  <w:pPr>
                    <w:pStyle w:val="TableUnitsRow"/>
                    <w:ind w:right="28"/>
                  </w:pPr>
                  <w:r w:rsidRPr="00BB5935">
                    <w:t xml:space="preserve">($ </w:t>
                  </w:r>
                  <w:r w:rsidR="00C469C2">
                    <w:t>m</w:t>
                  </w:r>
                  <w:r w:rsidRPr="00BB5935">
                    <w:t>illion)</w:t>
                  </w:r>
                </w:p>
              </w:tc>
              <w:tc>
                <w:tcPr>
                  <w:tcW w:w="1246" w:type="pct"/>
                  <w:tcBorders>
                    <w:top w:val="single" w:sz="4" w:space="0" w:color="BFBFBF" w:themeColor="background1" w:themeShade="BF"/>
                    <w:bottom w:val="single" w:sz="4" w:space="0" w:color="BFBFBF" w:themeColor="background1" w:themeShade="BF"/>
                  </w:tcBorders>
                </w:tcPr>
                <w:p w:rsidR="009629F5" w:rsidRDefault="009629F5" w:rsidP="0047187D">
                  <w:pPr>
                    <w:pStyle w:val="TableUnitsRow"/>
                    <w:ind w:right="28"/>
                  </w:pPr>
                  <w:r>
                    <w:t>Total</w:t>
                  </w:r>
                  <w:r w:rsidR="00723BD3">
                    <w:t xml:space="preserve"> </w:t>
                  </w:r>
                  <w:r w:rsidR="00105901">
                    <w:t xml:space="preserve">marginal savings </w:t>
                  </w:r>
                  <w:r w:rsidR="00723BD3">
                    <w:t xml:space="preserve">across </w:t>
                  </w:r>
                  <w:r w:rsidR="006B372F">
                    <w:t xml:space="preserve">the </w:t>
                  </w:r>
                  <w:r w:rsidR="00723BD3">
                    <w:t>period</w:t>
                  </w:r>
                </w:p>
                <w:p w:rsidR="00BB5935" w:rsidRDefault="00BB5935" w:rsidP="0047187D">
                  <w:pPr>
                    <w:pStyle w:val="TableUnitsRow"/>
                    <w:ind w:right="28"/>
                  </w:pPr>
                  <w:r>
                    <w:t>($ billion)</w:t>
                  </w:r>
                </w:p>
              </w:tc>
            </w:tr>
            <w:tr w:rsidR="009629F5" w:rsidTr="00323C19">
              <w:tc>
                <w:tcPr>
                  <w:tcW w:w="2506" w:type="pct"/>
                  <w:tcBorders>
                    <w:top w:val="single" w:sz="4" w:space="0" w:color="BFBFBF" w:themeColor="background1" w:themeShade="BF"/>
                  </w:tcBorders>
                </w:tcPr>
                <w:p w:rsidR="009629F5" w:rsidRDefault="009629F5" w:rsidP="00F947DF">
                  <w:pPr>
                    <w:pStyle w:val="TableUnitsRow"/>
                    <w:jc w:val="left"/>
                  </w:pPr>
                  <w:r>
                    <w:t xml:space="preserve">With 90% </w:t>
                  </w:r>
                  <w:r w:rsidR="00105901">
                    <w:t xml:space="preserve">probability </w:t>
                  </w:r>
                  <w:r>
                    <w:t xml:space="preserve">system </w:t>
                  </w:r>
                  <w:r w:rsidR="00A20F7D">
                    <w:t xml:space="preserve">marginal </w:t>
                  </w:r>
                  <w:r>
                    <w:t>realised economies of scale are at least</w:t>
                  </w:r>
                </w:p>
              </w:tc>
              <w:tc>
                <w:tcPr>
                  <w:tcW w:w="1248" w:type="pct"/>
                  <w:tcBorders>
                    <w:top w:val="single" w:sz="4" w:space="0" w:color="BFBFBF" w:themeColor="background1" w:themeShade="BF"/>
                  </w:tcBorders>
                </w:tcPr>
                <w:p w:rsidR="009629F5" w:rsidRDefault="00C469C2" w:rsidP="00BB5935">
                  <w:pPr>
                    <w:pStyle w:val="TableUnitsRow"/>
                    <w:ind w:right="28"/>
                  </w:pPr>
                  <w:r>
                    <w:t>26</w:t>
                  </w:r>
                  <w:r w:rsidR="00213394">
                    <w:t>4</w:t>
                  </w:r>
                </w:p>
              </w:tc>
              <w:tc>
                <w:tcPr>
                  <w:tcW w:w="1246" w:type="pct"/>
                  <w:tcBorders>
                    <w:top w:val="single" w:sz="4" w:space="0" w:color="BFBFBF" w:themeColor="background1" w:themeShade="BF"/>
                  </w:tcBorders>
                </w:tcPr>
                <w:p w:rsidR="009629F5" w:rsidRDefault="00A20F7D" w:rsidP="00BB5935">
                  <w:pPr>
                    <w:pStyle w:val="TableUnitsRow"/>
                    <w:ind w:right="28"/>
                  </w:pPr>
                  <w:r>
                    <w:t>3.</w:t>
                  </w:r>
                  <w:r w:rsidR="00201B64">
                    <w:t>4</w:t>
                  </w:r>
                </w:p>
              </w:tc>
            </w:tr>
            <w:tr w:rsidR="009629F5" w:rsidTr="00323C19">
              <w:tc>
                <w:tcPr>
                  <w:tcW w:w="2506" w:type="pct"/>
                </w:tcPr>
                <w:p w:rsidR="009629F5" w:rsidRDefault="009629F5" w:rsidP="00F947DF">
                  <w:pPr>
                    <w:pStyle w:val="TableBodyText"/>
                    <w:jc w:val="left"/>
                  </w:pPr>
                  <w:r>
                    <w:t xml:space="preserve">With </w:t>
                  </w:r>
                  <w:r w:rsidR="005A2074">
                    <w:t>50</w:t>
                  </w:r>
                  <w:r>
                    <w:t xml:space="preserve">% probability system </w:t>
                  </w:r>
                  <w:r w:rsidR="00A20F7D">
                    <w:t xml:space="preserve">marginal </w:t>
                  </w:r>
                  <w:r>
                    <w:t>realised economies of scale are at least</w:t>
                  </w:r>
                </w:p>
              </w:tc>
              <w:tc>
                <w:tcPr>
                  <w:tcW w:w="1248" w:type="pct"/>
                </w:tcPr>
                <w:p w:rsidR="009629F5" w:rsidRDefault="00C469C2" w:rsidP="00BB5935">
                  <w:pPr>
                    <w:pStyle w:val="TableBodyText"/>
                    <w:ind w:right="28"/>
                  </w:pPr>
                  <w:r>
                    <w:t>34</w:t>
                  </w:r>
                  <w:r w:rsidR="001614DE">
                    <w:t>4</w:t>
                  </w:r>
                </w:p>
              </w:tc>
              <w:tc>
                <w:tcPr>
                  <w:tcW w:w="1246" w:type="pct"/>
                </w:tcPr>
                <w:p w:rsidR="009629F5" w:rsidRDefault="00A20F7D" w:rsidP="00BB5935">
                  <w:pPr>
                    <w:pStyle w:val="TableBodyText"/>
                    <w:ind w:right="28"/>
                  </w:pPr>
                  <w:r>
                    <w:t>4.</w:t>
                  </w:r>
                  <w:r w:rsidR="001614DE">
                    <w:t>5</w:t>
                  </w:r>
                </w:p>
              </w:tc>
            </w:tr>
            <w:tr w:rsidR="009629F5" w:rsidTr="00323C19">
              <w:tc>
                <w:tcPr>
                  <w:tcW w:w="2506" w:type="pct"/>
                  <w:tcBorders>
                    <w:bottom w:val="single" w:sz="6" w:space="0" w:color="BFBFBF"/>
                  </w:tcBorders>
                  <w:shd w:val="clear" w:color="auto" w:fill="auto"/>
                </w:tcPr>
                <w:p w:rsidR="009629F5" w:rsidRDefault="009629F5" w:rsidP="00F947DF">
                  <w:pPr>
                    <w:pStyle w:val="TableBodyText"/>
                    <w:jc w:val="left"/>
                  </w:pPr>
                  <w:r>
                    <w:t xml:space="preserve">With </w:t>
                  </w:r>
                  <w:r w:rsidR="005A2074">
                    <w:t>10</w:t>
                  </w:r>
                  <w:r>
                    <w:t xml:space="preserve">% probability system </w:t>
                  </w:r>
                  <w:r w:rsidR="00A20F7D">
                    <w:t xml:space="preserve">marginal </w:t>
                  </w:r>
                  <w:r>
                    <w:t>realised economies of scale are at least</w:t>
                  </w:r>
                </w:p>
              </w:tc>
              <w:tc>
                <w:tcPr>
                  <w:tcW w:w="1248" w:type="pct"/>
                  <w:tcBorders>
                    <w:bottom w:val="single" w:sz="6" w:space="0" w:color="BFBFBF"/>
                  </w:tcBorders>
                </w:tcPr>
                <w:p w:rsidR="009629F5" w:rsidRDefault="00213394" w:rsidP="00BB5935">
                  <w:pPr>
                    <w:pStyle w:val="TableBodyText"/>
                    <w:ind w:right="28"/>
                  </w:pPr>
                  <w:r>
                    <w:t>4</w:t>
                  </w:r>
                  <w:r w:rsidR="001614DE">
                    <w:t>90</w:t>
                  </w:r>
                </w:p>
              </w:tc>
              <w:tc>
                <w:tcPr>
                  <w:tcW w:w="1246" w:type="pct"/>
                  <w:tcBorders>
                    <w:bottom w:val="single" w:sz="6" w:space="0" w:color="BFBFBF"/>
                  </w:tcBorders>
                </w:tcPr>
                <w:p w:rsidR="009629F5" w:rsidRDefault="005A2074" w:rsidP="00A20F7D">
                  <w:pPr>
                    <w:pStyle w:val="TableBodyText"/>
                    <w:ind w:right="28"/>
                  </w:pPr>
                  <w:r>
                    <w:t>6.</w:t>
                  </w:r>
                  <w:r w:rsidR="001614DE">
                    <w:t>4</w:t>
                  </w:r>
                </w:p>
              </w:tc>
            </w:tr>
          </w:tbl>
          <w:p w:rsidR="00022851" w:rsidRDefault="00022851" w:rsidP="0047187D">
            <w:pPr>
              <w:pStyle w:val="Box"/>
            </w:pPr>
          </w:p>
        </w:tc>
      </w:tr>
      <w:tr w:rsidR="00022851" w:rsidRPr="007E71F1" w:rsidTr="0047187D">
        <w:tc>
          <w:tcPr>
            <w:tcW w:w="5000" w:type="pct"/>
            <w:tcBorders>
              <w:top w:val="nil"/>
              <w:left w:val="nil"/>
              <w:bottom w:val="nil"/>
              <w:right w:val="nil"/>
            </w:tcBorders>
            <w:shd w:val="clear" w:color="auto" w:fill="auto"/>
          </w:tcPr>
          <w:p w:rsidR="00022851" w:rsidRPr="007E71F1" w:rsidRDefault="00105901" w:rsidP="00F947DF">
            <w:pPr>
              <w:pStyle w:val="Note"/>
              <w:rPr>
                <w:i/>
                <w:spacing w:val="-2"/>
              </w:rPr>
            </w:pPr>
            <w:r w:rsidRPr="007E71F1">
              <w:rPr>
                <w:spacing w:val="-2"/>
              </w:rPr>
              <w:t>Many factors contribute to these being underestimates (two</w:t>
            </w:r>
            <w:r w:rsidR="00642BDF">
              <w:rPr>
                <w:spacing w:val="-2"/>
              </w:rPr>
              <w:t xml:space="preserve"> key ones are described in box 6</w:t>
            </w:r>
            <w:r w:rsidRPr="007E71F1">
              <w:rPr>
                <w:spacing w:val="-2"/>
              </w:rPr>
              <w:t xml:space="preserve">)). On the other hand, the full extent of transition costs cannot be observed in APRA data — a source of overestimation in these estimates. </w:t>
            </w:r>
            <w:r w:rsidRPr="007E71F1">
              <w:rPr>
                <w:rStyle w:val="NoteLabel"/>
                <w:spacing w:val="-2"/>
              </w:rPr>
              <w:t>b</w:t>
            </w:r>
            <w:r w:rsidRPr="007E71F1">
              <w:rPr>
                <w:spacing w:val="-2"/>
              </w:rPr>
              <w:t xml:space="preserve"> Funds that reported asset allocations which included other assets of more than 95% were excluded from this calculation. </w:t>
            </w:r>
            <w:r w:rsidRPr="007E71F1">
              <w:rPr>
                <w:rStyle w:val="NoteLabel"/>
                <w:spacing w:val="-2"/>
              </w:rPr>
              <w:t>c</w:t>
            </w:r>
            <w:r w:rsidR="00022851" w:rsidRPr="007E71F1">
              <w:rPr>
                <w:spacing w:val="-2"/>
              </w:rPr>
              <w:t xml:space="preserve"> Average in this case refers to average annual </w:t>
            </w:r>
            <w:r w:rsidR="000156F3">
              <w:rPr>
                <w:spacing w:val="-2"/>
              </w:rPr>
              <w:t>marginal</w:t>
            </w:r>
            <w:r w:rsidR="00022851" w:rsidRPr="007E71F1">
              <w:rPr>
                <w:spacing w:val="-2"/>
              </w:rPr>
              <w:t xml:space="preserve"> savings over the 14 year period.</w:t>
            </w:r>
          </w:p>
        </w:tc>
      </w:tr>
      <w:tr w:rsidR="00022851" w:rsidTr="0047187D">
        <w:tc>
          <w:tcPr>
            <w:tcW w:w="5000" w:type="pct"/>
            <w:tcBorders>
              <w:top w:val="nil"/>
              <w:left w:val="nil"/>
              <w:bottom w:val="nil"/>
              <w:right w:val="nil"/>
            </w:tcBorders>
            <w:shd w:val="clear" w:color="auto" w:fill="auto"/>
          </w:tcPr>
          <w:p w:rsidR="00022851" w:rsidRDefault="002F1558" w:rsidP="00AD1A0B">
            <w:pPr>
              <w:pStyle w:val="Source"/>
            </w:pPr>
            <w:r>
              <w:rPr>
                <w:i/>
              </w:rPr>
              <w:t>S</w:t>
            </w:r>
            <w:r w:rsidRPr="00784A05">
              <w:rPr>
                <w:i/>
              </w:rPr>
              <w:t>ource</w:t>
            </w:r>
            <w:r w:rsidRPr="00176D3F">
              <w:t xml:space="preserve">: </w:t>
            </w:r>
            <w:r>
              <w:rPr>
                <w:rFonts w:eastAsia="+mn-ea" w:cs="Arial"/>
                <w:color w:val="000000" w:themeColor="text1"/>
                <w:kern w:val="24"/>
                <w:szCs w:val="18"/>
              </w:rPr>
              <w:t xml:space="preserve">PC analysis of APRA </w:t>
            </w:r>
            <w:r w:rsidR="00573776" w:rsidRPr="000E45B5">
              <w:rPr>
                <w:rFonts w:eastAsia="+mn-ea" w:cs="Arial"/>
                <w:color w:val="000000" w:themeColor="text1"/>
                <w:kern w:val="24"/>
                <w:szCs w:val="18"/>
              </w:rPr>
              <w:t>data</w:t>
            </w:r>
            <w:r w:rsidR="00573776">
              <w:rPr>
                <w:rFonts w:eastAsia="+mn-ea" w:cs="Arial"/>
                <w:color w:val="000000" w:themeColor="text1"/>
                <w:kern w:val="24"/>
                <w:szCs w:val="18"/>
              </w:rPr>
              <w:t>.</w:t>
            </w:r>
          </w:p>
        </w:tc>
      </w:tr>
      <w:tr w:rsidR="00022851" w:rsidTr="0047187D">
        <w:tc>
          <w:tcPr>
            <w:tcW w:w="5000" w:type="pct"/>
            <w:tcBorders>
              <w:top w:val="nil"/>
              <w:left w:val="nil"/>
              <w:bottom w:val="single" w:sz="6" w:space="0" w:color="78A22F"/>
              <w:right w:val="nil"/>
            </w:tcBorders>
            <w:shd w:val="clear" w:color="auto" w:fill="auto"/>
          </w:tcPr>
          <w:p w:rsidR="00022851" w:rsidRDefault="00022851" w:rsidP="0047187D">
            <w:pPr>
              <w:pStyle w:val="Box"/>
              <w:spacing w:before="0" w:line="120" w:lineRule="exact"/>
            </w:pPr>
          </w:p>
        </w:tc>
      </w:tr>
      <w:tr w:rsidR="00022851" w:rsidRPr="000863A5" w:rsidTr="0047187D">
        <w:tc>
          <w:tcPr>
            <w:tcW w:w="5000" w:type="pct"/>
            <w:tcBorders>
              <w:top w:val="single" w:sz="6" w:space="0" w:color="78A22F"/>
              <w:left w:val="nil"/>
              <w:bottom w:val="nil"/>
              <w:right w:val="nil"/>
            </w:tcBorders>
          </w:tcPr>
          <w:p w:rsidR="00022851" w:rsidRPr="00626D32" w:rsidRDefault="00022851" w:rsidP="0047187D">
            <w:pPr>
              <w:pStyle w:val="BoxSpaceBelow"/>
            </w:pPr>
          </w:p>
        </w:tc>
      </w:tr>
    </w:tbl>
    <w:p w:rsidR="005717E8" w:rsidRDefault="00A123BF" w:rsidP="005717E8">
      <w:pPr>
        <w:pStyle w:val="Heading4"/>
        <w:rPr>
          <w:lang w:eastAsia="en-US"/>
        </w:rPr>
      </w:pPr>
      <w:r>
        <w:t xml:space="preserve">But </w:t>
      </w:r>
      <w:r w:rsidR="00664706">
        <w:t xml:space="preserve">realised </w:t>
      </w:r>
      <w:r w:rsidR="00047E52">
        <w:t>gains</w:t>
      </w:r>
      <w:r w:rsidR="00664706">
        <w:t xml:space="preserve"> associated with scale</w:t>
      </w:r>
      <w:r>
        <w:t xml:space="preserve"> have not been fully reflected in reported expenses</w:t>
      </w:r>
    </w:p>
    <w:p w:rsidR="00E32C47" w:rsidRPr="004C5A30" w:rsidRDefault="004325AA" w:rsidP="004C5A30">
      <w:pPr>
        <w:pStyle w:val="BodyText"/>
      </w:pPr>
      <w:r>
        <w:t>A</w:t>
      </w:r>
      <w:r w:rsidR="00E32C47">
        <w:t xml:space="preserve"> question to ask </w:t>
      </w:r>
      <w:r w:rsidR="005F7329">
        <w:t xml:space="preserve">and answer </w:t>
      </w:r>
      <w:r w:rsidR="00E32C47">
        <w:t xml:space="preserve">at this point </w:t>
      </w:r>
      <w:r>
        <w:t>is</w:t>
      </w:r>
      <w:r w:rsidR="00E32C47">
        <w:t xml:space="preserve"> ‘how do changes in reported expenses compare with the changes associated only with realised economies of scale (that is, </w:t>
      </w:r>
      <w:r w:rsidR="005F7329">
        <w:t xml:space="preserve">the </w:t>
      </w:r>
      <w:r w:rsidR="00E32C47">
        <w:t xml:space="preserve">estimated changes in expenses when cost drivers </w:t>
      </w:r>
      <w:r w:rsidR="00BE3179">
        <w:t xml:space="preserve">other than scale </w:t>
      </w:r>
      <w:r w:rsidR="00E32C47">
        <w:t>are held constant)’?</w:t>
      </w:r>
    </w:p>
    <w:p w:rsidR="00950CB7" w:rsidRDefault="00BE3179" w:rsidP="005717E8">
      <w:pPr>
        <w:pStyle w:val="BodyText"/>
        <w:rPr>
          <w:spacing w:val="-2"/>
        </w:rPr>
      </w:pPr>
      <w:r>
        <w:t>Inspection of data for funds that were in the APRA panel in 2004 and/or 2017 reveals that r</w:t>
      </w:r>
      <w:r w:rsidR="00121398">
        <w:t xml:space="preserve">eported administration expenses </w:t>
      </w:r>
      <w:r>
        <w:t xml:space="preserve">were </w:t>
      </w:r>
      <w:r w:rsidR="00121398">
        <w:t xml:space="preserve">markedly </w:t>
      </w:r>
      <w:r>
        <w:t xml:space="preserve">lower in </w:t>
      </w:r>
      <w:r w:rsidR="00121398">
        <w:t>2017</w:t>
      </w:r>
      <w:r>
        <w:t xml:space="preserve"> than in 2004,</w:t>
      </w:r>
      <w:r w:rsidR="00121398">
        <w:t xml:space="preserve"> while </w:t>
      </w:r>
      <w:r w:rsidR="00C042A4">
        <w:t xml:space="preserve">reported </w:t>
      </w:r>
      <w:r w:rsidR="00121398">
        <w:t xml:space="preserve">investment expenses </w:t>
      </w:r>
      <w:r>
        <w:t>were</w:t>
      </w:r>
      <w:r w:rsidR="00121398">
        <w:t xml:space="preserve"> marginally</w:t>
      </w:r>
      <w:r w:rsidR="008273AC">
        <w:t xml:space="preserve"> </w:t>
      </w:r>
      <w:r>
        <w:t xml:space="preserve">lower </w:t>
      </w:r>
      <w:r w:rsidR="008273AC">
        <w:t>(figure 14)</w:t>
      </w:r>
      <w:r w:rsidR="00121398">
        <w:t>.</w:t>
      </w:r>
      <w:r w:rsidR="008273AC">
        <w:t xml:space="preserve"> </w:t>
      </w:r>
      <w:r>
        <w:t xml:space="preserve">Differences </w:t>
      </w:r>
      <w:r w:rsidR="00FD6AAF">
        <w:t xml:space="preserve">in administration expenses </w:t>
      </w:r>
      <w:r>
        <w:t xml:space="preserve">between the two points in time </w:t>
      </w:r>
      <w:r w:rsidR="00FD6AAF">
        <w:t xml:space="preserve">were driven, particularly, by </w:t>
      </w:r>
      <w:r>
        <w:t>lower</w:t>
      </w:r>
      <w:r w:rsidR="00FD6AAF">
        <w:t xml:space="preserve"> expense</w:t>
      </w:r>
      <w:r w:rsidR="00632DE9">
        <w:t xml:space="preserve">s for retail and industry funds, while </w:t>
      </w:r>
      <w:r>
        <w:t>lower</w:t>
      </w:r>
      <w:r w:rsidR="00FD6AAF">
        <w:rPr>
          <w:spacing w:val="-2"/>
        </w:rPr>
        <w:t xml:space="preserve"> investment expenses for retail and public sector funds were offset by </w:t>
      </w:r>
      <w:r>
        <w:rPr>
          <w:spacing w:val="-2"/>
        </w:rPr>
        <w:t>higher</w:t>
      </w:r>
      <w:r w:rsidR="00FD6AAF">
        <w:rPr>
          <w:spacing w:val="-2"/>
        </w:rPr>
        <w:t xml:space="preserve"> expenses for industry funds.</w:t>
      </w:r>
      <w:r w:rsidR="00FD6AAF" w:rsidRPr="008B71FC">
        <w:rPr>
          <w:spacing w:val="-2"/>
        </w:rPr>
        <w:t xml:space="preserve"> </w:t>
      </w:r>
      <w:r w:rsidR="00950CB7">
        <w:rPr>
          <w:spacing w:val="-2"/>
        </w:rPr>
        <w:t xml:space="preserve">These </w:t>
      </w:r>
      <w:r w:rsidR="009312A7">
        <w:rPr>
          <w:spacing w:val="-2"/>
        </w:rPr>
        <w:t>observations</w:t>
      </w:r>
      <w:r w:rsidR="00950CB7">
        <w:rPr>
          <w:spacing w:val="-2"/>
        </w:rPr>
        <w:t xml:space="preserve"> are consistent with the analysis presented in chapter 3 of the Commission’s draft report.</w:t>
      </w:r>
    </w:p>
    <w:p w:rsidR="009312A7" w:rsidRDefault="00950CB7" w:rsidP="005717E8">
      <w:pPr>
        <w:pStyle w:val="BodyText"/>
        <w:rPr>
          <w:spacing w:val="-2"/>
        </w:rPr>
      </w:pPr>
      <w:r>
        <w:rPr>
          <w:spacing w:val="-2"/>
        </w:rPr>
        <w:t xml:space="preserve">But the economies of scale analysis that has to lie behind an answer to the question posed above draws on data that includes funds within the APRA panel </w:t>
      </w:r>
      <w:r w:rsidRPr="004C5A30">
        <w:rPr>
          <w:i/>
          <w:spacing w:val="-2"/>
        </w:rPr>
        <w:t>at any point</w:t>
      </w:r>
      <w:r>
        <w:rPr>
          <w:spacing w:val="-2"/>
        </w:rPr>
        <w:t xml:space="preserve"> between 2004 and 2017. </w:t>
      </w:r>
      <w:r w:rsidR="00A41C1A">
        <w:rPr>
          <w:spacing w:val="-2"/>
        </w:rPr>
        <w:t xml:space="preserve">Many funds were in the dataset for a relatively short period of time. </w:t>
      </w:r>
      <w:r w:rsidR="001730EB">
        <w:rPr>
          <w:spacing w:val="-2"/>
        </w:rPr>
        <w:t xml:space="preserve">In order to generate a robust comparison of reported and estimated changes in expenses, reported expenses for each fund were calculated as the difference in their reported expenses between the first and last years in which they appear in the data. So, </w:t>
      </w:r>
      <w:r w:rsidR="00C042A4">
        <w:rPr>
          <w:spacing w:val="-2"/>
        </w:rPr>
        <w:t xml:space="preserve">for example, </w:t>
      </w:r>
      <w:r w:rsidR="001730EB">
        <w:rPr>
          <w:spacing w:val="-2"/>
        </w:rPr>
        <w:t>if a fund entered in 2010 and exited in 2014, the difference</w:t>
      </w:r>
      <w:r w:rsidR="00215D12">
        <w:rPr>
          <w:spacing w:val="-2"/>
        </w:rPr>
        <w:t xml:space="preserve"> in their reported expenses is</w:t>
      </w:r>
      <w:r w:rsidR="001730EB">
        <w:rPr>
          <w:spacing w:val="-2"/>
        </w:rPr>
        <w:t xml:space="preserve"> </w:t>
      </w:r>
      <w:r w:rsidR="00C042A4">
        <w:rPr>
          <w:spacing w:val="-2"/>
        </w:rPr>
        <w:t xml:space="preserve">calculated as </w:t>
      </w:r>
      <w:r w:rsidR="001730EB">
        <w:rPr>
          <w:spacing w:val="-2"/>
        </w:rPr>
        <w:t xml:space="preserve">the difference between whatever </w:t>
      </w:r>
      <w:r w:rsidR="00C042A4">
        <w:rPr>
          <w:spacing w:val="-2"/>
        </w:rPr>
        <w:t xml:space="preserve">expenses </w:t>
      </w:r>
      <w:r w:rsidR="00215D12">
        <w:rPr>
          <w:spacing w:val="-2"/>
        </w:rPr>
        <w:t>they reported</w:t>
      </w:r>
      <w:r w:rsidR="001730EB">
        <w:rPr>
          <w:spacing w:val="-2"/>
        </w:rPr>
        <w:t xml:space="preserve"> in those two years.</w:t>
      </w:r>
      <w:r w:rsidR="00215D12">
        <w:rPr>
          <w:spacing w:val="-2"/>
        </w:rPr>
        <w:t xml:space="preserve"> Not surprisingly, the calculated differences in reported expenses for many funds are relatively small.</w:t>
      </w:r>
    </w:p>
    <w:p w:rsidR="005717E8" w:rsidRDefault="005717E8" w:rsidP="005717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717E8" w:rsidTr="005717E8">
        <w:trPr>
          <w:tblHeader/>
        </w:trPr>
        <w:tc>
          <w:tcPr>
            <w:tcW w:w="5000" w:type="pct"/>
            <w:tcBorders>
              <w:top w:val="single" w:sz="6" w:space="0" w:color="78A22F"/>
              <w:left w:val="nil"/>
              <w:bottom w:val="nil"/>
              <w:right w:val="nil"/>
            </w:tcBorders>
            <w:shd w:val="clear" w:color="auto" w:fill="auto"/>
          </w:tcPr>
          <w:p w:rsidR="005717E8" w:rsidRPr="004D3DCB" w:rsidRDefault="005717E8" w:rsidP="00F71DF5">
            <w:pPr>
              <w:pStyle w:val="FigureTitle"/>
              <w:ind w:right="-142"/>
            </w:pPr>
            <w:r w:rsidRPr="00784A05">
              <w:rPr>
                <w:b w:val="0"/>
              </w:rPr>
              <w:t xml:space="preserve">Figure </w:t>
            </w:r>
            <w:bookmarkStart w:id="45" w:name="OLE_LINK32"/>
            <w:bookmarkStart w:id="46" w:name="OLE_LINK31"/>
            <w:r w:rsidR="004325AA">
              <w:rPr>
                <w:b w:val="0"/>
                <w:noProof/>
              </w:rPr>
              <w:t>14</w:t>
            </w:r>
            <w:bookmarkEnd w:id="45"/>
            <w:bookmarkEnd w:id="46"/>
            <w:r>
              <w:tab/>
            </w:r>
            <w:r w:rsidR="004D3DCB" w:rsidRPr="00F71DF5">
              <w:rPr>
                <w:spacing w:val="-4"/>
              </w:rPr>
              <w:t>Reported</w:t>
            </w:r>
            <w:r w:rsidR="004D3DCB" w:rsidRPr="00F71DF5" w:rsidDel="00537EA8">
              <w:rPr>
                <w:spacing w:val="-4"/>
              </w:rPr>
              <w:t xml:space="preserve"> </w:t>
            </w:r>
            <w:r w:rsidR="006C1063" w:rsidRPr="00F71DF5">
              <w:rPr>
                <w:spacing w:val="-4"/>
              </w:rPr>
              <w:t>a</w:t>
            </w:r>
            <w:r w:rsidRPr="00F71DF5">
              <w:rPr>
                <w:spacing w:val="-4"/>
              </w:rPr>
              <w:t>verage</w:t>
            </w:r>
            <w:r w:rsidR="005D531B" w:rsidRPr="00F71DF5">
              <w:rPr>
                <w:spacing w:val="-4"/>
              </w:rPr>
              <w:t xml:space="preserve"> admin</w:t>
            </w:r>
            <w:r w:rsidR="00723BD3" w:rsidRPr="00F71DF5">
              <w:rPr>
                <w:spacing w:val="-4"/>
              </w:rPr>
              <w:t>istration</w:t>
            </w:r>
            <w:r w:rsidR="005D531B" w:rsidRPr="00F71DF5">
              <w:rPr>
                <w:spacing w:val="-4"/>
              </w:rPr>
              <w:t xml:space="preserve"> </w:t>
            </w:r>
            <w:r w:rsidR="00537EA8" w:rsidRPr="00F71DF5">
              <w:rPr>
                <w:spacing w:val="-4"/>
              </w:rPr>
              <w:t>expenses</w:t>
            </w:r>
            <w:r w:rsidRPr="00F71DF5">
              <w:rPr>
                <w:spacing w:val="-4"/>
              </w:rPr>
              <w:t xml:space="preserve"> </w:t>
            </w:r>
            <w:r w:rsidR="009C4996" w:rsidRPr="00F71DF5">
              <w:rPr>
                <w:spacing w:val="-4"/>
              </w:rPr>
              <w:t>have fallen</w:t>
            </w:r>
            <w:r w:rsidR="00414EED" w:rsidRPr="00F71DF5">
              <w:rPr>
                <w:spacing w:val="-4"/>
              </w:rPr>
              <w:t xml:space="preserve"> markedly at a system level</w:t>
            </w:r>
            <w:r w:rsidR="009C4996" w:rsidRPr="00F71DF5">
              <w:rPr>
                <w:spacing w:val="-4"/>
              </w:rPr>
              <w:t xml:space="preserve">; </w:t>
            </w:r>
            <w:r w:rsidR="005D531B" w:rsidRPr="00F71DF5">
              <w:rPr>
                <w:spacing w:val="-4"/>
              </w:rPr>
              <w:t xml:space="preserve">investment expenses </w:t>
            </w:r>
            <w:r w:rsidR="00414EED" w:rsidRPr="00F71DF5">
              <w:rPr>
                <w:spacing w:val="-4"/>
              </w:rPr>
              <w:t>much less so</w:t>
            </w:r>
            <w:r w:rsidR="00C66FDC" w:rsidRPr="00F71DF5">
              <w:rPr>
                <w:rStyle w:val="NoteLabel"/>
                <w:b/>
                <w:position w:val="10"/>
              </w:rPr>
              <w:t>a</w:t>
            </w:r>
          </w:p>
          <w:p w:rsidR="005717E8" w:rsidRPr="00176D3F" w:rsidRDefault="002C7078">
            <w:pPr>
              <w:pStyle w:val="Subtitle"/>
            </w:pPr>
            <w:r w:rsidRPr="00646637">
              <w:rPr>
                <w:spacing w:val="-2"/>
              </w:rPr>
              <w:t>2</w:t>
            </w:r>
            <w:r>
              <w:t>004</w:t>
            </w:r>
            <w:r w:rsidR="00CA1A49">
              <w:t>–</w:t>
            </w:r>
            <w:r w:rsidR="00573776">
              <w:t>20</w:t>
            </w:r>
            <w:r>
              <w:t>17</w:t>
            </w:r>
          </w:p>
        </w:tc>
      </w:tr>
      <w:tr w:rsidR="005717E8" w:rsidTr="005717E8">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5717E8" w:rsidRPr="00B1465D" w:rsidTr="005717E8">
              <w:trPr>
                <w:tblHeader/>
                <w:jc w:val="center"/>
              </w:trPr>
              <w:tc>
                <w:tcPr>
                  <w:tcW w:w="5000" w:type="pct"/>
                  <w:tcBorders>
                    <w:top w:val="nil"/>
                    <w:bottom w:val="nil"/>
                  </w:tcBorders>
                </w:tcPr>
                <w:p w:rsidR="00580558" w:rsidRDefault="007258E7" w:rsidP="00644935">
                  <w:pPr>
                    <w:pStyle w:val="Figure"/>
                    <w:spacing w:before="60" w:after="60"/>
                    <w:rPr>
                      <w:rFonts w:ascii="Arial" w:hAnsi="Arial" w:cs="Arial"/>
                      <w:sz w:val="18"/>
                      <w:szCs w:val="18"/>
                    </w:rPr>
                  </w:pPr>
                  <w:r w:rsidRPr="007258E7">
                    <w:rPr>
                      <w:rFonts w:ascii="Arial" w:hAnsi="Arial" w:cs="Arial"/>
                      <w:noProof/>
                      <w:sz w:val="18"/>
                      <w:szCs w:val="18"/>
                    </w:rPr>
                    <w:drawing>
                      <wp:inline distT="0" distB="0" distL="0" distR="0" wp14:anchorId="734B21D9" wp14:editId="245E78F8">
                        <wp:extent cx="5356860" cy="2855985"/>
                        <wp:effectExtent l="0" t="0" r="0" b="0"/>
                        <wp:docPr id="55" name="Picture 55" descr="This figure shows the change in the administration and investment expense ratios against average assets between 2004 to 2017. The administration expense ratio has markedly fallen over this time period for all fund types except public sector funds. The investment expense ratio has only evidently fallen for retail funds, with the other funds types showing small decreases, or an increase in the investment expense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0216" cy="2857774"/>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580558" w:rsidTr="00580558">
                    <w:trPr>
                      <w:tblHeader/>
                    </w:trPr>
                    <w:tc>
                      <w:tcPr>
                        <w:tcW w:w="1559" w:type="dxa"/>
                        <w:shd w:val="clear" w:color="auto" w:fill="F2F2F2" w:themeFill="background1" w:themeFillShade="F2"/>
                      </w:tcPr>
                      <w:p w:rsidR="00580558" w:rsidRDefault="00573776" w:rsidP="00580558">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rsidR="00580558" w:rsidRDefault="00573776" w:rsidP="00580558">
                        <w:pPr>
                          <w:pStyle w:val="Figure"/>
                          <w:spacing w:before="0" w:after="0"/>
                          <w:jc w:val="left"/>
                          <w:rPr>
                            <w:rFonts w:ascii="Arial" w:hAnsi="Arial" w:cs="Arial"/>
                            <w:sz w:val="18"/>
                            <w:szCs w:val="18"/>
                          </w:rPr>
                        </w:pPr>
                        <w:r w:rsidRPr="000E45B5">
                          <w:rPr>
                            <w:rFonts w:ascii="Arial" w:eastAsia="+mn-ea" w:hAnsi="Arial" w:cs="Arial"/>
                            <w:color w:val="000000" w:themeColor="text1"/>
                            <w:kern w:val="24"/>
                            <w:sz w:val="18"/>
                            <w:szCs w:val="18"/>
                          </w:rPr>
                          <w:t>PC analysis of APRA data</w:t>
                        </w:r>
                        <w:r>
                          <w:rPr>
                            <w:rFonts w:ascii="Arial" w:eastAsia="+mn-ea" w:hAnsi="Arial" w:cs="Arial"/>
                            <w:color w:val="000000" w:themeColor="text1"/>
                            <w:kern w:val="24"/>
                            <w:sz w:val="18"/>
                            <w:szCs w:val="18"/>
                          </w:rPr>
                          <w:t>.</w:t>
                        </w:r>
                      </w:p>
                    </w:tc>
                  </w:tr>
                  <w:tr w:rsidR="00D07AC8" w:rsidTr="00580558">
                    <w:trPr>
                      <w:tblHeader/>
                    </w:trPr>
                    <w:tc>
                      <w:tcPr>
                        <w:tcW w:w="1559" w:type="dxa"/>
                        <w:shd w:val="clear" w:color="auto" w:fill="F2F2F2" w:themeFill="background1" w:themeFillShade="F2"/>
                      </w:tcPr>
                      <w:p w:rsidR="00580558" w:rsidRPr="002D6D85" w:rsidRDefault="00580558" w:rsidP="00580558">
                        <w:pPr>
                          <w:pStyle w:val="Figure"/>
                          <w:spacing w:before="0" w:after="0"/>
                          <w:jc w:val="left"/>
                          <w:rPr>
                            <w:rFonts w:asciiTheme="minorHAnsi" w:hAnsi="Arial" w:cstheme="minorBidi"/>
                            <w:b/>
                            <w:color w:val="000000" w:themeColor="text1"/>
                            <w:kern w:val="24"/>
                            <w:sz w:val="18"/>
                            <w:szCs w:val="18"/>
                          </w:rPr>
                        </w:pPr>
                        <w:r w:rsidRPr="002D6D85">
                          <w:rPr>
                            <w:rFonts w:asciiTheme="minorHAnsi" w:hAnsi="Arial" w:cstheme="minorBidi"/>
                            <w:b/>
                            <w:color w:val="000000" w:themeColor="text1"/>
                            <w:kern w:val="24"/>
                            <w:sz w:val="18"/>
                            <w:szCs w:val="18"/>
                          </w:rPr>
                          <w:t>Coverage</w:t>
                        </w:r>
                      </w:p>
                    </w:tc>
                    <w:tc>
                      <w:tcPr>
                        <w:tcW w:w="1559" w:type="dxa"/>
                        <w:shd w:val="clear" w:color="auto" w:fill="F2F2F2" w:themeFill="background1" w:themeFillShade="F2"/>
                      </w:tcPr>
                      <w:p w:rsidR="00580558" w:rsidRDefault="00580558" w:rsidP="00580558">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w:t>
                        </w:r>
                        <w:r w:rsidR="006F5D21">
                          <w:rPr>
                            <w:rFonts w:ascii="Arial" w:eastAsia="+mn-ea" w:hAnsi="Arial" w:cs="Arial"/>
                            <w:color w:val="000000" w:themeColor="text1"/>
                            <w:kern w:val="24"/>
                            <w:sz w:val="18"/>
                            <w:szCs w:val="18"/>
                          </w:rPr>
                          <w:t>91</w:t>
                        </w:r>
                        <w:r w:rsidR="006F5D21" w:rsidRPr="00262154">
                          <w:rPr>
                            <w:rFonts w:ascii="Arial" w:eastAsia="+mn-ea" w:hAnsi="Arial" w:cs="Arial"/>
                            <w:color w:val="000000" w:themeColor="text1"/>
                            <w:kern w:val="24"/>
                            <w:sz w:val="18"/>
                            <w:szCs w:val="18"/>
                          </w:rPr>
                          <w:t> </w:t>
                        </w:r>
                        <w:r w:rsidRPr="00262154">
                          <w:rPr>
                            <w:rFonts w:ascii="Arial" w:eastAsia="+mn-ea" w:hAnsi="Arial" w:cs="Arial"/>
                            <w:color w:val="000000" w:themeColor="text1"/>
                            <w:kern w:val="24"/>
                            <w:sz w:val="18"/>
                            <w:szCs w:val="18"/>
                          </w:rPr>
                          <w:t>per cent</w:t>
                        </w:r>
                        <w:r>
                          <w:rPr>
                            <w:rFonts w:ascii="Arial" w:eastAsia="+mn-ea" w:hAnsi="Arial" w:cs="Arial"/>
                            <w:color w:val="000000" w:themeColor="text1"/>
                            <w:kern w:val="24"/>
                            <w:sz w:val="18"/>
                            <w:szCs w:val="18"/>
                          </w:rPr>
                          <w:t xml:space="preserve"> of the system </w:t>
                        </w:r>
                        <w:r w:rsidR="00EE76F8">
                          <w:rPr>
                            <w:rFonts w:ascii="Arial" w:eastAsia="+mn-ea" w:hAnsi="Arial" w:cs="Arial"/>
                            <w:color w:val="000000" w:themeColor="text1"/>
                            <w:kern w:val="24"/>
                            <w:sz w:val="18"/>
                            <w:szCs w:val="18"/>
                          </w:rPr>
                          <w:t xml:space="preserve">by assets </w:t>
                        </w:r>
                        <w:r>
                          <w:rPr>
                            <w:rFonts w:ascii="Arial" w:eastAsia="+mn-ea" w:hAnsi="Arial" w:cs="Arial"/>
                            <w:color w:val="000000" w:themeColor="text1"/>
                            <w:kern w:val="24"/>
                            <w:sz w:val="18"/>
                            <w:szCs w:val="18"/>
                          </w:rPr>
                          <w:t>in 2015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16 and 2004</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 xml:space="preserve">05 respectively. </w:t>
                        </w:r>
                        <w:r w:rsidR="0050743B">
                          <w:rPr>
                            <w:rFonts w:ascii="Arial" w:eastAsia="+mn-ea" w:hAnsi="Arial" w:cs="Arial"/>
                            <w:color w:val="000000" w:themeColor="text1"/>
                            <w:kern w:val="24"/>
                            <w:sz w:val="18"/>
                            <w:szCs w:val="18"/>
                          </w:rPr>
                          <w:t>Excludes</w:t>
                        </w:r>
                        <w:r>
                          <w:rPr>
                            <w:rFonts w:ascii="Arial" w:eastAsia="+mn-ea" w:hAnsi="Arial" w:cs="Arial"/>
                            <w:color w:val="000000" w:themeColor="text1"/>
                            <w:kern w:val="24"/>
                            <w:sz w:val="18"/>
                            <w:szCs w:val="18"/>
                          </w:rPr>
                          <w:t xml:space="preserve"> funds with less than two years of data. </w:t>
                        </w:r>
                      </w:p>
                    </w:tc>
                  </w:tr>
                </w:tbl>
                <w:p w:rsidR="005717E8" w:rsidRPr="00B1465D" w:rsidRDefault="005717E8" w:rsidP="00644935">
                  <w:pPr>
                    <w:pStyle w:val="Figure"/>
                    <w:spacing w:before="60" w:after="60"/>
                    <w:rPr>
                      <w:rFonts w:ascii="Arial" w:hAnsi="Arial" w:cs="Arial"/>
                      <w:sz w:val="18"/>
                      <w:szCs w:val="18"/>
                    </w:rPr>
                  </w:pPr>
                </w:p>
              </w:tc>
            </w:tr>
          </w:tbl>
          <w:p w:rsidR="005717E8" w:rsidRDefault="005717E8" w:rsidP="005717E8">
            <w:pPr>
              <w:pStyle w:val="Figure"/>
            </w:pPr>
          </w:p>
        </w:tc>
      </w:tr>
      <w:tr w:rsidR="005717E8" w:rsidTr="005717E8">
        <w:tc>
          <w:tcPr>
            <w:tcW w:w="5000" w:type="pct"/>
            <w:tcBorders>
              <w:top w:val="nil"/>
              <w:left w:val="nil"/>
              <w:bottom w:val="single" w:sz="6" w:space="0" w:color="78A22F"/>
              <w:right w:val="nil"/>
            </w:tcBorders>
            <w:shd w:val="clear" w:color="auto" w:fill="auto"/>
          </w:tcPr>
          <w:p w:rsidR="005717E8" w:rsidRDefault="005717E8" w:rsidP="005717E8">
            <w:pPr>
              <w:pStyle w:val="Figurespace"/>
            </w:pPr>
          </w:p>
        </w:tc>
      </w:tr>
      <w:tr w:rsidR="005717E8" w:rsidRPr="000863A5" w:rsidTr="005717E8">
        <w:tc>
          <w:tcPr>
            <w:tcW w:w="5000" w:type="pct"/>
            <w:tcBorders>
              <w:top w:val="single" w:sz="6" w:space="0" w:color="78A22F"/>
              <w:left w:val="nil"/>
              <w:bottom w:val="nil"/>
              <w:right w:val="nil"/>
            </w:tcBorders>
          </w:tcPr>
          <w:p w:rsidR="005717E8" w:rsidRPr="00626D32" w:rsidRDefault="005717E8" w:rsidP="005717E8">
            <w:pPr>
              <w:pStyle w:val="BoxSpaceBelow"/>
            </w:pPr>
          </w:p>
        </w:tc>
      </w:tr>
    </w:tbl>
    <w:p w:rsidR="00C042A4" w:rsidRDefault="00C042A4" w:rsidP="00C042A4">
      <w:pPr>
        <w:pStyle w:val="BodyText"/>
        <w:rPr>
          <w:spacing w:val="-2"/>
        </w:rPr>
      </w:pPr>
      <w:r>
        <w:rPr>
          <w:spacing w:val="-2"/>
        </w:rPr>
        <w:t>In comparing changes in reported and estimated expenses, the Commission has used medians of the differences in reported expenses and estimated realised economies of scale for all funds in the APRA panel.</w:t>
      </w:r>
      <w:r>
        <w:rPr>
          <w:rStyle w:val="FootnoteReference"/>
          <w:spacing w:val="-2"/>
        </w:rPr>
        <w:footnoteReference w:id="18"/>
      </w:r>
      <w:r>
        <w:rPr>
          <w:spacing w:val="-2"/>
        </w:rPr>
        <w:t xml:space="preserve"> As would be expected, this median difference in reported expenses is markedly smaller than the figure implied by comparison of the system</w:t>
      </w:r>
      <w:r>
        <w:rPr>
          <w:spacing w:val="-2"/>
        </w:rPr>
        <w:noBreakHyphen/>
        <w:t>level means in 2004 and 2017 depicted in figure 14.</w:t>
      </w:r>
    </w:p>
    <w:p w:rsidR="00642256" w:rsidRDefault="00642256">
      <w:pPr>
        <w:rPr>
          <w:szCs w:val="20"/>
        </w:rPr>
      </w:pPr>
      <w:r>
        <w:br w:type="page"/>
      </w:r>
    </w:p>
    <w:p w:rsidR="00F54129" w:rsidRDefault="00F54129" w:rsidP="00F54129">
      <w:pPr>
        <w:pStyle w:val="BodyText"/>
      </w:pPr>
      <w:r>
        <w:lastRenderedPageBreak/>
        <w:t xml:space="preserve">The </w:t>
      </w:r>
      <w:r w:rsidR="00C042A4">
        <w:t>Commission’s</w:t>
      </w:r>
      <w:r>
        <w:t xml:space="preserve"> comparison of changes in reported and estimated expenses suggests that not all realised gains associated with scale have been reflected in lower reported costs:</w:t>
      </w:r>
    </w:p>
    <w:p w:rsidR="00F54129" w:rsidRPr="00D93162" w:rsidRDefault="00C042A4" w:rsidP="00F54129">
      <w:pPr>
        <w:pStyle w:val="ListBullet"/>
      </w:pPr>
      <w:r>
        <w:t xml:space="preserve">the median difference in </w:t>
      </w:r>
      <w:r w:rsidR="00F54129">
        <w:rPr>
          <w:spacing w:val="-2"/>
        </w:rPr>
        <w:t xml:space="preserve">reported administration expenses </w:t>
      </w:r>
      <w:r>
        <w:rPr>
          <w:spacing w:val="-2"/>
        </w:rPr>
        <w:t>was</w:t>
      </w:r>
      <w:r w:rsidR="00F54129">
        <w:rPr>
          <w:spacing w:val="-2"/>
        </w:rPr>
        <w:t xml:space="preserve"> about 3 basis points. </w:t>
      </w:r>
      <w:r w:rsidR="00F54129">
        <w:t>Holding constant other factors that influence administration expenses, the median estimated gains from scale for the same set of funds w</w:t>
      </w:r>
      <w:r>
        <w:t>as</w:t>
      </w:r>
      <w:r w:rsidR="00F54129">
        <w:t xml:space="preserve"> 8 basis points over the period.</w:t>
      </w:r>
      <w:r w:rsidR="00F54129">
        <w:rPr>
          <w:rStyle w:val="FootnoteReference"/>
          <w:spacing w:val="-2"/>
        </w:rPr>
        <w:footnoteReference w:id="19"/>
      </w:r>
      <w:r w:rsidR="00F54129">
        <w:t xml:space="preserve"> There are a number of potential explanations for this observation. Inquiry participants noted that funds have significantly invested in member services over recent years. Funds may have also incurred costs associated with regulatory change (for example, the introduction of SuperStream)</w:t>
      </w:r>
    </w:p>
    <w:p w:rsidR="00F54129" w:rsidRDefault="00C5178A" w:rsidP="00F54129">
      <w:pPr>
        <w:pStyle w:val="ListBullet"/>
      </w:pPr>
      <w:r>
        <w:rPr>
          <w:spacing w:val="-2"/>
        </w:rPr>
        <w:t xml:space="preserve">the median difference in </w:t>
      </w:r>
      <w:r w:rsidR="00F54129">
        <w:rPr>
          <w:spacing w:val="-2"/>
        </w:rPr>
        <w:t xml:space="preserve">reported investment expenses </w:t>
      </w:r>
      <w:r>
        <w:rPr>
          <w:spacing w:val="-2"/>
        </w:rPr>
        <w:t>was smaller</w:t>
      </w:r>
      <w:r w:rsidR="00F54129">
        <w:rPr>
          <w:spacing w:val="-2"/>
        </w:rPr>
        <w:t xml:space="preserve"> (around 1 basis point). </w:t>
      </w:r>
      <w:r w:rsidR="00F54129">
        <w:t xml:space="preserve">Holding constant other factors that influence investment expenses, the median estimated gains from scale were </w:t>
      </w:r>
      <w:r>
        <w:t xml:space="preserve">also </w:t>
      </w:r>
      <w:r w:rsidR="00F54129">
        <w:t>about 1 basis point over the period.</w:t>
      </w:r>
      <w:r w:rsidR="00F54129">
        <w:rPr>
          <w:rStyle w:val="FootnoteReference"/>
          <w:spacing w:val="-2"/>
        </w:rPr>
        <w:footnoteReference w:id="20"/>
      </w:r>
      <w:r w:rsidR="00F54129">
        <w:t xml:space="preserve"> </w:t>
      </w:r>
    </w:p>
    <w:p w:rsidR="00F54129" w:rsidRDefault="00F54129" w:rsidP="00F54129">
      <w:pPr>
        <w:pStyle w:val="BodyText"/>
      </w:pPr>
      <w:r>
        <w:t>Consistent with th</w:t>
      </w:r>
      <w:r w:rsidR="00C5178A">
        <w:t>ese</w:t>
      </w:r>
      <w:r>
        <w:t xml:space="preserve"> observation</w:t>
      </w:r>
      <w:r w:rsidR="005F7329">
        <w:t>s</w:t>
      </w:r>
      <w:r>
        <w:t xml:space="preserve"> for </w:t>
      </w:r>
      <w:r w:rsidR="004C5A30">
        <w:t xml:space="preserve">administration </w:t>
      </w:r>
      <w:r>
        <w:t>expenses, there has also been incomplete pass through of realised gains from scale to the fees charged to members (discussed below) — though this analysis only applies to the subset of funds with fees data.</w:t>
      </w:r>
    </w:p>
    <w:p w:rsidR="00E44A35" w:rsidRPr="00154658" w:rsidRDefault="00AD1A0B" w:rsidP="00E44A35">
      <w:pPr>
        <w:pStyle w:val="Heading3"/>
      </w:pPr>
      <w:bookmarkStart w:id="47" w:name="_Toc530748491"/>
      <w:r>
        <w:t>U</w:t>
      </w:r>
      <w:r w:rsidR="002963A2">
        <w:t xml:space="preserve">nrealised economies of scale </w:t>
      </w:r>
      <w:r>
        <w:t>are large</w:t>
      </w:r>
      <w:bookmarkEnd w:id="47"/>
    </w:p>
    <w:p w:rsidR="00F02212" w:rsidRDefault="00BE6D24" w:rsidP="00381382">
      <w:pPr>
        <w:pStyle w:val="BodyText"/>
      </w:pPr>
      <w:r>
        <w:t>Clearly, organic growth in the system will deliver further gains from economies of scale</w:t>
      </w:r>
      <w:r w:rsidR="006007B3">
        <w:t xml:space="preserve"> in the future</w:t>
      </w:r>
      <w:r>
        <w:t>. But gains c</w:t>
      </w:r>
      <w:r w:rsidR="00DC2DBD">
        <w:t xml:space="preserve">an and should </w:t>
      </w:r>
      <w:r>
        <w:t xml:space="preserve">also come from consolidation — particularly the exit of higher cost funds. </w:t>
      </w:r>
      <w:r w:rsidR="00F06FE8">
        <w:t xml:space="preserve">The Commission has estimated the potential system savings </w:t>
      </w:r>
      <w:r w:rsidR="009B5FD4">
        <w:t>that</w:t>
      </w:r>
      <w:r w:rsidR="00F06FE8">
        <w:t xml:space="preserve"> would </w:t>
      </w:r>
      <w:r w:rsidR="00E427DF">
        <w:t xml:space="preserve">arise </w:t>
      </w:r>
      <w:r w:rsidR="00F06FE8">
        <w:t>if high</w:t>
      </w:r>
      <w:r w:rsidR="009B5FD4">
        <w:t>er</w:t>
      </w:r>
      <w:r w:rsidR="00F06FE8">
        <w:noBreakHyphen/>
        <w:t xml:space="preserve">cost funds merged with </w:t>
      </w:r>
      <w:r w:rsidR="00C32C04" w:rsidRPr="00760A14">
        <w:t>the</w:t>
      </w:r>
      <w:r w:rsidR="00C32C04">
        <w:t xml:space="preserve"> lowest cost funds </w:t>
      </w:r>
      <w:r w:rsidR="00C32C04" w:rsidRPr="00760A14">
        <w:rPr>
          <w:b/>
        </w:rPr>
        <w:t>and</w:t>
      </w:r>
      <w:r w:rsidR="00C32C04">
        <w:rPr>
          <w:b/>
        </w:rPr>
        <w:t xml:space="preserve"> </w:t>
      </w:r>
      <w:r w:rsidR="009B5FD4">
        <w:t>those</w:t>
      </w:r>
      <w:r w:rsidR="00C32C04">
        <w:t xml:space="preserve"> lowest cost funds experience</w:t>
      </w:r>
      <w:r w:rsidR="009B5FD4">
        <w:t>d</w:t>
      </w:r>
      <w:r w:rsidR="00C32C04">
        <w:t xml:space="preserve"> economies of scale as they increase</w:t>
      </w:r>
      <w:r w:rsidR="009B5FD4">
        <w:t>d</w:t>
      </w:r>
      <w:r w:rsidR="00C32C04">
        <w:t xml:space="preserve"> in size.</w:t>
      </w:r>
      <w:r w:rsidR="00AE1E6F">
        <w:rPr>
          <w:rStyle w:val="FootnoteReference"/>
        </w:rPr>
        <w:footnoteReference w:id="21"/>
      </w:r>
    </w:p>
    <w:p w:rsidR="00642256" w:rsidRDefault="009B5FD4" w:rsidP="00381382">
      <w:pPr>
        <w:pStyle w:val="BodyText"/>
      </w:pPr>
      <w:r>
        <w:t xml:space="preserve">As for </w:t>
      </w:r>
      <w:r w:rsidR="006F5D21">
        <w:t>un</w:t>
      </w:r>
      <w:r>
        <w:t>realised gain</w:t>
      </w:r>
      <w:r w:rsidR="006F5D21">
        <w:t>s</w:t>
      </w:r>
      <w:r>
        <w:t>, estimated potential savings are significant</w:t>
      </w:r>
      <w:r w:rsidR="00C31FD8">
        <w:t xml:space="preserve">. For example, </w:t>
      </w:r>
      <w:r w:rsidR="005F6A83">
        <w:t xml:space="preserve">savings from </w:t>
      </w:r>
      <w:r w:rsidR="003972B0">
        <w:t xml:space="preserve">a scenario where </w:t>
      </w:r>
      <w:r w:rsidR="00C31FD8">
        <w:t xml:space="preserve">mergers </w:t>
      </w:r>
      <w:r w:rsidR="003972B0">
        <w:t xml:space="preserve">occurred </w:t>
      </w:r>
      <w:r w:rsidR="00DE0D03">
        <w:t>between</w:t>
      </w:r>
      <w:r w:rsidR="00BE6D24">
        <w:t xml:space="preserve"> the </w:t>
      </w:r>
      <w:r w:rsidR="00A8221C">
        <w:t>5</w:t>
      </w:r>
      <w:r w:rsidR="00BE6D24">
        <w:t xml:space="preserve">0 highest cost </w:t>
      </w:r>
      <w:r w:rsidR="00DE0D03">
        <w:t>and</w:t>
      </w:r>
      <w:r w:rsidR="00BE6D24">
        <w:t xml:space="preserve"> 10 low</w:t>
      </w:r>
      <w:r w:rsidR="00F06FE8">
        <w:t>est</w:t>
      </w:r>
      <w:r w:rsidR="00BE6D24">
        <w:t xml:space="preserve"> cost </w:t>
      </w:r>
      <w:r w:rsidR="00DE0D03">
        <w:t xml:space="preserve">funds </w:t>
      </w:r>
      <w:r w:rsidR="003972B0">
        <w:t xml:space="preserve">(agnostic of fund type) </w:t>
      </w:r>
      <w:r w:rsidR="00DE0D03">
        <w:t xml:space="preserve">are estimated to be </w:t>
      </w:r>
      <w:r w:rsidR="00B45EA3">
        <w:t>at least</w:t>
      </w:r>
      <w:r w:rsidR="00A8221C">
        <w:t xml:space="preserve"> </w:t>
      </w:r>
      <w:r w:rsidR="00DE0D03">
        <w:t>$1</w:t>
      </w:r>
      <w:r w:rsidR="00A8221C">
        <w:t>.8</w:t>
      </w:r>
      <w:r w:rsidR="00DE0D03">
        <w:t xml:space="preserve"> billion </w:t>
      </w:r>
      <w:r w:rsidR="00B45EA3">
        <w:t xml:space="preserve">(with 50 per cent probability) </w:t>
      </w:r>
      <w:r w:rsidR="00BE6D24">
        <w:t>(figure </w:t>
      </w:r>
      <w:r w:rsidR="00B45EA3">
        <w:t>15</w:t>
      </w:r>
      <w:r w:rsidR="00BE6D24">
        <w:t>).</w:t>
      </w:r>
      <w:r w:rsidR="00F02212" w:rsidRPr="006007B3">
        <w:rPr>
          <w:rStyle w:val="FootnoteReference"/>
        </w:rPr>
        <w:footnoteReference w:id="22"/>
      </w:r>
      <w:r w:rsidR="00003164">
        <w:t xml:space="preserve"> </w:t>
      </w:r>
    </w:p>
    <w:p w:rsidR="00642256" w:rsidRDefault="00642256">
      <w:pPr>
        <w:rPr>
          <w:szCs w:val="20"/>
        </w:rPr>
      </w:pPr>
      <w:r>
        <w:br w:type="page"/>
      </w:r>
    </w:p>
    <w:p w:rsidR="00BE6D24" w:rsidRDefault="006F5D21" w:rsidP="00381382">
      <w:pPr>
        <w:pStyle w:val="BodyText"/>
      </w:pPr>
      <w:r>
        <w:lastRenderedPageBreak/>
        <w:t xml:space="preserve">And even under </w:t>
      </w:r>
      <w:r w:rsidR="00003164">
        <w:t xml:space="preserve">some </w:t>
      </w:r>
      <w:r>
        <w:t xml:space="preserve">conservative scenarios </w:t>
      </w:r>
      <w:r w:rsidR="00E427DF">
        <w:t>where the lowest cost group includes</w:t>
      </w:r>
      <w:r w:rsidR="00003164">
        <w:t xml:space="preserve"> </w:t>
      </w:r>
      <w:r w:rsidR="00E427DF">
        <w:t xml:space="preserve">some </w:t>
      </w:r>
      <w:r>
        <w:t>funds</w:t>
      </w:r>
      <w:r w:rsidR="00003164">
        <w:t xml:space="preserve"> </w:t>
      </w:r>
      <w:r>
        <w:t>estimated to have diseconomies of scale</w:t>
      </w:r>
      <w:r w:rsidR="00771D12">
        <w:t xml:space="preserve"> in investment</w:t>
      </w:r>
      <w:r>
        <w:t xml:space="preserve">, the potential gains are still at least as large as </w:t>
      </w:r>
      <w:r w:rsidR="00A3404D">
        <w:t>$750 million</w:t>
      </w:r>
      <w:r w:rsidR="0025037E">
        <w:t>.</w:t>
      </w:r>
      <w:r w:rsidR="00B84372">
        <w:t xml:space="preserve"> (This analysis confirms the observation in the draft report that unrealised economies likely exist, although here the focus is on high</w:t>
      </w:r>
      <w:r w:rsidR="00B84372">
        <w:noBreakHyphen/>
        <w:t>cost funds, in the draft report the focus was the large tail of small funds.)</w:t>
      </w:r>
    </w:p>
    <w:p w:rsidR="005434F4" w:rsidRDefault="005434F4" w:rsidP="00381382">
      <w:pPr>
        <w:pStyle w:val="BodyText"/>
      </w:pPr>
      <w:r>
        <w:t>If the median cost saving from these gains w</w:t>
      </w:r>
      <w:r w:rsidR="005F7329">
        <w:t>as</w:t>
      </w:r>
      <w:r>
        <w:t xml:space="preserve"> passed through to </w:t>
      </w:r>
      <w:r w:rsidR="0061681A" w:rsidRPr="0061681A">
        <w:rPr>
          <w:i/>
        </w:rPr>
        <w:t>all</w:t>
      </w:r>
      <w:r w:rsidR="0061681A">
        <w:t xml:space="preserve"> </w:t>
      </w:r>
      <w:r>
        <w:t xml:space="preserve">members as lower fees (a reduction of about </w:t>
      </w:r>
      <w:r w:rsidR="004325AA">
        <w:t>10 basis points</w:t>
      </w:r>
      <w:r>
        <w:t xml:space="preserve">) then holding all other costs constant an average member </w:t>
      </w:r>
      <w:r w:rsidR="0061681A">
        <w:t xml:space="preserve">within the system </w:t>
      </w:r>
      <w:r>
        <w:t>would be $22 000 better off in retirement</w:t>
      </w:r>
      <w:r w:rsidR="005F7329">
        <w:t>. (T</w:t>
      </w:r>
      <w:r w:rsidR="004325AA">
        <w:t>his benefit to members may appear modest relatively to Commission’s cameos in the draft report, but disparate to those cameos this benefit applies to all members</w:t>
      </w:r>
      <w:r w:rsidR="005F7329">
        <w:t>.</w:t>
      </w:r>
      <w:r w:rsidR="004325AA">
        <w:t>)</w:t>
      </w:r>
      <w:r w:rsidR="0061681A">
        <w:t xml:space="preserve"> Gains to members of higher cost funds would be markedly larger.</w:t>
      </w:r>
    </w:p>
    <w:p w:rsidR="00A27B52" w:rsidRDefault="00A27B52" w:rsidP="004718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27B52" w:rsidTr="0047187D">
        <w:trPr>
          <w:tblHeader/>
        </w:trPr>
        <w:tc>
          <w:tcPr>
            <w:tcW w:w="5000" w:type="pct"/>
            <w:tcBorders>
              <w:top w:val="single" w:sz="6" w:space="0" w:color="78A22F"/>
              <w:left w:val="nil"/>
              <w:bottom w:val="nil"/>
              <w:right w:val="nil"/>
            </w:tcBorders>
            <w:shd w:val="clear" w:color="auto" w:fill="auto"/>
          </w:tcPr>
          <w:p w:rsidR="00177ED8" w:rsidRDefault="00A27B52" w:rsidP="00177ED8">
            <w:pPr>
              <w:pStyle w:val="FigureTitle"/>
            </w:pPr>
            <w:r w:rsidRPr="00784A05">
              <w:rPr>
                <w:b w:val="0"/>
              </w:rPr>
              <w:t xml:space="preserve">Figure </w:t>
            </w:r>
            <w:bookmarkStart w:id="48" w:name="OLE_LINK34"/>
            <w:bookmarkStart w:id="49" w:name="OLE_LINK15"/>
            <w:r w:rsidR="004325AA">
              <w:rPr>
                <w:b w:val="0"/>
                <w:noProof/>
              </w:rPr>
              <w:t>15</w:t>
            </w:r>
            <w:bookmarkEnd w:id="48"/>
            <w:bookmarkEnd w:id="49"/>
            <w:r>
              <w:tab/>
            </w:r>
            <w:r w:rsidR="00177ED8">
              <w:t xml:space="preserve">Unrealised </w:t>
            </w:r>
            <w:r w:rsidR="00823D06">
              <w:t>economies of scale</w:t>
            </w:r>
            <w:r w:rsidR="00177ED8">
              <w:t xml:space="preserve"> — a source of large potential savings</w:t>
            </w:r>
            <w:r w:rsidR="006007B3" w:rsidRPr="00AC05E3">
              <w:rPr>
                <w:rStyle w:val="NoteLabel"/>
                <w:b/>
              </w:rPr>
              <w:t>a</w:t>
            </w:r>
            <w:r w:rsidR="00F732FF">
              <w:rPr>
                <w:rStyle w:val="NoteLabel"/>
                <w:b/>
              </w:rPr>
              <w:t>,b</w:t>
            </w:r>
          </w:p>
          <w:p w:rsidR="00A27B52" w:rsidRPr="00176D3F" w:rsidRDefault="00177ED8" w:rsidP="0047187D">
            <w:pPr>
              <w:pStyle w:val="Subtitle"/>
            </w:pPr>
            <w:r>
              <w:t>Estimated savings per annum</w:t>
            </w:r>
            <w:r w:rsidR="00823D06">
              <w:t>, $billion</w:t>
            </w:r>
          </w:p>
        </w:tc>
      </w:tr>
      <w:tr w:rsidR="00A27B52" w:rsidTr="004718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27B52" w:rsidRPr="00B1465D" w:rsidTr="0047187D">
              <w:trPr>
                <w:tblHeader/>
                <w:jc w:val="center"/>
              </w:trPr>
              <w:tc>
                <w:tcPr>
                  <w:tcW w:w="5000" w:type="pct"/>
                  <w:tcBorders>
                    <w:top w:val="nil"/>
                    <w:bottom w:val="nil"/>
                  </w:tcBorders>
                </w:tcPr>
                <w:p w:rsidR="006048C7" w:rsidRDefault="00CB63C5" w:rsidP="0047187D">
                  <w:pPr>
                    <w:pStyle w:val="Figure"/>
                    <w:spacing w:before="60" w:after="60"/>
                    <w:rPr>
                      <w:rFonts w:ascii="Arial" w:hAnsi="Arial" w:cs="Arial"/>
                      <w:sz w:val="18"/>
                      <w:szCs w:val="18"/>
                    </w:rPr>
                  </w:pPr>
                  <w:r w:rsidRPr="00CB63C5">
                    <w:rPr>
                      <w:rFonts w:ascii="Arial" w:hAnsi="Arial" w:cs="Arial"/>
                      <w:noProof/>
                      <w:sz w:val="18"/>
                      <w:szCs w:val="18"/>
                    </w:rPr>
                    <w:drawing>
                      <wp:inline distT="0" distB="0" distL="0" distR="0" wp14:anchorId="575394BD" wp14:editId="3C7DFDE9">
                        <wp:extent cx="5402580" cy="2880360"/>
                        <wp:effectExtent l="0" t="0" r="0" b="0"/>
                        <wp:docPr id="23" name="Picture 23" descr="This figure shows the minimum savings to the system if funds were to exit the system and have their assets reallocated to lower cost funds. The 50th, 70th, and 90th percentile are presented, where up to 100 funds exit the system. As the number of funds exit, the savings per year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bl>
                  <w:tblPr>
                    <w:tblW w:w="0" w:type="auto"/>
                    <w:tblLook w:val="04A0" w:firstRow="1" w:lastRow="0" w:firstColumn="1" w:lastColumn="0" w:noHBand="0" w:noVBand="1"/>
                  </w:tblPr>
                  <w:tblGrid>
                    <w:gridCol w:w="1985"/>
                    <w:gridCol w:w="3041"/>
                    <w:gridCol w:w="3468"/>
                  </w:tblGrid>
                  <w:tr w:rsidR="006048C7" w:rsidTr="0063190B">
                    <w:trPr>
                      <w:tblHeader/>
                    </w:trPr>
                    <w:tc>
                      <w:tcPr>
                        <w:tcW w:w="1985" w:type="dxa"/>
                        <w:shd w:val="clear" w:color="auto" w:fill="F2F2F2" w:themeFill="background1" w:themeFillShade="F2"/>
                      </w:tcPr>
                      <w:p w:rsidR="006048C7" w:rsidRDefault="00573776" w:rsidP="006048C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509" w:type="dxa"/>
                        <w:gridSpan w:val="2"/>
                        <w:shd w:val="clear" w:color="auto" w:fill="F2F2F2" w:themeFill="background1" w:themeFillShade="F2"/>
                      </w:tcPr>
                      <w:p w:rsidR="006048C7" w:rsidRDefault="00573776" w:rsidP="006048C7">
                        <w:pPr>
                          <w:pStyle w:val="Figure"/>
                          <w:spacing w:before="0" w:after="0"/>
                          <w:jc w:val="left"/>
                          <w:rPr>
                            <w:rFonts w:ascii="Arial" w:hAnsi="Arial" w:cs="Arial"/>
                            <w:sz w:val="18"/>
                            <w:szCs w:val="18"/>
                          </w:rPr>
                        </w:pPr>
                        <w:r w:rsidRPr="000E45B5">
                          <w:rPr>
                            <w:rFonts w:ascii="Arial" w:eastAsia="+mn-ea" w:hAnsi="Arial" w:cs="Arial"/>
                            <w:color w:val="000000" w:themeColor="text1"/>
                            <w:kern w:val="24"/>
                            <w:sz w:val="18"/>
                            <w:szCs w:val="18"/>
                          </w:rPr>
                          <w:t>PC analysis of APRA data</w:t>
                        </w:r>
                        <w:r>
                          <w:rPr>
                            <w:rFonts w:ascii="Arial" w:eastAsia="+mn-ea" w:hAnsi="Arial" w:cs="Arial"/>
                            <w:color w:val="000000" w:themeColor="text1"/>
                            <w:kern w:val="24"/>
                            <w:sz w:val="18"/>
                            <w:szCs w:val="18"/>
                          </w:rPr>
                          <w:t>.</w:t>
                        </w:r>
                      </w:p>
                    </w:tc>
                  </w:tr>
                  <w:tr w:rsidR="006048C7" w:rsidTr="007E71F1">
                    <w:trPr>
                      <w:trHeight w:val="240"/>
                    </w:trPr>
                    <w:tc>
                      <w:tcPr>
                        <w:tcW w:w="1985" w:type="dxa"/>
                        <w:vMerge w:val="restart"/>
                        <w:shd w:val="clear" w:color="auto" w:fill="F2F2F2" w:themeFill="background1" w:themeFillShade="F2"/>
                        <w:vAlign w:val="center"/>
                      </w:tcPr>
                      <w:p w:rsidR="006048C7" w:rsidRDefault="006048C7" w:rsidP="006048C7">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Median coverage</w:t>
                        </w:r>
                        <w:r w:rsidR="00F732FF" w:rsidRPr="00DF5BB0">
                          <w:rPr>
                            <w:rStyle w:val="NoteLabel"/>
                          </w:rPr>
                          <w:t>c</w:t>
                        </w:r>
                      </w:p>
                    </w:tc>
                    <w:tc>
                      <w:tcPr>
                        <w:tcW w:w="3041" w:type="dxa"/>
                        <w:shd w:val="clear" w:color="auto" w:fill="F2F2F2" w:themeFill="background1" w:themeFillShade="F2"/>
                      </w:tcPr>
                      <w:p w:rsidR="006048C7" w:rsidRDefault="006048C7" w:rsidP="006048C7">
                        <w:pPr>
                          <w:pStyle w:val="Figure"/>
                          <w:spacing w:before="0" w:after="0"/>
                          <w:jc w:val="left"/>
                          <w:rPr>
                            <w:rFonts w:ascii="Arial" w:hAnsi="Arial" w:cs="Arial"/>
                            <w:sz w:val="18"/>
                            <w:szCs w:val="18"/>
                          </w:rPr>
                        </w:pPr>
                        <w:r>
                          <w:rPr>
                            <w:rFonts w:ascii="Arial" w:hAnsi="Arial" w:cs="Arial"/>
                            <w:sz w:val="18"/>
                            <w:szCs w:val="18"/>
                          </w:rPr>
                          <w:t>By funds</w:t>
                        </w:r>
                      </w:p>
                    </w:tc>
                    <w:tc>
                      <w:tcPr>
                        <w:tcW w:w="3468" w:type="dxa"/>
                        <w:shd w:val="clear" w:color="auto" w:fill="F2F2F2" w:themeFill="background1" w:themeFillShade="F2"/>
                      </w:tcPr>
                      <w:p w:rsidR="006048C7" w:rsidRDefault="006048C7" w:rsidP="006048C7">
                        <w:pPr>
                          <w:pStyle w:val="Figure"/>
                          <w:spacing w:before="0" w:after="0"/>
                          <w:jc w:val="left"/>
                          <w:rPr>
                            <w:rFonts w:ascii="Arial" w:hAnsi="Arial" w:cs="Arial"/>
                            <w:sz w:val="18"/>
                            <w:szCs w:val="18"/>
                          </w:rPr>
                        </w:pPr>
                        <w:r>
                          <w:rPr>
                            <w:rFonts w:ascii="Arial" w:hAnsi="Arial" w:cs="Arial"/>
                            <w:sz w:val="18"/>
                            <w:szCs w:val="18"/>
                          </w:rPr>
                          <w:t>By assets</w:t>
                        </w:r>
                      </w:p>
                    </w:tc>
                  </w:tr>
                  <w:tr w:rsidR="006048C7" w:rsidTr="007E71F1">
                    <w:trPr>
                      <w:trHeight w:val="240"/>
                    </w:trPr>
                    <w:tc>
                      <w:tcPr>
                        <w:tcW w:w="1985" w:type="dxa"/>
                        <w:vMerge/>
                        <w:shd w:val="clear" w:color="auto" w:fill="F2F2F2" w:themeFill="background1" w:themeFillShade="F2"/>
                      </w:tcPr>
                      <w:p w:rsidR="006048C7" w:rsidRDefault="006048C7" w:rsidP="006048C7">
                        <w:pPr>
                          <w:pStyle w:val="Figure"/>
                          <w:spacing w:before="0" w:after="0"/>
                          <w:jc w:val="left"/>
                          <w:rPr>
                            <w:rFonts w:asciiTheme="minorHAnsi" w:hAnsi="Arial" w:cstheme="minorBidi"/>
                            <w:b/>
                            <w:color w:val="000000" w:themeColor="text1"/>
                            <w:kern w:val="24"/>
                            <w:sz w:val="18"/>
                            <w:szCs w:val="18"/>
                          </w:rPr>
                        </w:pPr>
                      </w:p>
                    </w:tc>
                    <w:tc>
                      <w:tcPr>
                        <w:tcW w:w="3041" w:type="dxa"/>
                        <w:shd w:val="clear" w:color="auto" w:fill="F2F2F2" w:themeFill="background1" w:themeFillShade="F2"/>
                      </w:tcPr>
                      <w:p w:rsidR="006048C7" w:rsidRDefault="006048C7" w:rsidP="006048C7">
                        <w:pPr>
                          <w:pStyle w:val="Figure"/>
                          <w:spacing w:before="0" w:after="0"/>
                          <w:jc w:val="left"/>
                          <w:rPr>
                            <w:rFonts w:ascii="Arial" w:hAnsi="Arial" w:cs="Arial"/>
                            <w:sz w:val="18"/>
                            <w:szCs w:val="18"/>
                          </w:rPr>
                        </w:pPr>
                        <w:r>
                          <w:rPr>
                            <w:rFonts w:ascii="Arial" w:hAnsi="Arial" w:cs="Arial"/>
                            <w:sz w:val="18"/>
                            <w:szCs w:val="18"/>
                          </w:rPr>
                          <w:t>107 (out of 180)</w:t>
                        </w:r>
                      </w:p>
                    </w:tc>
                    <w:tc>
                      <w:tcPr>
                        <w:tcW w:w="3468" w:type="dxa"/>
                        <w:shd w:val="clear" w:color="auto" w:fill="F2F2F2" w:themeFill="background1" w:themeFillShade="F2"/>
                      </w:tcPr>
                      <w:p w:rsidR="006048C7" w:rsidRDefault="006048C7" w:rsidP="006048C7">
                        <w:pPr>
                          <w:pStyle w:val="Figure"/>
                          <w:spacing w:before="0" w:after="0"/>
                          <w:jc w:val="left"/>
                          <w:rPr>
                            <w:rFonts w:ascii="Arial" w:hAnsi="Arial" w:cs="Arial"/>
                            <w:sz w:val="18"/>
                            <w:szCs w:val="18"/>
                          </w:rPr>
                        </w:pPr>
                        <w:r>
                          <w:rPr>
                            <w:rFonts w:ascii="Arial" w:hAnsi="Arial" w:cs="Arial"/>
                            <w:sz w:val="18"/>
                            <w:szCs w:val="18"/>
                          </w:rPr>
                          <w:t>$705b (out of $1532.7b)</w:t>
                        </w:r>
                      </w:p>
                    </w:tc>
                  </w:tr>
                </w:tbl>
                <w:p w:rsidR="00A27B52" w:rsidRPr="00B1465D" w:rsidRDefault="00A27B52" w:rsidP="0047187D">
                  <w:pPr>
                    <w:pStyle w:val="Figure"/>
                    <w:spacing w:before="60" w:after="60"/>
                    <w:rPr>
                      <w:rFonts w:ascii="Arial" w:hAnsi="Arial" w:cs="Arial"/>
                      <w:sz w:val="18"/>
                      <w:szCs w:val="18"/>
                    </w:rPr>
                  </w:pPr>
                </w:p>
              </w:tc>
            </w:tr>
          </w:tbl>
          <w:p w:rsidR="00A27B52" w:rsidRDefault="00A27B52" w:rsidP="0047187D">
            <w:pPr>
              <w:pStyle w:val="Figure"/>
            </w:pPr>
          </w:p>
        </w:tc>
      </w:tr>
      <w:tr w:rsidR="00A27B52" w:rsidRPr="00176D3F" w:rsidTr="0047187D">
        <w:tc>
          <w:tcPr>
            <w:tcW w:w="5000" w:type="pct"/>
            <w:tcBorders>
              <w:top w:val="nil"/>
              <w:left w:val="nil"/>
              <w:bottom w:val="nil"/>
              <w:right w:val="nil"/>
            </w:tcBorders>
            <w:shd w:val="clear" w:color="auto" w:fill="auto"/>
          </w:tcPr>
          <w:p w:rsidR="00A27B52" w:rsidRPr="00176D3F" w:rsidRDefault="00A27B52" w:rsidP="00F732FF">
            <w:pPr>
              <w:pStyle w:val="Note"/>
            </w:pPr>
            <w:r>
              <w:rPr>
                <w:rStyle w:val="NoteLabel"/>
              </w:rPr>
              <w:t>a</w:t>
            </w:r>
            <w:r>
              <w:t xml:space="preserve"> </w:t>
            </w:r>
            <w:r w:rsidR="00A8221C">
              <w:t xml:space="preserve">Funds with </w:t>
            </w:r>
            <w:r w:rsidR="00F732FF">
              <w:t xml:space="preserve">estimated </w:t>
            </w:r>
            <w:r w:rsidR="00A8221C">
              <w:t xml:space="preserve">total average costs </w:t>
            </w:r>
            <w:r w:rsidR="0063190B">
              <w:t xml:space="preserve">of </w:t>
            </w:r>
            <w:r w:rsidR="00A8221C">
              <w:t>less than 45 basis points were excluded from this analysis (to avoid allocating assets to funds with underreported expenses).</w:t>
            </w:r>
            <w:r w:rsidR="00F732FF" w:rsidRPr="007E71F1">
              <w:t xml:space="preserve"> </w:t>
            </w:r>
            <w:r w:rsidR="00F732FF">
              <w:rPr>
                <w:rStyle w:val="NoteLabel"/>
              </w:rPr>
              <w:t>b</w:t>
            </w:r>
            <w:r w:rsidR="00F732FF">
              <w:t xml:space="preserve"> The 90</w:t>
            </w:r>
            <w:r w:rsidR="00D47C7D">
              <w:t xml:space="preserve"> per cent</w:t>
            </w:r>
            <w:r w:rsidR="00F732FF">
              <w:t xml:space="preserve"> probability curve shows a flattening of the savings because </w:t>
            </w:r>
            <w:r w:rsidR="00775F10">
              <w:t xml:space="preserve">the group of lowest cost funds </w:t>
            </w:r>
            <w:r w:rsidR="00F732FF">
              <w:t xml:space="preserve">includes </w:t>
            </w:r>
            <w:r w:rsidR="00775F10">
              <w:t>estimates for</w:t>
            </w:r>
            <w:r w:rsidR="00F732FF">
              <w:t xml:space="preserve"> industry funds </w:t>
            </w:r>
            <w:r w:rsidR="00775F10">
              <w:t>that</w:t>
            </w:r>
            <w:r w:rsidR="00F732FF">
              <w:t xml:space="preserve"> exhibit diseconomies of scale. </w:t>
            </w:r>
            <w:r w:rsidR="006F5D21">
              <w:t>Similarly as funds are allocated to the lowest 10 at random, if industry funds have diseconomies of scale, then it</w:t>
            </w:r>
            <w:r w:rsidR="00003164">
              <w:t xml:space="preserve"> i</w:t>
            </w:r>
            <w:r w:rsidR="006F5D21">
              <w:t>s possible for the curves to start with losses.</w:t>
            </w:r>
            <w:r w:rsidR="00F732FF">
              <w:t xml:space="preserve"> </w:t>
            </w:r>
            <w:r w:rsidR="00F732FF">
              <w:rPr>
                <w:rStyle w:val="NoteLabel"/>
              </w:rPr>
              <w:t>c</w:t>
            </w:r>
            <w:r w:rsidR="00F732FF">
              <w:t xml:space="preserve"> </w:t>
            </w:r>
            <w:r w:rsidR="00B45EA3">
              <w:t>Because</w:t>
            </w:r>
            <w:r w:rsidR="00F732FF">
              <w:t xml:space="preserve"> funds with estimated total average costs </w:t>
            </w:r>
            <w:r w:rsidR="00B45EA3">
              <w:t xml:space="preserve">of </w:t>
            </w:r>
            <w:r w:rsidR="00F732FF">
              <w:t>less than 45 basis points</w:t>
            </w:r>
            <w:r w:rsidR="00B45EA3">
              <w:t xml:space="preserve"> were excluded</w:t>
            </w:r>
            <w:r w:rsidR="00F732FF">
              <w:t>, the number of funds excluded varies across each posterior draw.</w:t>
            </w:r>
          </w:p>
        </w:tc>
      </w:tr>
      <w:tr w:rsidR="00A27B52" w:rsidTr="0047187D">
        <w:tc>
          <w:tcPr>
            <w:tcW w:w="5000" w:type="pct"/>
            <w:tcBorders>
              <w:top w:val="nil"/>
              <w:left w:val="nil"/>
              <w:bottom w:val="single" w:sz="6" w:space="0" w:color="78A22F"/>
              <w:right w:val="nil"/>
            </w:tcBorders>
            <w:shd w:val="clear" w:color="auto" w:fill="auto"/>
          </w:tcPr>
          <w:p w:rsidR="00A27B52" w:rsidRDefault="00A27B52" w:rsidP="0047187D">
            <w:pPr>
              <w:pStyle w:val="Figurespace"/>
            </w:pPr>
          </w:p>
        </w:tc>
      </w:tr>
      <w:tr w:rsidR="00A27B52" w:rsidRPr="000863A5" w:rsidTr="0047187D">
        <w:tc>
          <w:tcPr>
            <w:tcW w:w="5000" w:type="pct"/>
            <w:tcBorders>
              <w:top w:val="single" w:sz="6" w:space="0" w:color="78A22F"/>
              <w:left w:val="nil"/>
              <w:bottom w:val="nil"/>
              <w:right w:val="nil"/>
            </w:tcBorders>
          </w:tcPr>
          <w:p w:rsidR="00A27B52" w:rsidRPr="00626D32" w:rsidRDefault="00A27B52" w:rsidP="0047187D">
            <w:pPr>
              <w:pStyle w:val="BoxSpaceBelow"/>
            </w:pPr>
          </w:p>
        </w:tc>
      </w:tr>
    </w:tbl>
    <w:p w:rsidR="00A27B52" w:rsidRDefault="00FB080A" w:rsidP="001E3030">
      <w:pPr>
        <w:pStyle w:val="Heading3"/>
      </w:pPr>
      <w:bookmarkStart w:id="50" w:name="_Toc530748492"/>
      <w:r>
        <w:lastRenderedPageBreak/>
        <w:t xml:space="preserve">No evidence that </w:t>
      </w:r>
      <w:r w:rsidR="005F6A83">
        <w:t xml:space="preserve">EOS </w:t>
      </w:r>
      <w:r w:rsidR="0080027F">
        <w:t xml:space="preserve">gains </w:t>
      </w:r>
      <w:r w:rsidR="00890F47">
        <w:t xml:space="preserve">have been </w:t>
      </w:r>
      <w:r w:rsidR="006E1D8F">
        <w:t xml:space="preserve">systematically </w:t>
      </w:r>
      <w:r w:rsidR="00890F47">
        <w:t>passed</w:t>
      </w:r>
      <w:r w:rsidR="007E792D">
        <w:noBreakHyphen/>
      </w:r>
      <w:r w:rsidR="00A31844" w:rsidDel="00EE2F3B">
        <w:t>t</w:t>
      </w:r>
      <w:r w:rsidR="00A31844">
        <w:t xml:space="preserve">hrough </w:t>
      </w:r>
      <w:r w:rsidR="007E792D">
        <w:t>as lower fees</w:t>
      </w:r>
      <w:bookmarkEnd w:id="50"/>
    </w:p>
    <w:p w:rsidR="00F5494A" w:rsidRDefault="00AA1D88" w:rsidP="00361D52">
      <w:pPr>
        <w:pStyle w:val="BodyText"/>
        <w:rPr>
          <w:spacing w:val="-2"/>
        </w:rPr>
      </w:pPr>
      <w:r>
        <w:rPr>
          <w:spacing w:val="-2"/>
        </w:rPr>
        <w:t xml:space="preserve">Despite </w:t>
      </w:r>
      <w:r w:rsidR="003C475A">
        <w:rPr>
          <w:spacing w:val="-2"/>
        </w:rPr>
        <w:t xml:space="preserve">the realisation of </w:t>
      </w:r>
      <w:r>
        <w:rPr>
          <w:spacing w:val="-2"/>
        </w:rPr>
        <w:t>economies of scale</w:t>
      </w:r>
      <w:r w:rsidR="004F0640">
        <w:rPr>
          <w:spacing w:val="-2"/>
        </w:rPr>
        <w:t xml:space="preserve"> between 2004 and 2017</w:t>
      </w:r>
      <w:r>
        <w:rPr>
          <w:spacing w:val="-2"/>
        </w:rPr>
        <w:t xml:space="preserve">, </w:t>
      </w:r>
      <w:r w:rsidR="003C1533">
        <w:rPr>
          <w:spacing w:val="-2"/>
        </w:rPr>
        <w:t xml:space="preserve">there was little change in the </w:t>
      </w:r>
      <w:r w:rsidR="00C407C1">
        <w:rPr>
          <w:spacing w:val="-2"/>
        </w:rPr>
        <w:t xml:space="preserve">actual fees charged to members </w:t>
      </w:r>
      <w:r w:rsidR="00FC3B76">
        <w:rPr>
          <w:spacing w:val="-2"/>
        </w:rPr>
        <w:t xml:space="preserve">(as a percentage of assets) </w:t>
      </w:r>
      <w:r w:rsidR="00F5494A">
        <w:rPr>
          <w:spacing w:val="-2"/>
        </w:rPr>
        <w:t xml:space="preserve">for </w:t>
      </w:r>
      <w:r w:rsidR="00F5494A" w:rsidRPr="00B30F78">
        <w:rPr>
          <w:i/>
          <w:spacing w:val="-2"/>
        </w:rPr>
        <w:t>the median fu</w:t>
      </w:r>
      <w:r w:rsidR="00F5494A" w:rsidRPr="00721243">
        <w:rPr>
          <w:i/>
          <w:spacing w:val="-2"/>
        </w:rPr>
        <w:t>nd</w:t>
      </w:r>
      <w:r w:rsidR="00A87FC8">
        <w:rPr>
          <w:i/>
          <w:spacing w:val="-2"/>
        </w:rPr>
        <w:t xml:space="preserve"> </w:t>
      </w:r>
      <w:r w:rsidR="00DD547D">
        <w:rPr>
          <w:i/>
          <w:spacing w:val="-2"/>
        </w:rPr>
        <w:t>(</w:t>
      </w:r>
      <w:r w:rsidR="00A87FC8">
        <w:rPr>
          <w:spacing w:val="-2"/>
        </w:rPr>
        <w:t>for which we have data on fees</w:t>
      </w:r>
      <w:r w:rsidR="00DD547D">
        <w:rPr>
          <w:spacing w:val="-2"/>
        </w:rPr>
        <w:t>)</w:t>
      </w:r>
      <w:r w:rsidR="00D76DF0">
        <w:rPr>
          <w:spacing w:val="-2"/>
        </w:rPr>
        <w:t xml:space="preserve">. </w:t>
      </w:r>
      <w:r w:rsidR="00FC3B76">
        <w:rPr>
          <w:spacing w:val="-2"/>
        </w:rPr>
        <w:t>(</w:t>
      </w:r>
      <w:r w:rsidR="00D76DF0">
        <w:rPr>
          <w:spacing w:val="-2"/>
        </w:rPr>
        <w:t>But t</w:t>
      </w:r>
      <w:r w:rsidR="00531A0F">
        <w:rPr>
          <w:spacing w:val="-2"/>
        </w:rPr>
        <w:t>here has</w:t>
      </w:r>
      <w:r w:rsidR="0074255E">
        <w:rPr>
          <w:spacing w:val="-2"/>
        </w:rPr>
        <w:t xml:space="preserve"> been </w:t>
      </w:r>
      <w:r w:rsidR="00531A0F">
        <w:rPr>
          <w:spacing w:val="-2"/>
        </w:rPr>
        <w:t xml:space="preserve">a </w:t>
      </w:r>
      <w:r w:rsidR="0074255E">
        <w:rPr>
          <w:spacing w:val="-2"/>
        </w:rPr>
        <w:t>reduction</w:t>
      </w:r>
      <w:r w:rsidR="003C1533">
        <w:rPr>
          <w:spacing w:val="-2"/>
        </w:rPr>
        <w:t xml:space="preserve"> in the average </w:t>
      </w:r>
      <w:r w:rsidR="00D76DF0">
        <w:rPr>
          <w:spacing w:val="-2"/>
        </w:rPr>
        <w:t>(mean)</w:t>
      </w:r>
      <w:r w:rsidR="0074255E">
        <w:rPr>
          <w:spacing w:val="-2"/>
        </w:rPr>
        <w:t xml:space="preserve"> </w:t>
      </w:r>
      <w:r w:rsidR="003C1533">
        <w:rPr>
          <w:spacing w:val="-2"/>
        </w:rPr>
        <w:t>investment fee</w:t>
      </w:r>
      <w:r w:rsidR="0074255E">
        <w:rPr>
          <w:spacing w:val="-2"/>
        </w:rPr>
        <w:t xml:space="preserve"> for </w:t>
      </w:r>
      <w:r w:rsidR="003C1533">
        <w:rPr>
          <w:spacing w:val="-2"/>
        </w:rPr>
        <w:t>the retail segment</w:t>
      </w:r>
      <w:r w:rsidR="00D76DF0">
        <w:rPr>
          <w:spacing w:val="-2"/>
        </w:rPr>
        <w:t>,</w:t>
      </w:r>
      <w:r w:rsidR="0074255E">
        <w:rPr>
          <w:spacing w:val="-2"/>
        </w:rPr>
        <w:t xml:space="preserve"> driven by </w:t>
      </w:r>
      <w:r w:rsidR="003C1533">
        <w:rPr>
          <w:spacing w:val="-2"/>
        </w:rPr>
        <w:t xml:space="preserve">significant </w:t>
      </w:r>
      <w:r w:rsidR="0074255E">
        <w:rPr>
          <w:spacing w:val="-2"/>
        </w:rPr>
        <w:t xml:space="preserve">reductions in fees </w:t>
      </w:r>
      <w:r w:rsidR="003C1533">
        <w:rPr>
          <w:spacing w:val="-2"/>
        </w:rPr>
        <w:t>by</w:t>
      </w:r>
      <w:r w:rsidR="0074255E">
        <w:rPr>
          <w:spacing w:val="-2"/>
        </w:rPr>
        <w:t xml:space="preserve"> some large funds</w:t>
      </w:r>
      <w:r w:rsidR="00D76DF0">
        <w:rPr>
          <w:spacing w:val="-2"/>
        </w:rPr>
        <w:t>.</w:t>
      </w:r>
      <w:r w:rsidR="00FC3B76">
        <w:rPr>
          <w:spacing w:val="-2"/>
        </w:rPr>
        <w:t>)</w:t>
      </w:r>
    </w:p>
    <w:p w:rsidR="002C0FAA" w:rsidRPr="00642256" w:rsidRDefault="005C2B5A" w:rsidP="00361D52">
      <w:pPr>
        <w:pStyle w:val="BodyText"/>
        <w:rPr>
          <w:spacing w:val="-6"/>
        </w:rPr>
      </w:pPr>
      <w:r w:rsidRPr="00642256">
        <w:rPr>
          <w:spacing w:val="-6"/>
        </w:rPr>
        <w:t>At a system level</w:t>
      </w:r>
      <w:r w:rsidR="008B1955" w:rsidRPr="00642256">
        <w:rPr>
          <w:spacing w:val="-6"/>
        </w:rPr>
        <w:t>, for example</w:t>
      </w:r>
      <w:r w:rsidRPr="00642256">
        <w:rPr>
          <w:spacing w:val="-6"/>
        </w:rPr>
        <w:t>, t</w:t>
      </w:r>
      <w:r w:rsidR="00ED6360" w:rsidRPr="00642256">
        <w:rPr>
          <w:spacing w:val="-6"/>
        </w:rPr>
        <w:t xml:space="preserve">he </w:t>
      </w:r>
      <w:r w:rsidR="009C59CB" w:rsidRPr="00642256">
        <w:rPr>
          <w:spacing w:val="-6"/>
        </w:rPr>
        <w:t xml:space="preserve">estimate of the </w:t>
      </w:r>
      <w:r w:rsidR="00ED6360" w:rsidRPr="00642256">
        <w:rPr>
          <w:spacing w:val="-6"/>
        </w:rPr>
        <w:t xml:space="preserve">median reduction in average </w:t>
      </w:r>
      <w:r w:rsidR="003C475A" w:rsidRPr="00642256">
        <w:rPr>
          <w:spacing w:val="-6"/>
        </w:rPr>
        <w:t>expenses</w:t>
      </w:r>
      <w:r w:rsidR="009C59CB" w:rsidRPr="00642256">
        <w:rPr>
          <w:spacing w:val="-6"/>
        </w:rPr>
        <w:t xml:space="preserve"> </w:t>
      </w:r>
      <w:r w:rsidR="009D0AEA" w:rsidRPr="00642256">
        <w:rPr>
          <w:i/>
          <w:spacing w:val="-6"/>
        </w:rPr>
        <w:t>attributable to size changes</w:t>
      </w:r>
      <w:r w:rsidR="004F0640" w:rsidRPr="00642256">
        <w:rPr>
          <w:i/>
          <w:spacing w:val="-6"/>
        </w:rPr>
        <w:t xml:space="preserve"> alone</w:t>
      </w:r>
      <w:r w:rsidR="009D0AEA" w:rsidRPr="00642256">
        <w:rPr>
          <w:spacing w:val="-6"/>
        </w:rPr>
        <w:t xml:space="preserve"> </w:t>
      </w:r>
      <w:r w:rsidRPr="00642256">
        <w:rPr>
          <w:spacing w:val="-6"/>
        </w:rPr>
        <w:t xml:space="preserve">between 2004 and 2017 </w:t>
      </w:r>
      <w:r w:rsidR="009C59CB" w:rsidRPr="00642256">
        <w:rPr>
          <w:spacing w:val="-6"/>
        </w:rPr>
        <w:t>lies</w:t>
      </w:r>
      <w:r w:rsidR="00B83E86" w:rsidRPr="00642256">
        <w:rPr>
          <w:spacing w:val="-6"/>
        </w:rPr>
        <w:t xml:space="preserve"> </w:t>
      </w:r>
      <w:r w:rsidR="00ED6360" w:rsidRPr="00642256">
        <w:rPr>
          <w:spacing w:val="-6"/>
        </w:rPr>
        <w:t xml:space="preserve">between </w:t>
      </w:r>
      <w:r w:rsidR="00101415" w:rsidRPr="00642256">
        <w:rPr>
          <w:spacing w:val="-6"/>
        </w:rPr>
        <w:t>10</w:t>
      </w:r>
      <w:r w:rsidR="00ED6360" w:rsidRPr="00642256">
        <w:rPr>
          <w:spacing w:val="-6"/>
        </w:rPr>
        <w:t xml:space="preserve"> and </w:t>
      </w:r>
      <w:r w:rsidR="00101415" w:rsidRPr="00642256">
        <w:rPr>
          <w:spacing w:val="-6"/>
        </w:rPr>
        <w:t>18</w:t>
      </w:r>
      <w:r w:rsidR="00ED6360" w:rsidRPr="00642256">
        <w:rPr>
          <w:spacing w:val="-6"/>
        </w:rPr>
        <w:t xml:space="preserve"> basis points for administration </w:t>
      </w:r>
      <w:r w:rsidR="0012346F" w:rsidRPr="00642256">
        <w:rPr>
          <w:spacing w:val="-6"/>
        </w:rPr>
        <w:t>expense</w:t>
      </w:r>
      <w:r w:rsidR="00ED6360" w:rsidRPr="00642256">
        <w:rPr>
          <w:spacing w:val="-6"/>
        </w:rPr>
        <w:t>s</w:t>
      </w:r>
      <w:r w:rsidR="009C59CB" w:rsidRPr="00642256">
        <w:rPr>
          <w:spacing w:val="-6"/>
        </w:rPr>
        <w:t xml:space="preserve"> (captured by the vertical purple line in figure 16</w:t>
      </w:r>
      <w:r w:rsidR="00D76DF0" w:rsidRPr="00642256">
        <w:rPr>
          <w:spacing w:val="-6"/>
        </w:rPr>
        <w:t xml:space="preserve"> w</w:t>
      </w:r>
      <w:r w:rsidR="00F520B9" w:rsidRPr="00642256">
        <w:rPr>
          <w:spacing w:val="-6"/>
        </w:rPr>
        <w:t>hich also depicts the</w:t>
      </w:r>
      <w:r w:rsidR="00D76DF0" w:rsidRPr="00642256">
        <w:rPr>
          <w:spacing w:val="-6"/>
        </w:rPr>
        <w:t xml:space="preserve"> mid</w:t>
      </w:r>
      <w:r w:rsidR="00D76DF0" w:rsidRPr="00642256">
        <w:rPr>
          <w:spacing w:val="-6"/>
        </w:rPr>
        <w:noBreakHyphen/>
        <w:t xml:space="preserve">point of </w:t>
      </w:r>
      <w:r w:rsidR="00F520B9" w:rsidRPr="00642256">
        <w:rPr>
          <w:spacing w:val="-6"/>
        </w:rPr>
        <w:t>the range</w:t>
      </w:r>
      <w:r w:rsidR="00363B4A" w:rsidRPr="00642256">
        <w:rPr>
          <w:spacing w:val="-6"/>
        </w:rPr>
        <w:t>,</w:t>
      </w:r>
      <w:r w:rsidR="00F520B9" w:rsidRPr="00642256">
        <w:rPr>
          <w:spacing w:val="-6"/>
        </w:rPr>
        <w:t> </w:t>
      </w:r>
      <w:r w:rsidR="00363B4A" w:rsidRPr="00642256">
        <w:rPr>
          <w:spacing w:val="-6"/>
        </w:rPr>
        <w:t>-</w:t>
      </w:r>
      <w:r w:rsidR="00F520B9" w:rsidRPr="00642256">
        <w:rPr>
          <w:spacing w:val="-6"/>
        </w:rPr>
        <w:t> </w:t>
      </w:r>
      <w:r w:rsidR="00D76DF0" w:rsidRPr="00642256">
        <w:rPr>
          <w:spacing w:val="-6"/>
        </w:rPr>
        <w:t>14</w:t>
      </w:r>
      <w:r w:rsidR="009C59CB" w:rsidRPr="00642256">
        <w:rPr>
          <w:spacing w:val="-6"/>
        </w:rPr>
        <w:t>)</w:t>
      </w:r>
      <w:r w:rsidR="00F520B9" w:rsidRPr="00642256">
        <w:rPr>
          <w:spacing w:val="-6"/>
        </w:rPr>
        <w:t>,</w:t>
      </w:r>
      <w:r w:rsidR="00ED6360" w:rsidRPr="00642256">
        <w:rPr>
          <w:spacing w:val="-6"/>
        </w:rPr>
        <w:t xml:space="preserve"> and </w:t>
      </w:r>
      <w:r w:rsidR="00D47C7D" w:rsidRPr="00642256">
        <w:rPr>
          <w:spacing w:val="-6"/>
        </w:rPr>
        <w:t xml:space="preserve">between </w:t>
      </w:r>
      <w:r w:rsidR="00ED6360" w:rsidRPr="00642256">
        <w:rPr>
          <w:spacing w:val="-6"/>
        </w:rPr>
        <w:t xml:space="preserve">0 to </w:t>
      </w:r>
      <w:r w:rsidR="00A0071F" w:rsidRPr="00642256">
        <w:rPr>
          <w:spacing w:val="-6"/>
        </w:rPr>
        <w:t>4</w:t>
      </w:r>
      <w:r w:rsidR="00ED6360" w:rsidRPr="00642256">
        <w:rPr>
          <w:spacing w:val="-6"/>
        </w:rPr>
        <w:t xml:space="preserve"> basis points for investment </w:t>
      </w:r>
      <w:r w:rsidR="0012346F" w:rsidRPr="00642256">
        <w:rPr>
          <w:spacing w:val="-6"/>
        </w:rPr>
        <w:t>expense</w:t>
      </w:r>
      <w:r w:rsidR="00ED6360" w:rsidRPr="00642256">
        <w:rPr>
          <w:spacing w:val="-6"/>
        </w:rPr>
        <w:t>s</w:t>
      </w:r>
      <w:r w:rsidR="009C59CB" w:rsidRPr="00642256">
        <w:rPr>
          <w:spacing w:val="-6"/>
        </w:rPr>
        <w:t xml:space="preserve"> (captured by the vertical purple line in figure 17</w:t>
      </w:r>
      <w:r w:rsidR="00D76DF0" w:rsidRPr="00642256">
        <w:rPr>
          <w:spacing w:val="-6"/>
        </w:rPr>
        <w:t xml:space="preserve"> with a mid</w:t>
      </w:r>
      <w:r w:rsidR="00F640C8" w:rsidRPr="00642256">
        <w:rPr>
          <w:spacing w:val="-6"/>
        </w:rPr>
        <w:noBreakHyphen/>
      </w:r>
      <w:r w:rsidR="00D76DF0" w:rsidRPr="00642256">
        <w:rPr>
          <w:spacing w:val="-6"/>
        </w:rPr>
        <w:t xml:space="preserve">point value of </w:t>
      </w:r>
      <w:r w:rsidR="00F640C8" w:rsidRPr="00642256">
        <w:rPr>
          <w:spacing w:val="-6"/>
        </w:rPr>
        <w:noBreakHyphen/>
      </w:r>
      <w:r w:rsidR="00D76DF0" w:rsidRPr="00642256">
        <w:rPr>
          <w:spacing w:val="-6"/>
        </w:rPr>
        <w:t>2</w:t>
      </w:r>
      <w:r w:rsidR="009C59CB" w:rsidRPr="00642256">
        <w:rPr>
          <w:spacing w:val="-6"/>
        </w:rPr>
        <w:t>).</w:t>
      </w:r>
      <w:r w:rsidR="00ED6360" w:rsidRPr="00642256">
        <w:rPr>
          <w:spacing w:val="-6"/>
        </w:rPr>
        <w:t xml:space="preserve"> </w:t>
      </w:r>
      <w:r w:rsidR="009C59CB" w:rsidRPr="00642256">
        <w:rPr>
          <w:spacing w:val="-6"/>
        </w:rPr>
        <w:t>In contrast,</w:t>
      </w:r>
      <w:r w:rsidR="00C227B1" w:rsidRPr="00642256">
        <w:rPr>
          <w:spacing w:val="-6"/>
        </w:rPr>
        <w:t xml:space="preserve"> </w:t>
      </w:r>
      <w:r w:rsidR="003C475A" w:rsidRPr="00642256">
        <w:rPr>
          <w:spacing w:val="-6"/>
        </w:rPr>
        <w:t xml:space="preserve">median </w:t>
      </w:r>
      <w:r w:rsidR="00ED6360" w:rsidRPr="00642256">
        <w:rPr>
          <w:spacing w:val="-6"/>
        </w:rPr>
        <w:t xml:space="preserve">fees </w:t>
      </w:r>
      <w:r w:rsidR="009C59CB" w:rsidRPr="00642256">
        <w:rPr>
          <w:spacing w:val="-6"/>
        </w:rPr>
        <w:t>(capture</w:t>
      </w:r>
      <w:r w:rsidR="00FC3B76" w:rsidRPr="00642256">
        <w:rPr>
          <w:spacing w:val="-6"/>
        </w:rPr>
        <w:t>d</w:t>
      </w:r>
      <w:r w:rsidR="009C59CB" w:rsidRPr="00642256">
        <w:rPr>
          <w:spacing w:val="-6"/>
        </w:rPr>
        <w:t xml:space="preserve"> by the purple dot in each figure) </w:t>
      </w:r>
      <w:r w:rsidR="00C407C1" w:rsidRPr="00642256">
        <w:rPr>
          <w:spacing w:val="-6"/>
        </w:rPr>
        <w:t>barely changed</w:t>
      </w:r>
      <w:r w:rsidR="008B1955" w:rsidRPr="00642256">
        <w:rPr>
          <w:spacing w:val="-6"/>
        </w:rPr>
        <w:t xml:space="preserve"> and sit well above the top of the span of estimates for the median reduction in average expenses for both administration and investment</w:t>
      </w:r>
      <w:r w:rsidR="00360DC8" w:rsidRPr="00642256">
        <w:rPr>
          <w:spacing w:val="-6"/>
        </w:rPr>
        <w:t>.</w:t>
      </w:r>
    </w:p>
    <w:p w:rsidR="00FE2573" w:rsidRDefault="00FE2573" w:rsidP="00FE25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E2573" w:rsidTr="00FE2573">
        <w:trPr>
          <w:tblHeader/>
        </w:trPr>
        <w:tc>
          <w:tcPr>
            <w:tcW w:w="5000" w:type="pct"/>
            <w:tcBorders>
              <w:top w:val="single" w:sz="6" w:space="0" w:color="78A22F"/>
              <w:left w:val="nil"/>
              <w:bottom w:val="nil"/>
              <w:right w:val="nil"/>
            </w:tcBorders>
            <w:shd w:val="clear" w:color="auto" w:fill="auto"/>
          </w:tcPr>
          <w:p w:rsidR="00FE2573" w:rsidRDefault="00FE2573" w:rsidP="00FE2573">
            <w:pPr>
              <w:pStyle w:val="FigureTitle"/>
            </w:pPr>
            <w:r w:rsidRPr="00784A05">
              <w:rPr>
                <w:b w:val="0"/>
              </w:rPr>
              <w:t xml:space="preserve">Figure </w:t>
            </w:r>
            <w:bookmarkStart w:id="51" w:name="OLE_LINK40"/>
            <w:r w:rsidR="004325AA">
              <w:rPr>
                <w:b w:val="0"/>
                <w:noProof/>
              </w:rPr>
              <w:t>16</w:t>
            </w:r>
            <w:bookmarkEnd w:id="51"/>
            <w:r>
              <w:tab/>
            </w:r>
            <w:r w:rsidR="00F5494A">
              <w:t>Administration f</w:t>
            </w:r>
            <w:r w:rsidR="006F3366">
              <w:t xml:space="preserve">ees have increased despite </w:t>
            </w:r>
            <w:r w:rsidR="00823D06">
              <w:t xml:space="preserve">economies of scale </w:t>
            </w:r>
            <w:r w:rsidR="006F3366">
              <w:t xml:space="preserve">gains </w:t>
            </w:r>
            <w:r w:rsidR="00A0071F">
              <w:t xml:space="preserve">in </w:t>
            </w:r>
            <w:r w:rsidR="00AC19A3">
              <w:t>administration</w:t>
            </w:r>
            <w:r w:rsidR="00A0071F">
              <w:t xml:space="preserve"> </w:t>
            </w:r>
            <w:r w:rsidR="003972B0">
              <w:t>expenses</w:t>
            </w:r>
            <w:r w:rsidR="003972B0" w:rsidRPr="00587B4F">
              <w:rPr>
                <w:rStyle w:val="NoteLabel"/>
                <w:b/>
              </w:rPr>
              <w:t>a</w:t>
            </w:r>
          </w:p>
          <w:p w:rsidR="00FE2573" w:rsidRPr="00176D3F" w:rsidRDefault="0085172D" w:rsidP="000A22AF">
            <w:pPr>
              <w:pStyle w:val="Subtitle"/>
            </w:pPr>
            <w:r>
              <w:t>Median fee change</w:t>
            </w:r>
            <w:r w:rsidR="00823D06">
              <w:t>, basis points (bps),</w:t>
            </w:r>
            <w:r>
              <w:t xml:space="preserve"> compared with </w:t>
            </w:r>
            <w:r w:rsidR="000504F1">
              <w:t>size</w:t>
            </w:r>
            <w:r w:rsidR="000504F1">
              <w:noBreakHyphen/>
              <w:t xml:space="preserve">related changes in average </w:t>
            </w:r>
            <w:r w:rsidR="000A22AF">
              <w:t>expenses</w:t>
            </w:r>
            <w:r w:rsidR="00700065">
              <w:t xml:space="preserve"> over 2004</w:t>
            </w:r>
            <w:r w:rsidR="00823D06">
              <w:t>–</w:t>
            </w:r>
            <w:r w:rsidR="00573776">
              <w:t>20</w:t>
            </w:r>
            <w:r w:rsidR="00700065">
              <w:t>17</w:t>
            </w:r>
          </w:p>
        </w:tc>
      </w:tr>
      <w:tr w:rsidR="00FE2573" w:rsidTr="00F7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E2573" w:rsidRPr="00B1465D" w:rsidTr="00FE2573">
              <w:trPr>
                <w:tblHeader/>
                <w:jc w:val="center"/>
              </w:trPr>
              <w:tc>
                <w:tcPr>
                  <w:tcW w:w="5000" w:type="pct"/>
                  <w:tcBorders>
                    <w:top w:val="nil"/>
                    <w:bottom w:val="nil"/>
                  </w:tcBorders>
                </w:tcPr>
                <w:p w:rsidR="00FE2573" w:rsidRDefault="00EF4FBD" w:rsidP="00FE2573">
                  <w:pPr>
                    <w:pStyle w:val="Figure"/>
                    <w:spacing w:before="60" w:after="60"/>
                    <w:rPr>
                      <w:rFonts w:ascii="Arial" w:hAnsi="Arial" w:cs="Arial"/>
                      <w:sz w:val="18"/>
                      <w:szCs w:val="18"/>
                    </w:rPr>
                  </w:pPr>
                  <w:r w:rsidRPr="00EF4FBD">
                    <w:rPr>
                      <w:rFonts w:ascii="Arial" w:hAnsi="Arial" w:cs="Arial"/>
                      <w:noProof/>
                      <w:sz w:val="18"/>
                      <w:szCs w:val="18"/>
                    </w:rPr>
                    <w:drawing>
                      <wp:inline distT="0" distB="0" distL="0" distR="0" wp14:anchorId="4882B906" wp14:editId="5A00EBCD">
                        <wp:extent cx="5516880" cy="2872740"/>
                        <wp:effectExtent l="0" t="0" r="0" b="0"/>
                        <wp:docPr id="63" name="Picture 63" descr="For each fund type and the system, the figure shows the median of actual changes in administration fees as a dot. It also shows the range of each fund's median estimated change in average administration expenses due to size only, along with the median of the fund medians as an error bar. For the system and all fund types, the estimated change in average cost lies below the actual change in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6880" cy="287274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791743" w:rsidTr="00F05DCC">
                    <w:trPr>
                      <w:tblHeader/>
                    </w:trPr>
                    <w:tc>
                      <w:tcPr>
                        <w:tcW w:w="1559" w:type="dxa"/>
                        <w:shd w:val="clear" w:color="auto" w:fill="F2F2F2" w:themeFill="background1" w:themeFillShade="F2"/>
                      </w:tcPr>
                      <w:p w:rsidR="00791743" w:rsidRDefault="00573776" w:rsidP="0079174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rsidR="00791743" w:rsidRDefault="00791743" w:rsidP="00F05DCC">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w:t>
                        </w:r>
                        <w:r w:rsidR="00F05DCC">
                          <w:rPr>
                            <w:rFonts w:ascii="Arial" w:eastAsia="+mn-ea" w:hAnsi="Arial" w:cs="Arial"/>
                            <w:color w:val="000000" w:themeColor="text1"/>
                            <w:kern w:val="24"/>
                            <w:sz w:val="18"/>
                            <w:szCs w:val="18"/>
                          </w:rPr>
                          <w:t xml:space="preserve">SuperRatings and </w:t>
                        </w:r>
                        <w:r>
                          <w:rPr>
                            <w:rFonts w:ascii="Arial" w:eastAsia="+mn-ea" w:hAnsi="Arial" w:cs="Arial"/>
                            <w:color w:val="000000" w:themeColor="text1"/>
                            <w:kern w:val="24"/>
                            <w:sz w:val="18"/>
                            <w:szCs w:val="18"/>
                          </w:rPr>
                          <w:t>APRA</w:t>
                        </w:r>
                        <w:r w:rsidR="00573776">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data</w:t>
                        </w:r>
                        <w:r w:rsidR="00573776">
                          <w:rPr>
                            <w:rFonts w:ascii="Arial" w:eastAsia="+mn-ea" w:hAnsi="Arial" w:cs="Arial"/>
                            <w:color w:val="000000" w:themeColor="text1"/>
                            <w:kern w:val="24"/>
                            <w:sz w:val="18"/>
                            <w:szCs w:val="18"/>
                          </w:rPr>
                          <w:t>.</w:t>
                        </w:r>
                      </w:p>
                    </w:tc>
                  </w:tr>
                  <w:tr w:rsidR="00791743" w:rsidRPr="001F53B0" w:rsidTr="00F05DCC">
                    <w:tc>
                      <w:tcPr>
                        <w:tcW w:w="1559" w:type="dxa"/>
                        <w:shd w:val="clear" w:color="auto" w:fill="F2F2F2" w:themeFill="background1" w:themeFillShade="F2"/>
                      </w:tcPr>
                      <w:p w:rsidR="00791743" w:rsidRDefault="00791743" w:rsidP="0079174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791743" w:rsidRPr="001F53B0" w:rsidRDefault="00455A39" w:rsidP="00E0325F">
                        <w:pPr>
                          <w:pStyle w:val="Figure"/>
                          <w:spacing w:before="0" w:after="0"/>
                          <w:jc w:val="left"/>
                          <w:rPr>
                            <w:color w:val="000000" w:themeColor="text1"/>
                          </w:rPr>
                        </w:pPr>
                        <w:r>
                          <w:rPr>
                            <w:rFonts w:ascii="Arial" w:eastAsia="+mn-ea" w:hAnsi="Arial" w:cs="Arial"/>
                            <w:color w:val="000000" w:themeColor="text1"/>
                            <w:kern w:val="24"/>
                            <w:sz w:val="18"/>
                            <w:szCs w:val="18"/>
                          </w:rPr>
                          <w:t>118</w:t>
                        </w:r>
                        <w:r w:rsidR="00CC76DD" w:rsidRPr="00BF2E25">
                          <w:rPr>
                            <w:rFonts w:ascii="Arial" w:hAnsi="Arial"/>
                            <w:color w:val="000000" w:themeColor="text1"/>
                            <w:kern w:val="24"/>
                            <w:sz w:val="18"/>
                          </w:rPr>
                          <w:t xml:space="preserve"> </w:t>
                        </w:r>
                        <w:r w:rsidR="00791743" w:rsidRPr="00BF2E25">
                          <w:rPr>
                            <w:rFonts w:ascii="Arial" w:hAnsi="Arial"/>
                            <w:color w:val="000000" w:themeColor="text1"/>
                            <w:kern w:val="24"/>
                            <w:sz w:val="18"/>
                          </w:rPr>
                          <w:t xml:space="preserve">funds representing </w:t>
                        </w:r>
                        <w:r w:rsidR="00EE76F8">
                          <w:rPr>
                            <w:rFonts w:ascii="Arial" w:eastAsia="+mn-ea" w:hAnsi="Arial" w:cs="Arial"/>
                            <w:color w:val="000000" w:themeColor="text1"/>
                            <w:kern w:val="24"/>
                            <w:sz w:val="18"/>
                            <w:szCs w:val="18"/>
                          </w:rPr>
                          <w:t>81 </w:t>
                        </w:r>
                        <w:r>
                          <w:rPr>
                            <w:rFonts w:ascii="Arial" w:eastAsia="+mn-ea" w:hAnsi="Arial" w:cs="Arial"/>
                            <w:color w:val="000000" w:themeColor="text1"/>
                            <w:kern w:val="24"/>
                            <w:sz w:val="18"/>
                            <w:szCs w:val="18"/>
                          </w:rPr>
                          <w:t xml:space="preserve">per cent and </w:t>
                        </w:r>
                        <w:r w:rsidR="00EE76F8">
                          <w:rPr>
                            <w:rFonts w:ascii="Arial" w:eastAsia="+mn-ea" w:hAnsi="Arial" w:cs="Arial"/>
                            <w:color w:val="000000" w:themeColor="text1"/>
                            <w:kern w:val="24"/>
                            <w:sz w:val="18"/>
                            <w:szCs w:val="18"/>
                          </w:rPr>
                          <w:t>39</w:t>
                        </w:r>
                        <w:r w:rsidR="00EE76F8" w:rsidRPr="00BF2E25">
                          <w:rPr>
                            <w:rFonts w:ascii="Arial" w:hAnsi="Arial"/>
                            <w:color w:val="000000" w:themeColor="text1"/>
                            <w:kern w:val="24"/>
                            <w:sz w:val="18"/>
                          </w:rPr>
                          <w:t> </w:t>
                        </w:r>
                        <w:r w:rsidR="00791743" w:rsidRPr="00BF2E25">
                          <w:rPr>
                            <w:rFonts w:ascii="Arial" w:hAnsi="Arial"/>
                            <w:color w:val="000000" w:themeColor="text1"/>
                            <w:kern w:val="24"/>
                            <w:sz w:val="18"/>
                          </w:rPr>
                          <w:t xml:space="preserve">per cent of the system </w:t>
                        </w:r>
                        <w:r w:rsidR="00EE76F8">
                          <w:rPr>
                            <w:rFonts w:ascii="Arial" w:hAnsi="Arial"/>
                            <w:color w:val="000000" w:themeColor="text1"/>
                            <w:kern w:val="24"/>
                            <w:sz w:val="18"/>
                          </w:rPr>
                          <w:t>by assets</w:t>
                        </w:r>
                        <w:r w:rsidR="00791743" w:rsidRPr="00BF2E25">
                          <w:rPr>
                            <w:rFonts w:ascii="Arial" w:hAnsi="Arial"/>
                            <w:color w:val="000000" w:themeColor="text1"/>
                            <w:kern w:val="24"/>
                            <w:sz w:val="18"/>
                          </w:rPr>
                          <w:t xml:space="preserve"> in 2015</w:t>
                        </w:r>
                        <w:r w:rsidR="00F640C8">
                          <w:rPr>
                            <w:rFonts w:ascii="Arial" w:hAnsi="Arial"/>
                            <w:color w:val="000000" w:themeColor="text1"/>
                            <w:kern w:val="24"/>
                            <w:sz w:val="18"/>
                          </w:rPr>
                          <w:noBreakHyphen/>
                        </w:r>
                        <w:r w:rsidR="00791743"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06 respectively for administration and investment. Excludes funds with less than two years of data</w:t>
                        </w:r>
                        <w:r w:rsidR="00791743" w:rsidRPr="00BF2E25">
                          <w:rPr>
                            <w:rFonts w:ascii="Arial" w:hAnsi="Arial"/>
                            <w:color w:val="000000" w:themeColor="text1"/>
                            <w:kern w:val="24"/>
                            <w:sz w:val="18"/>
                          </w:rPr>
                          <w:t>.</w:t>
                        </w:r>
                      </w:p>
                    </w:tc>
                  </w:tr>
                  <w:tr w:rsidR="00DB0C3A" w:rsidRPr="001F53B0" w:rsidTr="00C33A79">
                    <w:tc>
                      <w:tcPr>
                        <w:tcW w:w="1559" w:type="dxa"/>
                        <w:shd w:val="clear" w:color="auto" w:fill="F2F2F2" w:themeFill="background1" w:themeFillShade="F2"/>
                      </w:tcPr>
                      <w:p w:rsidR="00DB0C3A" w:rsidRPr="002D6D85" w:rsidRDefault="00DB0C3A" w:rsidP="00DB0C3A">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r>
                </w:tbl>
                <w:p w:rsidR="00FE2573" w:rsidRPr="00B1465D" w:rsidRDefault="00FE2573" w:rsidP="00FE2573">
                  <w:pPr>
                    <w:pStyle w:val="Figure"/>
                    <w:spacing w:before="60" w:after="60"/>
                    <w:rPr>
                      <w:rFonts w:ascii="Arial" w:hAnsi="Arial" w:cs="Arial"/>
                      <w:sz w:val="18"/>
                      <w:szCs w:val="18"/>
                    </w:rPr>
                  </w:pPr>
                </w:p>
              </w:tc>
            </w:tr>
          </w:tbl>
          <w:p w:rsidR="00FE2573" w:rsidRDefault="00FE2573" w:rsidP="00FE2573">
            <w:pPr>
              <w:pStyle w:val="Figure"/>
            </w:pPr>
          </w:p>
        </w:tc>
      </w:tr>
      <w:tr w:rsidR="00017B87" w:rsidTr="00F71DF5">
        <w:tc>
          <w:tcPr>
            <w:tcW w:w="5000" w:type="pct"/>
            <w:tcBorders>
              <w:top w:val="nil"/>
              <w:left w:val="nil"/>
              <w:bottom w:val="nil"/>
              <w:right w:val="nil"/>
            </w:tcBorders>
            <w:shd w:val="clear" w:color="auto" w:fill="auto"/>
          </w:tcPr>
          <w:p w:rsidR="00017B87" w:rsidRPr="00642256" w:rsidRDefault="00017B87" w:rsidP="00642256">
            <w:pPr>
              <w:pStyle w:val="Note"/>
              <w:spacing w:line="200" w:lineRule="exact"/>
              <w:rPr>
                <w:spacing w:val="-10"/>
              </w:rPr>
            </w:pPr>
            <w:r w:rsidRPr="00642256">
              <w:rPr>
                <w:rStyle w:val="NoteLabel"/>
                <w:spacing w:val="-10"/>
              </w:rPr>
              <w:t>a</w:t>
            </w:r>
            <w:r w:rsidRPr="00642256">
              <w:rPr>
                <w:spacing w:val="-10"/>
              </w:rPr>
              <w:t xml:space="preserve"> Dots capture the median </w:t>
            </w:r>
            <w:r w:rsidR="005C2B5A" w:rsidRPr="00642256">
              <w:rPr>
                <w:spacing w:val="-10"/>
              </w:rPr>
              <w:t xml:space="preserve">of </w:t>
            </w:r>
            <w:r w:rsidRPr="00642256">
              <w:rPr>
                <w:spacing w:val="-10"/>
              </w:rPr>
              <w:t>actual fee change</w:t>
            </w:r>
            <w:r w:rsidR="00F520B9" w:rsidRPr="00642256">
              <w:rPr>
                <w:spacing w:val="-10"/>
              </w:rPr>
              <w:t>s</w:t>
            </w:r>
            <w:r w:rsidRPr="00642256">
              <w:rPr>
                <w:spacing w:val="-10"/>
              </w:rPr>
              <w:t xml:space="preserve"> within the system or a segment between 2004 and 2017. Lines represent the 95 per cent range for </w:t>
            </w:r>
            <w:r w:rsidR="00242549" w:rsidRPr="00642256">
              <w:rPr>
                <w:spacing w:val="-10"/>
              </w:rPr>
              <w:t>fund</w:t>
            </w:r>
            <w:r w:rsidR="00F640C8" w:rsidRPr="00642256">
              <w:rPr>
                <w:spacing w:val="-10"/>
              </w:rPr>
              <w:noBreakHyphen/>
            </w:r>
            <w:r w:rsidR="00242549" w:rsidRPr="00642256">
              <w:rPr>
                <w:spacing w:val="-10"/>
              </w:rPr>
              <w:t xml:space="preserve">level </w:t>
            </w:r>
            <w:r w:rsidRPr="00642256">
              <w:rPr>
                <w:spacing w:val="-10"/>
              </w:rPr>
              <w:t xml:space="preserve">estimates of the median change in expenses associated with changes in scale over this period. Crosses represent the </w:t>
            </w:r>
            <w:r w:rsidR="00BE1C6E" w:rsidRPr="00642256">
              <w:rPr>
                <w:spacing w:val="-10"/>
              </w:rPr>
              <w:t>median of that range.</w:t>
            </w:r>
            <w:r w:rsidR="00D75839" w:rsidRPr="00642256">
              <w:rPr>
                <w:spacing w:val="-10"/>
              </w:rPr>
              <w:t xml:space="preserve"> The </w:t>
            </w:r>
            <w:r w:rsidR="0008063E" w:rsidRPr="00642256">
              <w:rPr>
                <w:spacing w:val="-10"/>
              </w:rPr>
              <w:t xml:space="preserve">time period for the </w:t>
            </w:r>
            <w:r w:rsidR="00D75839" w:rsidRPr="00642256">
              <w:rPr>
                <w:spacing w:val="-10"/>
              </w:rPr>
              <w:t xml:space="preserve">actual change in fees </w:t>
            </w:r>
            <w:r w:rsidR="0008063E" w:rsidRPr="00642256">
              <w:rPr>
                <w:spacing w:val="-10"/>
              </w:rPr>
              <w:t xml:space="preserve">can differ between </w:t>
            </w:r>
            <w:r w:rsidR="00D75839" w:rsidRPr="00642256">
              <w:rPr>
                <w:spacing w:val="-10"/>
              </w:rPr>
              <w:t>fund</w:t>
            </w:r>
            <w:r w:rsidR="0008063E" w:rsidRPr="00642256">
              <w:rPr>
                <w:spacing w:val="-10"/>
              </w:rPr>
              <w:t>s</w:t>
            </w:r>
            <w:r w:rsidR="00D75839" w:rsidRPr="00642256">
              <w:rPr>
                <w:spacing w:val="-10"/>
              </w:rPr>
              <w:t>, depending on when they entered/exit</w:t>
            </w:r>
            <w:r w:rsidR="00655794" w:rsidRPr="00642256">
              <w:rPr>
                <w:spacing w:val="-10"/>
              </w:rPr>
              <w:t>ed</w:t>
            </w:r>
            <w:r w:rsidR="00D75839" w:rsidRPr="00642256">
              <w:rPr>
                <w:spacing w:val="-10"/>
              </w:rPr>
              <w:t>.</w:t>
            </w:r>
            <w:r w:rsidR="00EF49D7" w:rsidRPr="00642256">
              <w:rPr>
                <w:spacing w:val="-10"/>
              </w:rPr>
              <w:t xml:space="preserve"> </w:t>
            </w:r>
            <w:r w:rsidR="00EF49D7" w:rsidRPr="00642256">
              <w:rPr>
                <w:rStyle w:val="NoteLabel"/>
                <w:spacing w:val="-10"/>
              </w:rPr>
              <w:t>b</w:t>
            </w:r>
            <w:r w:rsidR="00EF49D7" w:rsidRPr="00642256">
              <w:rPr>
                <w:spacing w:val="-10"/>
              </w:rPr>
              <w:t xml:space="preserve"> Mid</w:t>
            </w:r>
            <w:r w:rsidR="00F640C8" w:rsidRPr="00642256">
              <w:rPr>
                <w:spacing w:val="-10"/>
              </w:rPr>
              <w:noBreakHyphen/>
            </w:r>
            <w:r w:rsidR="00EF49D7" w:rsidRPr="00642256">
              <w:rPr>
                <w:spacing w:val="-10"/>
              </w:rPr>
              <w:t>point represents the 50</w:t>
            </w:r>
            <w:r w:rsidR="00EF49D7" w:rsidRPr="00642256">
              <w:rPr>
                <w:spacing w:val="-10"/>
                <w:vertAlign w:val="superscript"/>
              </w:rPr>
              <w:t>th</w:t>
            </w:r>
            <w:r w:rsidR="00EF49D7" w:rsidRPr="00642256">
              <w:rPr>
                <w:spacing w:val="-10"/>
              </w:rPr>
              <w:t xml:space="preserve"> percentile of the estimated range.</w:t>
            </w:r>
          </w:p>
        </w:tc>
      </w:tr>
      <w:tr w:rsidR="00FE2573" w:rsidTr="00F71DF5">
        <w:tc>
          <w:tcPr>
            <w:tcW w:w="5000" w:type="pct"/>
            <w:tcBorders>
              <w:top w:val="nil"/>
              <w:left w:val="nil"/>
              <w:bottom w:val="single" w:sz="6" w:space="0" w:color="78A22F"/>
              <w:right w:val="nil"/>
            </w:tcBorders>
            <w:shd w:val="clear" w:color="auto" w:fill="auto"/>
          </w:tcPr>
          <w:p w:rsidR="00FE2573" w:rsidRDefault="00FE2573" w:rsidP="00FE2573">
            <w:pPr>
              <w:pStyle w:val="Figurespace"/>
            </w:pPr>
          </w:p>
        </w:tc>
      </w:tr>
      <w:tr w:rsidR="00FE2573" w:rsidRPr="000863A5" w:rsidTr="00FE2573">
        <w:tc>
          <w:tcPr>
            <w:tcW w:w="5000" w:type="pct"/>
            <w:tcBorders>
              <w:top w:val="single" w:sz="6" w:space="0" w:color="78A22F"/>
              <w:left w:val="nil"/>
              <w:bottom w:val="nil"/>
              <w:right w:val="nil"/>
            </w:tcBorders>
          </w:tcPr>
          <w:p w:rsidR="00FE2573" w:rsidRPr="00626D32" w:rsidRDefault="00FE2573" w:rsidP="00FE2573">
            <w:pPr>
              <w:pStyle w:val="BoxSpaceBelow"/>
            </w:pPr>
          </w:p>
        </w:tc>
      </w:tr>
    </w:tbl>
    <w:p w:rsidR="00FE2573" w:rsidRDefault="00FE2573" w:rsidP="00FE25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E2573" w:rsidTr="00FE2573">
        <w:trPr>
          <w:tblHeader/>
        </w:trPr>
        <w:tc>
          <w:tcPr>
            <w:tcW w:w="5000" w:type="pct"/>
            <w:tcBorders>
              <w:top w:val="single" w:sz="6" w:space="0" w:color="78A22F"/>
              <w:left w:val="nil"/>
              <w:bottom w:val="nil"/>
              <w:right w:val="nil"/>
            </w:tcBorders>
            <w:shd w:val="clear" w:color="auto" w:fill="auto"/>
          </w:tcPr>
          <w:p w:rsidR="00FE2573" w:rsidRDefault="00FE2573" w:rsidP="00FE2573">
            <w:pPr>
              <w:pStyle w:val="FigureTitle"/>
            </w:pPr>
            <w:r w:rsidRPr="00784A05">
              <w:rPr>
                <w:b w:val="0"/>
              </w:rPr>
              <w:t xml:space="preserve">Figure </w:t>
            </w:r>
            <w:bookmarkStart w:id="52" w:name="OLE_LINK41"/>
            <w:r w:rsidR="004325AA">
              <w:rPr>
                <w:b w:val="0"/>
                <w:noProof/>
              </w:rPr>
              <w:t>17</w:t>
            </w:r>
            <w:bookmarkEnd w:id="52"/>
            <w:r>
              <w:tab/>
            </w:r>
            <w:r w:rsidR="00F5494A">
              <w:t>Investment f</w:t>
            </w:r>
            <w:r w:rsidR="005A59E2">
              <w:t xml:space="preserve">ees have increased despite economies of scale gains in </w:t>
            </w:r>
            <w:r w:rsidR="007302B8">
              <w:t xml:space="preserve">investment </w:t>
            </w:r>
            <w:r w:rsidR="005A59E2">
              <w:t>expenses</w:t>
            </w:r>
            <w:r w:rsidR="006F3366">
              <w:t>, though th</w:t>
            </w:r>
            <w:r w:rsidR="005A59E2">
              <w:t>ose</w:t>
            </w:r>
            <w:r w:rsidR="006F3366">
              <w:t xml:space="preserve"> gains are smaller</w:t>
            </w:r>
            <w:r w:rsidR="003C1533" w:rsidRPr="003C1533">
              <w:rPr>
                <w:rStyle w:val="NoteLabel"/>
                <w:b/>
              </w:rPr>
              <w:t>a</w:t>
            </w:r>
            <w:r w:rsidR="003C1533">
              <w:rPr>
                <w:rStyle w:val="NoteLabel"/>
                <w:b/>
              </w:rPr>
              <w:t>,b</w:t>
            </w:r>
            <w:r w:rsidR="00EF49D7">
              <w:rPr>
                <w:rStyle w:val="NoteLabel"/>
                <w:b/>
              </w:rPr>
              <w:t>,c</w:t>
            </w:r>
          </w:p>
          <w:p w:rsidR="00FE2573" w:rsidRPr="00176D3F" w:rsidRDefault="000504F1" w:rsidP="00FE2573">
            <w:pPr>
              <w:pStyle w:val="Subtitle"/>
            </w:pPr>
            <w:r>
              <w:t>Median fee change</w:t>
            </w:r>
            <w:r w:rsidR="00823D06">
              <w:t>, basis points (bps)</w:t>
            </w:r>
            <w:r>
              <w:t xml:space="preserve"> compared with size</w:t>
            </w:r>
            <w:r>
              <w:noBreakHyphen/>
              <w:t>related changes in average costs</w:t>
            </w:r>
            <w:r w:rsidR="00700065">
              <w:t xml:space="preserve"> over 2004</w:t>
            </w:r>
            <w:r w:rsidR="00823D06">
              <w:t>–</w:t>
            </w:r>
            <w:r w:rsidR="00573776">
              <w:t>20</w:t>
            </w:r>
            <w:r w:rsidR="00700065">
              <w:t>17</w:t>
            </w:r>
          </w:p>
        </w:tc>
      </w:tr>
      <w:tr w:rsidR="00FE2573" w:rsidTr="00F7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E2573" w:rsidRPr="00B1465D" w:rsidTr="00FE2573">
              <w:trPr>
                <w:tblHeader/>
                <w:jc w:val="center"/>
              </w:trPr>
              <w:tc>
                <w:tcPr>
                  <w:tcW w:w="5000" w:type="pct"/>
                  <w:tcBorders>
                    <w:top w:val="nil"/>
                    <w:bottom w:val="nil"/>
                  </w:tcBorders>
                </w:tcPr>
                <w:p w:rsidR="00FE2573" w:rsidRDefault="00EF4FBD" w:rsidP="00FE2573">
                  <w:pPr>
                    <w:pStyle w:val="Figure"/>
                    <w:spacing w:before="60" w:after="60"/>
                    <w:rPr>
                      <w:rFonts w:ascii="Arial" w:hAnsi="Arial" w:cs="Arial"/>
                      <w:sz w:val="18"/>
                      <w:szCs w:val="18"/>
                    </w:rPr>
                  </w:pPr>
                  <w:r w:rsidRPr="00EF4FBD">
                    <w:rPr>
                      <w:rFonts w:ascii="Arial" w:hAnsi="Arial" w:cs="Arial"/>
                      <w:noProof/>
                      <w:sz w:val="18"/>
                      <w:szCs w:val="18"/>
                    </w:rPr>
                    <w:drawing>
                      <wp:inline distT="0" distB="0" distL="0" distR="0" wp14:anchorId="70630265" wp14:editId="215FBE40">
                        <wp:extent cx="5402580" cy="2777737"/>
                        <wp:effectExtent l="0" t="0" r="0" b="0"/>
                        <wp:docPr id="64" name="Picture 64" descr="For each fund type and the system, the figure shows the median of actual changes in investment fees as a dot. It also shows the range of each fund's median estimated change in average investment expense due to size only, along with the median of the fund medians as an error bar. For the system and all fund types, the estimated change in average cost lies below the actual change in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307"/>
                                <a:stretch/>
                              </pic:blipFill>
                              <pic:spPr bwMode="auto">
                                <a:xfrm>
                                  <a:off x="0" y="0"/>
                                  <a:ext cx="5402580" cy="277773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DB0C3A" w:rsidTr="00C33A79">
                    <w:trPr>
                      <w:tblHeader/>
                    </w:trPr>
                    <w:tc>
                      <w:tcPr>
                        <w:tcW w:w="1559"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SuperRatings and APRA</w:t>
                        </w:r>
                        <w:r w:rsidR="00573776">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data</w:t>
                        </w:r>
                        <w:r w:rsidR="00573776">
                          <w:rPr>
                            <w:rFonts w:ascii="Arial" w:eastAsia="+mn-ea" w:hAnsi="Arial" w:cs="Arial"/>
                            <w:color w:val="000000" w:themeColor="text1"/>
                            <w:kern w:val="24"/>
                            <w:sz w:val="18"/>
                            <w:szCs w:val="18"/>
                          </w:rPr>
                          <w:t>.</w:t>
                        </w:r>
                      </w:p>
                    </w:tc>
                  </w:tr>
                  <w:tr w:rsidR="00DB0C3A" w:rsidRPr="001F53B0" w:rsidTr="00C33A79">
                    <w:tc>
                      <w:tcPr>
                        <w:tcW w:w="1559"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DB0C3A" w:rsidRPr="001F53B0" w:rsidRDefault="00455A39" w:rsidP="00DB0C3A">
                        <w:pPr>
                          <w:pStyle w:val="Figure"/>
                          <w:spacing w:before="0" w:after="0"/>
                          <w:jc w:val="left"/>
                          <w:rPr>
                            <w:color w:val="000000" w:themeColor="text1"/>
                          </w:rPr>
                        </w:pPr>
                        <w:r>
                          <w:rPr>
                            <w:rFonts w:ascii="Arial" w:eastAsia="+mn-ea" w:hAnsi="Arial" w:cs="Arial"/>
                            <w:color w:val="000000" w:themeColor="text1"/>
                            <w:kern w:val="24"/>
                            <w:sz w:val="18"/>
                            <w:szCs w:val="18"/>
                          </w:rPr>
                          <w:t>118</w:t>
                        </w:r>
                        <w:r w:rsidR="00CC76DD" w:rsidRPr="00BF2E25">
                          <w:rPr>
                            <w:rFonts w:ascii="Arial" w:hAnsi="Arial"/>
                            <w:color w:val="000000" w:themeColor="text1"/>
                            <w:kern w:val="24"/>
                            <w:sz w:val="18"/>
                          </w:rPr>
                          <w:t xml:space="preserve"> </w:t>
                        </w:r>
                        <w:r w:rsidR="00DB0C3A" w:rsidRPr="00BF2E25">
                          <w:rPr>
                            <w:rFonts w:ascii="Arial" w:hAnsi="Arial"/>
                            <w:color w:val="000000" w:themeColor="text1"/>
                            <w:kern w:val="24"/>
                            <w:sz w:val="18"/>
                          </w:rPr>
                          <w:t xml:space="preserve">funds representing </w:t>
                        </w:r>
                        <w:r w:rsidR="002466F2">
                          <w:rPr>
                            <w:rFonts w:ascii="Arial" w:eastAsia="+mn-ea" w:hAnsi="Arial" w:cs="Arial"/>
                            <w:color w:val="000000" w:themeColor="text1"/>
                            <w:kern w:val="24"/>
                            <w:sz w:val="18"/>
                            <w:szCs w:val="18"/>
                          </w:rPr>
                          <w:t>81 </w:t>
                        </w:r>
                        <w:r>
                          <w:rPr>
                            <w:rFonts w:ascii="Arial" w:eastAsia="+mn-ea" w:hAnsi="Arial" w:cs="Arial"/>
                            <w:color w:val="000000" w:themeColor="text1"/>
                            <w:kern w:val="24"/>
                            <w:sz w:val="18"/>
                            <w:szCs w:val="18"/>
                          </w:rPr>
                          <w:t xml:space="preserve">per cent and </w:t>
                        </w:r>
                        <w:r w:rsidR="002466F2">
                          <w:rPr>
                            <w:rFonts w:ascii="Arial" w:eastAsia="+mn-ea" w:hAnsi="Arial" w:cs="Arial"/>
                            <w:color w:val="000000" w:themeColor="text1"/>
                            <w:kern w:val="24"/>
                            <w:sz w:val="18"/>
                            <w:szCs w:val="18"/>
                          </w:rPr>
                          <w:t>39</w:t>
                        </w:r>
                        <w:r w:rsidR="002466F2" w:rsidRPr="00BF2E25">
                          <w:rPr>
                            <w:rFonts w:ascii="Arial" w:hAnsi="Arial"/>
                            <w:color w:val="000000" w:themeColor="text1"/>
                            <w:kern w:val="24"/>
                            <w:sz w:val="18"/>
                          </w:rPr>
                          <w:t> </w:t>
                        </w:r>
                        <w:r w:rsidR="00DB0C3A" w:rsidRPr="00BF2E25">
                          <w:rPr>
                            <w:rFonts w:ascii="Arial" w:hAnsi="Arial"/>
                            <w:color w:val="000000" w:themeColor="text1"/>
                            <w:kern w:val="24"/>
                            <w:sz w:val="18"/>
                          </w:rPr>
                          <w:t xml:space="preserve">per cent of the system </w:t>
                        </w:r>
                        <w:r w:rsidR="002466F2">
                          <w:rPr>
                            <w:rFonts w:ascii="Arial" w:hAnsi="Arial"/>
                            <w:color w:val="000000" w:themeColor="text1"/>
                            <w:kern w:val="24"/>
                            <w:sz w:val="18"/>
                          </w:rPr>
                          <w:t>by assets</w:t>
                        </w:r>
                        <w:r w:rsidR="00DB0C3A" w:rsidRPr="00BF2E25">
                          <w:rPr>
                            <w:rFonts w:ascii="Arial" w:hAnsi="Arial"/>
                            <w:color w:val="000000" w:themeColor="text1"/>
                            <w:kern w:val="24"/>
                            <w:sz w:val="18"/>
                          </w:rPr>
                          <w:t xml:space="preserve"> in 2015</w:t>
                        </w:r>
                        <w:r w:rsidR="00F640C8">
                          <w:rPr>
                            <w:rFonts w:ascii="Arial" w:hAnsi="Arial"/>
                            <w:color w:val="000000" w:themeColor="text1"/>
                            <w:kern w:val="24"/>
                            <w:sz w:val="18"/>
                          </w:rPr>
                          <w:noBreakHyphen/>
                        </w:r>
                        <w:r w:rsidR="00DB0C3A"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06 respectively for administration and investment. Excludes funds with less than two years of data</w:t>
                        </w:r>
                        <w:r w:rsidR="00DB0C3A" w:rsidRPr="00BF2E25">
                          <w:rPr>
                            <w:rFonts w:ascii="Arial" w:hAnsi="Arial"/>
                            <w:color w:val="000000" w:themeColor="text1"/>
                            <w:kern w:val="24"/>
                            <w:sz w:val="18"/>
                          </w:rPr>
                          <w:t>.</w:t>
                        </w:r>
                      </w:p>
                    </w:tc>
                  </w:tr>
                  <w:tr w:rsidR="00DB0C3A" w:rsidTr="00C33A79">
                    <w:tc>
                      <w:tcPr>
                        <w:tcW w:w="1559" w:type="dxa"/>
                        <w:shd w:val="clear" w:color="auto" w:fill="F2F2F2" w:themeFill="background1" w:themeFillShade="F2"/>
                      </w:tcPr>
                      <w:p w:rsidR="00DB0C3A" w:rsidRPr="002D6D85" w:rsidRDefault="00DB0C3A" w:rsidP="00DB0C3A">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r>
                </w:tbl>
                <w:p w:rsidR="00FE2573" w:rsidRPr="00B1465D" w:rsidRDefault="00FE2573" w:rsidP="00FE2573">
                  <w:pPr>
                    <w:pStyle w:val="Figure"/>
                    <w:spacing w:before="60" w:after="60"/>
                    <w:rPr>
                      <w:rFonts w:ascii="Arial" w:hAnsi="Arial" w:cs="Arial"/>
                      <w:sz w:val="18"/>
                      <w:szCs w:val="18"/>
                    </w:rPr>
                  </w:pPr>
                </w:p>
              </w:tc>
            </w:tr>
          </w:tbl>
          <w:p w:rsidR="00FE2573" w:rsidRDefault="00FE2573" w:rsidP="00FE2573">
            <w:pPr>
              <w:pStyle w:val="Figure"/>
            </w:pPr>
          </w:p>
        </w:tc>
      </w:tr>
      <w:tr w:rsidR="003C1533" w:rsidTr="00F71DF5">
        <w:tc>
          <w:tcPr>
            <w:tcW w:w="5000" w:type="pct"/>
            <w:tcBorders>
              <w:top w:val="nil"/>
              <w:left w:val="nil"/>
              <w:bottom w:val="nil"/>
              <w:right w:val="nil"/>
            </w:tcBorders>
            <w:shd w:val="clear" w:color="auto" w:fill="auto"/>
          </w:tcPr>
          <w:p w:rsidR="003C1533" w:rsidRDefault="003C1533" w:rsidP="00771D12">
            <w:pPr>
              <w:pStyle w:val="Note"/>
            </w:pPr>
            <w:r w:rsidRPr="00771D12">
              <w:rPr>
                <w:rStyle w:val="NoteLabel"/>
              </w:rPr>
              <w:t>a</w:t>
            </w:r>
            <w:r w:rsidRPr="003C1533">
              <w:t xml:space="preserve"> Dots capture the median of actual fee change within the system or a segment between 2004 and 2017. Lines represent the 95 per cent range for fund</w:t>
            </w:r>
            <w:r w:rsidR="00F640C8">
              <w:noBreakHyphen/>
            </w:r>
            <w:r w:rsidRPr="003C1533">
              <w:t>level estimates of the median change in expenses associated with changes in scale over this period. Crosses represent the median of that range. The time period for the actual change in fees can differ between funds, depending on when they entered/exited</w:t>
            </w:r>
            <w:r>
              <w:t xml:space="preserve"> and</w:t>
            </w:r>
            <w:r w:rsidRPr="003C1533">
              <w:t>.</w:t>
            </w:r>
            <w:r w:rsidRPr="00BD1F3A">
              <w:rPr>
                <w:rStyle w:val="NoteLabel"/>
              </w:rPr>
              <w:t xml:space="preserve"> </w:t>
            </w:r>
            <w:r>
              <w:rPr>
                <w:rStyle w:val="NoteLabel"/>
              </w:rPr>
              <w:t xml:space="preserve">b </w:t>
            </w:r>
            <w:r>
              <w:t>Over the period, average investment fees in investment reduced for the retail segment</w:t>
            </w:r>
            <w:r w:rsidR="00531A0F">
              <w:t xml:space="preserve">, </w:t>
            </w:r>
            <w:r>
              <w:t>driven by significant reductions for some large funds.</w:t>
            </w:r>
            <w:r w:rsidR="00EF49D7">
              <w:t xml:space="preserve"> </w:t>
            </w:r>
            <w:r w:rsidR="00EF49D7">
              <w:rPr>
                <w:rStyle w:val="NoteLabel"/>
              </w:rPr>
              <w:t>c</w:t>
            </w:r>
            <w:r w:rsidR="00EF49D7">
              <w:t xml:space="preserve"> Mid</w:t>
            </w:r>
            <w:r w:rsidR="00F640C8">
              <w:noBreakHyphen/>
            </w:r>
            <w:r w:rsidR="00EF49D7">
              <w:t>point represents the 50</w:t>
            </w:r>
            <w:r w:rsidR="00EF49D7" w:rsidRPr="00C767AC">
              <w:rPr>
                <w:vertAlign w:val="superscript"/>
              </w:rPr>
              <w:t>th</w:t>
            </w:r>
            <w:r w:rsidR="00EF49D7">
              <w:t xml:space="preserve"> percentile of the estimated range.</w:t>
            </w:r>
          </w:p>
        </w:tc>
      </w:tr>
      <w:tr w:rsidR="00FE2573" w:rsidTr="00F71DF5">
        <w:tc>
          <w:tcPr>
            <w:tcW w:w="5000" w:type="pct"/>
            <w:tcBorders>
              <w:top w:val="nil"/>
              <w:left w:val="nil"/>
              <w:bottom w:val="single" w:sz="6" w:space="0" w:color="78A22F"/>
              <w:right w:val="nil"/>
            </w:tcBorders>
            <w:shd w:val="clear" w:color="auto" w:fill="auto"/>
          </w:tcPr>
          <w:p w:rsidR="00FE2573" w:rsidRDefault="00FE2573" w:rsidP="00FE2573">
            <w:pPr>
              <w:pStyle w:val="Figurespace"/>
            </w:pPr>
          </w:p>
        </w:tc>
      </w:tr>
      <w:tr w:rsidR="00FE2573" w:rsidRPr="000863A5" w:rsidTr="00FE2573">
        <w:tc>
          <w:tcPr>
            <w:tcW w:w="5000" w:type="pct"/>
            <w:tcBorders>
              <w:top w:val="single" w:sz="6" w:space="0" w:color="78A22F"/>
              <w:left w:val="nil"/>
              <w:bottom w:val="nil"/>
              <w:right w:val="nil"/>
            </w:tcBorders>
          </w:tcPr>
          <w:p w:rsidR="00FE2573" w:rsidRPr="00626D32" w:rsidRDefault="00FE2573" w:rsidP="00FE2573">
            <w:pPr>
              <w:pStyle w:val="BoxSpaceBelow"/>
            </w:pPr>
          </w:p>
        </w:tc>
      </w:tr>
    </w:tbl>
    <w:p w:rsidR="00F520B9" w:rsidRDefault="00F520B9" w:rsidP="00F520B9">
      <w:pPr>
        <w:pStyle w:val="BodyText"/>
        <w:rPr>
          <w:spacing w:val="-2"/>
        </w:rPr>
      </w:pPr>
      <w:r>
        <w:t>In other words</w:t>
      </w:r>
      <w:r w:rsidRPr="00043B23">
        <w:t xml:space="preserve">, </w:t>
      </w:r>
      <w:r w:rsidRPr="00F520B9">
        <w:rPr>
          <w:i/>
        </w:rPr>
        <w:t>the average fund</w:t>
      </w:r>
      <w:r>
        <w:t xml:space="preserve"> did not pass</w:t>
      </w:r>
      <w:r w:rsidRPr="00043B23">
        <w:t xml:space="preserve"> through the lower average costs realised with greater scale to their members in the form of lower fees (confirming the preliminary result presented in the draft report).</w:t>
      </w:r>
      <w:r>
        <w:t xml:space="preserve"> Underlying the average, however, some funds might have passed through at least some of the gains</w:t>
      </w:r>
      <w:r w:rsidR="00721243">
        <w:t xml:space="preserve"> over the period</w:t>
      </w:r>
      <w:r>
        <w:t>.</w:t>
      </w:r>
    </w:p>
    <w:p w:rsidR="003B11F0" w:rsidRDefault="00A90EF0" w:rsidP="00C407C1">
      <w:pPr>
        <w:pStyle w:val="BodyText"/>
        <w:rPr>
          <w:spacing w:val="-6"/>
        </w:rPr>
      </w:pPr>
      <w:r w:rsidRPr="00642256">
        <w:rPr>
          <w:spacing w:val="-6"/>
        </w:rPr>
        <w:t>A similar result arises from the pass</w:t>
      </w:r>
      <w:r w:rsidR="00F640C8" w:rsidRPr="00642256">
        <w:rPr>
          <w:spacing w:val="-6"/>
        </w:rPr>
        <w:noBreakHyphen/>
      </w:r>
      <w:r w:rsidRPr="00642256">
        <w:rPr>
          <w:spacing w:val="-6"/>
        </w:rPr>
        <w:t xml:space="preserve">through </w:t>
      </w:r>
      <w:r w:rsidR="00043B23" w:rsidRPr="00642256">
        <w:rPr>
          <w:spacing w:val="-6"/>
        </w:rPr>
        <w:t>component</w:t>
      </w:r>
      <w:r w:rsidRPr="00642256">
        <w:rPr>
          <w:spacing w:val="-6"/>
        </w:rPr>
        <w:t xml:space="preserve"> of the Commission’s model</w:t>
      </w:r>
      <w:r w:rsidR="004F0640" w:rsidRPr="00642256">
        <w:rPr>
          <w:spacing w:val="-6"/>
        </w:rPr>
        <w:t>,</w:t>
      </w:r>
      <w:r w:rsidRPr="00642256">
        <w:rPr>
          <w:spacing w:val="-6"/>
        </w:rPr>
        <w:t xml:space="preserve"> </w:t>
      </w:r>
      <w:r w:rsidR="004F0640" w:rsidRPr="00642256">
        <w:rPr>
          <w:spacing w:val="-6"/>
        </w:rPr>
        <w:t>which</w:t>
      </w:r>
      <w:r w:rsidRPr="00642256">
        <w:rPr>
          <w:spacing w:val="-6"/>
        </w:rPr>
        <w:t xml:space="preserve"> compares annual changes in </w:t>
      </w:r>
      <w:r w:rsidR="00043B23" w:rsidRPr="00642256">
        <w:rPr>
          <w:spacing w:val="-6"/>
        </w:rPr>
        <w:t xml:space="preserve">estimated cost savings to </w:t>
      </w:r>
      <w:r w:rsidRPr="00642256">
        <w:rPr>
          <w:spacing w:val="-6"/>
        </w:rPr>
        <w:t xml:space="preserve">annual changes in fees. </w:t>
      </w:r>
      <w:r w:rsidR="00C407C1" w:rsidRPr="00642256">
        <w:rPr>
          <w:spacing w:val="-6"/>
        </w:rPr>
        <w:t xml:space="preserve">For example, in the case of administration expenses, the largest share of lower expenses that might have been passed through by </w:t>
      </w:r>
      <w:r w:rsidR="00721243" w:rsidRPr="00642256">
        <w:rPr>
          <w:spacing w:val="-6"/>
        </w:rPr>
        <w:t xml:space="preserve">the </w:t>
      </w:r>
      <w:r w:rsidR="00C407C1" w:rsidRPr="00642256">
        <w:rPr>
          <w:spacing w:val="-6"/>
        </w:rPr>
        <w:t xml:space="preserve">industry </w:t>
      </w:r>
      <w:r w:rsidR="00721243" w:rsidRPr="00642256">
        <w:rPr>
          <w:spacing w:val="-6"/>
        </w:rPr>
        <w:t>segment</w:t>
      </w:r>
      <w:r w:rsidR="00C407C1" w:rsidRPr="00642256">
        <w:rPr>
          <w:spacing w:val="-6"/>
        </w:rPr>
        <w:t xml:space="preserve"> in a year was in the order of 20 per cent (figure </w:t>
      </w:r>
      <w:r w:rsidR="009039A8" w:rsidRPr="00642256">
        <w:rPr>
          <w:spacing w:val="-6"/>
        </w:rPr>
        <w:t>18</w:t>
      </w:r>
      <w:r w:rsidR="00C407C1" w:rsidRPr="00642256">
        <w:rPr>
          <w:spacing w:val="-6"/>
        </w:rPr>
        <w:t xml:space="preserve">). And, </w:t>
      </w:r>
      <w:r w:rsidR="00721243" w:rsidRPr="00642256">
        <w:rPr>
          <w:spacing w:val="-6"/>
        </w:rPr>
        <w:t xml:space="preserve">on average, the </w:t>
      </w:r>
      <w:r w:rsidR="00C407C1" w:rsidRPr="00642256">
        <w:rPr>
          <w:spacing w:val="-6"/>
        </w:rPr>
        <w:t xml:space="preserve">industry </w:t>
      </w:r>
      <w:r w:rsidR="00721243" w:rsidRPr="00642256">
        <w:rPr>
          <w:spacing w:val="-6"/>
        </w:rPr>
        <w:t>segment</w:t>
      </w:r>
      <w:r w:rsidR="00C407C1" w:rsidRPr="00642256">
        <w:rPr>
          <w:spacing w:val="-6"/>
        </w:rPr>
        <w:t xml:space="preserve"> potentially increased fees to members, despite the gains realised from scale (</w:t>
      </w:r>
      <w:r w:rsidR="00EA7174" w:rsidRPr="00642256">
        <w:rPr>
          <w:spacing w:val="-6"/>
        </w:rPr>
        <w:t xml:space="preserve">an outcome </w:t>
      </w:r>
      <w:r w:rsidR="00C407C1" w:rsidRPr="00642256">
        <w:rPr>
          <w:spacing w:val="-6"/>
        </w:rPr>
        <w:t xml:space="preserve">captured in the </w:t>
      </w:r>
      <w:r w:rsidR="00EA7174" w:rsidRPr="00642256">
        <w:rPr>
          <w:spacing w:val="-6"/>
        </w:rPr>
        <w:t>fact that the extent of pass</w:t>
      </w:r>
      <w:r w:rsidR="00EA7174" w:rsidRPr="00642256">
        <w:rPr>
          <w:spacing w:val="-6"/>
        </w:rPr>
        <w:noBreakHyphen/>
        <w:t>through was potentially negative)</w:t>
      </w:r>
      <w:r w:rsidR="00C407C1" w:rsidRPr="00642256">
        <w:rPr>
          <w:spacing w:val="-6"/>
        </w:rPr>
        <w:t>. Similar conclusions apply for investment expenses (figure </w:t>
      </w:r>
      <w:r w:rsidR="009039A8" w:rsidRPr="00642256">
        <w:rPr>
          <w:spacing w:val="-6"/>
        </w:rPr>
        <w:t>19</w:t>
      </w:r>
      <w:r w:rsidR="00C407C1" w:rsidRPr="00642256">
        <w:rPr>
          <w:spacing w:val="-6"/>
        </w:rPr>
        <w:t xml:space="preserve">). </w:t>
      </w:r>
    </w:p>
    <w:p w:rsidR="003B11F0" w:rsidRDefault="003B11F0">
      <w:pPr>
        <w:rPr>
          <w:spacing w:val="-6"/>
          <w:szCs w:val="20"/>
        </w:rPr>
      </w:pPr>
      <w:r>
        <w:rPr>
          <w:spacing w:val="-6"/>
        </w:rPr>
        <w:br w:type="page"/>
      </w:r>
    </w:p>
    <w:p w:rsidR="00C407C1" w:rsidRPr="00642256" w:rsidRDefault="00C407C1" w:rsidP="00C407C1">
      <w:pPr>
        <w:pStyle w:val="BodyText"/>
        <w:rPr>
          <w:spacing w:val="-6"/>
        </w:rPr>
      </w:pPr>
      <w:r w:rsidRPr="00642256">
        <w:rPr>
          <w:spacing w:val="-6"/>
        </w:rPr>
        <w:lastRenderedPageBreak/>
        <w:t>And plots of the estimated extent to which individual funds passed through realised gains in the form of lower fees reveal relatively little variation, especially for investment expenses (figures </w:t>
      </w:r>
      <w:r w:rsidR="009039A8" w:rsidRPr="00642256">
        <w:rPr>
          <w:spacing w:val="-6"/>
        </w:rPr>
        <w:t>20</w:t>
      </w:r>
      <w:r w:rsidRPr="00642256">
        <w:rPr>
          <w:spacing w:val="-6"/>
        </w:rPr>
        <w:t xml:space="preserve"> and </w:t>
      </w:r>
      <w:r w:rsidR="009039A8" w:rsidRPr="00642256">
        <w:rPr>
          <w:spacing w:val="-6"/>
        </w:rPr>
        <w:t>21</w:t>
      </w:r>
      <w:r w:rsidRPr="00642256">
        <w:rPr>
          <w:spacing w:val="-6"/>
        </w:rPr>
        <w:t>)</w:t>
      </w:r>
      <w:r w:rsidR="00935BA1" w:rsidRPr="00642256">
        <w:rPr>
          <w:spacing w:val="-6"/>
        </w:rPr>
        <w:t>, but also indicate the possibility that some funds might have passed through some gains</w:t>
      </w:r>
      <w:r w:rsidRPr="00642256">
        <w:rPr>
          <w:spacing w:val="-6"/>
        </w:rPr>
        <w:t>.</w:t>
      </w:r>
    </w:p>
    <w:p w:rsidR="00C407C1" w:rsidRPr="001E3030" w:rsidRDefault="00C407C1" w:rsidP="00C407C1">
      <w:pPr>
        <w:pStyle w:val="BodyText"/>
        <w:rPr>
          <w:spacing w:val="-2"/>
        </w:rPr>
      </w:pPr>
      <w:r>
        <w:rPr>
          <w:spacing w:val="-2"/>
        </w:rPr>
        <w:t xml:space="preserve">As mentioned previously, this result could be explained by funds increasing the size of their operational </w:t>
      </w:r>
      <w:r w:rsidR="00133610">
        <w:rPr>
          <w:spacing w:val="-2"/>
        </w:rPr>
        <w:t>reserves</w:t>
      </w:r>
      <w:r>
        <w:rPr>
          <w:spacing w:val="-2"/>
        </w:rPr>
        <w:t>, investing in improved members services or spending to enable compliance with new regulatory requirements. On the investment side, it is possible that some funds used economies of scale gains to invest more heavily in unlisted asset classes, which may then have led to higher net returns for members (this is discussed further below).</w:t>
      </w:r>
      <w:r w:rsidR="00F62297">
        <w:rPr>
          <w:spacing w:val="-2"/>
        </w:rPr>
        <w:t xml:space="preserve"> </w:t>
      </w:r>
      <w:r w:rsidR="00632DE9">
        <w:rPr>
          <w:spacing w:val="-2"/>
        </w:rPr>
        <w:t>Finally, i</w:t>
      </w:r>
      <w:r w:rsidR="00F62297">
        <w:rPr>
          <w:spacing w:val="-2"/>
        </w:rPr>
        <w:t xml:space="preserve">t is also possible that data limitations (including underreporting of expenses and patchy fee data) </w:t>
      </w:r>
      <w:r w:rsidR="001A3784">
        <w:rPr>
          <w:spacing w:val="-2"/>
        </w:rPr>
        <w:t xml:space="preserve">are </w:t>
      </w:r>
      <w:r w:rsidR="00F62297">
        <w:rPr>
          <w:spacing w:val="-2"/>
        </w:rPr>
        <w:t>muddying the analysis.</w:t>
      </w:r>
    </w:p>
    <w:p w:rsidR="003E27FE" w:rsidRDefault="003E27FE" w:rsidP="004718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E27FE" w:rsidTr="0047187D">
        <w:trPr>
          <w:tblHeader/>
        </w:trPr>
        <w:tc>
          <w:tcPr>
            <w:tcW w:w="5000" w:type="pct"/>
            <w:tcBorders>
              <w:top w:val="single" w:sz="6" w:space="0" w:color="78A22F"/>
              <w:left w:val="nil"/>
              <w:bottom w:val="nil"/>
              <w:right w:val="nil"/>
            </w:tcBorders>
            <w:shd w:val="clear" w:color="auto" w:fill="auto"/>
          </w:tcPr>
          <w:p w:rsidR="003E27FE" w:rsidRDefault="003E27FE" w:rsidP="0047187D">
            <w:pPr>
              <w:pStyle w:val="FigureTitle"/>
            </w:pPr>
            <w:r w:rsidRPr="00784A05">
              <w:rPr>
                <w:b w:val="0"/>
              </w:rPr>
              <w:t xml:space="preserve">Figure </w:t>
            </w:r>
            <w:bookmarkStart w:id="53" w:name="OLE_LINK25"/>
            <w:bookmarkStart w:id="54" w:name="OLE_LINK33"/>
            <w:r w:rsidR="004325AA">
              <w:rPr>
                <w:b w:val="0"/>
                <w:noProof/>
              </w:rPr>
              <w:t>18</w:t>
            </w:r>
            <w:bookmarkEnd w:id="53"/>
            <w:bookmarkEnd w:id="54"/>
            <w:r>
              <w:tab/>
            </w:r>
            <w:r w:rsidR="00CC1F20">
              <w:t>Little pass</w:t>
            </w:r>
            <w:r w:rsidR="00CC1F20">
              <w:noBreakHyphen/>
              <w:t xml:space="preserve">through of </w:t>
            </w:r>
            <w:r w:rsidR="00823D06">
              <w:t>economies of scale</w:t>
            </w:r>
            <w:r w:rsidR="00CC1F20">
              <w:t xml:space="preserve"> gains in administration expenses</w:t>
            </w:r>
            <w:r w:rsidR="00AD49D3">
              <w:t xml:space="preserve"> via lower fees</w:t>
            </w:r>
            <w:r w:rsidR="004F70BB">
              <w:t xml:space="preserve"> </w:t>
            </w:r>
            <w:r w:rsidR="00BF2E25">
              <w:t xml:space="preserve">— </w:t>
            </w:r>
            <w:r w:rsidR="00F71DF5">
              <w:t>by segment</w:t>
            </w:r>
            <w:r w:rsidR="00573776" w:rsidRPr="00F71DF5">
              <w:rPr>
                <w:rStyle w:val="NoteLabel"/>
                <w:b/>
                <w:position w:val="10"/>
              </w:rPr>
              <w:t>a</w:t>
            </w:r>
          </w:p>
          <w:p w:rsidR="003E27FE" w:rsidRPr="00176D3F" w:rsidRDefault="00700065" w:rsidP="00A87B4A">
            <w:pPr>
              <w:pStyle w:val="Subtitle"/>
            </w:pPr>
            <w:r>
              <w:t>Annual s</w:t>
            </w:r>
            <w:r w:rsidR="00CC1F20">
              <w:t xml:space="preserve">hare of realised EOS </w:t>
            </w:r>
            <w:r w:rsidR="00E4016C">
              <w:t>administration expense</w:t>
            </w:r>
            <w:r w:rsidR="00CC1F20">
              <w:t xml:space="preserve"> gains passed through as lower fees</w:t>
            </w:r>
            <w:r w:rsidR="00E4016C">
              <w:t>, per cent</w:t>
            </w:r>
          </w:p>
        </w:tc>
      </w:tr>
      <w:tr w:rsidR="003E27FE" w:rsidRPr="00B83E86" w:rsidTr="004718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E27FE" w:rsidRPr="00B83E86" w:rsidTr="0047187D">
              <w:trPr>
                <w:tblHeader/>
                <w:jc w:val="center"/>
              </w:trPr>
              <w:tc>
                <w:tcPr>
                  <w:tcW w:w="5000" w:type="pct"/>
                  <w:tcBorders>
                    <w:top w:val="nil"/>
                    <w:bottom w:val="nil"/>
                  </w:tcBorders>
                </w:tcPr>
                <w:p w:rsidR="003E27FE" w:rsidRPr="00C407C1" w:rsidRDefault="00610D79" w:rsidP="0047187D">
                  <w:pPr>
                    <w:pStyle w:val="Figure"/>
                    <w:spacing w:before="60" w:after="60"/>
                    <w:rPr>
                      <w:rFonts w:asciiTheme="minorHAnsi" w:hAnsiTheme="minorHAnsi" w:cs="Arial"/>
                      <w:spacing w:val="-2"/>
                      <w:sz w:val="18"/>
                      <w:szCs w:val="18"/>
                    </w:rPr>
                  </w:pPr>
                  <w:r w:rsidRPr="00610D79">
                    <w:rPr>
                      <w:rFonts w:asciiTheme="minorHAnsi" w:hAnsiTheme="minorHAnsi" w:cs="Arial"/>
                      <w:noProof/>
                      <w:spacing w:val="-2"/>
                      <w:sz w:val="18"/>
                      <w:szCs w:val="18"/>
                    </w:rPr>
                    <w:drawing>
                      <wp:inline distT="0" distB="0" distL="0" distR="0" wp14:anchorId="711263E8" wp14:editId="698FA022">
                        <wp:extent cx="5326380" cy="2663190"/>
                        <wp:effectExtent l="0" t="0" r="0" b="0"/>
                        <wp:docPr id="21" name="Picture 21" descr="The figure shows the estimated range of the administration passthrough coefficient for each fund type represented as a bar, and the median represented as a dot. The top part of the plot corresponds to passthrough while the bottom part corresponds to retention. The median for corporate, industry, and public sector funds are in the passthrough region, while the median for retail fund is in the retentio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26380" cy="266319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DB0C3A" w:rsidRPr="00C407C1" w:rsidTr="00C33A79">
                    <w:trPr>
                      <w:tblHeader/>
                    </w:trPr>
                    <w:tc>
                      <w:tcPr>
                        <w:tcW w:w="1559" w:type="dxa"/>
                        <w:shd w:val="clear" w:color="auto" w:fill="F2F2F2" w:themeFill="background1" w:themeFillShade="F2"/>
                      </w:tcPr>
                      <w:p w:rsidR="00DB0C3A" w:rsidRPr="00C407C1" w:rsidRDefault="00DB0C3A" w:rsidP="00DB0C3A">
                        <w:pPr>
                          <w:pStyle w:val="Figure"/>
                          <w:spacing w:before="0" w:after="0"/>
                          <w:jc w:val="left"/>
                          <w:rPr>
                            <w:rFonts w:asciiTheme="minorHAnsi" w:hAnsiTheme="minorHAnsi" w:cs="Arial"/>
                            <w:spacing w:val="-2"/>
                            <w:sz w:val="18"/>
                            <w:szCs w:val="18"/>
                          </w:rPr>
                        </w:pPr>
                        <w:r w:rsidRPr="00C407C1">
                          <w:rPr>
                            <w:rFonts w:asciiTheme="minorHAnsi" w:hAnsiTheme="minorHAnsi" w:cstheme="minorBidi"/>
                            <w:b/>
                            <w:color w:val="000000" w:themeColor="text1"/>
                            <w:spacing w:val="-2"/>
                            <w:kern w:val="24"/>
                            <w:sz w:val="18"/>
                            <w:szCs w:val="18"/>
                          </w:rPr>
                          <w:t>Source</w:t>
                        </w:r>
                      </w:p>
                    </w:tc>
                    <w:tc>
                      <w:tcPr>
                        <w:tcW w:w="6935" w:type="dxa"/>
                        <w:gridSpan w:val="3"/>
                        <w:shd w:val="clear" w:color="auto" w:fill="F2F2F2" w:themeFill="background1" w:themeFillShade="F2"/>
                      </w:tcPr>
                      <w:p w:rsidR="00DB0C3A" w:rsidRPr="00C407C1" w:rsidRDefault="00DB0C3A" w:rsidP="00DB0C3A">
                        <w:pPr>
                          <w:pStyle w:val="Figure"/>
                          <w:spacing w:before="0" w:after="0"/>
                          <w:jc w:val="left"/>
                          <w:rPr>
                            <w:rFonts w:asciiTheme="minorHAnsi" w:hAnsiTheme="minorHAnsi" w:cs="Arial"/>
                            <w:spacing w:val="-2"/>
                            <w:sz w:val="18"/>
                            <w:szCs w:val="18"/>
                          </w:rPr>
                        </w:pPr>
                        <w:r w:rsidRPr="00C407C1">
                          <w:rPr>
                            <w:rFonts w:asciiTheme="minorHAnsi" w:eastAsia="+mn-ea" w:hAnsiTheme="minorHAnsi" w:cs="Arial"/>
                            <w:color w:val="000000" w:themeColor="text1"/>
                            <w:spacing w:val="-2"/>
                            <w:kern w:val="24"/>
                            <w:sz w:val="18"/>
                            <w:szCs w:val="18"/>
                          </w:rPr>
                          <w:t>PC analysis of SuperRatings and APRA</w:t>
                        </w:r>
                        <w:r w:rsidR="00573776" w:rsidRPr="00C407C1">
                          <w:rPr>
                            <w:rFonts w:asciiTheme="minorHAnsi" w:eastAsia="+mn-ea" w:hAnsiTheme="minorHAnsi" w:cs="Arial"/>
                            <w:color w:val="000000" w:themeColor="text1"/>
                            <w:spacing w:val="-2"/>
                            <w:kern w:val="24"/>
                            <w:sz w:val="18"/>
                            <w:szCs w:val="18"/>
                          </w:rPr>
                          <w:t xml:space="preserve"> </w:t>
                        </w:r>
                        <w:r w:rsidRPr="00C407C1">
                          <w:rPr>
                            <w:rFonts w:asciiTheme="minorHAnsi" w:eastAsia="+mn-ea" w:hAnsiTheme="minorHAnsi" w:cs="Arial"/>
                            <w:color w:val="000000" w:themeColor="text1"/>
                            <w:spacing w:val="-2"/>
                            <w:kern w:val="24"/>
                            <w:sz w:val="18"/>
                            <w:szCs w:val="18"/>
                          </w:rPr>
                          <w:t>data</w:t>
                        </w:r>
                        <w:r w:rsidR="00573776" w:rsidRPr="00C407C1">
                          <w:rPr>
                            <w:rFonts w:asciiTheme="minorHAnsi" w:eastAsia="+mn-ea" w:hAnsiTheme="minorHAnsi" w:cs="Arial"/>
                            <w:color w:val="000000" w:themeColor="text1"/>
                            <w:spacing w:val="-2"/>
                            <w:kern w:val="24"/>
                            <w:sz w:val="18"/>
                            <w:szCs w:val="18"/>
                          </w:rPr>
                          <w:t>.</w:t>
                        </w:r>
                      </w:p>
                    </w:tc>
                  </w:tr>
                  <w:tr w:rsidR="00DB0C3A" w:rsidRPr="00C407C1" w:rsidTr="00C33A79">
                    <w:tc>
                      <w:tcPr>
                        <w:tcW w:w="1559" w:type="dxa"/>
                        <w:shd w:val="clear" w:color="auto" w:fill="F2F2F2" w:themeFill="background1" w:themeFillShade="F2"/>
                      </w:tcPr>
                      <w:p w:rsidR="00DB0C3A" w:rsidRPr="00C407C1" w:rsidRDefault="00DB0C3A" w:rsidP="00DB0C3A">
                        <w:pPr>
                          <w:pStyle w:val="Figure"/>
                          <w:spacing w:before="0" w:after="0"/>
                          <w:jc w:val="left"/>
                          <w:rPr>
                            <w:rFonts w:asciiTheme="minorHAnsi" w:hAnsiTheme="minorHAnsi" w:cs="Arial"/>
                            <w:spacing w:val="-2"/>
                            <w:sz w:val="18"/>
                            <w:szCs w:val="18"/>
                          </w:rPr>
                        </w:pPr>
                        <w:r w:rsidRPr="00C407C1">
                          <w:rPr>
                            <w:rFonts w:asciiTheme="minorHAnsi" w:hAnsiTheme="minorHAnsi" w:cstheme="minorBidi"/>
                            <w:b/>
                            <w:color w:val="000000" w:themeColor="text1"/>
                            <w:spacing w:val="-2"/>
                            <w:kern w:val="24"/>
                            <w:sz w:val="18"/>
                            <w:szCs w:val="18"/>
                          </w:rPr>
                          <w:t>Coverage</w:t>
                        </w:r>
                      </w:p>
                    </w:tc>
                    <w:tc>
                      <w:tcPr>
                        <w:tcW w:w="6935" w:type="dxa"/>
                        <w:gridSpan w:val="3"/>
                        <w:shd w:val="clear" w:color="auto" w:fill="F2F2F2" w:themeFill="background1" w:themeFillShade="F2"/>
                      </w:tcPr>
                      <w:p w:rsidR="00DB0C3A" w:rsidRPr="00C407C1" w:rsidRDefault="00455A39" w:rsidP="00DB0C3A">
                        <w:pPr>
                          <w:pStyle w:val="Figure"/>
                          <w:spacing w:before="0" w:after="0"/>
                          <w:jc w:val="left"/>
                          <w:rPr>
                            <w:rFonts w:asciiTheme="minorHAnsi" w:hAnsiTheme="minorHAnsi"/>
                            <w:color w:val="000000" w:themeColor="text1"/>
                            <w:spacing w:val="-2"/>
                          </w:rPr>
                        </w:pPr>
                        <w:r>
                          <w:rPr>
                            <w:rFonts w:ascii="Arial" w:eastAsia="+mn-ea" w:hAnsi="Arial" w:cs="Arial"/>
                            <w:color w:val="000000" w:themeColor="text1"/>
                            <w:kern w:val="24"/>
                            <w:sz w:val="18"/>
                            <w:szCs w:val="18"/>
                          </w:rPr>
                          <w:t>134</w:t>
                        </w:r>
                        <w:r w:rsidR="00DB0C3A" w:rsidRPr="00BF2E25">
                          <w:rPr>
                            <w:rFonts w:ascii="Arial" w:hAnsi="Arial"/>
                            <w:color w:val="000000" w:themeColor="text1"/>
                            <w:kern w:val="24"/>
                            <w:sz w:val="18"/>
                          </w:rPr>
                          <w:t xml:space="preserve"> funds representing </w:t>
                        </w:r>
                        <w:r w:rsidR="00362E1C">
                          <w:rPr>
                            <w:rFonts w:ascii="Arial" w:hAnsi="Arial"/>
                            <w:color w:val="000000" w:themeColor="text1"/>
                            <w:kern w:val="24"/>
                            <w:sz w:val="18"/>
                          </w:rPr>
                          <w:t>84</w:t>
                        </w:r>
                        <w:r w:rsidR="004F0EDB">
                          <w:rPr>
                            <w:rFonts w:ascii="Arial" w:hAnsi="Arial"/>
                            <w:color w:val="000000" w:themeColor="text1"/>
                            <w:kern w:val="24"/>
                            <w:sz w:val="18"/>
                          </w:rPr>
                          <w:t> </w:t>
                        </w:r>
                        <w:r w:rsidR="004215EC">
                          <w:rPr>
                            <w:rFonts w:ascii="Arial" w:eastAsia="+mn-ea" w:hAnsi="Arial" w:cs="Arial"/>
                            <w:color w:val="000000" w:themeColor="text1"/>
                            <w:kern w:val="24"/>
                            <w:sz w:val="18"/>
                            <w:szCs w:val="18"/>
                          </w:rPr>
                          <w:t xml:space="preserve">per cent and </w:t>
                        </w:r>
                        <w:r w:rsidR="00362E1C">
                          <w:rPr>
                            <w:rFonts w:ascii="Arial" w:eastAsia="+mn-ea" w:hAnsi="Arial" w:cs="Arial"/>
                            <w:color w:val="000000" w:themeColor="text1"/>
                            <w:kern w:val="24"/>
                            <w:sz w:val="18"/>
                            <w:szCs w:val="18"/>
                          </w:rPr>
                          <w:t>53</w:t>
                        </w:r>
                        <w:r w:rsidR="00362E1C" w:rsidRPr="00BF2E25">
                          <w:rPr>
                            <w:rFonts w:ascii="Arial" w:hAnsi="Arial"/>
                            <w:color w:val="000000" w:themeColor="text1"/>
                            <w:kern w:val="24"/>
                            <w:sz w:val="18"/>
                          </w:rPr>
                          <w:t> </w:t>
                        </w:r>
                        <w:r w:rsidR="00DB0C3A" w:rsidRPr="00BF2E25">
                          <w:rPr>
                            <w:rFonts w:ascii="Arial" w:hAnsi="Arial"/>
                            <w:color w:val="000000" w:themeColor="text1"/>
                            <w:kern w:val="24"/>
                            <w:sz w:val="18"/>
                          </w:rPr>
                          <w:t xml:space="preserve">per cent of </w:t>
                        </w:r>
                        <w:r>
                          <w:rPr>
                            <w:rFonts w:ascii="Arial" w:eastAsia="+mn-ea" w:hAnsi="Arial" w:cs="Arial"/>
                            <w:color w:val="000000" w:themeColor="text1"/>
                            <w:kern w:val="24"/>
                            <w:sz w:val="18"/>
                            <w:szCs w:val="18"/>
                          </w:rPr>
                          <w:t xml:space="preserve">the system </w:t>
                        </w:r>
                        <w:r w:rsidR="00362E1C">
                          <w:rPr>
                            <w:rFonts w:ascii="Arial" w:eastAsia="+mn-ea" w:hAnsi="Arial" w:cs="Arial"/>
                            <w:color w:val="000000" w:themeColor="text1"/>
                            <w:kern w:val="24"/>
                            <w:sz w:val="18"/>
                            <w:szCs w:val="18"/>
                          </w:rPr>
                          <w:t>by assets</w:t>
                        </w:r>
                        <w:r>
                          <w:rPr>
                            <w:rFonts w:ascii="Arial" w:eastAsia="+mn-ea" w:hAnsi="Arial" w:cs="Arial"/>
                            <w:color w:val="000000" w:themeColor="text1"/>
                            <w:kern w:val="24"/>
                            <w:sz w:val="18"/>
                            <w:szCs w:val="18"/>
                          </w:rPr>
                          <w:t xml:space="preserve"> </w:t>
                        </w:r>
                        <w:r w:rsidR="00DB0C3A" w:rsidRPr="00BF2E25">
                          <w:rPr>
                            <w:rFonts w:ascii="Arial" w:hAnsi="Arial"/>
                            <w:color w:val="000000" w:themeColor="text1"/>
                            <w:kern w:val="24"/>
                            <w:sz w:val="18"/>
                          </w:rPr>
                          <w:t>in 2015</w:t>
                        </w:r>
                        <w:r w:rsidR="00F640C8">
                          <w:rPr>
                            <w:rFonts w:ascii="Arial" w:hAnsi="Arial"/>
                            <w:color w:val="000000" w:themeColor="text1"/>
                            <w:kern w:val="24"/>
                            <w:sz w:val="18"/>
                          </w:rPr>
                          <w:noBreakHyphen/>
                        </w:r>
                        <w:r w:rsidR="00DB0C3A"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06 respectively for administration and investment. Excludes funds with less than two years of data</w:t>
                        </w:r>
                        <w:r w:rsidR="00DB0C3A" w:rsidRPr="00BF2E25">
                          <w:rPr>
                            <w:rFonts w:ascii="Arial" w:hAnsi="Arial"/>
                            <w:color w:val="000000" w:themeColor="text1"/>
                            <w:kern w:val="24"/>
                            <w:sz w:val="18"/>
                          </w:rPr>
                          <w:t>.</w:t>
                        </w:r>
                      </w:p>
                    </w:tc>
                  </w:tr>
                  <w:tr w:rsidR="00DB0C3A" w:rsidRPr="00B83E86" w:rsidTr="00C33A79">
                    <w:tc>
                      <w:tcPr>
                        <w:tcW w:w="1559" w:type="dxa"/>
                        <w:shd w:val="clear" w:color="auto" w:fill="F2F2F2" w:themeFill="background1" w:themeFillShade="F2"/>
                      </w:tcPr>
                      <w:p w:rsidR="00DB0C3A" w:rsidRPr="00C407C1" w:rsidRDefault="00DB0C3A" w:rsidP="00DB0C3A">
                        <w:pPr>
                          <w:pStyle w:val="Figure"/>
                          <w:spacing w:before="0" w:after="0"/>
                          <w:jc w:val="left"/>
                          <w:rPr>
                            <w:rFonts w:asciiTheme="minorHAnsi" w:hAnsiTheme="minorHAnsi" w:cstheme="minorBidi"/>
                            <w:b/>
                            <w:color w:val="000000" w:themeColor="text1"/>
                            <w:spacing w:val="-2"/>
                            <w:kern w:val="24"/>
                            <w:sz w:val="18"/>
                            <w:szCs w:val="18"/>
                          </w:rPr>
                        </w:pPr>
                        <w:r w:rsidRPr="00C407C1">
                          <w:rPr>
                            <w:rFonts w:asciiTheme="minorHAnsi" w:hAnsiTheme="minorHAnsi" w:cs="Arial"/>
                            <w:b/>
                            <w:spacing w:val="-2"/>
                            <w:sz w:val="18"/>
                            <w:szCs w:val="18"/>
                          </w:rPr>
                          <w:t>Survivor bias</w:t>
                        </w:r>
                      </w:p>
                    </w:tc>
                    <w:tc>
                      <w:tcPr>
                        <w:tcW w:w="2311" w:type="dxa"/>
                        <w:shd w:val="clear" w:color="auto" w:fill="F2F2F2" w:themeFill="background1" w:themeFillShade="F2"/>
                      </w:tcPr>
                      <w:p w:rsidR="00DB0C3A" w:rsidRPr="00C407C1" w:rsidRDefault="00DB0C3A" w:rsidP="00DB0C3A">
                        <w:pPr>
                          <w:pStyle w:val="Figure"/>
                          <w:spacing w:before="0" w:after="0"/>
                          <w:jc w:val="left"/>
                          <w:rPr>
                            <w:rFonts w:asciiTheme="minorHAnsi" w:hAnsiTheme="minorHAnsi" w:cs="Arial"/>
                            <w:spacing w:val="-2"/>
                            <w:sz w:val="18"/>
                            <w:szCs w:val="18"/>
                          </w:rPr>
                        </w:pPr>
                        <w:r w:rsidRPr="00C407C1">
                          <w:rPr>
                            <w:rFonts w:asciiTheme="minorHAnsi" w:hAnsiTheme="minorHAnsi" w:cstheme="minorBidi"/>
                            <w:color w:val="000000" w:themeColor="text1"/>
                            <w:spacing w:val="-2"/>
                            <w:kern w:val="24"/>
                            <w:sz w:val="18"/>
                            <w:szCs w:val="18"/>
                          </w:rPr>
                          <w:t>No.</w:t>
                        </w:r>
                      </w:p>
                    </w:tc>
                    <w:tc>
                      <w:tcPr>
                        <w:tcW w:w="2312" w:type="dxa"/>
                        <w:shd w:val="clear" w:color="auto" w:fill="F2F2F2" w:themeFill="background1" w:themeFillShade="F2"/>
                      </w:tcPr>
                      <w:p w:rsidR="00DB0C3A" w:rsidRPr="00C407C1" w:rsidRDefault="00DB0C3A" w:rsidP="00DB0C3A">
                        <w:pPr>
                          <w:pStyle w:val="Figure"/>
                          <w:spacing w:before="0" w:after="0"/>
                          <w:jc w:val="left"/>
                          <w:rPr>
                            <w:rFonts w:asciiTheme="minorHAnsi" w:hAnsiTheme="minorHAnsi" w:cs="Arial"/>
                            <w:spacing w:val="-2"/>
                            <w:sz w:val="18"/>
                            <w:szCs w:val="18"/>
                          </w:rPr>
                        </w:pPr>
                        <w:r w:rsidRPr="00C407C1">
                          <w:rPr>
                            <w:rFonts w:asciiTheme="minorHAnsi" w:hAnsiTheme="minorHAnsi" w:cstheme="minorBidi"/>
                            <w:b/>
                            <w:color w:val="000000" w:themeColor="text1"/>
                            <w:spacing w:val="-2"/>
                            <w:kern w:val="24"/>
                            <w:sz w:val="18"/>
                            <w:szCs w:val="18"/>
                          </w:rPr>
                          <w:t>Selection bias</w:t>
                        </w:r>
                      </w:p>
                    </w:tc>
                    <w:tc>
                      <w:tcPr>
                        <w:tcW w:w="2312" w:type="dxa"/>
                        <w:shd w:val="clear" w:color="auto" w:fill="F2F2F2" w:themeFill="background1" w:themeFillShade="F2"/>
                      </w:tcPr>
                      <w:p w:rsidR="00DB0C3A" w:rsidRPr="00B83E86" w:rsidRDefault="00DB0C3A" w:rsidP="00DB0C3A">
                        <w:pPr>
                          <w:pStyle w:val="Figure"/>
                          <w:spacing w:before="0" w:after="0"/>
                          <w:jc w:val="left"/>
                          <w:rPr>
                            <w:rFonts w:asciiTheme="minorHAnsi" w:hAnsiTheme="minorHAnsi" w:cs="Arial"/>
                            <w:spacing w:val="-2"/>
                            <w:sz w:val="18"/>
                            <w:szCs w:val="18"/>
                          </w:rPr>
                        </w:pPr>
                        <w:r w:rsidRPr="00C407C1">
                          <w:rPr>
                            <w:rFonts w:asciiTheme="minorHAnsi" w:hAnsi="Arial" w:cstheme="minorBidi"/>
                            <w:color w:val="000000" w:themeColor="text1"/>
                            <w:kern w:val="24"/>
                            <w:sz w:val="18"/>
                            <w:szCs w:val="18"/>
                          </w:rPr>
                          <w:t>Yes.</w:t>
                        </w:r>
                      </w:p>
                    </w:tc>
                  </w:tr>
                </w:tbl>
                <w:p w:rsidR="003E27FE" w:rsidRPr="00C017B5" w:rsidRDefault="003E27FE" w:rsidP="0047187D">
                  <w:pPr>
                    <w:pStyle w:val="Figure"/>
                    <w:spacing w:before="60" w:after="60"/>
                    <w:rPr>
                      <w:rFonts w:ascii="Arial" w:hAnsi="Arial" w:cs="Arial"/>
                      <w:sz w:val="18"/>
                      <w:szCs w:val="18"/>
                    </w:rPr>
                  </w:pPr>
                </w:p>
              </w:tc>
            </w:tr>
          </w:tbl>
          <w:p w:rsidR="003E27FE" w:rsidRPr="00C017B5" w:rsidRDefault="003E27FE" w:rsidP="0047187D">
            <w:pPr>
              <w:pStyle w:val="Figure"/>
            </w:pPr>
          </w:p>
        </w:tc>
      </w:tr>
      <w:tr w:rsidR="003E27FE" w:rsidRPr="00176D3F" w:rsidTr="0047187D">
        <w:tc>
          <w:tcPr>
            <w:tcW w:w="5000" w:type="pct"/>
            <w:tcBorders>
              <w:top w:val="nil"/>
              <w:left w:val="nil"/>
              <w:bottom w:val="nil"/>
              <w:right w:val="nil"/>
            </w:tcBorders>
            <w:shd w:val="clear" w:color="auto" w:fill="auto"/>
          </w:tcPr>
          <w:p w:rsidR="003E27FE" w:rsidRPr="00176D3F" w:rsidRDefault="003E27FE" w:rsidP="0047187D">
            <w:pPr>
              <w:pStyle w:val="Note"/>
            </w:pPr>
            <w:r>
              <w:rPr>
                <w:rStyle w:val="NoteLabel"/>
              </w:rPr>
              <w:t>a</w:t>
            </w:r>
            <w:r>
              <w:t xml:space="preserve"> </w:t>
            </w:r>
            <w:r w:rsidR="00351496">
              <w:t xml:space="preserve">Bars represent the </w:t>
            </w:r>
            <w:r w:rsidR="00312A3E">
              <w:t>95 per cent probability range for a segment’s coefficient.</w:t>
            </w:r>
            <w:r w:rsidR="00351496">
              <w:t xml:space="preserve"> Dots represent </w:t>
            </w:r>
            <w:r w:rsidR="00312A3E">
              <w:t>the median.</w:t>
            </w:r>
          </w:p>
        </w:tc>
      </w:tr>
      <w:tr w:rsidR="003E27FE" w:rsidTr="0047187D">
        <w:tc>
          <w:tcPr>
            <w:tcW w:w="5000" w:type="pct"/>
            <w:tcBorders>
              <w:top w:val="nil"/>
              <w:left w:val="nil"/>
              <w:bottom w:val="single" w:sz="6" w:space="0" w:color="78A22F"/>
              <w:right w:val="nil"/>
            </w:tcBorders>
            <w:shd w:val="clear" w:color="auto" w:fill="auto"/>
          </w:tcPr>
          <w:p w:rsidR="003E27FE" w:rsidRDefault="003E27FE" w:rsidP="0047187D">
            <w:pPr>
              <w:pStyle w:val="Figurespace"/>
            </w:pPr>
          </w:p>
        </w:tc>
      </w:tr>
      <w:tr w:rsidR="003E27FE" w:rsidRPr="000863A5" w:rsidTr="0047187D">
        <w:tc>
          <w:tcPr>
            <w:tcW w:w="5000" w:type="pct"/>
            <w:tcBorders>
              <w:top w:val="single" w:sz="6" w:space="0" w:color="78A22F"/>
              <w:left w:val="nil"/>
              <w:bottom w:val="nil"/>
              <w:right w:val="nil"/>
            </w:tcBorders>
          </w:tcPr>
          <w:p w:rsidR="003E27FE" w:rsidRPr="00626D32" w:rsidRDefault="003E27FE" w:rsidP="0047187D">
            <w:pPr>
              <w:pStyle w:val="BoxSpaceBelow"/>
            </w:pPr>
          </w:p>
        </w:tc>
      </w:tr>
    </w:tbl>
    <w:p w:rsidR="003E27FE" w:rsidRDefault="003E27FE" w:rsidP="004718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E27FE" w:rsidTr="0047187D">
        <w:trPr>
          <w:tblHeader/>
        </w:trPr>
        <w:tc>
          <w:tcPr>
            <w:tcW w:w="5000" w:type="pct"/>
            <w:tcBorders>
              <w:top w:val="single" w:sz="6" w:space="0" w:color="78A22F"/>
              <w:left w:val="nil"/>
              <w:bottom w:val="nil"/>
              <w:right w:val="nil"/>
            </w:tcBorders>
            <w:shd w:val="clear" w:color="auto" w:fill="auto"/>
          </w:tcPr>
          <w:p w:rsidR="00CC1F20" w:rsidRDefault="003E27FE" w:rsidP="00CC1F20">
            <w:pPr>
              <w:pStyle w:val="FigureTitle"/>
            </w:pPr>
            <w:r w:rsidRPr="00784A05">
              <w:rPr>
                <w:b w:val="0"/>
              </w:rPr>
              <w:t xml:space="preserve">Figure </w:t>
            </w:r>
            <w:bookmarkStart w:id="55" w:name="OLE_LINK26"/>
            <w:r w:rsidR="004325AA">
              <w:rPr>
                <w:b w:val="0"/>
                <w:noProof/>
              </w:rPr>
              <w:t>19</w:t>
            </w:r>
            <w:bookmarkEnd w:id="55"/>
            <w:r>
              <w:tab/>
            </w:r>
            <w:r w:rsidR="00CC1F20">
              <w:t>Little pass</w:t>
            </w:r>
            <w:r w:rsidR="00CC1F20">
              <w:noBreakHyphen/>
              <w:t xml:space="preserve">through of </w:t>
            </w:r>
            <w:r w:rsidR="00823D06">
              <w:t>economies of scale</w:t>
            </w:r>
            <w:r w:rsidR="00CC1F20">
              <w:t xml:space="preserve"> gains in investment expenses</w:t>
            </w:r>
            <w:r w:rsidR="00AD49D3">
              <w:t xml:space="preserve"> via lower fees</w:t>
            </w:r>
            <w:r w:rsidR="004F70BB">
              <w:t xml:space="preserve"> </w:t>
            </w:r>
            <w:r w:rsidR="00BF2E25">
              <w:t>—</w:t>
            </w:r>
            <w:r w:rsidR="004F70BB">
              <w:t xml:space="preserve"> by segment</w:t>
            </w:r>
            <w:r w:rsidR="00E4016C" w:rsidRPr="00E4016C">
              <w:rPr>
                <w:rStyle w:val="NoteLabel"/>
                <w:b/>
              </w:rPr>
              <w:t>a</w:t>
            </w:r>
          </w:p>
          <w:p w:rsidR="003E27FE" w:rsidRPr="00176D3F" w:rsidRDefault="00700065" w:rsidP="00A87B4A">
            <w:pPr>
              <w:pStyle w:val="Subtitle"/>
            </w:pPr>
            <w:r>
              <w:t>Annual s</w:t>
            </w:r>
            <w:r w:rsidR="00CC1F20">
              <w:t>hare of realised EOS invest</w:t>
            </w:r>
            <w:r w:rsidR="00916716">
              <w:t>ment</w:t>
            </w:r>
            <w:r w:rsidR="00CC1F20">
              <w:t xml:space="preserve"> </w:t>
            </w:r>
            <w:r w:rsidR="00E4016C">
              <w:t>management expense</w:t>
            </w:r>
            <w:r w:rsidR="00CC1F20">
              <w:t xml:space="preserve"> gains passed through as lower fees</w:t>
            </w:r>
            <w:r w:rsidR="00823D06">
              <w:t>, per cent</w:t>
            </w:r>
          </w:p>
        </w:tc>
      </w:tr>
      <w:tr w:rsidR="003E27FE" w:rsidTr="004718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E27FE" w:rsidRPr="00B1465D" w:rsidTr="0047187D">
              <w:trPr>
                <w:tblHeader/>
                <w:jc w:val="center"/>
              </w:trPr>
              <w:tc>
                <w:tcPr>
                  <w:tcW w:w="5000" w:type="pct"/>
                  <w:tcBorders>
                    <w:top w:val="nil"/>
                    <w:bottom w:val="nil"/>
                  </w:tcBorders>
                </w:tcPr>
                <w:p w:rsidR="003E27FE" w:rsidRDefault="00610D79" w:rsidP="0047187D">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45FF2513" wp14:editId="683E12E1">
                        <wp:extent cx="5577840" cy="2788920"/>
                        <wp:effectExtent l="0" t="0" r="0" b="0"/>
                        <wp:docPr id="28" name="Picture 28" descr="The figure shows the estimated range of the investment passthrough coefficient for each fund type represented as a bar, and the median represented as a dot. The top part of the plot corresponds to passthrough while the bottom part corresponds to retention. The median for all fund types are in the retention region, suggesting there is little evidence of pass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7840" cy="27889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DB0C3A" w:rsidTr="00C33A79">
                    <w:trPr>
                      <w:tblHeader/>
                    </w:trPr>
                    <w:tc>
                      <w:tcPr>
                        <w:tcW w:w="1559"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SuperRatings and APRA</w:t>
                        </w:r>
                        <w:r w:rsidR="00573776">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data</w:t>
                        </w:r>
                        <w:r w:rsidR="00573776">
                          <w:rPr>
                            <w:rFonts w:ascii="Arial" w:eastAsia="+mn-ea" w:hAnsi="Arial" w:cs="Arial"/>
                            <w:color w:val="000000" w:themeColor="text1"/>
                            <w:kern w:val="24"/>
                            <w:sz w:val="18"/>
                            <w:szCs w:val="18"/>
                          </w:rPr>
                          <w:t>.</w:t>
                        </w:r>
                      </w:p>
                    </w:tc>
                  </w:tr>
                  <w:tr w:rsidR="00DB0C3A" w:rsidRPr="001F53B0" w:rsidTr="00C33A79">
                    <w:tc>
                      <w:tcPr>
                        <w:tcW w:w="1559"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DB0C3A" w:rsidRPr="00B83E86" w:rsidRDefault="006B6ADD" w:rsidP="00DB0C3A">
                        <w:pPr>
                          <w:pStyle w:val="Figure"/>
                          <w:spacing w:before="0" w:after="0"/>
                          <w:jc w:val="left"/>
                          <w:rPr>
                            <w:color w:val="000000" w:themeColor="text1"/>
                            <w:spacing w:val="-2"/>
                          </w:rPr>
                        </w:pPr>
                        <w:r>
                          <w:rPr>
                            <w:rFonts w:ascii="Arial" w:eastAsia="+mn-ea" w:hAnsi="Arial" w:cs="Arial"/>
                            <w:color w:val="000000" w:themeColor="text1"/>
                            <w:kern w:val="24"/>
                            <w:sz w:val="18"/>
                            <w:szCs w:val="18"/>
                          </w:rPr>
                          <w:t>134</w:t>
                        </w:r>
                        <w:r w:rsidR="00DB0C3A" w:rsidRPr="00BF2E25">
                          <w:rPr>
                            <w:rFonts w:ascii="Arial" w:hAnsi="Arial"/>
                            <w:color w:val="000000" w:themeColor="text1"/>
                            <w:kern w:val="24"/>
                            <w:sz w:val="18"/>
                          </w:rPr>
                          <w:t xml:space="preserve"> funds representing </w:t>
                        </w:r>
                        <w:r w:rsidR="00362E1C">
                          <w:rPr>
                            <w:rFonts w:ascii="Arial" w:eastAsia="+mn-ea" w:hAnsi="Arial" w:cs="Arial"/>
                            <w:color w:val="000000" w:themeColor="text1"/>
                            <w:kern w:val="24"/>
                            <w:sz w:val="18"/>
                            <w:szCs w:val="18"/>
                          </w:rPr>
                          <w:t>84 </w:t>
                        </w:r>
                        <w:r>
                          <w:rPr>
                            <w:rFonts w:ascii="Arial" w:eastAsia="+mn-ea" w:hAnsi="Arial" w:cs="Arial"/>
                            <w:color w:val="000000" w:themeColor="text1"/>
                            <w:kern w:val="24"/>
                            <w:sz w:val="18"/>
                            <w:szCs w:val="18"/>
                          </w:rPr>
                          <w:t xml:space="preserve">per cent and </w:t>
                        </w:r>
                        <w:r w:rsidR="00362E1C">
                          <w:rPr>
                            <w:rFonts w:ascii="Arial" w:eastAsia="+mn-ea" w:hAnsi="Arial" w:cs="Arial"/>
                            <w:color w:val="000000" w:themeColor="text1"/>
                            <w:kern w:val="24"/>
                            <w:sz w:val="18"/>
                            <w:szCs w:val="18"/>
                          </w:rPr>
                          <w:t>53</w:t>
                        </w:r>
                        <w:r w:rsidR="00362E1C" w:rsidRPr="00BF2E25">
                          <w:rPr>
                            <w:rFonts w:ascii="Arial" w:hAnsi="Arial"/>
                            <w:color w:val="000000" w:themeColor="text1"/>
                            <w:kern w:val="24"/>
                            <w:sz w:val="18"/>
                          </w:rPr>
                          <w:t> </w:t>
                        </w:r>
                        <w:r w:rsidR="00DB0C3A" w:rsidRPr="00BF2E25">
                          <w:rPr>
                            <w:rFonts w:ascii="Arial" w:hAnsi="Arial"/>
                            <w:color w:val="000000" w:themeColor="text1"/>
                            <w:kern w:val="24"/>
                            <w:sz w:val="18"/>
                          </w:rPr>
                          <w:t xml:space="preserve">per cent of </w:t>
                        </w:r>
                        <w:r>
                          <w:rPr>
                            <w:rFonts w:ascii="Arial" w:eastAsia="+mn-ea" w:hAnsi="Arial" w:cs="Arial"/>
                            <w:color w:val="000000" w:themeColor="text1"/>
                            <w:kern w:val="24"/>
                            <w:sz w:val="18"/>
                            <w:szCs w:val="18"/>
                          </w:rPr>
                          <w:t xml:space="preserve">the system </w:t>
                        </w:r>
                        <w:r w:rsidR="00362E1C">
                          <w:rPr>
                            <w:rFonts w:ascii="Arial" w:eastAsia="+mn-ea" w:hAnsi="Arial" w:cs="Arial"/>
                            <w:color w:val="000000" w:themeColor="text1"/>
                            <w:kern w:val="24"/>
                            <w:sz w:val="18"/>
                            <w:szCs w:val="18"/>
                          </w:rPr>
                          <w:t>by assets</w:t>
                        </w:r>
                        <w:r>
                          <w:rPr>
                            <w:rFonts w:ascii="Arial" w:eastAsia="+mn-ea" w:hAnsi="Arial" w:cs="Arial"/>
                            <w:color w:val="000000" w:themeColor="text1"/>
                            <w:kern w:val="24"/>
                            <w:sz w:val="18"/>
                            <w:szCs w:val="18"/>
                          </w:rPr>
                          <w:t xml:space="preserve"> </w:t>
                        </w:r>
                        <w:r w:rsidR="00DB0C3A" w:rsidRPr="00BF2E25">
                          <w:rPr>
                            <w:rFonts w:ascii="Arial" w:hAnsi="Arial"/>
                            <w:color w:val="000000" w:themeColor="text1"/>
                            <w:kern w:val="24"/>
                            <w:sz w:val="18"/>
                          </w:rPr>
                          <w:t>in 2015</w:t>
                        </w:r>
                        <w:r w:rsidR="00F640C8">
                          <w:rPr>
                            <w:rFonts w:ascii="Arial" w:hAnsi="Arial"/>
                            <w:color w:val="000000" w:themeColor="text1"/>
                            <w:kern w:val="24"/>
                            <w:sz w:val="18"/>
                          </w:rPr>
                          <w:noBreakHyphen/>
                        </w:r>
                        <w:r w:rsidR="00DB0C3A"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06 respectively for administration and investment. Excludes funds with less than two years of data</w:t>
                        </w:r>
                        <w:r w:rsidR="00DB0C3A" w:rsidRPr="00BF2E25">
                          <w:rPr>
                            <w:rFonts w:ascii="Arial" w:hAnsi="Arial"/>
                            <w:color w:val="000000" w:themeColor="text1"/>
                            <w:kern w:val="24"/>
                            <w:sz w:val="18"/>
                          </w:rPr>
                          <w:t>.</w:t>
                        </w:r>
                      </w:p>
                    </w:tc>
                  </w:tr>
                  <w:tr w:rsidR="00DB0C3A" w:rsidTr="00C33A79">
                    <w:tc>
                      <w:tcPr>
                        <w:tcW w:w="1559" w:type="dxa"/>
                        <w:shd w:val="clear" w:color="auto" w:fill="F2F2F2" w:themeFill="background1" w:themeFillShade="F2"/>
                      </w:tcPr>
                      <w:p w:rsidR="00DB0C3A" w:rsidRPr="002D6D85" w:rsidRDefault="00DB0C3A" w:rsidP="00DB0C3A">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r>
                </w:tbl>
                <w:p w:rsidR="003E27FE" w:rsidRPr="00B1465D" w:rsidRDefault="003E27FE" w:rsidP="0047187D">
                  <w:pPr>
                    <w:pStyle w:val="Figure"/>
                    <w:spacing w:before="60" w:after="60"/>
                    <w:rPr>
                      <w:rFonts w:ascii="Arial" w:hAnsi="Arial" w:cs="Arial"/>
                      <w:sz w:val="18"/>
                      <w:szCs w:val="18"/>
                    </w:rPr>
                  </w:pPr>
                </w:p>
              </w:tc>
            </w:tr>
          </w:tbl>
          <w:p w:rsidR="003E27FE" w:rsidRDefault="003E27FE" w:rsidP="0047187D">
            <w:pPr>
              <w:pStyle w:val="Figure"/>
            </w:pPr>
          </w:p>
        </w:tc>
      </w:tr>
      <w:tr w:rsidR="003E27FE" w:rsidRPr="00176D3F" w:rsidTr="0047187D">
        <w:tc>
          <w:tcPr>
            <w:tcW w:w="5000" w:type="pct"/>
            <w:tcBorders>
              <w:top w:val="nil"/>
              <w:left w:val="nil"/>
              <w:bottom w:val="nil"/>
              <w:right w:val="nil"/>
            </w:tcBorders>
            <w:shd w:val="clear" w:color="auto" w:fill="auto"/>
          </w:tcPr>
          <w:p w:rsidR="003E27FE" w:rsidRPr="00176D3F" w:rsidRDefault="003E27FE" w:rsidP="0047187D">
            <w:pPr>
              <w:pStyle w:val="Note"/>
            </w:pPr>
            <w:r>
              <w:rPr>
                <w:rStyle w:val="NoteLabel"/>
              </w:rPr>
              <w:t>a</w:t>
            </w:r>
            <w:r w:rsidR="00351496">
              <w:t xml:space="preserve"> Bars represent the </w:t>
            </w:r>
            <w:r w:rsidR="00532D77">
              <w:t>95 per cent probability range for a segment’s coefficient.</w:t>
            </w:r>
            <w:r w:rsidR="00351496">
              <w:t xml:space="preserve"> Dots represent </w:t>
            </w:r>
            <w:r w:rsidR="00532D77">
              <w:t>the median</w:t>
            </w:r>
            <w:r w:rsidR="00351496">
              <w:t>.</w:t>
            </w:r>
          </w:p>
        </w:tc>
      </w:tr>
      <w:tr w:rsidR="003E27FE" w:rsidTr="0047187D">
        <w:tc>
          <w:tcPr>
            <w:tcW w:w="5000" w:type="pct"/>
            <w:tcBorders>
              <w:top w:val="nil"/>
              <w:left w:val="nil"/>
              <w:bottom w:val="single" w:sz="6" w:space="0" w:color="78A22F"/>
              <w:right w:val="nil"/>
            </w:tcBorders>
            <w:shd w:val="clear" w:color="auto" w:fill="auto"/>
          </w:tcPr>
          <w:p w:rsidR="003E27FE" w:rsidRDefault="003E27FE" w:rsidP="0047187D">
            <w:pPr>
              <w:pStyle w:val="Figurespace"/>
            </w:pPr>
          </w:p>
        </w:tc>
      </w:tr>
      <w:tr w:rsidR="003E27FE" w:rsidRPr="000863A5" w:rsidTr="0047187D">
        <w:tc>
          <w:tcPr>
            <w:tcW w:w="5000" w:type="pct"/>
            <w:tcBorders>
              <w:top w:val="single" w:sz="6" w:space="0" w:color="78A22F"/>
              <w:left w:val="nil"/>
              <w:bottom w:val="nil"/>
              <w:right w:val="nil"/>
            </w:tcBorders>
          </w:tcPr>
          <w:p w:rsidR="003E27FE" w:rsidRPr="00626D32" w:rsidRDefault="003E27FE" w:rsidP="0047187D">
            <w:pPr>
              <w:pStyle w:val="BoxSpaceBelow"/>
            </w:pPr>
          </w:p>
        </w:tc>
      </w:tr>
    </w:tbl>
    <w:p w:rsidR="003F69CF" w:rsidRDefault="003F69CF" w:rsidP="004718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F69CF" w:rsidTr="0047187D">
        <w:trPr>
          <w:tblHeader/>
        </w:trPr>
        <w:tc>
          <w:tcPr>
            <w:tcW w:w="5000" w:type="pct"/>
            <w:tcBorders>
              <w:top w:val="single" w:sz="6" w:space="0" w:color="78A22F"/>
              <w:left w:val="nil"/>
              <w:bottom w:val="nil"/>
              <w:right w:val="nil"/>
            </w:tcBorders>
            <w:shd w:val="clear" w:color="auto" w:fill="auto"/>
          </w:tcPr>
          <w:p w:rsidR="003F69CF" w:rsidRDefault="00AD49D3" w:rsidP="0047187D">
            <w:pPr>
              <w:pStyle w:val="FigureTitle"/>
            </w:pPr>
            <w:r w:rsidRPr="00784A05">
              <w:rPr>
                <w:b w:val="0"/>
              </w:rPr>
              <w:t>Figure</w:t>
            </w:r>
            <w:r w:rsidR="0063190B">
              <w:rPr>
                <w:b w:val="0"/>
              </w:rPr>
              <w:t xml:space="preserve"> </w:t>
            </w:r>
            <w:bookmarkStart w:id="56" w:name="OLE_LINK27"/>
            <w:r w:rsidR="004325AA">
              <w:rPr>
                <w:b w:val="0"/>
                <w:noProof/>
              </w:rPr>
              <w:t>20</w:t>
            </w:r>
            <w:bookmarkEnd w:id="56"/>
            <w:r w:rsidR="003F69CF">
              <w:tab/>
            </w:r>
            <w:r w:rsidR="002F1558">
              <w:t xml:space="preserve">Little evidence of </w:t>
            </w:r>
            <w:r w:rsidR="00E4016C">
              <w:t>pass</w:t>
            </w:r>
            <w:r w:rsidR="00E4016C">
              <w:noBreakHyphen/>
              <w:t>through of administration expense</w:t>
            </w:r>
            <w:r w:rsidR="002F1558">
              <w:t xml:space="preserve"> savings </w:t>
            </w:r>
            <w:r w:rsidR="00E4016C">
              <w:t xml:space="preserve">from economies of scale gains </w:t>
            </w:r>
            <w:r w:rsidR="00BF2E25">
              <w:t>—</w:t>
            </w:r>
            <w:r w:rsidR="004F70BB">
              <w:t xml:space="preserve"> </w:t>
            </w:r>
            <w:r w:rsidR="002F1558">
              <w:t>fund level</w:t>
            </w:r>
            <w:r w:rsidR="00E4016C" w:rsidRPr="00F71DF5">
              <w:rPr>
                <w:rStyle w:val="NoteLabel"/>
                <w:b/>
                <w:position w:val="10"/>
              </w:rPr>
              <w:t>a</w:t>
            </w:r>
          </w:p>
          <w:p w:rsidR="003F69CF" w:rsidRPr="00176D3F" w:rsidRDefault="002F1558" w:rsidP="00511168">
            <w:pPr>
              <w:pStyle w:val="Subtitle"/>
            </w:pPr>
            <w:r>
              <w:t xml:space="preserve">Share of realised </w:t>
            </w:r>
            <w:r w:rsidR="00511168">
              <w:t>economies of scale</w:t>
            </w:r>
            <w:r>
              <w:t xml:space="preserve"> gains </w:t>
            </w:r>
            <w:r w:rsidR="00511168">
              <w:t xml:space="preserve">in administration expenses </w:t>
            </w:r>
            <w:r>
              <w:t>passed through as lower fees</w:t>
            </w:r>
            <w:r w:rsidR="00E4016C">
              <w:t>, per cent</w:t>
            </w:r>
          </w:p>
        </w:tc>
      </w:tr>
      <w:tr w:rsidR="003F69CF" w:rsidTr="004718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F69CF" w:rsidRPr="00B1465D" w:rsidTr="0047187D">
              <w:trPr>
                <w:tblHeader/>
                <w:jc w:val="center"/>
              </w:trPr>
              <w:tc>
                <w:tcPr>
                  <w:tcW w:w="5000" w:type="pct"/>
                  <w:tcBorders>
                    <w:top w:val="nil"/>
                    <w:bottom w:val="nil"/>
                  </w:tcBorders>
                </w:tcPr>
                <w:p w:rsidR="003F69CF" w:rsidRDefault="00610D79" w:rsidP="0047187D">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30673ECB" wp14:editId="03E0D1A9">
                        <wp:extent cx="5577840" cy="2788920"/>
                        <wp:effectExtent l="0" t="0" r="0" b="0"/>
                        <wp:docPr id="29" name="Picture 29" descr="The figure shows the estimated range of the administration passthrough coefficient for each fund represented as a bar, and the median represented as a dot. The top part of the plot corresponds to passthrough while the bottom part corresponds to retention. The median is appears to be evenly distributed between the two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7840" cy="27889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DB0C3A" w:rsidTr="00C33A79">
                    <w:trPr>
                      <w:tblHeader/>
                    </w:trPr>
                    <w:tc>
                      <w:tcPr>
                        <w:tcW w:w="1559"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SuperRatings and APRA</w:t>
                        </w:r>
                        <w:r w:rsidR="00573776">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data</w:t>
                        </w:r>
                        <w:r w:rsidR="00F76FED">
                          <w:rPr>
                            <w:rFonts w:ascii="Arial" w:eastAsia="+mn-ea" w:hAnsi="Arial" w:cs="Arial"/>
                            <w:color w:val="000000" w:themeColor="text1"/>
                            <w:kern w:val="24"/>
                            <w:sz w:val="18"/>
                            <w:szCs w:val="18"/>
                          </w:rPr>
                          <w:t>.</w:t>
                        </w:r>
                      </w:p>
                    </w:tc>
                  </w:tr>
                  <w:tr w:rsidR="00DB0C3A" w:rsidRPr="001F53B0" w:rsidTr="00C33A79">
                    <w:tc>
                      <w:tcPr>
                        <w:tcW w:w="1559"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DB0C3A" w:rsidRPr="001F53B0" w:rsidRDefault="00C45DA8" w:rsidP="00DB0C3A">
                        <w:pPr>
                          <w:pStyle w:val="Figure"/>
                          <w:spacing w:before="0" w:after="0"/>
                          <w:jc w:val="left"/>
                          <w:rPr>
                            <w:color w:val="000000" w:themeColor="text1"/>
                          </w:rPr>
                        </w:pPr>
                        <w:r w:rsidRPr="00BF2E25">
                          <w:rPr>
                            <w:rFonts w:ascii="Arial" w:hAnsi="Arial"/>
                            <w:color w:val="000000" w:themeColor="text1"/>
                            <w:kern w:val="24"/>
                            <w:sz w:val="18"/>
                          </w:rPr>
                          <w:t xml:space="preserve">134 </w:t>
                        </w:r>
                        <w:r w:rsidR="00DB0C3A" w:rsidRPr="00BF2E25">
                          <w:rPr>
                            <w:rFonts w:ascii="Arial" w:hAnsi="Arial"/>
                            <w:color w:val="000000" w:themeColor="text1"/>
                            <w:kern w:val="24"/>
                            <w:sz w:val="18"/>
                          </w:rPr>
                          <w:t xml:space="preserve">funds representing </w:t>
                        </w:r>
                        <w:r w:rsidR="00362E1C">
                          <w:rPr>
                            <w:rFonts w:ascii="Arial" w:eastAsia="+mn-ea" w:hAnsi="Arial" w:cs="Arial"/>
                            <w:color w:val="000000" w:themeColor="text1"/>
                            <w:kern w:val="24"/>
                            <w:sz w:val="18"/>
                            <w:szCs w:val="18"/>
                          </w:rPr>
                          <w:t>84 </w:t>
                        </w:r>
                        <w:r w:rsidR="006B6ADD">
                          <w:rPr>
                            <w:rFonts w:ascii="Arial" w:eastAsia="+mn-ea" w:hAnsi="Arial" w:cs="Arial"/>
                            <w:color w:val="000000" w:themeColor="text1"/>
                            <w:kern w:val="24"/>
                            <w:sz w:val="18"/>
                            <w:szCs w:val="18"/>
                          </w:rPr>
                          <w:t xml:space="preserve">per cent and </w:t>
                        </w:r>
                        <w:r w:rsidR="00362E1C">
                          <w:rPr>
                            <w:rFonts w:ascii="Arial" w:eastAsia="+mn-ea" w:hAnsi="Arial" w:cs="Arial"/>
                            <w:color w:val="000000" w:themeColor="text1"/>
                            <w:kern w:val="24"/>
                            <w:sz w:val="18"/>
                            <w:szCs w:val="18"/>
                          </w:rPr>
                          <w:t>53</w:t>
                        </w:r>
                        <w:r w:rsidR="00362E1C" w:rsidRPr="00BF2E25">
                          <w:rPr>
                            <w:rFonts w:ascii="Arial" w:hAnsi="Arial"/>
                            <w:color w:val="000000" w:themeColor="text1"/>
                            <w:kern w:val="24"/>
                            <w:sz w:val="18"/>
                          </w:rPr>
                          <w:t> </w:t>
                        </w:r>
                        <w:r w:rsidR="00DB0C3A" w:rsidRPr="00BF2E25">
                          <w:rPr>
                            <w:rFonts w:ascii="Arial" w:hAnsi="Arial"/>
                            <w:color w:val="000000" w:themeColor="text1"/>
                            <w:kern w:val="24"/>
                            <w:sz w:val="18"/>
                          </w:rPr>
                          <w:t xml:space="preserve">per cent of the system </w:t>
                        </w:r>
                        <w:r w:rsidR="00362E1C">
                          <w:rPr>
                            <w:rFonts w:ascii="Arial" w:hAnsi="Arial"/>
                            <w:color w:val="000000" w:themeColor="text1"/>
                            <w:kern w:val="24"/>
                            <w:sz w:val="18"/>
                          </w:rPr>
                          <w:t>by assets</w:t>
                        </w:r>
                        <w:r w:rsidR="00DB0C3A" w:rsidRPr="00BF2E25">
                          <w:rPr>
                            <w:rFonts w:ascii="Arial" w:hAnsi="Arial"/>
                            <w:color w:val="000000" w:themeColor="text1"/>
                            <w:kern w:val="24"/>
                            <w:sz w:val="18"/>
                          </w:rPr>
                          <w:t xml:space="preserve"> in 2015</w:t>
                        </w:r>
                        <w:r w:rsidR="00F640C8">
                          <w:rPr>
                            <w:rFonts w:ascii="Arial" w:hAnsi="Arial"/>
                            <w:color w:val="000000" w:themeColor="text1"/>
                            <w:kern w:val="24"/>
                            <w:sz w:val="18"/>
                          </w:rPr>
                          <w:noBreakHyphen/>
                        </w:r>
                        <w:r w:rsidR="00DB0C3A" w:rsidRPr="00BF2E25">
                          <w:rPr>
                            <w:rFonts w:ascii="Arial" w:hAnsi="Arial"/>
                            <w:color w:val="000000" w:themeColor="text1"/>
                            <w:kern w:val="24"/>
                            <w:sz w:val="18"/>
                          </w:rPr>
                          <w:t>16</w:t>
                        </w:r>
                        <w:r w:rsidR="006B6ADD">
                          <w:rPr>
                            <w:rFonts w:ascii="Arial" w:eastAsia="+mn-ea" w:hAnsi="Arial" w:cs="Arial"/>
                            <w:color w:val="000000" w:themeColor="text1"/>
                            <w:kern w:val="24"/>
                            <w:sz w:val="18"/>
                            <w:szCs w:val="18"/>
                          </w:rPr>
                          <w:t xml:space="preserve"> and 2005</w:t>
                        </w:r>
                        <w:r w:rsidR="00F640C8">
                          <w:rPr>
                            <w:rFonts w:ascii="Arial" w:eastAsia="+mn-ea" w:hAnsi="Arial" w:cs="Arial"/>
                            <w:color w:val="000000" w:themeColor="text1"/>
                            <w:kern w:val="24"/>
                            <w:sz w:val="18"/>
                            <w:szCs w:val="18"/>
                          </w:rPr>
                          <w:noBreakHyphen/>
                        </w:r>
                        <w:r w:rsidR="006B6ADD">
                          <w:rPr>
                            <w:rFonts w:ascii="Arial" w:eastAsia="+mn-ea" w:hAnsi="Arial" w:cs="Arial"/>
                            <w:color w:val="000000" w:themeColor="text1"/>
                            <w:kern w:val="24"/>
                            <w:sz w:val="18"/>
                            <w:szCs w:val="18"/>
                          </w:rPr>
                          <w:t>06 respectively for administration and investment. Excludes funds with less than two years of data</w:t>
                        </w:r>
                        <w:r w:rsidR="00DB0C3A" w:rsidRPr="00BF2E25">
                          <w:rPr>
                            <w:rFonts w:ascii="Arial" w:hAnsi="Arial"/>
                            <w:color w:val="000000" w:themeColor="text1"/>
                            <w:kern w:val="24"/>
                            <w:sz w:val="18"/>
                          </w:rPr>
                          <w:t>.</w:t>
                        </w:r>
                      </w:p>
                    </w:tc>
                  </w:tr>
                  <w:tr w:rsidR="00DB0C3A" w:rsidTr="00C33A79">
                    <w:tc>
                      <w:tcPr>
                        <w:tcW w:w="1559" w:type="dxa"/>
                        <w:shd w:val="clear" w:color="auto" w:fill="F2F2F2" w:themeFill="background1" w:themeFillShade="F2"/>
                      </w:tcPr>
                      <w:p w:rsidR="00DB0C3A" w:rsidRPr="002D6D85" w:rsidRDefault="00DB0C3A" w:rsidP="00DB0C3A">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r>
                </w:tbl>
                <w:p w:rsidR="003F69CF" w:rsidRPr="00B1465D" w:rsidRDefault="003F69CF" w:rsidP="0047187D">
                  <w:pPr>
                    <w:pStyle w:val="Figure"/>
                    <w:spacing w:before="60" w:after="60"/>
                    <w:rPr>
                      <w:rFonts w:ascii="Arial" w:hAnsi="Arial" w:cs="Arial"/>
                      <w:sz w:val="18"/>
                      <w:szCs w:val="18"/>
                    </w:rPr>
                  </w:pPr>
                </w:p>
              </w:tc>
            </w:tr>
          </w:tbl>
          <w:p w:rsidR="003F69CF" w:rsidRDefault="003F69CF" w:rsidP="0047187D">
            <w:pPr>
              <w:pStyle w:val="Figure"/>
            </w:pPr>
          </w:p>
        </w:tc>
      </w:tr>
      <w:tr w:rsidR="003F69CF" w:rsidRPr="00176D3F" w:rsidTr="0047187D">
        <w:tc>
          <w:tcPr>
            <w:tcW w:w="5000" w:type="pct"/>
            <w:tcBorders>
              <w:top w:val="nil"/>
              <w:left w:val="nil"/>
              <w:bottom w:val="nil"/>
              <w:right w:val="nil"/>
            </w:tcBorders>
            <w:shd w:val="clear" w:color="auto" w:fill="auto"/>
          </w:tcPr>
          <w:p w:rsidR="003F69CF" w:rsidRPr="00176D3F" w:rsidRDefault="003F69CF" w:rsidP="0047187D">
            <w:pPr>
              <w:pStyle w:val="Note"/>
            </w:pPr>
            <w:r>
              <w:rPr>
                <w:rStyle w:val="NoteLabel"/>
              </w:rPr>
              <w:t>a</w:t>
            </w:r>
            <w:r>
              <w:t xml:space="preserve"> </w:t>
            </w:r>
            <w:r w:rsidR="00351496">
              <w:t>Bars capture the 9</w:t>
            </w:r>
            <w:r w:rsidR="00F32820">
              <w:t>5</w:t>
            </w:r>
            <w:r w:rsidR="00351496">
              <w:t xml:space="preserve"> per cent probability range for a fund’s coefficient. </w:t>
            </w:r>
            <w:r w:rsidR="006175C6">
              <w:t>The black d</w:t>
            </w:r>
            <w:r w:rsidR="00351496">
              <w:t>ots represent the median</w:t>
            </w:r>
            <w:r w:rsidR="006175C6">
              <w:t xml:space="preserve"> for each fund</w:t>
            </w:r>
            <w:r w:rsidR="00351496">
              <w:t>.</w:t>
            </w:r>
          </w:p>
        </w:tc>
      </w:tr>
      <w:tr w:rsidR="003F69CF" w:rsidTr="0047187D">
        <w:tc>
          <w:tcPr>
            <w:tcW w:w="5000" w:type="pct"/>
            <w:tcBorders>
              <w:top w:val="nil"/>
              <w:left w:val="nil"/>
              <w:bottom w:val="single" w:sz="6" w:space="0" w:color="78A22F"/>
              <w:right w:val="nil"/>
            </w:tcBorders>
            <w:shd w:val="clear" w:color="auto" w:fill="auto"/>
          </w:tcPr>
          <w:p w:rsidR="003F69CF" w:rsidRDefault="003F69CF" w:rsidP="0047187D">
            <w:pPr>
              <w:pStyle w:val="Figurespace"/>
            </w:pPr>
          </w:p>
        </w:tc>
      </w:tr>
      <w:tr w:rsidR="003F69CF" w:rsidRPr="000863A5" w:rsidTr="0047187D">
        <w:tc>
          <w:tcPr>
            <w:tcW w:w="5000" w:type="pct"/>
            <w:tcBorders>
              <w:top w:val="single" w:sz="6" w:space="0" w:color="78A22F"/>
              <w:left w:val="nil"/>
              <w:bottom w:val="nil"/>
              <w:right w:val="nil"/>
            </w:tcBorders>
          </w:tcPr>
          <w:p w:rsidR="003F69CF" w:rsidRPr="00626D32" w:rsidRDefault="003F69CF" w:rsidP="0047187D">
            <w:pPr>
              <w:pStyle w:val="BoxSpaceBelow"/>
            </w:pPr>
          </w:p>
        </w:tc>
      </w:tr>
    </w:tbl>
    <w:p w:rsidR="003F69CF" w:rsidRDefault="003F69CF" w:rsidP="004718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F69CF" w:rsidTr="0047187D">
        <w:trPr>
          <w:tblHeader/>
        </w:trPr>
        <w:tc>
          <w:tcPr>
            <w:tcW w:w="5000" w:type="pct"/>
            <w:tcBorders>
              <w:top w:val="single" w:sz="6" w:space="0" w:color="78A22F"/>
              <w:left w:val="nil"/>
              <w:bottom w:val="nil"/>
              <w:right w:val="nil"/>
            </w:tcBorders>
            <w:shd w:val="clear" w:color="auto" w:fill="auto"/>
          </w:tcPr>
          <w:p w:rsidR="002F1558" w:rsidRDefault="003F69CF" w:rsidP="002F1558">
            <w:pPr>
              <w:pStyle w:val="FigureTitle"/>
            </w:pPr>
            <w:r w:rsidRPr="00784A05">
              <w:rPr>
                <w:b w:val="0"/>
              </w:rPr>
              <w:t xml:space="preserve">Figure </w:t>
            </w:r>
            <w:bookmarkStart w:id="57" w:name="OLE_LINK28"/>
            <w:r w:rsidR="004325AA">
              <w:rPr>
                <w:b w:val="0"/>
                <w:noProof/>
              </w:rPr>
              <w:t>21</w:t>
            </w:r>
            <w:bookmarkEnd w:id="57"/>
            <w:r>
              <w:tab/>
            </w:r>
            <w:r w:rsidR="00E4016C" w:rsidRPr="00E4016C">
              <w:rPr>
                <w:spacing w:val="-2"/>
              </w:rPr>
              <w:t>Little evidence of pass</w:t>
            </w:r>
            <w:r w:rsidR="00E4016C" w:rsidRPr="00E4016C">
              <w:rPr>
                <w:spacing w:val="-2"/>
              </w:rPr>
              <w:noBreakHyphen/>
              <w:t xml:space="preserve">through of investment management expense savings from economies of scale gains </w:t>
            </w:r>
            <w:r w:rsidR="00BF2E25">
              <w:t>—</w:t>
            </w:r>
            <w:r w:rsidR="004F70BB">
              <w:rPr>
                <w:spacing w:val="-2"/>
              </w:rPr>
              <w:t xml:space="preserve"> </w:t>
            </w:r>
            <w:r w:rsidR="00E4016C" w:rsidRPr="00E4016C">
              <w:rPr>
                <w:spacing w:val="-2"/>
              </w:rPr>
              <w:t>fund level</w:t>
            </w:r>
            <w:r w:rsidR="00E4016C" w:rsidRPr="00E4016C">
              <w:rPr>
                <w:rStyle w:val="NoteLabel"/>
                <w:b/>
                <w:spacing w:val="-2"/>
              </w:rPr>
              <w:t>a</w:t>
            </w:r>
          </w:p>
          <w:p w:rsidR="003F69CF" w:rsidRPr="00176D3F" w:rsidRDefault="002F1558" w:rsidP="00511168">
            <w:pPr>
              <w:pStyle w:val="Subtitle"/>
            </w:pPr>
            <w:r>
              <w:t xml:space="preserve">Share of realised </w:t>
            </w:r>
            <w:r w:rsidR="00511168">
              <w:t xml:space="preserve">economies of scale in </w:t>
            </w:r>
            <w:r>
              <w:t>invest</w:t>
            </w:r>
            <w:r w:rsidR="0025404F">
              <w:t>ment expense</w:t>
            </w:r>
            <w:r>
              <w:t xml:space="preserve"> gains passed through as lower fees</w:t>
            </w:r>
          </w:p>
        </w:tc>
      </w:tr>
      <w:tr w:rsidR="003F69CF" w:rsidTr="004718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F69CF" w:rsidRPr="00B1465D" w:rsidTr="0047187D">
              <w:trPr>
                <w:tblHeader/>
                <w:jc w:val="center"/>
              </w:trPr>
              <w:tc>
                <w:tcPr>
                  <w:tcW w:w="5000" w:type="pct"/>
                  <w:tcBorders>
                    <w:top w:val="nil"/>
                    <w:bottom w:val="nil"/>
                  </w:tcBorders>
                </w:tcPr>
                <w:p w:rsidR="003F69CF" w:rsidRDefault="00610D79" w:rsidP="0047187D">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62D7E0B0" wp14:editId="0ED3A4CB">
                        <wp:extent cx="5577840" cy="2788920"/>
                        <wp:effectExtent l="0" t="0" r="0" b="0"/>
                        <wp:docPr id="34" name="Picture 34" descr="The figure shows the estimated range of the investment passthrough coefficient for each fund represented as a bar, and the median represented as a dot. The top part of the plot corresponds to passthrough while the bottom part corresponds to retention. The median for most funds are in the retention region, suggesting there is little evidence of pass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7840" cy="27889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DB0C3A" w:rsidTr="00C33A79">
                    <w:trPr>
                      <w:tblHeader/>
                    </w:trPr>
                    <w:tc>
                      <w:tcPr>
                        <w:tcW w:w="1559"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SuperRatings and APRA</w:t>
                        </w:r>
                        <w:r w:rsidR="00573776">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data</w:t>
                        </w:r>
                        <w:r w:rsidR="00573776">
                          <w:rPr>
                            <w:rFonts w:ascii="Arial" w:eastAsia="+mn-ea" w:hAnsi="Arial" w:cs="Arial"/>
                            <w:color w:val="000000" w:themeColor="text1"/>
                            <w:kern w:val="24"/>
                            <w:sz w:val="18"/>
                            <w:szCs w:val="18"/>
                          </w:rPr>
                          <w:t>.</w:t>
                        </w:r>
                      </w:p>
                    </w:tc>
                  </w:tr>
                  <w:tr w:rsidR="00DB0C3A" w:rsidRPr="001F53B0" w:rsidTr="00C33A79">
                    <w:tc>
                      <w:tcPr>
                        <w:tcW w:w="1559"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DB0C3A" w:rsidRPr="001F53B0" w:rsidRDefault="00362E1C" w:rsidP="00DB0C3A">
                        <w:pPr>
                          <w:pStyle w:val="Figure"/>
                          <w:spacing w:before="0" w:after="0"/>
                          <w:jc w:val="left"/>
                          <w:rPr>
                            <w:color w:val="000000" w:themeColor="text1"/>
                          </w:rPr>
                        </w:pPr>
                        <w:r w:rsidRPr="00BF2E25">
                          <w:rPr>
                            <w:rFonts w:ascii="Arial" w:hAnsi="Arial"/>
                            <w:color w:val="000000" w:themeColor="text1"/>
                            <w:kern w:val="24"/>
                            <w:sz w:val="18"/>
                          </w:rPr>
                          <w:t xml:space="preserve">134 funds representing </w:t>
                        </w:r>
                        <w:r>
                          <w:rPr>
                            <w:rFonts w:ascii="Arial" w:eastAsia="+mn-ea" w:hAnsi="Arial" w:cs="Arial"/>
                            <w:color w:val="000000" w:themeColor="text1"/>
                            <w:kern w:val="24"/>
                            <w:sz w:val="18"/>
                            <w:szCs w:val="18"/>
                          </w:rPr>
                          <w:t>84 per cent and 53</w:t>
                        </w:r>
                        <w:r w:rsidRPr="00BF2E25">
                          <w:rPr>
                            <w:rFonts w:ascii="Arial" w:hAnsi="Arial"/>
                            <w:color w:val="000000" w:themeColor="text1"/>
                            <w:kern w:val="24"/>
                            <w:sz w:val="18"/>
                          </w:rPr>
                          <w:t> per cent of the system</w:t>
                        </w:r>
                        <w:r>
                          <w:rPr>
                            <w:rFonts w:ascii="Arial" w:hAnsi="Arial"/>
                            <w:color w:val="000000" w:themeColor="text1"/>
                            <w:kern w:val="24"/>
                            <w:sz w:val="18"/>
                          </w:rPr>
                          <w:t xml:space="preserve"> by assets</w:t>
                        </w:r>
                        <w:r w:rsidRPr="00BF2E25">
                          <w:rPr>
                            <w:rFonts w:ascii="Arial" w:hAnsi="Arial"/>
                            <w:color w:val="000000" w:themeColor="text1"/>
                            <w:kern w:val="24"/>
                            <w:sz w:val="18"/>
                          </w:rPr>
                          <w:t xml:space="preserve"> in 2015</w:t>
                        </w:r>
                        <w:r w:rsidR="00F640C8">
                          <w:rPr>
                            <w:rFonts w:ascii="Arial" w:hAnsi="Arial"/>
                            <w:color w:val="000000" w:themeColor="text1"/>
                            <w:kern w:val="24"/>
                            <w:sz w:val="18"/>
                          </w:rPr>
                          <w:noBreakHyphen/>
                        </w:r>
                        <w:r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sidR="00F640C8">
                          <w:rPr>
                            <w:rFonts w:ascii="Arial" w:eastAsia="+mn-ea" w:hAnsi="Arial" w:cs="Arial"/>
                            <w:color w:val="000000" w:themeColor="text1"/>
                            <w:kern w:val="24"/>
                            <w:sz w:val="18"/>
                            <w:szCs w:val="18"/>
                          </w:rPr>
                          <w:noBreakHyphen/>
                        </w:r>
                        <w:r>
                          <w:rPr>
                            <w:rFonts w:ascii="Arial" w:eastAsia="+mn-ea" w:hAnsi="Arial" w:cs="Arial"/>
                            <w:color w:val="000000" w:themeColor="text1"/>
                            <w:kern w:val="24"/>
                            <w:sz w:val="18"/>
                            <w:szCs w:val="18"/>
                          </w:rPr>
                          <w:t>06 respectively for administration and investment. Excludes funds with less than two years of data</w:t>
                        </w:r>
                        <w:r w:rsidRPr="00BF2E25">
                          <w:rPr>
                            <w:rFonts w:ascii="Arial" w:hAnsi="Arial"/>
                            <w:color w:val="000000" w:themeColor="text1"/>
                            <w:kern w:val="24"/>
                            <w:sz w:val="18"/>
                          </w:rPr>
                          <w:t>.</w:t>
                        </w:r>
                      </w:p>
                    </w:tc>
                  </w:tr>
                  <w:tr w:rsidR="00DB0C3A" w:rsidTr="00C33A79">
                    <w:tc>
                      <w:tcPr>
                        <w:tcW w:w="1559" w:type="dxa"/>
                        <w:shd w:val="clear" w:color="auto" w:fill="F2F2F2" w:themeFill="background1" w:themeFillShade="F2"/>
                      </w:tcPr>
                      <w:p w:rsidR="00DB0C3A" w:rsidRPr="002D6D85" w:rsidRDefault="00DB0C3A" w:rsidP="00DB0C3A">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rsidR="00DB0C3A" w:rsidRDefault="00DB0C3A" w:rsidP="00DB0C3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r>
                </w:tbl>
                <w:p w:rsidR="003F69CF" w:rsidRPr="00B1465D" w:rsidRDefault="003F69CF" w:rsidP="0047187D">
                  <w:pPr>
                    <w:pStyle w:val="Figure"/>
                    <w:spacing w:before="60" w:after="60"/>
                    <w:rPr>
                      <w:rFonts w:ascii="Arial" w:hAnsi="Arial" w:cs="Arial"/>
                      <w:sz w:val="18"/>
                      <w:szCs w:val="18"/>
                    </w:rPr>
                  </w:pPr>
                </w:p>
              </w:tc>
            </w:tr>
          </w:tbl>
          <w:p w:rsidR="003F69CF" w:rsidRDefault="003F69CF" w:rsidP="0047187D">
            <w:pPr>
              <w:pStyle w:val="Figure"/>
            </w:pPr>
          </w:p>
        </w:tc>
      </w:tr>
      <w:tr w:rsidR="003F69CF" w:rsidRPr="00176D3F" w:rsidTr="0047187D">
        <w:tc>
          <w:tcPr>
            <w:tcW w:w="5000" w:type="pct"/>
            <w:tcBorders>
              <w:top w:val="nil"/>
              <w:left w:val="nil"/>
              <w:bottom w:val="nil"/>
              <w:right w:val="nil"/>
            </w:tcBorders>
            <w:shd w:val="clear" w:color="auto" w:fill="auto"/>
          </w:tcPr>
          <w:p w:rsidR="003F69CF" w:rsidRPr="00176D3F" w:rsidRDefault="00351496" w:rsidP="0047187D">
            <w:pPr>
              <w:pStyle w:val="Note"/>
            </w:pPr>
            <w:r>
              <w:rPr>
                <w:rStyle w:val="NoteLabel"/>
              </w:rPr>
              <w:t>a</w:t>
            </w:r>
            <w:r>
              <w:t xml:space="preserve"> Bars capture the </w:t>
            </w:r>
            <w:r w:rsidR="00532D77">
              <w:t>95</w:t>
            </w:r>
            <w:r>
              <w:t xml:space="preserve"> per cent probability range for a fund’s coefficient. </w:t>
            </w:r>
            <w:r w:rsidR="006175C6">
              <w:t>The black d</w:t>
            </w:r>
            <w:r>
              <w:t>ots represent the median</w:t>
            </w:r>
            <w:r w:rsidR="006175C6">
              <w:t xml:space="preserve"> for each fund</w:t>
            </w:r>
            <w:r>
              <w:t>.</w:t>
            </w:r>
          </w:p>
        </w:tc>
      </w:tr>
      <w:tr w:rsidR="003F69CF" w:rsidTr="0047187D">
        <w:tc>
          <w:tcPr>
            <w:tcW w:w="5000" w:type="pct"/>
            <w:tcBorders>
              <w:top w:val="nil"/>
              <w:left w:val="nil"/>
              <w:bottom w:val="single" w:sz="6" w:space="0" w:color="78A22F"/>
              <w:right w:val="nil"/>
            </w:tcBorders>
            <w:shd w:val="clear" w:color="auto" w:fill="auto"/>
          </w:tcPr>
          <w:p w:rsidR="003F69CF" w:rsidRDefault="003F69CF" w:rsidP="0047187D">
            <w:pPr>
              <w:pStyle w:val="Figurespace"/>
            </w:pPr>
          </w:p>
        </w:tc>
      </w:tr>
      <w:tr w:rsidR="003F69CF" w:rsidRPr="000863A5" w:rsidTr="0047187D">
        <w:tc>
          <w:tcPr>
            <w:tcW w:w="5000" w:type="pct"/>
            <w:tcBorders>
              <w:top w:val="single" w:sz="6" w:space="0" w:color="78A22F"/>
              <w:left w:val="nil"/>
              <w:bottom w:val="nil"/>
              <w:right w:val="nil"/>
            </w:tcBorders>
          </w:tcPr>
          <w:p w:rsidR="003F69CF" w:rsidRPr="00626D32" w:rsidRDefault="003F69CF" w:rsidP="0047187D">
            <w:pPr>
              <w:pStyle w:val="BoxSpaceBelow"/>
            </w:pPr>
          </w:p>
        </w:tc>
      </w:tr>
    </w:tbl>
    <w:p w:rsidR="00727D8F" w:rsidRDefault="005A59E2" w:rsidP="00727D8F">
      <w:pPr>
        <w:pStyle w:val="Heading3"/>
      </w:pPr>
      <w:bookmarkStart w:id="58" w:name="_Toc530748493"/>
      <w:r>
        <w:t>Economies of scale</w:t>
      </w:r>
      <w:r w:rsidR="00727D8F">
        <w:t xml:space="preserve"> gains </w:t>
      </w:r>
      <w:r w:rsidR="00C21A40">
        <w:t xml:space="preserve">may </w:t>
      </w:r>
      <w:r w:rsidR="00727D8F">
        <w:t>have been passed</w:t>
      </w:r>
      <w:r w:rsidR="00727D8F">
        <w:noBreakHyphen/>
        <w:t xml:space="preserve">through </w:t>
      </w:r>
      <w:r w:rsidR="004E1438">
        <w:br/>
      </w:r>
      <w:r w:rsidR="00727D8F">
        <w:t>as higher returns</w:t>
      </w:r>
      <w:bookmarkEnd w:id="58"/>
    </w:p>
    <w:p w:rsidR="003B11F0" w:rsidRDefault="0034408B" w:rsidP="00066597">
      <w:pPr>
        <w:pStyle w:val="BodyText"/>
        <w:rPr>
          <w:spacing w:val="-2"/>
        </w:rPr>
      </w:pPr>
      <w:r w:rsidRPr="00A9298F">
        <w:rPr>
          <w:spacing w:val="-2"/>
        </w:rPr>
        <w:t xml:space="preserve">Some participants suggested that </w:t>
      </w:r>
      <w:r w:rsidR="003E1FB6" w:rsidRPr="00A9298F">
        <w:rPr>
          <w:spacing w:val="-2"/>
        </w:rPr>
        <w:t xml:space="preserve">increased investment in unlisted assets </w:t>
      </w:r>
      <w:r w:rsidR="00E51961" w:rsidRPr="00A9298F">
        <w:rPr>
          <w:spacing w:val="-2"/>
        </w:rPr>
        <w:t>might</w:t>
      </w:r>
      <w:r w:rsidR="003E1FB6" w:rsidRPr="00A9298F">
        <w:rPr>
          <w:spacing w:val="-2"/>
        </w:rPr>
        <w:t xml:space="preserve"> </w:t>
      </w:r>
      <w:r w:rsidR="00E51961" w:rsidRPr="00A9298F">
        <w:rPr>
          <w:spacing w:val="-2"/>
        </w:rPr>
        <w:t>account for the lack of pass</w:t>
      </w:r>
      <w:r w:rsidR="00E51961" w:rsidRPr="00A9298F">
        <w:rPr>
          <w:spacing w:val="-2"/>
        </w:rPr>
        <w:noBreakHyphen/>
        <w:t>through seen in investment expenses</w:t>
      </w:r>
      <w:r w:rsidR="00812C77">
        <w:rPr>
          <w:spacing w:val="-2"/>
        </w:rPr>
        <w:t xml:space="preserve"> for industry funds</w:t>
      </w:r>
      <w:r w:rsidR="00A87FC8">
        <w:rPr>
          <w:spacing w:val="-2"/>
        </w:rPr>
        <w:t xml:space="preserve"> and </w:t>
      </w:r>
      <w:r w:rsidR="0023244E">
        <w:rPr>
          <w:spacing w:val="-2"/>
        </w:rPr>
        <w:t>indeed</w:t>
      </w:r>
      <w:r w:rsidR="00C079B5">
        <w:rPr>
          <w:spacing w:val="-2"/>
        </w:rPr>
        <w:t>,</w:t>
      </w:r>
      <w:r w:rsidR="0023244E">
        <w:rPr>
          <w:spacing w:val="-2"/>
        </w:rPr>
        <w:t xml:space="preserve"> </w:t>
      </w:r>
      <w:r w:rsidR="00FD6AAF">
        <w:rPr>
          <w:spacing w:val="-2"/>
        </w:rPr>
        <w:t>the lack of estimated realised gains from scale</w:t>
      </w:r>
      <w:r w:rsidR="00017A69">
        <w:rPr>
          <w:spacing w:val="-2"/>
        </w:rPr>
        <w:t xml:space="preserve"> in investment </w:t>
      </w:r>
      <w:r w:rsidR="0023244E">
        <w:rPr>
          <w:spacing w:val="-2"/>
        </w:rPr>
        <w:t>more generally</w:t>
      </w:r>
      <w:r w:rsidR="000373B8">
        <w:rPr>
          <w:spacing w:val="-2"/>
        </w:rPr>
        <w:t>.</w:t>
      </w:r>
      <w:r w:rsidR="00C079B5">
        <w:rPr>
          <w:rStyle w:val="FootnoteReference"/>
          <w:spacing w:val="-2"/>
        </w:rPr>
        <w:footnoteReference w:id="23"/>
      </w:r>
      <w:r w:rsidR="0023244E">
        <w:rPr>
          <w:spacing w:val="-2"/>
        </w:rPr>
        <w:t xml:space="preserve"> </w:t>
      </w:r>
      <w:r w:rsidR="00E51961" w:rsidRPr="00A9298F">
        <w:rPr>
          <w:spacing w:val="-2"/>
        </w:rPr>
        <w:t>U</w:t>
      </w:r>
      <w:r w:rsidR="003E1FB6" w:rsidRPr="00A9298F">
        <w:rPr>
          <w:spacing w:val="-2"/>
        </w:rPr>
        <w:t xml:space="preserve">nlisted assets </w:t>
      </w:r>
      <w:r w:rsidRPr="00A9298F">
        <w:rPr>
          <w:spacing w:val="-2"/>
        </w:rPr>
        <w:t xml:space="preserve">(which </w:t>
      </w:r>
      <w:r w:rsidR="003E1FB6" w:rsidRPr="00A9298F">
        <w:rPr>
          <w:spacing w:val="-2"/>
        </w:rPr>
        <w:t>incur higher investment costs</w:t>
      </w:r>
      <w:r w:rsidRPr="00A9298F">
        <w:rPr>
          <w:spacing w:val="-2"/>
        </w:rPr>
        <w:t>)</w:t>
      </w:r>
      <w:r w:rsidR="00E51961" w:rsidRPr="00A9298F">
        <w:rPr>
          <w:spacing w:val="-2"/>
        </w:rPr>
        <w:t>,</w:t>
      </w:r>
      <w:r w:rsidR="003E1FB6" w:rsidRPr="00A9298F">
        <w:rPr>
          <w:spacing w:val="-2"/>
        </w:rPr>
        <w:t xml:space="preserve"> </w:t>
      </w:r>
      <w:r w:rsidR="00E51961" w:rsidRPr="00A9298F">
        <w:rPr>
          <w:spacing w:val="-2"/>
        </w:rPr>
        <w:t xml:space="preserve">typically obtain </w:t>
      </w:r>
      <w:r w:rsidR="004F70BB">
        <w:rPr>
          <w:spacing w:val="-2"/>
        </w:rPr>
        <w:t xml:space="preserve">higher </w:t>
      </w:r>
      <w:r w:rsidR="00E51961" w:rsidRPr="00A9298F">
        <w:rPr>
          <w:spacing w:val="-2"/>
        </w:rPr>
        <w:t>net returns</w:t>
      </w:r>
      <w:r w:rsidR="004F70BB">
        <w:rPr>
          <w:spacing w:val="-2"/>
        </w:rPr>
        <w:t xml:space="preserve"> over time</w:t>
      </w:r>
      <w:r w:rsidR="00E51961" w:rsidRPr="00A9298F">
        <w:rPr>
          <w:spacing w:val="-2"/>
        </w:rPr>
        <w:t xml:space="preserve"> (partly in compensation for the illiquidity of the assets). This means that if increased investment in unlisted assets consumed some of the cost savings from increased scale, members may have ultimately benefited </w:t>
      </w:r>
      <w:r w:rsidR="00A9298F" w:rsidRPr="00A9298F">
        <w:rPr>
          <w:spacing w:val="-2"/>
        </w:rPr>
        <w:t xml:space="preserve">via </w:t>
      </w:r>
      <w:r w:rsidR="00E51961" w:rsidRPr="00A9298F">
        <w:rPr>
          <w:spacing w:val="-2"/>
        </w:rPr>
        <w:t>higher returns</w:t>
      </w:r>
      <w:r w:rsidR="00F03FD4">
        <w:rPr>
          <w:spacing w:val="-2"/>
        </w:rPr>
        <w:t xml:space="preserve">, and so these higher fees can be viewed as efficient </w:t>
      </w:r>
      <w:r w:rsidR="001A0BD9">
        <w:rPr>
          <w:spacing w:val="-2"/>
        </w:rPr>
        <w:t xml:space="preserve">from a </w:t>
      </w:r>
      <w:r w:rsidR="00F03FD4">
        <w:rPr>
          <w:spacing w:val="-2"/>
        </w:rPr>
        <w:t>member</w:t>
      </w:r>
      <w:r w:rsidR="00363B4A">
        <w:rPr>
          <w:spacing w:val="-2"/>
        </w:rPr>
        <w:t>’</w:t>
      </w:r>
      <w:r w:rsidR="00F03FD4">
        <w:rPr>
          <w:spacing w:val="-2"/>
        </w:rPr>
        <w:t>s</w:t>
      </w:r>
      <w:r w:rsidR="001A0BD9">
        <w:rPr>
          <w:spacing w:val="-2"/>
        </w:rPr>
        <w:t xml:space="preserve"> perspective</w:t>
      </w:r>
      <w:r w:rsidR="00E51961" w:rsidRPr="00A9298F">
        <w:rPr>
          <w:spacing w:val="-2"/>
        </w:rPr>
        <w:t>.</w:t>
      </w:r>
      <w:r w:rsidR="00E51961" w:rsidRPr="00A9298F">
        <w:rPr>
          <w:rStyle w:val="FootnoteReference"/>
          <w:spacing w:val="-2"/>
        </w:rPr>
        <w:footnoteReference w:id="24"/>
      </w:r>
      <w:r w:rsidR="00E51961" w:rsidRPr="00A9298F">
        <w:rPr>
          <w:spacing w:val="-2"/>
        </w:rPr>
        <w:t xml:space="preserve"> </w:t>
      </w:r>
    </w:p>
    <w:p w:rsidR="00FF0D82" w:rsidRPr="00A9298F" w:rsidRDefault="00E51961" w:rsidP="00066597">
      <w:pPr>
        <w:pStyle w:val="BodyText"/>
        <w:rPr>
          <w:spacing w:val="-2"/>
        </w:rPr>
      </w:pPr>
      <w:r w:rsidRPr="00A9298F">
        <w:rPr>
          <w:spacing w:val="-2"/>
        </w:rPr>
        <w:lastRenderedPageBreak/>
        <w:t xml:space="preserve">Unlisted assets </w:t>
      </w:r>
      <w:r w:rsidR="0034408B" w:rsidRPr="00A9298F">
        <w:rPr>
          <w:spacing w:val="-2"/>
        </w:rPr>
        <w:t xml:space="preserve">could </w:t>
      </w:r>
      <w:r w:rsidRPr="00A9298F">
        <w:rPr>
          <w:spacing w:val="-2"/>
        </w:rPr>
        <w:t>contribute to</w:t>
      </w:r>
      <w:r w:rsidR="003E1FB6" w:rsidRPr="00A9298F">
        <w:rPr>
          <w:spacing w:val="-2"/>
        </w:rPr>
        <w:t xml:space="preserve"> increased investment expenses</w:t>
      </w:r>
      <w:r w:rsidR="00CE5298" w:rsidRPr="00A9298F">
        <w:rPr>
          <w:spacing w:val="-2"/>
        </w:rPr>
        <w:t xml:space="preserve"> if larger funds </w:t>
      </w:r>
      <w:r w:rsidR="0034408B" w:rsidRPr="00A9298F">
        <w:rPr>
          <w:spacing w:val="-2"/>
        </w:rPr>
        <w:t xml:space="preserve">invest more </w:t>
      </w:r>
      <w:r w:rsidR="00CE5298" w:rsidRPr="00A9298F">
        <w:rPr>
          <w:spacing w:val="-2"/>
        </w:rPr>
        <w:t xml:space="preserve">heavily in </w:t>
      </w:r>
      <w:r w:rsidR="0034408B" w:rsidRPr="00A9298F">
        <w:rPr>
          <w:spacing w:val="-2"/>
        </w:rPr>
        <w:t xml:space="preserve">unlisted assets as they </w:t>
      </w:r>
      <w:r w:rsidR="00CE5298" w:rsidRPr="00A9298F">
        <w:rPr>
          <w:spacing w:val="-2"/>
        </w:rPr>
        <w:t>grow</w:t>
      </w:r>
      <w:r w:rsidR="0034408B" w:rsidRPr="00A9298F">
        <w:rPr>
          <w:spacing w:val="-2"/>
        </w:rPr>
        <w:t xml:space="preserve">, or there has been a broader move </w:t>
      </w:r>
      <w:r w:rsidR="00CE5298" w:rsidRPr="00A9298F">
        <w:rPr>
          <w:spacing w:val="-2"/>
        </w:rPr>
        <w:t xml:space="preserve">across the system </w:t>
      </w:r>
      <w:r w:rsidR="0034408B" w:rsidRPr="00A9298F">
        <w:rPr>
          <w:spacing w:val="-2"/>
        </w:rPr>
        <w:t xml:space="preserve">towards unlisted investments over a period </w:t>
      </w:r>
      <w:r w:rsidR="00CE5298" w:rsidRPr="00A9298F">
        <w:rPr>
          <w:spacing w:val="-2"/>
        </w:rPr>
        <w:t>in which</w:t>
      </w:r>
      <w:r w:rsidR="0034408B" w:rsidRPr="00A9298F">
        <w:rPr>
          <w:spacing w:val="-2"/>
        </w:rPr>
        <w:t xml:space="preserve"> the system has grown.</w:t>
      </w:r>
    </w:p>
    <w:p w:rsidR="00320666" w:rsidRDefault="00320666" w:rsidP="00066597">
      <w:pPr>
        <w:pStyle w:val="BodyText"/>
      </w:pPr>
      <w:r>
        <w:t xml:space="preserve">To assess </w:t>
      </w:r>
      <w:r w:rsidR="00931A33">
        <w:t>participants’</w:t>
      </w:r>
      <w:r>
        <w:t xml:space="preserve"> hypothesis, the Commission </w:t>
      </w:r>
      <w:r w:rsidDel="00EE2F3B">
        <w:t xml:space="preserve">looked </w:t>
      </w:r>
      <w:r w:rsidR="00EE2F3B">
        <w:t xml:space="preserve">for </w:t>
      </w:r>
      <w:r>
        <w:t>evidence</w:t>
      </w:r>
      <w:r w:rsidR="00D01B69">
        <w:t xml:space="preserve"> </w:t>
      </w:r>
      <w:r w:rsidR="00EE2F3B">
        <w:t>of</w:t>
      </w:r>
      <w:r>
        <w:t>:</w:t>
      </w:r>
    </w:p>
    <w:p w:rsidR="003E1FB6" w:rsidRDefault="00A34CC5" w:rsidP="009B0E59">
      <w:pPr>
        <w:pStyle w:val="ListBullet"/>
      </w:pPr>
      <w:r>
        <w:t>a relationship between fund size and net returns</w:t>
      </w:r>
      <w:r w:rsidR="003E1FB6">
        <w:t xml:space="preserve"> (</w:t>
      </w:r>
      <w:r w:rsidR="009B0E59">
        <w:t>and whether any relationship can be explained by the proportion of assets invested in unlisted assets)</w:t>
      </w:r>
    </w:p>
    <w:p w:rsidR="00A34CC5" w:rsidRDefault="00A34CC5" w:rsidP="00A34CC5">
      <w:pPr>
        <w:pStyle w:val="ListBullet"/>
      </w:pPr>
      <w:r>
        <w:t>larger funds invest</w:t>
      </w:r>
      <w:r w:rsidR="00EE2F3B">
        <w:t>ing</w:t>
      </w:r>
      <w:r>
        <w:t xml:space="preserve"> more heavily in unlisted assets</w:t>
      </w:r>
      <w:r w:rsidR="003E1FB6">
        <w:t xml:space="preserve"> or a broader increase in investment in unlisted assets</w:t>
      </w:r>
      <w:r w:rsidR="00D01B69">
        <w:t>.</w:t>
      </w:r>
    </w:p>
    <w:p w:rsidR="000C132D" w:rsidRDefault="000C132D" w:rsidP="00AB39E4">
      <w:pPr>
        <w:pStyle w:val="BodyText"/>
      </w:pPr>
      <w:r>
        <w:t>In short, the Commission found that:</w:t>
      </w:r>
    </w:p>
    <w:p w:rsidR="000C132D" w:rsidRDefault="000C132D">
      <w:pPr>
        <w:pStyle w:val="ListBullet"/>
      </w:pPr>
      <w:r>
        <w:t>larger not</w:t>
      </w:r>
      <w:r w:rsidR="00F640C8">
        <w:noBreakHyphen/>
      </w:r>
      <w:r>
        <w:t>for</w:t>
      </w:r>
      <w:r w:rsidR="00F640C8">
        <w:noBreakHyphen/>
      </w:r>
      <w:r>
        <w:t>profit funds do obtain higher net returns</w:t>
      </w:r>
      <w:r w:rsidR="00E406BA">
        <w:t>,</w:t>
      </w:r>
      <w:r w:rsidR="00E406BA" w:rsidRPr="00E406BA">
        <w:t xml:space="preserve"> </w:t>
      </w:r>
      <w:r w:rsidR="00E406BA">
        <w:t>but no corresponding relationship exists for retail funds</w:t>
      </w:r>
    </w:p>
    <w:p w:rsidR="000C132D" w:rsidRDefault="00E406BA">
      <w:pPr>
        <w:pStyle w:val="ListBullet"/>
      </w:pPr>
      <w:r>
        <w:t xml:space="preserve">there is </w:t>
      </w:r>
      <w:r w:rsidR="000C132D">
        <w:t>weak evidence that unlisted assets account for higher net returns for not</w:t>
      </w:r>
      <w:r w:rsidR="00F640C8">
        <w:noBreakHyphen/>
      </w:r>
      <w:r w:rsidR="000C132D">
        <w:t>for</w:t>
      </w:r>
      <w:r w:rsidR="00F640C8">
        <w:noBreakHyphen/>
      </w:r>
      <w:r w:rsidR="000C132D">
        <w:t>profit funds</w:t>
      </w:r>
      <w:r w:rsidR="00071D13">
        <w:t xml:space="preserve"> — data limitations make it difficult to make firm conclusions</w:t>
      </w:r>
    </w:p>
    <w:p w:rsidR="000C132D" w:rsidRDefault="00E406BA">
      <w:pPr>
        <w:pStyle w:val="ListBullet"/>
      </w:pPr>
      <w:r>
        <w:t xml:space="preserve">there is </w:t>
      </w:r>
      <w:r w:rsidR="00071D13">
        <w:t xml:space="preserve">also </w:t>
      </w:r>
      <w:r>
        <w:t>little</w:t>
      </w:r>
      <w:r w:rsidR="000C132D">
        <w:t xml:space="preserve"> evidence </w:t>
      </w:r>
      <w:r>
        <w:t xml:space="preserve">to </w:t>
      </w:r>
      <w:r w:rsidR="000C132D">
        <w:t xml:space="preserve">suggest that larger funds invest in more unlisted assets — at least in recent years. </w:t>
      </w:r>
    </w:p>
    <w:p w:rsidR="00A34CC5" w:rsidRDefault="009F3804" w:rsidP="00A34CC5">
      <w:pPr>
        <w:pStyle w:val="Heading4"/>
      </w:pPr>
      <w:r>
        <w:t>Larger funds obtain higher returns</w:t>
      </w:r>
    </w:p>
    <w:p w:rsidR="00A34CC5" w:rsidRDefault="00AC32F2" w:rsidP="00A34CC5">
      <w:pPr>
        <w:pStyle w:val="BodyText"/>
      </w:pPr>
      <w:r>
        <w:t>T</w:t>
      </w:r>
      <w:r w:rsidR="00953657">
        <w:t>o assess whether a relationship between fund size and net returns</w:t>
      </w:r>
      <w:r w:rsidR="00625568">
        <w:t xml:space="preserve"> exists</w:t>
      </w:r>
      <w:r w:rsidR="00953657">
        <w:t>, t</w:t>
      </w:r>
      <w:r w:rsidR="00A34CC5">
        <w:t xml:space="preserve">he </w:t>
      </w:r>
      <w:r w:rsidR="00C10A02">
        <w:t>Commission analysed</w:t>
      </w:r>
      <w:r w:rsidR="00A34CC5">
        <w:t xml:space="preserve"> </w:t>
      </w:r>
      <w:r w:rsidR="00AD09D4">
        <w:t xml:space="preserve">average </w:t>
      </w:r>
      <w:r w:rsidR="00A34CC5">
        <w:t xml:space="preserve">annual </w:t>
      </w:r>
      <w:r w:rsidR="00D516CB">
        <w:t xml:space="preserve">(or annualised) </w:t>
      </w:r>
      <w:r w:rsidR="005942F8">
        <w:t xml:space="preserve">net </w:t>
      </w:r>
      <w:r w:rsidR="00A34CC5">
        <w:t>returns over</w:t>
      </w:r>
      <w:r w:rsidR="004C1B38">
        <w:t xml:space="preserve"> the period</w:t>
      </w:r>
      <w:r w:rsidR="00A34CC5">
        <w:t xml:space="preserve"> 20</w:t>
      </w:r>
      <w:r w:rsidR="003E6F00">
        <w:t>14</w:t>
      </w:r>
      <w:r w:rsidR="004C1B38">
        <w:t xml:space="preserve"> to </w:t>
      </w:r>
      <w:r w:rsidR="00A34CC5">
        <w:t xml:space="preserve">2017. </w:t>
      </w:r>
      <w:r w:rsidR="00430272">
        <w:t xml:space="preserve">On the plus side, </w:t>
      </w:r>
      <w:r w:rsidR="00625568">
        <w:t>using annualised data</w:t>
      </w:r>
      <w:r w:rsidR="006D3245">
        <w:t xml:space="preserve"> gives rise to </w:t>
      </w:r>
      <w:r w:rsidR="00430272">
        <w:t>figure</w:t>
      </w:r>
      <w:r w:rsidR="00D516CB">
        <w:t>s</w:t>
      </w:r>
      <w:r w:rsidR="00430272">
        <w:t xml:space="preserve"> </w:t>
      </w:r>
      <w:r w:rsidR="006D3245">
        <w:t xml:space="preserve">that </w:t>
      </w:r>
      <w:r w:rsidR="00D516CB">
        <w:t xml:space="preserve">are </w:t>
      </w:r>
      <w:r w:rsidR="006D3245">
        <w:t>more easily interpreted</w:t>
      </w:r>
      <w:r w:rsidR="00430272">
        <w:t xml:space="preserve"> than </w:t>
      </w:r>
      <w:r w:rsidR="006D3245">
        <w:t xml:space="preserve">the alternative </w:t>
      </w:r>
      <w:r w:rsidR="00D516CB">
        <w:t xml:space="preserve">scenario </w:t>
      </w:r>
      <w:r w:rsidR="006D3245">
        <w:t xml:space="preserve">of </w:t>
      </w:r>
      <w:r w:rsidR="00D516CB">
        <w:t xml:space="preserve">using </w:t>
      </w:r>
      <w:r w:rsidR="00931A33">
        <w:t>annual returns f</w:t>
      </w:r>
      <w:r w:rsidR="006334AD">
        <w:t>or</w:t>
      </w:r>
      <w:r w:rsidR="00931A33">
        <w:t xml:space="preserve"> each year</w:t>
      </w:r>
      <w:r w:rsidR="00430272">
        <w:t>.</w:t>
      </w:r>
      <w:r w:rsidR="0083450C">
        <w:rPr>
          <w:rStyle w:val="FootnoteReference"/>
        </w:rPr>
        <w:footnoteReference w:id="25"/>
      </w:r>
      <w:r w:rsidR="00430272">
        <w:t xml:space="preserve"> But o</w:t>
      </w:r>
      <w:r w:rsidR="00A34CC5">
        <w:t xml:space="preserve">ne downside of this approach is that funds </w:t>
      </w:r>
      <w:r w:rsidR="00AD09D4">
        <w:t xml:space="preserve">that </w:t>
      </w:r>
      <w:r w:rsidR="00A34CC5">
        <w:t xml:space="preserve">operated </w:t>
      </w:r>
      <w:r w:rsidR="006D4CEF">
        <w:t xml:space="preserve">for only part of the </w:t>
      </w:r>
      <w:r w:rsidR="00A34CC5">
        <w:t xml:space="preserve">period </w:t>
      </w:r>
      <w:r w:rsidR="006D4CEF">
        <w:t>must be excluded to ensure</w:t>
      </w:r>
      <w:r w:rsidR="00931A33">
        <w:t>, for comparability,</w:t>
      </w:r>
      <w:r w:rsidR="006D4CEF">
        <w:t xml:space="preserve"> that all </w:t>
      </w:r>
      <w:r w:rsidR="00A34CC5">
        <w:t>funds faced the same economic conditions.</w:t>
      </w:r>
    </w:p>
    <w:p w:rsidR="00334F60" w:rsidRPr="00A37D81" w:rsidRDefault="00D516CB" w:rsidP="00A34CC5">
      <w:pPr>
        <w:pStyle w:val="BodyText"/>
      </w:pPr>
      <w:r w:rsidRPr="009E4030">
        <w:rPr>
          <w:spacing w:val="-2"/>
        </w:rPr>
        <w:t>Inspection of the raw data reveals a</w:t>
      </w:r>
      <w:r w:rsidR="006D3245" w:rsidRPr="009E4030">
        <w:rPr>
          <w:spacing w:val="-2"/>
        </w:rPr>
        <w:t>n association</w:t>
      </w:r>
      <w:r w:rsidR="00A34CC5" w:rsidRPr="009E4030">
        <w:rPr>
          <w:spacing w:val="-2"/>
        </w:rPr>
        <w:t xml:space="preserve"> between fund size and annualised net returns (figure</w:t>
      </w:r>
      <w:r w:rsidR="00F640C8">
        <w:rPr>
          <w:spacing w:val="-2"/>
        </w:rPr>
        <w:t> </w:t>
      </w:r>
      <w:r w:rsidR="009039A8">
        <w:t>22</w:t>
      </w:r>
      <w:r w:rsidR="00A34CC5" w:rsidRPr="009E4030">
        <w:rPr>
          <w:spacing w:val="-2"/>
        </w:rPr>
        <w:t>)</w:t>
      </w:r>
      <w:r w:rsidR="009F3804" w:rsidRPr="009E4030">
        <w:rPr>
          <w:spacing w:val="-2"/>
        </w:rPr>
        <w:t>, with t</w:t>
      </w:r>
      <w:r w:rsidR="00A34CC5" w:rsidRPr="009E4030">
        <w:rPr>
          <w:spacing w:val="-2"/>
        </w:rPr>
        <w:t xml:space="preserve">he relationship </w:t>
      </w:r>
      <w:r w:rsidR="006D3245" w:rsidRPr="009E4030">
        <w:rPr>
          <w:spacing w:val="-2"/>
        </w:rPr>
        <w:t>positive</w:t>
      </w:r>
      <w:r w:rsidR="00A34CC5" w:rsidRPr="009E4030">
        <w:rPr>
          <w:spacing w:val="-2"/>
        </w:rPr>
        <w:t xml:space="preserve"> for </w:t>
      </w:r>
      <w:r w:rsidRPr="009E4030">
        <w:rPr>
          <w:spacing w:val="-2"/>
        </w:rPr>
        <w:t xml:space="preserve">funds in the </w:t>
      </w:r>
      <w:r w:rsidR="00A34CC5" w:rsidRPr="009E4030">
        <w:rPr>
          <w:spacing w:val="-2"/>
        </w:rPr>
        <w:t>industry</w:t>
      </w:r>
      <w:r w:rsidR="00123427">
        <w:rPr>
          <w:spacing w:val="-2"/>
        </w:rPr>
        <w:t>, corporate</w:t>
      </w:r>
      <w:r w:rsidR="00A34CC5" w:rsidRPr="009E4030">
        <w:rPr>
          <w:spacing w:val="-2"/>
        </w:rPr>
        <w:t xml:space="preserve"> </w:t>
      </w:r>
      <w:r w:rsidR="009962C3" w:rsidRPr="009E4030">
        <w:rPr>
          <w:spacing w:val="-2"/>
        </w:rPr>
        <w:t>and public sector</w:t>
      </w:r>
      <w:r w:rsidR="00A34CC5" w:rsidRPr="009E4030">
        <w:rPr>
          <w:spacing w:val="-2"/>
        </w:rPr>
        <w:t xml:space="preserve"> </w:t>
      </w:r>
      <w:r w:rsidRPr="009E4030">
        <w:rPr>
          <w:spacing w:val="-2"/>
        </w:rPr>
        <w:t xml:space="preserve">segments </w:t>
      </w:r>
      <w:r w:rsidR="009F3804" w:rsidRPr="009E4030">
        <w:rPr>
          <w:spacing w:val="-2"/>
        </w:rPr>
        <w:t xml:space="preserve">and </w:t>
      </w:r>
      <w:r w:rsidR="006D3245" w:rsidRPr="009E4030">
        <w:rPr>
          <w:spacing w:val="-2"/>
        </w:rPr>
        <w:t>weakly negative</w:t>
      </w:r>
      <w:r w:rsidR="00A34CC5" w:rsidRPr="009E4030">
        <w:rPr>
          <w:spacing w:val="-2"/>
        </w:rPr>
        <w:t xml:space="preserve"> for retail funds.</w:t>
      </w:r>
      <w:r w:rsidR="00953657">
        <w:rPr>
          <w:rStyle w:val="FootnoteReference"/>
          <w:spacing w:val="-2"/>
        </w:rPr>
        <w:footnoteReference w:id="26"/>
      </w:r>
      <w:r w:rsidR="009F3804" w:rsidRPr="009E4030">
        <w:rPr>
          <w:spacing w:val="-2"/>
        </w:rPr>
        <w:t xml:space="preserve"> </w:t>
      </w:r>
      <w:r w:rsidR="00FF2FF9" w:rsidRPr="009E4030">
        <w:rPr>
          <w:spacing w:val="-2"/>
        </w:rPr>
        <w:t>For example,</w:t>
      </w:r>
      <w:r w:rsidR="009F3804" w:rsidRPr="009E4030">
        <w:rPr>
          <w:spacing w:val="-2"/>
        </w:rPr>
        <w:t xml:space="preserve"> </w:t>
      </w:r>
      <w:r w:rsidR="00FF2FF9" w:rsidRPr="009E4030">
        <w:rPr>
          <w:spacing w:val="-2"/>
        </w:rPr>
        <w:t xml:space="preserve">the largest </w:t>
      </w:r>
      <w:r w:rsidR="00F844F6" w:rsidRPr="009E4030">
        <w:rPr>
          <w:spacing w:val="-2"/>
        </w:rPr>
        <w:t>industry f</w:t>
      </w:r>
      <w:r w:rsidR="006D3245" w:rsidRPr="009E4030">
        <w:rPr>
          <w:spacing w:val="-2"/>
        </w:rPr>
        <w:t>u</w:t>
      </w:r>
      <w:r w:rsidR="00F844F6" w:rsidRPr="009E4030">
        <w:rPr>
          <w:spacing w:val="-2"/>
        </w:rPr>
        <w:t xml:space="preserve">nds experienced </w:t>
      </w:r>
      <w:r w:rsidR="00FF2FF9" w:rsidRPr="009E4030">
        <w:rPr>
          <w:spacing w:val="-2"/>
        </w:rPr>
        <w:t xml:space="preserve">average </w:t>
      </w:r>
      <w:r w:rsidR="00F844F6" w:rsidRPr="009E4030">
        <w:rPr>
          <w:spacing w:val="-2"/>
        </w:rPr>
        <w:t xml:space="preserve">net returns </w:t>
      </w:r>
      <w:r w:rsidR="001A241C" w:rsidRPr="009E4030">
        <w:rPr>
          <w:spacing w:val="-2"/>
        </w:rPr>
        <w:t>that were two</w:t>
      </w:r>
      <w:r w:rsidR="00F844F6" w:rsidRPr="009E4030">
        <w:rPr>
          <w:spacing w:val="-2"/>
        </w:rPr>
        <w:t xml:space="preserve"> percentage points higher than </w:t>
      </w:r>
      <w:r w:rsidR="009962C3" w:rsidRPr="009E4030">
        <w:rPr>
          <w:spacing w:val="-2"/>
        </w:rPr>
        <w:t xml:space="preserve">the </w:t>
      </w:r>
      <w:r w:rsidR="00FF2FF9" w:rsidRPr="009E4030">
        <w:rPr>
          <w:spacing w:val="-2"/>
        </w:rPr>
        <w:t xml:space="preserve">smallest </w:t>
      </w:r>
      <w:r w:rsidR="00F844F6" w:rsidRPr="009E4030">
        <w:rPr>
          <w:spacing w:val="-2"/>
        </w:rPr>
        <w:t>funds.</w:t>
      </w:r>
      <w:r w:rsidR="003F34A5">
        <w:rPr>
          <w:spacing w:val="-2"/>
        </w:rPr>
        <w:t xml:space="preserve"> </w:t>
      </w:r>
      <w:r w:rsidR="006E079A">
        <w:rPr>
          <w:spacing w:val="-2"/>
        </w:rPr>
        <w:t>And t</w:t>
      </w:r>
      <w:r w:rsidR="003F34A5">
        <w:rPr>
          <w:spacing w:val="-2"/>
        </w:rPr>
        <w:t>his relationship for not</w:t>
      </w:r>
      <w:r w:rsidR="00F640C8">
        <w:rPr>
          <w:spacing w:val="-2"/>
        </w:rPr>
        <w:noBreakHyphen/>
      </w:r>
      <w:r w:rsidR="003F34A5">
        <w:rPr>
          <w:spacing w:val="-2"/>
        </w:rPr>
        <w:t>for</w:t>
      </w:r>
      <w:r w:rsidR="00F640C8">
        <w:rPr>
          <w:spacing w:val="-2"/>
        </w:rPr>
        <w:noBreakHyphen/>
      </w:r>
      <w:r w:rsidR="003F34A5">
        <w:rPr>
          <w:spacing w:val="-2"/>
        </w:rPr>
        <w:t>profit funds is in the same order of magnitude as the realised cost savings.</w:t>
      </w:r>
      <w:r w:rsidR="003F34A5">
        <w:rPr>
          <w:rStyle w:val="FootnoteReference"/>
          <w:spacing w:val="-2"/>
        </w:rPr>
        <w:footnoteReference w:id="27"/>
      </w:r>
      <w:r w:rsidR="003F34A5">
        <w:rPr>
          <w:spacing w:val="-2"/>
        </w:rPr>
        <w:t xml:space="preserve"> </w:t>
      </w:r>
    </w:p>
    <w:p w:rsidR="00571234" w:rsidRDefault="00334F60" w:rsidP="00571234">
      <w:pPr>
        <w:pStyle w:val="BoxSpaceAbove"/>
      </w:pPr>
      <w:r>
        <w:rPr>
          <w:spacing w:val="-2"/>
        </w:rPr>
        <w:lastRenderedPageBreak/>
        <w:t>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71234" w:rsidTr="00656C44">
        <w:trPr>
          <w:tblHeader/>
        </w:trPr>
        <w:tc>
          <w:tcPr>
            <w:tcW w:w="5000" w:type="pct"/>
            <w:tcBorders>
              <w:top w:val="single" w:sz="6" w:space="0" w:color="78A22F"/>
              <w:left w:val="nil"/>
              <w:bottom w:val="nil"/>
              <w:right w:val="nil"/>
            </w:tcBorders>
            <w:shd w:val="clear" w:color="auto" w:fill="auto"/>
          </w:tcPr>
          <w:p w:rsidR="00571234" w:rsidRDefault="00571234" w:rsidP="00656C44">
            <w:pPr>
              <w:pStyle w:val="FigureTitle"/>
            </w:pPr>
            <w:r w:rsidRPr="00784A05">
              <w:rPr>
                <w:b w:val="0"/>
              </w:rPr>
              <w:t xml:space="preserve">Figure </w:t>
            </w:r>
            <w:bookmarkStart w:id="59" w:name="OLE_LINK35"/>
            <w:r w:rsidR="004325AA">
              <w:rPr>
                <w:b w:val="0"/>
                <w:noProof/>
              </w:rPr>
              <w:t>22</w:t>
            </w:r>
            <w:bookmarkEnd w:id="59"/>
            <w:r>
              <w:tab/>
            </w:r>
            <w:r w:rsidR="00931A33">
              <w:t>Net return</w:t>
            </w:r>
            <w:r w:rsidR="007D0AED">
              <w:t>s</w:t>
            </w:r>
            <w:r w:rsidR="00931A33">
              <w:t xml:space="preserve"> increase with scale for all segments except retail</w:t>
            </w:r>
            <w:r w:rsidR="00931A33" w:rsidRPr="00F71DF5">
              <w:rPr>
                <w:rStyle w:val="NoteLabel"/>
                <w:b/>
                <w:position w:val="10"/>
              </w:rPr>
              <w:t>a</w:t>
            </w:r>
          </w:p>
          <w:p w:rsidR="00571234" w:rsidRPr="00176D3F" w:rsidRDefault="00931A33" w:rsidP="00931A33">
            <w:pPr>
              <w:pStyle w:val="Subtitle"/>
            </w:pPr>
            <w:r>
              <w:t xml:space="preserve">Annualised net returns (per cent) by average net assets, </w:t>
            </w:r>
            <w:r w:rsidR="00571234">
              <w:t>2014–2017</w:t>
            </w:r>
          </w:p>
        </w:tc>
      </w:tr>
      <w:tr w:rsidR="00571234" w:rsidTr="00656C44">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71234" w:rsidRPr="00B1465D" w:rsidTr="00656C44">
              <w:trPr>
                <w:tblHeader/>
                <w:jc w:val="center"/>
              </w:trPr>
              <w:tc>
                <w:tcPr>
                  <w:tcW w:w="5000" w:type="pct"/>
                  <w:tcBorders>
                    <w:top w:val="nil"/>
                    <w:bottom w:val="nil"/>
                  </w:tcBorders>
                </w:tcPr>
                <w:p w:rsidR="00571234" w:rsidRDefault="0007261B" w:rsidP="00656C44">
                  <w:pPr>
                    <w:pStyle w:val="Figure"/>
                    <w:spacing w:before="60" w:after="60"/>
                    <w:rPr>
                      <w:rFonts w:ascii="Arial" w:hAnsi="Arial" w:cs="Arial"/>
                      <w:sz w:val="18"/>
                      <w:szCs w:val="18"/>
                    </w:rPr>
                  </w:pPr>
                  <w:r>
                    <w:rPr>
                      <w:rFonts w:ascii="Arial" w:hAnsi="Arial" w:cs="Arial"/>
                      <w:noProof/>
                      <w:sz w:val="18"/>
                      <w:szCs w:val="18"/>
                    </w:rPr>
                    <w:drawing>
                      <wp:inline distT="0" distB="0" distL="0" distR="0" wp14:anchorId="6865C5F4" wp14:editId="2368030D">
                        <wp:extent cx="5362650" cy="3352800"/>
                        <wp:effectExtent l="0" t="0" r="9525" b="0"/>
                        <wp:docPr id="39" name="Picture 39" descr="A scatterplot of annualised net returns added against net assets for each fund type. Corporate, industry, and public sector funds appear to have an upwards sloping trend, while retail funds appear to have a slightly downwards slop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turns_panel.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65695" cy="3354704"/>
                                </a:xfrm>
                                <a:prstGeom prst="rect">
                                  <a:avLst/>
                                </a:prstGeom>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571234" w:rsidTr="00656C44">
                    <w:trPr>
                      <w:tblHeader/>
                    </w:trPr>
                    <w:tc>
                      <w:tcPr>
                        <w:tcW w:w="1559" w:type="dxa"/>
                        <w:shd w:val="clear" w:color="auto" w:fill="F2F2F2" w:themeFill="background1" w:themeFillShade="F2"/>
                      </w:tcPr>
                      <w:p w:rsidR="00571234" w:rsidRDefault="00571234" w:rsidP="00656C44">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rsidR="00571234" w:rsidRDefault="00571234" w:rsidP="00656C44">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 xml:space="preserve"> (</w:t>
                        </w:r>
                        <w:r w:rsidRPr="00861568">
                          <w:rPr>
                            <w:rFonts w:ascii="Arial" w:eastAsia="+mn-ea" w:hAnsi="Arial" w:cs="Arial"/>
                            <w:color w:val="000000" w:themeColor="text1"/>
                            <w:kern w:val="24"/>
                            <w:sz w:val="18"/>
                            <w:szCs w:val="18"/>
                          </w:rPr>
                          <w:t>2014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2017</w:t>
                        </w:r>
                        <w:r>
                          <w:rPr>
                            <w:rFonts w:ascii="Arial" w:eastAsia="+mn-ea" w:hAnsi="Arial" w:cs="Arial"/>
                            <w:color w:val="000000" w:themeColor="text1"/>
                            <w:kern w:val="24"/>
                            <w:sz w:val="18"/>
                            <w:szCs w:val="18"/>
                          </w:rPr>
                          <w:t>).</w:t>
                        </w:r>
                      </w:p>
                    </w:tc>
                  </w:tr>
                  <w:tr w:rsidR="00571234" w:rsidRPr="001F53B0" w:rsidTr="00656C44">
                    <w:tc>
                      <w:tcPr>
                        <w:tcW w:w="1559" w:type="dxa"/>
                        <w:shd w:val="clear" w:color="auto" w:fill="F2F2F2" w:themeFill="background1" w:themeFillShade="F2"/>
                      </w:tcPr>
                      <w:p w:rsidR="00571234" w:rsidRDefault="00571234" w:rsidP="00656C44">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571234" w:rsidRPr="001F53B0" w:rsidRDefault="00571234" w:rsidP="00656C44">
                        <w:pPr>
                          <w:pStyle w:val="Figure"/>
                          <w:spacing w:before="0" w:after="0"/>
                          <w:jc w:val="left"/>
                          <w:rPr>
                            <w:color w:val="000000" w:themeColor="text1"/>
                          </w:rPr>
                        </w:pPr>
                        <w:r>
                          <w:rPr>
                            <w:rFonts w:ascii="Arial" w:hAnsi="Arial" w:cs="Arial"/>
                            <w:sz w:val="18"/>
                            <w:szCs w:val="18"/>
                          </w:rPr>
                          <w:t>178</w:t>
                        </w:r>
                        <w:r w:rsidRPr="00481B71">
                          <w:rPr>
                            <w:rFonts w:ascii="Arial" w:hAnsi="Arial" w:cs="Arial"/>
                            <w:sz w:val="18"/>
                            <w:szCs w:val="18"/>
                          </w:rPr>
                          <w:t xml:space="preserve"> funds representing</w:t>
                        </w:r>
                        <w:r>
                          <w:rPr>
                            <w:rFonts w:ascii="Arial" w:hAnsi="Arial" w:cs="Arial"/>
                            <w:sz w:val="18"/>
                            <w:szCs w:val="18"/>
                          </w:rPr>
                          <w:t xml:space="preserve"> </w:t>
                        </w:r>
                        <w:r w:rsidRPr="00861568">
                          <w:rPr>
                            <w:rFonts w:ascii="Arial" w:hAnsi="Arial" w:cs="Arial"/>
                            <w:sz w:val="18"/>
                            <w:szCs w:val="18"/>
                          </w:rPr>
                          <w:t>92</w:t>
                        </w:r>
                        <w:r w:rsidRPr="00481B71">
                          <w:rPr>
                            <w:rFonts w:ascii="Arial" w:hAnsi="Arial" w:cs="Arial"/>
                            <w:sz w:val="18"/>
                            <w:szCs w:val="18"/>
                          </w:rPr>
                          <w:t xml:space="preserve"> per cent of the system in </w:t>
                        </w:r>
                        <w:r>
                          <w:rPr>
                            <w:rFonts w:ascii="Arial" w:hAnsi="Arial" w:cs="Arial"/>
                            <w:sz w:val="18"/>
                            <w:szCs w:val="18"/>
                          </w:rPr>
                          <w:t>2013</w:t>
                        </w:r>
                        <w:r w:rsidR="00F640C8">
                          <w:rPr>
                            <w:rFonts w:ascii="Arial" w:hAnsi="Arial" w:cs="Arial"/>
                            <w:sz w:val="18"/>
                            <w:szCs w:val="18"/>
                          </w:rPr>
                          <w:noBreakHyphen/>
                        </w:r>
                        <w:r>
                          <w:rPr>
                            <w:rFonts w:ascii="Arial" w:hAnsi="Arial" w:cs="Arial"/>
                            <w:sz w:val="18"/>
                            <w:szCs w:val="18"/>
                          </w:rPr>
                          <w:t>14</w:t>
                        </w:r>
                        <w:r w:rsidRPr="00481B71">
                          <w:rPr>
                            <w:rFonts w:ascii="Arial" w:hAnsi="Arial" w:cs="Arial"/>
                            <w:sz w:val="18"/>
                            <w:szCs w:val="18"/>
                          </w:rPr>
                          <w:t>.</w:t>
                        </w:r>
                      </w:p>
                    </w:tc>
                  </w:tr>
                  <w:tr w:rsidR="00571234" w:rsidTr="00656C44">
                    <w:tc>
                      <w:tcPr>
                        <w:tcW w:w="1559" w:type="dxa"/>
                        <w:shd w:val="clear" w:color="auto" w:fill="F2F2F2" w:themeFill="background1" w:themeFillShade="F2"/>
                      </w:tcPr>
                      <w:p w:rsidR="00571234" w:rsidRPr="002D6D85" w:rsidRDefault="00571234" w:rsidP="00656C44">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rsidR="00571234" w:rsidRDefault="00571234" w:rsidP="00656C44">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c>
                      <w:tcPr>
                        <w:tcW w:w="2312" w:type="dxa"/>
                        <w:shd w:val="clear" w:color="auto" w:fill="F2F2F2" w:themeFill="background1" w:themeFillShade="F2"/>
                      </w:tcPr>
                      <w:p w:rsidR="00571234" w:rsidRDefault="00571234" w:rsidP="00656C44">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rsidR="00571234" w:rsidRDefault="00571234" w:rsidP="00656C44">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r>
                </w:tbl>
                <w:p w:rsidR="00571234" w:rsidRPr="00B1465D" w:rsidRDefault="00571234" w:rsidP="00656C44">
                  <w:pPr>
                    <w:pStyle w:val="Figure"/>
                    <w:spacing w:before="60" w:after="60"/>
                    <w:rPr>
                      <w:rFonts w:ascii="Arial" w:hAnsi="Arial" w:cs="Arial"/>
                      <w:sz w:val="18"/>
                      <w:szCs w:val="18"/>
                    </w:rPr>
                  </w:pPr>
                </w:p>
              </w:tc>
            </w:tr>
          </w:tbl>
          <w:p w:rsidR="00571234" w:rsidRDefault="00571234" w:rsidP="00656C44"/>
        </w:tc>
      </w:tr>
      <w:tr w:rsidR="00571234" w:rsidRPr="00176D3F" w:rsidTr="00656C44">
        <w:tc>
          <w:tcPr>
            <w:tcW w:w="5000" w:type="pct"/>
            <w:tcBorders>
              <w:top w:val="nil"/>
              <w:left w:val="nil"/>
              <w:bottom w:val="nil"/>
              <w:right w:val="nil"/>
            </w:tcBorders>
            <w:shd w:val="clear" w:color="auto" w:fill="auto"/>
          </w:tcPr>
          <w:p w:rsidR="00571234" w:rsidRPr="00176D3F" w:rsidRDefault="00571234" w:rsidP="00363B4A">
            <w:pPr>
              <w:pStyle w:val="Note"/>
            </w:pPr>
            <w:r>
              <w:rPr>
                <w:rStyle w:val="NoteLabel"/>
              </w:rPr>
              <w:t>a</w:t>
            </w:r>
            <w:r>
              <w:t xml:space="preserve"> </w:t>
            </w:r>
            <w:r w:rsidR="0095559C">
              <w:t xml:space="preserve">Excludes eligible rollover funds and insurance only funds. </w:t>
            </w:r>
            <w:r>
              <w:t xml:space="preserve">This figure only includes funds which have been in operation in all years </w:t>
            </w:r>
            <w:r w:rsidR="00363B4A">
              <w:t xml:space="preserve">from </w:t>
            </w:r>
            <w:r>
              <w:t>2014 to 2017. For each fund, net assets are taken as an average over the time period.</w:t>
            </w:r>
          </w:p>
        </w:tc>
      </w:tr>
      <w:tr w:rsidR="00571234" w:rsidTr="00656C44">
        <w:tc>
          <w:tcPr>
            <w:tcW w:w="5000" w:type="pct"/>
            <w:tcBorders>
              <w:top w:val="nil"/>
              <w:left w:val="nil"/>
              <w:bottom w:val="single" w:sz="6" w:space="0" w:color="78A22F"/>
              <w:right w:val="nil"/>
            </w:tcBorders>
            <w:shd w:val="clear" w:color="auto" w:fill="auto"/>
          </w:tcPr>
          <w:p w:rsidR="00571234" w:rsidRDefault="00571234" w:rsidP="00656C44">
            <w:pPr>
              <w:pStyle w:val="Figurespace"/>
            </w:pPr>
          </w:p>
        </w:tc>
      </w:tr>
      <w:tr w:rsidR="00571234" w:rsidRPr="000863A5" w:rsidTr="00656C44">
        <w:tc>
          <w:tcPr>
            <w:tcW w:w="5000" w:type="pct"/>
            <w:tcBorders>
              <w:top w:val="single" w:sz="6" w:space="0" w:color="78A22F"/>
              <w:left w:val="nil"/>
              <w:bottom w:val="nil"/>
              <w:right w:val="nil"/>
            </w:tcBorders>
          </w:tcPr>
          <w:p w:rsidR="00571234" w:rsidRPr="00626D32" w:rsidRDefault="00571234" w:rsidP="00656C44">
            <w:pPr>
              <w:pStyle w:val="BoxSpaceBelow"/>
            </w:pPr>
          </w:p>
        </w:tc>
      </w:tr>
    </w:tbl>
    <w:p w:rsidR="00C10A02" w:rsidRPr="00701371" w:rsidRDefault="00D20D95">
      <w:pPr>
        <w:pStyle w:val="Heading4"/>
      </w:pPr>
      <w:r>
        <w:t xml:space="preserve">But </w:t>
      </w:r>
      <w:r w:rsidR="004F70BB">
        <w:t xml:space="preserve">weak </w:t>
      </w:r>
      <w:r>
        <w:t>evidence that unlisted assets account for higher</w:t>
      </w:r>
      <w:r w:rsidR="00F71DF5">
        <w:t xml:space="preserve"> net returns in not</w:t>
      </w:r>
      <w:r w:rsidR="00F71DF5">
        <w:noBreakHyphen/>
        <w:t>for</w:t>
      </w:r>
      <w:r w:rsidR="00F71DF5">
        <w:noBreakHyphen/>
        <w:t>profits</w:t>
      </w:r>
    </w:p>
    <w:p w:rsidR="00A34CC5" w:rsidRPr="006C6512" w:rsidRDefault="00571234" w:rsidP="00A34CC5">
      <w:pPr>
        <w:pStyle w:val="BodyText"/>
      </w:pPr>
      <w:r w:rsidRPr="006C6512">
        <w:t>Higher net returns for</w:t>
      </w:r>
      <w:r w:rsidR="009F3804" w:rsidRPr="006C6512">
        <w:t xml:space="preserve"> </w:t>
      </w:r>
      <w:r w:rsidRPr="006C6512">
        <w:t xml:space="preserve">larger </w:t>
      </w:r>
      <w:r w:rsidR="006C6512">
        <w:t>not</w:t>
      </w:r>
      <w:r w:rsidR="00F640C8">
        <w:noBreakHyphen/>
      </w:r>
      <w:r w:rsidR="006C6512">
        <w:t>for</w:t>
      </w:r>
      <w:r w:rsidR="00F640C8">
        <w:noBreakHyphen/>
      </w:r>
      <w:r w:rsidR="006C6512">
        <w:t xml:space="preserve">profit </w:t>
      </w:r>
      <w:r w:rsidRPr="006C6512">
        <w:t>funds</w:t>
      </w:r>
      <w:r w:rsidR="009F3804" w:rsidRPr="006C6512">
        <w:t xml:space="preserve"> </w:t>
      </w:r>
      <w:r w:rsidR="002009B4">
        <w:t>could</w:t>
      </w:r>
      <w:r w:rsidR="002009B4" w:rsidRPr="006C6512">
        <w:t xml:space="preserve"> </w:t>
      </w:r>
      <w:r w:rsidR="00A34CC5" w:rsidRPr="006C6512">
        <w:t xml:space="preserve">be due to </w:t>
      </w:r>
      <w:r w:rsidR="009F3804" w:rsidRPr="006C6512">
        <w:t xml:space="preserve">an </w:t>
      </w:r>
      <w:r w:rsidR="00A34CC5" w:rsidRPr="006C6512">
        <w:t xml:space="preserve">uptake of unlisted asset classes </w:t>
      </w:r>
      <w:r w:rsidR="009F3804" w:rsidRPr="006C6512">
        <w:t>as funds increase in siz</w:t>
      </w:r>
      <w:r w:rsidR="009F3804" w:rsidRPr="0063190B">
        <w:rPr>
          <w:spacing w:val="-2"/>
        </w:rPr>
        <w:t>e</w:t>
      </w:r>
      <w:r w:rsidR="00C10A02" w:rsidRPr="0063190B">
        <w:rPr>
          <w:spacing w:val="-2"/>
        </w:rPr>
        <w:t xml:space="preserve"> (as hypothesised earlier)</w:t>
      </w:r>
      <w:r w:rsidRPr="0063190B">
        <w:rPr>
          <w:spacing w:val="-2"/>
        </w:rPr>
        <w:t>.</w:t>
      </w:r>
      <w:r w:rsidR="009F3804" w:rsidRPr="0063190B">
        <w:rPr>
          <w:spacing w:val="-2"/>
        </w:rPr>
        <w:t xml:space="preserve"> Another possibility is that larger </w:t>
      </w:r>
      <w:r w:rsidR="006C6512">
        <w:t>not</w:t>
      </w:r>
      <w:r w:rsidR="00F640C8">
        <w:noBreakHyphen/>
      </w:r>
      <w:r w:rsidR="006C6512">
        <w:t>for</w:t>
      </w:r>
      <w:r w:rsidR="00F640C8">
        <w:noBreakHyphen/>
      </w:r>
      <w:r w:rsidR="006C6512">
        <w:t>profit</w:t>
      </w:r>
      <w:r w:rsidR="006C6512" w:rsidRPr="006C6512">
        <w:t xml:space="preserve"> </w:t>
      </w:r>
      <w:r w:rsidR="009F3804" w:rsidRPr="006C6512">
        <w:t>funds are better at making investment</w:t>
      </w:r>
      <w:r w:rsidR="003732EB">
        <w:t xml:space="preserve"> decisions</w:t>
      </w:r>
      <w:r w:rsidR="009F3804" w:rsidRPr="006C6512">
        <w:t xml:space="preserve"> within asset classes</w:t>
      </w:r>
      <w:r w:rsidR="004F70BB">
        <w:t xml:space="preserve"> and including unlisted asset classes</w:t>
      </w:r>
      <w:r w:rsidR="009F3804" w:rsidRPr="006C6512">
        <w:t>.</w:t>
      </w:r>
    </w:p>
    <w:p w:rsidR="003B11F0" w:rsidRDefault="003B11F0">
      <w:pPr>
        <w:rPr>
          <w:spacing w:val="-2"/>
          <w:szCs w:val="20"/>
        </w:rPr>
      </w:pPr>
      <w:r>
        <w:rPr>
          <w:spacing w:val="-2"/>
        </w:rPr>
        <w:br w:type="page"/>
      </w:r>
    </w:p>
    <w:p w:rsidR="00E10DEC" w:rsidRDefault="00E10DEC" w:rsidP="00A34CC5">
      <w:pPr>
        <w:pStyle w:val="BodyText"/>
        <w:rPr>
          <w:spacing w:val="-2"/>
        </w:rPr>
      </w:pPr>
      <w:r>
        <w:rPr>
          <w:spacing w:val="-2"/>
        </w:rPr>
        <w:lastRenderedPageBreak/>
        <w:t xml:space="preserve">There </w:t>
      </w:r>
      <w:r w:rsidR="00E81BA5">
        <w:rPr>
          <w:spacing w:val="-2"/>
        </w:rPr>
        <w:t xml:space="preserve">is limited </w:t>
      </w:r>
      <w:r>
        <w:rPr>
          <w:spacing w:val="-2"/>
        </w:rPr>
        <w:t>evidence that the strong</w:t>
      </w:r>
      <w:r w:rsidR="003732EB">
        <w:rPr>
          <w:spacing w:val="-2"/>
        </w:rPr>
        <w:t>er</w:t>
      </w:r>
      <w:r>
        <w:rPr>
          <w:spacing w:val="-2"/>
        </w:rPr>
        <w:t xml:space="preserve"> net returns </w:t>
      </w:r>
      <w:r w:rsidR="003732EB">
        <w:rPr>
          <w:spacing w:val="-2"/>
        </w:rPr>
        <w:t>recorded by</w:t>
      </w:r>
      <w:r>
        <w:rPr>
          <w:spacing w:val="-2"/>
        </w:rPr>
        <w:t xml:space="preserve"> large</w:t>
      </w:r>
      <w:r w:rsidR="003732EB">
        <w:rPr>
          <w:spacing w:val="-2"/>
        </w:rPr>
        <w:t>r</w:t>
      </w:r>
      <w:r>
        <w:rPr>
          <w:spacing w:val="-2"/>
        </w:rPr>
        <w:t xml:space="preserve"> not</w:t>
      </w:r>
      <w:r w:rsidR="00F640C8">
        <w:rPr>
          <w:spacing w:val="-2"/>
        </w:rPr>
        <w:noBreakHyphen/>
      </w:r>
      <w:r>
        <w:rPr>
          <w:spacing w:val="-2"/>
        </w:rPr>
        <w:t>for</w:t>
      </w:r>
      <w:r w:rsidR="00F640C8">
        <w:rPr>
          <w:spacing w:val="-2"/>
        </w:rPr>
        <w:noBreakHyphen/>
      </w:r>
      <w:r>
        <w:rPr>
          <w:spacing w:val="-2"/>
        </w:rPr>
        <w:t xml:space="preserve">profit funds </w:t>
      </w:r>
      <w:r w:rsidR="002009B4">
        <w:rPr>
          <w:spacing w:val="-2"/>
        </w:rPr>
        <w:t>are</w:t>
      </w:r>
      <w:r>
        <w:rPr>
          <w:spacing w:val="-2"/>
        </w:rPr>
        <w:t xml:space="preserve"> due to higher exposure to </w:t>
      </w:r>
      <w:r w:rsidR="00B1330A">
        <w:rPr>
          <w:spacing w:val="-2"/>
        </w:rPr>
        <w:t>unlisted asset classes</w:t>
      </w:r>
      <w:r>
        <w:rPr>
          <w:spacing w:val="-2"/>
        </w:rPr>
        <w:t xml:space="preserve">. A simple regression of </w:t>
      </w:r>
      <w:r w:rsidR="00C81216">
        <w:rPr>
          <w:spacing w:val="-2"/>
        </w:rPr>
        <w:t xml:space="preserve">annualised </w:t>
      </w:r>
      <w:r>
        <w:rPr>
          <w:spacing w:val="-2"/>
        </w:rPr>
        <w:t xml:space="preserve">net returns on fund size and </w:t>
      </w:r>
      <w:r w:rsidR="00B1330A">
        <w:rPr>
          <w:spacing w:val="-2"/>
        </w:rPr>
        <w:t xml:space="preserve">asset allocation finds </w:t>
      </w:r>
      <w:r w:rsidR="00E81BA5">
        <w:rPr>
          <w:spacing w:val="-2"/>
        </w:rPr>
        <w:t xml:space="preserve">a </w:t>
      </w:r>
      <w:r w:rsidR="00B1330A">
        <w:rPr>
          <w:spacing w:val="-2"/>
        </w:rPr>
        <w:t xml:space="preserve">statistically significant </w:t>
      </w:r>
      <w:r w:rsidR="00E81BA5">
        <w:rPr>
          <w:spacing w:val="-2"/>
        </w:rPr>
        <w:t xml:space="preserve">positive </w:t>
      </w:r>
      <w:r w:rsidR="00B1330A">
        <w:rPr>
          <w:spacing w:val="-2"/>
        </w:rPr>
        <w:t>corre</w:t>
      </w:r>
      <w:r w:rsidR="007F5EBB">
        <w:rPr>
          <w:spacing w:val="-2"/>
        </w:rPr>
        <w:t>lation between net returns</w:t>
      </w:r>
      <w:r w:rsidR="00B1330A">
        <w:rPr>
          <w:spacing w:val="-2"/>
        </w:rPr>
        <w:t xml:space="preserve"> </w:t>
      </w:r>
      <w:r w:rsidR="007F5EBB">
        <w:rPr>
          <w:spacing w:val="-2"/>
        </w:rPr>
        <w:t xml:space="preserve">and </w:t>
      </w:r>
      <w:r w:rsidR="00B1330A">
        <w:rPr>
          <w:spacing w:val="-2"/>
        </w:rPr>
        <w:t>the proportion of assets held in unlisted infrastructure</w:t>
      </w:r>
      <w:r w:rsidR="007F5EBB">
        <w:rPr>
          <w:spacing w:val="-2"/>
        </w:rPr>
        <w:t xml:space="preserve"> and a muted </w:t>
      </w:r>
      <w:r w:rsidR="001F1BE8">
        <w:rPr>
          <w:spacing w:val="-2"/>
        </w:rPr>
        <w:t xml:space="preserve">(but still statistically significant) </w:t>
      </w:r>
      <w:r w:rsidR="007F5EBB">
        <w:rPr>
          <w:spacing w:val="-2"/>
        </w:rPr>
        <w:t>relationship between net returns and size</w:t>
      </w:r>
      <w:r w:rsidR="00B1330A">
        <w:rPr>
          <w:spacing w:val="-2"/>
        </w:rPr>
        <w:t>.</w:t>
      </w:r>
      <w:r w:rsidR="00B1330A">
        <w:rPr>
          <w:rStyle w:val="FootnoteReference"/>
          <w:spacing w:val="-2"/>
        </w:rPr>
        <w:footnoteReference w:id="28"/>
      </w:r>
      <w:r w:rsidR="00B1330A">
        <w:rPr>
          <w:spacing w:val="-2"/>
        </w:rPr>
        <w:t xml:space="preserve"> </w:t>
      </w:r>
      <w:r w:rsidR="00E81BA5">
        <w:rPr>
          <w:spacing w:val="-2"/>
        </w:rPr>
        <w:t xml:space="preserve">However, </w:t>
      </w:r>
      <w:r w:rsidR="004D3DA7">
        <w:rPr>
          <w:spacing w:val="-2"/>
        </w:rPr>
        <w:t xml:space="preserve">the relationship with unlisted infrastructure </w:t>
      </w:r>
      <w:r w:rsidR="007302B8">
        <w:rPr>
          <w:spacing w:val="-2"/>
        </w:rPr>
        <w:t xml:space="preserve">assets </w:t>
      </w:r>
      <w:r w:rsidR="004D3DA7">
        <w:rPr>
          <w:spacing w:val="-2"/>
        </w:rPr>
        <w:t xml:space="preserve">is no longer statistically significant (though the sign remains positive) when fund type is included in the analysis. This could indicate </w:t>
      </w:r>
      <w:r w:rsidR="003732EB">
        <w:rPr>
          <w:spacing w:val="-2"/>
        </w:rPr>
        <w:t xml:space="preserve">that </w:t>
      </w:r>
      <w:r w:rsidR="00C81216">
        <w:rPr>
          <w:spacing w:val="-2"/>
        </w:rPr>
        <w:t xml:space="preserve">there is </w:t>
      </w:r>
      <w:r w:rsidR="007302B8">
        <w:rPr>
          <w:spacing w:val="-2"/>
        </w:rPr>
        <w:t>not enough variation</w:t>
      </w:r>
      <w:r w:rsidR="00184059">
        <w:rPr>
          <w:spacing w:val="-2"/>
        </w:rPr>
        <w:t xml:space="preserve"> between </w:t>
      </w:r>
      <w:r w:rsidR="007302B8">
        <w:rPr>
          <w:spacing w:val="-2"/>
        </w:rPr>
        <w:t>variables measuring t</w:t>
      </w:r>
      <w:r w:rsidR="00184059">
        <w:rPr>
          <w:spacing w:val="-2"/>
        </w:rPr>
        <w:t xml:space="preserve">he proportion of assets in unlisted infrastructure and fund type for the model to differentiate </w:t>
      </w:r>
      <w:r w:rsidR="00C81216">
        <w:rPr>
          <w:spacing w:val="-2"/>
        </w:rPr>
        <w:t>between the impacts (</w:t>
      </w:r>
      <w:r w:rsidR="007302B8">
        <w:rPr>
          <w:spacing w:val="-2"/>
        </w:rPr>
        <w:t xml:space="preserve">this problem is called ‘collinearity’ and is exacerbated by </w:t>
      </w:r>
      <w:r w:rsidR="00C81216">
        <w:rPr>
          <w:spacing w:val="-2"/>
        </w:rPr>
        <w:t>small sample size</w:t>
      </w:r>
      <w:r w:rsidR="007302B8">
        <w:rPr>
          <w:spacing w:val="-2"/>
        </w:rPr>
        <w:t>s</w:t>
      </w:r>
      <w:r w:rsidR="00C81216">
        <w:rPr>
          <w:spacing w:val="-2"/>
        </w:rPr>
        <w:t xml:space="preserve">). On the other hand, </w:t>
      </w:r>
      <w:r w:rsidR="008560EF">
        <w:rPr>
          <w:spacing w:val="-2"/>
        </w:rPr>
        <w:t>the possibility</w:t>
      </w:r>
      <w:r w:rsidR="00C81216">
        <w:rPr>
          <w:spacing w:val="-2"/>
        </w:rPr>
        <w:t xml:space="preserve"> that unlisted infrastructure has a limited impact on net returns once other factors are accounted for</w:t>
      </w:r>
      <w:r w:rsidR="008560EF">
        <w:rPr>
          <w:spacing w:val="-2"/>
        </w:rPr>
        <w:t xml:space="preserve"> cannot be discounted through reference to these results</w:t>
      </w:r>
      <w:r w:rsidR="00C81216">
        <w:rPr>
          <w:spacing w:val="-2"/>
        </w:rPr>
        <w:t>.</w:t>
      </w:r>
    </w:p>
    <w:p w:rsidR="005B71C7" w:rsidDel="005B71C7" w:rsidRDefault="00184059">
      <w:pPr>
        <w:pStyle w:val="BodyText"/>
        <w:rPr>
          <w:spacing w:val="-2"/>
        </w:rPr>
      </w:pPr>
      <w:r>
        <w:t>A</w:t>
      </w:r>
      <w:r w:rsidR="005B71C7">
        <w:t>nalysis of benchmark</w:t>
      </w:r>
      <w:r w:rsidR="00F640C8">
        <w:noBreakHyphen/>
      </w:r>
      <w:r w:rsidR="005B71C7">
        <w:t>adjusted returns</w:t>
      </w:r>
      <w:r w:rsidR="006C7E01">
        <w:t>,</w:t>
      </w:r>
      <w:r w:rsidR="005B71C7">
        <w:t xml:space="preserve"> </w:t>
      </w:r>
      <w:r w:rsidR="00622C1C">
        <w:t xml:space="preserve">which account for </w:t>
      </w:r>
      <w:r w:rsidR="0006368B">
        <w:t>asset</w:t>
      </w:r>
      <w:r w:rsidR="00622C1C">
        <w:t xml:space="preserve"> allocation</w:t>
      </w:r>
      <w:r w:rsidR="006C7E01">
        <w:t xml:space="preserve"> and capture the extent to which a fund outperforms a benchmark (or adds value),</w:t>
      </w:r>
      <w:r w:rsidR="005B71C7">
        <w:t xml:space="preserve"> and size</w:t>
      </w:r>
      <w:r w:rsidR="006C7E01">
        <w:t>,</w:t>
      </w:r>
      <w:r w:rsidR="005B71C7">
        <w:t xml:space="preserve"> </w:t>
      </w:r>
      <w:r w:rsidR="006C7E01">
        <w:t>enables testing of the possibility that larger funds make better investment decisions. This analysis s</w:t>
      </w:r>
      <w:r>
        <w:t>uggests that</w:t>
      </w:r>
      <w:r w:rsidR="00533F30">
        <w:t xml:space="preserve"> </w:t>
      </w:r>
      <w:r w:rsidR="00533F30" w:rsidRPr="003330A2">
        <w:rPr>
          <w:spacing w:val="-2"/>
        </w:rPr>
        <w:t>factors other than the proportion of funds invest</w:t>
      </w:r>
      <w:r w:rsidR="00533F30">
        <w:rPr>
          <w:spacing w:val="-2"/>
        </w:rPr>
        <w:t xml:space="preserve">ed in unlisted assets </w:t>
      </w:r>
      <w:r w:rsidR="0006368B">
        <w:rPr>
          <w:spacing w:val="-2"/>
        </w:rPr>
        <w:t>(and asset allocation more generally)</w:t>
      </w:r>
      <w:r w:rsidR="00533F30">
        <w:rPr>
          <w:spacing w:val="-2"/>
        </w:rPr>
        <w:t xml:space="preserve"> </w:t>
      </w:r>
      <w:r>
        <w:rPr>
          <w:spacing w:val="-2"/>
        </w:rPr>
        <w:t xml:space="preserve">have </w:t>
      </w:r>
      <w:r w:rsidR="00533F30" w:rsidRPr="003330A2">
        <w:rPr>
          <w:spacing w:val="-2"/>
        </w:rPr>
        <w:t xml:space="preserve">contributed to the higher net returns obtained by </w:t>
      </w:r>
      <w:r w:rsidR="00097A4E">
        <w:rPr>
          <w:spacing w:val="-2"/>
        </w:rPr>
        <w:t>not</w:t>
      </w:r>
      <w:r w:rsidR="00F640C8">
        <w:rPr>
          <w:spacing w:val="-2"/>
        </w:rPr>
        <w:noBreakHyphen/>
      </w:r>
      <w:r w:rsidR="00097A4E">
        <w:rPr>
          <w:spacing w:val="-2"/>
        </w:rPr>
        <w:t>for</w:t>
      </w:r>
      <w:r w:rsidR="00F640C8">
        <w:rPr>
          <w:spacing w:val="-2"/>
        </w:rPr>
        <w:noBreakHyphen/>
      </w:r>
      <w:r w:rsidR="00097A4E">
        <w:rPr>
          <w:spacing w:val="-2"/>
        </w:rPr>
        <w:t xml:space="preserve">profit </w:t>
      </w:r>
      <w:r w:rsidR="00533F30" w:rsidRPr="003330A2">
        <w:rPr>
          <w:spacing w:val="-2"/>
        </w:rPr>
        <w:t>larger funds</w:t>
      </w:r>
      <w:r w:rsidR="00533F30">
        <w:t>.</w:t>
      </w:r>
      <w:r w:rsidR="00622C1C">
        <w:rPr>
          <w:rStyle w:val="FootnoteReference"/>
        </w:rPr>
        <w:footnoteReference w:id="29"/>
      </w:r>
      <w:r w:rsidR="00533F30">
        <w:t xml:space="preserve"> Specifically</w:t>
      </w:r>
      <w:r w:rsidR="00A30696">
        <w:t>,</w:t>
      </w:r>
      <w:r w:rsidR="00533F30">
        <w:t xml:space="preserve"> </w:t>
      </w:r>
      <w:r w:rsidR="005B71C7">
        <w:t xml:space="preserve">a </w:t>
      </w:r>
      <w:r w:rsidR="005B71C7">
        <w:rPr>
          <w:spacing w:val="-2"/>
        </w:rPr>
        <w:t>positive</w:t>
      </w:r>
      <w:r w:rsidR="005B71C7" w:rsidRPr="003330A2">
        <w:rPr>
          <w:spacing w:val="-2"/>
        </w:rPr>
        <w:t xml:space="preserve"> relationship between </w:t>
      </w:r>
      <w:r w:rsidR="005B71C7">
        <w:rPr>
          <w:spacing w:val="-2"/>
        </w:rPr>
        <w:t xml:space="preserve">size and </w:t>
      </w:r>
      <w:r w:rsidR="00097A4E">
        <w:t>benchmark</w:t>
      </w:r>
      <w:r w:rsidR="00F640C8">
        <w:noBreakHyphen/>
      </w:r>
      <w:r w:rsidR="00097A4E">
        <w:t xml:space="preserve">adjusted </w:t>
      </w:r>
      <w:r w:rsidR="003732EB">
        <w:t xml:space="preserve">returns </w:t>
      </w:r>
      <w:r w:rsidR="00160021">
        <w:t xml:space="preserve">is found, including </w:t>
      </w:r>
      <w:r w:rsidR="00097A4E">
        <w:t xml:space="preserve">when fund type </w:t>
      </w:r>
      <w:r w:rsidR="00160021">
        <w:t xml:space="preserve">is taken into account </w:t>
      </w:r>
      <w:r w:rsidR="005B71C7">
        <w:rPr>
          <w:spacing w:val="-2"/>
        </w:rPr>
        <w:t>(figure </w:t>
      </w:r>
      <w:r w:rsidR="005B71C7">
        <w:t>23</w:t>
      </w:r>
      <w:r w:rsidR="005B71C7">
        <w:rPr>
          <w:spacing w:val="-2"/>
        </w:rPr>
        <w:t>)</w:t>
      </w:r>
      <w:r w:rsidR="00E92D65">
        <w:rPr>
          <w:spacing w:val="-2"/>
        </w:rPr>
        <w:t xml:space="preserve"> — which is consistent with </w:t>
      </w:r>
      <w:r w:rsidR="00097A4E">
        <w:rPr>
          <w:spacing w:val="-2"/>
        </w:rPr>
        <w:t xml:space="preserve">larger </w:t>
      </w:r>
      <w:r w:rsidR="00364F91">
        <w:rPr>
          <w:spacing w:val="-2"/>
        </w:rPr>
        <w:t>funds making better investments for a given asset class</w:t>
      </w:r>
      <w:r w:rsidR="00946D55">
        <w:rPr>
          <w:spacing w:val="-2"/>
        </w:rPr>
        <w:t>.</w:t>
      </w:r>
    </w:p>
    <w:p w:rsidR="004325AA" w:rsidRDefault="004325AA" w:rsidP="004325A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325AA" w:rsidTr="004325AA">
        <w:trPr>
          <w:tblHeader/>
        </w:trPr>
        <w:tc>
          <w:tcPr>
            <w:tcW w:w="5000" w:type="pct"/>
            <w:tcBorders>
              <w:top w:val="single" w:sz="6" w:space="0" w:color="78A22F"/>
              <w:left w:val="nil"/>
              <w:bottom w:val="nil"/>
              <w:right w:val="nil"/>
            </w:tcBorders>
            <w:shd w:val="clear" w:color="auto" w:fill="auto"/>
          </w:tcPr>
          <w:p w:rsidR="004325AA" w:rsidRDefault="004325AA" w:rsidP="004325AA">
            <w:pPr>
              <w:pStyle w:val="FigureTitle"/>
            </w:pPr>
            <w:r w:rsidRPr="00784A05">
              <w:rPr>
                <w:b w:val="0"/>
              </w:rPr>
              <w:t xml:space="preserve">Figure </w:t>
            </w:r>
            <w:r>
              <w:rPr>
                <w:b w:val="0"/>
                <w:noProof/>
              </w:rPr>
              <w:t>23</w:t>
            </w:r>
            <w:r>
              <w:tab/>
              <w:t>Fund size vs benchmark adjusted returns</w:t>
            </w:r>
            <w:r w:rsidRPr="00AB39E4">
              <w:rPr>
                <w:rStyle w:val="NoteLabel"/>
                <w:b/>
              </w:rPr>
              <w:t>a,b</w:t>
            </w:r>
          </w:p>
          <w:p w:rsidR="004325AA" w:rsidRPr="00176D3F" w:rsidRDefault="004325AA" w:rsidP="004325AA">
            <w:pPr>
              <w:pStyle w:val="Subtitle"/>
            </w:pPr>
            <w:r>
              <w:t>2014–2017</w:t>
            </w:r>
          </w:p>
        </w:tc>
      </w:tr>
      <w:tr w:rsidR="004325AA" w:rsidTr="004325A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325AA" w:rsidRPr="00B1465D" w:rsidTr="004325AA">
              <w:trPr>
                <w:tblHeader/>
                <w:jc w:val="center"/>
              </w:trPr>
              <w:tc>
                <w:tcPr>
                  <w:tcW w:w="5000" w:type="pct"/>
                  <w:tcBorders>
                    <w:top w:val="nil"/>
                    <w:bottom w:val="nil"/>
                  </w:tcBorders>
                </w:tcPr>
                <w:p w:rsidR="004325AA" w:rsidRPr="00B1465D" w:rsidRDefault="004325AA" w:rsidP="004325AA">
                  <w:pPr>
                    <w:pStyle w:val="Figure"/>
                    <w:spacing w:before="60" w:after="60"/>
                    <w:rPr>
                      <w:rFonts w:ascii="Arial" w:hAnsi="Arial" w:cs="Arial"/>
                      <w:sz w:val="18"/>
                      <w:szCs w:val="18"/>
                    </w:rPr>
                  </w:pPr>
                  <w:r>
                    <w:rPr>
                      <w:rFonts w:ascii="Arial" w:hAnsi="Arial" w:cs="Arial"/>
                      <w:noProof/>
                      <w:sz w:val="18"/>
                      <w:szCs w:val="18"/>
                    </w:rPr>
                    <w:drawing>
                      <wp:inline distT="0" distB="0" distL="0" distR="0" wp14:anchorId="0676F5CE" wp14:editId="1CC08574">
                        <wp:extent cx="5350462" cy="3345180"/>
                        <wp:effectExtent l="0" t="0" r="3175" b="0"/>
                        <wp:docPr id="7" name="Picture 7" descr="A scatterplot of annualised net value added against net assets for each fund type. Corporate, industry, and public sector funds appear to have an upwards sloping trend, while retail funds appear to have a slightly downwards slop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a_panel.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58254" cy="3350052"/>
                                </a:xfrm>
                                <a:prstGeom prst="rect">
                                  <a:avLst/>
                                </a:prstGeom>
                              </pic:spPr>
                            </pic:pic>
                          </a:graphicData>
                        </a:graphic>
                      </wp:inline>
                    </w:drawing>
                  </w:r>
                </w:p>
              </w:tc>
            </w:tr>
            <w:tr w:rsidR="004325AA" w:rsidRPr="00B1465D" w:rsidTr="004325AA">
              <w:trPr>
                <w:tblHeader/>
                <w:jc w:val="center"/>
              </w:trPr>
              <w:tc>
                <w:tcPr>
                  <w:tcW w:w="5000" w:type="pct"/>
                  <w:tcBorders>
                    <w:top w:val="nil"/>
                    <w:bottom w:val="nil"/>
                  </w:tcBorders>
                </w:tcPr>
                <w:tbl>
                  <w:tblPr>
                    <w:tblW w:w="0" w:type="auto"/>
                    <w:tblLook w:val="04A0" w:firstRow="1" w:lastRow="0" w:firstColumn="1" w:lastColumn="0" w:noHBand="0" w:noVBand="1"/>
                  </w:tblPr>
                  <w:tblGrid>
                    <w:gridCol w:w="1559"/>
                    <w:gridCol w:w="2311"/>
                    <w:gridCol w:w="2312"/>
                    <w:gridCol w:w="2312"/>
                  </w:tblGrid>
                  <w:tr w:rsidR="004325AA" w:rsidTr="004325AA">
                    <w:trPr>
                      <w:tblHeader/>
                    </w:trPr>
                    <w:tc>
                      <w:tcPr>
                        <w:tcW w:w="1559" w:type="dxa"/>
                        <w:shd w:val="clear" w:color="auto" w:fill="F2F2F2" w:themeFill="background1" w:themeFillShade="F2"/>
                      </w:tcPr>
                      <w:p w:rsidR="004325AA" w:rsidRDefault="004325AA" w:rsidP="004325AA">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rsidR="004325AA" w:rsidRDefault="004325AA" w:rsidP="004325AA">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 xml:space="preserve"> (</w:t>
                        </w:r>
                        <w:r w:rsidRPr="00481B71">
                          <w:rPr>
                            <w:rFonts w:ascii="Arial" w:eastAsia="+mn-ea" w:hAnsi="Arial" w:cs="Arial"/>
                            <w:color w:val="000000" w:themeColor="text1"/>
                            <w:kern w:val="24"/>
                            <w:sz w:val="18"/>
                            <w:szCs w:val="18"/>
                          </w:rPr>
                          <w:t>2014</w:t>
                        </w:r>
                        <w:r>
                          <w:rPr>
                            <w:rFonts w:ascii="Arial" w:eastAsia="+mn-ea" w:hAnsi="Arial" w:cs="Arial"/>
                            <w:color w:val="000000" w:themeColor="text1"/>
                            <w:kern w:val="24"/>
                            <w:sz w:val="18"/>
                            <w:szCs w:val="18"/>
                          </w:rPr>
                          <w:t>–</w:t>
                        </w:r>
                        <w:r w:rsidRPr="00481B71">
                          <w:rPr>
                            <w:rFonts w:ascii="Arial" w:eastAsia="+mn-ea" w:hAnsi="Arial" w:cs="Arial"/>
                            <w:color w:val="000000" w:themeColor="text1"/>
                            <w:kern w:val="24"/>
                            <w:sz w:val="18"/>
                            <w:szCs w:val="18"/>
                          </w:rPr>
                          <w:t>2017</w:t>
                        </w:r>
                        <w:r>
                          <w:rPr>
                            <w:rFonts w:ascii="Arial" w:eastAsia="+mn-ea" w:hAnsi="Arial" w:cs="Arial"/>
                            <w:color w:val="000000" w:themeColor="text1"/>
                            <w:kern w:val="24"/>
                            <w:sz w:val="18"/>
                            <w:szCs w:val="18"/>
                          </w:rPr>
                          <w:t>).</w:t>
                        </w:r>
                      </w:p>
                    </w:tc>
                  </w:tr>
                  <w:tr w:rsidR="004325AA" w:rsidRPr="001F53B0" w:rsidTr="004325AA">
                    <w:tc>
                      <w:tcPr>
                        <w:tcW w:w="1559" w:type="dxa"/>
                        <w:shd w:val="clear" w:color="auto" w:fill="F2F2F2" w:themeFill="background1" w:themeFillShade="F2"/>
                      </w:tcPr>
                      <w:p w:rsidR="004325AA" w:rsidRDefault="004325AA" w:rsidP="004325AA">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4325AA" w:rsidRPr="001F53B0" w:rsidRDefault="004325AA" w:rsidP="004325AA">
                        <w:pPr>
                          <w:pStyle w:val="Figure"/>
                          <w:spacing w:before="0" w:after="0"/>
                          <w:jc w:val="left"/>
                          <w:rPr>
                            <w:color w:val="000000" w:themeColor="text1"/>
                          </w:rPr>
                        </w:pPr>
                        <w:r>
                          <w:rPr>
                            <w:rFonts w:ascii="Arial" w:hAnsi="Arial" w:cs="Arial"/>
                            <w:sz w:val="18"/>
                            <w:szCs w:val="18"/>
                          </w:rPr>
                          <w:t>178</w:t>
                        </w:r>
                        <w:r w:rsidRPr="00481B71">
                          <w:rPr>
                            <w:rFonts w:ascii="Arial" w:hAnsi="Arial" w:cs="Arial"/>
                            <w:sz w:val="18"/>
                            <w:szCs w:val="18"/>
                          </w:rPr>
                          <w:t xml:space="preserve"> funds representing</w:t>
                        </w:r>
                        <w:r>
                          <w:rPr>
                            <w:rFonts w:ascii="Arial" w:hAnsi="Arial" w:cs="Arial"/>
                            <w:sz w:val="18"/>
                            <w:szCs w:val="18"/>
                          </w:rPr>
                          <w:t xml:space="preserve"> </w:t>
                        </w:r>
                        <w:r w:rsidRPr="00481B71">
                          <w:rPr>
                            <w:rFonts w:ascii="Arial" w:hAnsi="Arial" w:cs="Arial"/>
                            <w:sz w:val="18"/>
                            <w:szCs w:val="18"/>
                          </w:rPr>
                          <w:t xml:space="preserve">92 per cent of the system in </w:t>
                        </w:r>
                        <w:r>
                          <w:rPr>
                            <w:rFonts w:ascii="Arial" w:hAnsi="Arial" w:cs="Arial"/>
                            <w:sz w:val="18"/>
                            <w:szCs w:val="18"/>
                          </w:rPr>
                          <w:t>2013-14</w:t>
                        </w:r>
                        <w:r w:rsidRPr="00481B71">
                          <w:rPr>
                            <w:rFonts w:ascii="Arial" w:hAnsi="Arial" w:cs="Arial"/>
                            <w:sz w:val="18"/>
                            <w:szCs w:val="18"/>
                          </w:rPr>
                          <w:t>.</w:t>
                        </w:r>
                      </w:p>
                    </w:tc>
                  </w:tr>
                  <w:tr w:rsidR="004325AA" w:rsidTr="004325AA">
                    <w:tc>
                      <w:tcPr>
                        <w:tcW w:w="1559" w:type="dxa"/>
                        <w:shd w:val="clear" w:color="auto" w:fill="F2F2F2" w:themeFill="background1" w:themeFillShade="F2"/>
                      </w:tcPr>
                      <w:p w:rsidR="004325AA" w:rsidRPr="002D6D85" w:rsidRDefault="004325AA" w:rsidP="004325AA">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rsidR="004325AA" w:rsidRDefault="004325AA" w:rsidP="004325A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c>
                      <w:tcPr>
                        <w:tcW w:w="2312" w:type="dxa"/>
                        <w:shd w:val="clear" w:color="auto" w:fill="F2F2F2" w:themeFill="background1" w:themeFillShade="F2"/>
                      </w:tcPr>
                      <w:p w:rsidR="004325AA" w:rsidRDefault="004325AA" w:rsidP="004325AA">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rsidR="004325AA" w:rsidRDefault="004325AA" w:rsidP="004325AA">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r>
                </w:tbl>
                <w:p w:rsidR="004325AA" w:rsidRDefault="004325AA" w:rsidP="004325AA">
                  <w:pPr>
                    <w:pStyle w:val="Figure"/>
                    <w:spacing w:before="60" w:after="60"/>
                    <w:rPr>
                      <w:rFonts w:ascii="Arial" w:hAnsi="Arial" w:cs="Arial"/>
                      <w:noProof/>
                      <w:sz w:val="18"/>
                      <w:szCs w:val="18"/>
                    </w:rPr>
                  </w:pPr>
                </w:p>
              </w:tc>
            </w:tr>
          </w:tbl>
          <w:p w:rsidR="004325AA" w:rsidRDefault="004325AA" w:rsidP="004325AA">
            <w:pPr>
              <w:pStyle w:val="Figure"/>
            </w:pPr>
          </w:p>
        </w:tc>
      </w:tr>
      <w:tr w:rsidR="004325AA" w:rsidRPr="00176D3F" w:rsidTr="004325AA">
        <w:tc>
          <w:tcPr>
            <w:tcW w:w="5000" w:type="pct"/>
            <w:tcBorders>
              <w:top w:val="nil"/>
              <w:left w:val="nil"/>
              <w:bottom w:val="nil"/>
              <w:right w:val="nil"/>
            </w:tcBorders>
            <w:shd w:val="clear" w:color="auto" w:fill="auto"/>
          </w:tcPr>
          <w:p w:rsidR="004325AA" w:rsidRPr="00176D3F" w:rsidRDefault="004325AA" w:rsidP="004325AA">
            <w:pPr>
              <w:pStyle w:val="Note"/>
            </w:pPr>
            <w:r>
              <w:rPr>
                <w:rStyle w:val="NoteLabel"/>
              </w:rPr>
              <w:t>a</w:t>
            </w:r>
            <w:r>
              <w:t xml:space="preserve"> Excludes eligible rollover funds and insurance only funds. This figure only includes funds which have been in operation in all years from 2014 to 2017. For each fund, net assets are taken as an average over the time period. The benchmark adjusted return is calculated as the difference between the actual annualised net return and the benchmark annualised net return, where the construction of the benchmark portfolios follow the assumptions in technical supplement 4. </w:t>
            </w:r>
            <w:r w:rsidRPr="00AB39E4">
              <w:rPr>
                <w:rStyle w:val="NoteLabel"/>
              </w:rPr>
              <w:t>b</w:t>
            </w:r>
            <w:r>
              <w:t xml:space="preserve"> Because this analysis is based on data only covering the period 2014–2017, it is not comparable with the results presented in the supplementary paper on investment performance.</w:t>
            </w:r>
          </w:p>
        </w:tc>
      </w:tr>
      <w:tr w:rsidR="004325AA" w:rsidTr="004325AA">
        <w:tc>
          <w:tcPr>
            <w:tcW w:w="5000" w:type="pct"/>
            <w:tcBorders>
              <w:top w:val="nil"/>
              <w:left w:val="nil"/>
              <w:bottom w:val="single" w:sz="6" w:space="0" w:color="78A22F"/>
              <w:right w:val="nil"/>
            </w:tcBorders>
            <w:shd w:val="clear" w:color="auto" w:fill="auto"/>
          </w:tcPr>
          <w:p w:rsidR="004325AA" w:rsidRDefault="004325AA" w:rsidP="004325AA">
            <w:pPr>
              <w:pStyle w:val="Figurespace"/>
            </w:pPr>
          </w:p>
        </w:tc>
      </w:tr>
      <w:tr w:rsidR="004325AA" w:rsidRPr="000863A5" w:rsidTr="004325AA">
        <w:tc>
          <w:tcPr>
            <w:tcW w:w="5000" w:type="pct"/>
            <w:tcBorders>
              <w:top w:val="single" w:sz="6" w:space="0" w:color="78A22F"/>
              <w:left w:val="nil"/>
              <w:bottom w:val="nil"/>
              <w:right w:val="nil"/>
            </w:tcBorders>
          </w:tcPr>
          <w:p w:rsidR="004325AA" w:rsidRPr="00626D32" w:rsidRDefault="004325AA" w:rsidP="004325AA">
            <w:pPr>
              <w:pStyle w:val="BoxSpaceBelow"/>
            </w:pPr>
          </w:p>
        </w:tc>
      </w:tr>
    </w:tbl>
    <w:p w:rsidR="00A94FA8" w:rsidRDefault="00D20D95" w:rsidP="00533F30">
      <w:pPr>
        <w:pStyle w:val="Heading4"/>
      </w:pPr>
      <w:r>
        <w:t xml:space="preserve">Nor does the evidence suggest that </w:t>
      </w:r>
      <w:r w:rsidR="00A94FA8">
        <w:t>larger funds invest more in unlisted assets</w:t>
      </w:r>
      <w:r w:rsidR="00F914AA">
        <w:t> — at least in recent years</w:t>
      </w:r>
    </w:p>
    <w:p w:rsidR="00B9332F" w:rsidRDefault="00622C1C" w:rsidP="00B9332F">
      <w:pPr>
        <w:pStyle w:val="BodyText"/>
      </w:pPr>
      <w:r>
        <w:t>The Commission has not been able to find evidence of a relationship between fund size and the proportion of funds invested in unlisted assets</w:t>
      </w:r>
      <w:r w:rsidR="00234580">
        <w:t xml:space="preserve"> using</w:t>
      </w:r>
      <w:r w:rsidR="00A94FA8">
        <w:t xml:space="preserve"> data for 2014</w:t>
      </w:r>
      <w:r w:rsidR="009C20C8">
        <w:t>–</w:t>
      </w:r>
      <w:r w:rsidR="00A94FA8">
        <w:t xml:space="preserve">2017 (the years </w:t>
      </w:r>
      <w:r w:rsidR="00234580">
        <w:t>for which</w:t>
      </w:r>
      <w:r w:rsidR="00A94FA8">
        <w:t xml:space="preserve"> high quality asset allocation data </w:t>
      </w:r>
      <w:r w:rsidR="00A30696">
        <w:t>are</w:t>
      </w:r>
      <w:r w:rsidR="00A94FA8">
        <w:t xml:space="preserve"> available</w:t>
      </w:r>
      <w:r w:rsidR="00234580">
        <w:t>)</w:t>
      </w:r>
      <w:r>
        <w:t>.</w:t>
      </w:r>
      <w:r w:rsidR="00B9332F">
        <w:t xml:space="preserve"> While the relationship between fund size and </w:t>
      </w:r>
      <w:r w:rsidR="00B9332F" w:rsidRPr="0026722B">
        <w:t>the</w:t>
      </w:r>
      <w:r w:rsidR="00B9332F">
        <w:t xml:space="preserve"> proportion of unlisted assets held is positive for corporate and public sector funds, and to a less extent for retail funds</w:t>
      </w:r>
      <w:r w:rsidR="008560EF">
        <w:t xml:space="preserve"> (figure 24)</w:t>
      </w:r>
      <w:r w:rsidR="00B9332F">
        <w:t>, th</w:t>
      </w:r>
      <w:r w:rsidR="009C20C8">
        <w:t>ese relationships</w:t>
      </w:r>
      <w:r w:rsidR="00B9332F">
        <w:t xml:space="preserve"> are not statistically significant</w:t>
      </w:r>
      <w:r w:rsidR="00A94FA8">
        <w:t>.</w:t>
      </w:r>
      <w:r>
        <w:t xml:space="preserve"> </w:t>
      </w:r>
      <w:r w:rsidR="00B9332F">
        <w:t xml:space="preserve">There is no discernible trend for industry funds — and indeed a wide band of variation — suggesting that investing in unlisted assets </w:t>
      </w:r>
      <w:r w:rsidR="009C20C8">
        <w:t>was</w:t>
      </w:r>
      <w:r w:rsidR="00B9332F">
        <w:t xml:space="preserve"> not correlated with fund size</w:t>
      </w:r>
      <w:r w:rsidR="00234580">
        <w:t xml:space="preserve"> over this time period</w:t>
      </w:r>
      <w:r w:rsidR="00B9332F">
        <w:t xml:space="preserve">. </w:t>
      </w:r>
    </w:p>
    <w:p w:rsidR="00A94FA8" w:rsidRDefault="00B9332F" w:rsidP="00A94FA8">
      <w:pPr>
        <w:pStyle w:val="BodyText"/>
      </w:pPr>
      <w:r>
        <w:lastRenderedPageBreak/>
        <w:t>Furthermore</w:t>
      </w:r>
      <w:r w:rsidR="00622C1C">
        <w:t xml:space="preserve">, over this period there is no obvious </w:t>
      </w:r>
      <w:r w:rsidR="009D5663">
        <w:t xml:space="preserve">positive </w:t>
      </w:r>
      <w:r>
        <w:t>trend in the proportion of funds invested in unlisted assets (</w:t>
      </w:r>
      <w:r w:rsidRPr="00D90731">
        <w:t>figure </w:t>
      </w:r>
      <w:r w:rsidR="00C27B9A">
        <w:t>25</w:t>
      </w:r>
      <w:r>
        <w:t xml:space="preserve">). This result is consistent with analysis of asset allocation </w:t>
      </w:r>
      <w:r w:rsidR="00234580">
        <w:t xml:space="preserve">data obtained from </w:t>
      </w:r>
      <w:r>
        <w:t>the Commission’s fund survey</w:t>
      </w:r>
      <w:r w:rsidR="00234580">
        <w:t xml:space="preserve"> (though th</w:t>
      </w:r>
      <w:r w:rsidR="00A30696">
        <w:t>e</w:t>
      </w:r>
      <w:r w:rsidR="00234580">
        <w:t xml:space="preserve"> data </w:t>
      </w:r>
      <w:r w:rsidR="00A30696">
        <w:t xml:space="preserve">are </w:t>
      </w:r>
      <w:r w:rsidR="00234580">
        <w:t>subject to sample selection and survivor bias caveats)</w:t>
      </w:r>
      <w:r>
        <w:t>.</w:t>
      </w:r>
      <w:r w:rsidR="00234580">
        <w:t xml:space="preserve"> </w:t>
      </w:r>
    </w:p>
    <w:p w:rsidR="00622C1C" w:rsidRDefault="00622C1C" w:rsidP="00A94FA8">
      <w:pPr>
        <w:pStyle w:val="BodyText"/>
      </w:pPr>
      <w:r>
        <w:t xml:space="preserve">That said, it is still possible that some funds </w:t>
      </w:r>
      <w:r w:rsidR="00234580">
        <w:t xml:space="preserve">have </w:t>
      </w:r>
      <w:r>
        <w:t xml:space="preserve">used scale benefits to invest in more unlisted assets. </w:t>
      </w:r>
      <w:r w:rsidR="00234580">
        <w:t xml:space="preserve">The Commission’s analysis is </w:t>
      </w:r>
      <w:r w:rsidR="00B9332F">
        <w:t xml:space="preserve">limited to the </w:t>
      </w:r>
      <w:r w:rsidR="00A30696">
        <w:t>p</w:t>
      </w:r>
      <w:r w:rsidR="00B9332F">
        <w:t>ast four years</w:t>
      </w:r>
      <w:r w:rsidR="00234580">
        <w:t xml:space="preserve"> (given the data constraints)</w:t>
      </w:r>
      <w:r w:rsidR="00B9332F">
        <w:t>,</w:t>
      </w:r>
      <w:r w:rsidR="00234580">
        <w:t xml:space="preserve"> which</w:t>
      </w:r>
      <w:r w:rsidR="00B9332F">
        <w:t xml:space="preserve"> means that </w:t>
      </w:r>
      <w:r w:rsidR="00234580">
        <w:t xml:space="preserve">any </w:t>
      </w:r>
      <w:r w:rsidR="00B9332F">
        <w:t>trends that existed in the earlier years in the Commission’s expense dataset (2004</w:t>
      </w:r>
      <w:r w:rsidR="008560EF">
        <w:t>–</w:t>
      </w:r>
      <w:r w:rsidR="00B9332F">
        <w:t>2013) cannot be observed.</w:t>
      </w:r>
      <w:r w:rsidR="00234580">
        <w:t xml:space="preserve"> </w:t>
      </w:r>
    </w:p>
    <w:p w:rsidR="00533F30" w:rsidRDefault="00533F30" w:rsidP="00533F3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33F30" w:rsidTr="00622C1C">
        <w:trPr>
          <w:tblHeader/>
        </w:trPr>
        <w:tc>
          <w:tcPr>
            <w:tcW w:w="5000" w:type="pct"/>
            <w:tcBorders>
              <w:top w:val="single" w:sz="6" w:space="0" w:color="78A22F"/>
              <w:left w:val="nil"/>
              <w:bottom w:val="nil"/>
              <w:right w:val="nil"/>
            </w:tcBorders>
            <w:shd w:val="clear" w:color="auto" w:fill="auto"/>
          </w:tcPr>
          <w:p w:rsidR="00533F30" w:rsidRDefault="00533F30" w:rsidP="00622C1C">
            <w:pPr>
              <w:pStyle w:val="FigureTitle"/>
            </w:pPr>
            <w:r w:rsidRPr="00784A05">
              <w:rPr>
                <w:b w:val="0"/>
              </w:rPr>
              <w:t xml:space="preserve">Figure </w:t>
            </w:r>
            <w:r w:rsidR="004325AA">
              <w:rPr>
                <w:b w:val="0"/>
                <w:noProof/>
              </w:rPr>
              <w:t>24</w:t>
            </w:r>
            <w:r>
              <w:tab/>
              <w:t>Average proportion of assets held in unlisted asset classes</w:t>
            </w:r>
          </w:p>
          <w:p w:rsidR="00533F30" w:rsidRPr="00176D3F" w:rsidRDefault="00533F30" w:rsidP="00CC5812">
            <w:pPr>
              <w:pStyle w:val="Subtitle"/>
            </w:pPr>
            <w:r>
              <w:t>2014</w:t>
            </w:r>
            <w:r w:rsidR="009C20C8">
              <w:t>–</w:t>
            </w:r>
            <w:r>
              <w:t>2017</w:t>
            </w:r>
          </w:p>
        </w:tc>
      </w:tr>
      <w:tr w:rsidR="00533F30" w:rsidTr="00622C1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533F30" w:rsidRPr="00B1465D" w:rsidTr="00622C1C">
              <w:trPr>
                <w:tblHeader/>
                <w:jc w:val="center"/>
              </w:trPr>
              <w:tc>
                <w:tcPr>
                  <w:tcW w:w="5000" w:type="pct"/>
                  <w:tcBorders>
                    <w:top w:val="nil"/>
                    <w:bottom w:val="nil"/>
                  </w:tcBorders>
                </w:tcPr>
                <w:p w:rsidR="00533F30" w:rsidRDefault="0007261B" w:rsidP="00622C1C">
                  <w:pPr>
                    <w:pStyle w:val="Figure"/>
                    <w:spacing w:before="60" w:after="60"/>
                    <w:rPr>
                      <w:rFonts w:ascii="Arial" w:hAnsi="Arial" w:cs="Arial"/>
                      <w:sz w:val="18"/>
                      <w:szCs w:val="18"/>
                    </w:rPr>
                  </w:pPr>
                  <w:r>
                    <w:rPr>
                      <w:rFonts w:ascii="Arial" w:hAnsi="Arial" w:cs="Arial"/>
                      <w:noProof/>
                      <w:sz w:val="18"/>
                      <w:szCs w:val="18"/>
                    </w:rPr>
                    <w:drawing>
                      <wp:inline distT="0" distB="0" distL="0" distR="0" wp14:anchorId="20CC6DA9" wp14:editId="5D97C0EA">
                        <wp:extent cx="5417820" cy="3387293"/>
                        <wp:effectExtent l="0" t="0" r="0" b="0"/>
                        <wp:docPr id="41" name="Picture 41" descr="A scatterplot of the percentage of unlisted assets against net assets for each fund type. Corporate, public sector, and retail funds appear to have an upwards sloping trend, while industry funds do not appear to have a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an_proportion_unlisted_panel.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23871" cy="3391076"/>
                                </a:xfrm>
                                <a:prstGeom prst="rect">
                                  <a:avLst/>
                                </a:prstGeom>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533F30" w:rsidTr="00622C1C">
                    <w:trPr>
                      <w:tblHeader/>
                    </w:trPr>
                    <w:tc>
                      <w:tcPr>
                        <w:tcW w:w="1559" w:type="dxa"/>
                        <w:shd w:val="clear" w:color="auto" w:fill="F2F2F2" w:themeFill="background1" w:themeFillShade="F2"/>
                      </w:tcPr>
                      <w:p w:rsidR="00533F30" w:rsidRDefault="00533F30" w:rsidP="00622C1C">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rsidR="00533F30" w:rsidRDefault="00533F30" w:rsidP="00622C1C">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APRA data (</w:t>
                        </w:r>
                        <w:r w:rsidRPr="00481B71">
                          <w:rPr>
                            <w:rFonts w:ascii="Arial" w:eastAsia="+mn-ea" w:hAnsi="Arial" w:cs="Arial"/>
                            <w:color w:val="000000" w:themeColor="text1"/>
                            <w:kern w:val="24"/>
                            <w:sz w:val="18"/>
                            <w:szCs w:val="18"/>
                          </w:rPr>
                          <w:t>2014</w:t>
                        </w:r>
                        <w:r>
                          <w:rPr>
                            <w:rFonts w:ascii="Arial" w:eastAsia="+mn-ea" w:hAnsi="Arial" w:cs="Arial"/>
                            <w:color w:val="000000" w:themeColor="text1"/>
                            <w:kern w:val="24"/>
                            <w:sz w:val="18"/>
                            <w:szCs w:val="18"/>
                          </w:rPr>
                          <w:t>–</w:t>
                        </w:r>
                        <w:r w:rsidRPr="00481B71">
                          <w:rPr>
                            <w:rFonts w:ascii="Arial" w:eastAsia="+mn-ea" w:hAnsi="Arial" w:cs="Arial"/>
                            <w:color w:val="000000" w:themeColor="text1"/>
                            <w:kern w:val="24"/>
                            <w:sz w:val="18"/>
                            <w:szCs w:val="18"/>
                          </w:rPr>
                          <w:t>17</w:t>
                        </w:r>
                        <w:r>
                          <w:rPr>
                            <w:rFonts w:ascii="Arial" w:eastAsia="+mn-ea" w:hAnsi="Arial" w:cs="Arial"/>
                            <w:color w:val="000000" w:themeColor="text1"/>
                            <w:kern w:val="24"/>
                            <w:sz w:val="18"/>
                            <w:szCs w:val="18"/>
                          </w:rPr>
                          <w:t>).</w:t>
                        </w:r>
                      </w:p>
                    </w:tc>
                  </w:tr>
                  <w:tr w:rsidR="00533F30" w:rsidRPr="001F53B0" w:rsidTr="00622C1C">
                    <w:tc>
                      <w:tcPr>
                        <w:tcW w:w="1559" w:type="dxa"/>
                        <w:shd w:val="clear" w:color="auto" w:fill="F2F2F2" w:themeFill="background1" w:themeFillShade="F2"/>
                      </w:tcPr>
                      <w:p w:rsidR="00533F30" w:rsidRDefault="00533F30" w:rsidP="00622C1C">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rsidR="00533F30" w:rsidRPr="001F53B0" w:rsidRDefault="00533F30" w:rsidP="00622C1C">
                        <w:pPr>
                          <w:pStyle w:val="Figure"/>
                          <w:spacing w:before="0" w:after="0"/>
                          <w:jc w:val="left"/>
                          <w:rPr>
                            <w:color w:val="000000" w:themeColor="text1"/>
                          </w:rPr>
                        </w:pPr>
                        <w:r>
                          <w:rPr>
                            <w:rFonts w:ascii="Arial" w:hAnsi="Arial" w:cs="Arial"/>
                            <w:sz w:val="18"/>
                            <w:szCs w:val="18"/>
                          </w:rPr>
                          <w:t>178</w:t>
                        </w:r>
                        <w:r w:rsidRPr="00481B71">
                          <w:rPr>
                            <w:rFonts w:ascii="Arial" w:hAnsi="Arial" w:cs="Arial"/>
                            <w:sz w:val="18"/>
                            <w:szCs w:val="18"/>
                          </w:rPr>
                          <w:t xml:space="preserve"> funds representing</w:t>
                        </w:r>
                        <w:r>
                          <w:rPr>
                            <w:rFonts w:ascii="Arial" w:hAnsi="Arial" w:cs="Arial"/>
                            <w:sz w:val="18"/>
                            <w:szCs w:val="18"/>
                          </w:rPr>
                          <w:t xml:space="preserve"> </w:t>
                        </w:r>
                        <w:r w:rsidRPr="00481B71">
                          <w:rPr>
                            <w:rFonts w:ascii="Arial" w:hAnsi="Arial" w:cs="Arial"/>
                            <w:sz w:val="18"/>
                            <w:szCs w:val="18"/>
                          </w:rPr>
                          <w:t xml:space="preserve">92 per cent of the system in </w:t>
                        </w:r>
                        <w:r>
                          <w:rPr>
                            <w:rFonts w:ascii="Arial" w:hAnsi="Arial" w:cs="Arial"/>
                            <w:sz w:val="18"/>
                            <w:szCs w:val="18"/>
                          </w:rPr>
                          <w:t>2013</w:t>
                        </w:r>
                        <w:r w:rsidR="00F640C8">
                          <w:rPr>
                            <w:rFonts w:ascii="Arial" w:hAnsi="Arial" w:cs="Arial"/>
                            <w:sz w:val="18"/>
                            <w:szCs w:val="18"/>
                          </w:rPr>
                          <w:noBreakHyphen/>
                        </w:r>
                        <w:r>
                          <w:rPr>
                            <w:rFonts w:ascii="Arial" w:hAnsi="Arial" w:cs="Arial"/>
                            <w:sz w:val="18"/>
                            <w:szCs w:val="18"/>
                          </w:rPr>
                          <w:t>14</w:t>
                        </w:r>
                      </w:p>
                    </w:tc>
                  </w:tr>
                  <w:tr w:rsidR="00533F30" w:rsidTr="00622C1C">
                    <w:tc>
                      <w:tcPr>
                        <w:tcW w:w="1559" w:type="dxa"/>
                        <w:shd w:val="clear" w:color="auto" w:fill="F2F2F2" w:themeFill="background1" w:themeFillShade="F2"/>
                      </w:tcPr>
                      <w:p w:rsidR="00533F30" w:rsidRPr="002D6D85" w:rsidRDefault="00533F30" w:rsidP="00622C1C">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rsidR="00533F30" w:rsidRDefault="00533F30" w:rsidP="00622C1C">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c>
                      <w:tcPr>
                        <w:tcW w:w="2312" w:type="dxa"/>
                        <w:shd w:val="clear" w:color="auto" w:fill="F2F2F2" w:themeFill="background1" w:themeFillShade="F2"/>
                      </w:tcPr>
                      <w:p w:rsidR="00533F30" w:rsidRDefault="00533F30" w:rsidP="00622C1C">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rsidR="00533F30" w:rsidRDefault="00533F30" w:rsidP="00622C1C">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r>
                </w:tbl>
                <w:p w:rsidR="00533F30" w:rsidRPr="00B1465D" w:rsidRDefault="00533F30" w:rsidP="00622C1C">
                  <w:pPr>
                    <w:pStyle w:val="Figure"/>
                    <w:spacing w:before="60" w:after="60"/>
                    <w:rPr>
                      <w:rFonts w:ascii="Arial" w:hAnsi="Arial" w:cs="Arial"/>
                      <w:sz w:val="18"/>
                      <w:szCs w:val="18"/>
                    </w:rPr>
                  </w:pPr>
                </w:p>
              </w:tc>
            </w:tr>
          </w:tbl>
          <w:p w:rsidR="00533F30" w:rsidRDefault="00533F30" w:rsidP="00622C1C">
            <w:pPr>
              <w:pStyle w:val="Figure"/>
            </w:pPr>
          </w:p>
        </w:tc>
      </w:tr>
      <w:tr w:rsidR="00533F30" w:rsidRPr="00176D3F" w:rsidTr="00622C1C">
        <w:tc>
          <w:tcPr>
            <w:tcW w:w="5000" w:type="pct"/>
            <w:tcBorders>
              <w:top w:val="nil"/>
              <w:left w:val="nil"/>
              <w:bottom w:val="nil"/>
              <w:right w:val="nil"/>
            </w:tcBorders>
            <w:shd w:val="clear" w:color="auto" w:fill="auto"/>
          </w:tcPr>
          <w:p w:rsidR="00533F30" w:rsidRPr="00176D3F" w:rsidRDefault="00533F30" w:rsidP="00363B4A">
            <w:pPr>
              <w:pStyle w:val="Note"/>
            </w:pPr>
            <w:r>
              <w:rPr>
                <w:rStyle w:val="NoteLabel"/>
              </w:rPr>
              <w:t>a</w:t>
            </w:r>
            <w:r>
              <w:t xml:space="preserve"> </w:t>
            </w:r>
            <w:r w:rsidR="0095559C">
              <w:t xml:space="preserve">Excludes eligible rollover funds and insurance only funds. This figure only includes funds which have been in operation in all years </w:t>
            </w:r>
            <w:r w:rsidR="00363B4A">
              <w:t xml:space="preserve">from </w:t>
            </w:r>
            <w:r w:rsidR="0095559C">
              <w:t>2014 to 2017. For each fund, net assets are taken as an average over the time period.</w:t>
            </w:r>
            <w:r>
              <w:t xml:space="preserve"> Unlisted asset classes refer to unlisted infrastructure, unlisted property, and private equity.</w:t>
            </w:r>
          </w:p>
        </w:tc>
      </w:tr>
      <w:tr w:rsidR="00533F30" w:rsidTr="00622C1C">
        <w:tc>
          <w:tcPr>
            <w:tcW w:w="5000" w:type="pct"/>
            <w:tcBorders>
              <w:top w:val="nil"/>
              <w:left w:val="nil"/>
              <w:bottom w:val="single" w:sz="6" w:space="0" w:color="78A22F"/>
              <w:right w:val="nil"/>
            </w:tcBorders>
            <w:shd w:val="clear" w:color="auto" w:fill="auto"/>
          </w:tcPr>
          <w:p w:rsidR="00533F30" w:rsidRDefault="00533F30" w:rsidP="00622C1C">
            <w:pPr>
              <w:pStyle w:val="Figurespace"/>
            </w:pPr>
          </w:p>
        </w:tc>
      </w:tr>
      <w:tr w:rsidR="00533F30" w:rsidRPr="000863A5" w:rsidTr="00622C1C">
        <w:tc>
          <w:tcPr>
            <w:tcW w:w="5000" w:type="pct"/>
            <w:tcBorders>
              <w:top w:val="single" w:sz="6" w:space="0" w:color="78A22F"/>
              <w:left w:val="nil"/>
              <w:bottom w:val="nil"/>
              <w:right w:val="nil"/>
            </w:tcBorders>
          </w:tcPr>
          <w:p w:rsidR="00533F30" w:rsidRPr="00626D32" w:rsidRDefault="00533F30" w:rsidP="00622C1C">
            <w:pPr>
              <w:pStyle w:val="BoxSpaceBelow"/>
            </w:pPr>
          </w:p>
        </w:tc>
      </w:tr>
    </w:tbl>
    <w:p w:rsidR="00C27B9A" w:rsidRDefault="00C27B9A" w:rsidP="00C27B9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27B9A" w:rsidTr="001B467D">
        <w:trPr>
          <w:tblHeader/>
        </w:trPr>
        <w:tc>
          <w:tcPr>
            <w:tcW w:w="5000" w:type="pct"/>
            <w:tcBorders>
              <w:top w:val="single" w:sz="6" w:space="0" w:color="78A22F"/>
              <w:left w:val="nil"/>
              <w:bottom w:val="nil"/>
              <w:right w:val="nil"/>
            </w:tcBorders>
            <w:shd w:val="clear" w:color="auto" w:fill="auto"/>
          </w:tcPr>
          <w:p w:rsidR="00C27B9A" w:rsidRPr="007512E7" w:rsidRDefault="00C27B9A" w:rsidP="001B467D">
            <w:pPr>
              <w:pStyle w:val="FigureTitle"/>
              <w:rPr>
                <w:spacing w:val="-4"/>
              </w:rPr>
            </w:pPr>
            <w:r w:rsidRPr="00784A05">
              <w:rPr>
                <w:b w:val="0"/>
              </w:rPr>
              <w:t xml:space="preserve">Figure </w:t>
            </w:r>
            <w:r w:rsidR="004325AA">
              <w:rPr>
                <w:b w:val="0"/>
                <w:noProof/>
              </w:rPr>
              <w:t>25</w:t>
            </w:r>
            <w:r>
              <w:tab/>
            </w:r>
            <w:r w:rsidR="000C0F3F" w:rsidRPr="007512E7">
              <w:rPr>
                <w:spacing w:val="-4"/>
              </w:rPr>
              <w:t>Exposure to</w:t>
            </w:r>
            <w:r w:rsidRPr="007512E7">
              <w:rPr>
                <w:spacing w:val="-4"/>
              </w:rPr>
              <w:t xml:space="preserve"> unlisted assets has not </w:t>
            </w:r>
            <w:r w:rsidR="000C0F3F" w:rsidRPr="007512E7">
              <w:rPr>
                <w:spacing w:val="-4"/>
              </w:rPr>
              <w:t>increased in recent years</w:t>
            </w:r>
          </w:p>
          <w:p w:rsidR="00C27B9A" w:rsidRPr="00176D3F" w:rsidRDefault="00C27B9A" w:rsidP="001B467D">
            <w:pPr>
              <w:pStyle w:val="Subtitle"/>
            </w:pPr>
            <w:r>
              <w:t>Proportion of unlisted assets, 2014–2017</w:t>
            </w:r>
          </w:p>
        </w:tc>
      </w:tr>
      <w:tr w:rsidR="00C27B9A" w:rsidTr="001B46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0"/>
              <w:gridCol w:w="2311"/>
              <w:gridCol w:w="2311"/>
              <w:gridCol w:w="2322"/>
            </w:tblGrid>
            <w:tr w:rsidR="00C27B9A" w:rsidRPr="00B1465D" w:rsidTr="001B467D">
              <w:trPr>
                <w:tblHeader/>
                <w:jc w:val="center"/>
              </w:trPr>
              <w:tc>
                <w:tcPr>
                  <w:tcW w:w="5000" w:type="pct"/>
                  <w:gridSpan w:val="4"/>
                  <w:tcBorders>
                    <w:top w:val="nil"/>
                    <w:bottom w:val="nil"/>
                  </w:tcBorders>
                </w:tcPr>
                <w:p w:rsidR="00C27B9A" w:rsidRPr="00B1465D" w:rsidRDefault="00C27B9A" w:rsidP="001B467D">
                  <w:pPr>
                    <w:pStyle w:val="Figure"/>
                    <w:spacing w:before="60" w:after="60"/>
                    <w:rPr>
                      <w:rFonts w:ascii="Arial" w:hAnsi="Arial" w:cs="Arial"/>
                      <w:sz w:val="18"/>
                      <w:szCs w:val="18"/>
                    </w:rPr>
                  </w:pPr>
                  <w:r>
                    <w:rPr>
                      <w:rFonts w:ascii="Arial" w:hAnsi="Arial" w:cs="Arial"/>
                      <w:noProof/>
                      <w:sz w:val="18"/>
                      <w:szCs w:val="18"/>
                    </w:rPr>
                    <w:drawing>
                      <wp:inline distT="0" distB="0" distL="0" distR="0" wp14:anchorId="21D0A6A7" wp14:editId="5C961FBF">
                        <wp:extent cx="5326602" cy="3330263"/>
                        <wp:effectExtent l="0" t="0" r="0" b="0"/>
                        <wp:docPr id="5" name="Picture 5" descr="The figure shows the trend of the proportion of unlisted asset classes over 2014 to 2017. The aggregate proportion of unlisted assets and private equity falls by 2 per cent over time, while unlisted property and infrastructure do not change m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listed_trend_unwtd.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29982" cy="3332376"/>
                                </a:xfrm>
                                <a:prstGeom prst="rect">
                                  <a:avLst/>
                                </a:prstGeom>
                              </pic:spPr>
                            </pic:pic>
                          </a:graphicData>
                        </a:graphic>
                      </wp:inline>
                    </w:drawing>
                  </w:r>
                </w:p>
              </w:tc>
            </w:tr>
            <w:tr w:rsidR="003342E8" w:rsidTr="003342E8">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tblHeader/>
              </w:trPr>
              <w:tc>
                <w:tcPr>
                  <w:tcW w:w="917" w:type="pct"/>
                  <w:shd w:val="clear" w:color="auto" w:fill="F2F2F2" w:themeFill="background1" w:themeFillShade="F2"/>
                </w:tcPr>
                <w:p w:rsidR="003342E8" w:rsidRDefault="003342E8" w:rsidP="003342E8">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4077" w:type="pct"/>
                  <w:gridSpan w:val="3"/>
                  <w:shd w:val="clear" w:color="auto" w:fill="F2F2F2" w:themeFill="background1" w:themeFillShade="F2"/>
                </w:tcPr>
                <w:p w:rsidR="003342E8" w:rsidRDefault="003342E8" w:rsidP="003342E8">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APRA data (</w:t>
                  </w:r>
                  <w:r w:rsidRPr="00481B71">
                    <w:rPr>
                      <w:rFonts w:ascii="Arial" w:eastAsia="+mn-ea" w:hAnsi="Arial" w:cs="Arial"/>
                      <w:color w:val="000000" w:themeColor="text1"/>
                      <w:kern w:val="24"/>
                      <w:sz w:val="18"/>
                      <w:szCs w:val="18"/>
                    </w:rPr>
                    <w:t>2014</w:t>
                  </w:r>
                  <w:r>
                    <w:rPr>
                      <w:rFonts w:ascii="Arial" w:eastAsia="+mn-ea" w:hAnsi="Arial" w:cs="Arial"/>
                      <w:color w:val="000000" w:themeColor="text1"/>
                      <w:kern w:val="24"/>
                      <w:sz w:val="18"/>
                      <w:szCs w:val="18"/>
                    </w:rPr>
                    <w:t>–</w:t>
                  </w:r>
                  <w:r w:rsidRPr="00481B71">
                    <w:rPr>
                      <w:rFonts w:ascii="Arial" w:eastAsia="+mn-ea" w:hAnsi="Arial" w:cs="Arial"/>
                      <w:color w:val="000000" w:themeColor="text1"/>
                      <w:kern w:val="24"/>
                      <w:sz w:val="18"/>
                      <w:szCs w:val="18"/>
                    </w:rPr>
                    <w:t>17</w:t>
                  </w:r>
                  <w:r>
                    <w:rPr>
                      <w:rFonts w:ascii="Arial" w:eastAsia="+mn-ea" w:hAnsi="Arial" w:cs="Arial"/>
                      <w:color w:val="000000" w:themeColor="text1"/>
                      <w:kern w:val="24"/>
                      <w:sz w:val="18"/>
                      <w:szCs w:val="18"/>
                    </w:rPr>
                    <w:t>).</w:t>
                  </w:r>
                </w:p>
              </w:tc>
            </w:tr>
            <w:tr w:rsidR="003342E8" w:rsidRPr="001F53B0" w:rsidTr="003342E8">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7" w:type="pct"/>
                  <w:shd w:val="clear" w:color="auto" w:fill="F2F2F2" w:themeFill="background1" w:themeFillShade="F2"/>
                </w:tcPr>
                <w:p w:rsidR="003342E8" w:rsidRDefault="003342E8" w:rsidP="003342E8">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77" w:type="pct"/>
                  <w:gridSpan w:val="3"/>
                  <w:shd w:val="clear" w:color="auto" w:fill="F2F2F2" w:themeFill="background1" w:themeFillShade="F2"/>
                </w:tcPr>
                <w:p w:rsidR="003342E8" w:rsidRPr="001F53B0" w:rsidRDefault="003342E8" w:rsidP="003342E8">
                  <w:pPr>
                    <w:pStyle w:val="Figure"/>
                    <w:spacing w:before="0" w:after="0"/>
                    <w:jc w:val="left"/>
                    <w:rPr>
                      <w:color w:val="000000" w:themeColor="text1"/>
                    </w:rPr>
                  </w:pPr>
                  <w:r>
                    <w:rPr>
                      <w:rFonts w:ascii="Arial" w:hAnsi="Arial" w:cs="Arial"/>
                      <w:sz w:val="18"/>
                      <w:szCs w:val="18"/>
                    </w:rPr>
                    <w:t>178</w:t>
                  </w:r>
                  <w:r w:rsidRPr="00481B71">
                    <w:rPr>
                      <w:rFonts w:ascii="Arial" w:hAnsi="Arial" w:cs="Arial"/>
                      <w:sz w:val="18"/>
                      <w:szCs w:val="18"/>
                    </w:rPr>
                    <w:t xml:space="preserve"> funds representing</w:t>
                  </w:r>
                  <w:r>
                    <w:rPr>
                      <w:rFonts w:ascii="Arial" w:hAnsi="Arial" w:cs="Arial"/>
                      <w:sz w:val="18"/>
                      <w:szCs w:val="18"/>
                    </w:rPr>
                    <w:t xml:space="preserve"> </w:t>
                  </w:r>
                  <w:r w:rsidRPr="00481B71">
                    <w:rPr>
                      <w:rFonts w:ascii="Arial" w:hAnsi="Arial" w:cs="Arial"/>
                      <w:sz w:val="18"/>
                      <w:szCs w:val="18"/>
                    </w:rPr>
                    <w:t xml:space="preserve">92 per cent of the system in </w:t>
                  </w:r>
                  <w:r>
                    <w:rPr>
                      <w:rFonts w:ascii="Arial" w:hAnsi="Arial" w:cs="Arial"/>
                      <w:sz w:val="18"/>
                      <w:szCs w:val="18"/>
                    </w:rPr>
                    <w:t>2013</w:t>
                  </w:r>
                  <w:r w:rsidR="00F640C8">
                    <w:rPr>
                      <w:rFonts w:ascii="Arial" w:hAnsi="Arial" w:cs="Arial"/>
                      <w:sz w:val="18"/>
                      <w:szCs w:val="18"/>
                    </w:rPr>
                    <w:noBreakHyphen/>
                  </w:r>
                  <w:r>
                    <w:rPr>
                      <w:rFonts w:ascii="Arial" w:hAnsi="Arial" w:cs="Arial"/>
                      <w:sz w:val="18"/>
                      <w:szCs w:val="18"/>
                    </w:rPr>
                    <w:t>14</w:t>
                  </w:r>
                </w:p>
              </w:tc>
            </w:tr>
            <w:tr w:rsidR="003342E8" w:rsidTr="003342E8">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7" w:type="pct"/>
                  <w:shd w:val="clear" w:color="auto" w:fill="F2F2F2" w:themeFill="background1" w:themeFillShade="F2"/>
                </w:tcPr>
                <w:p w:rsidR="003342E8" w:rsidRPr="002D6D85" w:rsidRDefault="003342E8" w:rsidP="003342E8">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1359" w:type="pct"/>
                  <w:shd w:val="clear" w:color="auto" w:fill="F2F2F2" w:themeFill="background1" w:themeFillShade="F2"/>
                </w:tcPr>
                <w:p w:rsidR="003342E8" w:rsidRDefault="003342E8" w:rsidP="003342E8">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c>
                <w:tcPr>
                  <w:tcW w:w="1359" w:type="pct"/>
                  <w:shd w:val="clear" w:color="auto" w:fill="F2F2F2" w:themeFill="background1" w:themeFillShade="F2"/>
                </w:tcPr>
                <w:p w:rsidR="003342E8" w:rsidRDefault="003342E8" w:rsidP="003342E8">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1359" w:type="pct"/>
                  <w:shd w:val="clear" w:color="auto" w:fill="F2F2F2" w:themeFill="background1" w:themeFillShade="F2"/>
                </w:tcPr>
                <w:p w:rsidR="003342E8" w:rsidRDefault="003342E8" w:rsidP="003342E8">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r>
          </w:tbl>
          <w:p w:rsidR="00C27B9A" w:rsidRDefault="00C27B9A" w:rsidP="001B467D">
            <w:pPr>
              <w:pStyle w:val="Figure"/>
            </w:pPr>
          </w:p>
        </w:tc>
      </w:tr>
      <w:tr w:rsidR="00C27B9A" w:rsidRPr="00176D3F" w:rsidTr="001B467D">
        <w:tc>
          <w:tcPr>
            <w:tcW w:w="5000" w:type="pct"/>
            <w:tcBorders>
              <w:top w:val="nil"/>
              <w:left w:val="nil"/>
              <w:bottom w:val="nil"/>
              <w:right w:val="nil"/>
            </w:tcBorders>
            <w:shd w:val="clear" w:color="auto" w:fill="auto"/>
          </w:tcPr>
          <w:p w:rsidR="00C27B9A" w:rsidRPr="00176D3F" w:rsidRDefault="00C27B9A" w:rsidP="001B467D">
            <w:pPr>
              <w:pStyle w:val="Source"/>
            </w:pPr>
            <w:r>
              <w:rPr>
                <w:i/>
              </w:rPr>
              <w:t>S</w:t>
            </w:r>
            <w:r w:rsidRPr="00784A05">
              <w:rPr>
                <w:i/>
              </w:rPr>
              <w:t>ource</w:t>
            </w:r>
            <w:r w:rsidRPr="00176D3F">
              <w:t xml:space="preserve">: </w:t>
            </w:r>
            <w:r>
              <w:t>PC analysis of APRA data.</w:t>
            </w:r>
          </w:p>
        </w:tc>
      </w:tr>
      <w:tr w:rsidR="00C27B9A" w:rsidTr="001B467D">
        <w:tc>
          <w:tcPr>
            <w:tcW w:w="5000" w:type="pct"/>
            <w:tcBorders>
              <w:top w:val="nil"/>
              <w:left w:val="nil"/>
              <w:bottom w:val="single" w:sz="6" w:space="0" w:color="78A22F"/>
              <w:right w:val="nil"/>
            </w:tcBorders>
            <w:shd w:val="clear" w:color="auto" w:fill="auto"/>
          </w:tcPr>
          <w:p w:rsidR="00C27B9A" w:rsidRDefault="00C27B9A" w:rsidP="001B467D">
            <w:pPr>
              <w:pStyle w:val="Figurespace"/>
            </w:pPr>
          </w:p>
        </w:tc>
      </w:tr>
      <w:tr w:rsidR="00C27B9A" w:rsidRPr="000863A5" w:rsidTr="001B467D">
        <w:tc>
          <w:tcPr>
            <w:tcW w:w="5000" w:type="pct"/>
            <w:tcBorders>
              <w:top w:val="single" w:sz="6" w:space="0" w:color="78A22F"/>
              <w:left w:val="nil"/>
              <w:bottom w:val="nil"/>
              <w:right w:val="nil"/>
            </w:tcBorders>
          </w:tcPr>
          <w:p w:rsidR="00C27B9A" w:rsidRPr="00626D32" w:rsidRDefault="00C27B9A" w:rsidP="001B467D">
            <w:pPr>
              <w:pStyle w:val="BoxSpaceBelow"/>
            </w:pPr>
          </w:p>
        </w:tc>
      </w:tr>
    </w:tbl>
    <w:p w:rsidR="001C13CC" w:rsidRDefault="00A33DFF" w:rsidP="001E3030">
      <w:pPr>
        <w:pStyle w:val="ListBullet"/>
        <w:numPr>
          <w:ilvl w:val="0"/>
          <w:numId w:val="0"/>
        </w:numPr>
        <w:ind w:left="340"/>
      </w:pPr>
      <w:r>
        <w:br w:type="page"/>
      </w:r>
    </w:p>
    <w:p w:rsidR="004759DE" w:rsidDel="000D74DF" w:rsidRDefault="003A6CBF" w:rsidP="00BB2EE5">
      <w:pPr>
        <w:pStyle w:val="Heading2"/>
      </w:pPr>
      <w:bookmarkStart w:id="60" w:name="_Toc530748494"/>
      <w:r w:rsidDel="000D74DF">
        <w:lastRenderedPageBreak/>
        <w:t xml:space="preserve">Appendix </w:t>
      </w:r>
      <w:r w:rsidR="004759DE" w:rsidDel="000D74DF">
        <w:t>A: A</w:t>
      </w:r>
      <w:r w:rsidR="007C3F81" w:rsidDel="000D74DF">
        <w:t>n</w:t>
      </w:r>
      <w:r w:rsidR="004759DE" w:rsidDel="000D74DF">
        <w:t xml:space="preserve"> </w:t>
      </w:r>
      <w:r w:rsidR="007C3F81" w:rsidDel="000D74DF">
        <w:t xml:space="preserve">introduction </w:t>
      </w:r>
      <w:r w:rsidR="004759DE" w:rsidDel="000D74DF">
        <w:t>to Bayesian methods</w:t>
      </w:r>
      <w:bookmarkEnd w:id="60"/>
    </w:p>
    <w:p w:rsidR="009B7BC4" w:rsidRPr="009B7BC4" w:rsidRDefault="009B7BC4" w:rsidP="009B7BC4">
      <w:pPr>
        <w:pStyle w:val="BodyText"/>
      </w:pPr>
      <w:r w:rsidRPr="009B7BC4">
        <w:t>As a group, the modelling issues involved in this analysis raised some formidable technical challenges, particularly when it came to computing standard errors for the estimated parameters. In theory, these could have been tackled using traditional (frequentist) statistical techniques. In reality, the modelling would not have been tractable. A Bayesian framework was adopted, enabling solutions to modelling issues (box </w:t>
      </w:r>
      <w:r w:rsidR="00642BDF">
        <w:t>5</w:t>
      </w:r>
      <w:r w:rsidRPr="009B7BC4">
        <w:t xml:space="preserve"> above) to be implemented </w:t>
      </w:r>
      <w:r>
        <w:t xml:space="preserve">using a </w:t>
      </w:r>
      <w:r w:rsidRPr="009B7BC4">
        <w:t>coherent</w:t>
      </w:r>
      <w:r>
        <w:t xml:space="preserve"> approach</w:t>
      </w:r>
      <w:r w:rsidRPr="009B7BC4">
        <w:t>.</w:t>
      </w:r>
    </w:p>
    <w:p w:rsidR="00403075" w:rsidRDefault="009B7BC4" w:rsidP="009B7BC4">
      <w:pPr>
        <w:pStyle w:val="BodyText"/>
        <w:rPr>
          <w:spacing w:val="-2"/>
        </w:rPr>
      </w:pPr>
      <w:r w:rsidRPr="0043279E">
        <w:rPr>
          <w:spacing w:val="-2"/>
        </w:rPr>
        <w:t xml:space="preserve">Bayesian methods use probability theory to combine data with prior information — information about the uncertainty associated with parameters before any analysis takes place — to make inferences about model parameters </w:t>
      </w:r>
      <w:r w:rsidRPr="00B62972">
        <w:rPr>
          <w:szCs w:val="24"/>
        </w:rPr>
        <w:t>(Gelman, Andrew 2016)</w:t>
      </w:r>
      <w:r w:rsidRPr="0043279E">
        <w:rPr>
          <w:spacing w:val="-2"/>
        </w:rPr>
        <w:t>.</w:t>
      </w:r>
    </w:p>
    <w:p w:rsidR="009B7BC4" w:rsidRDefault="0043279E" w:rsidP="009B7BC4">
      <w:pPr>
        <w:pStyle w:val="BodyText"/>
      </w:pPr>
      <w:r w:rsidRPr="0043279E" w:rsidDel="000D74DF">
        <w:rPr>
          <w:spacing w:val="-2"/>
        </w:rPr>
        <w:t>Bayesian methods represent uncertainty using probability distributions. Prior probability distributions are specified first and are then updated with information arising from the data, given the assumed model structure. The resultant probability distribution (termed the posterior probability distribution) can be interpreted as the distribution of possible values that a parameter can take.</w:t>
      </w:r>
    </w:p>
    <w:p w:rsidR="0043279E" w:rsidRDefault="0043279E" w:rsidP="0043279E">
      <w:pPr>
        <w:pStyle w:val="BodyText"/>
      </w:pPr>
      <w:r>
        <w:t>The use of priors is particularly helpful when the data are of poor quality. Priors ‘pull’ model estimates away from extreme values — a process called regularisation.</w:t>
      </w:r>
      <w:r w:rsidRPr="006007B3">
        <w:rPr>
          <w:rStyle w:val="FootnoteReference"/>
        </w:rPr>
        <w:footnoteReference w:id="30"/>
      </w:r>
      <w:r>
        <w:t xml:space="preserve"> Use of priors is effective at limiting model overfitting (the problem of model estimates corresponding too closely to a particular set of data, and failing to properly account for additional data or predict future observations).</w:t>
      </w:r>
    </w:p>
    <w:p w:rsidR="009B7BC4" w:rsidRDefault="009B7BC4" w:rsidP="009B7BC4">
      <w:pPr>
        <w:pStyle w:val="BodyText"/>
      </w:pPr>
      <w:r>
        <w:t xml:space="preserve">Aside from providing a better representation of uncertainty, Bayesian methods are relatively </w:t>
      </w:r>
      <w:r w:rsidR="00A05224">
        <w:t xml:space="preserve">effective </w:t>
      </w:r>
      <w:r>
        <w:t>at estimating complex models, incorporating information from limited or missing data and combining different sources of information (including different data</w:t>
      </w:r>
      <w:r w:rsidR="00C83071">
        <w:t xml:space="preserve"> </w:t>
      </w:r>
      <w:r>
        <w:t xml:space="preserve">sources) in a coherent framework. These benefits — together with </w:t>
      </w:r>
      <w:r w:rsidRPr="008D1596">
        <w:t>advances in computation</w:t>
      </w:r>
      <w:r>
        <w:t xml:space="preserve"> power — have led to B</w:t>
      </w:r>
      <w:r w:rsidRPr="008D1596">
        <w:t xml:space="preserve">ayesian </w:t>
      </w:r>
      <w:r>
        <w:t>methods becoming more popular</w:t>
      </w:r>
      <w:r w:rsidRPr="008D1596">
        <w:t xml:space="preserve"> in both academia and business</w:t>
      </w:r>
      <w:r>
        <w:t xml:space="preserve"> in recent years (for example, they have been used to analyse higher education participation rates </w:t>
      </w:r>
      <w:r w:rsidRPr="00832F6A">
        <w:rPr>
          <w:szCs w:val="24"/>
        </w:rPr>
        <w:t>(Goldstein, Browne and Charlton 2018)</w:t>
      </w:r>
      <w:r>
        <w:t xml:space="preserve">, labour force participation </w:t>
      </w:r>
      <w:r w:rsidRPr="00832F6A">
        <w:rPr>
          <w:szCs w:val="24"/>
        </w:rPr>
        <w:t>(Evans, Moore and Rees </w:t>
      </w:r>
      <w:r w:rsidRPr="002A082E">
        <w:rPr>
          <w:szCs w:val="24"/>
        </w:rPr>
        <w:t>2018)</w:t>
      </w:r>
      <w:r>
        <w:t xml:space="preserve">, interest rates </w:t>
      </w:r>
      <w:r w:rsidRPr="002A082E">
        <w:rPr>
          <w:szCs w:val="24"/>
        </w:rPr>
        <w:t>(McCririck and Rees 2017)</w:t>
      </w:r>
      <w:r>
        <w:t xml:space="preserve"> and the impact of microcredit expansions </w:t>
      </w:r>
      <w:r w:rsidRPr="00345C96">
        <w:rPr>
          <w:szCs w:val="24"/>
        </w:rPr>
        <w:t>(Meager forthcoming)</w:t>
      </w:r>
      <w:r>
        <w:t>).</w:t>
      </w:r>
    </w:p>
    <w:p w:rsidR="003B11F0" w:rsidRDefault="003B11F0">
      <w:pPr>
        <w:rPr>
          <w:rFonts w:ascii="Arial" w:hAnsi="Arial"/>
          <w:b/>
          <w:sz w:val="26"/>
        </w:rPr>
      </w:pPr>
      <w:r>
        <w:br w:type="page"/>
      </w:r>
    </w:p>
    <w:p w:rsidR="00AC184A" w:rsidDel="000D74DF" w:rsidRDefault="00B62972" w:rsidP="00BB2EE5">
      <w:pPr>
        <w:pStyle w:val="Heading3"/>
      </w:pPr>
      <w:bookmarkStart w:id="61" w:name="_Toc530748495"/>
      <w:r w:rsidDel="000D74DF">
        <w:lastRenderedPageBreak/>
        <w:t>Why use</w:t>
      </w:r>
      <w:r w:rsidR="00AC184A" w:rsidDel="000D74DF">
        <w:t xml:space="preserve"> Bayesian </w:t>
      </w:r>
      <w:r w:rsidDel="000D74DF">
        <w:t>methods</w:t>
      </w:r>
      <w:r w:rsidR="00AC184A" w:rsidDel="000D74DF">
        <w:t>?</w:t>
      </w:r>
      <w:bookmarkEnd w:id="61"/>
    </w:p>
    <w:p w:rsidR="00AC184A" w:rsidDel="000D74DF" w:rsidRDefault="00AC184A" w:rsidP="00AC184A">
      <w:pPr>
        <w:pStyle w:val="BodyText"/>
      </w:pPr>
      <w:r w:rsidDel="000D74DF">
        <w:t xml:space="preserve">Bayesian </w:t>
      </w:r>
      <w:r w:rsidR="00B62972" w:rsidDel="000D74DF">
        <w:t>methods have</w:t>
      </w:r>
      <w:r w:rsidDel="000D74DF">
        <w:t xml:space="preserve"> a number of key advantages over </w:t>
      </w:r>
      <w:r w:rsidR="00231EFC" w:rsidDel="000D74DF">
        <w:t>traditional (</w:t>
      </w:r>
      <w:r w:rsidR="00B62972" w:rsidDel="000D74DF">
        <w:t>or</w:t>
      </w:r>
      <w:r w:rsidR="00231EFC" w:rsidDel="000D74DF">
        <w:t xml:space="preserve"> </w:t>
      </w:r>
      <w:r w:rsidDel="000D74DF">
        <w:t>frequentist</w:t>
      </w:r>
      <w:r w:rsidR="00231EFC" w:rsidDel="000D74DF">
        <w:t>)</w:t>
      </w:r>
      <w:r w:rsidDel="000D74DF">
        <w:t xml:space="preserve"> approaches</w:t>
      </w:r>
      <w:r w:rsidR="00D02489" w:rsidDel="000D74DF">
        <w:t xml:space="preserve"> that </w:t>
      </w:r>
      <w:r w:rsidR="00A05224">
        <w:t>could be used</w:t>
      </w:r>
      <w:r w:rsidR="00D02489" w:rsidDel="000D74DF">
        <w:t xml:space="preserve"> for this modelling </w:t>
      </w:r>
      <w:r w:rsidR="00D02489">
        <w:t>task</w:t>
      </w:r>
      <w:r w:rsidR="005D4BC3">
        <w:t>.</w:t>
      </w:r>
      <w:r w:rsidDel="000D74DF">
        <w:t xml:space="preserve"> </w:t>
      </w:r>
      <w:r w:rsidR="0043279E">
        <w:t>They</w:t>
      </w:r>
      <w:r w:rsidDel="000D74DF">
        <w:t>:</w:t>
      </w:r>
    </w:p>
    <w:p w:rsidR="00AC184A" w:rsidDel="000D74DF" w:rsidRDefault="00AC184A" w:rsidP="00AC184A">
      <w:pPr>
        <w:pStyle w:val="ListBullet"/>
      </w:pPr>
      <w:r w:rsidDel="000D74DF">
        <w:t>allow for a more flexible and robust analysis of data. The estimation app</w:t>
      </w:r>
      <w:r w:rsidR="00231EFC" w:rsidDel="000D74DF">
        <w:t>roach is the same irrespective</w:t>
      </w:r>
      <w:r w:rsidDel="000D74DF">
        <w:t xml:space="preserve"> of model complexity. Models are defined, prior probability distributions are chosen, and the posterior distribution is calculated by conditioning on observed data. Any model that can be defined can be modelled without needing to resort to </w:t>
      </w:r>
      <w:r w:rsidR="00B62972" w:rsidDel="000D74DF">
        <w:t xml:space="preserve">any </w:t>
      </w:r>
      <w:r w:rsidDel="000D74DF">
        <w:t>ad</w:t>
      </w:r>
      <w:r w:rsidR="00F640C8">
        <w:noBreakHyphen/>
      </w:r>
      <w:r w:rsidDel="000D74DF">
        <w:t>hoc modelling solutions</w:t>
      </w:r>
    </w:p>
    <w:p w:rsidR="000D0B0A" w:rsidDel="000D74DF" w:rsidRDefault="00AC184A" w:rsidP="00AF1534">
      <w:pPr>
        <w:pStyle w:val="ListBullet"/>
      </w:pPr>
      <w:r w:rsidDel="000D74DF">
        <w:t xml:space="preserve">make better use of all available information. </w:t>
      </w:r>
      <w:r w:rsidR="00DD36C7" w:rsidDel="000D74DF">
        <w:t xml:space="preserve">Priors allow modellers to incorporate information from sources </w:t>
      </w:r>
      <w:r w:rsidR="00E76671" w:rsidDel="000D74DF">
        <w:t xml:space="preserve">other than data </w:t>
      </w:r>
      <w:r w:rsidR="00DD36C7" w:rsidDel="000D74DF">
        <w:t>(</w:t>
      </w:r>
      <w:r w:rsidR="00E76671" w:rsidDel="000D74DF">
        <w:t xml:space="preserve">for example, </w:t>
      </w:r>
      <w:r w:rsidR="00DD36C7" w:rsidDel="000D74DF">
        <w:t xml:space="preserve">past research). </w:t>
      </w:r>
      <w:r w:rsidR="00E76671" w:rsidDel="000D74DF">
        <w:t xml:space="preserve">A Bayesian framework also provides a simple approach for imputing missing values (they are estimated jointly with the rest of the model), which means that </w:t>
      </w:r>
      <w:r w:rsidR="00875AA7" w:rsidDel="000D74DF">
        <w:t>missing values do not need to be dropped</w:t>
      </w:r>
    </w:p>
    <w:p w:rsidR="00AC184A" w:rsidDel="000D74DF" w:rsidRDefault="00AC184A" w:rsidP="00AC184A">
      <w:pPr>
        <w:pStyle w:val="ListBullet"/>
      </w:pPr>
      <w:r w:rsidDel="000D74DF">
        <w:t>intuitively accounts for uncertainty in model parameters</w:t>
      </w:r>
      <w:r w:rsidR="00967ACA" w:rsidDel="000D74DF">
        <w:t>, leading to a simpler interpretation of uncertainty (discussed below)</w:t>
      </w:r>
      <w:r w:rsidDel="000D74DF">
        <w:t>.</w:t>
      </w:r>
    </w:p>
    <w:p w:rsidR="00C90597" w:rsidDel="000D74DF" w:rsidRDefault="00C90597" w:rsidP="00BB2EE5">
      <w:pPr>
        <w:pStyle w:val="Heading3"/>
      </w:pPr>
      <w:bookmarkStart w:id="62" w:name="_Toc530748496"/>
      <w:r w:rsidDel="000D74DF">
        <w:t>How should parameter estimates be interpreted?</w:t>
      </w:r>
      <w:bookmarkEnd w:id="62"/>
    </w:p>
    <w:p w:rsidR="00BB2EFF" w:rsidDel="000D74DF" w:rsidRDefault="003B051A" w:rsidP="005D448A">
      <w:pPr>
        <w:pStyle w:val="BodyText"/>
      </w:pPr>
      <w:r w:rsidDel="000D74DF">
        <w:t xml:space="preserve">The posterior distributions that flow </w:t>
      </w:r>
      <w:r w:rsidR="006B3405" w:rsidDel="000D74DF">
        <w:t>out</w:t>
      </w:r>
      <w:r w:rsidDel="000D74DF">
        <w:t xml:space="preserve"> from</w:t>
      </w:r>
      <w:r w:rsidR="00BB2EFF" w:rsidDel="000D74DF">
        <w:t xml:space="preserve"> </w:t>
      </w:r>
      <w:r w:rsidR="006B3405" w:rsidDel="000D74DF">
        <w:t xml:space="preserve">a </w:t>
      </w:r>
      <w:r w:rsidR="00BB2EFF" w:rsidDel="000D74DF">
        <w:t>Bayesian</w:t>
      </w:r>
      <w:r w:rsidR="00F640C8">
        <w:noBreakHyphen/>
      </w:r>
      <w:r w:rsidR="006B3405" w:rsidDel="000D74DF">
        <w:t>estimated model</w:t>
      </w:r>
      <w:r w:rsidR="00BB2EFF" w:rsidDel="000D74DF">
        <w:t xml:space="preserve"> </w:t>
      </w:r>
      <w:r w:rsidR="00231EFC" w:rsidDel="000D74DF">
        <w:t>are often</w:t>
      </w:r>
      <w:r w:rsidR="00BB2EFF" w:rsidDel="000D74DF">
        <w:t xml:space="preserve"> simplified for presentation using summary statistics. </w:t>
      </w:r>
      <w:r w:rsidDel="000D74DF">
        <w:t>In this paper, median</w:t>
      </w:r>
      <w:r w:rsidR="00BB2EFF" w:rsidDel="000D74DF">
        <w:t>s</w:t>
      </w:r>
      <w:r w:rsidDel="000D74DF">
        <w:t xml:space="preserve"> of the </w:t>
      </w:r>
      <w:r w:rsidR="00BB2EFF" w:rsidDel="000D74DF">
        <w:t xml:space="preserve">parameter </w:t>
      </w:r>
      <w:r w:rsidDel="000D74DF">
        <w:t>posterior distribution</w:t>
      </w:r>
      <w:r w:rsidR="00BB2EFF" w:rsidDel="000D74DF">
        <w:t>s</w:t>
      </w:r>
      <w:r w:rsidDel="000D74DF">
        <w:t xml:space="preserve"> </w:t>
      </w:r>
      <w:r w:rsidR="00BB2EFF" w:rsidDel="000D74DF">
        <w:t>are presented</w:t>
      </w:r>
      <w:r w:rsidR="00231EFC" w:rsidDel="000D74DF">
        <w:t xml:space="preserve"> to give an indication of an average effect</w:t>
      </w:r>
      <w:r w:rsidR="00BB2EFF" w:rsidDel="000D74DF">
        <w:t xml:space="preserve">. </w:t>
      </w:r>
      <w:r w:rsidR="00F54752" w:rsidDel="000D74DF">
        <w:t xml:space="preserve">The uncertainty </w:t>
      </w:r>
      <w:r w:rsidR="00930FFD" w:rsidDel="000D74DF">
        <w:t xml:space="preserve">associated with parameter values </w:t>
      </w:r>
      <w:r w:rsidR="00F54752" w:rsidDel="000D74DF">
        <w:t xml:space="preserve">is </w:t>
      </w:r>
      <w:r w:rsidR="005B78BC">
        <w:t xml:space="preserve">often </w:t>
      </w:r>
      <w:r w:rsidR="00F54752" w:rsidDel="000D74DF">
        <w:t>reported using</w:t>
      </w:r>
      <w:r w:rsidR="00930FFD" w:rsidDel="000D74DF">
        <w:t xml:space="preserve"> the 2.5</w:t>
      </w:r>
      <w:r w:rsidR="00BB2EFF" w:rsidDel="000D74DF">
        <w:t xml:space="preserve"> and 9</w:t>
      </w:r>
      <w:r w:rsidR="00930FFD" w:rsidDel="000D74DF">
        <w:t>7.</w:t>
      </w:r>
      <w:r w:rsidR="00BB2EFF" w:rsidDel="000D74DF">
        <w:t>5</w:t>
      </w:r>
      <w:r w:rsidR="00930FFD" w:rsidDel="000D74DF">
        <w:t xml:space="preserve"> </w:t>
      </w:r>
      <w:r w:rsidR="00BB2EFF" w:rsidDel="000D74DF">
        <w:t>percentiles</w:t>
      </w:r>
      <w:r w:rsidR="00930FFD" w:rsidDel="000D74DF">
        <w:t xml:space="preserve"> of the posterior </w:t>
      </w:r>
      <w:r w:rsidR="00F10D21" w:rsidDel="000D74DF">
        <w:t>distribution</w:t>
      </w:r>
      <w:r w:rsidR="00F54752" w:rsidDel="000D74DF">
        <w:t xml:space="preserve"> — sometimes as a shaded area, sometimes as lines that indicate ranges</w:t>
      </w:r>
      <w:r w:rsidR="00BB2EFF" w:rsidDel="000D74DF">
        <w:t>.</w:t>
      </w:r>
      <w:r w:rsidR="00967ACA" w:rsidDel="000D74DF">
        <w:t xml:space="preserve"> This can be interpret</w:t>
      </w:r>
      <w:r w:rsidR="005D4BC3" w:rsidDel="000D74DF">
        <w:t>ed</w:t>
      </w:r>
      <w:r w:rsidR="00967ACA" w:rsidDel="000D74DF">
        <w:t xml:space="preserve"> as saying </w:t>
      </w:r>
      <w:r w:rsidR="00B82D76" w:rsidDel="000D74DF">
        <w:t>‘</w:t>
      </w:r>
      <w:r w:rsidR="00967ACA" w:rsidRPr="00967ACA" w:rsidDel="000D74DF">
        <w:rPr>
          <w:i/>
        </w:rPr>
        <w:t>there is a 95 per</w:t>
      </w:r>
      <w:r w:rsidR="00E1227B" w:rsidDel="000D74DF">
        <w:rPr>
          <w:i/>
        </w:rPr>
        <w:t> </w:t>
      </w:r>
      <w:r w:rsidR="00967ACA" w:rsidRPr="00967ACA" w:rsidDel="000D74DF">
        <w:rPr>
          <w:i/>
        </w:rPr>
        <w:t>cent chance that the true parameter value lies in this range</w:t>
      </w:r>
      <w:r w:rsidR="00B82D76" w:rsidDel="000D74DF">
        <w:rPr>
          <w:i/>
        </w:rPr>
        <w:t>’</w:t>
      </w:r>
      <w:r w:rsidR="00967ACA" w:rsidRPr="00AF1534" w:rsidDel="000D74DF">
        <w:t>.</w:t>
      </w:r>
    </w:p>
    <w:p w:rsidR="002A4C09" w:rsidDel="000D74DF" w:rsidRDefault="00C90597" w:rsidP="00BB2EE5">
      <w:pPr>
        <w:pStyle w:val="Heading3"/>
      </w:pPr>
      <w:bookmarkStart w:id="63" w:name="_Toc530748497"/>
      <w:r w:rsidDel="000D74DF">
        <w:t>How are Bayesian models estimated?</w:t>
      </w:r>
      <w:bookmarkEnd w:id="63"/>
    </w:p>
    <w:p w:rsidR="00BB2EFF" w:rsidDel="000D74DF" w:rsidRDefault="00BB2EFF" w:rsidP="002A4C09">
      <w:pPr>
        <w:pStyle w:val="BodyText"/>
      </w:pPr>
      <w:r w:rsidDel="000D74DF">
        <w:t>The Commission</w:t>
      </w:r>
      <w:r w:rsidDel="00403075">
        <w:t xml:space="preserve"> </w:t>
      </w:r>
      <w:r w:rsidDel="000D74DF">
        <w:t xml:space="preserve">used </w:t>
      </w:r>
      <w:r w:rsidR="00FA206C" w:rsidDel="000D74DF">
        <w:t xml:space="preserve">the statistical package </w:t>
      </w:r>
      <w:r w:rsidR="008270AD" w:rsidDel="000D74DF">
        <w:t>Stan</w:t>
      </w:r>
      <w:r w:rsidR="00383BA5" w:rsidDel="000D74DF">
        <w:t xml:space="preserve"> </w:t>
      </w:r>
      <w:r w:rsidR="0063461D" w:rsidRPr="0063461D">
        <w:rPr>
          <w:szCs w:val="24"/>
        </w:rPr>
        <w:t>(Carpenter et al. 2017)</w:t>
      </w:r>
      <w:r w:rsidR="008270AD" w:rsidDel="000D74DF">
        <w:t xml:space="preserve"> through an interface to the R programming language to estimate its Bay</w:t>
      </w:r>
      <w:r w:rsidR="007512E7">
        <w:t>esian economies of scale model.</w:t>
      </w:r>
    </w:p>
    <w:p w:rsidR="008270AD" w:rsidDel="000D74DF" w:rsidRDefault="00043B23" w:rsidP="002A4C09">
      <w:pPr>
        <w:pStyle w:val="BodyText"/>
      </w:pPr>
      <w:r>
        <w:t>For all but the simple</w:t>
      </w:r>
      <w:r w:rsidR="00A05224">
        <w:t>st</w:t>
      </w:r>
      <w:r>
        <w:t xml:space="preserve"> cases t</w:t>
      </w:r>
      <w:r w:rsidR="00C96C4E" w:rsidDel="000D74DF">
        <w:t xml:space="preserve">here is no </w:t>
      </w:r>
      <w:r w:rsidR="00FA206C" w:rsidDel="000D74DF">
        <w:t>mathematical</w:t>
      </w:r>
      <w:r w:rsidR="00C96C4E" w:rsidDel="000D74DF">
        <w:t xml:space="preserve"> equation that defines the posterior distribution</w:t>
      </w:r>
      <w:r w:rsidR="0088530A" w:rsidDel="000D74DF">
        <w:t xml:space="preserve"> — it needs to be estimated empirically</w:t>
      </w:r>
      <w:r w:rsidR="00C96C4E" w:rsidDel="000D74DF">
        <w:t xml:space="preserve">. </w:t>
      </w:r>
      <w:r w:rsidR="00930FFD" w:rsidDel="000D74DF">
        <w:t>This estimation can be</w:t>
      </w:r>
      <w:r w:rsidR="008270AD" w:rsidDel="000D74DF">
        <w:t xml:space="preserve"> computationally difficult</w:t>
      </w:r>
      <w:r w:rsidR="008270AD">
        <w:t>,</w:t>
      </w:r>
      <w:r w:rsidR="008270AD" w:rsidDel="000D74DF">
        <w:t xml:space="preserve"> </w:t>
      </w:r>
      <w:r w:rsidR="00B90BC1" w:rsidDel="000D74DF">
        <w:t xml:space="preserve">indeed it has </w:t>
      </w:r>
      <w:r w:rsidR="0088530A" w:rsidDel="000D74DF">
        <w:t xml:space="preserve">only </w:t>
      </w:r>
      <w:r w:rsidR="008270AD" w:rsidDel="000D74DF">
        <w:t>been possible to estimate complicated models in recent years</w:t>
      </w:r>
      <w:r w:rsidR="00B90BC1" w:rsidDel="000D74DF">
        <w:t>,</w:t>
      </w:r>
      <w:r w:rsidR="008270AD" w:rsidDel="000D74DF">
        <w:t xml:space="preserve"> as computing power has increased. Stan uses an algorithm called Markov </w:t>
      </w:r>
      <w:r w:rsidR="00403075">
        <w:t>C</w:t>
      </w:r>
      <w:r w:rsidR="00403075" w:rsidDel="000D74DF">
        <w:t xml:space="preserve">hain </w:t>
      </w:r>
      <w:r w:rsidR="008270AD" w:rsidDel="000D74DF">
        <w:t xml:space="preserve">Monte Carlo (MCMC) to </w:t>
      </w:r>
      <w:r w:rsidR="00B90BC1" w:rsidDel="000D74DF">
        <w:t xml:space="preserve">explore and </w:t>
      </w:r>
      <w:r w:rsidR="008270AD" w:rsidDel="000D74DF">
        <w:t>sample from the posterior probability distribution.</w:t>
      </w:r>
      <w:r w:rsidR="00B90BC1" w:rsidDel="000D74DF">
        <w:t xml:space="preserve"> </w:t>
      </w:r>
      <w:r w:rsidR="00FA206C" w:rsidDel="000D74DF">
        <w:t>Statistical</w:t>
      </w:r>
      <w:r w:rsidR="00B90BC1" w:rsidDel="000D74DF">
        <w:t xml:space="preserve"> inference about the posterior distribution</w:t>
      </w:r>
      <w:r w:rsidR="00A44F4D" w:rsidDel="000D74DF">
        <w:t xml:space="preserve"> is conducted using these samples</w:t>
      </w:r>
      <w:r w:rsidR="00B90BC1" w:rsidDel="000D74DF">
        <w:t>.</w:t>
      </w:r>
    </w:p>
    <w:p w:rsidR="00A44F4D" w:rsidDel="000D74DF" w:rsidRDefault="00A44F4D" w:rsidP="002A4C09">
      <w:pPr>
        <w:pStyle w:val="BodyText"/>
      </w:pPr>
      <w:r w:rsidDel="000D74DF">
        <w:t xml:space="preserve">Much of the work associated with Bayesian analysis </w:t>
      </w:r>
      <w:r w:rsidR="00C219F3" w:rsidDel="000D74DF">
        <w:t>involves</w:t>
      </w:r>
      <w:r w:rsidDel="000D74DF">
        <w:t xml:space="preserve"> ensuring that the MCMC algorithm </w:t>
      </w:r>
      <w:r w:rsidR="00C219F3" w:rsidDel="000D74DF">
        <w:t xml:space="preserve">is </w:t>
      </w:r>
      <w:r w:rsidDel="000D74DF">
        <w:t>drawing sensible samples from the posterior distribution</w:t>
      </w:r>
      <w:r w:rsidR="00930FFD" w:rsidDel="000D74DF">
        <w:t>, such that valid inferences can be drawn</w:t>
      </w:r>
      <w:r w:rsidDel="000D74DF">
        <w:t>.</w:t>
      </w:r>
    </w:p>
    <w:p w:rsidR="00C77218" w:rsidRDefault="003A6CBF" w:rsidP="00CB4FF4">
      <w:pPr>
        <w:pStyle w:val="Heading2"/>
      </w:pPr>
      <w:bookmarkStart w:id="64" w:name="_Toc530748498"/>
      <w:r>
        <w:lastRenderedPageBreak/>
        <w:t xml:space="preserve">Appendix </w:t>
      </w:r>
      <w:r w:rsidR="00C77218" w:rsidDel="000D74DF">
        <w:t>B</w:t>
      </w:r>
      <w:r w:rsidR="00C77218">
        <w:t xml:space="preserve">: Modelling </w:t>
      </w:r>
      <w:r w:rsidR="000D74DF">
        <w:t>s</w:t>
      </w:r>
      <w:r w:rsidR="00C77218">
        <w:t>trategy</w:t>
      </w:r>
      <w:bookmarkEnd w:id="64"/>
    </w:p>
    <w:p w:rsidR="00DC203B" w:rsidRDefault="00DC203B" w:rsidP="00DC203B">
      <w:pPr>
        <w:pStyle w:val="BodyText"/>
      </w:pPr>
      <w:r>
        <w:t xml:space="preserve">This </w:t>
      </w:r>
      <w:r w:rsidDel="00DC203B">
        <w:t xml:space="preserve">appendix </w:t>
      </w:r>
      <w:r>
        <w:t xml:space="preserve">outlines the model variables and equations used in the Commission’s analysis. </w:t>
      </w:r>
      <w:r w:rsidR="00041C2D">
        <w:t xml:space="preserve">The model estimated by the Commission </w:t>
      </w:r>
      <w:r>
        <w:t>jointly estimates the cost function</w:t>
      </w:r>
      <w:r w:rsidR="001673E9">
        <w:t>s</w:t>
      </w:r>
      <w:r>
        <w:t xml:space="preserve"> </w:t>
      </w:r>
      <w:r w:rsidR="00041C2D">
        <w:t xml:space="preserve">of funds </w:t>
      </w:r>
      <w:r>
        <w:t>and the pass</w:t>
      </w:r>
      <w:r w:rsidR="00F640C8">
        <w:noBreakHyphen/>
      </w:r>
      <w:r>
        <w:t xml:space="preserve">through of economies of scale to </w:t>
      </w:r>
      <w:r w:rsidR="00041C2D">
        <w:t xml:space="preserve">members via </w:t>
      </w:r>
      <w:r>
        <w:t>lower fees.</w:t>
      </w:r>
    </w:p>
    <w:p w:rsidR="00DC203B" w:rsidRDefault="00DC203B" w:rsidP="000D062F">
      <w:pPr>
        <w:pStyle w:val="Heading3"/>
      </w:pPr>
      <w:bookmarkStart w:id="65" w:name="_Toc530748499"/>
      <w:r>
        <w:t>A hierarchical structure</w:t>
      </w:r>
      <w:bookmarkEnd w:id="65"/>
    </w:p>
    <w:p w:rsidR="00DC203B" w:rsidRDefault="00DC203B" w:rsidP="00DC203B">
      <w:pPr>
        <w:pStyle w:val="BodyText"/>
      </w:pPr>
      <w:r>
        <w:t>The model is hierarchical — that is, the model is specified from the top and is broken down into its smaller constituents in a tree</w:t>
      </w:r>
      <w:r w:rsidR="00F640C8">
        <w:noBreakHyphen/>
      </w:r>
      <w:r>
        <w:t>like structure (figure </w:t>
      </w:r>
      <w:r w:rsidR="00E4016C">
        <w:t>B</w:t>
      </w:r>
      <w:r w:rsidR="000D74DF">
        <w:t>.1</w:t>
      </w:r>
      <w:r>
        <w:t xml:space="preserve">). On the top level of the model, administration and investment expenses are jointly modelled </w:t>
      </w:r>
      <w:r w:rsidR="002F7E8C">
        <w:t xml:space="preserve">(in logarithmic form) </w:t>
      </w:r>
      <w:r>
        <w:t>using a multivariate normal distribution (this allows for the estimated error terms for administration and investment expenses to be correlated at the fund level).</w:t>
      </w:r>
    </w:p>
    <w:p w:rsidR="00DC203B" w:rsidRPr="007512E7" w:rsidRDefault="00DC203B" w:rsidP="00DC203B">
      <w:pPr>
        <w:pStyle w:val="BodyText"/>
        <w:rPr>
          <w:spacing w:val="-2"/>
        </w:rPr>
      </w:pPr>
      <w:r w:rsidRPr="007512E7">
        <w:rPr>
          <w:spacing w:val="-2"/>
        </w:rPr>
        <w:t xml:space="preserve">On the next level are equations that estimate administration and investment expenses. </w:t>
      </w:r>
      <w:r w:rsidR="00EE699E" w:rsidRPr="007512E7">
        <w:rPr>
          <w:spacing w:val="-2"/>
        </w:rPr>
        <w:t xml:space="preserve">These cost functions are allowed to vary from fund to fund — taking </w:t>
      </w:r>
      <w:r w:rsidR="002F7E8C" w:rsidRPr="007512E7">
        <w:rPr>
          <w:spacing w:val="-2"/>
        </w:rPr>
        <w:t xml:space="preserve">account </w:t>
      </w:r>
      <w:r w:rsidR="00EE699E" w:rsidRPr="007512E7">
        <w:rPr>
          <w:spacing w:val="-2"/>
        </w:rPr>
        <w:t>of heterogeneity in the relationship between size and expenses between funds that was observed in the raw data</w:t>
      </w:r>
      <w:r w:rsidR="00BB5B40" w:rsidRPr="007512E7">
        <w:rPr>
          <w:spacing w:val="-2"/>
        </w:rPr>
        <w:t xml:space="preserve">. </w:t>
      </w:r>
      <w:r w:rsidRPr="007512E7">
        <w:rPr>
          <w:spacing w:val="-2"/>
        </w:rPr>
        <w:t xml:space="preserve">Feeding into </w:t>
      </w:r>
      <w:r w:rsidR="00BB5B40" w:rsidRPr="007512E7">
        <w:rPr>
          <w:spacing w:val="-2"/>
        </w:rPr>
        <w:t>the two cost</w:t>
      </w:r>
      <w:r w:rsidRPr="007512E7">
        <w:rPr>
          <w:spacing w:val="-2"/>
        </w:rPr>
        <w:t xml:space="preserve"> equations are </w:t>
      </w:r>
      <w:r w:rsidR="00BB5B40" w:rsidRPr="007512E7">
        <w:rPr>
          <w:spacing w:val="-2"/>
        </w:rPr>
        <w:t xml:space="preserve">also </w:t>
      </w:r>
      <w:r w:rsidRPr="007512E7">
        <w:rPr>
          <w:spacing w:val="-2"/>
        </w:rPr>
        <w:t xml:space="preserve">estimates of survival (to account for sample selection) and </w:t>
      </w:r>
      <w:r w:rsidR="00A05224" w:rsidRPr="007512E7">
        <w:rPr>
          <w:spacing w:val="-2"/>
        </w:rPr>
        <w:t xml:space="preserve">the </w:t>
      </w:r>
      <w:r w:rsidRPr="007512E7">
        <w:rPr>
          <w:spacing w:val="-2"/>
        </w:rPr>
        <w:t xml:space="preserve">number of </w:t>
      </w:r>
      <w:r w:rsidR="002F7E8C" w:rsidRPr="007512E7">
        <w:rPr>
          <w:spacing w:val="-2"/>
        </w:rPr>
        <w:t xml:space="preserve">investment </w:t>
      </w:r>
      <w:r w:rsidRPr="007512E7">
        <w:rPr>
          <w:spacing w:val="-2"/>
        </w:rPr>
        <w:t>options (which are imputed for funds where data is missing</w:t>
      </w:r>
      <w:r w:rsidR="00BB5B40" w:rsidRPr="007512E7">
        <w:rPr>
          <w:spacing w:val="-2"/>
        </w:rPr>
        <w:t>)</w:t>
      </w:r>
      <w:r w:rsidRPr="007512E7">
        <w:rPr>
          <w:spacing w:val="-2"/>
        </w:rPr>
        <w:t>.</w:t>
      </w:r>
    </w:p>
    <w:p w:rsidR="00DC203B" w:rsidRDefault="00DC203B" w:rsidP="00DC203B">
      <w:pPr>
        <w:pStyle w:val="BodyText"/>
      </w:pPr>
      <w:r>
        <w:t>Predictions of economies of scale (taken from the administration and investment expenses e</w:t>
      </w:r>
      <w:r w:rsidR="00B82D76">
        <w:t>quations) are fed into the pass</w:t>
      </w:r>
      <w:r w:rsidR="00F640C8">
        <w:noBreakHyphen/>
      </w:r>
      <w:r>
        <w:t>through model, to estimate the degree to which funds have passed economies of scale through to members via lower fees.</w:t>
      </w:r>
    </w:p>
    <w:p w:rsidR="00912D13" w:rsidRDefault="00B82D76" w:rsidP="00DC203B">
      <w:pPr>
        <w:pStyle w:val="BodyText"/>
      </w:pPr>
      <w:r>
        <w:t xml:space="preserve">There is an additional </w:t>
      </w:r>
      <w:r w:rsidRPr="00FA065A">
        <w:rPr>
          <w:spacing w:val="-2"/>
        </w:rPr>
        <w:t>—</w:t>
      </w:r>
      <w:r>
        <w:t xml:space="preserve"> and uniquely Bayesian </w:t>
      </w:r>
      <w:r w:rsidRPr="00FA065A">
        <w:rPr>
          <w:spacing w:val="-2"/>
        </w:rPr>
        <w:t>—</w:t>
      </w:r>
      <w:r w:rsidR="00EE699E">
        <w:t xml:space="preserve"> hierarchical characteristic of the model. The priors of </w:t>
      </w:r>
      <w:r w:rsidR="00132E9B">
        <w:t>some</w:t>
      </w:r>
      <w:r w:rsidR="00262E3E">
        <w:t xml:space="preserve"> model parameters are </w:t>
      </w:r>
      <w:r w:rsidR="007D369C">
        <w:t xml:space="preserve">functions of </w:t>
      </w:r>
      <w:r w:rsidR="00A05224">
        <w:t xml:space="preserve">the </w:t>
      </w:r>
      <w:r w:rsidR="00262E3E">
        <w:t xml:space="preserve">parameters themselves (hyperparameters) </w:t>
      </w:r>
      <w:r w:rsidR="00132E9B">
        <w:t>and</w:t>
      </w:r>
      <w:r w:rsidR="00262E3E">
        <w:t xml:space="preserve"> are estimated within the model. These hyperparameters </w:t>
      </w:r>
      <w:r w:rsidR="00132E9B">
        <w:t xml:space="preserve">then </w:t>
      </w:r>
      <w:r w:rsidR="00262E3E">
        <w:t>have their own priors called hyperpriors</w:t>
      </w:r>
      <w:r w:rsidR="00EE699E">
        <w:t xml:space="preserve">. </w:t>
      </w:r>
      <w:r w:rsidR="001673E9">
        <w:t>So for example,</w:t>
      </w:r>
      <w:r w:rsidR="00BE0708" w:rsidDel="00B82D76">
        <w:t xml:space="preserve"> the </w:t>
      </w:r>
      <w:r w:rsidR="00BE0708">
        <w:t>mean administration/investment expense</w:t>
      </w:r>
      <w:r>
        <w:t xml:space="preserve"> </w:t>
      </w:r>
      <w:r w:rsidR="007D369C">
        <w:t xml:space="preserve">is a </w:t>
      </w:r>
      <w:r>
        <w:t xml:space="preserve">hyperparameter for </w:t>
      </w:r>
      <w:r w:rsidR="00661347">
        <w:t xml:space="preserve">the </w:t>
      </w:r>
      <w:r>
        <w:t>fund</w:t>
      </w:r>
      <w:r w:rsidR="00F640C8">
        <w:noBreakHyphen/>
      </w:r>
      <w:r>
        <w:t xml:space="preserve">specific cost parameters (the average expense is </w:t>
      </w:r>
      <w:r w:rsidR="007D369C">
        <w:t xml:space="preserve">assumed to be the mean of the </w:t>
      </w:r>
      <w:r>
        <w:t>prior for fund e</w:t>
      </w:r>
      <w:r w:rsidR="007D369C">
        <w:t>x</w:t>
      </w:r>
      <w:r>
        <w:t>penses)</w:t>
      </w:r>
      <w:r w:rsidR="00BE0708">
        <w:t>, and their hyperpriors are</w:t>
      </w:r>
      <w:r w:rsidR="001673E9">
        <w:t xml:space="preserve"> </w:t>
      </w:r>
      <w:r w:rsidR="00BC41EB">
        <w:t xml:space="preserve">a normal distribution with mean </w:t>
      </w:r>
      <w:r w:rsidR="00875AA7" w:rsidRPr="00875AA7">
        <w:t>of zero</w:t>
      </w:r>
      <w:r w:rsidR="00BC41EB" w:rsidRPr="00661347">
        <w:t>.</w:t>
      </w:r>
    </w:p>
    <w:p w:rsidR="006E66C8" w:rsidRDefault="006E66C8" w:rsidP="006D4CE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E66C8" w:rsidTr="006D4CEF">
        <w:trPr>
          <w:tblHeader/>
        </w:trPr>
        <w:tc>
          <w:tcPr>
            <w:tcW w:w="5000" w:type="pct"/>
            <w:tcBorders>
              <w:top w:val="single" w:sz="6" w:space="0" w:color="78A22F"/>
              <w:left w:val="nil"/>
              <w:bottom w:val="nil"/>
              <w:right w:val="nil"/>
            </w:tcBorders>
            <w:shd w:val="clear" w:color="auto" w:fill="auto"/>
          </w:tcPr>
          <w:p w:rsidR="006E66C8" w:rsidRPr="00176D3F" w:rsidRDefault="006E66C8" w:rsidP="000D74DF">
            <w:pPr>
              <w:pStyle w:val="FigureTitle"/>
            </w:pPr>
            <w:r w:rsidRPr="00784A05">
              <w:rPr>
                <w:b w:val="0"/>
              </w:rPr>
              <w:t xml:space="preserve">Figure </w:t>
            </w:r>
            <w:r w:rsidR="00E4016C">
              <w:rPr>
                <w:b w:val="0"/>
              </w:rPr>
              <w:t>B</w:t>
            </w:r>
            <w:r w:rsidR="000D74DF">
              <w:rPr>
                <w:b w:val="0"/>
              </w:rPr>
              <w:t>.1</w:t>
            </w:r>
            <w:r>
              <w:tab/>
              <w:t>Hierarchical structure of cost model</w:t>
            </w:r>
          </w:p>
        </w:tc>
      </w:tr>
      <w:tr w:rsidR="006E66C8" w:rsidTr="006D4CE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E66C8" w:rsidRPr="00B1465D" w:rsidTr="006D4CEF">
              <w:trPr>
                <w:tblHeader/>
                <w:jc w:val="center"/>
              </w:trPr>
              <w:tc>
                <w:tcPr>
                  <w:tcW w:w="5000" w:type="pct"/>
                  <w:tcBorders>
                    <w:top w:val="nil"/>
                    <w:bottom w:val="nil"/>
                  </w:tcBorders>
                </w:tcPr>
                <w:p w:rsidR="006E66C8" w:rsidRPr="00B1465D" w:rsidRDefault="008D0565" w:rsidP="006D4CEF">
                  <w:pPr>
                    <w:pStyle w:val="Figure"/>
                    <w:spacing w:before="60" w:after="60"/>
                    <w:rPr>
                      <w:rFonts w:ascii="Arial" w:hAnsi="Arial" w:cs="Arial"/>
                      <w:sz w:val="18"/>
                      <w:szCs w:val="18"/>
                    </w:rPr>
                  </w:pPr>
                  <w:r w:rsidRPr="008D0565">
                    <w:rPr>
                      <w:rFonts w:ascii="Arial" w:hAnsi="Arial" w:cs="Arial"/>
                      <w:noProof/>
                      <w:sz w:val="18"/>
                      <w:szCs w:val="18"/>
                    </w:rPr>
                    <w:drawing>
                      <wp:inline distT="0" distB="0" distL="0" distR="0" wp14:anchorId="064CBC61" wp14:editId="48E38E7C">
                        <wp:extent cx="5308600" cy="2441575"/>
                        <wp:effectExtent l="0" t="0" r="6350" b="0"/>
                        <wp:docPr id="8" name="Picture 8" descr="A flowchart showing the hierarchical structure of the model. At the bottom, estimating the number of options feeds into estimating expenses and the survival probability of a fund. Survival feeds into estimating expenses. Expenses feed into estimating passthrough and the likeli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08600" cy="2441575"/>
                                </a:xfrm>
                                <a:prstGeom prst="rect">
                                  <a:avLst/>
                                </a:prstGeom>
                                <a:noFill/>
                                <a:ln>
                                  <a:noFill/>
                                </a:ln>
                              </pic:spPr>
                            </pic:pic>
                          </a:graphicData>
                        </a:graphic>
                      </wp:inline>
                    </w:drawing>
                  </w:r>
                  <w:r w:rsidRPr="008D0565">
                    <w:rPr>
                      <w:rStyle w:val="CommentReference"/>
                      <w:rFonts w:ascii="Arial" w:hAnsi="Arial" w:cs="Arial"/>
                      <w:b w:val="0"/>
                      <w:vanish w:val="0"/>
                      <w:color w:val="auto"/>
                      <w:sz w:val="18"/>
                      <w:szCs w:val="18"/>
                    </w:rPr>
                    <w:t xml:space="preserve"> </w:t>
                  </w:r>
                </w:p>
              </w:tc>
            </w:tr>
          </w:tbl>
          <w:p w:rsidR="006E66C8" w:rsidRDefault="006E66C8" w:rsidP="006D4CEF">
            <w:pPr>
              <w:pStyle w:val="Figure"/>
            </w:pPr>
          </w:p>
        </w:tc>
      </w:tr>
      <w:tr w:rsidR="006E66C8" w:rsidTr="006D4CEF">
        <w:tc>
          <w:tcPr>
            <w:tcW w:w="5000" w:type="pct"/>
            <w:tcBorders>
              <w:top w:val="nil"/>
              <w:left w:val="nil"/>
              <w:bottom w:val="single" w:sz="6" w:space="0" w:color="78A22F"/>
              <w:right w:val="nil"/>
            </w:tcBorders>
            <w:shd w:val="clear" w:color="auto" w:fill="auto"/>
          </w:tcPr>
          <w:p w:rsidR="006E66C8" w:rsidRDefault="006E66C8" w:rsidP="006D4CEF">
            <w:pPr>
              <w:pStyle w:val="Figurespace"/>
            </w:pPr>
          </w:p>
        </w:tc>
      </w:tr>
      <w:tr w:rsidR="006E66C8" w:rsidRPr="000863A5" w:rsidTr="006D4CEF">
        <w:tc>
          <w:tcPr>
            <w:tcW w:w="5000" w:type="pct"/>
            <w:tcBorders>
              <w:top w:val="single" w:sz="6" w:space="0" w:color="78A22F"/>
              <w:left w:val="nil"/>
              <w:bottom w:val="nil"/>
              <w:right w:val="nil"/>
            </w:tcBorders>
          </w:tcPr>
          <w:p w:rsidR="006E66C8" w:rsidRPr="00626D32" w:rsidRDefault="006E66C8" w:rsidP="006D4CEF">
            <w:pPr>
              <w:pStyle w:val="BoxSpaceBelow"/>
            </w:pPr>
          </w:p>
        </w:tc>
      </w:tr>
    </w:tbl>
    <w:p w:rsidR="00DC203B" w:rsidRDefault="00DC203B">
      <w:pPr>
        <w:pStyle w:val="Heading3"/>
      </w:pPr>
      <w:bookmarkStart w:id="66" w:name="_Toc530748500"/>
      <w:r>
        <w:t>Simulation procedure</w:t>
      </w:r>
      <w:bookmarkEnd w:id="66"/>
    </w:p>
    <w:p w:rsidR="00DC203B" w:rsidRPr="007512E7" w:rsidRDefault="00DC203B" w:rsidP="00DC203B">
      <w:pPr>
        <w:pStyle w:val="BodyText"/>
        <w:rPr>
          <w:spacing w:val="-2"/>
        </w:rPr>
      </w:pPr>
      <w:r w:rsidRPr="007512E7">
        <w:rPr>
          <w:spacing w:val="-2"/>
        </w:rPr>
        <w:t xml:space="preserve">The simulation was conducted in Stan with </w:t>
      </w:r>
      <w:r w:rsidR="00E77420" w:rsidRPr="007512E7">
        <w:rPr>
          <w:spacing w:val="-2"/>
        </w:rPr>
        <w:t xml:space="preserve">4 chains, </w:t>
      </w:r>
      <w:r w:rsidRPr="007512E7">
        <w:rPr>
          <w:spacing w:val="-2"/>
        </w:rPr>
        <w:t>1000 warm</w:t>
      </w:r>
      <w:r w:rsidR="00F640C8" w:rsidRPr="007512E7">
        <w:rPr>
          <w:spacing w:val="-2"/>
        </w:rPr>
        <w:noBreakHyphen/>
      </w:r>
      <w:r w:rsidR="007512E7" w:rsidRPr="007512E7">
        <w:rPr>
          <w:spacing w:val="-2"/>
        </w:rPr>
        <w:t>up iterations, and 1000 </w:t>
      </w:r>
      <w:r w:rsidRPr="007512E7">
        <w:rPr>
          <w:spacing w:val="-2"/>
        </w:rPr>
        <w:t xml:space="preserve">draws from the posterior density. </w:t>
      </w:r>
      <w:r w:rsidR="00B33109" w:rsidRPr="007512E7">
        <w:rPr>
          <w:spacing w:val="-2"/>
        </w:rPr>
        <w:t xml:space="preserve">The Commission used </w:t>
      </w:r>
      <w:r w:rsidRPr="007512E7">
        <w:rPr>
          <w:spacing w:val="-2"/>
        </w:rPr>
        <w:t>Hamiltonian Monte Carlo with a No</w:t>
      </w:r>
      <w:r w:rsidR="00F640C8" w:rsidRPr="007512E7">
        <w:rPr>
          <w:spacing w:val="-2"/>
        </w:rPr>
        <w:noBreakHyphen/>
      </w:r>
      <w:r w:rsidRPr="007512E7">
        <w:rPr>
          <w:spacing w:val="-2"/>
        </w:rPr>
        <w:t>U</w:t>
      </w:r>
      <w:r w:rsidR="00F640C8" w:rsidRPr="007512E7">
        <w:rPr>
          <w:spacing w:val="-2"/>
        </w:rPr>
        <w:noBreakHyphen/>
      </w:r>
      <w:r w:rsidRPr="007512E7">
        <w:rPr>
          <w:spacing w:val="-2"/>
        </w:rPr>
        <w:t>Turn sampler (NUTS)</w:t>
      </w:r>
      <w:r w:rsidR="00B33109" w:rsidRPr="007512E7">
        <w:rPr>
          <w:spacing w:val="-2"/>
        </w:rPr>
        <w:t xml:space="preserve"> (Stan’s default MCMC algorithm)</w:t>
      </w:r>
      <w:r w:rsidRPr="007512E7">
        <w:rPr>
          <w:spacing w:val="-2"/>
        </w:rPr>
        <w:t xml:space="preserve">. </w:t>
      </w:r>
    </w:p>
    <w:p w:rsidR="00DC203B" w:rsidRDefault="00DC203B" w:rsidP="00DC203B">
      <w:pPr>
        <w:pStyle w:val="Heading3"/>
      </w:pPr>
      <w:bookmarkStart w:id="67" w:name="_Toc530748501"/>
      <w:r>
        <w:t>Model equations</w:t>
      </w:r>
      <w:bookmarkEnd w:id="67"/>
    </w:p>
    <w:p w:rsidR="00DC203B" w:rsidRDefault="00DC203B" w:rsidP="00DC203B">
      <w:pPr>
        <w:pStyle w:val="BodyText"/>
      </w:pPr>
      <w:r>
        <w:t xml:space="preserve">This section presents the equations and priors used in the Commission’s modelling of economies of scale. </w:t>
      </w:r>
      <w:r w:rsidR="00DE1C8D">
        <w:t xml:space="preserve">This exposition covers the Commission’s preferred model, alternative specifications have been considered and are outlined in </w:t>
      </w:r>
      <w:r w:rsidR="006F5C9A">
        <w:t>a</w:t>
      </w:r>
      <w:r w:rsidR="00DE1C8D">
        <w:t>ppendix</w:t>
      </w:r>
      <w:r w:rsidR="00F640C8">
        <w:t> </w:t>
      </w:r>
      <w:r w:rsidR="00DE1C8D" w:rsidDel="006F5C9A">
        <w:t>C</w:t>
      </w:r>
      <w:r w:rsidR="00DE1C8D">
        <w:t xml:space="preserve">. </w:t>
      </w:r>
    </w:p>
    <w:p w:rsidR="00DC203B" w:rsidRDefault="00DC203B" w:rsidP="00DC203B">
      <w:pPr>
        <w:pStyle w:val="Heading4"/>
      </w:pPr>
      <w:r>
        <w:t>Notation and key variables</w:t>
      </w:r>
    </w:p>
    <w:p w:rsidR="00DC203B" w:rsidRDefault="00DC203B" w:rsidP="00DC203B">
      <w:pPr>
        <w:pStyle w:val="BodyText"/>
      </w:pPr>
      <w:r>
        <w:t>A variety of notations and abbreviations are used in this section:</w:t>
      </w:r>
    </w:p>
    <w:p w:rsidR="00DC203B" w:rsidRDefault="001F492C" w:rsidP="00DC203B">
      <w:pPr>
        <w:pStyle w:val="ListBullet"/>
      </w:pPr>
      <m:oMath>
        <m:sSub>
          <m:sSubPr>
            <m:ctrlPr>
              <w:rPr>
                <w:rFonts w:ascii="Cambria Math" w:hAnsi="Cambria Math"/>
              </w:rPr>
            </m:ctrlPr>
          </m:sSubPr>
          <m:e>
            <m:r>
              <w:rPr>
                <w:rFonts w:ascii="Cambria Math" w:hAnsi="Cambria Math"/>
              </w:rPr>
              <m:t>α</m:t>
            </m:r>
          </m:e>
          <m:sub>
            <m:d>
              <m:dPr>
                <m:begChr m:val="["/>
                <m:endChr m:val="]"/>
                <m:ctrlPr>
                  <w:rPr>
                    <w:rFonts w:ascii="Cambria Math" w:hAnsi="Cambria Math"/>
                  </w:rPr>
                </m:ctrlPr>
              </m:dPr>
              <m:e>
                <m:r>
                  <w:rPr>
                    <w:rFonts w:ascii="Cambria Math" w:hAnsi="Cambria Math"/>
                  </w:rPr>
                  <m:t>i</m:t>
                </m:r>
              </m:e>
            </m:d>
          </m:sub>
        </m:sSub>
      </m:oMath>
      <w:r w:rsidR="00DC203B">
        <w:t xml:space="preserve"> is the fund varying intercept for fund </w:t>
      </w:r>
      <w:r w:rsidR="00DC203B" w:rsidRPr="006F138D">
        <w:rPr>
          <w:i/>
        </w:rPr>
        <w:t>i</w:t>
      </w:r>
    </w:p>
    <w:p w:rsidR="00DC203B" w:rsidRDefault="001F492C" w:rsidP="00DC203B">
      <w:pPr>
        <w:pStyle w:val="ListBullet"/>
      </w:pPr>
      <m:oMath>
        <m:sSub>
          <m:sSubPr>
            <m:ctrlPr>
              <w:rPr>
                <w:rFonts w:ascii="Cambria Math" w:hAnsi="Cambria Math"/>
                <w:i/>
              </w:rPr>
            </m:ctrlPr>
          </m:sSub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Sub>
      </m:oMath>
      <w:r w:rsidR="00DC203B">
        <w:t xml:space="preserve"> are the fund</w:t>
      </w:r>
      <w:r w:rsidR="00F640C8">
        <w:noBreakHyphen/>
      </w:r>
      <w:r w:rsidR="00DC203B">
        <w:t xml:space="preserve">varying slope coefficients for fund </w:t>
      </w:r>
      <w:r w:rsidR="00DC203B" w:rsidRPr="006F138D">
        <w:rPr>
          <w:i/>
        </w:rPr>
        <w:t>i</w:t>
      </w:r>
    </w:p>
    <w:p w:rsidR="00DC203B" w:rsidRDefault="00DC203B" w:rsidP="00DC203B">
      <w:pPr>
        <w:pStyle w:val="ListBullet"/>
      </w:pPr>
      <m:oMath>
        <m:r>
          <w:rPr>
            <w:rFonts w:ascii="Cambria Math" w:hAnsi="Cambria Math"/>
          </w:rPr>
          <m:t>γ</m:t>
        </m:r>
      </m:oMath>
      <w:r>
        <w:t xml:space="preserve"> are the coefficients that do not vary by fund</w:t>
      </w:r>
    </w:p>
    <w:p w:rsidR="00DC203B" w:rsidRDefault="001F492C" w:rsidP="00DC203B">
      <w:pPr>
        <w:pStyle w:val="ListBullet"/>
      </w:pPr>
      <m:oMath>
        <m:acc>
          <m:accPr>
            <m:ctrlPr>
              <w:rPr>
                <w:rFonts w:ascii="Cambria Math" w:hAnsi="Cambria Math"/>
                <w:i/>
              </w:rPr>
            </m:ctrlPr>
          </m:accPr>
          <m:e>
            <m:r>
              <w:rPr>
                <w:rFonts w:ascii="Cambria Math" w:hAnsi="Cambria Math"/>
              </w:rPr>
              <m:t>p</m:t>
            </m:r>
          </m:e>
        </m:acc>
      </m:oMath>
      <w:r w:rsidR="00DC203B">
        <w:t xml:space="preserve"> is the fitted survival probability</w:t>
      </w:r>
    </w:p>
    <w:p w:rsidR="00DC203B" w:rsidRDefault="00DC203B" w:rsidP="00DC203B">
      <w:pPr>
        <w:pStyle w:val="ListBullet"/>
      </w:pPr>
      <m:oMath>
        <m:r>
          <w:rPr>
            <w:rFonts w:ascii="Cambria Math" w:hAnsi="Cambria Math"/>
          </w:rPr>
          <m:t>X, Z</m:t>
        </m:r>
      </m:oMath>
      <w:r>
        <w:t xml:space="preserve">, and </w:t>
      </w:r>
      <m:oMath>
        <m:r>
          <w:rPr>
            <w:rFonts w:ascii="Cambria Math" w:hAnsi="Cambria Math"/>
          </w:rPr>
          <m:t>δ(</m:t>
        </m:r>
        <m:acc>
          <m:accPr>
            <m:ctrlPr>
              <w:rPr>
                <w:rFonts w:ascii="Cambria Math" w:hAnsi="Cambria Math"/>
                <w:i/>
              </w:rPr>
            </m:ctrlPr>
          </m:accPr>
          <m:e>
            <m:r>
              <w:rPr>
                <w:rFonts w:ascii="Cambria Math" w:hAnsi="Cambria Math"/>
              </w:rPr>
              <m:t>p</m:t>
            </m:r>
          </m:e>
        </m:acc>
        <m:r>
          <w:rPr>
            <w:rFonts w:ascii="Cambria Math" w:hAnsi="Cambria Math"/>
          </w:rPr>
          <m:t>)</m:t>
        </m:r>
      </m:oMath>
      <w:r>
        <w:t xml:space="preserve"> are covariate matrices</w:t>
      </w:r>
    </w:p>
    <w:p w:rsidR="00DC203B" w:rsidRDefault="00DC203B" w:rsidP="00A05224">
      <w:pPr>
        <w:pStyle w:val="BodyText"/>
      </w:pPr>
      <w:r>
        <w:lastRenderedPageBreak/>
        <w:t xml:space="preserve">Superscripts on variables or coefficients indicate </w:t>
      </w:r>
      <w:r w:rsidR="00BB5B40">
        <w:t xml:space="preserve">the </w:t>
      </w:r>
      <w:r>
        <w:t xml:space="preserve">outcome variable </w:t>
      </w:r>
      <w:r w:rsidR="00B33109">
        <w:t xml:space="preserve">(the variables we are estimating) </w:t>
      </w:r>
      <w:r>
        <w:t>they are associated with. The following abbreviations are used for outcome variables:</w:t>
      </w:r>
    </w:p>
    <w:p w:rsidR="00DC203B" w:rsidRDefault="00DC203B" w:rsidP="00DC203B">
      <w:pPr>
        <w:pStyle w:val="ListBullet"/>
        <w:tabs>
          <w:tab w:val="clear" w:pos="340"/>
          <w:tab w:val="num" w:pos="680"/>
        </w:tabs>
        <w:ind w:left="680"/>
      </w:pPr>
      <m:oMath>
        <m:r>
          <w:rPr>
            <w:rFonts w:ascii="Cambria Math" w:hAnsi="Cambria Math"/>
          </w:rPr>
          <m:t>A</m:t>
        </m:r>
      </m:oMath>
      <w:r>
        <w:t>: admin</w:t>
      </w:r>
      <w:r w:rsidR="00635177">
        <w:t>istration</w:t>
      </w:r>
      <w:r>
        <w:t xml:space="preserve"> expenses (so for example, </w:t>
      </w:r>
      <m:oMath>
        <m:sSup>
          <m:sSupPr>
            <m:ctrlPr>
              <w:rPr>
                <w:rFonts w:ascii="Cambria Math" w:hAnsi="Cambria Math"/>
                <w:i/>
              </w:rPr>
            </m:ctrlPr>
          </m:sSupPr>
          <m:e>
            <m:r>
              <w:rPr>
                <w:rFonts w:ascii="Cambria Math" w:hAnsi="Cambria Math"/>
              </w:rPr>
              <m:t>γ</m:t>
            </m:r>
          </m:e>
          <m:sup>
            <m:r>
              <w:rPr>
                <w:rFonts w:ascii="Cambria Math" w:hAnsi="Cambria Math"/>
              </w:rPr>
              <m:t>A</m:t>
            </m:r>
          </m:sup>
        </m:sSup>
      </m:oMath>
      <w:r>
        <w:t xml:space="preserve"> indicate the non</w:t>
      </w:r>
      <w:r w:rsidR="00F640C8">
        <w:noBreakHyphen/>
      </w:r>
      <w:r>
        <w:t>varying coefficients relate to administration expenses)</w:t>
      </w:r>
    </w:p>
    <w:p w:rsidR="00DC203B" w:rsidRDefault="00DC203B" w:rsidP="00DC203B">
      <w:pPr>
        <w:pStyle w:val="ListBullet"/>
        <w:tabs>
          <w:tab w:val="clear" w:pos="340"/>
          <w:tab w:val="num" w:pos="680"/>
        </w:tabs>
        <w:ind w:left="680"/>
      </w:pPr>
      <m:oMath>
        <m:r>
          <w:rPr>
            <w:rFonts w:ascii="Cambria Math" w:hAnsi="Cambria Math"/>
          </w:rPr>
          <m:t>I</m:t>
        </m:r>
      </m:oMath>
      <w:r>
        <w:t>: investment expenses</w:t>
      </w:r>
    </w:p>
    <w:p w:rsidR="00DC203B" w:rsidRDefault="00DC203B" w:rsidP="00DC203B">
      <w:pPr>
        <w:pStyle w:val="ListBullet"/>
        <w:tabs>
          <w:tab w:val="clear" w:pos="340"/>
          <w:tab w:val="num" w:pos="680"/>
        </w:tabs>
        <w:ind w:left="680"/>
      </w:pPr>
      <m:oMath>
        <m:r>
          <w:rPr>
            <w:rFonts w:ascii="Cambria Math" w:hAnsi="Cambria Math"/>
          </w:rPr>
          <m:t xml:space="preserve">N: </m:t>
        </m:r>
      </m:oMath>
      <w:r>
        <w:t>number of investment options</w:t>
      </w:r>
    </w:p>
    <w:p w:rsidR="00DC203B" w:rsidRDefault="00DC203B" w:rsidP="00DC203B">
      <w:pPr>
        <w:pStyle w:val="ListBullet"/>
        <w:tabs>
          <w:tab w:val="clear" w:pos="340"/>
          <w:tab w:val="num" w:pos="680"/>
        </w:tabs>
        <w:ind w:left="680"/>
      </w:pPr>
      <m:oMath>
        <m:r>
          <w:rPr>
            <w:rFonts w:ascii="Cambria Math" w:hAnsi="Cambria Math"/>
          </w:rPr>
          <m:t>S</m:t>
        </m:r>
      </m:oMath>
      <w:r>
        <w:t>: survival indicator (whether a fund is in operation at the end of the financial year)</w:t>
      </w:r>
    </w:p>
    <w:p w:rsidR="00DC203B" w:rsidRDefault="00DC203B" w:rsidP="007B3548">
      <w:pPr>
        <w:pStyle w:val="BodyText"/>
      </w:pPr>
      <w:r>
        <w:t>The following distributions abbreviations are used:</w:t>
      </w:r>
      <w:r w:rsidR="00FA1493" w:rsidRPr="00F640C8">
        <w:rPr>
          <w:rStyle w:val="CommentReference"/>
          <w:vanish w:val="0"/>
          <w:szCs w:val="24"/>
        </w:rPr>
        <w:t xml:space="preserve"> </w:t>
      </w:r>
    </w:p>
    <w:p w:rsidR="00DC203B" w:rsidRDefault="00DC203B" w:rsidP="00DC203B">
      <w:pPr>
        <w:pStyle w:val="ListBullet"/>
        <w:tabs>
          <w:tab w:val="clear" w:pos="340"/>
          <w:tab w:val="num" w:pos="680"/>
        </w:tabs>
        <w:ind w:left="680"/>
      </w:pPr>
      <m:oMath>
        <m:r>
          <w:rPr>
            <w:rFonts w:ascii="Cambria Math" w:hAnsi="Cambria Math"/>
          </w:rPr>
          <m:t>MVN</m:t>
        </m:r>
      </m:oMath>
      <w:r>
        <w:t>: multivariate normal</w:t>
      </w:r>
    </w:p>
    <w:p w:rsidR="00DC203B" w:rsidRDefault="00DC203B" w:rsidP="00DC203B">
      <w:pPr>
        <w:pStyle w:val="ListBullet"/>
        <w:tabs>
          <w:tab w:val="clear" w:pos="340"/>
          <w:tab w:val="num" w:pos="680"/>
        </w:tabs>
        <w:ind w:left="680"/>
      </w:pPr>
      <m:oMath>
        <m:r>
          <w:rPr>
            <w:rFonts w:ascii="Cambria Math" w:hAnsi="Cambria Math"/>
          </w:rPr>
          <m:t>N</m:t>
        </m:r>
      </m:oMath>
      <w:r w:rsidRPr="00677F8A">
        <w:t>:</w:t>
      </w:r>
      <w:r>
        <w:t xml:space="preserve"> normal</w:t>
      </w:r>
    </w:p>
    <w:p w:rsidR="00DC203B" w:rsidRDefault="00DC203B" w:rsidP="00DC203B">
      <w:pPr>
        <w:pStyle w:val="ListBullet"/>
        <w:tabs>
          <w:tab w:val="clear" w:pos="340"/>
          <w:tab w:val="num" w:pos="680"/>
        </w:tabs>
        <w:ind w:left="680"/>
      </w:pPr>
      <m:oMath>
        <m:r>
          <w:rPr>
            <w:rFonts w:ascii="Cambria Math" w:hAnsi="Cambria Math"/>
          </w:rPr>
          <m:t>IG</m:t>
        </m:r>
      </m:oMath>
      <w:r w:rsidRPr="00677F8A">
        <w:t>:</w:t>
      </w:r>
      <w:r>
        <w:t xml:space="preserve"> inverse gamma</w:t>
      </w:r>
      <w:r w:rsidR="006F5C9A">
        <w:t>.</w:t>
      </w:r>
    </w:p>
    <w:p w:rsidR="00FA1493" w:rsidRDefault="00FA1493" w:rsidP="00DC203B">
      <w:pPr>
        <w:pStyle w:val="ListBullet"/>
        <w:tabs>
          <w:tab w:val="clear" w:pos="340"/>
          <w:tab w:val="num" w:pos="680"/>
        </w:tabs>
        <w:ind w:left="680"/>
      </w:pPr>
      <w:r w:rsidRPr="00FA1493">
        <w:rPr>
          <w:i/>
        </w:rPr>
        <w:t>LKJ</w:t>
      </w:r>
      <w:r>
        <w:t>: the LKJ distribution</w:t>
      </w:r>
      <w:r w:rsidRPr="006007B3">
        <w:rPr>
          <w:rStyle w:val="FootnoteReference"/>
        </w:rPr>
        <w:footnoteReference w:id="31"/>
      </w:r>
    </w:p>
    <w:p w:rsidR="00DC203B" w:rsidRDefault="00DC203B" w:rsidP="00DC203B">
      <w:pPr>
        <w:pStyle w:val="BodyText"/>
      </w:pPr>
      <w:r>
        <w:t>To aid estimation, all continuous variables have:</w:t>
      </w:r>
    </w:p>
    <w:p w:rsidR="00DC203B" w:rsidRDefault="00DC203B" w:rsidP="00DC203B">
      <w:pPr>
        <w:pStyle w:val="ListBullet"/>
      </w:pPr>
      <w:r>
        <w:t>either been log standardised or standardised (divided by their standard deviation) (table </w:t>
      </w:r>
      <w:r w:rsidR="00240963">
        <w:t>B</w:t>
      </w:r>
      <w:r w:rsidR="006F5C9A">
        <w:t>.1</w:t>
      </w:r>
      <w:r>
        <w:t>)</w:t>
      </w:r>
    </w:p>
    <w:p w:rsidR="00DC203B" w:rsidRDefault="00DC203B" w:rsidP="00DC203B">
      <w:pPr>
        <w:pStyle w:val="ListBullet"/>
      </w:pPr>
      <w:r>
        <w:t>been centered on their mean values.</w:t>
      </w:r>
    </w:p>
    <w:p w:rsidR="00D618B7" w:rsidRDefault="00D618B7" w:rsidP="000D062F">
      <w:pPr>
        <w:pStyle w:val="BodyText"/>
      </w:pPr>
      <w:r>
        <w:t xml:space="preserve">Table </w:t>
      </w:r>
      <w:r w:rsidR="00240963">
        <w:t>B</w:t>
      </w:r>
      <w:r w:rsidR="006F5C9A">
        <w:t>.2</w:t>
      </w:r>
      <w:r>
        <w:t xml:space="preserve"> </w:t>
      </w:r>
      <w:r w:rsidR="00BC41EB">
        <w:t>is a list of model variables with the</w:t>
      </w:r>
      <w:r w:rsidDel="00BC41EB">
        <w:t xml:space="preserve"> </w:t>
      </w:r>
      <w:r>
        <w:t>equation</w:t>
      </w:r>
      <w:r w:rsidR="00BC41EB">
        <w:t>s that they are used to estimate</w:t>
      </w:r>
      <w:r>
        <w:t>.</w:t>
      </w:r>
    </w:p>
    <w:p w:rsidR="00DC203B" w:rsidRDefault="00DC203B" w:rsidP="00DC20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C203B" w:rsidTr="00DC203B">
        <w:trPr>
          <w:tblHeader/>
        </w:trPr>
        <w:tc>
          <w:tcPr>
            <w:tcW w:w="5000" w:type="pct"/>
            <w:tcBorders>
              <w:top w:val="single" w:sz="6" w:space="0" w:color="78A22F"/>
              <w:left w:val="nil"/>
              <w:bottom w:val="nil"/>
              <w:right w:val="nil"/>
            </w:tcBorders>
            <w:shd w:val="clear" w:color="auto" w:fill="auto"/>
          </w:tcPr>
          <w:p w:rsidR="00DC203B" w:rsidRPr="00784A05" w:rsidRDefault="00DC203B" w:rsidP="006F5C9A">
            <w:pPr>
              <w:pStyle w:val="TableTitle"/>
            </w:pPr>
            <w:r>
              <w:rPr>
                <w:b w:val="0"/>
              </w:rPr>
              <w:t xml:space="preserve">Table </w:t>
            </w:r>
            <w:r w:rsidR="00240963">
              <w:rPr>
                <w:b w:val="0"/>
              </w:rPr>
              <w:t>B</w:t>
            </w:r>
            <w:r w:rsidR="006F5C9A">
              <w:rPr>
                <w:b w:val="0"/>
              </w:rPr>
              <w:t>.1</w:t>
            </w:r>
            <w:r>
              <w:tab/>
              <w:t xml:space="preserve">Variables used in the </w:t>
            </w:r>
            <w:r w:rsidR="000E0131">
              <w:t>preferred</w:t>
            </w:r>
            <w:r>
              <w:t xml:space="preserve"> model</w:t>
            </w:r>
          </w:p>
        </w:tc>
      </w:tr>
      <w:tr w:rsidR="00DC203B" w:rsidTr="00DC20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28"/>
              <w:gridCol w:w="2694"/>
              <w:gridCol w:w="1983"/>
            </w:tblGrid>
            <w:tr w:rsidR="00DC203B" w:rsidTr="00DC203B">
              <w:trPr>
                <w:tblHeader/>
              </w:trPr>
              <w:tc>
                <w:tcPr>
                  <w:tcW w:w="2250" w:type="pct"/>
                  <w:tcBorders>
                    <w:top w:val="single" w:sz="6" w:space="0" w:color="BFBFBF"/>
                    <w:bottom w:val="single" w:sz="6" w:space="0" w:color="BFBFBF"/>
                  </w:tcBorders>
                </w:tcPr>
                <w:p w:rsidR="00DC203B" w:rsidRDefault="00DC203B" w:rsidP="00DC203B">
                  <w:pPr>
                    <w:pStyle w:val="TableColumnHeading"/>
                    <w:jc w:val="left"/>
                  </w:pPr>
                  <w:r>
                    <w:t>Log</w:t>
                  </w:r>
                  <w:r w:rsidR="00F640C8">
                    <w:noBreakHyphen/>
                  </w:r>
                  <w:r>
                    <w:t>standardised variables</w:t>
                  </w:r>
                </w:p>
                <w:p w:rsidR="00DC203B" w:rsidRDefault="00DC203B" w:rsidP="00DC203B">
                  <w:pPr>
                    <w:pStyle w:val="TableColumnHeading"/>
                    <w:jc w:val="left"/>
                  </w:pPr>
                  <w:r>
                    <w:t>(</w:t>
                  </w:r>
                  <m:oMath>
                    <m:func>
                      <m:funcPr>
                        <m:ctrlPr>
                          <w:rPr>
                            <w:rFonts w:ascii="Cambria Math" w:hAnsi="Cambria Math"/>
                          </w:rPr>
                        </m:ctrlPr>
                      </m:funcPr>
                      <m:fName>
                        <m:r>
                          <w:rPr>
                            <w:rFonts w:ascii="Cambria Math" w:hAnsi="Cambria Math"/>
                          </w:rPr>
                          <m:t>log</m:t>
                        </m:r>
                      </m:fName>
                      <m:e>
                        <m:d>
                          <m:dPr>
                            <m:ctrlPr>
                              <w:rPr>
                                <w:rFonts w:ascii="Cambria Math" w:hAnsi="Cambria Math"/>
                                <w:i w:val="0"/>
                              </w:rPr>
                            </m:ctrlPr>
                          </m:dPr>
                          <m:e>
                            <m:r>
                              <w:rPr>
                                <w:rFonts w:ascii="Cambria Math" w:hAnsi="Cambria Math"/>
                              </w:rPr>
                              <m:t>x</m:t>
                            </m:r>
                          </m:e>
                        </m:d>
                      </m:e>
                    </m:func>
                    <m:r>
                      <w:rPr>
                        <w:rFonts w:ascii="Cambria Math" w:hAnsi="Cambria Math"/>
                      </w:rPr>
                      <m:t>/sd(</m:t>
                    </m:r>
                    <m:func>
                      <m:funcPr>
                        <m:ctrlPr>
                          <w:rPr>
                            <w:rFonts w:ascii="Cambria Math" w:hAnsi="Cambria Math"/>
                          </w:rPr>
                        </m:ctrlPr>
                      </m:funcPr>
                      <m:fName>
                        <m:r>
                          <w:rPr>
                            <w:rFonts w:ascii="Cambria Math" w:hAnsi="Cambria Math"/>
                          </w:rPr>
                          <m:t>log</m:t>
                        </m:r>
                        <m:ctrlPr>
                          <w:rPr>
                            <w:rFonts w:ascii="Cambria Math" w:hAnsi="Cambria Math"/>
                            <w:i w:val="0"/>
                          </w:rPr>
                        </m:ctrlPr>
                      </m:fName>
                      <m:e>
                        <m:d>
                          <m:dPr>
                            <m:ctrlPr>
                              <w:rPr>
                                <w:rFonts w:ascii="Cambria Math" w:hAnsi="Cambria Math"/>
                                <w:i w:val="0"/>
                              </w:rPr>
                            </m:ctrlPr>
                          </m:dPr>
                          <m:e>
                            <m:r>
                              <w:rPr>
                                <w:rFonts w:ascii="Cambria Math" w:hAnsi="Cambria Math"/>
                              </w:rPr>
                              <m:t>x</m:t>
                            </m:r>
                          </m:e>
                        </m:d>
                      </m:e>
                    </m:func>
                    <m:r>
                      <w:rPr>
                        <w:rFonts w:ascii="Cambria Math" w:hAnsi="Cambria Math"/>
                      </w:rPr>
                      <m:t>)</m:t>
                    </m:r>
                  </m:oMath>
                </w:p>
              </w:tc>
              <w:tc>
                <w:tcPr>
                  <w:tcW w:w="1584" w:type="pct"/>
                  <w:tcBorders>
                    <w:top w:val="single" w:sz="6" w:space="0" w:color="BFBFBF"/>
                    <w:bottom w:val="single" w:sz="6" w:space="0" w:color="BFBFBF"/>
                  </w:tcBorders>
                  <w:shd w:val="clear" w:color="auto" w:fill="auto"/>
                  <w:tcMar>
                    <w:top w:w="28" w:type="dxa"/>
                  </w:tcMar>
                </w:tcPr>
                <w:p w:rsidR="00DC203B" w:rsidRDefault="00DC203B" w:rsidP="00DC203B">
                  <w:pPr>
                    <w:pStyle w:val="TableColumnHeading"/>
                    <w:jc w:val="left"/>
                  </w:pPr>
                  <w:r>
                    <w:t>Standardised variables</w:t>
                  </w:r>
                </w:p>
                <w:p w:rsidR="00DC203B" w:rsidRDefault="00DC203B" w:rsidP="00DC203B">
                  <w:pPr>
                    <w:pStyle w:val="TableColumnHeading"/>
                    <w:jc w:val="left"/>
                  </w:pPr>
                  <w:r>
                    <w:t>(</w:t>
                  </w:r>
                  <m:oMath>
                    <m:r>
                      <w:rPr>
                        <w:rFonts w:ascii="Cambria Math" w:hAnsi="Cambria Math"/>
                      </w:rPr>
                      <m:t>x/sd(x))</m:t>
                    </m:r>
                  </m:oMath>
                </w:p>
              </w:tc>
              <w:tc>
                <w:tcPr>
                  <w:tcW w:w="1166" w:type="pct"/>
                  <w:tcBorders>
                    <w:top w:val="single" w:sz="6" w:space="0" w:color="BFBFBF"/>
                    <w:bottom w:val="single" w:sz="6" w:space="0" w:color="BFBFBF"/>
                  </w:tcBorders>
                </w:tcPr>
                <w:p w:rsidR="00DC203B" w:rsidRDefault="00DC203B" w:rsidP="00DC203B">
                  <w:pPr>
                    <w:pStyle w:val="TableColumnHeading"/>
                    <w:jc w:val="left"/>
                  </w:pPr>
                  <w:r>
                    <w:t>Indicator variables</w:t>
                  </w:r>
                </w:p>
              </w:tc>
            </w:tr>
            <w:tr w:rsidR="00DC203B" w:rsidTr="00DC203B">
              <w:tc>
                <w:tcPr>
                  <w:tcW w:w="2250" w:type="pct"/>
                  <w:tcBorders>
                    <w:top w:val="single" w:sz="6" w:space="0" w:color="BFBFBF"/>
                  </w:tcBorders>
                </w:tcPr>
                <w:p w:rsidR="00DC203B" w:rsidRDefault="00DC203B" w:rsidP="00DC203B">
                  <w:pPr>
                    <w:pStyle w:val="TableUnitsRow"/>
                    <w:jc w:val="left"/>
                  </w:pPr>
                  <w:r>
                    <w:t>Admin expenses</w:t>
                  </w:r>
                </w:p>
              </w:tc>
              <w:tc>
                <w:tcPr>
                  <w:tcW w:w="1584" w:type="pct"/>
                  <w:tcBorders>
                    <w:top w:val="single" w:sz="6" w:space="0" w:color="BFBFBF"/>
                  </w:tcBorders>
                </w:tcPr>
                <w:p w:rsidR="00DC203B" w:rsidRDefault="00DC203B" w:rsidP="00DC203B">
                  <w:pPr>
                    <w:pStyle w:val="TableUnitsRow"/>
                    <w:jc w:val="left"/>
                  </w:pPr>
                  <w:r>
                    <w:t>Net contributions</w:t>
                  </w:r>
                </w:p>
              </w:tc>
              <w:tc>
                <w:tcPr>
                  <w:tcW w:w="1166" w:type="pct"/>
                  <w:tcBorders>
                    <w:top w:val="single" w:sz="6" w:space="0" w:color="BFBFBF"/>
                  </w:tcBorders>
                </w:tcPr>
                <w:p w:rsidR="00DC203B" w:rsidRDefault="00DC203B" w:rsidP="00DC203B">
                  <w:pPr>
                    <w:pStyle w:val="TableUnitsRow"/>
                    <w:jc w:val="left"/>
                  </w:pPr>
                  <w:r>
                    <w:t>Fund type</w:t>
                  </w:r>
                </w:p>
              </w:tc>
            </w:tr>
            <w:tr w:rsidR="00DC203B" w:rsidTr="00240963">
              <w:tc>
                <w:tcPr>
                  <w:tcW w:w="2250" w:type="pct"/>
                  <w:shd w:val="clear" w:color="auto" w:fill="F2F2F2" w:themeFill="background1" w:themeFillShade="F2"/>
                </w:tcPr>
                <w:p w:rsidR="00DC203B" w:rsidRDefault="00DC203B" w:rsidP="00DC203B">
                  <w:pPr>
                    <w:pStyle w:val="TableBodyText"/>
                    <w:jc w:val="left"/>
                  </w:pPr>
                  <w:r>
                    <w:t>Investment expenses</w:t>
                  </w:r>
                </w:p>
              </w:tc>
              <w:tc>
                <w:tcPr>
                  <w:tcW w:w="1584" w:type="pct"/>
                  <w:shd w:val="clear" w:color="auto" w:fill="F2F2F2" w:themeFill="background1" w:themeFillShade="F2"/>
                </w:tcPr>
                <w:p w:rsidR="00DC203B" w:rsidRDefault="00DC203B" w:rsidP="00DC203B">
                  <w:pPr>
                    <w:pStyle w:val="TableBodyText"/>
                    <w:jc w:val="left"/>
                  </w:pPr>
                  <w:r>
                    <w:t>Net rollovers</w:t>
                  </w:r>
                </w:p>
              </w:tc>
              <w:tc>
                <w:tcPr>
                  <w:tcW w:w="1166" w:type="pct"/>
                  <w:shd w:val="clear" w:color="auto" w:fill="F2F2F2" w:themeFill="background1" w:themeFillShade="F2"/>
                </w:tcPr>
                <w:p w:rsidR="00DC203B" w:rsidRDefault="00DC203B" w:rsidP="00DC203B">
                  <w:pPr>
                    <w:pStyle w:val="TableBodyText"/>
                    <w:jc w:val="left"/>
                  </w:pPr>
                  <w:r>
                    <w:t>Stronger super</w:t>
                  </w:r>
                </w:p>
              </w:tc>
            </w:tr>
            <w:tr w:rsidR="00DC203B" w:rsidTr="00DC203B">
              <w:tc>
                <w:tcPr>
                  <w:tcW w:w="2250" w:type="pct"/>
                </w:tcPr>
                <w:p w:rsidR="00DC203B" w:rsidRDefault="00DC203B" w:rsidP="00DC203B">
                  <w:pPr>
                    <w:pStyle w:val="TableBodyText"/>
                    <w:jc w:val="left"/>
                  </w:pPr>
                  <w:r>
                    <w:t>Total assets</w:t>
                  </w:r>
                </w:p>
              </w:tc>
              <w:tc>
                <w:tcPr>
                  <w:tcW w:w="1584" w:type="pct"/>
                  <w:shd w:val="clear" w:color="auto" w:fill="auto"/>
                </w:tcPr>
                <w:p w:rsidR="00DC203B" w:rsidRDefault="00DC203B" w:rsidP="00DC203B">
                  <w:pPr>
                    <w:pStyle w:val="TableBodyText"/>
                    <w:jc w:val="left"/>
                  </w:pPr>
                  <w:r>
                    <w:t>Net insurance flows</w:t>
                  </w:r>
                </w:p>
              </w:tc>
              <w:tc>
                <w:tcPr>
                  <w:tcW w:w="1166" w:type="pct"/>
                </w:tcPr>
                <w:p w:rsidR="00DC203B" w:rsidRDefault="00DC203B" w:rsidP="00DC203B">
                  <w:pPr>
                    <w:pStyle w:val="TableBodyText"/>
                    <w:jc w:val="left"/>
                  </w:pPr>
                  <w:r>
                    <w:t>Post reporting change</w:t>
                  </w:r>
                </w:p>
              </w:tc>
            </w:tr>
            <w:tr w:rsidR="00DC203B" w:rsidTr="00240963">
              <w:tc>
                <w:tcPr>
                  <w:tcW w:w="2250" w:type="pct"/>
                  <w:shd w:val="clear" w:color="auto" w:fill="F2F2F2" w:themeFill="background1" w:themeFillShade="F2"/>
                </w:tcPr>
                <w:p w:rsidR="00DC203B" w:rsidRDefault="00DC203B" w:rsidP="00DC203B">
                  <w:pPr>
                    <w:pStyle w:val="TableBodyText"/>
                    <w:jc w:val="left"/>
                  </w:pPr>
                  <w:r>
                    <w:t>Member accounts</w:t>
                  </w:r>
                </w:p>
              </w:tc>
              <w:tc>
                <w:tcPr>
                  <w:tcW w:w="1584" w:type="pct"/>
                  <w:shd w:val="clear" w:color="auto" w:fill="F2F2F2" w:themeFill="background1" w:themeFillShade="F2"/>
                </w:tcPr>
                <w:p w:rsidR="00DC203B" w:rsidRDefault="00DC203B" w:rsidP="00DC203B">
                  <w:pPr>
                    <w:pStyle w:val="TableBodyText"/>
                    <w:jc w:val="left"/>
                  </w:pPr>
                  <w:r>
                    <w:t>Number of investment options</w:t>
                  </w:r>
                </w:p>
              </w:tc>
              <w:tc>
                <w:tcPr>
                  <w:tcW w:w="1166" w:type="pct"/>
                  <w:shd w:val="clear" w:color="auto" w:fill="F2F2F2" w:themeFill="background1" w:themeFillShade="F2"/>
                </w:tcPr>
                <w:p w:rsidR="00DC203B" w:rsidRDefault="00DC203B" w:rsidP="00DC203B">
                  <w:pPr>
                    <w:pStyle w:val="TableBodyText"/>
                    <w:jc w:val="left"/>
                  </w:pPr>
                  <w:r>
                    <w:t>Survival</w:t>
                  </w:r>
                </w:p>
              </w:tc>
            </w:tr>
            <w:tr w:rsidR="00DC203B" w:rsidTr="00DC203B">
              <w:tc>
                <w:tcPr>
                  <w:tcW w:w="2250" w:type="pct"/>
                </w:tcPr>
                <w:p w:rsidR="00DC203B" w:rsidRPr="009C7B5C" w:rsidRDefault="00DC203B" w:rsidP="00DC203B">
                  <w:pPr>
                    <w:pStyle w:val="TableBodyText"/>
                    <w:jc w:val="left"/>
                  </w:pPr>
                  <w:r>
                    <w:t xml:space="preserve">Sum of </w:t>
                  </w:r>
                  <w:r w:rsidRPr="009C7B5C">
                    <w:t xml:space="preserve">other fund’s assets in same </w:t>
                  </w:r>
                  <w:r>
                    <w:t xml:space="preserve">the </w:t>
                  </w:r>
                  <w:r w:rsidRPr="009C7B5C">
                    <w:t>period</w:t>
                  </w:r>
                </w:p>
              </w:tc>
              <w:tc>
                <w:tcPr>
                  <w:tcW w:w="1584" w:type="pct"/>
                  <w:shd w:val="clear" w:color="auto" w:fill="auto"/>
                </w:tcPr>
                <w:p w:rsidR="00DC203B" w:rsidRDefault="00DC203B" w:rsidP="00DC203B">
                  <w:pPr>
                    <w:pStyle w:val="TableBodyText"/>
                    <w:jc w:val="left"/>
                  </w:pPr>
                  <w:r>
                    <w:t>Annual return</w:t>
                  </w:r>
                </w:p>
              </w:tc>
              <w:tc>
                <w:tcPr>
                  <w:tcW w:w="1166" w:type="pct"/>
                </w:tcPr>
                <w:p w:rsidR="00DC203B" w:rsidRDefault="00DC203B" w:rsidP="00DC203B">
                  <w:pPr>
                    <w:pStyle w:val="TableBodyText"/>
                    <w:jc w:val="left"/>
                  </w:pPr>
                </w:p>
              </w:tc>
            </w:tr>
            <w:tr w:rsidR="00DC203B" w:rsidTr="00240963">
              <w:tc>
                <w:tcPr>
                  <w:tcW w:w="2250" w:type="pct"/>
                  <w:shd w:val="clear" w:color="auto" w:fill="F2F2F2" w:themeFill="background1" w:themeFillShade="F2"/>
                </w:tcPr>
                <w:p w:rsidR="00DC203B" w:rsidRPr="009C7B5C" w:rsidRDefault="00DC203B" w:rsidP="00DC203B">
                  <w:pPr>
                    <w:pStyle w:val="TableBodyText"/>
                    <w:jc w:val="left"/>
                  </w:pPr>
                  <w:r>
                    <w:t xml:space="preserve">Sum of </w:t>
                  </w:r>
                  <w:r w:rsidRPr="009C7B5C">
                    <w:t xml:space="preserve">other fund’s member accounts in </w:t>
                  </w:r>
                  <w:r>
                    <w:t xml:space="preserve">the </w:t>
                  </w:r>
                  <w:r w:rsidRPr="009C7B5C">
                    <w:t>same period</w:t>
                  </w:r>
                </w:p>
              </w:tc>
              <w:tc>
                <w:tcPr>
                  <w:tcW w:w="1584" w:type="pct"/>
                  <w:shd w:val="clear" w:color="auto" w:fill="F2F2F2" w:themeFill="background1" w:themeFillShade="F2"/>
                </w:tcPr>
                <w:p w:rsidR="00DC203B" w:rsidRDefault="00DC203B" w:rsidP="00DC203B">
                  <w:pPr>
                    <w:pStyle w:val="TableBodyText"/>
                    <w:jc w:val="left"/>
                  </w:pPr>
                  <w:r>
                    <w:t>Proportions in each asset class</w:t>
                  </w:r>
                </w:p>
              </w:tc>
              <w:tc>
                <w:tcPr>
                  <w:tcW w:w="1166" w:type="pct"/>
                  <w:shd w:val="clear" w:color="auto" w:fill="F2F2F2" w:themeFill="background1" w:themeFillShade="F2"/>
                </w:tcPr>
                <w:p w:rsidR="00DC203B" w:rsidRDefault="00DC203B" w:rsidP="00DC203B">
                  <w:pPr>
                    <w:pStyle w:val="TableBodyText"/>
                    <w:jc w:val="left"/>
                  </w:pPr>
                </w:p>
              </w:tc>
            </w:tr>
            <w:tr w:rsidR="00DC203B" w:rsidTr="00DC203B">
              <w:tc>
                <w:tcPr>
                  <w:tcW w:w="2250" w:type="pct"/>
                  <w:tcBorders>
                    <w:bottom w:val="single" w:sz="6" w:space="0" w:color="BFBFBF"/>
                  </w:tcBorders>
                </w:tcPr>
                <w:p w:rsidR="00DC203B" w:rsidRPr="009C7B5C" w:rsidRDefault="00DC203B" w:rsidP="00DC203B">
                  <w:pPr>
                    <w:pStyle w:val="TableBodyText"/>
                    <w:jc w:val="left"/>
                  </w:pPr>
                  <w:r w:rsidRPr="009C7B5C">
                    <w:t>Sum o</w:t>
                  </w:r>
                  <w:r>
                    <w:t xml:space="preserve">f </w:t>
                  </w:r>
                  <w:r w:rsidRPr="009C7B5C">
                    <w:t xml:space="preserve">other fund’s net annual returns in </w:t>
                  </w:r>
                  <w:r>
                    <w:t xml:space="preserve">the </w:t>
                  </w:r>
                  <w:r w:rsidRPr="009C7B5C">
                    <w:t>same period</w:t>
                  </w:r>
                </w:p>
              </w:tc>
              <w:tc>
                <w:tcPr>
                  <w:tcW w:w="1584" w:type="pct"/>
                  <w:tcBorders>
                    <w:bottom w:val="single" w:sz="6" w:space="0" w:color="BFBFBF"/>
                  </w:tcBorders>
                  <w:shd w:val="clear" w:color="auto" w:fill="auto"/>
                </w:tcPr>
                <w:p w:rsidR="00DC203B" w:rsidRDefault="00DC203B" w:rsidP="00DC203B">
                  <w:pPr>
                    <w:pStyle w:val="TableBodyText"/>
                    <w:jc w:val="left"/>
                  </w:pPr>
                </w:p>
              </w:tc>
              <w:tc>
                <w:tcPr>
                  <w:tcW w:w="1166" w:type="pct"/>
                  <w:tcBorders>
                    <w:bottom w:val="single" w:sz="6" w:space="0" w:color="BFBFBF"/>
                  </w:tcBorders>
                </w:tcPr>
                <w:p w:rsidR="00DC203B" w:rsidRDefault="00DC203B" w:rsidP="00DC203B">
                  <w:pPr>
                    <w:pStyle w:val="TableBodyText"/>
                    <w:jc w:val="left"/>
                  </w:pPr>
                </w:p>
              </w:tc>
            </w:tr>
          </w:tbl>
          <w:p w:rsidR="00DC203B" w:rsidRDefault="00DC203B" w:rsidP="00DC203B">
            <w:pPr>
              <w:pStyle w:val="Box"/>
            </w:pPr>
          </w:p>
        </w:tc>
      </w:tr>
      <w:tr w:rsidR="00DC203B" w:rsidTr="00DC203B">
        <w:tc>
          <w:tcPr>
            <w:tcW w:w="5000" w:type="pct"/>
            <w:tcBorders>
              <w:top w:val="nil"/>
              <w:left w:val="nil"/>
              <w:bottom w:val="single" w:sz="6" w:space="0" w:color="78A22F"/>
              <w:right w:val="nil"/>
            </w:tcBorders>
            <w:shd w:val="clear" w:color="auto" w:fill="auto"/>
          </w:tcPr>
          <w:p w:rsidR="00DC203B" w:rsidRDefault="00DC203B" w:rsidP="00DC203B">
            <w:pPr>
              <w:pStyle w:val="Box"/>
              <w:spacing w:before="0" w:line="120" w:lineRule="exact"/>
            </w:pPr>
          </w:p>
        </w:tc>
      </w:tr>
      <w:tr w:rsidR="00DC203B" w:rsidRPr="000863A5" w:rsidTr="00DC203B">
        <w:tc>
          <w:tcPr>
            <w:tcW w:w="5000" w:type="pct"/>
            <w:tcBorders>
              <w:top w:val="single" w:sz="6" w:space="0" w:color="78A22F"/>
              <w:left w:val="nil"/>
              <w:bottom w:val="nil"/>
              <w:right w:val="nil"/>
            </w:tcBorders>
          </w:tcPr>
          <w:p w:rsidR="00DC203B" w:rsidRPr="00626D32" w:rsidRDefault="00DC203B" w:rsidP="00DC203B">
            <w:pPr>
              <w:pStyle w:val="BoxSpaceBelow"/>
            </w:pPr>
          </w:p>
        </w:tc>
      </w:tr>
    </w:tbl>
    <w:p w:rsidR="00D618B7" w:rsidRDefault="00D618B7" w:rsidP="00D618B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618B7" w:rsidTr="00F46572">
        <w:trPr>
          <w:tblHeader/>
        </w:trPr>
        <w:tc>
          <w:tcPr>
            <w:tcW w:w="5000" w:type="pct"/>
            <w:tcBorders>
              <w:top w:val="single" w:sz="6" w:space="0" w:color="78A22F"/>
              <w:left w:val="nil"/>
              <w:bottom w:val="nil"/>
              <w:right w:val="nil"/>
            </w:tcBorders>
            <w:shd w:val="clear" w:color="auto" w:fill="auto"/>
          </w:tcPr>
          <w:p w:rsidR="00D618B7" w:rsidRPr="00784A05" w:rsidRDefault="00D618B7" w:rsidP="006F5C9A">
            <w:pPr>
              <w:pStyle w:val="TableTitle"/>
            </w:pPr>
            <w:r>
              <w:rPr>
                <w:b w:val="0"/>
              </w:rPr>
              <w:t xml:space="preserve">Table </w:t>
            </w:r>
            <w:r w:rsidR="00240963">
              <w:rPr>
                <w:b w:val="0"/>
              </w:rPr>
              <w:t>B</w:t>
            </w:r>
            <w:r w:rsidR="006F5C9A">
              <w:rPr>
                <w:b w:val="0"/>
              </w:rPr>
              <w:t>.2</w:t>
            </w:r>
            <w:r>
              <w:tab/>
              <w:t xml:space="preserve">Covariates for </w:t>
            </w:r>
            <w:r w:rsidR="000E0131">
              <w:t xml:space="preserve">preferred </w:t>
            </w:r>
            <w:r>
              <w:t>estimation</w:t>
            </w:r>
          </w:p>
        </w:tc>
      </w:tr>
      <w:tr w:rsidR="00D618B7" w:rsidRPr="009C7B5C" w:rsidTr="00F4657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084"/>
              <w:gridCol w:w="630"/>
              <w:gridCol w:w="1002"/>
              <w:gridCol w:w="905"/>
              <w:gridCol w:w="779"/>
              <w:gridCol w:w="1105"/>
            </w:tblGrid>
            <w:tr w:rsidR="00D618B7" w:rsidRPr="009C7B5C" w:rsidTr="00240963">
              <w:trPr>
                <w:tblHeader/>
              </w:trPr>
              <w:tc>
                <w:tcPr>
                  <w:tcW w:w="2450" w:type="pct"/>
                  <w:tcBorders>
                    <w:top w:val="single" w:sz="6" w:space="0" w:color="BFBFBF"/>
                    <w:bottom w:val="single" w:sz="6" w:space="0" w:color="BFBFBF"/>
                  </w:tcBorders>
                  <w:shd w:val="clear" w:color="auto" w:fill="auto"/>
                  <w:tcMar>
                    <w:top w:w="28" w:type="dxa"/>
                  </w:tcMar>
                </w:tcPr>
                <w:p w:rsidR="00D618B7" w:rsidRPr="009C7B5C" w:rsidRDefault="00D618B7" w:rsidP="00F46572">
                  <w:pPr>
                    <w:pStyle w:val="TableColumnHeading"/>
                    <w:jc w:val="left"/>
                    <w:rPr>
                      <w:i w:val="0"/>
                    </w:rPr>
                  </w:pPr>
                </w:p>
              </w:tc>
              <w:tc>
                <w:tcPr>
                  <w:tcW w:w="370" w:type="pct"/>
                  <w:tcBorders>
                    <w:top w:val="single" w:sz="6" w:space="0" w:color="BFBFBF"/>
                    <w:bottom w:val="single" w:sz="6" w:space="0" w:color="BFBFBF"/>
                  </w:tcBorders>
                </w:tcPr>
                <w:p w:rsidR="00D618B7" w:rsidRPr="009C7B5C" w:rsidRDefault="00D618B7" w:rsidP="00F46572">
                  <w:pPr>
                    <w:pStyle w:val="TableColumnHeading"/>
                    <w:rPr>
                      <w:i w:val="0"/>
                    </w:rPr>
                  </w:pPr>
                  <w:r w:rsidRPr="009C7B5C">
                    <w:rPr>
                      <w:i w:val="0"/>
                    </w:rPr>
                    <w:t>Admin</w:t>
                  </w:r>
                </w:p>
              </w:tc>
              <w:tc>
                <w:tcPr>
                  <w:tcW w:w="638" w:type="pct"/>
                  <w:tcBorders>
                    <w:top w:val="single" w:sz="6" w:space="0" w:color="BFBFBF"/>
                    <w:bottom w:val="single" w:sz="6" w:space="0" w:color="BFBFBF"/>
                  </w:tcBorders>
                  <w:shd w:val="clear" w:color="auto" w:fill="auto"/>
                  <w:tcMar>
                    <w:top w:w="28" w:type="dxa"/>
                  </w:tcMar>
                </w:tcPr>
                <w:p w:rsidR="00D618B7" w:rsidRPr="009C7B5C" w:rsidRDefault="00D618B7" w:rsidP="00F46572">
                  <w:pPr>
                    <w:pStyle w:val="TableColumnHeading"/>
                    <w:rPr>
                      <w:i w:val="0"/>
                    </w:rPr>
                  </w:pPr>
                  <w:r w:rsidRPr="009C7B5C">
                    <w:rPr>
                      <w:i w:val="0"/>
                    </w:rPr>
                    <w:t>Investment</w:t>
                  </w:r>
                </w:p>
              </w:tc>
              <w:tc>
                <w:tcPr>
                  <w:tcW w:w="532" w:type="pct"/>
                  <w:tcBorders>
                    <w:top w:val="single" w:sz="6" w:space="0" w:color="BFBFBF"/>
                    <w:bottom w:val="single" w:sz="6" w:space="0" w:color="BFBFBF"/>
                  </w:tcBorders>
                  <w:shd w:val="clear" w:color="auto" w:fill="auto"/>
                  <w:tcMar>
                    <w:top w:w="28" w:type="dxa"/>
                  </w:tcMar>
                </w:tcPr>
                <w:p w:rsidR="00D618B7" w:rsidRPr="009C7B5C" w:rsidRDefault="00D618B7" w:rsidP="00F46572">
                  <w:pPr>
                    <w:pStyle w:val="TableColumnHeading"/>
                    <w:ind w:right="28"/>
                    <w:rPr>
                      <w:i w:val="0"/>
                    </w:rPr>
                  </w:pPr>
                  <w:r w:rsidRPr="009C7B5C">
                    <w:rPr>
                      <w:i w:val="0"/>
                    </w:rPr>
                    <w:t>Number of investment options</w:t>
                  </w:r>
                </w:p>
              </w:tc>
              <w:tc>
                <w:tcPr>
                  <w:tcW w:w="506" w:type="pct"/>
                  <w:tcBorders>
                    <w:top w:val="single" w:sz="6" w:space="0" w:color="BFBFBF"/>
                    <w:bottom w:val="single" w:sz="6" w:space="0" w:color="BFBFBF"/>
                  </w:tcBorders>
                </w:tcPr>
                <w:p w:rsidR="00D618B7" w:rsidRPr="009C7B5C" w:rsidRDefault="00D618B7" w:rsidP="00F46572">
                  <w:pPr>
                    <w:pStyle w:val="TableColumnHeading"/>
                    <w:ind w:right="28"/>
                    <w:rPr>
                      <w:i w:val="0"/>
                    </w:rPr>
                  </w:pPr>
                  <w:r w:rsidRPr="009C7B5C">
                    <w:rPr>
                      <w:i w:val="0"/>
                    </w:rPr>
                    <w:t>Selection equation</w:t>
                  </w:r>
                </w:p>
              </w:tc>
              <w:tc>
                <w:tcPr>
                  <w:tcW w:w="504" w:type="pct"/>
                  <w:tcBorders>
                    <w:top w:val="single" w:sz="6" w:space="0" w:color="BFBFBF"/>
                    <w:bottom w:val="single" w:sz="6" w:space="0" w:color="BFBFBF"/>
                  </w:tcBorders>
                </w:tcPr>
                <w:p w:rsidR="00D618B7" w:rsidRPr="009C7B5C" w:rsidRDefault="00D618B7" w:rsidP="00F46572">
                  <w:pPr>
                    <w:pStyle w:val="TableColumnHeading"/>
                    <w:ind w:right="28"/>
                    <w:rPr>
                      <w:i w:val="0"/>
                    </w:rPr>
                  </w:pPr>
                  <w:r>
                    <w:rPr>
                      <w:i w:val="0"/>
                    </w:rPr>
                    <w:t>Pass</w:t>
                  </w:r>
                  <w:r w:rsidR="00F640C8">
                    <w:rPr>
                      <w:i w:val="0"/>
                    </w:rPr>
                    <w:noBreakHyphen/>
                  </w:r>
                  <w:r>
                    <w:rPr>
                      <w:i w:val="0"/>
                    </w:rPr>
                    <w:t>through model</w:t>
                  </w:r>
                </w:p>
              </w:tc>
            </w:tr>
            <w:tr w:rsidR="00633D23" w:rsidRPr="009C7B5C" w:rsidTr="00240963">
              <w:tc>
                <w:tcPr>
                  <w:tcW w:w="2450" w:type="pct"/>
                  <w:tcBorders>
                    <w:top w:val="single" w:sz="6" w:space="0" w:color="BFBFBF"/>
                  </w:tcBorders>
                  <w:shd w:val="clear" w:color="auto" w:fill="BFBFBF" w:themeFill="background1" w:themeFillShade="BF"/>
                </w:tcPr>
                <w:p w:rsidR="00D618B7" w:rsidRPr="009C7B5C" w:rsidRDefault="00D618B7" w:rsidP="00F46572">
                  <w:pPr>
                    <w:pStyle w:val="TableUnitsRow"/>
                    <w:jc w:val="left"/>
                    <w:rPr>
                      <w:b/>
                    </w:rPr>
                  </w:pPr>
                  <w:r w:rsidRPr="009C7B5C">
                    <w:rPr>
                      <w:b/>
                    </w:rPr>
                    <w:t>Intercept</w:t>
                  </w:r>
                </w:p>
              </w:tc>
              <w:tc>
                <w:tcPr>
                  <w:tcW w:w="370" w:type="pct"/>
                  <w:tcBorders>
                    <w:top w:val="single" w:sz="6" w:space="0" w:color="BFBFBF"/>
                  </w:tcBorders>
                  <w:shd w:val="clear" w:color="auto" w:fill="BFBFBF" w:themeFill="background1" w:themeFillShade="BF"/>
                </w:tcPr>
                <w:p w:rsidR="00D618B7" w:rsidRPr="009C7B5C" w:rsidRDefault="00D618B7" w:rsidP="00F46572">
                  <w:pPr>
                    <w:pStyle w:val="TableUnitsRow"/>
                  </w:pPr>
                </w:p>
              </w:tc>
              <w:tc>
                <w:tcPr>
                  <w:tcW w:w="638" w:type="pct"/>
                  <w:tcBorders>
                    <w:top w:val="single" w:sz="6" w:space="0" w:color="BFBFBF"/>
                  </w:tcBorders>
                  <w:shd w:val="clear" w:color="auto" w:fill="BFBFBF" w:themeFill="background1" w:themeFillShade="BF"/>
                </w:tcPr>
                <w:p w:rsidR="00D618B7" w:rsidRPr="009C7B5C" w:rsidRDefault="00D618B7" w:rsidP="00F46572">
                  <w:pPr>
                    <w:pStyle w:val="TableUnitsRow"/>
                  </w:pPr>
                </w:p>
              </w:tc>
              <w:tc>
                <w:tcPr>
                  <w:tcW w:w="532" w:type="pct"/>
                  <w:tcBorders>
                    <w:top w:val="single" w:sz="6" w:space="0" w:color="BFBFBF"/>
                  </w:tcBorders>
                  <w:shd w:val="clear" w:color="auto" w:fill="BFBFBF" w:themeFill="background1" w:themeFillShade="BF"/>
                </w:tcPr>
                <w:p w:rsidR="00D618B7" w:rsidRPr="009C7B5C" w:rsidRDefault="00D618B7" w:rsidP="00F46572">
                  <w:pPr>
                    <w:pStyle w:val="TableUnitsRow"/>
                    <w:ind w:right="28"/>
                  </w:pPr>
                </w:p>
              </w:tc>
              <w:tc>
                <w:tcPr>
                  <w:tcW w:w="506" w:type="pct"/>
                  <w:tcBorders>
                    <w:top w:val="single" w:sz="6" w:space="0" w:color="BFBFBF"/>
                  </w:tcBorders>
                  <w:shd w:val="clear" w:color="auto" w:fill="BFBFBF" w:themeFill="background1" w:themeFillShade="BF"/>
                </w:tcPr>
                <w:p w:rsidR="00D618B7" w:rsidRPr="009C7B5C" w:rsidRDefault="00D618B7" w:rsidP="00F46572">
                  <w:pPr>
                    <w:pStyle w:val="TableUnitsRow"/>
                    <w:ind w:right="28"/>
                  </w:pPr>
                </w:p>
              </w:tc>
              <w:tc>
                <w:tcPr>
                  <w:tcW w:w="504" w:type="pct"/>
                  <w:tcBorders>
                    <w:top w:val="single" w:sz="6" w:space="0" w:color="BFBFBF"/>
                  </w:tcBorders>
                  <w:shd w:val="clear" w:color="auto" w:fill="BFBFBF" w:themeFill="background1" w:themeFillShade="BF"/>
                </w:tcPr>
                <w:p w:rsidR="00D618B7" w:rsidRPr="009C7B5C" w:rsidRDefault="00D618B7" w:rsidP="00F46572">
                  <w:pPr>
                    <w:pStyle w:val="TableUnitsRow"/>
                    <w:ind w:right="28"/>
                  </w:pPr>
                </w:p>
              </w:tc>
            </w:tr>
            <w:tr w:rsidR="00D618B7" w:rsidRPr="009C7B5C" w:rsidTr="00240963">
              <w:tc>
                <w:tcPr>
                  <w:tcW w:w="2450" w:type="pct"/>
                </w:tcPr>
                <w:p w:rsidR="00D618B7" w:rsidRPr="009C7B5C" w:rsidRDefault="00D618B7" w:rsidP="00F46572">
                  <w:pPr>
                    <w:pStyle w:val="TableBodyText"/>
                    <w:jc w:val="left"/>
                  </w:pPr>
                  <w:r w:rsidRPr="009C7B5C">
                    <w:t>Varying</w:t>
                  </w:r>
                </w:p>
              </w:tc>
              <w:tc>
                <w:tcPr>
                  <w:tcW w:w="370" w:type="pct"/>
                </w:tcPr>
                <w:p w:rsidR="00D618B7" w:rsidRPr="009C7B5C" w:rsidRDefault="00D618B7" w:rsidP="00F46572">
                  <w:pPr>
                    <w:pStyle w:val="TableBodyText"/>
                    <w:rPr>
                      <w:rFonts w:ascii="Wingdings" w:hAnsi="Wingdings"/>
                    </w:rPr>
                  </w:pPr>
                  <w:r w:rsidRPr="009C7B5C">
                    <w:rPr>
                      <w:rFonts w:ascii="Wingdings" w:hAnsi="Wingdings"/>
                    </w:rPr>
                    <w:t></w:t>
                  </w:r>
                </w:p>
              </w:tc>
              <w:tc>
                <w:tcPr>
                  <w:tcW w:w="638" w:type="pct"/>
                </w:tcPr>
                <w:p w:rsidR="00D618B7" w:rsidRPr="009C7B5C" w:rsidRDefault="00D618B7" w:rsidP="00F46572">
                  <w:pPr>
                    <w:pStyle w:val="TableBodyText"/>
                  </w:pPr>
                  <w:r w:rsidRPr="009C7B5C">
                    <w:rPr>
                      <w:rFonts w:ascii="Wingdings" w:hAnsi="Wingdings"/>
                    </w:rPr>
                    <w:t></w:t>
                  </w:r>
                </w:p>
              </w:tc>
              <w:tc>
                <w:tcPr>
                  <w:tcW w:w="532" w:type="pct"/>
                </w:tcPr>
                <w:p w:rsidR="00D618B7" w:rsidRPr="009C7B5C" w:rsidRDefault="00D618B7" w:rsidP="00F46572">
                  <w:pPr>
                    <w:pStyle w:val="TableBodyText"/>
                    <w:ind w:right="28"/>
                  </w:pPr>
                </w:p>
              </w:tc>
              <w:tc>
                <w:tcPr>
                  <w:tcW w:w="506" w:type="pct"/>
                </w:tcPr>
                <w:p w:rsidR="00D618B7" w:rsidRPr="009C7B5C" w:rsidRDefault="00D618B7" w:rsidP="00F46572">
                  <w:pPr>
                    <w:pStyle w:val="TableBodyText"/>
                    <w:ind w:right="28"/>
                  </w:pPr>
                </w:p>
              </w:tc>
              <w:tc>
                <w:tcPr>
                  <w:tcW w:w="504" w:type="pct"/>
                </w:tcPr>
                <w:p w:rsidR="00D618B7" w:rsidRPr="009C7B5C" w:rsidRDefault="00D618B7" w:rsidP="00F46572">
                  <w:pPr>
                    <w:pStyle w:val="TableBodyText"/>
                    <w:ind w:right="28"/>
                  </w:pPr>
                  <w:r w:rsidRPr="009C7B5C">
                    <w:rPr>
                      <w:rFonts w:ascii="Wingdings" w:hAnsi="Wingdings"/>
                    </w:rPr>
                    <w:t></w:t>
                  </w: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Non</w:t>
                  </w:r>
                  <w:r w:rsidR="00F640C8">
                    <w:noBreakHyphen/>
                  </w:r>
                  <w:r w:rsidRPr="009C7B5C">
                    <w:t>varying</w:t>
                  </w:r>
                </w:p>
              </w:tc>
              <w:tc>
                <w:tcPr>
                  <w:tcW w:w="370" w:type="pct"/>
                  <w:shd w:val="clear" w:color="auto" w:fill="F2F2F2" w:themeFill="background1" w:themeFillShade="F2"/>
                </w:tcPr>
                <w:p w:rsidR="00D618B7" w:rsidRPr="009C7B5C" w:rsidRDefault="00D618B7" w:rsidP="00F46572">
                  <w:pPr>
                    <w:pStyle w:val="TableBodyText"/>
                  </w:pPr>
                </w:p>
              </w:tc>
              <w:tc>
                <w:tcPr>
                  <w:tcW w:w="638" w:type="pct"/>
                  <w:shd w:val="clear" w:color="auto" w:fill="F2F2F2" w:themeFill="background1" w:themeFillShade="F2"/>
                </w:tcPr>
                <w:p w:rsidR="00D618B7" w:rsidRPr="009C7B5C" w:rsidRDefault="00D618B7" w:rsidP="00F46572">
                  <w:pPr>
                    <w:pStyle w:val="TableBodyText"/>
                  </w:pPr>
                </w:p>
              </w:tc>
              <w:tc>
                <w:tcPr>
                  <w:tcW w:w="532" w:type="pct"/>
                  <w:shd w:val="clear" w:color="auto" w:fill="F2F2F2" w:themeFill="background1" w:themeFillShade="F2"/>
                </w:tcPr>
                <w:p w:rsidR="00D618B7" w:rsidRPr="009C7B5C" w:rsidRDefault="00D618B7" w:rsidP="00F46572">
                  <w:pPr>
                    <w:pStyle w:val="TableBodyText"/>
                    <w:ind w:right="28"/>
                  </w:pPr>
                  <w:r w:rsidRPr="009C7B5C">
                    <w:rPr>
                      <w:rFonts w:ascii="Wingdings" w:hAnsi="Wingdings"/>
                    </w:rPr>
                    <w:t></w:t>
                  </w:r>
                </w:p>
              </w:tc>
              <w:tc>
                <w:tcPr>
                  <w:tcW w:w="506" w:type="pct"/>
                  <w:shd w:val="clear" w:color="auto" w:fill="F2F2F2" w:themeFill="background1" w:themeFillShade="F2"/>
                </w:tcPr>
                <w:p w:rsidR="00D618B7" w:rsidRPr="009C7B5C" w:rsidRDefault="00D618B7" w:rsidP="00F46572">
                  <w:pPr>
                    <w:pStyle w:val="TableBodyText"/>
                    <w:ind w:right="28"/>
                  </w:pPr>
                  <w:r w:rsidRPr="009C7B5C">
                    <w:rPr>
                      <w:rFonts w:ascii="Wingdings" w:hAnsi="Wingdings"/>
                    </w:rPr>
                    <w:t></w:t>
                  </w:r>
                </w:p>
              </w:tc>
              <w:tc>
                <w:tcPr>
                  <w:tcW w:w="504" w:type="pct"/>
                  <w:shd w:val="clear" w:color="auto" w:fill="F2F2F2" w:themeFill="background1" w:themeFillShade="F2"/>
                </w:tcPr>
                <w:p w:rsidR="00D618B7" w:rsidRPr="009C7B5C" w:rsidRDefault="00D618B7" w:rsidP="00F46572">
                  <w:pPr>
                    <w:pStyle w:val="TableBodyText"/>
                    <w:ind w:right="28"/>
                    <w:rPr>
                      <w:rFonts w:ascii="Wingdings" w:hAnsi="Wingdings"/>
                    </w:rPr>
                  </w:pPr>
                </w:p>
              </w:tc>
            </w:tr>
            <w:tr w:rsidR="00633D23" w:rsidRPr="009C7B5C" w:rsidTr="00633D23">
              <w:tc>
                <w:tcPr>
                  <w:tcW w:w="2450" w:type="pct"/>
                  <w:shd w:val="clear" w:color="auto" w:fill="BFBFBF" w:themeFill="background1" w:themeFillShade="BF"/>
                </w:tcPr>
                <w:p w:rsidR="00D618B7" w:rsidRPr="009C7B5C" w:rsidRDefault="00D618B7" w:rsidP="00F46572">
                  <w:pPr>
                    <w:pStyle w:val="TableBodyText"/>
                    <w:jc w:val="left"/>
                    <w:rPr>
                      <w:b/>
                    </w:rPr>
                  </w:pPr>
                  <w:r w:rsidRPr="009C7B5C">
                    <w:rPr>
                      <w:b/>
                    </w:rPr>
                    <w:t>Varying slope coefficients</w:t>
                  </w:r>
                </w:p>
              </w:tc>
              <w:tc>
                <w:tcPr>
                  <w:tcW w:w="370" w:type="pct"/>
                  <w:shd w:val="clear" w:color="auto" w:fill="BFBFBF" w:themeFill="background1" w:themeFillShade="BF"/>
                </w:tcPr>
                <w:p w:rsidR="00D618B7" w:rsidRPr="009C7B5C" w:rsidRDefault="00D618B7" w:rsidP="00F46572">
                  <w:pPr>
                    <w:pStyle w:val="TableBodyText"/>
                  </w:pPr>
                </w:p>
              </w:tc>
              <w:tc>
                <w:tcPr>
                  <w:tcW w:w="638" w:type="pct"/>
                  <w:shd w:val="clear" w:color="auto" w:fill="BFBFBF" w:themeFill="background1" w:themeFillShade="BF"/>
                </w:tcPr>
                <w:p w:rsidR="00D618B7" w:rsidRPr="009C7B5C" w:rsidRDefault="00D618B7" w:rsidP="00F46572">
                  <w:pPr>
                    <w:pStyle w:val="TableBodyText"/>
                  </w:pPr>
                </w:p>
              </w:tc>
              <w:tc>
                <w:tcPr>
                  <w:tcW w:w="532" w:type="pct"/>
                  <w:shd w:val="clear" w:color="auto" w:fill="BFBFBF" w:themeFill="background1" w:themeFillShade="BF"/>
                </w:tcPr>
                <w:p w:rsidR="00D618B7" w:rsidRPr="009C7B5C" w:rsidRDefault="00D618B7" w:rsidP="00F46572">
                  <w:pPr>
                    <w:pStyle w:val="TableBodyText"/>
                    <w:ind w:right="28"/>
                  </w:pPr>
                </w:p>
              </w:tc>
              <w:tc>
                <w:tcPr>
                  <w:tcW w:w="506" w:type="pct"/>
                  <w:shd w:val="clear" w:color="auto" w:fill="BFBFBF" w:themeFill="background1" w:themeFillShade="BF"/>
                </w:tcPr>
                <w:p w:rsidR="00D618B7" w:rsidRPr="009C7B5C" w:rsidRDefault="00D618B7" w:rsidP="00F46572">
                  <w:pPr>
                    <w:pStyle w:val="TableBodyText"/>
                    <w:ind w:right="28"/>
                  </w:pPr>
                </w:p>
              </w:tc>
              <w:tc>
                <w:tcPr>
                  <w:tcW w:w="504" w:type="pct"/>
                  <w:shd w:val="clear" w:color="auto" w:fill="BFBFBF" w:themeFill="background1" w:themeFillShade="BF"/>
                </w:tcPr>
                <w:p w:rsidR="00D618B7" w:rsidRPr="009C7B5C" w:rsidRDefault="00D618B7" w:rsidP="00F46572">
                  <w:pPr>
                    <w:pStyle w:val="TableBodyText"/>
                    <w:ind w:right="28"/>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Assets</w:t>
                  </w:r>
                </w:p>
              </w:tc>
              <w:tc>
                <w:tcPr>
                  <w:tcW w:w="370" w:type="pct"/>
                </w:tcPr>
                <w:p w:rsidR="00D618B7" w:rsidRPr="009C7B5C" w:rsidRDefault="00D618B7" w:rsidP="00F46572">
                  <w:pPr>
                    <w:pStyle w:val="TableBodyText"/>
                  </w:pPr>
                  <w:r w:rsidRPr="009C7B5C">
                    <w:rPr>
                      <w:rFonts w:ascii="Wingdings" w:hAnsi="Wingdings"/>
                    </w:rPr>
                    <w:t></w:t>
                  </w:r>
                </w:p>
              </w:tc>
              <w:tc>
                <w:tcPr>
                  <w:tcW w:w="638" w:type="pct"/>
                  <w:shd w:val="clear" w:color="auto" w:fill="auto"/>
                </w:tcPr>
                <w:p w:rsidR="00D618B7" w:rsidRPr="009C7B5C" w:rsidRDefault="00D618B7" w:rsidP="00F46572">
                  <w:pPr>
                    <w:pStyle w:val="TableBodyText"/>
                  </w:pPr>
                  <w:r w:rsidRPr="009C7B5C">
                    <w:rPr>
                      <w:rFonts w:ascii="Wingdings" w:hAnsi="Wingdings"/>
                    </w:rPr>
                    <w:t></w:t>
                  </w:r>
                </w:p>
              </w:tc>
              <w:tc>
                <w:tcPr>
                  <w:tcW w:w="532" w:type="pct"/>
                  <w:shd w:val="clear" w:color="auto" w:fill="auto"/>
                </w:tcPr>
                <w:p w:rsidR="00D618B7" w:rsidRPr="009C7B5C" w:rsidRDefault="00D618B7" w:rsidP="00F46572">
                  <w:pPr>
                    <w:pStyle w:val="TableBodyText"/>
                    <w:ind w:right="28"/>
                  </w:pPr>
                </w:p>
              </w:tc>
              <w:tc>
                <w:tcPr>
                  <w:tcW w:w="506" w:type="pct"/>
                </w:tcPr>
                <w:p w:rsidR="00D618B7" w:rsidRPr="009C7B5C" w:rsidRDefault="00D618B7" w:rsidP="00F46572">
                  <w:pPr>
                    <w:pStyle w:val="TableBodyText"/>
                    <w:ind w:right="28"/>
                  </w:pPr>
                </w:p>
              </w:tc>
              <w:tc>
                <w:tcPr>
                  <w:tcW w:w="504" w:type="pct"/>
                </w:tcPr>
                <w:p w:rsidR="00D618B7" w:rsidRPr="009C7B5C" w:rsidRDefault="00D618B7" w:rsidP="00F46572">
                  <w:pPr>
                    <w:pStyle w:val="TableBodyText"/>
                    <w:ind w:right="28"/>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Member accounts</w:t>
                  </w:r>
                </w:p>
              </w:tc>
              <w:tc>
                <w:tcPr>
                  <w:tcW w:w="370" w:type="pct"/>
                  <w:shd w:val="clear" w:color="auto" w:fill="F2F2F2" w:themeFill="background1" w:themeFillShade="F2"/>
                </w:tcPr>
                <w:p w:rsidR="00D618B7" w:rsidRPr="009C7B5C" w:rsidRDefault="00D618B7" w:rsidP="00F46572">
                  <w:pPr>
                    <w:pStyle w:val="TableBodyText"/>
                  </w:pPr>
                  <w:r w:rsidRPr="009C7B5C">
                    <w:rPr>
                      <w:rFonts w:ascii="Wingdings" w:hAnsi="Wingdings"/>
                    </w:rPr>
                    <w:t></w:t>
                  </w:r>
                </w:p>
              </w:tc>
              <w:tc>
                <w:tcPr>
                  <w:tcW w:w="638" w:type="pct"/>
                  <w:shd w:val="clear" w:color="auto" w:fill="F2F2F2" w:themeFill="background1" w:themeFillShade="F2"/>
                </w:tcPr>
                <w:p w:rsidR="00D618B7" w:rsidRPr="009C7B5C" w:rsidRDefault="00D618B7" w:rsidP="00F46572">
                  <w:pPr>
                    <w:pStyle w:val="TableBodyText"/>
                  </w:pPr>
                </w:p>
              </w:tc>
              <w:tc>
                <w:tcPr>
                  <w:tcW w:w="532" w:type="pct"/>
                  <w:shd w:val="clear" w:color="auto" w:fill="F2F2F2" w:themeFill="background1" w:themeFillShade="F2"/>
                </w:tcPr>
                <w:p w:rsidR="00D618B7" w:rsidRPr="009C7B5C" w:rsidRDefault="00D618B7" w:rsidP="00F46572">
                  <w:pPr>
                    <w:pStyle w:val="TableBodyText"/>
                    <w:ind w:right="28"/>
                  </w:pPr>
                </w:p>
              </w:tc>
              <w:tc>
                <w:tcPr>
                  <w:tcW w:w="506" w:type="pct"/>
                  <w:shd w:val="clear" w:color="auto" w:fill="F2F2F2" w:themeFill="background1" w:themeFillShade="F2"/>
                </w:tcPr>
                <w:p w:rsidR="00D618B7" w:rsidRPr="009C7B5C" w:rsidRDefault="00D618B7" w:rsidP="00F46572">
                  <w:pPr>
                    <w:pStyle w:val="TableBodyText"/>
                    <w:ind w:right="28"/>
                  </w:pPr>
                </w:p>
              </w:tc>
              <w:tc>
                <w:tcPr>
                  <w:tcW w:w="504" w:type="pct"/>
                  <w:shd w:val="clear" w:color="auto" w:fill="F2F2F2" w:themeFill="background1" w:themeFillShade="F2"/>
                </w:tcPr>
                <w:p w:rsidR="00D618B7" w:rsidRPr="009C7B5C" w:rsidRDefault="00D618B7" w:rsidP="00F46572">
                  <w:pPr>
                    <w:pStyle w:val="TableBodyText"/>
                    <w:ind w:right="28"/>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Other (proportion held in asset class)</w:t>
                  </w:r>
                </w:p>
              </w:tc>
              <w:tc>
                <w:tcPr>
                  <w:tcW w:w="370" w:type="pct"/>
                </w:tcPr>
                <w:p w:rsidR="00D618B7" w:rsidRPr="009C7B5C" w:rsidRDefault="00D618B7" w:rsidP="00F46572">
                  <w:pPr>
                    <w:pStyle w:val="TableBodyText"/>
                  </w:pPr>
                </w:p>
              </w:tc>
              <w:tc>
                <w:tcPr>
                  <w:tcW w:w="638" w:type="pct"/>
                  <w:shd w:val="clear" w:color="auto" w:fill="auto"/>
                </w:tcPr>
                <w:p w:rsidR="00D618B7" w:rsidRPr="009C7B5C" w:rsidRDefault="00D618B7" w:rsidP="00F46572">
                  <w:pPr>
                    <w:pStyle w:val="TableBodyText"/>
                  </w:pPr>
                  <w:r w:rsidRPr="009C7B5C">
                    <w:rPr>
                      <w:rFonts w:ascii="Wingdings" w:hAnsi="Wingdings"/>
                    </w:rPr>
                    <w:t></w:t>
                  </w:r>
                </w:p>
              </w:tc>
              <w:tc>
                <w:tcPr>
                  <w:tcW w:w="532" w:type="pct"/>
                  <w:shd w:val="clear" w:color="auto" w:fill="auto"/>
                </w:tcPr>
                <w:p w:rsidR="00D618B7" w:rsidRPr="009C7B5C" w:rsidRDefault="00D618B7" w:rsidP="00F46572">
                  <w:pPr>
                    <w:pStyle w:val="TableBodyText"/>
                    <w:ind w:right="28"/>
                  </w:pPr>
                </w:p>
              </w:tc>
              <w:tc>
                <w:tcPr>
                  <w:tcW w:w="506" w:type="pct"/>
                </w:tcPr>
                <w:p w:rsidR="00D618B7" w:rsidRPr="009C7B5C" w:rsidRDefault="00D618B7" w:rsidP="00F46572">
                  <w:pPr>
                    <w:pStyle w:val="TableBodyText"/>
                    <w:ind w:right="28"/>
                  </w:pPr>
                </w:p>
              </w:tc>
              <w:tc>
                <w:tcPr>
                  <w:tcW w:w="504" w:type="pct"/>
                </w:tcPr>
                <w:p w:rsidR="00D618B7" w:rsidRPr="009C7B5C" w:rsidRDefault="00D618B7" w:rsidP="00F46572">
                  <w:pPr>
                    <w:pStyle w:val="TableBodyText"/>
                    <w:ind w:right="28"/>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t>Change in expenses due to size</w:t>
                  </w:r>
                </w:p>
              </w:tc>
              <w:tc>
                <w:tcPr>
                  <w:tcW w:w="370" w:type="pct"/>
                  <w:shd w:val="clear" w:color="auto" w:fill="F2F2F2" w:themeFill="background1" w:themeFillShade="F2"/>
                </w:tcPr>
                <w:p w:rsidR="00D618B7" w:rsidRPr="009C7B5C" w:rsidRDefault="00D618B7" w:rsidP="00F46572">
                  <w:pPr>
                    <w:pStyle w:val="TableBodyText"/>
                  </w:pPr>
                </w:p>
              </w:tc>
              <w:tc>
                <w:tcPr>
                  <w:tcW w:w="638" w:type="pct"/>
                  <w:shd w:val="clear" w:color="auto" w:fill="F2F2F2" w:themeFill="background1" w:themeFillShade="F2"/>
                </w:tcPr>
                <w:p w:rsidR="00D618B7" w:rsidRPr="009C7B5C" w:rsidRDefault="00D618B7" w:rsidP="00F46572">
                  <w:pPr>
                    <w:pStyle w:val="TableBodyText"/>
                  </w:pPr>
                </w:p>
              </w:tc>
              <w:tc>
                <w:tcPr>
                  <w:tcW w:w="532" w:type="pct"/>
                  <w:shd w:val="clear" w:color="auto" w:fill="F2F2F2" w:themeFill="background1" w:themeFillShade="F2"/>
                </w:tcPr>
                <w:p w:rsidR="00D618B7" w:rsidRPr="009C7B5C" w:rsidRDefault="00D618B7" w:rsidP="00F46572">
                  <w:pPr>
                    <w:pStyle w:val="TableBodyText"/>
                    <w:ind w:right="28"/>
                  </w:pPr>
                </w:p>
              </w:tc>
              <w:tc>
                <w:tcPr>
                  <w:tcW w:w="506" w:type="pct"/>
                  <w:shd w:val="clear" w:color="auto" w:fill="F2F2F2" w:themeFill="background1" w:themeFillShade="F2"/>
                </w:tcPr>
                <w:p w:rsidR="00D618B7" w:rsidRPr="009C7B5C" w:rsidRDefault="00D618B7" w:rsidP="00F46572">
                  <w:pPr>
                    <w:pStyle w:val="TableBodyText"/>
                    <w:ind w:right="28"/>
                  </w:pPr>
                </w:p>
              </w:tc>
              <w:tc>
                <w:tcPr>
                  <w:tcW w:w="504" w:type="pct"/>
                  <w:shd w:val="clear" w:color="auto" w:fill="F2F2F2" w:themeFill="background1" w:themeFillShade="F2"/>
                </w:tcPr>
                <w:p w:rsidR="00D618B7" w:rsidRPr="009C7B5C" w:rsidRDefault="00D618B7" w:rsidP="00F46572">
                  <w:pPr>
                    <w:pStyle w:val="TableBodyText"/>
                    <w:ind w:right="28"/>
                  </w:pPr>
                  <w:r w:rsidRPr="009C7B5C">
                    <w:rPr>
                      <w:rFonts w:ascii="Wingdings" w:hAnsi="Wingdings"/>
                    </w:rPr>
                    <w:t></w:t>
                  </w:r>
                </w:p>
              </w:tc>
            </w:tr>
            <w:tr w:rsidR="00D618B7" w:rsidRPr="009C7B5C" w:rsidTr="00240963">
              <w:tc>
                <w:tcPr>
                  <w:tcW w:w="2450" w:type="pct"/>
                  <w:shd w:val="clear" w:color="auto" w:fill="BFBFBF" w:themeFill="background1" w:themeFillShade="BF"/>
                </w:tcPr>
                <w:p w:rsidR="00D618B7" w:rsidRPr="009C7B5C" w:rsidRDefault="00D618B7" w:rsidP="00F46572">
                  <w:pPr>
                    <w:pStyle w:val="TableBodyText"/>
                    <w:jc w:val="left"/>
                    <w:rPr>
                      <w:b/>
                    </w:rPr>
                  </w:pPr>
                  <w:r w:rsidRPr="009C7B5C">
                    <w:rPr>
                      <w:b/>
                    </w:rPr>
                    <w:t>Non</w:t>
                  </w:r>
                  <w:r w:rsidR="00F640C8">
                    <w:rPr>
                      <w:b/>
                    </w:rPr>
                    <w:noBreakHyphen/>
                  </w:r>
                  <w:r w:rsidRPr="009C7B5C">
                    <w:rPr>
                      <w:b/>
                    </w:rPr>
                    <w:t>varying coefficients</w:t>
                  </w:r>
                </w:p>
              </w:tc>
              <w:tc>
                <w:tcPr>
                  <w:tcW w:w="370" w:type="pct"/>
                  <w:shd w:val="clear" w:color="auto" w:fill="BFBFBF" w:themeFill="background1" w:themeFillShade="BF"/>
                </w:tcPr>
                <w:p w:rsidR="00D618B7" w:rsidRPr="009C7B5C" w:rsidRDefault="00D618B7" w:rsidP="00F46572">
                  <w:pPr>
                    <w:pStyle w:val="TableBodyText"/>
                  </w:pPr>
                </w:p>
              </w:tc>
              <w:tc>
                <w:tcPr>
                  <w:tcW w:w="638" w:type="pct"/>
                  <w:shd w:val="clear" w:color="auto" w:fill="BFBFBF" w:themeFill="background1" w:themeFillShade="BF"/>
                </w:tcPr>
                <w:p w:rsidR="00D618B7" w:rsidRPr="009C7B5C" w:rsidRDefault="00D618B7" w:rsidP="00F46572">
                  <w:pPr>
                    <w:pStyle w:val="TableBodyText"/>
                  </w:pPr>
                </w:p>
              </w:tc>
              <w:tc>
                <w:tcPr>
                  <w:tcW w:w="532" w:type="pct"/>
                  <w:shd w:val="clear" w:color="auto" w:fill="BFBFBF" w:themeFill="background1" w:themeFillShade="BF"/>
                </w:tcPr>
                <w:p w:rsidR="00D618B7" w:rsidRPr="009C7B5C" w:rsidRDefault="00D618B7" w:rsidP="00F46572">
                  <w:pPr>
                    <w:pStyle w:val="TableBodyText"/>
                    <w:ind w:right="28"/>
                  </w:pPr>
                </w:p>
              </w:tc>
              <w:tc>
                <w:tcPr>
                  <w:tcW w:w="506" w:type="pct"/>
                  <w:shd w:val="clear" w:color="auto" w:fill="BFBFBF" w:themeFill="background1" w:themeFillShade="BF"/>
                </w:tcPr>
                <w:p w:rsidR="00D618B7" w:rsidRPr="009C7B5C" w:rsidRDefault="00D618B7" w:rsidP="00F46572">
                  <w:pPr>
                    <w:pStyle w:val="TableBodyText"/>
                    <w:ind w:right="28"/>
                  </w:pPr>
                </w:p>
              </w:tc>
              <w:tc>
                <w:tcPr>
                  <w:tcW w:w="504" w:type="pct"/>
                  <w:shd w:val="clear" w:color="auto" w:fill="BFBFBF" w:themeFill="background1" w:themeFillShade="BF"/>
                </w:tcPr>
                <w:p w:rsidR="00D618B7" w:rsidRPr="009C7B5C" w:rsidRDefault="00D618B7" w:rsidP="00F46572">
                  <w:pPr>
                    <w:pStyle w:val="TableBodyText"/>
                    <w:ind w:right="28"/>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Assets</w:t>
                  </w:r>
                </w:p>
              </w:tc>
              <w:tc>
                <w:tcPr>
                  <w:tcW w:w="370" w:type="pct"/>
                </w:tcPr>
                <w:p w:rsidR="00D618B7" w:rsidRPr="009C7B5C" w:rsidRDefault="00D618B7" w:rsidP="00F46572">
                  <w:pPr>
                    <w:pStyle w:val="TableBodyText"/>
                    <w:rPr>
                      <w:rFonts w:ascii="Wingdings" w:hAnsi="Wingdings"/>
                    </w:rPr>
                  </w:pPr>
                </w:p>
              </w:tc>
              <w:tc>
                <w:tcPr>
                  <w:tcW w:w="638" w:type="pct"/>
                  <w:shd w:val="clear" w:color="auto" w:fill="auto"/>
                </w:tcPr>
                <w:p w:rsidR="00D618B7" w:rsidRPr="009C7B5C" w:rsidRDefault="00D618B7" w:rsidP="00F46572">
                  <w:pPr>
                    <w:pStyle w:val="TableBodyText"/>
                    <w:rPr>
                      <w:rFonts w:ascii="Wingdings" w:hAnsi="Wingdings"/>
                    </w:rPr>
                  </w:pPr>
                </w:p>
              </w:tc>
              <w:tc>
                <w:tcPr>
                  <w:tcW w:w="532" w:type="pct"/>
                  <w:shd w:val="clear" w:color="auto" w:fill="auto"/>
                </w:tcPr>
                <w:p w:rsidR="00D618B7" w:rsidRPr="009C7B5C" w:rsidRDefault="00D618B7" w:rsidP="00F46572">
                  <w:pPr>
                    <w:pStyle w:val="TableBodyText"/>
                    <w:ind w:right="28"/>
                  </w:pPr>
                  <w:r>
                    <w:rPr>
                      <w:rFonts w:ascii="Wingdings" w:hAnsi="Wingdings"/>
                    </w:rPr>
                    <w:t></w:t>
                  </w:r>
                </w:p>
              </w:tc>
              <w:tc>
                <w:tcPr>
                  <w:tcW w:w="506" w:type="pct"/>
                </w:tcPr>
                <w:p w:rsidR="00D618B7" w:rsidRPr="009C7B5C" w:rsidRDefault="00D618B7" w:rsidP="00F46572">
                  <w:pPr>
                    <w:pStyle w:val="TableBodyText"/>
                    <w:ind w:right="28"/>
                  </w:pPr>
                  <w:r w:rsidRPr="009C7B5C">
                    <w:rPr>
                      <w:rFonts w:ascii="Wingdings" w:hAnsi="Wingdings"/>
                    </w:rPr>
                    <w:t></w:t>
                  </w:r>
                </w:p>
              </w:tc>
              <w:tc>
                <w:tcPr>
                  <w:tcW w:w="504" w:type="pct"/>
                </w:tcPr>
                <w:p w:rsidR="00D618B7" w:rsidRPr="009C7B5C" w:rsidRDefault="00D618B7" w:rsidP="00F46572">
                  <w:pPr>
                    <w:pStyle w:val="TableBodyText"/>
                    <w:ind w:right="28"/>
                    <w:rPr>
                      <w:rFonts w:ascii="Wingdings" w:hAnsi="Wingdings"/>
                    </w:rPr>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Member accounts</w:t>
                  </w:r>
                </w:p>
              </w:tc>
              <w:tc>
                <w:tcPr>
                  <w:tcW w:w="370" w:type="pct"/>
                  <w:shd w:val="clear" w:color="auto" w:fill="F2F2F2" w:themeFill="background1" w:themeFillShade="F2"/>
                </w:tcPr>
                <w:p w:rsidR="00D618B7" w:rsidRPr="009C7B5C" w:rsidRDefault="00D618B7" w:rsidP="00F46572">
                  <w:pPr>
                    <w:pStyle w:val="TableBodyText"/>
                    <w:rPr>
                      <w:rFonts w:ascii="Wingdings" w:hAnsi="Wingdings"/>
                    </w:rPr>
                  </w:pPr>
                </w:p>
              </w:tc>
              <w:tc>
                <w:tcPr>
                  <w:tcW w:w="638" w:type="pct"/>
                  <w:shd w:val="clear" w:color="auto" w:fill="F2F2F2" w:themeFill="background1" w:themeFillShade="F2"/>
                </w:tcPr>
                <w:p w:rsidR="00D618B7" w:rsidRPr="009C7B5C" w:rsidRDefault="00D618B7" w:rsidP="00F46572">
                  <w:pPr>
                    <w:pStyle w:val="TableBodyText"/>
                    <w:rPr>
                      <w:rFonts w:ascii="Wingdings" w:hAnsi="Wingdings"/>
                    </w:rPr>
                  </w:pPr>
                </w:p>
              </w:tc>
              <w:tc>
                <w:tcPr>
                  <w:tcW w:w="532" w:type="pct"/>
                  <w:shd w:val="clear" w:color="auto" w:fill="F2F2F2" w:themeFill="background1" w:themeFillShade="F2"/>
                </w:tcPr>
                <w:p w:rsidR="00D618B7" w:rsidRPr="009C7B5C" w:rsidRDefault="00D618B7" w:rsidP="00F46572">
                  <w:pPr>
                    <w:pStyle w:val="TableBodyText"/>
                    <w:ind w:right="28"/>
                  </w:pPr>
                  <w:r>
                    <w:rPr>
                      <w:rFonts w:ascii="Wingdings" w:hAnsi="Wingdings"/>
                    </w:rPr>
                    <w:t></w:t>
                  </w:r>
                </w:p>
              </w:tc>
              <w:tc>
                <w:tcPr>
                  <w:tcW w:w="506" w:type="pct"/>
                  <w:shd w:val="clear" w:color="auto" w:fill="F2F2F2" w:themeFill="background1" w:themeFillShade="F2"/>
                </w:tcPr>
                <w:p w:rsidR="00D618B7" w:rsidRPr="009C7B5C" w:rsidRDefault="00D618B7" w:rsidP="00F46572">
                  <w:pPr>
                    <w:pStyle w:val="TableBodyText"/>
                    <w:ind w:right="28"/>
                  </w:pPr>
                  <w:r w:rsidRPr="009C7B5C">
                    <w:rPr>
                      <w:rFonts w:ascii="Wingdings" w:hAnsi="Wingdings"/>
                    </w:rPr>
                    <w:t></w:t>
                  </w:r>
                </w:p>
              </w:tc>
              <w:tc>
                <w:tcPr>
                  <w:tcW w:w="504" w:type="pct"/>
                  <w:shd w:val="clear" w:color="auto" w:fill="F2F2F2" w:themeFill="background1" w:themeFillShade="F2"/>
                </w:tcPr>
                <w:p w:rsidR="00D618B7" w:rsidRPr="009C7B5C" w:rsidRDefault="00D618B7" w:rsidP="00F46572">
                  <w:pPr>
                    <w:pStyle w:val="TableBodyText"/>
                    <w:ind w:right="28"/>
                    <w:rPr>
                      <w:rFonts w:ascii="Wingdings" w:hAnsi="Wingdings"/>
                    </w:rPr>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Number of investment options</w:t>
                  </w:r>
                </w:p>
              </w:tc>
              <w:tc>
                <w:tcPr>
                  <w:tcW w:w="370" w:type="pct"/>
                </w:tcPr>
                <w:p w:rsidR="00D618B7" w:rsidRPr="009C7B5C" w:rsidRDefault="00D618B7" w:rsidP="00F46572">
                  <w:pPr>
                    <w:pStyle w:val="TableBodyText"/>
                  </w:pPr>
                  <w:r w:rsidRPr="009C7B5C">
                    <w:rPr>
                      <w:rFonts w:ascii="Wingdings" w:hAnsi="Wingdings"/>
                    </w:rPr>
                    <w:t></w:t>
                  </w:r>
                </w:p>
              </w:tc>
              <w:tc>
                <w:tcPr>
                  <w:tcW w:w="638" w:type="pct"/>
                  <w:shd w:val="clear" w:color="auto" w:fill="auto"/>
                </w:tcPr>
                <w:p w:rsidR="00D618B7" w:rsidRPr="009C7B5C" w:rsidRDefault="00D618B7" w:rsidP="00F46572">
                  <w:pPr>
                    <w:pStyle w:val="TableBodyText"/>
                  </w:pPr>
                  <w:r w:rsidRPr="009C7B5C">
                    <w:rPr>
                      <w:rFonts w:ascii="Wingdings" w:hAnsi="Wingdings"/>
                    </w:rPr>
                    <w:t></w:t>
                  </w:r>
                </w:p>
              </w:tc>
              <w:tc>
                <w:tcPr>
                  <w:tcW w:w="532" w:type="pct"/>
                  <w:shd w:val="clear" w:color="auto" w:fill="auto"/>
                </w:tcPr>
                <w:p w:rsidR="00D618B7" w:rsidRPr="009C7B5C" w:rsidRDefault="00D618B7" w:rsidP="00F46572">
                  <w:pPr>
                    <w:pStyle w:val="TableBodyText"/>
                    <w:ind w:right="28"/>
                  </w:pPr>
                </w:p>
              </w:tc>
              <w:tc>
                <w:tcPr>
                  <w:tcW w:w="506" w:type="pct"/>
                </w:tcPr>
                <w:p w:rsidR="00D618B7" w:rsidRPr="009C7B5C" w:rsidRDefault="00D618B7" w:rsidP="00F46572">
                  <w:pPr>
                    <w:pStyle w:val="TableBodyText"/>
                    <w:ind w:right="28"/>
                    <w:rPr>
                      <w:b/>
                    </w:rPr>
                  </w:pPr>
                  <w:r>
                    <w:rPr>
                      <w:rFonts w:ascii="Wingdings" w:hAnsi="Wingdings"/>
                    </w:rPr>
                    <w:t></w:t>
                  </w:r>
                </w:p>
              </w:tc>
              <w:tc>
                <w:tcPr>
                  <w:tcW w:w="504" w:type="pct"/>
                </w:tcPr>
                <w:p w:rsidR="00D618B7" w:rsidRDefault="00D618B7" w:rsidP="00F46572">
                  <w:pPr>
                    <w:pStyle w:val="TableBodyText"/>
                    <w:ind w:right="28"/>
                    <w:rPr>
                      <w:rFonts w:ascii="Wingdings" w:hAnsi="Wingdings"/>
                    </w:rPr>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Net contributions</w:t>
                  </w:r>
                </w:p>
              </w:tc>
              <w:tc>
                <w:tcPr>
                  <w:tcW w:w="370" w:type="pct"/>
                  <w:shd w:val="clear" w:color="auto" w:fill="F2F2F2" w:themeFill="background1" w:themeFillShade="F2"/>
                </w:tcPr>
                <w:p w:rsidR="00D618B7" w:rsidRPr="009C7B5C" w:rsidRDefault="00D618B7" w:rsidP="00F46572">
                  <w:pPr>
                    <w:pStyle w:val="TableBodyText"/>
                  </w:pPr>
                  <w:r w:rsidRPr="009C7B5C">
                    <w:rPr>
                      <w:rFonts w:ascii="Wingdings" w:hAnsi="Wingdings"/>
                    </w:rPr>
                    <w:t></w:t>
                  </w:r>
                </w:p>
              </w:tc>
              <w:tc>
                <w:tcPr>
                  <w:tcW w:w="638" w:type="pct"/>
                  <w:shd w:val="clear" w:color="auto" w:fill="F2F2F2" w:themeFill="background1" w:themeFillShade="F2"/>
                </w:tcPr>
                <w:p w:rsidR="00D618B7" w:rsidRPr="009C7B5C" w:rsidRDefault="00D618B7" w:rsidP="00F46572">
                  <w:pPr>
                    <w:pStyle w:val="TableBodyText"/>
                  </w:pPr>
                </w:p>
              </w:tc>
              <w:tc>
                <w:tcPr>
                  <w:tcW w:w="532" w:type="pct"/>
                  <w:shd w:val="clear" w:color="auto" w:fill="F2F2F2" w:themeFill="background1" w:themeFillShade="F2"/>
                </w:tcPr>
                <w:p w:rsidR="00D618B7" w:rsidRPr="009C7B5C" w:rsidRDefault="00D618B7" w:rsidP="00F46572">
                  <w:pPr>
                    <w:pStyle w:val="TableBodyText"/>
                    <w:ind w:right="28"/>
                  </w:pPr>
                  <w:r>
                    <w:rPr>
                      <w:rFonts w:ascii="Wingdings" w:hAnsi="Wingdings"/>
                    </w:rPr>
                    <w:t></w:t>
                  </w:r>
                </w:p>
              </w:tc>
              <w:tc>
                <w:tcPr>
                  <w:tcW w:w="506" w:type="pct"/>
                  <w:shd w:val="clear" w:color="auto" w:fill="F2F2F2" w:themeFill="background1" w:themeFillShade="F2"/>
                </w:tcPr>
                <w:p w:rsidR="00D618B7" w:rsidRPr="009C7B5C" w:rsidRDefault="00D618B7" w:rsidP="00F46572">
                  <w:pPr>
                    <w:pStyle w:val="TableBodyText"/>
                    <w:ind w:right="28"/>
                  </w:pPr>
                  <w:r>
                    <w:rPr>
                      <w:rFonts w:ascii="Wingdings" w:hAnsi="Wingdings"/>
                    </w:rPr>
                    <w:t></w:t>
                  </w:r>
                </w:p>
              </w:tc>
              <w:tc>
                <w:tcPr>
                  <w:tcW w:w="504" w:type="pct"/>
                  <w:shd w:val="clear" w:color="auto" w:fill="F2F2F2" w:themeFill="background1" w:themeFillShade="F2"/>
                </w:tcPr>
                <w:p w:rsidR="00D618B7" w:rsidRDefault="00D618B7" w:rsidP="00F46572">
                  <w:pPr>
                    <w:pStyle w:val="TableBodyText"/>
                    <w:ind w:right="28"/>
                    <w:rPr>
                      <w:rFonts w:ascii="Wingdings" w:hAnsi="Wingdings"/>
                    </w:rPr>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Net rollovers</w:t>
                  </w:r>
                </w:p>
              </w:tc>
              <w:tc>
                <w:tcPr>
                  <w:tcW w:w="370" w:type="pct"/>
                </w:tcPr>
                <w:p w:rsidR="00D618B7" w:rsidRPr="009C7B5C" w:rsidRDefault="00D618B7" w:rsidP="00F46572">
                  <w:pPr>
                    <w:pStyle w:val="TableBodyText"/>
                  </w:pPr>
                  <w:r w:rsidRPr="009C7B5C">
                    <w:rPr>
                      <w:rFonts w:ascii="Wingdings" w:hAnsi="Wingdings"/>
                    </w:rPr>
                    <w:t></w:t>
                  </w:r>
                </w:p>
              </w:tc>
              <w:tc>
                <w:tcPr>
                  <w:tcW w:w="638" w:type="pct"/>
                  <w:shd w:val="clear" w:color="auto" w:fill="auto"/>
                </w:tcPr>
                <w:p w:rsidR="00D618B7" w:rsidRPr="009C7B5C" w:rsidRDefault="00D618B7" w:rsidP="00F46572">
                  <w:pPr>
                    <w:pStyle w:val="TableBodyText"/>
                  </w:pPr>
                </w:p>
              </w:tc>
              <w:tc>
                <w:tcPr>
                  <w:tcW w:w="532" w:type="pct"/>
                  <w:shd w:val="clear" w:color="auto" w:fill="auto"/>
                </w:tcPr>
                <w:p w:rsidR="00D618B7" w:rsidRPr="009C7B5C" w:rsidRDefault="00D618B7" w:rsidP="00F46572">
                  <w:pPr>
                    <w:pStyle w:val="TableBodyText"/>
                    <w:ind w:right="28"/>
                  </w:pPr>
                  <w:r>
                    <w:rPr>
                      <w:rFonts w:ascii="Wingdings" w:hAnsi="Wingdings"/>
                    </w:rPr>
                    <w:t></w:t>
                  </w:r>
                </w:p>
              </w:tc>
              <w:tc>
                <w:tcPr>
                  <w:tcW w:w="506" w:type="pct"/>
                </w:tcPr>
                <w:p w:rsidR="00D618B7" w:rsidRPr="009C7B5C" w:rsidRDefault="00D618B7" w:rsidP="00F46572">
                  <w:pPr>
                    <w:pStyle w:val="TableBodyText"/>
                    <w:ind w:right="28"/>
                  </w:pPr>
                  <w:r>
                    <w:rPr>
                      <w:rFonts w:ascii="Wingdings" w:hAnsi="Wingdings"/>
                    </w:rPr>
                    <w:t></w:t>
                  </w:r>
                </w:p>
              </w:tc>
              <w:tc>
                <w:tcPr>
                  <w:tcW w:w="504" w:type="pct"/>
                </w:tcPr>
                <w:p w:rsidR="00D618B7" w:rsidRDefault="00D618B7" w:rsidP="00F46572">
                  <w:pPr>
                    <w:pStyle w:val="TableBodyText"/>
                    <w:ind w:right="28"/>
                    <w:rPr>
                      <w:rFonts w:ascii="Wingdings" w:hAnsi="Wingdings"/>
                    </w:rPr>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Net insurance flows</w:t>
                  </w:r>
                </w:p>
              </w:tc>
              <w:tc>
                <w:tcPr>
                  <w:tcW w:w="370" w:type="pct"/>
                  <w:shd w:val="clear" w:color="auto" w:fill="F2F2F2" w:themeFill="background1" w:themeFillShade="F2"/>
                </w:tcPr>
                <w:p w:rsidR="00D618B7" w:rsidRPr="009C7B5C" w:rsidRDefault="00D618B7" w:rsidP="00F46572">
                  <w:pPr>
                    <w:pStyle w:val="TableBodyText"/>
                  </w:pPr>
                  <w:r w:rsidRPr="009C7B5C">
                    <w:rPr>
                      <w:rFonts w:ascii="Wingdings" w:hAnsi="Wingdings"/>
                    </w:rPr>
                    <w:t></w:t>
                  </w:r>
                </w:p>
              </w:tc>
              <w:tc>
                <w:tcPr>
                  <w:tcW w:w="638" w:type="pct"/>
                  <w:shd w:val="clear" w:color="auto" w:fill="F2F2F2" w:themeFill="background1" w:themeFillShade="F2"/>
                </w:tcPr>
                <w:p w:rsidR="00D618B7" w:rsidRPr="009C7B5C" w:rsidRDefault="00D618B7" w:rsidP="00F46572">
                  <w:pPr>
                    <w:pStyle w:val="TableBodyText"/>
                  </w:pPr>
                </w:p>
              </w:tc>
              <w:tc>
                <w:tcPr>
                  <w:tcW w:w="532" w:type="pct"/>
                  <w:shd w:val="clear" w:color="auto" w:fill="F2F2F2" w:themeFill="background1" w:themeFillShade="F2"/>
                </w:tcPr>
                <w:p w:rsidR="00D618B7" w:rsidRPr="009C7B5C" w:rsidRDefault="00D618B7" w:rsidP="00F46572">
                  <w:pPr>
                    <w:pStyle w:val="TableBodyText"/>
                    <w:ind w:right="28"/>
                  </w:pPr>
                </w:p>
              </w:tc>
              <w:tc>
                <w:tcPr>
                  <w:tcW w:w="506" w:type="pct"/>
                  <w:shd w:val="clear" w:color="auto" w:fill="F2F2F2" w:themeFill="background1" w:themeFillShade="F2"/>
                </w:tcPr>
                <w:p w:rsidR="00D618B7" w:rsidRPr="009C7B5C" w:rsidRDefault="00D618B7" w:rsidP="00F46572">
                  <w:pPr>
                    <w:pStyle w:val="TableBodyText"/>
                    <w:ind w:right="28"/>
                  </w:pPr>
                </w:p>
              </w:tc>
              <w:tc>
                <w:tcPr>
                  <w:tcW w:w="504" w:type="pct"/>
                  <w:shd w:val="clear" w:color="auto" w:fill="F2F2F2" w:themeFill="background1" w:themeFillShade="F2"/>
                </w:tcPr>
                <w:p w:rsidR="00D618B7" w:rsidRPr="009C7B5C" w:rsidRDefault="00D618B7" w:rsidP="00F46572">
                  <w:pPr>
                    <w:pStyle w:val="TableBodyText"/>
                    <w:ind w:right="28"/>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Stronger super (indicator)</w:t>
                  </w:r>
                </w:p>
              </w:tc>
              <w:tc>
                <w:tcPr>
                  <w:tcW w:w="370" w:type="pct"/>
                </w:tcPr>
                <w:p w:rsidR="00D618B7" w:rsidRPr="009C7B5C" w:rsidRDefault="00D618B7" w:rsidP="00F46572">
                  <w:pPr>
                    <w:pStyle w:val="TableBodyText"/>
                  </w:pPr>
                  <w:r w:rsidRPr="009C7B5C">
                    <w:rPr>
                      <w:rFonts w:ascii="Wingdings" w:hAnsi="Wingdings"/>
                    </w:rPr>
                    <w:t></w:t>
                  </w:r>
                </w:p>
              </w:tc>
              <w:tc>
                <w:tcPr>
                  <w:tcW w:w="638" w:type="pct"/>
                  <w:shd w:val="clear" w:color="auto" w:fill="auto"/>
                </w:tcPr>
                <w:p w:rsidR="00D618B7" w:rsidRPr="009C7B5C" w:rsidRDefault="00D618B7" w:rsidP="00F46572">
                  <w:pPr>
                    <w:pStyle w:val="TableBodyText"/>
                  </w:pPr>
                  <w:r w:rsidRPr="009C7B5C">
                    <w:rPr>
                      <w:rFonts w:ascii="Wingdings" w:hAnsi="Wingdings"/>
                    </w:rPr>
                    <w:t></w:t>
                  </w:r>
                </w:p>
              </w:tc>
              <w:tc>
                <w:tcPr>
                  <w:tcW w:w="532" w:type="pct"/>
                  <w:shd w:val="clear" w:color="auto" w:fill="auto"/>
                </w:tcPr>
                <w:p w:rsidR="00D618B7" w:rsidRPr="009C7B5C" w:rsidRDefault="00D618B7" w:rsidP="00F46572">
                  <w:pPr>
                    <w:pStyle w:val="TableBodyText"/>
                    <w:ind w:right="28"/>
                  </w:pPr>
                  <w:r>
                    <w:rPr>
                      <w:rFonts w:ascii="Wingdings" w:hAnsi="Wingdings"/>
                    </w:rPr>
                    <w:t></w:t>
                  </w:r>
                </w:p>
              </w:tc>
              <w:tc>
                <w:tcPr>
                  <w:tcW w:w="506" w:type="pct"/>
                </w:tcPr>
                <w:p w:rsidR="00D618B7" w:rsidRPr="009C7B5C" w:rsidRDefault="00D618B7" w:rsidP="00F46572">
                  <w:pPr>
                    <w:pStyle w:val="TableBodyText"/>
                    <w:ind w:right="28"/>
                  </w:pPr>
                  <w:r w:rsidRPr="009C7B5C">
                    <w:rPr>
                      <w:rFonts w:ascii="Wingdings" w:hAnsi="Wingdings"/>
                    </w:rPr>
                    <w:t></w:t>
                  </w:r>
                </w:p>
              </w:tc>
              <w:tc>
                <w:tcPr>
                  <w:tcW w:w="504" w:type="pct"/>
                </w:tcPr>
                <w:p w:rsidR="00D618B7" w:rsidRPr="009C7B5C" w:rsidRDefault="00D618B7" w:rsidP="00F46572">
                  <w:pPr>
                    <w:pStyle w:val="TableBodyText"/>
                    <w:ind w:right="28"/>
                    <w:rPr>
                      <w:rFonts w:ascii="Wingdings" w:hAnsi="Wingdings"/>
                    </w:rPr>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Post reporting change (indicator)</w:t>
                  </w:r>
                </w:p>
              </w:tc>
              <w:tc>
                <w:tcPr>
                  <w:tcW w:w="370" w:type="pct"/>
                  <w:shd w:val="clear" w:color="auto" w:fill="F2F2F2" w:themeFill="background1" w:themeFillShade="F2"/>
                </w:tcPr>
                <w:p w:rsidR="00D618B7" w:rsidRPr="009C7B5C" w:rsidRDefault="00D618B7" w:rsidP="00F46572">
                  <w:pPr>
                    <w:pStyle w:val="TableBodyText"/>
                  </w:pPr>
                  <w:r w:rsidRPr="009C7B5C">
                    <w:rPr>
                      <w:rFonts w:ascii="Wingdings" w:hAnsi="Wingdings"/>
                    </w:rPr>
                    <w:t></w:t>
                  </w:r>
                </w:p>
              </w:tc>
              <w:tc>
                <w:tcPr>
                  <w:tcW w:w="638" w:type="pct"/>
                  <w:shd w:val="clear" w:color="auto" w:fill="F2F2F2" w:themeFill="background1" w:themeFillShade="F2"/>
                </w:tcPr>
                <w:p w:rsidR="00D618B7" w:rsidRPr="009C7B5C" w:rsidRDefault="00D618B7" w:rsidP="00F46572">
                  <w:pPr>
                    <w:pStyle w:val="TableBodyText"/>
                  </w:pPr>
                  <w:r w:rsidRPr="009C7B5C">
                    <w:rPr>
                      <w:rFonts w:ascii="Wingdings" w:hAnsi="Wingdings"/>
                    </w:rPr>
                    <w:t></w:t>
                  </w:r>
                </w:p>
              </w:tc>
              <w:tc>
                <w:tcPr>
                  <w:tcW w:w="532" w:type="pct"/>
                  <w:shd w:val="clear" w:color="auto" w:fill="F2F2F2" w:themeFill="background1" w:themeFillShade="F2"/>
                </w:tcPr>
                <w:p w:rsidR="00D618B7" w:rsidRPr="009C7B5C" w:rsidRDefault="00D618B7" w:rsidP="00F46572">
                  <w:pPr>
                    <w:pStyle w:val="TableBodyText"/>
                    <w:ind w:right="28"/>
                  </w:pPr>
                  <w:r>
                    <w:rPr>
                      <w:rFonts w:ascii="Wingdings" w:hAnsi="Wingdings"/>
                    </w:rPr>
                    <w:t></w:t>
                  </w:r>
                </w:p>
              </w:tc>
              <w:tc>
                <w:tcPr>
                  <w:tcW w:w="506" w:type="pct"/>
                  <w:shd w:val="clear" w:color="auto" w:fill="F2F2F2" w:themeFill="background1" w:themeFillShade="F2"/>
                </w:tcPr>
                <w:p w:rsidR="00D618B7" w:rsidRPr="009C7B5C" w:rsidRDefault="00D618B7" w:rsidP="00F46572">
                  <w:pPr>
                    <w:pStyle w:val="TableBodyText"/>
                    <w:ind w:right="28"/>
                  </w:pPr>
                  <w:r w:rsidRPr="009C7B5C">
                    <w:rPr>
                      <w:rFonts w:ascii="Wingdings" w:hAnsi="Wingdings"/>
                    </w:rPr>
                    <w:t></w:t>
                  </w:r>
                </w:p>
              </w:tc>
              <w:tc>
                <w:tcPr>
                  <w:tcW w:w="504" w:type="pct"/>
                  <w:shd w:val="clear" w:color="auto" w:fill="F2F2F2" w:themeFill="background1" w:themeFillShade="F2"/>
                </w:tcPr>
                <w:p w:rsidR="00D618B7" w:rsidRPr="009C7B5C" w:rsidRDefault="00D618B7" w:rsidP="00F46572">
                  <w:pPr>
                    <w:pStyle w:val="TableBodyText"/>
                    <w:ind w:right="28"/>
                    <w:rPr>
                      <w:rFonts w:ascii="Wingdings" w:hAnsi="Wingdings"/>
                    </w:rPr>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Asset classes (proportions)</w:t>
                  </w:r>
                </w:p>
              </w:tc>
              <w:tc>
                <w:tcPr>
                  <w:tcW w:w="370" w:type="pct"/>
                </w:tcPr>
                <w:p w:rsidR="00D618B7" w:rsidRPr="009C7B5C" w:rsidRDefault="00D618B7" w:rsidP="00F46572">
                  <w:pPr>
                    <w:pStyle w:val="TableBodyText"/>
                  </w:pPr>
                </w:p>
              </w:tc>
              <w:tc>
                <w:tcPr>
                  <w:tcW w:w="638" w:type="pct"/>
                  <w:shd w:val="clear" w:color="auto" w:fill="auto"/>
                </w:tcPr>
                <w:p w:rsidR="00D618B7" w:rsidRPr="009C7B5C" w:rsidRDefault="00D618B7" w:rsidP="00F46572">
                  <w:pPr>
                    <w:pStyle w:val="TableBodyText"/>
                  </w:pPr>
                  <w:r w:rsidRPr="009C7B5C">
                    <w:rPr>
                      <w:rFonts w:ascii="Wingdings" w:hAnsi="Wingdings"/>
                    </w:rPr>
                    <w:t></w:t>
                  </w:r>
                </w:p>
              </w:tc>
              <w:tc>
                <w:tcPr>
                  <w:tcW w:w="532" w:type="pct"/>
                  <w:shd w:val="clear" w:color="auto" w:fill="auto"/>
                </w:tcPr>
                <w:p w:rsidR="00D618B7" w:rsidRPr="009C7B5C" w:rsidRDefault="00D618B7" w:rsidP="00F46572">
                  <w:pPr>
                    <w:pStyle w:val="TableBodyText"/>
                    <w:ind w:right="28"/>
                  </w:pPr>
                </w:p>
              </w:tc>
              <w:tc>
                <w:tcPr>
                  <w:tcW w:w="506" w:type="pct"/>
                </w:tcPr>
                <w:p w:rsidR="00D618B7" w:rsidRPr="009C7B5C" w:rsidRDefault="00D618B7" w:rsidP="00F46572">
                  <w:pPr>
                    <w:pStyle w:val="TableBodyText"/>
                    <w:ind w:right="28"/>
                  </w:pPr>
                </w:p>
              </w:tc>
              <w:tc>
                <w:tcPr>
                  <w:tcW w:w="504" w:type="pct"/>
                </w:tcPr>
                <w:p w:rsidR="00D618B7" w:rsidRPr="009C7B5C" w:rsidRDefault="00D618B7" w:rsidP="00F46572">
                  <w:pPr>
                    <w:pStyle w:val="TableBodyText"/>
                    <w:ind w:right="28"/>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 xml:space="preserve">Asset classes </w:t>
                  </w:r>
                  <m:oMath>
                    <m:r>
                      <m:rPr>
                        <m:sty m:val="p"/>
                      </m:rPr>
                      <w:rPr>
                        <w:rFonts w:ascii="Cambria Math" w:hAnsi="Cambria Math"/>
                      </w:rPr>
                      <m:t>×</m:t>
                    </m:r>
                  </m:oMath>
                  <w:r w:rsidRPr="009C7B5C">
                    <w:t xml:space="preserve"> Post reporting change</w:t>
                  </w:r>
                </w:p>
              </w:tc>
              <w:tc>
                <w:tcPr>
                  <w:tcW w:w="370" w:type="pct"/>
                  <w:shd w:val="clear" w:color="auto" w:fill="F2F2F2" w:themeFill="background1" w:themeFillShade="F2"/>
                </w:tcPr>
                <w:p w:rsidR="00D618B7" w:rsidRPr="009C7B5C" w:rsidRDefault="00D618B7" w:rsidP="00F46572">
                  <w:pPr>
                    <w:pStyle w:val="TableBodyText"/>
                  </w:pPr>
                </w:p>
              </w:tc>
              <w:tc>
                <w:tcPr>
                  <w:tcW w:w="638" w:type="pct"/>
                  <w:shd w:val="clear" w:color="auto" w:fill="F2F2F2" w:themeFill="background1" w:themeFillShade="F2"/>
                </w:tcPr>
                <w:p w:rsidR="00D618B7" w:rsidRPr="009C7B5C" w:rsidRDefault="00D618B7" w:rsidP="00F46572">
                  <w:pPr>
                    <w:pStyle w:val="TableBodyText"/>
                  </w:pPr>
                  <w:r w:rsidRPr="009C7B5C">
                    <w:rPr>
                      <w:rFonts w:ascii="Wingdings" w:hAnsi="Wingdings"/>
                    </w:rPr>
                    <w:t></w:t>
                  </w:r>
                </w:p>
              </w:tc>
              <w:tc>
                <w:tcPr>
                  <w:tcW w:w="532" w:type="pct"/>
                  <w:shd w:val="clear" w:color="auto" w:fill="F2F2F2" w:themeFill="background1" w:themeFillShade="F2"/>
                </w:tcPr>
                <w:p w:rsidR="00D618B7" w:rsidRPr="009C7B5C" w:rsidRDefault="00D618B7" w:rsidP="00F46572">
                  <w:pPr>
                    <w:pStyle w:val="TableBodyText"/>
                    <w:ind w:right="28"/>
                  </w:pPr>
                </w:p>
              </w:tc>
              <w:tc>
                <w:tcPr>
                  <w:tcW w:w="506" w:type="pct"/>
                  <w:shd w:val="clear" w:color="auto" w:fill="F2F2F2" w:themeFill="background1" w:themeFillShade="F2"/>
                </w:tcPr>
                <w:p w:rsidR="00D618B7" w:rsidRPr="009C7B5C" w:rsidRDefault="00D618B7" w:rsidP="00F46572">
                  <w:pPr>
                    <w:pStyle w:val="TableBodyText"/>
                    <w:ind w:right="28"/>
                  </w:pPr>
                </w:p>
              </w:tc>
              <w:tc>
                <w:tcPr>
                  <w:tcW w:w="504" w:type="pct"/>
                  <w:shd w:val="clear" w:color="auto" w:fill="F2F2F2" w:themeFill="background1" w:themeFillShade="F2"/>
                </w:tcPr>
                <w:p w:rsidR="00D618B7" w:rsidRPr="009C7B5C" w:rsidRDefault="00D618B7" w:rsidP="00F46572">
                  <w:pPr>
                    <w:pStyle w:val="TableBodyText"/>
                    <w:ind w:right="28"/>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Fund type (indicator)</w:t>
                  </w:r>
                </w:p>
              </w:tc>
              <w:tc>
                <w:tcPr>
                  <w:tcW w:w="370" w:type="pct"/>
                </w:tcPr>
                <w:p w:rsidR="00D618B7" w:rsidRPr="009C7B5C" w:rsidRDefault="00D618B7" w:rsidP="00F46572">
                  <w:pPr>
                    <w:pStyle w:val="TableBodyText"/>
                  </w:pPr>
                  <w:r>
                    <w:rPr>
                      <w:rFonts w:ascii="Wingdings" w:hAnsi="Wingdings"/>
                    </w:rPr>
                    <w:t></w:t>
                  </w:r>
                </w:p>
              </w:tc>
              <w:tc>
                <w:tcPr>
                  <w:tcW w:w="638" w:type="pct"/>
                  <w:shd w:val="clear" w:color="auto" w:fill="auto"/>
                </w:tcPr>
                <w:p w:rsidR="00D618B7" w:rsidRPr="009C7B5C" w:rsidRDefault="00D618B7" w:rsidP="00F46572">
                  <w:pPr>
                    <w:pStyle w:val="TableBodyText"/>
                  </w:pPr>
                  <w:r w:rsidRPr="009C7B5C">
                    <w:rPr>
                      <w:rFonts w:ascii="Wingdings" w:hAnsi="Wingdings"/>
                    </w:rPr>
                    <w:t></w:t>
                  </w:r>
                </w:p>
              </w:tc>
              <w:tc>
                <w:tcPr>
                  <w:tcW w:w="532" w:type="pct"/>
                  <w:shd w:val="clear" w:color="auto" w:fill="auto"/>
                </w:tcPr>
                <w:p w:rsidR="00D618B7" w:rsidRPr="009C7B5C" w:rsidRDefault="00D618B7" w:rsidP="00F46572">
                  <w:pPr>
                    <w:pStyle w:val="TableBodyText"/>
                    <w:ind w:right="28"/>
                  </w:pPr>
                </w:p>
              </w:tc>
              <w:tc>
                <w:tcPr>
                  <w:tcW w:w="506" w:type="pct"/>
                </w:tcPr>
                <w:p w:rsidR="00D618B7" w:rsidRPr="009C7B5C" w:rsidRDefault="00D618B7" w:rsidP="00F46572">
                  <w:pPr>
                    <w:pStyle w:val="TableBodyText"/>
                    <w:ind w:right="28"/>
                  </w:pPr>
                </w:p>
              </w:tc>
              <w:tc>
                <w:tcPr>
                  <w:tcW w:w="504" w:type="pct"/>
                </w:tcPr>
                <w:p w:rsidR="00D618B7" w:rsidRPr="009C7B5C" w:rsidRDefault="00D618B7" w:rsidP="00F46572">
                  <w:pPr>
                    <w:pStyle w:val="TableBodyText"/>
                    <w:ind w:right="28"/>
                  </w:pPr>
                  <w:r w:rsidRPr="009C7B5C">
                    <w:rPr>
                      <w:rFonts w:ascii="Wingdings" w:hAnsi="Wingdings"/>
                    </w:rPr>
                    <w:t></w:t>
                  </w: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 xml:space="preserve">Fund type </w:t>
                  </w:r>
                  <m:oMath>
                    <m:r>
                      <m:rPr>
                        <m:sty m:val="p"/>
                      </m:rPr>
                      <w:rPr>
                        <w:rFonts w:ascii="Cambria Math" w:hAnsi="Cambria Math"/>
                      </w:rPr>
                      <m:t>×</m:t>
                    </m:r>
                  </m:oMath>
                  <w:r w:rsidRPr="009C7B5C">
                    <w:t xml:space="preserve"> Assets</w:t>
                  </w:r>
                </w:p>
              </w:tc>
              <w:tc>
                <w:tcPr>
                  <w:tcW w:w="370" w:type="pct"/>
                  <w:shd w:val="clear" w:color="auto" w:fill="F2F2F2" w:themeFill="background1" w:themeFillShade="F2"/>
                </w:tcPr>
                <w:p w:rsidR="00D618B7" w:rsidRPr="009C7B5C" w:rsidRDefault="00D618B7" w:rsidP="00F46572">
                  <w:pPr>
                    <w:pStyle w:val="TableBodyText"/>
                  </w:pPr>
                  <w:r w:rsidRPr="009C7B5C">
                    <w:rPr>
                      <w:rFonts w:ascii="Wingdings" w:hAnsi="Wingdings"/>
                    </w:rPr>
                    <w:t></w:t>
                  </w:r>
                </w:p>
              </w:tc>
              <w:tc>
                <w:tcPr>
                  <w:tcW w:w="638" w:type="pct"/>
                  <w:shd w:val="clear" w:color="auto" w:fill="F2F2F2" w:themeFill="background1" w:themeFillShade="F2"/>
                </w:tcPr>
                <w:p w:rsidR="00D618B7" w:rsidRPr="009C7B5C" w:rsidRDefault="00D618B7" w:rsidP="00F46572">
                  <w:pPr>
                    <w:pStyle w:val="TableBodyText"/>
                  </w:pPr>
                  <w:r>
                    <w:rPr>
                      <w:rFonts w:ascii="Wingdings" w:hAnsi="Wingdings"/>
                    </w:rPr>
                    <w:t></w:t>
                  </w:r>
                </w:p>
              </w:tc>
              <w:tc>
                <w:tcPr>
                  <w:tcW w:w="532" w:type="pct"/>
                  <w:shd w:val="clear" w:color="auto" w:fill="F2F2F2" w:themeFill="background1" w:themeFillShade="F2"/>
                </w:tcPr>
                <w:p w:rsidR="00D618B7" w:rsidRPr="009C7B5C" w:rsidRDefault="00D618B7" w:rsidP="00F46572">
                  <w:pPr>
                    <w:pStyle w:val="TableBodyText"/>
                    <w:ind w:right="28"/>
                  </w:pPr>
                </w:p>
              </w:tc>
              <w:tc>
                <w:tcPr>
                  <w:tcW w:w="506" w:type="pct"/>
                  <w:shd w:val="clear" w:color="auto" w:fill="F2F2F2" w:themeFill="background1" w:themeFillShade="F2"/>
                </w:tcPr>
                <w:p w:rsidR="00D618B7" w:rsidRPr="009C7B5C" w:rsidRDefault="00D618B7" w:rsidP="00F46572">
                  <w:pPr>
                    <w:pStyle w:val="TableBodyText"/>
                    <w:ind w:right="28"/>
                  </w:pPr>
                </w:p>
              </w:tc>
              <w:tc>
                <w:tcPr>
                  <w:tcW w:w="504" w:type="pct"/>
                  <w:shd w:val="clear" w:color="auto" w:fill="F2F2F2" w:themeFill="background1" w:themeFillShade="F2"/>
                </w:tcPr>
                <w:p w:rsidR="00D618B7" w:rsidRPr="009C7B5C" w:rsidRDefault="00D618B7" w:rsidP="00F46572">
                  <w:pPr>
                    <w:pStyle w:val="TableBodyText"/>
                    <w:ind w:right="28"/>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 xml:space="preserve">Fund type </w:t>
                  </w:r>
                  <m:oMath>
                    <m:r>
                      <m:rPr>
                        <m:sty m:val="p"/>
                      </m:rPr>
                      <w:rPr>
                        <w:rFonts w:ascii="Cambria Math" w:hAnsi="Cambria Math"/>
                      </w:rPr>
                      <m:t>×</m:t>
                    </m:r>
                  </m:oMath>
                  <w:r w:rsidRPr="009C7B5C">
                    <w:t xml:space="preserve"> Member accounts</w:t>
                  </w:r>
                </w:p>
              </w:tc>
              <w:tc>
                <w:tcPr>
                  <w:tcW w:w="370" w:type="pct"/>
                </w:tcPr>
                <w:p w:rsidR="00D618B7" w:rsidRPr="009C7B5C" w:rsidRDefault="00D618B7" w:rsidP="00F46572">
                  <w:pPr>
                    <w:pStyle w:val="TableBodyText"/>
                  </w:pPr>
                  <w:r w:rsidRPr="009C7B5C">
                    <w:rPr>
                      <w:rFonts w:ascii="Wingdings" w:hAnsi="Wingdings"/>
                    </w:rPr>
                    <w:t></w:t>
                  </w:r>
                </w:p>
              </w:tc>
              <w:tc>
                <w:tcPr>
                  <w:tcW w:w="638" w:type="pct"/>
                  <w:shd w:val="clear" w:color="auto" w:fill="auto"/>
                </w:tcPr>
                <w:p w:rsidR="00D618B7" w:rsidRPr="009C7B5C" w:rsidRDefault="00D618B7" w:rsidP="00F46572">
                  <w:pPr>
                    <w:pStyle w:val="TableBodyText"/>
                  </w:pPr>
                </w:p>
              </w:tc>
              <w:tc>
                <w:tcPr>
                  <w:tcW w:w="532" w:type="pct"/>
                  <w:shd w:val="clear" w:color="auto" w:fill="auto"/>
                </w:tcPr>
                <w:p w:rsidR="00D618B7" w:rsidRPr="009C7B5C" w:rsidRDefault="00D618B7" w:rsidP="00F46572">
                  <w:pPr>
                    <w:pStyle w:val="TableBodyText"/>
                    <w:ind w:right="28"/>
                  </w:pPr>
                </w:p>
              </w:tc>
              <w:tc>
                <w:tcPr>
                  <w:tcW w:w="506" w:type="pct"/>
                </w:tcPr>
                <w:p w:rsidR="00D618B7" w:rsidRPr="009C7B5C" w:rsidRDefault="00D618B7" w:rsidP="00F46572">
                  <w:pPr>
                    <w:pStyle w:val="TableBodyText"/>
                    <w:ind w:right="28"/>
                  </w:pPr>
                </w:p>
              </w:tc>
              <w:tc>
                <w:tcPr>
                  <w:tcW w:w="504" w:type="pct"/>
                </w:tcPr>
                <w:p w:rsidR="00D618B7" w:rsidRPr="009C7B5C" w:rsidRDefault="00D618B7" w:rsidP="00F46572">
                  <w:pPr>
                    <w:pStyle w:val="TableBodyText"/>
                    <w:ind w:right="28"/>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 xml:space="preserve">Fund type </w:t>
                  </w:r>
                  <m:oMath>
                    <m:r>
                      <m:rPr>
                        <m:sty m:val="p"/>
                      </m:rPr>
                      <w:rPr>
                        <w:rFonts w:ascii="Cambria Math" w:hAnsi="Cambria Math"/>
                      </w:rPr>
                      <m:t>×</m:t>
                    </m:r>
                  </m:oMath>
                  <w:r w:rsidRPr="009C7B5C">
                    <w:t xml:space="preserve"> Other</w:t>
                  </w:r>
                </w:p>
              </w:tc>
              <w:tc>
                <w:tcPr>
                  <w:tcW w:w="370" w:type="pct"/>
                  <w:shd w:val="clear" w:color="auto" w:fill="F2F2F2" w:themeFill="background1" w:themeFillShade="F2"/>
                </w:tcPr>
                <w:p w:rsidR="00D618B7" w:rsidRPr="009C7B5C" w:rsidRDefault="00D618B7" w:rsidP="00F46572">
                  <w:pPr>
                    <w:pStyle w:val="TableBodyText"/>
                  </w:pPr>
                </w:p>
              </w:tc>
              <w:tc>
                <w:tcPr>
                  <w:tcW w:w="638" w:type="pct"/>
                  <w:shd w:val="clear" w:color="auto" w:fill="F2F2F2" w:themeFill="background1" w:themeFillShade="F2"/>
                </w:tcPr>
                <w:p w:rsidR="00D618B7" w:rsidRPr="009C7B5C" w:rsidRDefault="00D618B7" w:rsidP="00F46572">
                  <w:pPr>
                    <w:pStyle w:val="TableBodyText"/>
                  </w:pPr>
                  <w:r w:rsidRPr="009C7B5C">
                    <w:rPr>
                      <w:rFonts w:ascii="Wingdings" w:hAnsi="Wingdings"/>
                    </w:rPr>
                    <w:t></w:t>
                  </w:r>
                </w:p>
              </w:tc>
              <w:tc>
                <w:tcPr>
                  <w:tcW w:w="532" w:type="pct"/>
                  <w:shd w:val="clear" w:color="auto" w:fill="F2F2F2" w:themeFill="background1" w:themeFillShade="F2"/>
                </w:tcPr>
                <w:p w:rsidR="00D618B7" w:rsidRPr="009C7B5C" w:rsidRDefault="00D618B7" w:rsidP="00F46572">
                  <w:pPr>
                    <w:pStyle w:val="TableBodyText"/>
                    <w:ind w:right="28"/>
                  </w:pPr>
                </w:p>
              </w:tc>
              <w:tc>
                <w:tcPr>
                  <w:tcW w:w="506" w:type="pct"/>
                  <w:shd w:val="clear" w:color="auto" w:fill="F2F2F2" w:themeFill="background1" w:themeFillShade="F2"/>
                </w:tcPr>
                <w:p w:rsidR="00D618B7" w:rsidRPr="009C7B5C" w:rsidRDefault="00D618B7" w:rsidP="00F46572">
                  <w:pPr>
                    <w:pStyle w:val="TableBodyText"/>
                    <w:ind w:right="28"/>
                  </w:pPr>
                </w:p>
              </w:tc>
              <w:tc>
                <w:tcPr>
                  <w:tcW w:w="504" w:type="pct"/>
                  <w:shd w:val="clear" w:color="auto" w:fill="F2F2F2" w:themeFill="background1" w:themeFillShade="F2"/>
                </w:tcPr>
                <w:p w:rsidR="00D618B7" w:rsidRPr="009C7B5C" w:rsidRDefault="00D618B7" w:rsidP="00F46572">
                  <w:pPr>
                    <w:pStyle w:val="TableBodyText"/>
                    <w:ind w:right="28"/>
                  </w:pPr>
                </w:p>
              </w:tc>
            </w:tr>
            <w:tr w:rsidR="00D618B7" w:rsidRPr="009C7B5C" w:rsidTr="00240963">
              <w:tc>
                <w:tcPr>
                  <w:tcW w:w="2450" w:type="pct"/>
                  <w:shd w:val="clear" w:color="auto" w:fill="auto"/>
                </w:tcPr>
                <w:p w:rsidR="00D618B7" w:rsidRPr="009C7B5C" w:rsidRDefault="00D618B7" w:rsidP="00F46572">
                  <w:pPr>
                    <w:pStyle w:val="TableBodyText"/>
                    <w:jc w:val="left"/>
                  </w:pPr>
                  <w:r w:rsidRPr="009C7B5C">
                    <w:t>Annual net return</w:t>
                  </w:r>
                </w:p>
              </w:tc>
              <w:tc>
                <w:tcPr>
                  <w:tcW w:w="370" w:type="pct"/>
                </w:tcPr>
                <w:p w:rsidR="00D618B7" w:rsidRPr="009C7B5C" w:rsidRDefault="00D618B7" w:rsidP="00F46572">
                  <w:pPr>
                    <w:pStyle w:val="TableBodyText"/>
                  </w:pPr>
                </w:p>
              </w:tc>
              <w:tc>
                <w:tcPr>
                  <w:tcW w:w="638" w:type="pct"/>
                  <w:shd w:val="clear" w:color="auto" w:fill="auto"/>
                </w:tcPr>
                <w:p w:rsidR="00D618B7" w:rsidRPr="009C7B5C" w:rsidRDefault="00D618B7" w:rsidP="00F46572">
                  <w:pPr>
                    <w:pStyle w:val="TableBodyText"/>
                  </w:pPr>
                </w:p>
              </w:tc>
              <w:tc>
                <w:tcPr>
                  <w:tcW w:w="532" w:type="pct"/>
                  <w:shd w:val="clear" w:color="auto" w:fill="auto"/>
                </w:tcPr>
                <w:p w:rsidR="00D618B7" w:rsidRPr="009C7B5C" w:rsidRDefault="00D618B7" w:rsidP="00F46572">
                  <w:pPr>
                    <w:pStyle w:val="TableBodyText"/>
                    <w:ind w:right="28"/>
                  </w:pPr>
                  <w:r>
                    <w:rPr>
                      <w:rFonts w:ascii="Wingdings" w:hAnsi="Wingdings"/>
                    </w:rPr>
                    <w:t></w:t>
                  </w:r>
                </w:p>
              </w:tc>
              <w:tc>
                <w:tcPr>
                  <w:tcW w:w="506" w:type="pct"/>
                </w:tcPr>
                <w:p w:rsidR="00D618B7" w:rsidRPr="009C7B5C" w:rsidRDefault="00D618B7" w:rsidP="00F46572">
                  <w:pPr>
                    <w:pStyle w:val="TableBodyText"/>
                    <w:ind w:right="28"/>
                    <w:rPr>
                      <w:b/>
                    </w:rPr>
                  </w:pPr>
                  <w:r w:rsidRPr="009C7B5C">
                    <w:rPr>
                      <w:rFonts w:ascii="Wingdings" w:hAnsi="Wingdings"/>
                    </w:rPr>
                    <w:t></w:t>
                  </w:r>
                </w:p>
              </w:tc>
              <w:tc>
                <w:tcPr>
                  <w:tcW w:w="504" w:type="pct"/>
                </w:tcPr>
                <w:p w:rsidR="00D618B7" w:rsidRPr="009C7B5C" w:rsidRDefault="00D618B7" w:rsidP="00F46572">
                  <w:pPr>
                    <w:pStyle w:val="TableBodyText"/>
                    <w:ind w:right="28"/>
                    <w:rPr>
                      <w:rFonts w:ascii="Wingdings" w:hAnsi="Wingdings"/>
                    </w:rPr>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t xml:space="preserve">Sum of </w:t>
                  </w:r>
                  <w:r w:rsidRPr="009C7B5C">
                    <w:t>other fund’s assets in same period</w:t>
                  </w:r>
                </w:p>
              </w:tc>
              <w:tc>
                <w:tcPr>
                  <w:tcW w:w="370" w:type="pct"/>
                  <w:shd w:val="clear" w:color="auto" w:fill="F2F2F2" w:themeFill="background1" w:themeFillShade="F2"/>
                </w:tcPr>
                <w:p w:rsidR="00D618B7" w:rsidRPr="009C7B5C" w:rsidRDefault="00D618B7" w:rsidP="00F46572">
                  <w:pPr>
                    <w:pStyle w:val="TableBodyText"/>
                  </w:pPr>
                </w:p>
              </w:tc>
              <w:tc>
                <w:tcPr>
                  <w:tcW w:w="638" w:type="pct"/>
                  <w:shd w:val="clear" w:color="auto" w:fill="F2F2F2" w:themeFill="background1" w:themeFillShade="F2"/>
                </w:tcPr>
                <w:p w:rsidR="00D618B7" w:rsidRPr="009C7B5C" w:rsidRDefault="00D618B7" w:rsidP="00F46572">
                  <w:pPr>
                    <w:pStyle w:val="TableBodyText"/>
                  </w:pPr>
                </w:p>
              </w:tc>
              <w:tc>
                <w:tcPr>
                  <w:tcW w:w="532" w:type="pct"/>
                  <w:shd w:val="clear" w:color="auto" w:fill="F2F2F2" w:themeFill="background1" w:themeFillShade="F2"/>
                </w:tcPr>
                <w:p w:rsidR="00D618B7" w:rsidRPr="009C7B5C" w:rsidRDefault="00D618B7" w:rsidP="00F46572">
                  <w:pPr>
                    <w:pStyle w:val="TableBodyText"/>
                    <w:ind w:right="28"/>
                  </w:pPr>
                </w:p>
              </w:tc>
              <w:tc>
                <w:tcPr>
                  <w:tcW w:w="506" w:type="pct"/>
                  <w:shd w:val="clear" w:color="auto" w:fill="F2F2F2" w:themeFill="background1" w:themeFillShade="F2"/>
                </w:tcPr>
                <w:p w:rsidR="00D618B7" w:rsidRPr="009C7B5C" w:rsidRDefault="00D618B7" w:rsidP="00F46572">
                  <w:pPr>
                    <w:pStyle w:val="TableBodyText"/>
                    <w:ind w:right="28"/>
                  </w:pPr>
                  <w:r w:rsidRPr="009C7B5C">
                    <w:rPr>
                      <w:rFonts w:ascii="Wingdings" w:hAnsi="Wingdings"/>
                    </w:rPr>
                    <w:t></w:t>
                  </w:r>
                </w:p>
              </w:tc>
              <w:tc>
                <w:tcPr>
                  <w:tcW w:w="504" w:type="pct"/>
                  <w:shd w:val="clear" w:color="auto" w:fill="F2F2F2" w:themeFill="background1" w:themeFillShade="F2"/>
                </w:tcPr>
                <w:p w:rsidR="00D618B7" w:rsidRPr="009C7B5C" w:rsidRDefault="00D618B7" w:rsidP="00F46572">
                  <w:pPr>
                    <w:pStyle w:val="TableBodyText"/>
                    <w:ind w:right="28"/>
                    <w:rPr>
                      <w:rFonts w:ascii="Wingdings" w:hAnsi="Wingdings"/>
                    </w:rPr>
                  </w:pPr>
                </w:p>
              </w:tc>
            </w:tr>
            <w:tr w:rsidR="00D618B7" w:rsidRPr="009C7B5C" w:rsidTr="00240963">
              <w:tc>
                <w:tcPr>
                  <w:tcW w:w="2450" w:type="pct"/>
                  <w:shd w:val="clear" w:color="auto" w:fill="auto"/>
                </w:tcPr>
                <w:p w:rsidR="00D618B7" w:rsidRPr="009C7B5C" w:rsidRDefault="00D618B7" w:rsidP="00F46572">
                  <w:pPr>
                    <w:pStyle w:val="TableBodyText"/>
                    <w:jc w:val="left"/>
                  </w:pPr>
                  <w:r>
                    <w:t xml:space="preserve">Sum of </w:t>
                  </w:r>
                  <w:r w:rsidRPr="009C7B5C">
                    <w:t>other fund’s member accounts in same period</w:t>
                  </w:r>
                </w:p>
              </w:tc>
              <w:tc>
                <w:tcPr>
                  <w:tcW w:w="370" w:type="pct"/>
                </w:tcPr>
                <w:p w:rsidR="00D618B7" w:rsidRPr="009C7B5C" w:rsidRDefault="00D618B7" w:rsidP="00F46572">
                  <w:pPr>
                    <w:pStyle w:val="TableBodyText"/>
                  </w:pPr>
                </w:p>
              </w:tc>
              <w:tc>
                <w:tcPr>
                  <w:tcW w:w="638" w:type="pct"/>
                  <w:shd w:val="clear" w:color="auto" w:fill="auto"/>
                </w:tcPr>
                <w:p w:rsidR="00D618B7" w:rsidRPr="009C7B5C" w:rsidRDefault="00D618B7" w:rsidP="00F46572">
                  <w:pPr>
                    <w:pStyle w:val="TableBodyText"/>
                  </w:pPr>
                </w:p>
              </w:tc>
              <w:tc>
                <w:tcPr>
                  <w:tcW w:w="532" w:type="pct"/>
                  <w:shd w:val="clear" w:color="auto" w:fill="auto"/>
                </w:tcPr>
                <w:p w:rsidR="00D618B7" w:rsidRPr="009C7B5C" w:rsidRDefault="00D618B7" w:rsidP="00F46572">
                  <w:pPr>
                    <w:pStyle w:val="TableBodyText"/>
                    <w:ind w:right="28"/>
                  </w:pPr>
                </w:p>
              </w:tc>
              <w:tc>
                <w:tcPr>
                  <w:tcW w:w="506" w:type="pct"/>
                </w:tcPr>
                <w:p w:rsidR="00D618B7" w:rsidRPr="009C7B5C" w:rsidRDefault="00D618B7" w:rsidP="00F46572">
                  <w:pPr>
                    <w:pStyle w:val="TableBodyText"/>
                    <w:ind w:right="28"/>
                  </w:pPr>
                  <w:r w:rsidRPr="009C7B5C">
                    <w:rPr>
                      <w:rFonts w:ascii="Wingdings" w:hAnsi="Wingdings"/>
                    </w:rPr>
                    <w:t></w:t>
                  </w:r>
                </w:p>
              </w:tc>
              <w:tc>
                <w:tcPr>
                  <w:tcW w:w="504" w:type="pct"/>
                </w:tcPr>
                <w:p w:rsidR="00D618B7" w:rsidRPr="009C7B5C" w:rsidRDefault="00D618B7" w:rsidP="00F46572">
                  <w:pPr>
                    <w:pStyle w:val="TableBodyText"/>
                    <w:ind w:right="28"/>
                    <w:rPr>
                      <w:rFonts w:ascii="Wingdings" w:hAnsi="Wingdings"/>
                    </w:rPr>
                  </w:pPr>
                </w:p>
              </w:tc>
            </w:tr>
            <w:tr w:rsidR="00D618B7" w:rsidRPr="009C7B5C" w:rsidTr="00240963">
              <w:tc>
                <w:tcPr>
                  <w:tcW w:w="2450" w:type="pct"/>
                  <w:shd w:val="clear" w:color="auto" w:fill="F2F2F2" w:themeFill="background1" w:themeFillShade="F2"/>
                </w:tcPr>
                <w:p w:rsidR="00D618B7" w:rsidRPr="009C7B5C" w:rsidRDefault="00D618B7" w:rsidP="00F46572">
                  <w:pPr>
                    <w:pStyle w:val="TableBodyText"/>
                    <w:jc w:val="left"/>
                  </w:pPr>
                  <w:r w:rsidRPr="009C7B5C">
                    <w:t>Sum o</w:t>
                  </w:r>
                  <w:r>
                    <w:t xml:space="preserve">f </w:t>
                  </w:r>
                  <w:r w:rsidRPr="009C7B5C">
                    <w:t>other fund’s annual net returns in same period</w:t>
                  </w:r>
                </w:p>
              </w:tc>
              <w:tc>
                <w:tcPr>
                  <w:tcW w:w="370" w:type="pct"/>
                  <w:shd w:val="clear" w:color="auto" w:fill="F2F2F2" w:themeFill="background1" w:themeFillShade="F2"/>
                </w:tcPr>
                <w:p w:rsidR="00D618B7" w:rsidRPr="009C7B5C" w:rsidRDefault="00D618B7" w:rsidP="00F46572">
                  <w:pPr>
                    <w:pStyle w:val="TableBodyText"/>
                  </w:pPr>
                </w:p>
              </w:tc>
              <w:tc>
                <w:tcPr>
                  <w:tcW w:w="638" w:type="pct"/>
                  <w:shd w:val="clear" w:color="auto" w:fill="F2F2F2" w:themeFill="background1" w:themeFillShade="F2"/>
                </w:tcPr>
                <w:p w:rsidR="00D618B7" w:rsidRPr="009C7B5C" w:rsidRDefault="00D618B7" w:rsidP="00F46572">
                  <w:pPr>
                    <w:pStyle w:val="TableBodyText"/>
                  </w:pPr>
                </w:p>
              </w:tc>
              <w:tc>
                <w:tcPr>
                  <w:tcW w:w="532" w:type="pct"/>
                  <w:shd w:val="clear" w:color="auto" w:fill="F2F2F2" w:themeFill="background1" w:themeFillShade="F2"/>
                </w:tcPr>
                <w:p w:rsidR="00D618B7" w:rsidRPr="009C7B5C" w:rsidRDefault="00D618B7" w:rsidP="00F46572">
                  <w:pPr>
                    <w:pStyle w:val="TableBodyText"/>
                    <w:ind w:right="28"/>
                  </w:pPr>
                </w:p>
              </w:tc>
              <w:tc>
                <w:tcPr>
                  <w:tcW w:w="506" w:type="pct"/>
                  <w:shd w:val="clear" w:color="auto" w:fill="F2F2F2" w:themeFill="background1" w:themeFillShade="F2"/>
                </w:tcPr>
                <w:p w:rsidR="00D618B7" w:rsidRPr="009C7B5C" w:rsidRDefault="00D618B7" w:rsidP="00F46572">
                  <w:pPr>
                    <w:pStyle w:val="TableBodyText"/>
                    <w:ind w:right="28"/>
                    <w:rPr>
                      <w:b/>
                    </w:rPr>
                  </w:pPr>
                  <w:r w:rsidRPr="009C7B5C">
                    <w:rPr>
                      <w:rFonts w:ascii="Wingdings" w:hAnsi="Wingdings"/>
                    </w:rPr>
                    <w:t></w:t>
                  </w:r>
                </w:p>
              </w:tc>
              <w:tc>
                <w:tcPr>
                  <w:tcW w:w="504" w:type="pct"/>
                  <w:shd w:val="clear" w:color="auto" w:fill="F2F2F2" w:themeFill="background1" w:themeFillShade="F2"/>
                </w:tcPr>
                <w:p w:rsidR="00D618B7" w:rsidRPr="009C7B5C" w:rsidRDefault="00D618B7" w:rsidP="00F46572">
                  <w:pPr>
                    <w:pStyle w:val="TableBodyText"/>
                    <w:ind w:right="28"/>
                    <w:rPr>
                      <w:rFonts w:ascii="Wingdings" w:hAnsi="Wingdings"/>
                    </w:rPr>
                  </w:pPr>
                </w:p>
              </w:tc>
            </w:tr>
            <w:tr w:rsidR="00D618B7" w:rsidRPr="009C7B5C" w:rsidTr="00240963">
              <w:tc>
                <w:tcPr>
                  <w:tcW w:w="2450" w:type="pct"/>
                  <w:tcBorders>
                    <w:bottom w:val="single" w:sz="6" w:space="0" w:color="BFBFBF"/>
                  </w:tcBorders>
                  <w:shd w:val="clear" w:color="auto" w:fill="auto"/>
                </w:tcPr>
                <w:p w:rsidR="00D618B7" w:rsidRPr="009C7B5C" w:rsidRDefault="00D618B7" w:rsidP="00F46572">
                  <w:pPr>
                    <w:pStyle w:val="TableBodyText"/>
                    <w:jc w:val="left"/>
                  </w:pPr>
                  <w:r>
                    <w:t xml:space="preserve">Fund type </w:t>
                  </w:r>
                  <m:oMath>
                    <m:r>
                      <m:rPr>
                        <m:sty m:val="p"/>
                      </m:rPr>
                      <w:rPr>
                        <w:rFonts w:ascii="Cambria Math" w:hAnsi="Cambria Math"/>
                      </w:rPr>
                      <m:t>×</m:t>
                    </m:r>
                  </m:oMath>
                  <w:r w:rsidRPr="009C7B5C">
                    <w:t xml:space="preserve"> </w:t>
                  </w:r>
                  <w:r>
                    <w:t>Change in expenses due to size</w:t>
                  </w:r>
                </w:p>
              </w:tc>
              <w:tc>
                <w:tcPr>
                  <w:tcW w:w="370" w:type="pct"/>
                  <w:tcBorders>
                    <w:bottom w:val="single" w:sz="6" w:space="0" w:color="BFBFBF"/>
                  </w:tcBorders>
                </w:tcPr>
                <w:p w:rsidR="00D618B7" w:rsidRPr="009C7B5C" w:rsidRDefault="00D618B7" w:rsidP="00F46572">
                  <w:pPr>
                    <w:pStyle w:val="TableBodyText"/>
                  </w:pPr>
                </w:p>
              </w:tc>
              <w:tc>
                <w:tcPr>
                  <w:tcW w:w="638" w:type="pct"/>
                  <w:tcBorders>
                    <w:bottom w:val="single" w:sz="6" w:space="0" w:color="BFBFBF"/>
                  </w:tcBorders>
                  <w:shd w:val="clear" w:color="auto" w:fill="auto"/>
                </w:tcPr>
                <w:p w:rsidR="00D618B7" w:rsidRPr="009C7B5C" w:rsidRDefault="00D618B7" w:rsidP="00F46572">
                  <w:pPr>
                    <w:pStyle w:val="TableBodyText"/>
                  </w:pPr>
                </w:p>
              </w:tc>
              <w:tc>
                <w:tcPr>
                  <w:tcW w:w="532" w:type="pct"/>
                  <w:tcBorders>
                    <w:bottom w:val="single" w:sz="6" w:space="0" w:color="BFBFBF"/>
                  </w:tcBorders>
                  <w:shd w:val="clear" w:color="auto" w:fill="auto"/>
                </w:tcPr>
                <w:p w:rsidR="00D618B7" w:rsidRPr="009C7B5C" w:rsidRDefault="00D618B7" w:rsidP="00F46572">
                  <w:pPr>
                    <w:pStyle w:val="TableBodyText"/>
                    <w:ind w:right="28"/>
                  </w:pPr>
                </w:p>
              </w:tc>
              <w:tc>
                <w:tcPr>
                  <w:tcW w:w="506" w:type="pct"/>
                  <w:tcBorders>
                    <w:bottom w:val="single" w:sz="6" w:space="0" w:color="BFBFBF"/>
                  </w:tcBorders>
                </w:tcPr>
                <w:p w:rsidR="00D618B7" w:rsidRPr="009C7B5C" w:rsidRDefault="00D618B7" w:rsidP="00F46572">
                  <w:pPr>
                    <w:pStyle w:val="TableBodyText"/>
                    <w:ind w:right="28"/>
                    <w:rPr>
                      <w:rFonts w:ascii="Wingdings" w:hAnsi="Wingdings"/>
                    </w:rPr>
                  </w:pPr>
                </w:p>
              </w:tc>
              <w:tc>
                <w:tcPr>
                  <w:tcW w:w="504" w:type="pct"/>
                  <w:tcBorders>
                    <w:bottom w:val="single" w:sz="6" w:space="0" w:color="BFBFBF"/>
                  </w:tcBorders>
                </w:tcPr>
                <w:p w:rsidR="00D618B7" w:rsidRPr="009C7B5C" w:rsidRDefault="00D618B7" w:rsidP="00F46572">
                  <w:pPr>
                    <w:pStyle w:val="TableBodyText"/>
                    <w:ind w:right="28"/>
                    <w:rPr>
                      <w:rFonts w:ascii="Wingdings" w:hAnsi="Wingdings"/>
                    </w:rPr>
                  </w:pPr>
                  <w:r w:rsidRPr="009C7B5C">
                    <w:rPr>
                      <w:rFonts w:ascii="Wingdings" w:hAnsi="Wingdings"/>
                    </w:rPr>
                    <w:t></w:t>
                  </w:r>
                </w:p>
              </w:tc>
            </w:tr>
          </w:tbl>
          <w:p w:rsidR="00D618B7" w:rsidRPr="009C7B5C" w:rsidRDefault="00D618B7" w:rsidP="00F46572">
            <w:pPr>
              <w:pStyle w:val="Box"/>
            </w:pPr>
          </w:p>
        </w:tc>
      </w:tr>
      <w:tr w:rsidR="00D618B7" w:rsidTr="00F46572">
        <w:tc>
          <w:tcPr>
            <w:tcW w:w="5000" w:type="pct"/>
            <w:tcBorders>
              <w:top w:val="nil"/>
              <w:left w:val="nil"/>
              <w:bottom w:val="single" w:sz="6" w:space="0" w:color="78A22F"/>
              <w:right w:val="nil"/>
            </w:tcBorders>
            <w:shd w:val="clear" w:color="auto" w:fill="auto"/>
          </w:tcPr>
          <w:p w:rsidR="00D618B7" w:rsidRDefault="00D618B7" w:rsidP="00F46572">
            <w:pPr>
              <w:pStyle w:val="Box"/>
              <w:spacing w:before="0" w:line="120" w:lineRule="exact"/>
            </w:pPr>
          </w:p>
        </w:tc>
      </w:tr>
      <w:tr w:rsidR="00D618B7" w:rsidRPr="000863A5" w:rsidTr="00F46572">
        <w:tc>
          <w:tcPr>
            <w:tcW w:w="5000" w:type="pct"/>
            <w:tcBorders>
              <w:top w:val="single" w:sz="6" w:space="0" w:color="78A22F"/>
              <w:left w:val="nil"/>
              <w:bottom w:val="nil"/>
              <w:right w:val="nil"/>
            </w:tcBorders>
          </w:tcPr>
          <w:p w:rsidR="00D618B7" w:rsidRPr="00626D32" w:rsidRDefault="00D618B7" w:rsidP="00F46572">
            <w:pPr>
              <w:pStyle w:val="BoxSpaceBelow"/>
            </w:pPr>
          </w:p>
        </w:tc>
      </w:tr>
    </w:tbl>
    <w:p w:rsidR="003B11F0" w:rsidRDefault="003B11F0" w:rsidP="003B11F0">
      <w:pPr>
        <w:pStyle w:val="BodyText"/>
        <w:rPr>
          <w:rFonts w:ascii="Arial" w:hAnsi="Arial"/>
        </w:rPr>
      </w:pPr>
      <w:r>
        <w:br w:type="page"/>
      </w:r>
    </w:p>
    <w:p w:rsidR="00DC203B" w:rsidRDefault="00DC203B" w:rsidP="00DC203B">
      <w:pPr>
        <w:pStyle w:val="Heading4"/>
      </w:pPr>
      <w:r>
        <w:lastRenderedPageBreak/>
        <w:t>Likelihood</w:t>
      </w:r>
    </w:p>
    <w:p w:rsidR="00DC203B" w:rsidRPr="00805BBF" w:rsidRDefault="00DC203B" w:rsidP="00DC203B">
      <w:pPr>
        <w:pStyle w:val="BodyText"/>
      </w:pPr>
      <w:r>
        <w:t xml:space="preserve">The likelihood </w:t>
      </w:r>
      <w:r w:rsidR="00604401">
        <w:t>function (the probability distribution for outcome variables as a function of model parameters</w:t>
      </w:r>
      <w:r w:rsidR="006E66C8">
        <w:t xml:space="preserve"> and conditional on </w:t>
      </w:r>
      <w:r w:rsidR="00BC41EB">
        <w:t xml:space="preserve">the </w:t>
      </w:r>
      <w:r w:rsidR="006E66C8">
        <w:t>data</w:t>
      </w:r>
      <w:r w:rsidR="00604401">
        <w:t xml:space="preserve">) </w:t>
      </w:r>
      <w:r>
        <w:t>for the joint estimation of admin</w:t>
      </w:r>
      <w:r w:rsidR="00BC41EB">
        <w:t>istration</w:t>
      </w:r>
      <w:r>
        <w:t xml:space="preserve"> and investment expenses is modelled as a multivariate normal distribution:</w:t>
      </w:r>
    </w:p>
    <w:p w:rsidR="00DC203B" w:rsidRPr="008401C5" w:rsidRDefault="001F492C" w:rsidP="00DC203B">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Admin</m:t>
                    </m:r>
                  </m:e>
                </m:mr>
                <m:mr>
                  <m:e>
                    <m:r>
                      <w:rPr>
                        <w:rFonts w:ascii="Cambria Math" w:hAnsi="Cambria Math"/>
                      </w:rPr>
                      <m:t>Investment</m:t>
                    </m:r>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μ</m:t>
                            </m:r>
                          </m:e>
                          <m:sup>
                            <m:r>
                              <w:rPr>
                                <w:rFonts w:ascii="Cambria Math" w:hAnsi="Cambria Math"/>
                              </w:rPr>
                              <m:t>Admin</m:t>
                            </m:r>
                          </m:sup>
                        </m:sSup>
                      </m:e>
                    </m:mr>
                    <m:mr>
                      <m:e>
                        <m:sSup>
                          <m:sSupPr>
                            <m:ctrlPr>
                              <w:rPr>
                                <w:rFonts w:ascii="Cambria Math" w:hAnsi="Cambria Math"/>
                                <w:i/>
                              </w:rPr>
                            </m:ctrlPr>
                          </m:sSupPr>
                          <m:e>
                            <m:r>
                              <w:rPr>
                                <w:rFonts w:ascii="Cambria Math" w:hAnsi="Cambria Math"/>
                              </w:rPr>
                              <m:t>μ</m:t>
                            </m:r>
                          </m:e>
                          <m:sup>
                            <m:r>
                              <w:rPr>
                                <w:rFonts w:ascii="Cambria Math" w:hAnsi="Cambria Math"/>
                              </w:rPr>
                              <m:t>Invest</m:t>
                            </m:r>
                          </m:sup>
                        </m:sSup>
                      </m:e>
                    </m:mr>
                  </m:m>
                </m:e>
              </m:d>
              <m:r>
                <w:rPr>
                  <w:rFonts w:ascii="Cambria Math" w:hAnsi="Cambria Math"/>
                </w:rPr>
                <m:t xml:space="preserve">, </m:t>
              </m:r>
              <m:r>
                <w:rPr>
                  <w:rFonts w:ascii="Cambria Math" w:hAnsi="Cambria Math" w:hint="eastAsia"/>
                </w:rPr>
                <m:t>Σ</m:t>
              </m:r>
            </m:e>
          </m:d>
        </m:oMath>
      </m:oMathPara>
    </w:p>
    <w:p w:rsidR="00DC203B" w:rsidRDefault="00DC203B" w:rsidP="00DC203B">
      <w:pPr>
        <w:pStyle w:val="BodyText"/>
      </w:pPr>
      <w:r>
        <w:t>With the following priors assumptions for the covariance matrix:</w:t>
      </w:r>
    </w:p>
    <w:p w:rsidR="00DC203B" w:rsidRPr="008401C5" w:rsidRDefault="00DC203B" w:rsidP="00DC203B">
      <w:pPr>
        <w:pStyle w:val="BodyText"/>
      </w:pPr>
      <m:oMathPara>
        <m:oMath>
          <m:r>
            <m:rPr>
              <m:sty m:val="p"/>
            </m:rPr>
            <w:rPr>
              <w:rFonts w:ascii="Cambria Math" w:hAnsi="Cambria Math"/>
            </w:rPr>
            <m:t>Σ</m:t>
          </m:r>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σ</m:t>
                        </m:r>
                      </m:e>
                      <m:sup>
                        <m:r>
                          <w:rPr>
                            <w:rFonts w:ascii="Cambria Math" w:hAnsi="Cambria Math"/>
                          </w:rPr>
                          <m:t>A</m:t>
                        </m:r>
                      </m:sup>
                    </m:sSup>
                  </m:e>
                  <m:e>
                    <m:r>
                      <w:rPr>
                        <w:rFonts w:ascii="Cambria Math" w:hAnsi="Cambria Math"/>
                      </w:rPr>
                      <m:t>0</m:t>
                    </m:r>
                  </m:e>
                </m:mr>
                <m:mr>
                  <m:e>
                    <m:r>
                      <w:rPr>
                        <w:rFonts w:ascii="Cambria Math" w:hAnsi="Cambria Math"/>
                      </w:rPr>
                      <m:t>0</m:t>
                    </m:r>
                  </m:e>
                  <m:e>
                    <m:sSup>
                      <m:sSupPr>
                        <m:ctrlPr>
                          <w:rPr>
                            <w:rFonts w:ascii="Cambria Math" w:hAnsi="Cambria Math"/>
                            <w:i/>
                          </w:rPr>
                        </m:ctrlPr>
                      </m:sSupPr>
                      <m:e>
                        <m:r>
                          <w:rPr>
                            <w:rFonts w:ascii="Cambria Math" w:hAnsi="Cambria Math"/>
                          </w:rPr>
                          <m:t>σ</m:t>
                        </m:r>
                      </m:e>
                      <m:sup>
                        <m:r>
                          <w:rPr>
                            <w:rFonts w:ascii="Cambria Math" w:hAnsi="Cambria Math"/>
                          </w:rPr>
                          <m:t>I</m:t>
                        </m:r>
                      </m:sup>
                    </m:sSup>
                  </m:e>
                </m:mr>
              </m:m>
            </m:e>
          </m:d>
          <m:r>
            <w:rPr>
              <w:rFonts w:ascii="Cambria Math" w:hAnsi="Cambria Math"/>
            </w:rPr>
            <m:t>L</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σ</m:t>
                        </m:r>
                      </m:e>
                      <m:sup>
                        <m:r>
                          <w:rPr>
                            <w:rFonts w:ascii="Cambria Math" w:hAnsi="Cambria Math"/>
                          </w:rPr>
                          <m:t>A</m:t>
                        </m:r>
                      </m:sup>
                    </m:sSup>
                  </m:e>
                  <m:e>
                    <m:r>
                      <w:rPr>
                        <w:rFonts w:ascii="Cambria Math" w:hAnsi="Cambria Math"/>
                      </w:rPr>
                      <m:t>0</m:t>
                    </m:r>
                  </m:e>
                </m:mr>
                <m:mr>
                  <m:e>
                    <m:r>
                      <w:rPr>
                        <w:rFonts w:ascii="Cambria Math" w:hAnsi="Cambria Math"/>
                      </w:rPr>
                      <m:t>0</m:t>
                    </m:r>
                  </m:e>
                  <m:e>
                    <m:sSup>
                      <m:sSupPr>
                        <m:ctrlPr>
                          <w:rPr>
                            <w:rFonts w:ascii="Cambria Math" w:hAnsi="Cambria Math"/>
                            <w:i/>
                          </w:rPr>
                        </m:ctrlPr>
                      </m:sSupPr>
                      <m:e>
                        <m:r>
                          <w:rPr>
                            <w:rFonts w:ascii="Cambria Math" w:hAnsi="Cambria Math"/>
                          </w:rPr>
                          <m:t>σ</m:t>
                        </m:r>
                      </m:e>
                      <m:sup>
                        <m:r>
                          <w:rPr>
                            <w:rFonts w:ascii="Cambria Math" w:hAnsi="Cambria Math"/>
                          </w:rPr>
                          <m:t>I</m:t>
                        </m:r>
                      </m:sup>
                    </m:sSup>
                  </m:e>
                </m:mr>
              </m:m>
            </m:e>
          </m:d>
        </m:oMath>
      </m:oMathPara>
    </w:p>
    <w:p w:rsidR="00DC203B" w:rsidRPr="00E631D2" w:rsidRDefault="00DC203B" w:rsidP="00DC203B">
      <w:pPr>
        <w:pStyle w:val="BodyText"/>
      </w:pPr>
      <m:oMathPara>
        <m:oMath>
          <m:r>
            <w:rPr>
              <w:rFonts w:ascii="Cambria Math" w:hAnsi="Cambria Math"/>
            </w:rPr>
            <m:t>L ~ LKJ(50)</m:t>
          </m:r>
        </m:oMath>
      </m:oMathPara>
    </w:p>
    <w:p w:rsidR="00DC203B" w:rsidRPr="00114150" w:rsidRDefault="001F492C" w:rsidP="00DC203B">
      <w:pPr>
        <w:pStyle w:val="BodyText"/>
      </w:pPr>
      <m:oMathPara>
        <m:oMath>
          <m:sSup>
            <m:sSupPr>
              <m:ctrlPr>
                <w:rPr>
                  <w:rFonts w:ascii="Cambria Math" w:hAnsi="Cambria Math"/>
                  <w:i/>
                </w:rPr>
              </m:ctrlPr>
            </m:sSupPr>
            <m:e>
              <m:r>
                <w:rPr>
                  <w:rFonts w:ascii="Cambria Math" w:hAnsi="Cambria Math"/>
                </w:rPr>
                <m:t>σ</m:t>
              </m:r>
            </m:e>
            <m:sup>
              <m:r>
                <w:rPr>
                  <w:rFonts w:ascii="Cambria Math" w:hAnsi="Cambria Math"/>
                </w:rPr>
                <m:t>A</m:t>
              </m:r>
            </m:sup>
          </m:sSup>
          <m:r>
            <w:rPr>
              <w:rFonts w:ascii="Cambria Math" w:hAnsi="Cambria Math"/>
            </w:rPr>
            <m:t xml:space="preserve">, </m:t>
          </m:r>
          <m:sSup>
            <m:sSupPr>
              <m:ctrlPr>
                <w:rPr>
                  <w:rFonts w:ascii="Cambria Math" w:hAnsi="Cambria Math"/>
                  <w:i/>
                </w:rPr>
              </m:ctrlPr>
            </m:sSupPr>
            <m:e>
              <m:r>
                <w:rPr>
                  <w:rFonts w:ascii="Cambria Math" w:hAnsi="Cambria Math"/>
                </w:rPr>
                <m:t>σ</m:t>
              </m:r>
            </m:e>
            <m:sup>
              <m:r>
                <w:rPr>
                  <w:rFonts w:ascii="Cambria Math" w:hAnsi="Cambria Math"/>
                </w:rPr>
                <m:t>I</m:t>
              </m:r>
            </m:sup>
          </m:sSup>
          <m:r>
            <w:rPr>
              <w:rFonts w:ascii="Cambria Math" w:hAnsi="Cambria Math"/>
            </w:rPr>
            <m:t xml:space="preserve"> ~ IG(2, 1)</m:t>
          </m:r>
        </m:oMath>
      </m:oMathPara>
    </w:p>
    <w:p w:rsidR="00DC203B" w:rsidRDefault="00DC203B" w:rsidP="00DC203B">
      <w:pPr>
        <w:pStyle w:val="BodyText"/>
      </w:pPr>
      <w:r>
        <w:t xml:space="preserve">The priors and their corresponding hyperparameters for </w:t>
      </w:r>
      <m:oMath>
        <m:sSup>
          <m:sSupPr>
            <m:ctrlPr>
              <w:rPr>
                <w:rFonts w:ascii="Cambria Math" w:hAnsi="Cambria Math"/>
                <w:i/>
              </w:rPr>
            </m:ctrlPr>
          </m:sSupPr>
          <m:e>
            <m:r>
              <w:rPr>
                <w:rFonts w:ascii="Cambria Math" w:hAnsi="Cambria Math"/>
              </w:rPr>
              <m:t>μ</m:t>
            </m:r>
          </m:e>
          <m:sup>
            <m:r>
              <w:rPr>
                <w:rFonts w:ascii="Cambria Math" w:hAnsi="Cambria Math"/>
              </w:rPr>
              <m:t>Admin</m:t>
            </m:r>
          </m:sup>
        </m:sSup>
      </m:oMath>
      <w:r>
        <w:t xml:space="preserve"> and </w:t>
      </w:r>
      <m:oMath>
        <m:sSup>
          <m:sSupPr>
            <m:ctrlPr>
              <w:rPr>
                <w:rFonts w:ascii="Cambria Math" w:hAnsi="Cambria Math"/>
                <w:i/>
              </w:rPr>
            </m:ctrlPr>
          </m:sSupPr>
          <m:e>
            <m:r>
              <w:rPr>
                <w:rFonts w:ascii="Cambria Math" w:hAnsi="Cambria Math"/>
              </w:rPr>
              <m:t>μ</m:t>
            </m:r>
          </m:e>
          <m:sup>
            <m:r>
              <w:rPr>
                <w:rFonts w:ascii="Cambria Math" w:hAnsi="Cambria Math"/>
              </w:rPr>
              <m:t>Invest</m:t>
            </m:r>
          </m:sup>
        </m:sSup>
      </m:oMath>
      <w:r>
        <w:t xml:space="preserve"> are detailed in the sections below.</w:t>
      </w:r>
    </w:p>
    <w:p w:rsidR="00DC203B" w:rsidRPr="006C70D4" w:rsidRDefault="00DC203B" w:rsidP="00DC203B">
      <w:pPr>
        <w:pStyle w:val="Heading4"/>
      </w:pPr>
      <w:r>
        <w:t>Admin</w:t>
      </w:r>
      <w:r w:rsidR="005D4BC3">
        <w:t>istration</w:t>
      </w:r>
      <w:r>
        <w:t xml:space="preserve"> expenses</w:t>
      </w:r>
    </w:p>
    <w:p w:rsidR="00DC203B" w:rsidRDefault="00370243" w:rsidP="00DC203B">
      <w:pPr>
        <w:pStyle w:val="BodyText"/>
      </w:pPr>
      <w:r>
        <w:t>M</w:t>
      </w:r>
      <w:r w:rsidR="00DC203B">
        <w:t>ean administration expense</w:t>
      </w:r>
      <w:r>
        <w:t>s</w:t>
      </w:r>
      <w:r w:rsidR="00DC203B">
        <w:t xml:space="preserve"> are modelled as being dependent on a fund</w:t>
      </w:r>
      <w:r w:rsidR="00F640C8">
        <w:noBreakHyphen/>
      </w:r>
      <w:r w:rsidR="00DC203B">
        <w:t>specific intercept, fund</w:t>
      </w:r>
      <w:r w:rsidR="00F640C8">
        <w:noBreakHyphen/>
      </w:r>
      <w:r w:rsidR="00DC203B">
        <w:t>specific slope effects, non</w:t>
      </w:r>
      <w:r w:rsidR="00F640C8">
        <w:noBreakHyphen/>
      </w:r>
      <w:r w:rsidR="00DC203B">
        <w:t>fund specific slope effects and a survival prediction variable:</w:t>
      </w:r>
    </w:p>
    <w:p w:rsidR="00DC203B" w:rsidRPr="00977F44" w:rsidRDefault="001F492C" w:rsidP="00DC203B">
      <w:pPr>
        <w:pStyle w:val="BodyText"/>
      </w:pPr>
      <m:oMathPara>
        <m:oMath>
          <m:sSup>
            <m:sSupPr>
              <m:ctrlPr>
                <w:rPr>
                  <w:rFonts w:ascii="Cambria Math" w:hAnsi="Cambria Math"/>
                  <w:i/>
                </w:rPr>
              </m:ctrlPr>
            </m:sSupPr>
            <m:e>
              <m:r>
                <w:rPr>
                  <w:rFonts w:ascii="Cambria Math" w:hAnsi="Cambria Math"/>
                </w:rPr>
                <m:t>μ</m:t>
              </m:r>
            </m:e>
            <m:sup>
              <m:r>
                <w:rPr>
                  <w:rFonts w:ascii="Cambria Math" w:hAnsi="Cambria Math"/>
                </w:rPr>
                <m:t>Admin</m:t>
              </m:r>
            </m:sup>
          </m:sSup>
          <m:r>
            <w:rPr>
              <w:rFonts w:ascii="Cambria Math" w:hAnsi="Cambria Math"/>
            </w:rPr>
            <m:t>=</m:t>
          </m:r>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A</m:t>
              </m:r>
            </m:sup>
          </m:sSup>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 xml:space="preserve">+ </m:t>
          </m:r>
          <m:sSup>
            <m:sSupPr>
              <m:ctrlPr>
                <w:rPr>
                  <w:rFonts w:ascii="Cambria Math" w:hAnsi="Cambria Math"/>
                  <w:i/>
                </w:rPr>
              </m:ctrlPr>
            </m:sSupPr>
            <m:e>
              <m:r>
                <w:rPr>
                  <w:rFonts w:ascii="Cambria Math" w:hAnsi="Cambria Math"/>
                </w:rPr>
                <m:t>Z</m:t>
              </m:r>
            </m:e>
            <m:sup>
              <m:r>
                <w:rPr>
                  <w:rFonts w:ascii="Cambria Math" w:hAnsi="Cambria Math"/>
                </w:rPr>
                <m:t>A</m:t>
              </m:r>
            </m:sup>
          </m:sSup>
          <m:sSup>
            <m:sSupPr>
              <m:ctrlPr>
                <w:rPr>
                  <w:rFonts w:ascii="Cambria Math" w:hAnsi="Cambria Math"/>
                  <w:i/>
                </w:rPr>
              </m:ctrlPr>
            </m:sSupPr>
            <m:e>
              <m:r>
                <w:rPr>
                  <w:rFonts w:ascii="Cambria Math" w:hAnsi="Cambria Math"/>
                </w:rPr>
                <m:t>γ</m:t>
              </m:r>
            </m:e>
            <m:sup>
              <m:r>
                <w:rPr>
                  <w:rFonts w:ascii="Cambria Math" w:hAnsi="Cambria Math"/>
                </w:rPr>
                <m:t>A</m:t>
              </m:r>
            </m:sup>
          </m:sSup>
          <m:r>
            <w:rPr>
              <w:rFonts w:ascii="Cambria Math" w:hAnsi="Cambria Math"/>
            </w:rPr>
            <m:t xml:space="preserve">+ </m:t>
          </m:r>
          <m:sSup>
            <m:sSupPr>
              <m:ctrlPr>
                <w:rPr>
                  <w:rFonts w:ascii="Cambria Math" w:hAnsi="Cambria Math"/>
                  <w:i/>
                </w:rPr>
              </m:ctrlPr>
            </m:sSupPr>
            <m:e>
              <m:r>
                <w:rPr>
                  <w:rFonts w:ascii="Cambria Math" w:hAnsi="Cambria Math"/>
                </w:rPr>
                <m:t>δ</m:t>
              </m:r>
            </m:e>
            <m:sup>
              <m:r>
                <w:rPr>
                  <w:rFonts w:ascii="Cambria Math" w:hAnsi="Cambria Math"/>
                </w:rPr>
                <m:t>A</m:t>
              </m:r>
            </m:sup>
          </m:sSup>
          <m:d>
            <m:dPr>
              <m:ctrlPr>
                <w:rPr>
                  <w:rFonts w:ascii="Cambria Math" w:hAnsi="Cambria Math"/>
                  <w:i/>
                </w:rPr>
              </m:ctrlPr>
            </m:dPr>
            <m:e>
              <m:acc>
                <m:accPr>
                  <m:ctrlPr>
                    <w:rPr>
                      <w:rFonts w:ascii="Cambria Math" w:hAnsi="Cambria Math"/>
                      <w:i/>
                    </w:rPr>
                  </m:ctrlPr>
                </m:accPr>
                <m:e>
                  <m:r>
                    <w:rPr>
                      <w:rFonts w:ascii="Cambria Math" w:hAnsi="Cambria Math"/>
                    </w:rPr>
                    <m:t>p</m:t>
                  </m:r>
                </m:e>
              </m:acc>
            </m:e>
          </m:d>
          <m:sSubSup>
            <m:sSubSupPr>
              <m:ctrlPr>
                <w:rPr>
                  <w:rFonts w:ascii="Cambria Math" w:hAnsi="Cambria Math"/>
                  <w:i/>
                </w:rPr>
              </m:ctrlPr>
            </m:sSubSupPr>
            <m:e>
              <m:r>
                <w:rPr>
                  <w:rFonts w:ascii="Cambria Math" w:hAnsi="Cambria Math"/>
                </w:rPr>
                <m:t>γ</m:t>
              </m:r>
            </m:e>
            <m:sub>
              <m:r>
                <w:rPr>
                  <w:rFonts w:ascii="Cambria Math" w:hAnsi="Cambria Math"/>
                </w:rPr>
                <m:t>CF</m:t>
              </m:r>
            </m:sub>
            <m:sup>
              <m:r>
                <w:rPr>
                  <w:rFonts w:ascii="Cambria Math" w:hAnsi="Cambria Math"/>
                </w:rPr>
                <m:t>A</m:t>
              </m:r>
            </m:sup>
          </m:sSubSup>
        </m:oMath>
      </m:oMathPara>
    </w:p>
    <w:p w:rsidR="00DC203B" w:rsidRPr="00DF6440" w:rsidRDefault="00DC203B" w:rsidP="00DC203B">
      <w:pPr>
        <w:pStyle w:val="BodyText"/>
      </w:pPr>
      <w:r>
        <w:t>The fund</w:t>
      </w:r>
      <w:r w:rsidR="00F640C8">
        <w:noBreakHyphen/>
      </w:r>
      <w:r>
        <w:t>specific coefficients are modelled as a multivariate normal distribution:</w:t>
      </w:r>
    </w:p>
    <w:p w:rsidR="00DC203B" w:rsidRPr="00B67AF7" w:rsidRDefault="001F492C" w:rsidP="00DC203B">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A</m:t>
                            </m:r>
                          </m:sup>
                        </m:sSup>
                      </m:e>
                    </m:mr>
                    <m:mr>
                      <m:e>
                        <m:sSup>
                          <m:sSupPr>
                            <m:ctrlPr>
                              <w:rPr>
                                <w:rFonts w:ascii="Cambria Math" w:hAnsi="Cambria Math"/>
                                <w:i/>
                              </w:rPr>
                            </m:ctrlPr>
                          </m:sSupPr>
                          <m:e>
                            <m:r>
                              <w:rPr>
                                <w:rFonts w:ascii="Cambria Math" w:hAnsi="Cambria Math"/>
                              </w:rPr>
                              <m:t>β</m:t>
                            </m:r>
                          </m:e>
                          <m:sup>
                            <m:r>
                              <w:rPr>
                                <w:rFonts w:ascii="Cambria Math" w:hAnsi="Cambria Math"/>
                              </w:rPr>
                              <m:t>A</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A</m:t>
                  </m:r>
                </m:sup>
              </m:sSup>
            </m:e>
          </m:d>
        </m:oMath>
      </m:oMathPara>
    </w:p>
    <w:p w:rsidR="00DC203B" w:rsidRDefault="00DC203B" w:rsidP="00DC203B">
      <w:pPr>
        <w:pStyle w:val="BodyText"/>
      </w:pPr>
      <w:r>
        <w:t>With the following prior assumptions:</w:t>
      </w:r>
    </w:p>
    <w:p w:rsidR="00DC203B" w:rsidRPr="008F2140" w:rsidRDefault="001F492C" w:rsidP="00DC203B">
      <w:pPr>
        <w:pStyle w:val="BodyText"/>
      </w:pPr>
      <m:oMathPara>
        <m:oMath>
          <m:sSup>
            <m:sSupPr>
              <m:ctrlPr>
                <w:rPr>
                  <w:rFonts w:ascii="Cambria Math" w:hAnsi="Cambria Math"/>
                  <w:i/>
                </w:rPr>
              </m:ctrlPr>
            </m:sSupPr>
            <m:e>
              <m:r>
                <w:rPr>
                  <w:rFonts w:ascii="Cambria Math" w:hAnsi="Cambria Math"/>
                </w:rPr>
                <m:t>α</m:t>
              </m:r>
            </m:e>
            <m:sup>
              <m:r>
                <w:rPr>
                  <w:rFonts w:ascii="Cambria Math" w:hAnsi="Cambria Math"/>
                </w:rPr>
                <m:t>A</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A</m:t>
              </m:r>
            </m:sup>
          </m:sSup>
          <m:r>
            <w:rPr>
              <w:rFonts w:ascii="Cambria Math" w:hAnsi="Cambria Math"/>
            </w:rPr>
            <m:t xml:space="preserve"> ~ N(0, 1)</m:t>
          </m:r>
        </m:oMath>
      </m:oMathPara>
    </w:p>
    <w:p w:rsidR="00DC203B" w:rsidRPr="00C53A8B" w:rsidRDefault="001F492C" w:rsidP="00DC203B">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A</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mr>
              </m:m>
            </m:e>
          </m:d>
          <m:sSup>
            <m:sSupPr>
              <m:ctrlPr>
                <w:rPr>
                  <w:rFonts w:ascii="Cambria Math" w:hAnsi="Cambria Math"/>
                  <w:i/>
                </w:rPr>
              </m:ctrlPr>
            </m:sSupPr>
            <m:e>
              <m:r>
                <w:rPr>
                  <w:rFonts w:ascii="Cambria Math" w:hAnsi="Cambria Math"/>
                </w:rPr>
                <m:t>L</m:t>
              </m:r>
            </m:e>
            <m:sup>
              <m:r>
                <w:rPr>
                  <w:rFonts w:ascii="Cambria Math" w:hAnsi="Cambria Math"/>
                </w:rPr>
                <m:t>A</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mr>
              </m:m>
            </m:e>
          </m:d>
        </m:oMath>
      </m:oMathPara>
    </w:p>
    <w:p w:rsidR="00DC203B" w:rsidRPr="00C53A8B" w:rsidRDefault="001F492C" w:rsidP="00DC203B">
      <w:pPr>
        <w:pStyle w:val="BodyText"/>
      </w:pPr>
      <m:oMathPara>
        <m:oMath>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 xml:space="preserve"> ~ IG(2, 1)</m:t>
          </m:r>
        </m:oMath>
      </m:oMathPara>
    </w:p>
    <w:p w:rsidR="00DC203B" w:rsidRPr="00977F44" w:rsidRDefault="001F492C" w:rsidP="00DC203B">
      <w:pPr>
        <w:pStyle w:val="BodyText"/>
      </w:pPr>
      <m:oMathPara>
        <m:oMath>
          <m:sSup>
            <m:sSupPr>
              <m:ctrlPr>
                <w:rPr>
                  <w:rFonts w:ascii="Cambria Math" w:hAnsi="Cambria Math"/>
                  <w:i/>
                </w:rPr>
              </m:ctrlPr>
            </m:sSupPr>
            <m:e>
              <m:r>
                <w:rPr>
                  <w:rFonts w:ascii="Cambria Math" w:hAnsi="Cambria Math"/>
                </w:rPr>
                <m:t>L</m:t>
              </m:r>
            </m:e>
            <m:sup>
              <m:r>
                <w:rPr>
                  <w:rFonts w:ascii="Cambria Math" w:hAnsi="Cambria Math"/>
                </w:rPr>
                <m:t>A</m:t>
              </m:r>
            </m:sup>
          </m:sSup>
          <m:r>
            <w:rPr>
              <w:rFonts w:ascii="Cambria Math" w:hAnsi="Cambria Math"/>
            </w:rPr>
            <m:t xml:space="preserve"> ~ LKJ(50)</m:t>
          </m:r>
        </m:oMath>
      </m:oMathPara>
    </w:p>
    <w:p w:rsidR="00DC203B" w:rsidRPr="00E631D2" w:rsidRDefault="00DC203B" w:rsidP="00DC203B">
      <w:pPr>
        <w:pStyle w:val="BodyText"/>
      </w:pPr>
      <w:r>
        <w:t>The coefficients that do not vary by fund have the following priors:</w:t>
      </w:r>
    </w:p>
    <w:p w:rsidR="00DC203B" w:rsidRPr="00B67AF7" w:rsidRDefault="001F492C" w:rsidP="00DC203B">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A</m:t>
              </m:r>
            </m:sup>
          </m:sSup>
          <m:r>
            <w:rPr>
              <w:rFonts w:ascii="Cambria Math" w:hAnsi="Cambria Math"/>
            </w:rPr>
            <m:t xml:space="preserve">, </m:t>
          </m:r>
          <m:sSubSup>
            <m:sSubSupPr>
              <m:ctrlPr>
                <w:rPr>
                  <w:rFonts w:ascii="Cambria Math" w:hAnsi="Cambria Math"/>
                  <w:i/>
                </w:rPr>
              </m:ctrlPr>
            </m:sSubSupPr>
            <m:e>
              <m:r>
                <w:rPr>
                  <w:rFonts w:ascii="Cambria Math" w:hAnsi="Cambria Math"/>
                </w:rPr>
                <m:t>γ</m:t>
              </m:r>
            </m:e>
            <m:sub>
              <m:r>
                <w:rPr>
                  <w:rFonts w:ascii="Cambria Math" w:hAnsi="Cambria Math"/>
                </w:rPr>
                <m:t>CF</m:t>
              </m:r>
            </m:sub>
            <m:sup>
              <m:r>
                <w:rPr>
                  <w:rFonts w:ascii="Cambria Math" w:hAnsi="Cambria Math"/>
                </w:rPr>
                <m:t>A</m:t>
              </m:r>
            </m:sup>
          </m:sSubSup>
          <m:r>
            <w:rPr>
              <w:rFonts w:ascii="Cambria Math" w:hAnsi="Cambria Math"/>
            </w:rPr>
            <m:t xml:space="preserve"> ~ N(0, 0.5)</m:t>
          </m:r>
        </m:oMath>
      </m:oMathPara>
    </w:p>
    <w:p w:rsidR="00DC203B" w:rsidRPr="00764AC1" w:rsidRDefault="00DC203B" w:rsidP="00DC203B">
      <w:pPr>
        <w:pStyle w:val="BodyText"/>
      </w:pPr>
      <w:r>
        <w:lastRenderedPageBreak/>
        <w:t>The survival prediction equations are presented below.</w:t>
      </w:r>
    </w:p>
    <w:p w:rsidR="00DC203B" w:rsidRDefault="00DC203B" w:rsidP="00DC203B">
      <w:pPr>
        <w:pStyle w:val="Heading4"/>
      </w:pPr>
      <w:r>
        <w:t>Investment expenses</w:t>
      </w:r>
    </w:p>
    <w:p w:rsidR="00DC203B" w:rsidRDefault="00370243" w:rsidP="00DC203B">
      <w:pPr>
        <w:pStyle w:val="BodyText"/>
      </w:pPr>
      <w:r>
        <w:t>M</w:t>
      </w:r>
      <w:r w:rsidR="00DC203B">
        <w:t>ean investment expense</w:t>
      </w:r>
      <w:r>
        <w:t>s</w:t>
      </w:r>
      <w:r w:rsidR="00DC203B">
        <w:t xml:space="preserve"> </w:t>
      </w:r>
      <w:r>
        <w:t xml:space="preserve">are </w:t>
      </w:r>
      <w:r w:rsidR="00DC203B">
        <w:t>also modelled</w:t>
      </w:r>
      <w:r w:rsidR="00DC203B" w:rsidRPr="00B67AF7">
        <w:t xml:space="preserve"> </w:t>
      </w:r>
      <w:r w:rsidR="00DC203B">
        <w:t>as being dependent on a fund</w:t>
      </w:r>
      <w:r w:rsidR="00F640C8">
        <w:noBreakHyphen/>
      </w:r>
      <w:r w:rsidR="00DC203B">
        <w:t>specific intercept, fund</w:t>
      </w:r>
      <w:r w:rsidR="00F640C8">
        <w:noBreakHyphen/>
      </w:r>
      <w:r w:rsidR="00DC203B">
        <w:t>specific slope effects, non</w:t>
      </w:r>
      <w:r w:rsidR="00F640C8">
        <w:noBreakHyphen/>
      </w:r>
      <w:r w:rsidR="00DC203B">
        <w:t>fund specific slope effects and a survival prediction variable:</w:t>
      </w:r>
    </w:p>
    <w:p w:rsidR="00DC203B" w:rsidRPr="00973ED4" w:rsidRDefault="001F492C" w:rsidP="00DC203B">
      <w:pPr>
        <w:pStyle w:val="BodyText"/>
      </w:pPr>
      <m:oMathPara>
        <m:oMath>
          <m:sSup>
            <m:sSupPr>
              <m:ctrlPr>
                <w:rPr>
                  <w:rFonts w:ascii="Cambria Math" w:hAnsi="Cambria Math"/>
                  <w:i/>
                </w:rPr>
              </m:ctrlPr>
            </m:sSupPr>
            <m:e>
              <m:r>
                <w:rPr>
                  <w:rFonts w:ascii="Cambria Math" w:hAnsi="Cambria Math"/>
                </w:rPr>
                <m:t>μ</m:t>
              </m:r>
            </m:e>
            <m:sup>
              <m:r>
                <w:rPr>
                  <w:rFonts w:ascii="Cambria Math" w:hAnsi="Cambria Math"/>
                </w:rPr>
                <m:t>Invest</m:t>
              </m:r>
            </m:sup>
          </m:sSup>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I</m:t>
              </m:r>
            </m:sup>
          </m:sSub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I</m:t>
              </m:r>
            </m:sup>
          </m:sSup>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r>
            <w:rPr>
              <w:rFonts w:ascii="Cambria Math" w:hAnsi="Cambria Math"/>
            </w:rPr>
            <m:t xml:space="preserve">+ </m:t>
          </m:r>
          <m:sSup>
            <m:sSupPr>
              <m:ctrlPr>
                <w:rPr>
                  <w:rFonts w:ascii="Cambria Math" w:hAnsi="Cambria Math"/>
                  <w:i/>
                </w:rPr>
              </m:ctrlPr>
            </m:sSupPr>
            <m:e>
              <m:r>
                <w:rPr>
                  <w:rFonts w:ascii="Cambria Math" w:hAnsi="Cambria Math"/>
                </w:rPr>
                <m:t>Z</m:t>
              </m:r>
            </m:e>
            <m:sup>
              <m:r>
                <w:rPr>
                  <w:rFonts w:ascii="Cambria Math" w:hAnsi="Cambria Math"/>
                </w:rPr>
                <m:t>I</m:t>
              </m:r>
            </m:sup>
          </m:sSup>
          <m:sSup>
            <m:sSupPr>
              <m:ctrlPr>
                <w:rPr>
                  <w:rFonts w:ascii="Cambria Math" w:hAnsi="Cambria Math"/>
                  <w:i/>
                </w:rPr>
              </m:ctrlPr>
            </m:sSupPr>
            <m:e>
              <m:r>
                <w:rPr>
                  <w:rFonts w:ascii="Cambria Math" w:hAnsi="Cambria Math"/>
                </w:rPr>
                <m:t>γ</m:t>
              </m:r>
            </m:e>
            <m:sup>
              <m:r>
                <w:rPr>
                  <w:rFonts w:ascii="Cambria Math" w:hAnsi="Cambria Math"/>
                </w:rPr>
                <m:t>I</m:t>
              </m:r>
            </m:sup>
          </m:sSup>
          <m:r>
            <w:rPr>
              <w:rFonts w:ascii="Cambria Math" w:hAnsi="Cambria Math"/>
            </w:rPr>
            <m:t xml:space="preserve">+ </m:t>
          </m:r>
          <m:sSup>
            <m:sSupPr>
              <m:ctrlPr>
                <w:rPr>
                  <w:rFonts w:ascii="Cambria Math" w:hAnsi="Cambria Math"/>
                  <w:i/>
                </w:rPr>
              </m:ctrlPr>
            </m:sSupPr>
            <m:e>
              <m:r>
                <w:rPr>
                  <w:rFonts w:ascii="Cambria Math" w:hAnsi="Cambria Math"/>
                </w:rPr>
                <m:t>δ</m:t>
              </m:r>
            </m:e>
            <m:sup>
              <m:r>
                <w:rPr>
                  <w:rFonts w:ascii="Cambria Math" w:hAnsi="Cambria Math"/>
                </w:rPr>
                <m:t>I</m:t>
              </m:r>
            </m:sup>
          </m:sSup>
          <m:r>
            <w:rPr>
              <w:rFonts w:ascii="Cambria Math" w:hAnsi="Cambria Math"/>
            </w:rPr>
            <m:t>(</m:t>
          </m:r>
          <m:acc>
            <m:accPr>
              <m:ctrlPr>
                <w:rPr>
                  <w:rFonts w:ascii="Cambria Math" w:hAnsi="Cambria Math"/>
                  <w:i/>
                </w:rPr>
              </m:ctrlPr>
            </m:accPr>
            <m:e>
              <m:r>
                <w:rPr>
                  <w:rFonts w:ascii="Cambria Math" w:hAnsi="Cambria Math"/>
                </w:rPr>
                <m:t>p</m:t>
              </m:r>
            </m:e>
          </m:acc>
          <m:r>
            <w:rPr>
              <w:rFonts w:ascii="Cambria Math" w:hAnsi="Cambria Math"/>
            </w:rPr>
            <m:t xml:space="preserve">) </m:t>
          </m:r>
          <m:sSubSup>
            <m:sSubSupPr>
              <m:ctrlPr>
                <w:rPr>
                  <w:rFonts w:ascii="Cambria Math" w:hAnsi="Cambria Math"/>
                  <w:i/>
                </w:rPr>
              </m:ctrlPr>
            </m:sSubSupPr>
            <m:e>
              <m:r>
                <w:rPr>
                  <w:rFonts w:ascii="Cambria Math" w:hAnsi="Cambria Math"/>
                </w:rPr>
                <m:t>γ</m:t>
              </m:r>
            </m:e>
            <m:sub>
              <m:r>
                <w:rPr>
                  <w:rFonts w:ascii="Cambria Math" w:hAnsi="Cambria Math"/>
                </w:rPr>
                <m:t>CF</m:t>
              </m:r>
            </m:sub>
            <m:sup>
              <m:r>
                <w:rPr>
                  <w:rFonts w:ascii="Cambria Math" w:hAnsi="Cambria Math"/>
                </w:rPr>
                <m:t>I</m:t>
              </m:r>
            </m:sup>
          </m:sSubSup>
        </m:oMath>
      </m:oMathPara>
    </w:p>
    <w:p w:rsidR="00DC203B" w:rsidRPr="00DF6440" w:rsidRDefault="00DC203B" w:rsidP="00DC203B">
      <w:pPr>
        <w:pStyle w:val="BodyText"/>
      </w:pPr>
      <w:r>
        <w:t xml:space="preserve">For the coefficients </w:t>
      </w:r>
      <w:r w:rsidR="00A05224">
        <w:t xml:space="preserve">that </w:t>
      </w:r>
      <w:r>
        <w:t>vary by fund:</w:t>
      </w:r>
    </w:p>
    <w:p w:rsidR="00DC203B" w:rsidRPr="00B67AF7" w:rsidRDefault="001F492C" w:rsidP="00DC203B">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I</m:t>
                            </m:r>
                          </m:sup>
                        </m:sSup>
                      </m:e>
                    </m:mr>
                    <m:mr>
                      <m:e>
                        <m:sSup>
                          <m:sSupPr>
                            <m:ctrlPr>
                              <w:rPr>
                                <w:rFonts w:ascii="Cambria Math" w:hAnsi="Cambria Math"/>
                                <w:i/>
                              </w:rPr>
                            </m:ctrlPr>
                          </m:sSupPr>
                          <m:e>
                            <m:r>
                              <w:rPr>
                                <w:rFonts w:ascii="Cambria Math" w:hAnsi="Cambria Math"/>
                              </w:rPr>
                              <m:t>β</m:t>
                            </m:r>
                          </m:e>
                          <m:sup>
                            <m:r>
                              <w:rPr>
                                <w:rFonts w:ascii="Cambria Math" w:hAnsi="Cambria Math"/>
                              </w:rPr>
                              <m:t>I</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I</m:t>
                  </m:r>
                </m:sup>
              </m:sSup>
            </m:e>
          </m:d>
        </m:oMath>
      </m:oMathPara>
    </w:p>
    <w:p w:rsidR="00DC203B" w:rsidRPr="008F2140" w:rsidRDefault="001F492C" w:rsidP="00DC203B">
      <w:pPr>
        <w:pStyle w:val="BodyText"/>
      </w:pPr>
      <m:oMathPara>
        <m:oMath>
          <m:sSup>
            <m:sSupPr>
              <m:ctrlPr>
                <w:rPr>
                  <w:rFonts w:ascii="Cambria Math" w:hAnsi="Cambria Math"/>
                  <w:i/>
                </w:rPr>
              </m:ctrlPr>
            </m:sSupPr>
            <m:e>
              <m:r>
                <w:rPr>
                  <w:rFonts w:ascii="Cambria Math" w:hAnsi="Cambria Math"/>
                </w:rPr>
                <m:t>α</m:t>
              </m:r>
            </m:e>
            <m:sup>
              <m:r>
                <w:rPr>
                  <w:rFonts w:ascii="Cambria Math" w:hAnsi="Cambria Math"/>
                </w:rPr>
                <m:t>I</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I</m:t>
              </m:r>
            </m:sup>
          </m:sSup>
          <m:r>
            <w:rPr>
              <w:rFonts w:ascii="Cambria Math" w:hAnsi="Cambria Math"/>
            </w:rPr>
            <m:t xml:space="preserve"> ~ N(0, 1)</m:t>
          </m:r>
        </m:oMath>
      </m:oMathPara>
    </w:p>
    <w:p w:rsidR="00DC203B" w:rsidRPr="00C53A8B" w:rsidRDefault="001F492C" w:rsidP="00DC203B">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I</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mr>
              </m:m>
            </m:e>
          </m:d>
          <m:sSup>
            <m:sSupPr>
              <m:ctrlPr>
                <w:rPr>
                  <w:rFonts w:ascii="Cambria Math" w:hAnsi="Cambria Math"/>
                  <w:i/>
                </w:rPr>
              </m:ctrlPr>
            </m:sSupPr>
            <m:e>
              <m:r>
                <w:rPr>
                  <w:rFonts w:ascii="Cambria Math" w:hAnsi="Cambria Math"/>
                </w:rPr>
                <m:t>L</m:t>
              </m:r>
            </m:e>
            <m:sup>
              <m:r>
                <w:rPr>
                  <w:rFonts w:ascii="Cambria Math" w:hAnsi="Cambria Math"/>
                </w:rPr>
                <m:t>I</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mr>
              </m:m>
            </m:e>
          </m:d>
        </m:oMath>
      </m:oMathPara>
    </w:p>
    <w:p w:rsidR="00DC203B" w:rsidRPr="00C53A8B" w:rsidRDefault="001F492C" w:rsidP="00DC203B">
      <w:pPr>
        <w:pStyle w:val="BodyText"/>
      </w:pPr>
      <m:oMathPara>
        <m:oMath>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r>
            <w:rPr>
              <w:rFonts w:ascii="Cambria Math" w:hAnsi="Cambria Math"/>
            </w:rPr>
            <m:t xml:space="preserve"> ~ IG(2, 1)</m:t>
          </m:r>
        </m:oMath>
      </m:oMathPara>
    </w:p>
    <w:p w:rsidR="00DC203B" w:rsidRPr="00977F44" w:rsidRDefault="001F492C" w:rsidP="00DC203B">
      <w:pPr>
        <w:pStyle w:val="BodyText"/>
      </w:pPr>
      <m:oMathPara>
        <m:oMath>
          <m:sSup>
            <m:sSupPr>
              <m:ctrlPr>
                <w:rPr>
                  <w:rFonts w:ascii="Cambria Math" w:hAnsi="Cambria Math"/>
                  <w:i/>
                </w:rPr>
              </m:ctrlPr>
            </m:sSupPr>
            <m:e>
              <m:r>
                <w:rPr>
                  <w:rFonts w:ascii="Cambria Math" w:hAnsi="Cambria Math"/>
                </w:rPr>
                <m:t>L</m:t>
              </m:r>
            </m:e>
            <m:sup>
              <m:r>
                <w:rPr>
                  <w:rFonts w:ascii="Cambria Math" w:hAnsi="Cambria Math"/>
                </w:rPr>
                <m:t>I</m:t>
              </m:r>
            </m:sup>
          </m:sSup>
          <m:r>
            <w:rPr>
              <w:rFonts w:ascii="Cambria Math" w:hAnsi="Cambria Math"/>
            </w:rPr>
            <m:t xml:space="preserve"> ~ LKJ(50)</m:t>
          </m:r>
        </m:oMath>
      </m:oMathPara>
    </w:p>
    <w:p w:rsidR="00DC203B" w:rsidRDefault="00DC203B" w:rsidP="00DC203B">
      <w:pPr>
        <w:pStyle w:val="BodyText"/>
      </w:pPr>
      <w:r>
        <w:t>The coefficients that do not vary by fund have the following priors:</w:t>
      </w:r>
    </w:p>
    <w:p w:rsidR="00DC203B" w:rsidRPr="009672C4" w:rsidRDefault="001F492C" w:rsidP="00DC203B">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I</m:t>
              </m:r>
            </m:sup>
          </m:sSup>
          <m:r>
            <w:rPr>
              <w:rFonts w:ascii="Cambria Math" w:hAnsi="Cambria Math"/>
            </w:rPr>
            <m:t xml:space="preserve">, </m:t>
          </m:r>
          <m:sSubSup>
            <m:sSubSupPr>
              <m:ctrlPr>
                <w:rPr>
                  <w:rFonts w:ascii="Cambria Math" w:hAnsi="Cambria Math"/>
                  <w:i/>
                </w:rPr>
              </m:ctrlPr>
            </m:sSubSupPr>
            <m:e>
              <m:r>
                <w:rPr>
                  <w:rFonts w:ascii="Cambria Math" w:hAnsi="Cambria Math"/>
                </w:rPr>
                <m:t>γ</m:t>
              </m:r>
            </m:e>
            <m:sub>
              <m:r>
                <w:rPr>
                  <w:rFonts w:ascii="Cambria Math" w:hAnsi="Cambria Math"/>
                </w:rPr>
                <m:t>CF</m:t>
              </m:r>
            </m:sub>
            <m:sup>
              <m:r>
                <w:rPr>
                  <w:rFonts w:ascii="Cambria Math" w:hAnsi="Cambria Math"/>
                </w:rPr>
                <m:t>I</m:t>
              </m:r>
            </m:sup>
          </m:sSubSup>
          <m:r>
            <w:rPr>
              <w:rFonts w:ascii="Cambria Math" w:hAnsi="Cambria Math"/>
            </w:rPr>
            <m:t xml:space="preserve"> ~ N(0, 0.5)</m:t>
          </m:r>
        </m:oMath>
      </m:oMathPara>
    </w:p>
    <w:p w:rsidR="00DC203B" w:rsidRDefault="00DC203B" w:rsidP="00DC203B">
      <w:pPr>
        <w:pStyle w:val="Heading4"/>
      </w:pPr>
      <w:r>
        <w:t>Selection equation</w:t>
      </w:r>
    </w:p>
    <w:p w:rsidR="00DC203B" w:rsidRDefault="00DC203B" w:rsidP="00DC203B">
      <w:pPr>
        <w:pStyle w:val="BodyText"/>
      </w:pPr>
      <w:r>
        <w:t>Survivorship bias is addressed using a control function approach. First, a logit regression is estimated using data on whether a fund is still in operation at the end of the financial year as the indicator of survival. All coefficients are assumed to not vary by fund.</w:t>
      </w:r>
      <w:r w:rsidR="00F104E0">
        <w:t xml:space="preserve"> Variables included in the selection equations are presented in table B.2.</w:t>
      </w:r>
    </w:p>
    <w:p w:rsidR="00DC203B" w:rsidRPr="00FA66E0" w:rsidRDefault="00DC203B" w:rsidP="00DC203B">
      <w:pPr>
        <w:pStyle w:val="BodyText"/>
      </w:pPr>
      <m:oMathPara>
        <m:oMath>
          <m:r>
            <w:rPr>
              <w:rFonts w:ascii="Cambria Math" w:hAnsi="Cambria Math"/>
            </w:rPr>
            <m:t>SurvivalIndicator ~ logit(</m:t>
          </m:r>
          <m:sSup>
            <m:sSupPr>
              <m:ctrlPr>
                <w:rPr>
                  <w:rFonts w:ascii="Cambria Math" w:hAnsi="Cambria Math"/>
                  <w:i/>
                </w:rPr>
              </m:ctrlPr>
            </m:sSupPr>
            <m:e>
              <m:r>
                <w:rPr>
                  <w:rFonts w:ascii="Cambria Math" w:hAnsi="Cambria Math"/>
                </w:rPr>
                <m:t>μ</m:t>
              </m:r>
            </m:e>
            <m:sup>
              <m:r>
                <w:rPr>
                  <w:rFonts w:ascii="Cambria Math" w:hAnsi="Cambria Math"/>
                </w:rPr>
                <m:t>Survival</m:t>
              </m:r>
            </m:sup>
          </m:sSup>
          <m:r>
            <w:rPr>
              <w:rFonts w:ascii="Cambria Math" w:hAnsi="Cambria Math"/>
            </w:rPr>
            <m:t>)</m:t>
          </m:r>
        </m:oMath>
      </m:oMathPara>
    </w:p>
    <w:p w:rsidR="00DC203B" w:rsidRDefault="00DC203B" w:rsidP="00DC203B">
      <w:pPr>
        <w:pStyle w:val="BodyText"/>
      </w:pPr>
      <w:r>
        <w:t>With the following assumed priors and hyperparameters</w:t>
      </w:r>
      <w:r w:rsidR="00BC41EB">
        <w:t>:</w:t>
      </w:r>
    </w:p>
    <w:p w:rsidR="00DC203B" w:rsidRPr="007E3207" w:rsidRDefault="00DC203B" w:rsidP="00DC203B">
      <w:pPr>
        <w:pStyle w:val="BodyText"/>
      </w:pPr>
      <m:oMathPara>
        <m:oMath>
          <m:r>
            <w:rPr>
              <w:rFonts w:ascii="Cambria Math" w:hAnsi="Cambria Math"/>
            </w:rPr>
            <m:t>logit(</m:t>
          </m:r>
          <m:sSup>
            <m:sSupPr>
              <m:ctrlPr>
                <w:rPr>
                  <w:rFonts w:ascii="Cambria Math" w:hAnsi="Cambria Math"/>
                  <w:i/>
                </w:rPr>
              </m:ctrlPr>
            </m:sSupPr>
            <m:e>
              <m:r>
                <w:rPr>
                  <w:rFonts w:ascii="Cambria Math" w:hAnsi="Cambria Math"/>
                </w:rPr>
                <m:t>μ</m:t>
              </m:r>
            </m:e>
            <m:sup>
              <m:r>
                <w:rPr>
                  <w:rFonts w:ascii="Cambria Math" w:hAnsi="Cambria Math"/>
                </w:rPr>
                <m:t>Survival</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S</m:t>
              </m:r>
            </m:sup>
          </m:sSup>
          <m:sSup>
            <m:sSupPr>
              <m:ctrlPr>
                <w:rPr>
                  <w:rFonts w:ascii="Cambria Math" w:hAnsi="Cambria Math"/>
                  <w:i/>
                </w:rPr>
              </m:ctrlPr>
            </m:sSupPr>
            <m:e>
              <m:r>
                <w:rPr>
                  <w:rFonts w:ascii="Cambria Math" w:hAnsi="Cambria Math"/>
                </w:rPr>
                <m:t>γ</m:t>
              </m:r>
            </m:e>
            <m:sup>
              <m:r>
                <w:rPr>
                  <w:rFonts w:ascii="Cambria Math" w:hAnsi="Cambria Math"/>
                </w:rPr>
                <m:t>S</m:t>
              </m:r>
            </m:sup>
          </m:sSup>
        </m:oMath>
      </m:oMathPara>
    </w:p>
    <w:p w:rsidR="00DC203B" w:rsidRPr="003F0B16" w:rsidRDefault="001F492C" w:rsidP="00DC203B">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S</m:t>
              </m:r>
            </m:sup>
          </m:sSup>
          <m:r>
            <w:rPr>
              <w:rFonts w:ascii="Cambria Math" w:hAnsi="Cambria Math"/>
            </w:rPr>
            <m:t xml:space="preserve"> ~ N(0, 0.5)</m:t>
          </m:r>
        </m:oMath>
      </m:oMathPara>
    </w:p>
    <w:p w:rsidR="003B11F0" w:rsidRDefault="003B11F0">
      <w:pPr>
        <w:rPr>
          <w:szCs w:val="20"/>
        </w:rPr>
      </w:pPr>
      <w:r>
        <w:br w:type="page"/>
      </w:r>
    </w:p>
    <w:p w:rsidR="00DC203B" w:rsidRDefault="00DC203B" w:rsidP="00DC203B">
      <w:pPr>
        <w:pStyle w:val="BodyText"/>
      </w:pPr>
      <w:r>
        <w:lastRenderedPageBreak/>
        <w:t>The fitted values from the logit regression —</w:t>
      </w:r>
      <m:oMath>
        <m:r>
          <w:rPr>
            <w:rFonts w:ascii="Cambria Math" w:hAnsi="Cambria Math"/>
          </w:rPr>
          <m:t xml:space="preserve"> </m:t>
        </m:r>
        <m:acc>
          <m:accPr>
            <m:ctrlPr>
              <w:rPr>
                <w:rFonts w:ascii="Cambria Math" w:hAnsi="Cambria Math"/>
                <w:i/>
              </w:rPr>
            </m:ctrlPr>
          </m:accPr>
          <m:e>
            <m:r>
              <w:rPr>
                <w:rFonts w:ascii="Cambria Math" w:hAnsi="Cambria Math"/>
              </w:rPr>
              <m:t>p</m:t>
            </m:r>
          </m:e>
        </m:acc>
      </m:oMath>
      <w:r>
        <w:t xml:space="preserve"> (interpreted as the probability of a fund exiting</w:t>
      </w:r>
      <w:r w:rsidR="00370243">
        <w:t xml:space="preserve"> </w:t>
      </w:r>
      <w:r>
        <w:t xml:space="preserve">in a given year) — are then used to construct a control function matrix, </w:t>
      </w:r>
      <m:oMath>
        <m:r>
          <w:rPr>
            <w:rFonts w:ascii="Cambria Math" w:hAnsi="Cambria Math"/>
          </w:rPr>
          <m:t>δ</m:t>
        </m:r>
        <m:d>
          <m:dPr>
            <m:ctrlPr>
              <w:rPr>
                <w:rFonts w:ascii="Cambria Math" w:hAnsi="Cambria Math"/>
                <w:i/>
              </w:rPr>
            </m:ctrlPr>
          </m:dPr>
          <m:e>
            <m:acc>
              <m:accPr>
                <m:ctrlPr>
                  <w:rPr>
                    <w:rFonts w:ascii="Cambria Math" w:hAnsi="Cambria Math"/>
                    <w:i/>
                  </w:rPr>
                </m:ctrlPr>
              </m:accPr>
              <m:e>
                <m:r>
                  <w:rPr>
                    <w:rFonts w:ascii="Cambria Math" w:hAnsi="Cambria Math"/>
                  </w:rPr>
                  <m:t>p</m:t>
                </m:r>
              </m:e>
            </m:acc>
          </m:e>
        </m:d>
      </m:oMath>
      <w:r>
        <w:t xml:space="preserve">, which is included in the administration and investment equations. The control function matrix is </w:t>
      </w:r>
      <w:r w:rsidR="007B7CB4">
        <w:t xml:space="preserve">a </w:t>
      </w:r>
      <w:r w:rsidR="00370243">
        <w:t>five</w:t>
      </w:r>
      <w:r w:rsidR="00F640C8">
        <w:noBreakHyphen/>
      </w:r>
      <w:r w:rsidR="00370243">
        <w:t xml:space="preserve">degree </w:t>
      </w:r>
      <w:r>
        <w:t>polynomial.</w:t>
      </w:r>
    </w:p>
    <w:p w:rsidR="00DC203B" w:rsidRPr="00843F4A" w:rsidRDefault="00DC203B" w:rsidP="00DC203B">
      <w:pPr>
        <w:pStyle w:val="BodyText"/>
      </w:pPr>
      <m:oMathPara>
        <m:oMath>
          <m:r>
            <w:rPr>
              <w:rFonts w:ascii="Cambria Math" w:hAnsi="Cambria Math"/>
            </w:rPr>
            <m:t>δ</m:t>
          </m:r>
          <m:d>
            <m:dPr>
              <m:ctrlPr>
                <w:rPr>
                  <w:rFonts w:ascii="Cambria Math" w:hAnsi="Cambria Math"/>
                  <w:i/>
                </w:rPr>
              </m:ctrlPr>
            </m:dPr>
            <m:e>
              <m:acc>
                <m:accPr>
                  <m:ctrlPr>
                    <w:rPr>
                      <w:rFonts w:ascii="Cambria Math" w:hAnsi="Cambria Math"/>
                      <w:i/>
                    </w:rPr>
                  </m:ctrlPr>
                </m:accPr>
                <m:e>
                  <m:r>
                    <w:rPr>
                      <w:rFonts w:ascii="Cambria Math" w:hAnsi="Cambria Math"/>
                    </w:rPr>
                    <m:t>p</m:t>
                  </m:r>
                </m:e>
              </m:acc>
            </m:e>
          </m:d>
          <m:r>
            <w:rPr>
              <w:rFonts w:ascii="Cambria Math" w:hAnsi="Cambria Math"/>
            </w:rPr>
            <m:t xml:space="preserve">= </m:t>
          </m:r>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1</m:t>
                        </m:r>
                      </m:sub>
                      <m:sup>
                        <m:r>
                          <w:rPr>
                            <w:rFonts w:ascii="Cambria Math" w:hAnsi="Cambria Math"/>
                          </w:rPr>
                          <m:t>2</m:t>
                        </m:r>
                      </m:sup>
                    </m:sSubSup>
                  </m:e>
                  <m:e>
                    <m:r>
                      <w:rPr>
                        <w:rFonts w:ascii="Cambria Math" w:hAnsi="Cambria Math"/>
                      </w:rPr>
                      <m:t>…</m:t>
                    </m:r>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1</m:t>
                        </m:r>
                      </m:sub>
                      <m:sup>
                        <m:r>
                          <w:rPr>
                            <w:rFonts w:ascii="Cambria Math" w:hAnsi="Cambria Math"/>
                          </w:rPr>
                          <m:t>5</m:t>
                        </m:r>
                      </m:sup>
                    </m:sSubSup>
                    <m:ctrlPr>
                      <w:rPr>
                        <w:rFonts w:ascii="Cambria Math" w:eastAsia="Cambria Math" w:hAnsi="Cambria Math" w:cs="Cambria Math"/>
                        <w:i/>
                      </w:rPr>
                    </m:ctrlPr>
                  </m:e>
                </m:mr>
                <m:mr>
                  <m:e>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2</m:t>
                        </m:r>
                      </m:sub>
                      <m:sup>
                        <m:r>
                          <w:rPr>
                            <w:rFonts w:ascii="Cambria Math" w:hAnsi="Cambria Math"/>
                          </w:rPr>
                          <m:t>2</m:t>
                        </m:r>
                      </m:sup>
                    </m:sSubSup>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2</m:t>
                        </m:r>
                      </m:sub>
                      <m:sup>
                        <m:r>
                          <w:rPr>
                            <w:rFonts w:ascii="Cambria Math" w:hAnsi="Cambria Math"/>
                          </w:rPr>
                          <m:t>5</m:t>
                        </m:r>
                      </m:sup>
                    </m:sSubSup>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m:t>
                        </m:r>
                      </m:sub>
                    </m:sSub>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N</m:t>
                        </m:r>
                      </m:sub>
                      <m:sup>
                        <m:r>
                          <w:rPr>
                            <w:rFonts w:ascii="Cambria Math" w:hAnsi="Cambria Math"/>
                          </w:rPr>
                          <m:t>2</m:t>
                        </m:r>
                      </m:sup>
                    </m:sSubSup>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N</m:t>
                        </m:r>
                      </m:sub>
                      <m:sup>
                        <m:r>
                          <w:rPr>
                            <w:rFonts w:ascii="Cambria Math" w:hAnsi="Cambria Math"/>
                          </w:rPr>
                          <m:t>5</m:t>
                        </m:r>
                      </m:sup>
                    </m:sSubSup>
                  </m:e>
                </m:mr>
              </m:m>
            </m:e>
          </m:d>
        </m:oMath>
      </m:oMathPara>
    </w:p>
    <w:p w:rsidR="00DC203B" w:rsidRDefault="00DC203B" w:rsidP="00DC203B">
      <w:pPr>
        <w:pStyle w:val="BodyText"/>
      </w:pPr>
      <w:r>
        <w:t xml:space="preserve">For example,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oMath>
      <w:r>
        <w:t xml:space="preserve">is the fitted value for fund 1,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2</m:t>
            </m:r>
          </m:sub>
          <m:sup>
            <m:r>
              <w:rPr>
                <w:rFonts w:ascii="Cambria Math" w:hAnsi="Cambria Math"/>
              </w:rPr>
              <m:t>2</m:t>
            </m:r>
          </m:sup>
        </m:sSubSup>
      </m:oMath>
      <w:r>
        <w:t xml:space="preserve">is the fitted value for fund 2 raised to the power of 2, and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N</m:t>
            </m:r>
          </m:sub>
          <m:sup>
            <m:r>
              <w:rPr>
                <w:rFonts w:ascii="Cambria Math" w:hAnsi="Cambria Math"/>
              </w:rPr>
              <m:t>5</m:t>
            </m:r>
          </m:sup>
        </m:sSubSup>
      </m:oMath>
      <w:r>
        <w:t xml:space="preserve"> is the fitted value for fund </w:t>
      </w:r>
      <m:oMath>
        <m:r>
          <w:rPr>
            <w:rFonts w:ascii="Cambria Math" w:hAnsi="Cambria Math"/>
          </w:rPr>
          <m:t>N</m:t>
        </m:r>
      </m:oMath>
      <w:r>
        <w:t xml:space="preserve"> raised to the power of 5.</w:t>
      </w:r>
    </w:p>
    <w:p w:rsidR="00DC203B" w:rsidRDefault="00DC203B" w:rsidP="00DC203B">
      <w:pPr>
        <w:pStyle w:val="Heading4"/>
      </w:pPr>
      <w:r>
        <w:t>Number of investment options</w:t>
      </w:r>
    </w:p>
    <w:p w:rsidR="00DC203B" w:rsidRDefault="00DC203B" w:rsidP="00DC203B">
      <w:pPr>
        <w:pStyle w:val="BodyText"/>
      </w:pPr>
      <w:r>
        <w:t>The number of investment options (an input into the administration, investment and selection equations) is modelled using a normal distribution:</w:t>
      </w:r>
    </w:p>
    <w:p w:rsidR="00DC203B" w:rsidRDefault="00DC203B" w:rsidP="00DC203B">
      <w:pPr>
        <w:pStyle w:val="BodyText"/>
      </w:pPr>
      <m:oMathPara>
        <m:oMath>
          <m:r>
            <w:rPr>
              <w:rFonts w:ascii="Cambria Math" w:hAnsi="Cambria Math"/>
            </w:rPr>
            <m:t>NumOptions ~ N(</m:t>
          </m:r>
          <m:sSup>
            <m:sSupPr>
              <m:ctrlPr>
                <w:rPr>
                  <w:rFonts w:ascii="Cambria Math" w:hAnsi="Cambria Math"/>
                  <w:i/>
                </w:rPr>
              </m:ctrlPr>
            </m:sSupPr>
            <m:e>
              <m:r>
                <w:rPr>
                  <w:rFonts w:ascii="Cambria Math" w:hAnsi="Cambria Math"/>
                </w:rPr>
                <m:t>μ</m:t>
              </m:r>
            </m:e>
            <m:sup>
              <m:r>
                <w:rPr>
                  <w:rFonts w:ascii="Cambria Math" w:hAnsi="Cambria Math"/>
                </w:rPr>
                <m:t>NumOptions</m:t>
              </m:r>
            </m:sup>
          </m:sSup>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NumOptions</m:t>
              </m:r>
            </m:sup>
          </m:sSup>
          <m:r>
            <w:rPr>
              <w:rFonts w:ascii="Cambria Math" w:hAnsi="Cambria Math"/>
            </w:rPr>
            <m:t>)</m:t>
          </m:r>
        </m:oMath>
      </m:oMathPara>
    </w:p>
    <w:p w:rsidR="00DC203B" w:rsidRDefault="00DC203B" w:rsidP="00DC203B">
      <w:pPr>
        <w:pStyle w:val="BodyText"/>
      </w:pPr>
      <w:r>
        <w:t>With the following assumed priors and hyperparameters:</w:t>
      </w:r>
    </w:p>
    <w:p w:rsidR="00DC203B" w:rsidRPr="002033B0" w:rsidRDefault="001F492C" w:rsidP="00DC203B">
      <w:pPr>
        <w:pStyle w:val="BodyText"/>
      </w:pPr>
      <m:oMathPara>
        <m:oMath>
          <m:sSup>
            <m:sSupPr>
              <m:ctrlPr>
                <w:rPr>
                  <w:rFonts w:ascii="Cambria Math" w:hAnsi="Cambria Math"/>
                  <w:i/>
                </w:rPr>
              </m:ctrlPr>
            </m:sSupPr>
            <m:e>
              <m:r>
                <w:rPr>
                  <w:rFonts w:ascii="Cambria Math" w:hAnsi="Cambria Math"/>
                </w:rPr>
                <m:t>μ</m:t>
              </m:r>
            </m:e>
            <m:sup>
              <m:r>
                <w:rPr>
                  <w:rFonts w:ascii="Cambria Math" w:hAnsi="Cambria Math"/>
                </w:rPr>
                <m:t>NumOptions</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N</m:t>
              </m:r>
            </m:sup>
          </m:sSup>
          <m:sSup>
            <m:sSupPr>
              <m:ctrlPr>
                <w:rPr>
                  <w:rFonts w:ascii="Cambria Math" w:hAnsi="Cambria Math"/>
                  <w:i/>
                </w:rPr>
              </m:ctrlPr>
            </m:sSupPr>
            <m:e>
              <m:r>
                <w:rPr>
                  <w:rFonts w:ascii="Cambria Math" w:hAnsi="Cambria Math"/>
                </w:rPr>
                <m:t>γ</m:t>
              </m:r>
            </m:e>
            <m:sup>
              <m:r>
                <w:rPr>
                  <w:rFonts w:ascii="Cambria Math" w:hAnsi="Cambria Math"/>
                </w:rPr>
                <m:t>N</m:t>
              </m:r>
            </m:sup>
          </m:sSup>
        </m:oMath>
      </m:oMathPara>
    </w:p>
    <w:p w:rsidR="00DC203B" w:rsidRPr="008401C5" w:rsidRDefault="001F492C" w:rsidP="00DC203B">
      <w:pPr>
        <w:pStyle w:val="BodyText"/>
      </w:pPr>
      <m:oMathPara>
        <m:oMath>
          <m:sSup>
            <m:sSupPr>
              <m:ctrlPr>
                <w:rPr>
                  <w:rFonts w:ascii="Cambria Math" w:hAnsi="Cambria Math"/>
                  <w:i/>
                </w:rPr>
              </m:ctrlPr>
            </m:sSupPr>
            <m:e>
              <m:r>
                <w:rPr>
                  <w:rFonts w:ascii="Cambria Math" w:hAnsi="Cambria Math"/>
                </w:rPr>
                <m:t>σ</m:t>
              </m:r>
            </m:e>
            <m:sup>
              <m:r>
                <w:rPr>
                  <w:rFonts w:ascii="Cambria Math" w:hAnsi="Cambria Math"/>
                </w:rPr>
                <m:t>NumOptions</m:t>
              </m:r>
            </m:sup>
          </m:sSup>
          <m:r>
            <w:rPr>
              <w:rFonts w:ascii="Cambria Math" w:hAnsi="Cambria Math"/>
            </w:rPr>
            <m:t xml:space="preserve"> ~ Truncated Studen</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s t(4, 0, 0.5)</m:t>
          </m:r>
        </m:oMath>
      </m:oMathPara>
    </w:p>
    <w:p w:rsidR="00DC203B" w:rsidRPr="006A64A1" w:rsidRDefault="001F492C" w:rsidP="00DC203B">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N</m:t>
              </m:r>
            </m:sup>
          </m:sSup>
          <m:r>
            <w:rPr>
              <w:rFonts w:ascii="Cambria Math" w:hAnsi="Cambria Math"/>
            </w:rPr>
            <m:t xml:space="preserve"> ~ N(0, 0.5)</m:t>
          </m:r>
        </m:oMath>
      </m:oMathPara>
    </w:p>
    <w:p w:rsidR="00DC203B" w:rsidRPr="00F03A32" w:rsidRDefault="00DC203B" w:rsidP="00DC203B">
      <w:pPr>
        <w:pStyle w:val="BodyText"/>
      </w:pPr>
      <w:r>
        <w:t>The estimated values are used for funds did not report data on the number of investment options in APRA data.</w:t>
      </w:r>
    </w:p>
    <w:p w:rsidR="003B11F0" w:rsidRDefault="003B11F0">
      <w:pPr>
        <w:rPr>
          <w:rFonts w:ascii="Arial" w:hAnsi="Arial"/>
        </w:rPr>
      </w:pPr>
      <w:r>
        <w:br w:type="page"/>
      </w:r>
    </w:p>
    <w:p w:rsidR="00DC203B" w:rsidRDefault="00DC203B" w:rsidP="00DC203B">
      <w:pPr>
        <w:pStyle w:val="Heading4"/>
      </w:pPr>
      <w:r>
        <w:lastRenderedPageBreak/>
        <w:t>Pass</w:t>
      </w:r>
      <w:r w:rsidR="00F640C8">
        <w:noBreakHyphen/>
      </w:r>
      <w:r>
        <w:t>through</w:t>
      </w:r>
    </w:p>
    <w:p w:rsidR="005D4BC3" w:rsidRDefault="005D4BC3" w:rsidP="005D4BC3">
      <w:pPr>
        <w:pStyle w:val="BodyText"/>
      </w:pPr>
      <w:r>
        <w:t>The pass</w:t>
      </w:r>
      <w:r w:rsidR="00F640C8">
        <w:noBreakHyphen/>
      </w:r>
      <w:r>
        <w:t>through module takes predicted values for the yearly change in costs attributable to changes in scale and compares it to actual yearly changes in fees.</w:t>
      </w:r>
    </w:p>
    <w:p w:rsidR="00DC203B" w:rsidRDefault="00DC203B" w:rsidP="00DC203B">
      <w:pPr>
        <w:pStyle w:val="BodyText"/>
      </w:pPr>
      <w:r>
        <w:t>The dependent variable is the change in (log) fees for a fund over one time period. Pass</w:t>
      </w:r>
      <w:r w:rsidR="00F640C8">
        <w:noBreakHyphen/>
      </w:r>
      <w:r>
        <w:t>through is estimated for administration, investment, and total fees, and is modelled using normal distributions:</w:t>
      </w:r>
    </w:p>
    <w:p w:rsidR="00DC203B" w:rsidRPr="00635B65" w:rsidRDefault="00DC203B" w:rsidP="00DC203B">
      <w:pPr>
        <w:pStyle w:val="BodyText"/>
      </w:pPr>
      <m:oMathPara>
        <m:oMath>
          <m:r>
            <w:rPr>
              <w:rFonts w:ascii="Cambria Math" w:hAnsi="Cambria Math"/>
            </w:rPr>
            <m:t>TotalPassthrough ~ N(</m:t>
          </m:r>
          <m:sSup>
            <m:sSupPr>
              <m:ctrlPr>
                <w:rPr>
                  <w:rFonts w:ascii="Cambria Math" w:hAnsi="Cambria Math"/>
                  <w:i/>
                </w:rPr>
              </m:ctrlPr>
            </m:sSupPr>
            <m:e>
              <m:r>
                <w:rPr>
                  <w:rFonts w:ascii="Cambria Math" w:hAnsi="Cambria Math"/>
                </w:rPr>
                <m:t>μ</m:t>
              </m:r>
            </m:e>
            <m:sup>
              <m:r>
                <w:rPr>
                  <w:rFonts w:ascii="Cambria Math" w:hAnsi="Cambria Math"/>
                </w:rPr>
                <m:t>TotalPassthrough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TotalPassthrough</m:t>
              </m:r>
            </m:sup>
          </m:sSubSup>
          <m:r>
            <w:rPr>
              <w:rFonts w:ascii="Cambria Math" w:hAnsi="Cambria Math"/>
            </w:rPr>
            <m:t>)</m:t>
          </m:r>
        </m:oMath>
      </m:oMathPara>
    </w:p>
    <w:p w:rsidR="00DC203B" w:rsidRDefault="00DC203B" w:rsidP="00DC203B">
      <w:pPr>
        <w:pStyle w:val="BodyText"/>
      </w:pPr>
      <m:oMathPara>
        <m:oMath>
          <m:r>
            <w:rPr>
              <w:rFonts w:ascii="Cambria Math" w:hAnsi="Cambria Math"/>
            </w:rPr>
            <m:t>AdminPassthrough ~ N(</m:t>
          </m:r>
          <m:sSup>
            <m:sSupPr>
              <m:ctrlPr>
                <w:rPr>
                  <w:rFonts w:ascii="Cambria Math" w:hAnsi="Cambria Math"/>
                  <w:i/>
                </w:rPr>
              </m:ctrlPr>
            </m:sSupPr>
            <m:e>
              <m:r>
                <w:rPr>
                  <w:rFonts w:ascii="Cambria Math" w:hAnsi="Cambria Math"/>
                </w:rPr>
                <m:t>μ</m:t>
              </m:r>
            </m:e>
            <m:sup>
              <m:r>
                <w:rPr>
                  <w:rFonts w:ascii="Cambria Math" w:hAnsi="Cambria Math"/>
                </w:rPr>
                <m:t>AdminPassthrough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AdminPassthrough</m:t>
              </m:r>
            </m:sup>
          </m:sSubSup>
          <m:r>
            <w:rPr>
              <w:rFonts w:ascii="Cambria Math" w:hAnsi="Cambria Math"/>
            </w:rPr>
            <m:t>)</m:t>
          </m:r>
        </m:oMath>
      </m:oMathPara>
    </w:p>
    <w:p w:rsidR="00DC203B" w:rsidRPr="00487DD5" w:rsidRDefault="00DC203B" w:rsidP="00DC203B">
      <w:pPr>
        <w:pStyle w:val="BodyText"/>
      </w:pPr>
      <m:oMathPara>
        <m:oMath>
          <m:r>
            <w:rPr>
              <w:rFonts w:ascii="Cambria Math" w:hAnsi="Cambria Math"/>
            </w:rPr>
            <m:t>InvestPassthrough ~ N(</m:t>
          </m:r>
          <m:sSup>
            <m:sSupPr>
              <m:ctrlPr>
                <w:rPr>
                  <w:rFonts w:ascii="Cambria Math" w:hAnsi="Cambria Math"/>
                  <w:i/>
                </w:rPr>
              </m:ctrlPr>
            </m:sSupPr>
            <m:e>
              <m:r>
                <w:rPr>
                  <w:rFonts w:ascii="Cambria Math" w:hAnsi="Cambria Math"/>
                </w:rPr>
                <m:t>μ</m:t>
              </m:r>
            </m:e>
            <m:sup>
              <m:r>
                <w:rPr>
                  <w:rFonts w:ascii="Cambria Math" w:hAnsi="Cambria Math"/>
                </w:rPr>
                <m:t>InvestPassthrough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InvestPassthrough</m:t>
              </m:r>
            </m:sup>
          </m:sSubSup>
          <m:r>
            <w:rPr>
              <w:rFonts w:ascii="Cambria Math" w:hAnsi="Cambria Math"/>
            </w:rPr>
            <m:t>)</m:t>
          </m:r>
        </m:oMath>
      </m:oMathPara>
    </w:p>
    <w:p w:rsidR="00DC203B" w:rsidRPr="00107174" w:rsidRDefault="001F492C" w:rsidP="00DC203B">
      <w:pPr>
        <w:pStyle w:val="BodyText"/>
        <w:rPr>
          <w:rFonts w:ascii="Cambria Math" w:hAnsi="Cambria Math"/>
        </w:rPr>
      </w:pPr>
      <m:oMathPara>
        <m:oMath>
          <m:sSup>
            <m:sSupPr>
              <m:ctrlPr>
                <w:rPr>
                  <w:rFonts w:ascii="Cambria Math" w:hAnsi="Cambria Math"/>
                  <w:i/>
                </w:rPr>
              </m:ctrlPr>
            </m:sSupPr>
            <m:e>
              <m:r>
                <w:rPr>
                  <w:rFonts w:ascii="Cambria Math" w:hAnsi="Cambria Math"/>
                </w:rPr>
                <m:t>μ</m:t>
              </m:r>
            </m:e>
            <m:sup>
              <m:r>
                <w:rPr>
                  <w:rFonts w:ascii="Cambria Math" w:hAnsi="Cambria Math"/>
                </w:rPr>
                <m:t>TotalPassthrough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r>
            <w:rPr>
              <w:rFonts w:ascii="Cambria Math" w:hAnsi="Cambria Math"/>
            </w:rPr>
            <m:t>+</m:t>
          </m:r>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r>
            <m:rPr>
              <m:sty m:val="p"/>
            </m:rPr>
            <w:rPr>
              <w:rFonts w:ascii="Cambria Math" w:hAnsi="Cambria Math"/>
            </w:rPr>
            <m:t>Δ</m:t>
          </m:r>
          <m:r>
            <w:rPr>
              <w:rFonts w:ascii="Cambria Math" w:hAnsi="Cambria Math"/>
            </w:rPr>
            <m:t>Total+</m:t>
          </m:r>
          <m:sSup>
            <m:sSupPr>
              <m:ctrlPr>
                <w:rPr>
                  <w:rFonts w:ascii="Cambria Math" w:hAnsi="Cambria Math"/>
                  <w:i/>
                </w:rPr>
              </m:ctrlPr>
            </m:sSupPr>
            <m:e>
              <m:sSup>
                <m:sSupPr>
                  <m:ctrlPr>
                    <w:rPr>
                      <w:rFonts w:ascii="Cambria Math" w:hAnsi="Cambria Math"/>
                      <w:i/>
                    </w:rPr>
                  </m:ctrlPr>
                </m:sSupPr>
                <m:e>
                  <m:r>
                    <w:rPr>
                      <w:rFonts w:ascii="Cambria Math" w:hAnsi="Cambria Math"/>
                    </w:rPr>
                    <m:t>Z</m:t>
                  </m:r>
                </m:e>
                <m:sup>
                  <m:r>
                    <w:rPr>
                      <w:rFonts w:ascii="Cambria Math" w:hAnsi="Cambria Math"/>
                    </w:rPr>
                    <m:t>TP</m:t>
                  </m:r>
                </m:sup>
              </m:sSup>
              <m:r>
                <w:rPr>
                  <w:rFonts w:ascii="Cambria Math" w:hAnsi="Cambria Math"/>
                </w:rPr>
                <m:t>γ</m:t>
              </m:r>
            </m:e>
            <m:sup>
              <m:r>
                <w:rPr>
                  <w:rFonts w:ascii="Cambria Math" w:hAnsi="Cambria Math"/>
                </w:rPr>
                <m:t>TP</m:t>
              </m:r>
            </m:sup>
          </m:sSup>
        </m:oMath>
      </m:oMathPara>
    </w:p>
    <w:p w:rsidR="00DC203B" w:rsidRDefault="001F492C" w:rsidP="00DC203B">
      <w:pPr>
        <w:pStyle w:val="BodyText"/>
        <w:rPr>
          <w:rFonts w:ascii="Cambria Math" w:hAnsi="Cambria Math"/>
        </w:rPr>
      </w:pPr>
      <m:oMathPara>
        <m:oMath>
          <m:sSup>
            <m:sSupPr>
              <m:ctrlPr>
                <w:rPr>
                  <w:rFonts w:ascii="Cambria Math" w:hAnsi="Cambria Math"/>
                  <w:i/>
                </w:rPr>
              </m:ctrlPr>
            </m:sSupPr>
            <m:e>
              <m:r>
                <w:rPr>
                  <w:rFonts w:ascii="Cambria Math" w:hAnsi="Cambria Math"/>
                </w:rPr>
                <m:t>μ</m:t>
              </m:r>
            </m:e>
            <m:sup>
              <m:r>
                <w:rPr>
                  <w:rFonts w:ascii="Cambria Math" w:hAnsi="Cambria Math"/>
                </w:rPr>
                <m:t>AdminPassthrough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r>
            <m:rPr>
              <m:sty m:val="p"/>
            </m:rPr>
            <w:rPr>
              <w:rFonts w:ascii="Cambria Math" w:hAnsi="Cambria Math"/>
            </w:rPr>
            <m:t>Δ</m:t>
          </m:r>
          <m:r>
            <w:rPr>
              <w:rFonts w:ascii="Cambria Math" w:hAnsi="Cambria Math"/>
            </w:rPr>
            <m:t>Admin+</m:t>
          </m:r>
          <m:sSup>
            <m:sSupPr>
              <m:ctrlPr>
                <w:rPr>
                  <w:rFonts w:ascii="Cambria Math" w:hAnsi="Cambria Math"/>
                  <w:i/>
                </w:rPr>
              </m:ctrlPr>
            </m:sSupPr>
            <m:e>
              <m:sSup>
                <m:sSupPr>
                  <m:ctrlPr>
                    <w:rPr>
                      <w:rFonts w:ascii="Cambria Math" w:hAnsi="Cambria Math"/>
                      <w:i/>
                    </w:rPr>
                  </m:ctrlPr>
                </m:sSupPr>
                <m:e>
                  <m:r>
                    <w:rPr>
                      <w:rFonts w:ascii="Cambria Math" w:hAnsi="Cambria Math"/>
                    </w:rPr>
                    <m:t>Z</m:t>
                  </m:r>
                </m:e>
                <m:sup>
                  <m:r>
                    <w:rPr>
                      <w:rFonts w:ascii="Cambria Math" w:hAnsi="Cambria Math"/>
                    </w:rPr>
                    <m:t>AP</m:t>
                  </m:r>
                </m:sup>
              </m:sSup>
              <m:r>
                <w:rPr>
                  <w:rFonts w:ascii="Cambria Math" w:hAnsi="Cambria Math"/>
                </w:rPr>
                <m:t>γ</m:t>
              </m:r>
            </m:e>
            <m:sup>
              <m:r>
                <w:rPr>
                  <w:rFonts w:ascii="Cambria Math" w:hAnsi="Cambria Math"/>
                </w:rPr>
                <m:t>AP</m:t>
              </m:r>
            </m:sup>
          </m:sSup>
        </m:oMath>
      </m:oMathPara>
    </w:p>
    <w:p w:rsidR="00DC203B" w:rsidRPr="00DB69B7" w:rsidRDefault="001F492C" w:rsidP="00DC203B">
      <w:pPr>
        <w:pStyle w:val="BodyText"/>
        <w:rPr>
          <w:rFonts w:ascii="Cambria Math" w:hAnsi="Cambria Math"/>
        </w:rPr>
      </w:pPr>
      <m:oMathPara>
        <m:oMath>
          <m:sSup>
            <m:sSupPr>
              <m:ctrlPr>
                <w:rPr>
                  <w:rFonts w:ascii="Cambria Math" w:hAnsi="Cambria Math"/>
                  <w:i/>
                </w:rPr>
              </m:ctrlPr>
            </m:sSupPr>
            <m:e>
              <m:r>
                <w:rPr>
                  <w:rFonts w:ascii="Cambria Math" w:hAnsi="Cambria Math"/>
                </w:rPr>
                <m:t>μ</m:t>
              </m:r>
            </m:e>
            <m:sup>
              <m:r>
                <w:rPr>
                  <w:rFonts w:ascii="Cambria Math" w:hAnsi="Cambria Math"/>
                </w:rPr>
                <m:t>InvestPassthrough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r>
            <w:rPr>
              <w:rFonts w:ascii="Cambria Math" w:hAnsi="Cambria Math"/>
            </w:rPr>
            <m:t>+</m:t>
          </m:r>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r>
            <m:rPr>
              <m:sty m:val="p"/>
            </m:rPr>
            <w:rPr>
              <w:rFonts w:ascii="Cambria Math" w:hAnsi="Cambria Math"/>
            </w:rPr>
            <m:t>Δ</m:t>
          </m:r>
          <m:r>
            <w:rPr>
              <w:rFonts w:ascii="Cambria Math" w:hAnsi="Cambria Math"/>
            </w:rPr>
            <m:t>Invest+</m:t>
          </m:r>
          <m:sSup>
            <m:sSupPr>
              <m:ctrlPr>
                <w:rPr>
                  <w:rFonts w:ascii="Cambria Math" w:hAnsi="Cambria Math"/>
                  <w:i/>
                </w:rPr>
              </m:ctrlPr>
            </m:sSupPr>
            <m:e>
              <m:sSup>
                <m:sSupPr>
                  <m:ctrlPr>
                    <w:rPr>
                      <w:rFonts w:ascii="Cambria Math" w:hAnsi="Cambria Math"/>
                      <w:i/>
                    </w:rPr>
                  </m:ctrlPr>
                </m:sSupPr>
                <m:e>
                  <m:r>
                    <w:rPr>
                      <w:rFonts w:ascii="Cambria Math" w:hAnsi="Cambria Math"/>
                    </w:rPr>
                    <m:t>Z</m:t>
                  </m:r>
                </m:e>
                <m:sup>
                  <m:r>
                    <w:rPr>
                      <w:rFonts w:ascii="Cambria Math" w:hAnsi="Cambria Math"/>
                    </w:rPr>
                    <m:t>IP</m:t>
                  </m:r>
                </m:sup>
              </m:sSup>
              <m:r>
                <w:rPr>
                  <w:rFonts w:ascii="Cambria Math" w:hAnsi="Cambria Math"/>
                </w:rPr>
                <m:t>γ</m:t>
              </m:r>
            </m:e>
            <m:sup>
              <m:r>
                <w:rPr>
                  <w:rFonts w:ascii="Cambria Math" w:hAnsi="Cambria Math"/>
                </w:rPr>
                <m:t>IP</m:t>
              </m:r>
            </m:sup>
          </m:sSup>
        </m:oMath>
      </m:oMathPara>
    </w:p>
    <w:p w:rsidR="00DC203B" w:rsidRDefault="00DC203B" w:rsidP="00DC203B">
      <w:pPr>
        <w:pStyle w:val="BodyText"/>
      </w:pPr>
      <m:oMath>
        <m:r>
          <m:rPr>
            <m:sty m:val="p"/>
          </m:rPr>
          <w:rPr>
            <w:rFonts w:ascii="Cambria Math" w:hAnsi="Cambria Math"/>
          </w:rPr>
          <m:t>Δ</m:t>
        </m:r>
        <m:r>
          <w:rPr>
            <w:rFonts w:ascii="Cambria Math" w:hAnsi="Cambria Math"/>
          </w:rPr>
          <m:t>Total</m:t>
        </m:r>
      </m:oMath>
      <w:r>
        <w:t xml:space="preserve">, </w:t>
      </w:r>
      <m:oMath>
        <m:r>
          <m:rPr>
            <m:sty m:val="p"/>
          </m:rPr>
          <w:rPr>
            <w:rFonts w:ascii="Cambria Math" w:hAnsi="Cambria Math"/>
          </w:rPr>
          <m:t>Δ</m:t>
        </m:r>
        <m:r>
          <w:rPr>
            <w:rFonts w:ascii="Cambria Math" w:hAnsi="Cambria Math"/>
          </w:rPr>
          <m:t>Admin</m:t>
        </m:r>
      </m:oMath>
      <w:r>
        <w:t xml:space="preserve">, and </w:t>
      </w:r>
      <m:oMath>
        <m:r>
          <m:rPr>
            <m:sty m:val="p"/>
          </m:rPr>
          <w:rPr>
            <w:rFonts w:ascii="Cambria Math" w:hAnsi="Cambria Math"/>
          </w:rPr>
          <m:t>Δ</m:t>
        </m:r>
        <m:r>
          <w:rPr>
            <w:rFonts w:ascii="Cambria Math" w:hAnsi="Cambria Math"/>
          </w:rPr>
          <m:t>Invest</m:t>
        </m:r>
      </m:oMath>
      <w:r>
        <w:t xml:space="preserve"> refer to the predicted change in expenses only due to a change in size. They are calculated by taking the difference between the predicted costs for a fund in the current time period </w:t>
      </w:r>
      <m:oMath>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Base</m:t>
            </m:r>
          </m:sub>
          <m:sup/>
        </m:sSubSup>
        <m:r>
          <w:rPr>
            <w:rFonts w:ascii="Cambria Math" w:hAnsi="Cambria Math"/>
          </w:rPr>
          <m:t>)</m:t>
        </m:r>
      </m:oMath>
      <w:r>
        <w:t xml:space="preserve"> and the predicted costs if the total assets and members accounts are shifted forward one period but other information is held constant </w:t>
      </w:r>
      <m:oMath>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Size</m:t>
            </m:r>
          </m:sub>
          <m:sup/>
        </m:sSubSup>
        <m:r>
          <w:rPr>
            <w:rFonts w:ascii="Cambria Math" w:hAnsi="Cambria Math"/>
          </w:rPr>
          <m:t>)</m:t>
        </m:r>
      </m:oMath>
      <w:r>
        <w:t xml:space="preserve">. </w:t>
      </w:r>
    </w:p>
    <w:p w:rsidR="00DC203B" w:rsidRDefault="00DC203B" w:rsidP="00DC203B">
      <w:pPr>
        <w:pStyle w:val="BodyText"/>
      </w:pPr>
      <w:r>
        <w:t xml:space="preserve">To calculate total expenses, the above expressions for administration and investment expenses are </w:t>
      </w:r>
      <w:r w:rsidRPr="00B877B7">
        <w:t>unstandardised</w:t>
      </w:r>
      <w:r>
        <w:t xml:space="preserve"> and summed up</w:t>
      </w:r>
      <w:r w:rsidR="007F739B">
        <w:t>.</w:t>
      </w:r>
    </w:p>
    <w:p w:rsidR="00B05D92" w:rsidRPr="008E07E9" w:rsidRDefault="001F492C" w:rsidP="00B05D92">
      <w:pPr>
        <w:pStyle w:val="BodyText"/>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Admin</m:t>
              </m:r>
            </m:sup>
          </m:sSubSup>
          <m:r>
            <w:rPr>
              <w:rFonts w:ascii="Cambria Math" w:hAnsi="Cambria Math"/>
            </w:rPr>
            <m:t xml:space="preserve"> ∝</m:t>
          </m:r>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Base</m:t>
              </m:r>
            </m:sub>
            <m:sup>
              <m:r>
                <w:rPr>
                  <w:rFonts w:ascii="Cambria Math" w:hAnsi="Cambria Math"/>
                </w:rPr>
                <m:t>Admin</m:t>
              </m:r>
            </m:sup>
          </m:sSubSup>
          <m:r>
            <w:rPr>
              <w:rFonts w:ascii="Cambria Math" w:hAnsi="Cambria Math"/>
            </w:rPr>
            <m:t>)</m:t>
          </m:r>
        </m:oMath>
      </m:oMathPara>
    </w:p>
    <w:p w:rsidR="00B05D92" w:rsidRDefault="001F492C" w:rsidP="00B05D92">
      <w:pPr>
        <w:pStyle w:val="BodyText"/>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Admin</m:t>
              </m:r>
            </m:sup>
          </m:sSubSup>
          <m:r>
            <w:rPr>
              <w:rFonts w:ascii="Cambria Math" w:hAnsi="Cambria Math"/>
            </w:rPr>
            <m:t xml:space="preserve"> ∝</m:t>
          </m:r>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Size</m:t>
              </m:r>
            </m:sub>
            <m:sup>
              <m:r>
                <w:rPr>
                  <w:rFonts w:ascii="Cambria Math" w:hAnsi="Cambria Math"/>
                </w:rPr>
                <m:t>Admin</m:t>
              </m:r>
            </m:sup>
          </m:sSubSup>
          <m:r>
            <w:rPr>
              <w:rFonts w:ascii="Cambria Math" w:hAnsi="Cambria Math"/>
            </w:rPr>
            <m:t>)</m:t>
          </m:r>
        </m:oMath>
      </m:oMathPara>
    </w:p>
    <w:p w:rsidR="00B05D92" w:rsidRDefault="001F492C" w:rsidP="00B05D92">
      <w:pPr>
        <w:pStyle w:val="BodyText"/>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Invest</m:t>
              </m:r>
            </m:sup>
          </m:sSubSup>
          <m:r>
            <w:rPr>
              <w:rFonts w:ascii="Cambria Math" w:hAnsi="Cambria Math"/>
            </w:rPr>
            <m:t xml:space="preserve"> ∝</m:t>
          </m:r>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Base</m:t>
              </m:r>
            </m:sub>
            <m:sup>
              <m:r>
                <w:rPr>
                  <w:rFonts w:ascii="Cambria Math" w:hAnsi="Cambria Math"/>
                </w:rPr>
                <m:t>Invest</m:t>
              </m:r>
            </m:sup>
          </m:sSubSup>
          <m:r>
            <w:rPr>
              <w:rFonts w:ascii="Cambria Math" w:hAnsi="Cambria Math"/>
            </w:rPr>
            <m:t>)</m:t>
          </m:r>
        </m:oMath>
      </m:oMathPara>
    </w:p>
    <w:p w:rsidR="00B05D92" w:rsidRPr="008E07E9" w:rsidRDefault="001F492C" w:rsidP="00B05D92">
      <w:pPr>
        <w:pStyle w:val="BodyText"/>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Invest</m:t>
              </m:r>
            </m:sup>
          </m:sSubSup>
          <m:r>
            <w:rPr>
              <w:rFonts w:ascii="Cambria Math" w:hAnsi="Cambria Math"/>
            </w:rPr>
            <m:t xml:space="preserve"> ∝</m:t>
          </m:r>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Size</m:t>
              </m:r>
            </m:sub>
            <m:sup>
              <m:r>
                <w:rPr>
                  <w:rFonts w:ascii="Cambria Math" w:hAnsi="Cambria Math"/>
                </w:rPr>
                <m:t>Invest</m:t>
              </m:r>
            </m:sup>
          </m:sSubSup>
          <m:r>
            <w:rPr>
              <w:rFonts w:ascii="Cambria Math" w:hAnsi="Cambria Math"/>
            </w:rPr>
            <m:t>)</m:t>
          </m:r>
        </m:oMath>
      </m:oMathPara>
    </w:p>
    <w:p w:rsidR="00B05D92" w:rsidRPr="00EA0FCC" w:rsidRDefault="001F492C" w:rsidP="00B05D92">
      <w:pPr>
        <w:pStyle w:val="ListBullet"/>
        <w:numPr>
          <w:ilvl w:val="0"/>
          <w:numId w:val="0"/>
        </w:numPr>
        <w:ind w:left="340"/>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Total</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Admin</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Invest</m:t>
              </m:r>
            </m:sup>
          </m:sSubSup>
        </m:oMath>
      </m:oMathPara>
    </w:p>
    <w:p w:rsidR="00B05D92" w:rsidRDefault="001F492C" w:rsidP="00B05D92">
      <w:pPr>
        <w:pStyle w:val="ListBullet"/>
        <w:numPr>
          <w:ilvl w:val="0"/>
          <w:numId w:val="0"/>
        </w:numPr>
        <w:ind w:left="340"/>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Total</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Admin</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Invest</m:t>
              </m:r>
            </m:sup>
          </m:sSubSup>
        </m:oMath>
      </m:oMathPara>
    </w:p>
    <w:p w:rsidR="003B11F0" w:rsidRDefault="003B11F0">
      <w:pPr>
        <w:rPr>
          <w:szCs w:val="20"/>
        </w:rPr>
      </w:pPr>
      <w:r>
        <w:br w:type="page"/>
      </w:r>
    </w:p>
    <w:p w:rsidR="00DC203B" w:rsidRDefault="00DC203B" w:rsidP="00DC203B">
      <w:pPr>
        <w:pStyle w:val="BodyText"/>
      </w:pPr>
      <w:r>
        <w:lastRenderedPageBreak/>
        <w:t>Log differences are taken for total, administration, and investment expenses to calculate the change in expenses only due to a change in size.</w:t>
      </w:r>
    </w:p>
    <w:p w:rsidR="00DC203B" w:rsidRPr="008E07E9" w:rsidRDefault="00DC203B" w:rsidP="00DC203B">
      <w:pPr>
        <w:pStyle w:val="BodyText"/>
      </w:pPr>
      <m:oMathPara>
        <m:oMath>
          <m:r>
            <m:rPr>
              <m:sty m:val="p"/>
            </m:rPr>
            <w:rPr>
              <w:rFonts w:ascii="Cambria Math" w:hAnsi="Cambria Math"/>
            </w:rPr>
            <m:t>Δ</m:t>
          </m:r>
          <m:r>
            <w:rPr>
              <w:rFonts w:ascii="Cambria Math" w:hAnsi="Cambria Math"/>
            </w:rPr>
            <m:t>Total=</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Total</m:t>
                      </m:r>
                    </m:sup>
                  </m:sSubSup>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Total</m:t>
                      </m:r>
                    </m:sup>
                  </m:sSubSup>
                </m:e>
              </m:d>
            </m:e>
          </m:func>
        </m:oMath>
      </m:oMathPara>
    </w:p>
    <w:p w:rsidR="00DC203B" w:rsidRDefault="00DC203B" w:rsidP="00DC203B">
      <w:pPr>
        <w:pStyle w:val="BodyText"/>
      </w:pPr>
      <m:oMathPara>
        <m:oMath>
          <m:r>
            <m:rPr>
              <m:sty m:val="p"/>
            </m:rPr>
            <w:rPr>
              <w:rFonts w:ascii="Cambria Math" w:hAnsi="Cambria Math"/>
            </w:rPr>
            <m:t>Δ</m:t>
          </m:r>
          <m:r>
            <w:rPr>
              <w:rFonts w:ascii="Cambria Math" w:hAnsi="Cambria Math"/>
            </w:rPr>
            <m:t>Admin=</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Admin</m:t>
                      </m:r>
                    </m:sup>
                  </m:sSubSup>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Admin</m:t>
                      </m:r>
                    </m:sup>
                  </m:sSubSup>
                </m:e>
              </m:d>
            </m:e>
          </m:func>
        </m:oMath>
      </m:oMathPara>
    </w:p>
    <w:p w:rsidR="00DC203B" w:rsidRPr="00DB69B7" w:rsidRDefault="00DC203B" w:rsidP="00DC203B">
      <w:pPr>
        <w:pStyle w:val="BodyText"/>
      </w:pPr>
      <m:oMathPara>
        <m:oMath>
          <m:r>
            <m:rPr>
              <m:sty m:val="p"/>
            </m:rPr>
            <w:rPr>
              <w:rFonts w:ascii="Cambria Math" w:hAnsi="Cambria Math"/>
            </w:rPr>
            <m:t>Δ</m:t>
          </m:r>
          <m:r>
            <w:rPr>
              <w:rFonts w:ascii="Cambria Math" w:hAnsi="Cambria Math"/>
            </w:rPr>
            <m:t>Invest=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Invest</m:t>
                      </m:r>
                    </m:sup>
                  </m:sSubSup>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Invest</m:t>
                      </m:r>
                    </m:sup>
                  </m:sSubSup>
                </m:e>
              </m:d>
            </m:e>
          </m:func>
        </m:oMath>
      </m:oMathPara>
    </w:p>
    <w:p w:rsidR="00DC203B" w:rsidRDefault="00DC203B" w:rsidP="00DC203B">
      <w:pPr>
        <w:pStyle w:val="BodyText"/>
      </w:pPr>
      <w:r>
        <w:t>The priors for the pass</w:t>
      </w:r>
      <w:r w:rsidR="00F640C8">
        <w:noBreakHyphen/>
      </w:r>
      <w:r>
        <w:t>through model are:</w:t>
      </w:r>
    </w:p>
    <w:p w:rsidR="00DC203B" w:rsidRPr="00B5023A" w:rsidRDefault="001F492C" w:rsidP="00DC203B">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TP</m:t>
                            </m:r>
                          </m:sup>
                        </m:sSup>
                      </m:e>
                    </m:mr>
                    <m:mr>
                      <m:e>
                        <m:sSup>
                          <m:sSupPr>
                            <m:ctrlPr>
                              <w:rPr>
                                <w:rFonts w:ascii="Cambria Math" w:hAnsi="Cambria Math"/>
                                <w:i/>
                              </w:rPr>
                            </m:ctrlPr>
                          </m:sSupPr>
                          <m:e>
                            <m:r>
                              <w:rPr>
                                <w:rFonts w:ascii="Cambria Math" w:hAnsi="Cambria Math"/>
                              </w:rPr>
                              <m:t>β</m:t>
                            </m:r>
                          </m:e>
                          <m:sup>
                            <m:r>
                              <w:rPr>
                                <w:rFonts w:ascii="Cambria Math" w:hAnsi="Cambria Math"/>
                              </w:rPr>
                              <m:t>TP</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TP</m:t>
                  </m:r>
                </m:sup>
              </m:sSup>
            </m:e>
          </m:d>
        </m:oMath>
      </m:oMathPara>
    </w:p>
    <w:p w:rsidR="00DC203B" w:rsidRDefault="001F492C" w:rsidP="00DC203B">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AP</m:t>
                            </m:r>
                          </m:sup>
                        </m:sSup>
                      </m:e>
                    </m:mr>
                    <m:mr>
                      <m:e>
                        <m:sSup>
                          <m:sSupPr>
                            <m:ctrlPr>
                              <w:rPr>
                                <w:rFonts w:ascii="Cambria Math" w:hAnsi="Cambria Math"/>
                                <w:i/>
                              </w:rPr>
                            </m:ctrlPr>
                          </m:sSupPr>
                          <m:e>
                            <m:r>
                              <w:rPr>
                                <w:rFonts w:ascii="Cambria Math" w:hAnsi="Cambria Math"/>
                              </w:rPr>
                              <m:t>β</m:t>
                            </m:r>
                          </m:e>
                          <m:sup>
                            <m:r>
                              <w:rPr>
                                <w:rFonts w:ascii="Cambria Math" w:hAnsi="Cambria Math"/>
                              </w:rPr>
                              <m:t>AP</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AP</m:t>
                  </m:r>
                </m:sup>
              </m:sSup>
            </m:e>
          </m:d>
        </m:oMath>
      </m:oMathPara>
    </w:p>
    <w:p w:rsidR="00DC203B" w:rsidRDefault="001F492C" w:rsidP="00DC203B">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IP</m:t>
                            </m:r>
                          </m:sup>
                        </m:sSup>
                      </m:e>
                    </m:mr>
                    <m:mr>
                      <m:e>
                        <m:sSup>
                          <m:sSupPr>
                            <m:ctrlPr>
                              <w:rPr>
                                <w:rFonts w:ascii="Cambria Math" w:hAnsi="Cambria Math"/>
                                <w:i/>
                              </w:rPr>
                            </m:ctrlPr>
                          </m:sSupPr>
                          <m:e>
                            <m:r>
                              <w:rPr>
                                <w:rFonts w:ascii="Cambria Math" w:hAnsi="Cambria Math"/>
                              </w:rPr>
                              <m:t>β</m:t>
                            </m:r>
                          </m:e>
                          <m:sup>
                            <m:r>
                              <w:rPr>
                                <w:rFonts w:ascii="Cambria Math" w:hAnsi="Cambria Math"/>
                              </w:rPr>
                              <m:t>IP</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IP</m:t>
                  </m:r>
                </m:sup>
              </m:sSup>
            </m:e>
          </m:d>
        </m:oMath>
      </m:oMathPara>
    </w:p>
    <w:p w:rsidR="00DC203B" w:rsidRPr="00764AC1" w:rsidRDefault="001F492C" w:rsidP="00DC203B">
      <w:pPr>
        <w:pStyle w:val="BodyText"/>
      </w:pPr>
      <m:oMathPara>
        <m:oMath>
          <m:sSup>
            <m:sSupPr>
              <m:ctrlPr>
                <w:rPr>
                  <w:rFonts w:ascii="Cambria Math" w:hAnsi="Cambria Math"/>
                  <w:i/>
                </w:rPr>
              </m:ctrlPr>
            </m:sSupPr>
            <m:e>
              <m:r>
                <w:rPr>
                  <w:rFonts w:ascii="Cambria Math" w:hAnsi="Cambria Math"/>
                </w:rPr>
                <m:t>α</m:t>
              </m:r>
            </m:e>
            <m:sup>
              <m:r>
                <w:rPr>
                  <w:rFonts w:ascii="Cambria Math" w:hAnsi="Cambria Math"/>
                </w:rPr>
                <m:t>TP</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TP</m:t>
              </m:r>
            </m:sup>
          </m:sSup>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AP</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AP</m:t>
              </m:r>
            </m:sup>
          </m:sSup>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IP</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IP</m:t>
              </m:r>
            </m:sup>
          </m:sSup>
          <m:r>
            <w:rPr>
              <w:rFonts w:ascii="Cambria Math" w:hAnsi="Cambria Math"/>
            </w:rPr>
            <m:t xml:space="preserve"> ~ N(0, 1)</m:t>
          </m:r>
        </m:oMath>
      </m:oMathPara>
    </w:p>
    <w:p w:rsidR="00DC203B" w:rsidRPr="00A1591B" w:rsidRDefault="001F492C" w:rsidP="00DC203B">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TP</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mr>
              </m:m>
            </m:e>
          </m:d>
          <m:sSup>
            <m:sSupPr>
              <m:ctrlPr>
                <w:rPr>
                  <w:rFonts w:ascii="Cambria Math" w:hAnsi="Cambria Math"/>
                  <w:i/>
                </w:rPr>
              </m:ctrlPr>
            </m:sSupPr>
            <m:e>
              <m:r>
                <w:rPr>
                  <w:rFonts w:ascii="Cambria Math" w:hAnsi="Cambria Math"/>
                </w:rPr>
                <m:t>L</m:t>
              </m:r>
            </m:e>
            <m:sup>
              <m:r>
                <w:rPr>
                  <w:rFonts w:ascii="Cambria Math" w:hAnsi="Cambria Math"/>
                </w:rPr>
                <m:t>TP</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mr>
              </m:m>
            </m:e>
          </m:d>
        </m:oMath>
      </m:oMathPara>
    </w:p>
    <w:p w:rsidR="00DC203B" w:rsidRDefault="001F492C" w:rsidP="00DC203B">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AP</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mr>
              </m:m>
            </m:e>
          </m:d>
          <m:sSup>
            <m:sSupPr>
              <m:ctrlPr>
                <w:rPr>
                  <w:rFonts w:ascii="Cambria Math" w:hAnsi="Cambria Math"/>
                  <w:i/>
                </w:rPr>
              </m:ctrlPr>
            </m:sSupPr>
            <m:e>
              <m:r>
                <w:rPr>
                  <w:rFonts w:ascii="Cambria Math" w:hAnsi="Cambria Math"/>
                </w:rPr>
                <m:t>L</m:t>
              </m:r>
            </m:e>
            <m:sup>
              <m:r>
                <w:rPr>
                  <w:rFonts w:ascii="Cambria Math" w:hAnsi="Cambria Math"/>
                </w:rPr>
                <m:t>AP</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mr>
              </m:m>
            </m:e>
          </m:d>
        </m:oMath>
      </m:oMathPara>
    </w:p>
    <w:p w:rsidR="00DC203B" w:rsidRPr="00C53A8B" w:rsidRDefault="001F492C" w:rsidP="00DC203B">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IP</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mr>
              </m:m>
            </m:e>
          </m:d>
          <m:sSup>
            <m:sSupPr>
              <m:ctrlPr>
                <w:rPr>
                  <w:rFonts w:ascii="Cambria Math" w:hAnsi="Cambria Math"/>
                  <w:i/>
                </w:rPr>
              </m:ctrlPr>
            </m:sSupPr>
            <m:e>
              <m:r>
                <w:rPr>
                  <w:rFonts w:ascii="Cambria Math" w:hAnsi="Cambria Math"/>
                </w:rPr>
                <m:t>L</m:t>
              </m:r>
            </m:e>
            <m:sup>
              <m:r>
                <w:rPr>
                  <w:rFonts w:ascii="Cambria Math" w:hAnsi="Cambria Math"/>
                </w:rPr>
                <m:t>IP</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mr>
              </m:m>
            </m:e>
          </m:d>
        </m:oMath>
      </m:oMathPara>
    </w:p>
    <w:p w:rsidR="00DC203B" w:rsidRPr="00C53A8B" w:rsidRDefault="001F492C" w:rsidP="00DC203B">
      <w:pPr>
        <w:pStyle w:val="BodyText"/>
      </w:pPr>
      <m:oMathPara>
        <m:oMath>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r>
            <w:rPr>
              <w:rFonts w:ascii="Cambria Math" w:hAnsi="Cambria Math"/>
            </w:rPr>
            <m:t xml:space="preserve"> ~ IG(2, 1)</m:t>
          </m:r>
        </m:oMath>
      </m:oMathPara>
    </w:p>
    <w:p w:rsidR="00DC203B" w:rsidRPr="00977F44" w:rsidRDefault="001F492C" w:rsidP="00DC203B">
      <w:pPr>
        <w:pStyle w:val="BodyText"/>
      </w:pPr>
      <m:oMathPara>
        <m:oMath>
          <m:sSup>
            <m:sSupPr>
              <m:ctrlPr>
                <w:rPr>
                  <w:rFonts w:ascii="Cambria Math" w:hAnsi="Cambria Math"/>
                  <w:i/>
                </w:rPr>
              </m:ctrlPr>
            </m:sSupPr>
            <m:e>
              <m:r>
                <w:rPr>
                  <w:rFonts w:ascii="Cambria Math" w:hAnsi="Cambria Math"/>
                </w:rPr>
                <m:t>L</m:t>
              </m:r>
            </m:e>
            <m:sup>
              <m:r>
                <w:rPr>
                  <w:rFonts w:ascii="Cambria Math" w:hAnsi="Cambria Math"/>
                </w:rPr>
                <m:t>TP</m:t>
              </m:r>
            </m:sup>
          </m:sSup>
          <m:r>
            <w:rPr>
              <w:rFonts w:ascii="Cambria Math" w:hAnsi="Cambria Math"/>
            </w:rPr>
            <m:t xml:space="preserve">, </m:t>
          </m:r>
          <m:sSup>
            <m:sSupPr>
              <m:ctrlPr>
                <w:rPr>
                  <w:rFonts w:ascii="Cambria Math" w:hAnsi="Cambria Math"/>
                  <w:i/>
                </w:rPr>
              </m:ctrlPr>
            </m:sSupPr>
            <m:e>
              <m:r>
                <w:rPr>
                  <w:rFonts w:ascii="Cambria Math" w:hAnsi="Cambria Math"/>
                </w:rPr>
                <m:t>L</m:t>
              </m:r>
            </m:e>
            <m:sup>
              <m:r>
                <w:rPr>
                  <w:rFonts w:ascii="Cambria Math" w:hAnsi="Cambria Math"/>
                </w:rPr>
                <m:t>AP</m:t>
              </m:r>
            </m:sup>
          </m:sSup>
          <m:r>
            <w:rPr>
              <w:rFonts w:ascii="Cambria Math" w:hAnsi="Cambria Math"/>
            </w:rPr>
            <m:t xml:space="preserve">, </m:t>
          </m:r>
          <m:sSup>
            <m:sSupPr>
              <m:ctrlPr>
                <w:rPr>
                  <w:rFonts w:ascii="Cambria Math" w:hAnsi="Cambria Math"/>
                  <w:i/>
                </w:rPr>
              </m:ctrlPr>
            </m:sSupPr>
            <m:e>
              <m:r>
                <w:rPr>
                  <w:rFonts w:ascii="Cambria Math" w:hAnsi="Cambria Math"/>
                </w:rPr>
                <m:t>L</m:t>
              </m:r>
            </m:e>
            <m:sup>
              <m:r>
                <w:rPr>
                  <w:rFonts w:ascii="Cambria Math" w:hAnsi="Cambria Math"/>
                </w:rPr>
                <m:t>IP</m:t>
              </m:r>
            </m:sup>
          </m:sSup>
          <m:r>
            <w:rPr>
              <w:rFonts w:ascii="Cambria Math" w:hAnsi="Cambria Math"/>
            </w:rPr>
            <m:t xml:space="preserve"> ~ LKJ(50)</m:t>
          </m:r>
        </m:oMath>
      </m:oMathPara>
    </w:p>
    <w:p w:rsidR="00DC203B" w:rsidRDefault="001F492C" w:rsidP="00DC203B">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TP</m:t>
              </m:r>
            </m:sup>
          </m:sSup>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AP</m:t>
              </m:r>
            </m:sup>
          </m:sSup>
          <m:r>
            <w:rPr>
              <w:rFonts w:ascii="Cambria Math" w:hAnsi="Cambria Math"/>
            </w:rPr>
            <m:t xml:space="preserve">, </m:t>
          </m:r>
          <m:sSup>
            <m:sSupPr>
              <m:ctrlPr>
                <w:rPr>
                  <w:rFonts w:ascii="Cambria Math" w:hAnsi="Cambria Math"/>
                  <w:i/>
                </w:rPr>
              </m:ctrlPr>
            </m:sSupPr>
            <m:e>
              <m:r>
                <w:rPr>
                  <w:rFonts w:ascii="Cambria Math" w:hAnsi="Cambria Math"/>
                </w:rPr>
                <m:t>γ</m:t>
              </m:r>
            </m:e>
            <m:sup>
              <m:r>
                <w:rPr>
                  <w:rFonts w:ascii="Cambria Math" w:hAnsi="Cambria Math"/>
                </w:rPr>
                <m:t>IP</m:t>
              </m:r>
            </m:sup>
          </m:sSup>
          <m:r>
            <w:rPr>
              <w:rFonts w:ascii="Cambria Math" w:hAnsi="Cambria Math"/>
            </w:rPr>
            <m:t xml:space="preserve"> ~ N(0, 0.5)</m:t>
          </m:r>
        </m:oMath>
      </m:oMathPara>
    </w:p>
    <w:p w:rsidR="00DC203B" w:rsidRPr="00F01303" w:rsidRDefault="001F492C" w:rsidP="00DC203B">
      <w:pPr>
        <w:pStyle w:val="BodyText"/>
      </w:pPr>
      <m:oMathPara>
        <m:oMath>
          <m:sSubSup>
            <m:sSubSupPr>
              <m:ctrlPr>
                <w:rPr>
                  <w:rFonts w:ascii="Cambria Math" w:hAnsi="Cambria Math"/>
                  <w:i/>
                </w:rPr>
              </m:ctrlPr>
            </m:sSubSupPr>
            <m:e>
              <m:r>
                <w:rPr>
                  <w:rFonts w:ascii="Cambria Math" w:hAnsi="Cambria Math"/>
                </w:rPr>
                <m:t>σ</m:t>
              </m:r>
            </m:e>
            <m:sub/>
            <m:sup>
              <m:r>
                <w:rPr>
                  <w:rFonts w:ascii="Cambria Math" w:hAnsi="Cambria Math"/>
                </w:rPr>
                <m:t>TotalPassthrough</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AdminPassthrough</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InvestPassthrough</m:t>
              </m:r>
            </m:sup>
          </m:sSubSup>
          <m:r>
            <w:rPr>
              <w:rFonts w:ascii="Cambria Math" w:hAnsi="Cambria Math"/>
            </w:rPr>
            <m:t xml:space="preserve"> ~ IG(2, 1)</m:t>
          </m:r>
        </m:oMath>
      </m:oMathPara>
    </w:p>
    <w:p w:rsidR="003B11F0" w:rsidRDefault="003B11F0">
      <w:pPr>
        <w:rPr>
          <w:rFonts w:ascii="Arial" w:hAnsi="Arial"/>
        </w:rPr>
      </w:pPr>
      <w:r>
        <w:br w:type="page"/>
      </w:r>
    </w:p>
    <w:p w:rsidR="00DC203B" w:rsidRDefault="00DC203B" w:rsidP="00DC203B">
      <w:pPr>
        <w:pStyle w:val="Heading4"/>
      </w:pPr>
      <w:r>
        <w:lastRenderedPageBreak/>
        <w:t>Interpretation of parameters</w:t>
      </w:r>
      <w:r w:rsidR="000D2DE1">
        <w:t> — calculation of power coefficients</w:t>
      </w:r>
    </w:p>
    <w:p w:rsidR="00B134D2" w:rsidRPr="00E274F4" w:rsidRDefault="00DC203B" w:rsidP="00DC203B">
      <w:pPr>
        <w:pStyle w:val="BodyText"/>
      </w:pPr>
      <w:r>
        <w:t xml:space="preserve">Reversing the log standardisation of the size and cost variables </w:t>
      </w:r>
      <w:r w:rsidR="00B134D2">
        <w:t xml:space="preserve">leads to </w:t>
      </w:r>
      <w:r>
        <w:t>the following equation</w:t>
      </w:r>
      <w:r w:rsidR="00C16A41">
        <w:t xml:space="preserve"> (using admin expenses as an example)</w:t>
      </w:r>
      <w:r>
        <w:t>:</w:t>
      </w:r>
    </w:p>
    <w:p w:rsidR="00DC203B" w:rsidRPr="005D465A" w:rsidRDefault="0005491B" w:rsidP="00DC203B">
      <w:pPr>
        <w:pStyle w:val="BodyText"/>
      </w:pPr>
      <m:oMathPara>
        <m:oMath>
          <m:r>
            <w:rPr>
              <w:rFonts w:ascii="Cambria Math" w:hAnsi="Cambria Math"/>
            </w:rPr>
            <m:t>AdminExpense ∝Asset</m:t>
          </m:r>
          <m:sSup>
            <m:sSupPr>
              <m:ctrlPr>
                <w:rPr>
                  <w:rFonts w:ascii="Cambria Math" w:hAnsi="Cambria Math"/>
                  <w:i/>
                </w:rPr>
              </m:ctrlPr>
            </m:sSupPr>
            <m:e>
              <m:r>
                <w:rPr>
                  <w:rFonts w:ascii="Cambria Math" w:hAnsi="Cambria Math"/>
                </w:rPr>
                <m:t>s</m:t>
              </m:r>
            </m:e>
            <m:sup>
              <m:sSubSup>
                <m:sSubSupPr>
                  <m:ctrlPr>
                    <w:rPr>
                      <w:rFonts w:ascii="Cambria Math" w:hAnsi="Cambria Math"/>
                      <w:i/>
                    </w:rPr>
                  </m:ctrlPr>
                </m:sSubSupPr>
                <m:e>
                  <m:r>
                    <w:rPr>
                      <w:rFonts w:ascii="Cambria Math" w:hAnsi="Cambria Math"/>
                    </w:rPr>
                    <m:t>β</m:t>
                  </m:r>
                </m:e>
                <m:sub>
                  <m:r>
                    <w:rPr>
                      <w:rFonts w:ascii="Cambria Math" w:hAnsi="Cambria Math"/>
                    </w:rPr>
                    <m:t xml:space="preserve">1, </m:t>
                  </m:r>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1</m:t>
                  </m:r>
                </m:sub>
                <m:sup>
                  <m:r>
                    <w:rPr>
                      <w:rFonts w:ascii="Cambria Math" w:hAnsi="Cambria Math"/>
                    </w:rPr>
                    <m:t>A</m:t>
                  </m:r>
                </m:sup>
              </m:sSubSup>
              <m:r>
                <w:rPr>
                  <w:rFonts w:ascii="Cambria Math" w:hAnsi="Cambria Math"/>
                </w:rPr>
                <m:t>FundType</m:t>
              </m:r>
            </m:sup>
          </m:sSup>
          <m:r>
            <w:rPr>
              <w:rFonts w:ascii="Cambria Math" w:hAnsi="Cambria Math"/>
            </w:rPr>
            <m:t>×</m:t>
          </m:r>
          <m:sSup>
            <m:sSupPr>
              <m:ctrlPr>
                <w:rPr>
                  <w:rFonts w:ascii="Cambria Math" w:hAnsi="Cambria Math"/>
                  <w:i/>
                </w:rPr>
              </m:ctrlPr>
            </m:sSupPr>
            <m:e>
              <m:r>
                <w:rPr>
                  <w:rFonts w:ascii="Cambria Math" w:hAnsi="Cambria Math"/>
                </w:rPr>
                <m:t>MemberAccounts</m:t>
              </m:r>
            </m:e>
            <m:sup>
              <m:sSubSup>
                <m:sSubSupPr>
                  <m:ctrlPr>
                    <w:rPr>
                      <w:rFonts w:ascii="Cambria Math" w:hAnsi="Cambria Math"/>
                      <w:i/>
                    </w:rPr>
                  </m:ctrlPr>
                </m:sSubSupPr>
                <m:e>
                  <m:r>
                    <w:rPr>
                      <w:rFonts w:ascii="Cambria Math" w:hAnsi="Cambria Math"/>
                    </w:rPr>
                    <m:t>β</m:t>
                  </m:r>
                </m:e>
                <m:sub>
                  <m:r>
                    <w:rPr>
                      <w:rFonts w:ascii="Cambria Math" w:hAnsi="Cambria Math"/>
                    </w:rPr>
                    <m:t xml:space="preserve">2, </m:t>
                  </m:r>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2</m:t>
                  </m:r>
                </m:sub>
                <m:sup>
                  <m:r>
                    <w:rPr>
                      <w:rFonts w:ascii="Cambria Math" w:hAnsi="Cambria Math"/>
                    </w:rPr>
                    <m:t>A</m:t>
                  </m:r>
                </m:sup>
              </m:sSubSup>
              <m:r>
                <w:rPr>
                  <w:rFonts w:ascii="Cambria Math" w:hAnsi="Cambria Math"/>
                </w:rPr>
                <m:t>FundType</m:t>
              </m:r>
            </m:sup>
          </m:sSup>
        </m:oMath>
      </m:oMathPara>
    </w:p>
    <w:p w:rsidR="00DC203B" w:rsidRDefault="00DC203B" w:rsidP="00DC203B">
      <w:pPr>
        <w:pStyle w:val="BodyText"/>
      </w:pPr>
      <w:r>
        <w:t>This implies that the curvature of the cost function depends on:</w:t>
      </w:r>
    </w:p>
    <w:p w:rsidR="00DC203B" w:rsidRDefault="00633D23" w:rsidP="00DC203B">
      <w:pPr>
        <w:pStyle w:val="ListBullet"/>
      </w:pPr>
      <w:r>
        <w:t>a</w:t>
      </w:r>
      <w:r w:rsidR="00DC203B">
        <w:t xml:space="preserve"> component which varies by fund type (</w:t>
      </w:r>
      <m:oMath>
        <m:sSubSup>
          <m:sSubSupPr>
            <m:ctrlPr>
              <w:rPr>
                <w:rFonts w:ascii="Cambria Math" w:hAnsi="Cambria Math"/>
                <w:i/>
              </w:rPr>
            </m:ctrlPr>
          </m:sSubSupPr>
          <m:e>
            <m:r>
              <w:rPr>
                <w:rFonts w:ascii="Cambria Math" w:hAnsi="Cambria Math"/>
              </w:rPr>
              <m:t>γ</m:t>
            </m:r>
          </m:e>
          <m:sub>
            <m:r>
              <w:rPr>
                <w:rFonts w:ascii="Cambria Math" w:hAnsi="Cambria Math"/>
              </w:rPr>
              <m:t>1</m:t>
            </m:r>
          </m:sub>
          <m:sup>
            <m:r>
              <w:rPr>
                <w:rFonts w:ascii="Cambria Math" w:hAnsi="Cambria Math"/>
              </w:rPr>
              <m:t>A</m:t>
            </m:r>
          </m:sup>
        </m:sSubSup>
        <m:r>
          <w:rPr>
            <w:rFonts w:ascii="Cambria Math" w:hAnsi="Cambria Math"/>
          </w:rPr>
          <m:t xml:space="preserve">, </m:t>
        </m:r>
        <m:sSubSup>
          <m:sSubSupPr>
            <m:ctrlPr>
              <w:rPr>
                <w:rFonts w:ascii="Cambria Math" w:hAnsi="Cambria Math"/>
                <w:i/>
              </w:rPr>
            </m:ctrlPr>
          </m:sSubSupPr>
          <m:e>
            <m:r>
              <w:rPr>
                <w:rFonts w:ascii="Cambria Math" w:hAnsi="Cambria Math"/>
              </w:rPr>
              <m:t>γ</m:t>
            </m:r>
          </m:e>
          <m:sub>
            <m:r>
              <w:rPr>
                <w:rFonts w:ascii="Cambria Math" w:hAnsi="Cambria Math"/>
              </w:rPr>
              <m:t>2</m:t>
            </m:r>
          </m:sub>
          <m:sup>
            <m:r>
              <w:rPr>
                <w:rFonts w:ascii="Cambria Math" w:hAnsi="Cambria Math"/>
              </w:rPr>
              <m:t>A</m:t>
            </m:r>
          </m:sup>
        </m:sSubSup>
      </m:oMath>
      <w:r w:rsidR="00DC203B">
        <w:t>), i.e., it takes on the same value for all funds of the same type</w:t>
      </w:r>
    </w:p>
    <w:p w:rsidR="00DC203B" w:rsidRDefault="00633D23" w:rsidP="00DC203B">
      <w:pPr>
        <w:pStyle w:val="ListBullet"/>
      </w:pPr>
      <w:r>
        <w:t>a</w:t>
      </w:r>
      <w:r w:rsidR="00DC203B">
        <w:t xml:space="preserve"> component which varies by fund (</w:t>
      </w:r>
      <m:oMath>
        <m:sSub>
          <m:sSubPr>
            <m:ctrlPr>
              <w:rPr>
                <w:rFonts w:ascii="Cambria Math" w:hAnsi="Cambria Math"/>
                <w:i/>
              </w:rPr>
            </m:ctrlPr>
          </m:sSubPr>
          <m:e>
            <m:r>
              <w:rPr>
                <w:rFonts w:ascii="Cambria Math" w:hAnsi="Cambria Math"/>
              </w:rPr>
              <m:t>β</m:t>
            </m:r>
          </m:e>
          <m:sub>
            <m:r>
              <w:rPr>
                <w:rFonts w:ascii="Cambria Math" w:hAnsi="Cambria Math"/>
              </w:rPr>
              <m:t>1, [i]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 [i]</m:t>
            </m:r>
          </m:sub>
        </m:sSub>
        <m:r>
          <w:rPr>
            <w:rFonts w:ascii="Cambria Math" w:hAnsi="Cambria Math"/>
          </w:rPr>
          <m:t>)</m:t>
        </m:r>
      </m:oMath>
      <w:r>
        <w:t>.</w:t>
      </w:r>
    </w:p>
    <w:p w:rsidR="00DC203B" w:rsidRDefault="00256699" w:rsidP="00DC203B">
      <w:pPr>
        <w:pStyle w:val="ListBullet"/>
        <w:numPr>
          <w:ilvl w:val="0"/>
          <w:numId w:val="0"/>
        </w:numPr>
      </w:pPr>
      <w:r>
        <w:t xml:space="preserve">The sum of the two components is defined as the power coefficient for a fund. </w:t>
      </w:r>
      <w:r w:rsidR="00DC203B">
        <w:t xml:space="preserve">If the </w:t>
      </w:r>
      <w:r>
        <w:t>power coefficient</w:t>
      </w:r>
      <w:r w:rsidR="00DC203B">
        <w:t xml:space="preserve"> for assets is larger than 1, the cost function for fund </w:t>
      </w:r>
      <m:oMath>
        <m:r>
          <w:rPr>
            <w:rFonts w:ascii="Cambria Math" w:hAnsi="Cambria Math"/>
          </w:rPr>
          <m:t>i</m:t>
        </m:r>
      </m:oMath>
      <w:r w:rsidR="00DC203B">
        <w:t xml:space="preserve"> is convex with respect to assets (that is, experiences diseconomies of scale or increasing average costs). If the sum is less than 1, this implies a concave cost function which corresponds to economies of scale (decreasing average cost</w:t>
      </w:r>
      <w:r w:rsidR="005D4BC3">
        <w:t>s</w:t>
      </w:r>
      <w:r w:rsidR="00DC203B">
        <w:t>). The same logic can be applied to see if there are economies of scale with respect to the number of member accounts.</w:t>
      </w:r>
    </w:p>
    <w:p w:rsidR="00946A6C" w:rsidRPr="00F01303" w:rsidRDefault="00946A6C" w:rsidP="00861568">
      <w:pPr>
        <w:pStyle w:val="BodyText"/>
      </w:pPr>
      <w:r>
        <w:t xml:space="preserve">An important caveat is that this model imposes the restriction that an </w:t>
      </w:r>
      <w:r w:rsidRPr="003F3932">
        <w:t>individual</w:t>
      </w:r>
      <w:r>
        <w:t xml:space="preserve"> fund can only experience economies of scale or diseconomies of scale (with respect to total assets or number of member accounts). </w:t>
      </w:r>
    </w:p>
    <w:p w:rsidR="00DC203B" w:rsidRDefault="00B134D2" w:rsidP="00861568">
      <w:pPr>
        <w:pStyle w:val="Heading4"/>
      </w:pPr>
      <w:r w:rsidRPr="00726C6E">
        <w:t>Priors</w:t>
      </w:r>
    </w:p>
    <w:p w:rsidR="00BC41EB" w:rsidRPr="00D360B7" w:rsidRDefault="00BC41EB" w:rsidP="00BC41EB">
      <w:pPr>
        <w:pStyle w:val="BodyText"/>
      </w:pPr>
      <w:r>
        <w:t xml:space="preserve">Broadly speaking, the Commission has adopted informative priors. While the Commission did consult with participants on potential economies of scale present in the superannuation industry, this did not directly lead to information that could be included in priors. Rather, the Commission chose priors </w:t>
      </w:r>
      <w:r w:rsidR="00655794">
        <w:t>centered</w:t>
      </w:r>
      <w:r>
        <w:t xml:space="preserve"> on zero with relatively </w:t>
      </w:r>
      <w:r w:rsidR="00BD79E6">
        <w:t xml:space="preserve">diffuse variances. </w:t>
      </w:r>
      <w:r w:rsidR="001270BB">
        <w:t>To ensure that the priors chosen were not driving results, a specification with more diffuse priors was tested (</w:t>
      </w:r>
      <w:r w:rsidR="00F640C8">
        <w:t>a</w:t>
      </w:r>
      <w:r w:rsidR="001270BB">
        <w:t>ppendix</w:t>
      </w:r>
      <w:r w:rsidR="00F640C8">
        <w:t> </w:t>
      </w:r>
      <w:r w:rsidR="001270BB">
        <w:t>C).</w:t>
      </w:r>
      <w:r w:rsidR="00F640C8">
        <w:t xml:space="preserve"> </w:t>
      </w:r>
    </w:p>
    <w:p w:rsidR="003F7D30" w:rsidRDefault="00B134D2" w:rsidP="00B134D2">
      <w:pPr>
        <w:pStyle w:val="BodyText"/>
      </w:pPr>
      <w:r w:rsidRPr="00E76671">
        <w:t>Priors</w:t>
      </w:r>
      <w:r>
        <w:t xml:space="preserve"> </w:t>
      </w:r>
      <w:r w:rsidR="003F7D30">
        <w:t xml:space="preserve">have been presented alongside their respective parameters in the previous sections. A summary of the priors used in the model </w:t>
      </w:r>
      <w:r w:rsidR="00A05224">
        <w:t xml:space="preserve">is </w:t>
      </w:r>
      <w:r w:rsidR="003F7D30">
        <w:t xml:space="preserve">presented in table </w:t>
      </w:r>
      <w:r w:rsidR="007F739B">
        <w:t>B.3</w:t>
      </w:r>
      <w:r w:rsidR="003F7D30">
        <w:t xml:space="preserve">. </w:t>
      </w:r>
    </w:p>
    <w:p w:rsidR="00DC203B" w:rsidRDefault="00DC203B" w:rsidP="00DC203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C203B" w:rsidTr="00DC203B">
        <w:trPr>
          <w:tblHeader/>
        </w:trPr>
        <w:tc>
          <w:tcPr>
            <w:tcW w:w="5000" w:type="pct"/>
            <w:tcBorders>
              <w:top w:val="single" w:sz="6" w:space="0" w:color="78A22F"/>
              <w:left w:val="nil"/>
              <w:bottom w:val="nil"/>
              <w:right w:val="nil"/>
            </w:tcBorders>
            <w:shd w:val="clear" w:color="auto" w:fill="auto"/>
          </w:tcPr>
          <w:p w:rsidR="00DC203B" w:rsidRPr="00784A05" w:rsidRDefault="00DC203B" w:rsidP="007F739B">
            <w:pPr>
              <w:pStyle w:val="TableTitle"/>
            </w:pPr>
            <w:r>
              <w:rPr>
                <w:b w:val="0"/>
              </w:rPr>
              <w:t xml:space="preserve">Table </w:t>
            </w:r>
            <w:r w:rsidR="007F739B">
              <w:rPr>
                <w:b w:val="0"/>
              </w:rPr>
              <w:t>B</w:t>
            </w:r>
            <w:r w:rsidR="00633D23">
              <w:rPr>
                <w:b w:val="0"/>
              </w:rPr>
              <w:t>.3</w:t>
            </w:r>
            <w:r>
              <w:tab/>
              <w:t>Priors on model parameters</w:t>
            </w:r>
            <w:r w:rsidR="007F739B" w:rsidRPr="007F739B">
              <w:rPr>
                <w:rStyle w:val="NoteLabel"/>
                <w:b/>
              </w:rPr>
              <w:t>a</w:t>
            </w:r>
          </w:p>
        </w:tc>
      </w:tr>
      <w:tr w:rsidR="00DC203B" w:rsidTr="00DC20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1"/>
              <w:gridCol w:w="1135"/>
              <w:gridCol w:w="1274"/>
              <w:gridCol w:w="1135"/>
              <w:gridCol w:w="1034"/>
              <w:gridCol w:w="1376"/>
            </w:tblGrid>
            <w:tr w:rsidR="00DC203B" w:rsidTr="00DC203B">
              <w:trPr>
                <w:tblHeader/>
              </w:trPr>
              <w:tc>
                <w:tcPr>
                  <w:tcW w:w="1500" w:type="pct"/>
                  <w:tcBorders>
                    <w:top w:val="single" w:sz="6" w:space="0" w:color="BFBFBF"/>
                    <w:bottom w:val="single" w:sz="6" w:space="0" w:color="BFBFBF"/>
                  </w:tcBorders>
                  <w:shd w:val="clear" w:color="auto" w:fill="auto"/>
                  <w:tcMar>
                    <w:top w:w="28" w:type="dxa"/>
                  </w:tcMar>
                </w:tcPr>
                <w:p w:rsidR="00DC203B" w:rsidRDefault="00DC203B" w:rsidP="00DC203B">
                  <w:pPr>
                    <w:pStyle w:val="TableColumnHeading"/>
                    <w:jc w:val="left"/>
                  </w:pPr>
                  <w:r>
                    <w:t>Parameters</w:t>
                  </w:r>
                </w:p>
              </w:tc>
              <w:tc>
                <w:tcPr>
                  <w:tcW w:w="667" w:type="pct"/>
                  <w:tcBorders>
                    <w:top w:val="single" w:sz="6" w:space="0" w:color="BFBFBF"/>
                    <w:bottom w:val="single" w:sz="6" w:space="0" w:color="BFBFBF"/>
                  </w:tcBorders>
                </w:tcPr>
                <w:p w:rsidR="00DC203B" w:rsidRDefault="00DC203B" w:rsidP="00DC203B">
                  <w:pPr>
                    <w:pStyle w:val="TableColumnHeading"/>
                  </w:pPr>
                  <w:r>
                    <w:t>Admin</w:t>
                  </w:r>
                </w:p>
              </w:tc>
              <w:tc>
                <w:tcPr>
                  <w:tcW w:w="749" w:type="pct"/>
                  <w:tcBorders>
                    <w:top w:val="single" w:sz="6" w:space="0" w:color="BFBFBF"/>
                    <w:bottom w:val="single" w:sz="6" w:space="0" w:color="BFBFBF"/>
                  </w:tcBorders>
                  <w:shd w:val="clear" w:color="auto" w:fill="auto"/>
                  <w:tcMar>
                    <w:top w:w="28" w:type="dxa"/>
                  </w:tcMar>
                </w:tcPr>
                <w:p w:rsidR="00DC203B" w:rsidRDefault="00DC203B" w:rsidP="00DC203B">
                  <w:pPr>
                    <w:pStyle w:val="TableColumnHeading"/>
                  </w:pPr>
                  <w:r>
                    <w:t>Investment</w:t>
                  </w:r>
                </w:p>
              </w:tc>
              <w:tc>
                <w:tcPr>
                  <w:tcW w:w="667" w:type="pct"/>
                  <w:tcBorders>
                    <w:top w:val="single" w:sz="6" w:space="0" w:color="BFBFBF"/>
                    <w:bottom w:val="single" w:sz="6" w:space="0" w:color="BFBFBF"/>
                  </w:tcBorders>
                </w:tcPr>
                <w:p w:rsidR="00DC203B" w:rsidRDefault="00DC203B" w:rsidP="00DC203B">
                  <w:pPr>
                    <w:pStyle w:val="TableColumnHeading"/>
                  </w:pPr>
                  <w:r>
                    <w:t>Number of options</w:t>
                  </w:r>
                </w:p>
              </w:tc>
              <w:tc>
                <w:tcPr>
                  <w:tcW w:w="608" w:type="pct"/>
                  <w:tcBorders>
                    <w:top w:val="single" w:sz="6" w:space="0" w:color="BFBFBF"/>
                    <w:bottom w:val="single" w:sz="6" w:space="0" w:color="BFBFBF"/>
                  </w:tcBorders>
                </w:tcPr>
                <w:p w:rsidR="00DC203B" w:rsidRDefault="00DC203B" w:rsidP="00DC203B">
                  <w:pPr>
                    <w:pStyle w:val="TableColumnHeading"/>
                  </w:pPr>
                  <w:r>
                    <w:t>Selection model</w:t>
                  </w:r>
                </w:p>
              </w:tc>
              <w:tc>
                <w:tcPr>
                  <w:tcW w:w="809" w:type="pct"/>
                  <w:tcBorders>
                    <w:top w:val="single" w:sz="6" w:space="0" w:color="BFBFBF"/>
                    <w:bottom w:val="single" w:sz="6" w:space="0" w:color="BFBFBF"/>
                  </w:tcBorders>
                </w:tcPr>
                <w:p w:rsidR="00DC203B" w:rsidRDefault="00DC203B" w:rsidP="00DC203B">
                  <w:pPr>
                    <w:pStyle w:val="TableColumnHeading"/>
                  </w:pPr>
                  <w:r>
                    <w:t>Pass</w:t>
                  </w:r>
                  <w:r w:rsidR="00F640C8">
                    <w:noBreakHyphen/>
                  </w:r>
                  <w:r>
                    <w:t>through model</w:t>
                  </w:r>
                </w:p>
              </w:tc>
            </w:tr>
            <w:tr w:rsidR="00DC203B" w:rsidTr="00DC203B">
              <w:tc>
                <w:tcPr>
                  <w:tcW w:w="1500" w:type="pct"/>
                  <w:tcBorders>
                    <w:top w:val="single" w:sz="6" w:space="0" w:color="BFBFBF"/>
                  </w:tcBorders>
                </w:tcPr>
                <w:p w:rsidR="00DC203B" w:rsidRDefault="00DC203B" w:rsidP="00DC203B">
                  <w:pPr>
                    <w:pStyle w:val="TableUnitsRow"/>
                    <w:jc w:val="left"/>
                  </w:pPr>
                  <w:r>
                    <w:t>Non</w:t>
                  </w:r>
                  <w:r w:rsidR="00F640C8">
                    <w:noBreakHyphen/>
                  </w:r>
                  <w:r>
                    <w:t>varying coefficients</w:t>
                  </w:r>
                </w:p>
              </w:tc>
              <w:tc>
                <w:tcPr>
                  <w:tcW w:w="667" w:type="pct"/>
                  <w:tcBorders>
                    <w:top w:val="single" w:sz="6" w:space="0" w:color="BFBFBF"/>
                  </w:tcBorders>
                </w:tcPr>
                <w:p w:rsidR="00DC203B" w:rsidRDefault="00DC203B" w:rsidP="00DC203B">
                  <w:pPr>
                    <w:pStyle w:val="TableUnitsRow"/>
                  </w:pPr>
                  <w:r>
                    <w:t xml:space="preserve">N(0, </w:t>
                  </w:r>
                  <w:r w:rsidR="00021360">
                    <w:t>0.5</w:t>
                  </w:r>
                  <w:r>
                    <w:t>)</w:t>
                  </w:r>
                </w:p>
              </w:tc>
              <w:tc>
                <w:tcPr>
                  <w:tcW w:w="749" w:type="pct"/>
                  <w:tcBorders>
                    <w:top w:val="single" w:sz="6" w:space="0" w:color="BFBFBF"/>
                  </w:tcBorders>
                </w:tcPr>
                <w:p w:rsidR="00DC203B" w:rsidRDefault="00DC203B" w:rsidP="00DC203B">
                  <w:pPr>
                    <w:pStyle w:val="TableUnitsRow"/>
                  </w:pPr>
                  <w:r>
                    <w:t xml:space="preserve">N(0, </w:t>
                  </w:r>
                  <w:r w:rsidR="00021360">
                    <w:t>0.5</w:t>
                  </w:r>
                  <w:r>
                    <w:t>)</w:t>
                  </w:r>
                </w:p>
              </w:tc>
              <w:tc>
                <w:tcPr>
                  <w:tcW w:w="667" w:type="pct"/>
                  <w:tcBorders>
                    <w:top w:val="single" w:sz="6" w:space="0" w:color="BFBFBF"/>
                  </w:tcBorders>
                </w:tcPr>
                <w:p w:rsidR="00DC203B" w:rsidRDefault="00DC203B" w:rsidP="00DC203B">
                  <w:pPr>
                    <w:pStyle w:val="TableUnitsRow"/>
                  </w:pPr>
                  <w:r>
                    <w:t xml:space="preserve">N(0, </w:t>
                  </w:r>
                  <w:r w:rsidR="00021360">
                    <w:t>.5</w:t>
                  </w:r>
                  <w:r>
                    <w:t>)</w:t>
                  </w:r>
                </w:p>
              </w:tc>
              <w:tc>
                <w:tcPr>
                  <w:tcW w:w="608" w:type="pct"/>
                  <w:tcBorders>
                    <w:top w:val="single" w:sz="6" w:space="0" w:color="BFBFBF"/>
                  </w:tcBorders>
                </w:tcPr>
                <w:p w:rsidR="00DC203B" w:rsidRDefault="00DC203B" w:rsidP="00DC203B">
                  <w:pPr>
                    <w:pStyle w:val="TableUnitsRow"/>
                  </w:pPr>
                  <w:r>
                    <w:t xml:space="preserve">N(0, </w:t>
                  </w:r>
                  <w:r w:rsidR="00021360">
                    <w:t>0.5</w:t>
                  </w:r>
                  <w:r>
                    <w:t>)</w:t>
                  </w:r>
                </w:p>
              </w:tc>
              <w:tc>
                <w:tcPr>
                  <w:tcW w:w="809" w:type="pct"/>
                  <w:tcBorders>
                    <w:top w:val="single" w:sz="6" w:space="0" w:color="BFBFBF"/>
                  </w:tcBorders>
                </w:tcPr>
                <w:p w:rsidR="00DC203B" w:rsidRDefault="00DC203B" w:rsidP="00DC203B">
                  <w:pPr>
                    <w:pStyle w:val="TableUnitsRow"/>
                  </w:pPr>
                  <w:r>
                    <w:t xml:space="preserve">N(0, </w:t>
                  </w:r>
                  <w:r w:rsidR="00021360">
                    <w:t>0.5</w:t>
                  </w:r>
                  <w:r>
                    <w:t>)</w:t>
                  </w:r>
                </w:p>
              </w:tc>
            </w:tr>
            <w:tr w:rsidR="00DC203B" w:rsidTr="007F739B">
              <w:trPr>
                <w:trHeight w:val="138"/>
              </w:trPr>
              <w:tc>
                <w:tcPr>
                  <w:tcW w:w="1500" w:type="pct"/>
                  <w:shd w:val="clear" w:color="auto" w:fill="F2F2F2" w:themeFill="background1" w:themeFillShade="F2"/>
                </w:tcPr>
                <w:p w:rsidR="00DC203B" w:rsidRDefault="00DC203B" w:rsidP="00DC203B">
                  <w:pPr>
                    <w:pStyle w:val="TableBodyText"/>
                    <w:jc w:val="left"/>
                  </w:pPr>
                  <w:r>
                    <w:t>Temporary intercept</w:t>
                  </w:r>
                </w:p>
              </w:tc>
              <w:tc>
                <w:tcPr>
                  <w:tcW w:w="667" w:type="pct"/>
                  <w:shd w:val="clear" w:color="auto" w:fill="F2F2F2" w:themeFill="background1" w:themeFillShade="F2"/>
                </w:tcPr>
                <w:p w:rsidR="00DC203B" w:rsidRDefault="00DC203B" w:rsidP="00DC203B">
                  <w:pPr>
                    <w:pStyle w:val="TableBodyText"/>
                  </w:pPr>
                  <w:r>
                    <w:t xml:space="preserve">N(1, </w:t>
                  </w:r>
                  <w:r w:rsidR="00021360">
                    <w:t>0.5</w:t>
                  </w:r>
                  <w:r>
                    <w:t>)</w:t>
                  </w:r>
                </w:p>
              </w:tc>
              <w:tc>
                <w:tcPr>
                  <w:tcW w:w="749" w:type="pct"/>
                  <w:shd w:val="clear" w:color="auto" w:fill="F2F2F2" w:themeFill="background1" w:themeFillShade="F2"/>
                </w:tcPr>
                <w:p w:rsidR="00DC203B" w:rsidRDefault="00DC203B" w:rsidP="00DC203B">
                  <w:pPr>
                    <w:pStyle w:val="TableBodyText"/>
                  </w:pPr>
                  <w:r>
                    <w:t xml:space="preserve">N(1, </w:t>
                  </w:r>
                  <w:r w:rsidR="00021360">
                    <w:t>0.5</w:t>
                  </w:r>
                  <w:r>
                    <w:t>)</w:t>
                  </w:r>
                </w:p>
              </w:tc>
              <w:tc>
                <w:tcPr>
                  <w:tcW w:w="667" w:type="pct"/>
                  <w:shd w:val="clear" w:color="auto" w:fill="F2F2F2" w:themeFill="background1" w:themeFillShade="F2"/>
                </w:tcPr>
                <w:p w:rsidR="00DC203B" w:rsidRDefault="00DC203B" w:rsidP="00DC203B">
                  <w:pPr>
                    <w:pStyle w:val="TableBodyText"/>
                  </w:pPr>
                  <w:r>
                    <w:t xml:space="preserve">N(1, </w:t>
                  </w:r>
                  <w:r w:rsidR="00021360">
                    <w:t>0.5</w:t>
                  </w:r>
                  <w:r>
                    <w:t>)</w:t>
                  </w:r>
                </w:p>
              </w:tc>
              <w:tc>
                <w:tcPr>
                  <w:tcW w:w="608" w:type="pct"/>
                  <w:shd w:val="clear" w:color="auto" w:fill="F2F2F2" w:themeFill="background1" w:themeFillShade="F2"/>
                </w:tcPr>
                <w:p w:rsidR="00DC203B" w:rsidRDefault="00DC203B" w:rsidP="00DC203B">
                  <w:pPr>
                    <w:pStyle w:val="TableBodyText"/>
                  </w:pPr>
                  <w:r>
                    <w:t xml:space="preserve">N(1, </w:t>
                  </w:r>
                  <w:r w:rsidR="00021360">
                    <w:t>0.5</w:t>
                  </w:r>
                  <w:r>
                    <w:t>)</w:t>
                  </w:r>
                </w:p>
              </w:tc>
              <w:tc>
                <w:tcPr>
                  <w:tcW w:w="809" w:type="pct"/>
                  <w:shd w:val="clear" w:color="auto" w:fill="F2F2F2" w:themeFill="background1" w:themeFillShade="F2"/>
                </w:tcPr>
                <w:p w:rsidR="00DC203B" w:rsidRDefault="00DC203B" w:rsidP="00DC203B">
                  <w:pPr>
                    <w:pStyle w:val="TableBodyText"/>
                  </w:pPr>
                  <w:r>
                    <w:t xml:space="preserve">N(1, </w:t>
                  </w:r>
                  <w:r w:rsidR="00021360">
                    <w:t>0.5</w:t>
                  </w:r>
                  <w:r>
                    <w:t>)</w:t>
                  </w:r>
                </w:p>
              </w:tc>
            </w:tr>
            <w:tr w:rsidR="00DC203B" w:rsidTr="00DC203B">
              <w:tc>
                <w:tcPr>
                  <w:tcW w:w="1500" w:type="pct"/>
                  <w:shd w:val="clear" w:color="auto" w:fill="auto"/>
                </w:tcPr>
                <w:p w:rsidR="00DC203B" w:rsidRDefault="00DC203B" w:rsidP="00DC203B">
                  <w:pPr>
                    <w:pStyle w:val="TableBodyText"/>
                    <w:jc w:val="left"/>
                  </w:pPr>
                  <w:r>
                    <w:t>Control function coefficients</w:t>
                  </w:r>
                </w:p>
              </w:tc>
              <w:tc>
                <w:tcPr>
                  <w:tcW w:w="667" w:type="pct"/>
                </w:tcPr>
                <w:p w:rsidR="00DC203B" w:rsidRDefault="00DC203B" w:rsidP="00DC203B">
                  <w:pPr>
                    <w:pStyle w:val="TableBodyText"/>
                  </w:pPr>
                  <w:r>
                    <w:t xml:space="preserve">N(0, </w:t>
                  </w:r>
                  <w:r w:rsidR="00021360">
                    <w:t>0.5</w:t>
                  </w:r>
                  <w:r>
                    <w:t>)</w:t>
                  </w:r>
                </w:p>
              </w:tc>
              <w:tc>
                <w:tcPr>
                  <w:tcW w:w="749" w:type="pct"/>
                  <w:shd w:val="clear" w:color="auto" w:fill="auto"/>
                </w:tcPr>
                <w:p w:rsidR="00DC203B" w:rsidRDefault="00DC203B" w:rsidP="00DC203B">
                  <w:pPr>
                    <w:pStyle w:val="TableBodyText"/>
                  </w:pPr>
                  <w:r>
                    <w:t xml:space="preserve">N(0, </w:t>
                  </w:r>
                  <w:r w:rsidR="00021360">
                    <w:t>0.5</w:t>
                  </w:r>
                  <w:r>
                    <w:t>)</w:t>
                  </w:r>
                </w:p>
              </w:tc>
              <w:tc>
                <w:tcPr>
                  <w:tcW w:w="667" w:type="pct"/>
                </w:tcPr>
                <w:p w:rsidR="00DC203B" w:rsidRDefault="00DC203B" w:rsidP="00DC203B">
                  <w:pPr>
                    <w:pStyle w:val="TableBodyText"/>
                  </w:pPr>
                </w:p>
              </w:tc>
              <w:tc>
                <w:tcPr>
                  <w:tcW w:w="608" w:type="pct"/>
                </w:tcPr>
                <w:p w:rsidR="00DC203B" w:rsidRDefault="00DC203B" w:rsidP="00DC203B">
                  <w:pPr>
                    <w:pStyle w:val="TableBodyText"/>
                  </w:pPr>
                </w:p>
              </w:tc>
              <w:tc>
                <w:tcPr>
                  <w:tcW w:w="809" w:type="pct"/>
                </w:tcPr>
                <w:p w:rsidR="00DC203B" w:rsidRDefault="00DC203B" w:rsidP="00DC203B">
                  <w:pPr>
                    <w:pStyle w:val="TableBodyText"/>
                  </w:pPr>
                </w:p>
              </w:tc>
            </w:tr>
            <w:tr w:rsidR="00DC203B" w:rsidTr="007F739B">
              <w:tc>
                <w:tcPr>
                  <w:tcW w:w="1500" w:type="pct"/>
                  <w:shd w:val="clear" w:color="auto" w:fill="F2F2F2" w:themeFill="background1" w:themeFillShade="F2"/>
                </w:tcPr>
                <w:p w:rsidR="00DC203B" w:rsidRDefault="00DC203B" w:rsidP="00DC203B">
                  <w:pPr>
                    <w:pStyle w:val="TableBodyText"/>
                    <w:jc w:val="left"/>
                  </w:pPr>
                  <w:r>
                    <w:t>SD of residual</w:t>
                  </w:r>
                </w:p>
              </w:tc>
              <w:tc>
                <w:tcPr>
                  <w:tcW w:w="667" w:type="pct"/>
                  <w:shd w:val="clear" w:color="auto" w:fill="F2F2F2" w:themeFill="background1" w:themeFillShade="F2"/>
                </w:tcPr>
                <w:p w:rsidR="00DC203B" w:rsidRDefault="00DC203B" w:rsidP="00DC203B">
                  <w:pPr>
                    <w:pStyle w:val="TableBodyText"/>
                  </w:pPr>
                  <w:r>
                    <w:t>IG(2, 1)</w:t>
                  </w:r>
                </w:p>
              </w:tc>
              <w:tc>
                <w:tcPr>
                  <w:tcW w:w="749" w:type="pct"/>
                  <w:shd w:val="clear" w:color="auto" w:fill="F2F2F2" w:themeFill="background1" w:themeFillShade="F2"/>
                </w:tcPr>
                <w:p w:rsidR="00DC203B" w:rsidRDefault="00DC203B" w:rsidP="00DC203B">
                  <w:pPr>
                    <w:pStyle w:val="TableBodyText"/>
                  </w:pPr>
                  <w:r>
                    <w:t>IG(2, 1)</w:t>
                  </w:r>
                </w:p>
              </w:tc>
              <w:tc>
                <w:tcPr>
                  <w:tcW w:w="667" w:type="pct"/>
                  <w:shd w:val="clear" w:color="auto" w:fill="F2F2F2" w:themeFill="background1" w:themeFillShade="F2"/>
                </w:tcPr>
                <w:p w:rsidR="00DC203B" w:rsidRDefault="00F34216" w:rsidP="00DC203B">
                  <w:pPr>
                    <w:pStyle w:val="TableBodyText"/>
                  </w:pPr>
                  <w:r>
                    <w:t>Truncated positive t with 4 degrees of freedom and 0.5 standard deviation</w:t>
                  </w:r>
                  <w:r w:rsidR="001270BB" w:rsidRPr="001270BB">
                    <w:rPr>
                      <w:rStyle w:val="NoteLabel"/>
                    </w:rPr>
                    <w:t>b</w:t>
                  </w:r>
                </w:p>
              </w:tc>
              <w:tc>
                <w:tcPr>
                  <w:tcW w:w="608" w:type="pct"/>
                  <w:shd w:val="clear" w:color="auto" w:fill="F2F2F2" w:themeFill="background1" w:themeFillShade="F2"/>
                </w:tcPr>
                <w:p w:rsidR="00DC203B" w:rsidRDefault="00DC203B" w:rsidP="00DC203B">
                  <w:pPr>
                    <w:pStyle w:val="TableBodyText"/>
                  </w:pPr>
                </w:p>
              </w:tc>
              <w:tc>
                <w:tcPr>
                  <w:tcW w:w="809" w:type="pct"/>
                  <w:shd w:val="clear" w:color="auto" w:fill="F2F2F2" w:themeFill="background1" w:themeFillShade="F2"/>
                </w:tcPr>
                <w:p w:rsidR="00DC203B" w:rsidRDefault="00DC203B" w:rsidP="00DC203B">
                  <w:pPr>
                    <w:pStyle w:val="TableBodyText"/>
                  </w:pPr>
                  <w:r>
                    <w:t>IG(2, 1)</w:t>
                  </w:r>
                </w:p>
              </w:tc>
            </w:tr>
            <w:tr w:rsidR="00DC203B" w:rsidTr="00DC203B">
              <w:tc>
                <w:tcPr>
                  <w:tcW w:w="1500" w:type="pct"/>
                  <w:shd w:val="clear" w:color="auto" w:fill="auto"/>
                </w:tcPr>
                <w:p w:rsidR="00DC203B" w:rsidRDefault="00DC203B" w:rsidP="00DC203B">
                  <w:pPr>
                    <w:pStyle w:val="TableBodyText"/>
                    <w:jc w:val="left"/>
                  </w:pPr>
                  <w:r>
                    <w:t>SD of varying coefficients</w:t>
                  </w:r>
                </w:p>
              </w:tc>
              <w:tc>
                <w:tcPr>
                  <w:tcW w:w="667" w:type="pct"/>
                </w:tcPr>
                <w:p w:rsidR="00DC203B" w:rsidRDefault="00DC203B" w:rsidP="00DC203B">
                  <w:pPr>
                    <w:pStyle w:val="TableBodyText"/>
                  </w:pPr>
                  <w:r>
                    <w:t>IG(2, 1)</w:t>
                  </w:r>
                </w:p>
              </w:tc>
              <w:tc>
                <w:tcPr>
                  <w:tcW w:w="749" w:type="pct"/>
                  <w:shd w:val="clear" w:color="auto" w:fill="auto"/>
                </w:tcPr>
                <w:p w:rsidR="00DC203B" w:rsidRDefault="00DC203B" w:rsidP="00DC203B">
                  <w:pPr>
                    <w:pStyle w:val="TableBodyText"/>
                  </w:pPr>
                  <w:r>
                    <w:t>IG(2, 1)</w:t>
                  </w:r>
                </w:p>
              </w:tc>
              <w:tc>
                <w:tcPr>
                  <w:tcW w:w="667" w:type="pct"/>
                </w:tcPr>
                <w:p w:rsidR="00DC203B" w:rsidRDefault="00DC203B" w:rsidP="00DC203B">
                  <w:pPr>
                    <w:pStyle w:val="TableBodyText"/>
                  </w:pPr>
                </w:p>
              </w:tc>
              <w:tc>
                <w:tcPr>
                  <w:tcW w:w="608" w:type="pct"/>
                </w:tcPr>
                <w:p w:rsidR="00DC203B" w:rsidRDefault="00DC203B" w:rsidP="00DC203B">
                  <w:pPr>
                    <w:pStyle w:val="TableBodyText"/>
                  </w:pPr>
                </w:p>
              </w:tc>
              <w:tc>
                <w:tcPr>
                  <w:tcW w:w="809" w:type="pct"/>
                </w:tcPr>
                <w:p w:rsidR="00DC203B" w:rsidRDefault="00DC203B" w:rsidP="00DC203B">
                  <w:pPr>
                    <w:pStyle w:val="TableBodyText"/>
                  </w:pPr>
                  <w:r>
                    <w:t>IG(2, 1)</w:t>
                  </w:r>
                </w:p>
              </w:tc>
            </w:tr>
            <w:tr w:rsidR="00DC203B" w:rsidTr="007F739B">
              <w:tc>
                <w:tcPr>
                  <w:tcW w:w="1500" w:type="pct"/>
                  <w:shd w:val="clear" w:color="auto" w:fill="F2F2F2" w:themeFill="background1" w:themeFillShade="F2"/>
                </w:tcPr>
                <w:p w:rsidR="00DC203B" w:rsidRDefault="00DC203B" w:rsidP="00DC203B">
                  <w:pPr>
                    <w:pStyle w:val="TableBodyText"/>
                    <w:jc w:val="left"/>
                  </w:pPr>
                  <w:r>
                    <w:t>Varying coefficients</w:t>
                  </w:r>
                </w:p>
              </w:tc>
              <w:tc>
                <w:tcPr>
                  <w:tcW w:w="667" w:type="pct"/>
                  <w:shd w:val="clear" w:color="auto" w:fill="F2F2F2" w:themeFill="background1" w:themeFillShade="F2"/>
                </w:tcPr>
                <w:p w:rsidR="00DC203B" w:rsidRDefault="00DC203B" w:rsidP="00DC203B">
                  <w:pPr>
                    <w:pStyle w:val="TableBodyText"/>
                  </w:pPr>
                  <w:r>
                    <w:t xml:space="preserve">N(0, </w:t>
                  </w:r>
                  <w:r w:rsidDel="00C60028">
                    <w:t>1</w:t>
                  </w:r>
                  <w:r>
                    <w:t>)</w:t>
                  </w:r>
                </w:p>
              </w:tc>
              <w:tc>
                <w:tcPr>
                  <w:tcW w:w="749" w:type="pct"/>
                  <w:shd w:val="clear" w:color="auto" w:fill="F2F2F2" w:themeFill="background1" w:themeFillShade="F2"/>
                </w:tcPr>
                <w:p w:rsidR="00DC203B" w:rsidRDefault="00DC203B" w:rsidP="00DC203B">
                  <w:pPr>
                    <w:pStyle w:val="TableBodyText"/>
                  </w:pPr>
                  <w:r>
                    <w:t xml:space="preserve">N(0, </w:t>
                  </w:r>
                  <w:r w:rsidDel="00C60028">
                    <w:t>1</w:t>
                  </w:r>
                  <w:r>
                    <w:t>)</w:t>
                  </w:r>
                </w:p>
              </w:tc>
              <w:tc>
                <w:tcPr>
                  <w:tcW w:w="667" w:type="pct"/>
                  <w:shd w:val="clear" w:color="auto" w:fill="F2F2F2" w:themeFill="background1" w:themeFillShade="F2"/>
                </w:tcPr>
                <w:p w:rsidR="00DC203B" w:rsidRDefault="00DC203B" w:rsidP="00DC203B">
                  <w:pPr>
                    <w:pStyle w:val="TableBodyText"/>
                  </w:pPr>
                </w:p>
              </w:tc>
              <w:tc>
                <w:tcPr>
                  <w:tcW w:w="608" w:type="pct"/>
                  <w:shd w:val="clear" w:color="auto" w:fill="F2F2F2" w:themeFill="background1" w:themeFillShade="F2"/>
                </w:tcPr>
                <w:p w:rsidR="00DC203B" w:rsidRDefault="00DC203B" w:rsidP="00DC203B">
                  <w:pPr>
                    <w:pStyle w:val="TableBodyText"/>
                  </w:pPr>
                </w:p>
              </w:tc>
              <w:tc>
                <w:tcPr>
                  <w:tcW w:w="809" w:type="pct"/>
                  <w:shd w:val="clear" w:color="auto" w:fill="F2F2F2" w:themeFill="background1" w:themeFillShade="F2"/>
                </w:tcPr>
                <w:p w:rsidR="00DC203B" w:rsidRDefault="00DC203B" w:rsidP="00DC203B">
                  <w:pPr>
                    <w:pStyle w:val="TableBodyText"/>
                  </w:pPr>
                  <w:r>
                    <w:t xml:space="preserve">N(0, </w:t>
                  </w:r>
                  <w:r w:rsidDel="00C60028">
                    <w:t>1</w:t>
                  </w:r>
                  <w:r>
                    <w:t>)</w:t>
                  </w:r>
                </w:p>
              </w:tc>
            </w:tr>
            <w:tr w:rsidR="00DC203B" w:rsidTr="00DC203B">
              <w:tc>
                <w:tcPr>
                  <w:tcW w:w="1500" w:type="pct"/>
                  <w:shd w:val="clear" w:color="auto" w:fill="auto"/>
                </w:tcPr>
                <w:p w:rsidR="00DC203B" w:rsidRDefault="00DC203B" w:rsidP="00DC203B">
                  <w:pPr>
                    <w:pStyle w:val="TableBodyText"/>
                    <w:jc w:val="left"/>
                  </w:pPr>
                  <w:r>
                    <w:t>Cholesky factor for varying coefficients</w:t>
                  </w:r>
                </w:p>
              </w:tc>
              <w:tc>
                <w:tcPr>
                  <w:tcW w:w="667" w:type="pct"/>
                </w:tcPr>
                <w:p w:rsidR="00DC203B" w:rsidRDefault="00DC203B" w:rsidP="00DC203B">
                  <w:pPr>
                    <w:pStyle w:val="TableBodyText"/>
                  </w:pPr>
                  <w:r>
                    <w:t>LKJ(50)</w:t>
                  </w:r>
                </w:p>
              </w:tc>
              <w:tc>
                <w:tcPr>
                  <w:tcW w:w="749" w:type="pct"/>
                  <w:shd w:val="clear" w:color="auto" w:fill="auto"/>
                </w:tcPr>
                <w:p w:rsidR="00DC203B" w:rsidRDefault="00DC203B" w:rsidP="00DC203B">
                  <w:pPr>
                    <w:pStyle w:val="TableBodyText"/>
                  </w:pPr>
                  <w:r>
                    <w:t>LKJ(50)</w:t>
                  </w:r>
                </w:p>
              </w:tc>
              <w:tc>
                <w:tcPr>
                  <w:tcW w:w="667" w:type="pct"/>
                </w:tcPr>
                <w:p w:rsidR="00DC203B" w:rsidRDefault="00DC203B" w:rsidP="00DC203B">
                  <w:pPr>
                    <w:pStyle w:val="TableBodyText"/>
                  </w:pPr>
                </w:p>
              </w:tc>
              <w:tc>
                <w:tcPr>
                  <w:tcW w:w="608" w:type="pct"/>
                </w:tcPr>
                <w:p w:rsidR="00DC203B" w:rsidRDefault="00DC203B" w:rsidP="00DC203B">
                  <w:pPr>
                    <w:pStyle w:val="TableBodyText"/>
                  </w:pPr>
                </w:p>
              </w:tc>
              <w:tc>
                <w:tcPr>
                  <w:tcW w:w="809" w:type="pct"/>
                </w:tcPr>
                <w:p w:rsidR="00DC203B" w:rsidRDefault="00DC203B" w:rsidP="00DC203B">
                  <w:pPr>
                    <w:pStyle w:val="TableBodyText"/>
                  </w:pPr>
                  <w:r>
                    <w:t>LKJ(50)</w:t>
                  </w:r>
                </w:p>
              </w:tc>
            </w:tr>
            <w:tr w:rsidR="00DC203B" w:rsidTr="007F739B">
              <w:tc>
                <w:tcPr>
                  <w:tcW w:w="1500" w:type="pct"/>
                  <w:tcBorders>
                    <w:bottom w:val="single" w:sz="6" w:space="0" w:color="BFBFBF"/>
                  </w:tcBorders>
                  <w:shd w:val="clear" w:color="auto" w:fill="F2F2F2" w:themeFill="background1" w:themeFillShade="F2"/>
                </w:tcPr>
                <w:p w:rsidR="00DC203B" w:rsidRDefault="00DC203B" w:rsidP="00DC203B">
                  <w:pPr>
                    <w:pStyle w:val="TableBodyText"/>
                    <w:jc w:val="left"/>
                  </w:pPr>
                  <w:r>
                    <w:t>Cholesky factor for joint estimation of admin/investment expenses</w:t>
                  </w:r>
                </w:p>
              </w:tc>
              <w:tc>
                <w:tcPr>
                  <w:tcW w:w="667" w:type="pct"/>
                  <w:tcBorders>
                    <w:bottom w:val="single" w:sz="6" w:space="0" w:color="BFBFBF"/>
                  </w:tcBorders>
                  <w:shd w:val="clear" w:color="auto" w:fill="F2F2F2" w:themeFill="background1" w:themeFillShade="F2"/>
                </w:tcPr>
                <w:p w:rsidR="00DC203B" w:rsidRDefault="00DC203B" w:rsidP="00DC203B">
                  <w:pPr>
                    <w:pStyle w:val="TableBodyText"/>
                  </w:pPr>
                  <w:r>
                    <w:t>LKJ(50)</w:t>
                  </w:r>
                </w:p>
              </w:tc>
              <w:tc>
                <w:tcPr>
                  <w:tcW w:w="749" w:type="pct"/>
                  <w:tcBorders>
                    <w:bottom w:val="single" w:sz="6" w:space="0" w:color="BFBFBF"/>
                  </w:tcBorders>
                  <w:shd w:val="clear" w:color="auto" w:fill="F2F2F2" w:themeFill="background1" w:themeFillShade="F2"/>
                </w:tcPr>
                <w:p w:rsidR="00DC203B" w:rsidRDefault="00DC203B" w:rsidP="00DC203B">
                  <w:pPr>
                    <w:pStyle w:val="TableBodyText"/>
                  </w:pPr>
                  <w:r>
                    <w:t>LKJ(50)</w:t>
                  </w:r>
                </w:p>
              </w:tc>
              <w:tc>
                <w:tcPr>
                  <w:tcW w:w="667" w:type="pct"/>
                  <w:tcBorders>
                    <w:bottom w:val="single" w:sz="6" w:space="0" w:color="BFBFBF"/>
                  </w:tcBorders>
                  <w:shd w:val="clear" w:color="auto" w:fill="F2F2F2" w:themeFill="background1" w:themeFillShade="F2"/>
                </w:tcPr>
                <w:p w:rsidR="00DC203B" w:rsidRDefault="00DC203B" w:rsidP="00DC203B">
                  <w:pPr>
                    <w:pStyle w:val="TableBodyText"/>
                  </w:pPr>
                </w:p>
              </w:tc>
              <w:tc>
                <w:tcPr>
                  <w:tcW w:w="608" w:type="pct"/>
                  <w:tcBorders>
                    <w:bottom w:val="single" w:sz="6" w:space="0" w:color="BFBFBF"/>
                  </w:tcBorders>
                  <w:shd w:val="clear" w:color="auto" w:fill="F2F2F2" w:themeFill="background1" w:themeFillShade="F2"/>
                </w:tcPr>
                <w:p w:rsidR="00DC203B" w:rsidRDefault="00DC203B" w:rsidP="00DC203B">
                  <w:pPr>
                    <w:pStyle w:val="TableBodyText"/>
                  </w:pPr>
                </w:p>
              </w:tc>
              <w:tc>
                <w:tcPr>
                  <w:tcW w:w="809" w:type="pct"/>
                  <w:tcBorders>
                    <w:bottom w:val="single" w:sz="6" w:space="0" w:color="BFBFBF"/>
                  </w:tcBorders>
                  <w:shd w:val="clear" w:color="auto" w:fill="F2F2F2" w:themeFill="background1" w:themeFillShade="F2"/>
                </w:tcPr>
                <w:p w:rsidR="00DC203B" w:rsidRDefault="00DC203B" w:rsidP="00DC203B">
                  <w:pPr>
                    <w:pStyle w:val="TableBodyText"/>
                  </w:pPr>
                </w:p>
              </w:tc>
            </w:tr>
          </w:tbl>
          <w:p w:rsidR="00DC203B" w:rsidRDefault="00DC203B" w:rsidP="00DC203B">
            <w:pPr>
              <w:pStyle w:val="Box"/>
            </w:pPr>
          </w:p>
        </w:tc>
      </w:tr>
      <w:tr w:rsidR="00DC203B" w:rsidTr="00DC203B">
        <w:tc>
          <w:tcPr>
            <w:tcW w:w="5000" w:type="pct"/>
            <w:tcBorders>
              <w:top w:val="nil"/>
              <w:left w:val="nil"/>
              <w:bottom w:val="nil"/>
              <w:right w:val="nil"/>
            </w:tcBorders>
            <w:shd w:val="clear" w:color="auto" w:fill="auto"/>
          </w:tcPr>
          <w:p w:rsidR="00DC203B" w:rsidRPr="000E6A4D" w:rsidRDefault="00DC203B" w:rsidP="00DC203B">
            <w:pPr>
              <w:pStyle w:val="Note"/>
              <w:rPr>
                <w:i/>
                <w:spacing w:val="-2"/>
              </w:rPr>
            </w:pPr>
            <w:r w:rsidRPr="000E6A4D">
              <w:rPr>
                <w:rStyle w:val="NoteLabel"/>
                <w:spacing w:val="-2"/>
              </w:rPr>
              <w:t>a</w:t>
            </w:r>
            <w:r w:rsidRPr="000E6A4D">
              <w:rPr>
                <w:spacing w:val="-2"/>
              </w:rPr>
              <w:t xml:space="preserve"> </w:t>
            </w:r>
            <w:r w:rsidR="00BD79E6" w:rsidRPr="000E6A4D">
              <w:rPr>
                <w:i/>
                <w:spacing w:val="-2"/>
              </w:rPr>
              <w:t>N</w:t>
            </w:r>
            <w:r w:rsidR="00BD79E6" w:rsidRPr="000E6A4D">
              <w:rPr>
                <w:spacing w:val="-2"/>
              </w:rPr>
              <w:t xml:space="preserve"> denotes a normal distribution. </w:t>
            </w:r>
            <w:r w:rsidR="00BD79E6" w:rsidRPr="000E6A4D">
              <w:rPr>
                <w:i/>
                <w:spacing w:val="-2"/>
              </w:rPr>
              <w:t>IG</w:t>
            </w:r>
            <w:r w:rsidR="00BD79E6" w:rsidRPr="000E6A4D">
              <w:rPr>
                <w:spacing w:val="-2"/>
              </w:rPr>
              <w:t xml:space="preserve"> denotes an inverse gamma distribution. </w:t>
            </w:r>
            <w:r w:rsidR="00BD79E6" w:rsidRPr="000E6A4D">
              <w:rPr>
                <w:i/>
                <w:spacing w:val="-2"/>
              </w:rPr>
              <w:t>LKJ</w:t>
            </w:r>
            <w:r w:rsidR="00BD79E6" w:rsidRPr="000E6A4D">
              <w:rPr>
                <w:spacing w:val="-2"/>
              </w:rPr>
              <w:t xml:space="preserve"> denotes the LKJ distribution</w:t>
            </w:r>
            <w:r w:rsidRPr="000E6A4D">
              <w:rPr>
                <w:spacing w:val="-2"/>
              </w:rPr>
              <w:t>.</w:t>
            </w:r>
            <w:r w:rsidR="001270BB" w:rsidRPr="001270BB">
              <w:rPr>
                <w:rStyle w:val="NoteLabel"/>
              </w:rPr>
              <w:t xml:space="preserve"> b</w:t>
            </w:r>
            <w:r w:rsidR="001270BB" w:rsidRPr="000E6A4D">
              <w:rPr>
                <w:spacing w:val="-2"/>
              </w:rPr>
              <w:t xml:space="preserve"> </w:t>
            </w:r>
            <w:r w:rsidR="001270BB">
              <w:rPr>
                <w:spacing w:val="-2"/>
              </w:rPr>
              <w:t>The Commission discovered this inconsistency prior to publication. However the Commission tested a specification with consistent and tighter priors with minimal differences (appendix</w:t>
            </w:r>
            <w:r w:rsidR="00F640C8">
              <w:rPr>
                <w:spacing w:val="-2"/>
              </w:rPr>
              <w:t> </w:t>
            </w:r>
            <w:r w:rsidR="001270BB">
              <w:rPr>
                <w:spacing w:val="-2"/>
              </w:rPr>
              <w:t>C).</w:t>
            </w:r>
          </w:p>
        </w:tc>
      </w:tr>
      <w:tr w:rsidR="00DC203B" w:rsidTr="00DC203B">
        <w:tc>
          <w:tcPr>
            <w:tcW w:w="5000" w:type="pct"/>
            <w:tcBorders>
              <w:top w:val="nil"/>
              <w:left w:val="nil"/>
              <w:bottom w:val="single" w:sz="6" w:space="0" w:color="78A22F"/>
              <w:right w:val="nil"/>
            </w:tcBorders>
            <w:shd w:val="clear" w:color="auto" w:fill="auto"/>
          </w:tcPr>
          <w:p w:rsidR="00DC203B" w:rsidRDefault="00DC203B" w:rsidP="00DC203B">
            <w:pPr>
              <w:pStyle w:val="Box"/>
              <w:spacing w:before="0" w:line="120" w:lineRule="exact"/>
            </w:pPr>
          </w:p>
        </w:tc>
      </w:tr>
      <w:tr w:rsidR="00DC203B" w:rsidRPr="000863A5" w:rsidTr="00DC203B">
        <w:tc>
          <w:tcPr>
            <w:tcW w:w="5000" w:type="pct"/>
            <w:tcBorders>
              <w:top w:val="single" w:sz="6" w:space="0" w:color="78A22F"/>
              <w:left w:val="nil"/>
              <w:bottom w:val="nil"/>
              <w:right w:val="nil"/>
            </w:tcBorders>
          </w:tcPr>
          <w:p w:rsidR="00DC203B" w:rsidRPr="00626D32" w:rsidRDefault="00DC203B" w:rsidP="00DC203B">
            <w:pPr>
              <w:pStyle w:val="BoxSpaceBelow"/>
            </w:pPr>
          </w:p>
        </w:tc>
      </w:tr>
    </w:tbl>
    <w:p w:rsidR="00E33AC6" w:rsidRPr="007F739B" w:rsidRDefault="00E33AC6" w:rsidP="007F739B">
      <w:pPr>
        <w:pStyle w:val="BodyText"/>
      </w:pPr>
      <w:r>
        <w:br w:type="page"/>
      </w:r>
    </w:p>
    <w:p w:rsidR="004034E6" w:rsidRDefault="0028615E">
      <w:pPr>
        <w:pStyle w:val="Heading2"/>
      </w:pPr>
      <w:bookmarkStart w:id="68" w:name="_Toc530748502"/>
      <w:r>
        <w:lastRenderedPageBreak/>
        <w:t xml:space="preserve">Appendix </w:t>
      </w:r>
      <w:r w:rsidDel="00E33AC6">
        <w:t>C</w:t>
      </w:r>
      <w:r>
        <w:t>:</w:t>
      </w:r>
      <w:r w:rsidR="00404216">
        <w:tab/>
      </w:r>
      <w:r w:rsidR="00531920">
        <w:t>Tests of assumptions and</w:t>
      </w:r>
      <w:r>
        <w:t xml:space="preserve"> </w:t>
      </w:r>
      <w:r w:rsidR="000D642C">
        <w:t>s</w:t>
      </w:r>
      <w:r>
        <w:t>pecifications</w:t>
      </w:r>
      <w:bookmarkEnd w:id="68"/>
    </w:p>
    <w:p w:rsidR="00CC08C3" w:rsidRPr="00CC08C3" w:rsidRDefault="00CC08C3" w:rsidP="005F6385">
      <w:pPr>
        <w:pStyle w:val="BodyText"/>
      </w:pPr>
      <w:r>
        <w:t xml:space="preserve">To </w:t>
      </w:r>
      <w:r w:rsidR="00531920">
        <w:t xml:space="preserve">check </w:t>
      </w:r>
      <w:r>
        <w:t xml:space="preserve">the </w:t>
      </w:r>
      <w:r w:rsidR="00531920">
        <w:t xml:space="preserve">robustness </w:t>
      </w:r>
      <w:r>
        <w:t xml:space="preserve">of the Commission’s cost model, </w:t>
      </w:r>
      <w:r w:rsidR="00531920">
        <w:t xml:space="preserve">some underlying assumptions and </w:t>
      </w:r>
      <w:r>
        <w:t xml:space="preserve">alternative specifications </w:t>
      </w:r>
      <w:r w:rsidR="00297B3B">
        <w:t>were</w:t>
      </w:r>
      <w:r>
        <w:t xml:space="preserve"> </w:t>
      </w:r>
      <w:r w:rsidR="00531920">
        <w:t>tested</w:t>
      </w:r>
      <w:r>
        <w:t xml:space="preserve">. </w:t>
      </w:r>
      <w:r w:rsidR="00D64E15">
        <w:t>Almost all</w:t>
      </w:r>
      <w:r w:rsidR="00726C6E">
        <w:t xml:space="preserve"> do not </w:t>
      </w:r>
      <w:r w:rsidR="00D64E15">
        <w:t>materially alter results</w:t>
      </w:r>
      <w:r w:rsidR="00A05224">
        <w:t>, although h</w:t>
      </w:r>
      <w:r w:rsidR="00CB42D5">
        <w:t>ow fees data is treated may matter</w:t>
      </w:r>
      <w:r w:rsidR="001270BB">
        <w:t>.</w:t>
      </w:r>
    </w:p>
    <w:p w:rsidR="001270BB" w:rsidRDefault="001270BB">
      <w:pPr>
        <w:pStyle w:val="Heading3"/>
      </w:pPr>
      <w:bookmarkStart w:id="69" w:name="_Toc530748503"/>
      <w:r>
        <w:t>Weighted average fees</w:t>
      </w:r>
      <w:bookmarkEnd w:id="69"/>
    </w:p>
    <w:p w:rsidR="001270BB" w:rsidRDefault="001270BB" w:rsidP="001270BB">
      <w:pPr>
        <w:pStyle w:val="BodyText"/>
      </w:pPr>
      <w:r>
        <w:t>Participants at the Commission’s technical workshop suggested using a weighted average of a fund</w:t>
      </w:r>
      <w:r w:rsidR="002C0FAA">
        <w:t>’s</w:t>
      </w:r>
      <w:r>
        <w:t xml:space="preserve"> products to calculate average fees rather than a simple average.</w:t>
      </w:r>
      <w:r w:rsidR="00D163F9">
        <w:t xml:space="preserve"> Another change was </w:t>
      </w:r>
      <w:r>
        <w:t>to remove a handful of observations where fees were equal to zero for every one of a fund’s products.</w:t>
      </w:r>
    </w:p>
    <w:p w:rsidR="00DE38A3" w:rsidRDefault="00DE38A3" w:rsidP="001270BB">
      <w:pPr>
        <w:pStyle w:val="BodyText"/>
      </w:pPr>
      <w:r>
        <w:rPr>
          <w:spacing w:val="-2"/>
        </w:rPr>
        <w:t>In the earlier years covered by the data</w:t>
      </w:r>
      <w:r w:rsidRPr="00EC78FA">
        <w:rPr>
          <w:spacing w:val="-2"/>
        </w:rPr>
        <w:t xml:space="preserve">, product coverage for funds </w:t>
      </w:r>
      <w:r>
        <w:rPr>
          <w:spacing w:val="-2"/>
        </w:rPr>
        <w:t xml:space="preserve">was </w:t>
      </w:r>
      <w:r w:rsidRPr="00EC78FA">
        <w:rPr>
          <w:spacing w:val="-2"/>
        </w:rPr>
        <w:t>quite limited therefore using weighted averages on the available data may not necessarily yield fees more representative of the fund as a whole</w:t>
      </w:r>
      <w:r>
        <w:rPr>
          <w:spacing w:val="-2"/>
        </w:rPr>
        <w:t xml:space="preserve"> than using simple averages</w:t>
      </w:r>
      <w:r w:rsidRPr="00EC78FA">
        <w:rPr>
          <w:spacing w:val="-2"/>
        </w:rPr>
        <w:t xml:space="preserve">. </w:t>
      </w:r>
    </w:p>
    <w:p w:rsidR="00D64E15" w:rsidRPr="00CC08C3" w:rsidRDefault="001270BB" w:rsidP="005F6385">
      <w:pPr>
        <w:pStyle w:val="BodyText"/>
      </w:pPr>
      <w:r>
        <w:t xml:space="preserve">Analysis of model results that incorporated both these changes </w:t>
      </w:r>
      <w:r w:rsidR="002C0FAA">
        <w:t xml:space="preserve">(for which coefficients are presented in </w:t>
      </w:r>
      <w:r w:rsidR="00F640C8">
        <w:t>a</w:t>
      </w:r>
      <w:r w:rsidR="002C0FAA">
        <w:t>ppendix</w:t>
      </w:r>
      <w:r w:rsidR="00F640C8">
        <w:t> </w:t>
      </w:r>
      <w:r w:rsidR="002C0FAA">
        <w:t xml:space="preserve">E), </w:t>
      </w:r>
      <w:r>
        <w:t xml:space="preserve">showed no material changes to the results </w:t>
      </w:r>
      <w:r w:rsidR="002C0FAA">
        <w:t>presented in the body of the paper</w:t>
      </w:r>
      <w:r>
        <w:t xml:space="preserve">. The </w:t>
      </w:r>
      <w:r w:rsidR="002C0FAA">
        <w:t>only</w:t>
      </w:r>
      <w:r>
        <w:t xml:space="preserve"> notable change was that the median estimate of the power coefficient for industry funds shifted above one (from 0.89 to 1.06), reinforcing the conclusion that it is difficult to find evidence for economies of scale in investment for industry funds</w:t>
      </w:r>
      <w:r w:rsidR="00B24F6A">
        <w:t xml:space="preserve"> based on the available data</w:t>
      </w:r>
      <w:r>
        <w:t xml:space="preserve">. </w:t>
      </w:r>
      <w:r w:rsidRPr="00E920F0">
        <w:t xml:space="preserve">Given </w:t>
      </w:r>
      <w:r w:rsidR="00DA738A" w:rsidRPr="00E920F0">
        <w:t xml:space="preserve">that </w:t>
      </w:r>
      <w:r w:rsidR="002C0FAA" w:rsidRPr="00E920F0">
        <w:t xml:space="preserve">the </w:t>
      </w:r>
      <w:r w:rsidR="00DA738A" w:rsidRPr="00E920F0">
        <w:t>two</w:t>
      </w:r>
      <w:r w:rsidR="002C0FAA" w:rsidRPr="00E920F0">
        <w:t xml:space="preserve"> approaches to </w:t>
      </w:r>
      <w:r w:rsidR="00DA738A" w:rsidRPr="00E920F0">
        <w:t>calculating</w:t>
      </w:r>
      <w:r w:rsidR="002C0FAA" w:rsidRPr="00E920F0">
        <w:t xml:space="preserve"> fee</w:t>
      </w:r>
      <w:r w:rsidR="00DA738A" w:rsidRPr="00E920F0">
        <w:t>s</w:t>
      </w:r>
      <w:r w:rsidR="002C0FAA" w:rsidRPr="00E920F0">
        <w:t xml:space="preserve"> do not change the key findings, and the risk</w:t>
      </w:r>
      <w:r w:rsidR="00DA738A" w:rsidRPr="00E920F0">
        <w:t xml:space="preserve">s inherent in </w:t>
      </w:r>
      <w:r w:rsidR="002C0FAA" w:rsidRPr="00E920F0">
        <w:t xml:space="preserve">changing </w:t>
      </w:r>
      <w:r w:rsidR="00DA738A" w:rsidRPr="00E920F0">
        <w:t>presented figures and tables</w:t>
      </w:r>
      <w:r w:rsidR="00D163F9" w:rsidRPr="00E920F0">
        <w:t xml:space="preserve"> close to publication</w:t>
      </w:r>
      <w:r w:rsidRPr="00E920F0">
        <w:t>, the Commission opted to publish the model results that calculate fees using a simple average and include a small number of zero</w:t>
      </w:r>
      <w:r w:rsidR="00F640C8">
        <w:noBreakHyphen/>
      </w:r>
      <w:r w:rsidRPr="00E920F0">
        <w:t>fee observations</w:t>
      </w:r>
      <w:r>
        <w:t>.</w:t>
      </w:r>
    </w:p>
    <w:p w:rsidR="0028615E" w:rsidRDefault="001270BB" w:rsidP="005F6385">
      <w:pPr>
        <w:pStyle w:val="Heading3"/>
      </w:pPr>
      <w:bookmarkStart w:id="70" w:name="_Toc530748504"/>
      <w:r>
        <w:t>Other tests</w:t>
      </w:r>
      <w:bookmarkEnd w:id="70"/>
    </w:p>
    <w:p w:rsidR="0028615E" w:rsidRDefault="0028615E" w:rsidP="008E0D49">
      <w:pPr>
        <w:pStyle w:val="Heading4"/>
        <w:spacing w:before="240"/>
      </w:pPr>
      <w:r>
        <w:t>Random</w:t>
      </w:r>
      <w:r w:rsidR="00F640C8">
        <w:noBreakHyphen/>
      </w:r>
      <w:r>
        <w:t>effects assumption</w:t>
      </w:r>
    </w:p>
    <w:p w:rsidR="0028615E" w:rsidRDefault="00297B3B">
      <w:pPr>
        <w:pStyle w:val="BodyText"/>
      </w:pPr>
      <w:r>
        <w:t>R</w:t>
      </w:r>
      <w:r w:rsidR="00263377">
        <w:t xml:space="preserve">andom effects </w:t>
      </w:r>
      <w:r>
        <w:t xml:space="preserve">models assume </w:t>
      </w:r>
      <w:r w:rsidR="00263377">
        <w:t>that fund</w:t>
      </w:r>
      <w:r w:rsidR="00F640C8">
        <w:noBreakHyphen/>
      </w:r>
      <w:r w:rsidR="00263377">
        <w:t xml:space="preserve">specific effects are uncorrelated with the independent variables. If </w:t>
      </w:r>
      <w:r>
        <w:t>they are not</w:t>
      </w:r>
      <w:r w:rsidR="00E45CC6">
        <w:t xml:space="preserve">, the parameters estimates may be biased. This can be </w:t>
      </w:r>
      <w:r w:rsidR="002B05E6">
        <w:t>corrected</w:t>
      </w:r>
      <w:r w:rsidR="00E45CC6">
        <w:t xml:space="preserve"> by including </w:t>
      </w:r>
      <w:r w:rsidR="009D68B6">
        <w:t>the average of the independent variables for each fund as a fund</w:t>
      </w:r>
      <w:r w:rsidR="00F640C8">
        <w:noBreakHyphen/>
      </w:r>
      <w:r w:rsidR="009D68B6">
        <w:t>level independent variable when estimating the varying slope and varying intercepts.</w:t>
      </w:r>
      <w:r w:rsidR="002B05E6">
        <w:t xml:space="preserve"> The parameter estimates with the corrected model do not differ significantly from the original estimates</w:t>
      </w:r>
      <w:r>
        <w:t xml:space="preserve">, suggesting that the </w:t>
      </w:r>
      <w:r w:rsidR="00276E4C">
        <w:t xml:space="preserve">random effects </w:t>
      </w:r>
      <w:r>
        <w:t>assumption is not violated</w:t>
      </w:r>
      <w:r w:rsidR="002B05E6">
        <w:t>.</w:t>
      </w:r>
    </w:p>
    <w:p w:rsidR="003B11F0" w:rsidRDefault="003B11F0">
      <w:pPr>
        <w:rPr>
          <w:rFonts w:ascii="Arial" w:hAnsi="Arial"/>
        </w:rPr>
      </w:pPr>
      <w:r>
        <w:br w:type="page"/>
      </w:r>
    </w:p>
    <w:p w:rsidR="0028615E" w:rsidRDefault="0028615E" w:rsidP="005F6385">
      <w:pPr>
        <w:pStyle w:val="Heading4"/>
      </w:pPr>
      <w:r>
        <w:lastRenderedPageBreak/>
        <w:t>Yearly effects (including inflation)</w:t>
      </w:r>
    </w:p>
    <w:p w:rsidR="00A71546" w:rsidRPr="00A71546" w:rsidRDefault="00A71546" w:rsidP="00A71546">
      <w:pPr>
        <w:pStyle w:val="BodyText"/>
      </w:pPr>
      <w:r>
        <w:t>To test for the potential effects of inflation and other time</w:t>
      </w:r>
      <w:r w:rsidR="00F640C8">
        <w:noBreakHyphen/>
      </w:r>
      <w:r>
        <w:t xml:space="preserve">varying factors </w:t>
      </w:r>
      <w:r w:rsidR="00297B3B">
        <w:t xml:space="preserve">that may drive </w:t>
      </w:r>
      <w:r>
        <w:t>cost</w:t>
      </w:r>
      <w:r w:rsidR="00297B3B">
        <w:t>s</w:t>
      </w:r>
      <w:r>
        <w:t>, yearly fixed effects were included. The estimated median effects</w:t>
      </w:r>
      <w:r w:rsidR="00C325F7">
        <w:t xml:space="preserve"> for these parameters</w:t>
      </w:r>
      <w:r>
        <w:t xml:space="preserve"> were all close to zero. </w:t>
      </w:r>
      <w:r w:rsidR="00C325F7">
        <w:t>For this reason</w:t>
      </w:r>
      <w:r w:rsidR="00716280">
        <w:t>, and</w:t>
      </w:r>
      <w:r w:rsidR="00C325F7">
        <w:t xml:space="preserve"> to maintain </w:t>
      </w:r>
      <w:r>
        <w:t>parsimony in the modelling strategy</w:t>
      </w:r>
      <w:r w:rsidR="00716280">
        <w:t>, the Commission’s preferred specification does not include yearly fixed effects</w:t>
      </w:r>
      <w:r>
        <w:t>.</w:t>
      </w:r>
      <w:r w:rsidRPr="006007B3">
        <w:rPr>
          <w:rStyle w:val="FootnoteReference"/>
        </w:rPr>
        <w:footnoteReference w:id="32"/>
      </w:r>
    </w:p>
    <w:p w:rsidR="0028615E" w:rsidRDefault="0028615E" w:rsidP="005F6385">
      <w:pPr>
        <w:pStyle w:val="Heading4"/>
      </w:pPr>
      <w:r>
        <w:t>Insourcing</w:t>
      </w:r>
      <w:r w:rsidR="00531920">
        <w:t xml:space="preserve"> versus </w:t>
      </w:r>
      <w:r w:rsidR="003B3EFA">
        <w:t>outsourcing of investment management</w:t>
      </w:r>
    </w:p>
    <w:p w:rsidR="003B3EFA" w:rsidRDefault="00716280" w:rsidP="004475D1">
      <w:pPr>
        <w:pStyle w:val="BodyText"/>
      </w:pPr>
      <w:r>
        <w:t xml:space="preserve">Stakeholder consultation highlighted that the </w:t>
      </w:r>
      <w:r w:rsidR="00EC2FDF">
        <w:t>investment expenses associated with in</w:t>
      </w:r>
      <w:r w:rsidR="00F640C8">
        <w:noBreakHyphen/>
      </w:r>
      <w:r w:rsidR="00EC2FDF">
        <w:t>house management investment, particularly by large industry funds are more likely to be captured in the APRA reporting framework. Therefore,</w:t>
      </w:r>
      <w:r>
        <w:t xml:space="preserve"> the increased </w:t>
      </w:r>
      <w:r w:rsidR="003B3EFA">
        <w:t>in</w:t>
      </w:r>
      <w:r w:rsidR="00F640C8">
        <w:noBreakHyphen/>
      </w:r>
      <w:r w:rsidR="003B3EFA">
        <w:t>house</w:t>
      </w:r>
      <w:r>
        <w:t xml:space="preserve"> management of investments by some large industry funds could present as increased investment management costs</w:t>
      </w:r>
      <w:r w:rsidRPr="00716280">
        <w:t xml:space="preserve"> </w:t>
      </w:r>
      <w:r>
        <w:t>in APRA data</w:t>
      </w:r>
      <w:r w:rsidR="00531920">
        <w:t xml:space="preserve"> because it results in costs being more accurately reported</w:t>
      </w:r>
      <w:r>
        <w:t xml:space="preserve">, even though costs are actually likely to have decreased. </w:t>
      </w:r>
      <w:r w:rsidR="002353B3">
        <w:t xml:space="preserve">This could </w:t>
      </w:r>
      <w:r w:rsidR="003B3EFA">
        <w:t>lead the model to conclude a weaker economies of scale relationship for industry funds relative to other fund types than there actually is.</w:t>
      </w:r>
    </w:p>
    <w:p w:rsidR="003B3EFA" w:rsidRDefault="003B3EFA" w:rsidP="00C47811">
      <w:pPr>
        <w:pStyle w:val="BodyText"/>
      </w:pPr>
      <w:r>
        <w:t xml:space="preserve">To </w:t>
      </w:r>
      <w:r w:rsidR="002353B3">
        <w:t xml:space="preserve">better </w:t>
      </w:r>
      <w:r>
        <w:t>understand these issues, the Commission sought data on the proportion of in</w:t>
      </w:r>
      <w:r w:rsidR="00F640C8">
        <w:noBreakHyphen/>
      </w:r>
      <w:r>
        <w:t xml:space="preserve">house managed investments </w:t>
      </w:r>
      <w:r w:rsidR="002353B3">
        <w:t>from</w:t>
      </w:r>
      <w:r>
        <w:t xml:space="preserve"> ten </w:t>
      </w:r>
      <w:r w:rsidR="002353B3">
        <w:t xml:space="preserve">large </w:t>
      </w:r>
      <w:r>
        <w:t xml:space="preserve">funds </w:t>
      </w:r>
      <w:r w:rsidR="002353B3">
        <w:t xml:space="preserve">that </w:t>
      </w:r>
      <w:r>
        <w:t xml:space="preserve">are known to </w:t>
      </w:r>
      <w:r w:rsidR="002353B3">
        <w:t>manage investments in</w:t>
      </w:r>
      <w:r w:rsidR="00F640C8">
        <w:noBreakHyphen/>
      </w:r>
      <w:r w:rsidR="002353B3">
        <w:t>house</w:t>
      </w:r>
      <w:r>
        <w:t xml:space="preserve">. </w:t>
      </w:r>
    </w:p>
    <w:p w:rsidR="003B3EFA" w:rsidRPr="00C47811" w:rsidRDefault="007F4C27" w:rsidP="00C47811">
      <w:pPr>
        <w:pStyle w:val="BodyText"/>
      </w:pPr>
      <w:r>
        <w:t xml:space="preserve">When </w:t>
      </w:r>
      <w:r w:rsidR="002353B3">
        <w:t>th</w:t>
      </w:r>
      <w:r w:rsidR="00531920">
        <w:t>ese</w:t>
      </w:r>
      <w:r w:rsidR="002353B3">
        <w:t xml:space="preserve"> data are</w:t>
      </w:r>
      <w:r>
        <w:t xml:space="preserve"> included in the cost model (all other funds are assumed to have zero in</w:t>
      </w:r>
      <w:r w:rsidR="00531920">
        <w:noBreakHyphen/>
      </w:r>
      <w:r>
        <w:t>house investment management), there do</w:t>
      </w:r>
      <w:r w:rsidR="00260218">
        <w:t xml:space="preserve"> </w:t>
      </w:r>
      <w:r>
        <w:t>not appear to be any material differences in the economies of scale relationship for industry funds. However</w:t>
      </w:r>
      <w:r w:rsidR="00A05224">
        <w:t>,</w:t>
      </w:r>
      <w:r>
        <w:t xml:space="preserve"> with so little in</w:t>
      </w:r>
      <w:r w:rsidR="00F640C8">
        <w:noBreakHyphen/>
      </w:r>
      <w:r>
        <w:t xml:space="preserve">house management in the system as a whole, this should not be interpreted as a zero effect, rather </w:t>
      </w:r>
      <w:r w:rsidR="002353B3">
        <w:t xml:space="preserve">it indicates that no effect could be found </w:t>
      </w:r>
      <w:r>
        <w:t>based on the</w:t>
      </w:r>
      <w:r w:rsidR="00240418">
        <w:t xml:space="preserve"> limited</w:t>
      </w:r>
      <w:r>
        <w:t xml:space="preserve"> data available.</w:t>
      </w:r>
    </w:p>
    <w:p w:rsidR="001270BB" w:rsidRDefault="0028615E" w:rsidP="005F6385">
      <w:pPr>
        <w:pStyle w:val="Heading4"/>
      </w:pPr>
      <w:r>
        <w:t xml:space="preserve">Priors </w:t>
      </w:r>
    </w:p>
    <w:p w:rsidR="001270BB" w:rsidRDefault="001270BB" w:rsidP="00950E8A">
      <w:pPr>
        <w:pStyle w:val="BodyText"/>
      </w:pPr>
      <w:r>
        <w:t xml:space="preserve">To check that the priors adopted were not too tight and were not driving estimates, the Commission estimated the model with a more diffuse set of priors as specified in table </w:t>
      </w:r>
      <w:r w:rsidR="003564B9">
        <w:t>C</w:t>
      </w:r>
      <w:r>
        <w:t>.</w:t>
      </w:r>
      <w:r w:rsidR="003564B9">
        <w:t>1</w:t>
      </w:r>
      <w:r>
        <w:t>. There were no significant differences to model estimates.</w:t>
      </w:r>
      <w:r w:rsidR="00F640C8">
        <w:t xml:space="preserve"> </w:t>
      </w:r>
    </w:p>
    <w:p w:rsidR="001270BB" w:rsidRDefault="001270BB" w:rsidP="001270B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270BB" w:rsidTr="001270BB">
        <w:trPr>
          <w:tblHeader/>
        </w:trPr>
        <w:tc>
          <w:tcPr>
            <w:tcW w:w="5000" w:type="pct"/>
            <w:tcBorders>
              <w:top w:val="single" w:sz="6" w:space="0" w:color="78A22F"/>
              <w:left w:val="nil"/>
              <w:bottom w:val="nil"/>
              <w:right w:val="nil"/>
            </w:tcBorders>
            <w:shd w:val="clear" w:color="auto" w:fill="auto"/>
          </w:tcPr>
          <w:p w:rsidR="001270BB" w:rsidRPr="00784A05" w:rsidRDefault="001270BB" w:rsidP="001270BB">
            <w:pPr>
              <w:pStyle w:val="TableTitle"/>
            </w:pPr>
            <w:r>
              <w:rPr>
                <w:b w:val="0"/>
              </w:rPr>
              <w:t xml:space="preserve">Table </w:t>
            </w:r>
            <w:r w:rsidR="003564B9">
              <w:rPr>
                <w:b w:val="0"/>
              </w:rPr>
              <w:t>C</w:t>
            </w:r>
            <w:r>
              <w:rPr>
                <w:b w:val="0"/>
              </w:rPr>
              <w:t>.</w:t>
            </w:r>
            <w:r w:rsidR="003564B9">
              <w:rPr>
                <w:b w:val="0"/>
              </w:rPr>
              <w:t>1</w:t>
            </w:r>
            <w:r>
              <w:tab/>
              <w:t>Priors on model parameters</w:t>
            </w:r>
            <w:r w:rsidRPr="007F739B">
              <w:rPr>
                <w:rStyle w:val="NoteLabel"/>
                <w:b/>
              </w:rPr>
              <w:t>a</w:t>
            </w:r>
          </w:p>
        </w:tc>
      </w:tr>
      <w:tr w:rsidR="001270BB" w:rsidTr="001270B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1"/>
              <w:gridCol w:w="1135"/>
              <w:gridCol w:w="1274"/>
              <w:gridCol w:w="1135"/>
              <w:gridCol w:w="1034"/>
              <w:gridCol w:w="1376"/>
            </w:tblGrid>
            <w:tr w:rsidR="001270BB" w:rsidTr="001270BB">
              <w:trPr>
                <w:tblHeader/>
              </w:trPr>
              <w:tc>
                <w:tcPr>
                  <w:tcW w:w="1500" w:type="pct"/>
                  <w:tcBorders>
                    <w:top w:val="single" w:sz="6" w:space="0" w:color="BFBFBF"/>
                    <w:bottom w:val="single" w:sz="6" w:space="0" w:color="BFBFBF"/>
                  </w:tcBorders>
                  <w:shd w:val="clear" w:color="auto" w:fill="auto"/>
                  <w:tcMar>
                    <w:top w:w="28" w:type="dxa"/>
                  </w:tcMar>
                </w:tcPr>
                <w:p w:rsidR="001270BB" w:rsidRDefault="001270BB" w:rsidP="001270BB">
                  <w:pPr>
                    <w:pStyle w:val="TableColumnHeading"/>
                    <w:jc w:val="left"/>
                  </w:pPr>
                  <w:r>
                    <w:t>Parameters</w:t>
                  </w:r>
                </w:p>
              </w:tc>
              <w:tc>
                <w:tcPr>
                  <w:tcW w:w="667" w:type="pct"/>
                  <w:tcBorders>
                    <w:top w:val="single" w:sz="6" w:space="0" w:color="BFBFBF"/>
                    <w:bottom w:val="single" w:sz="6" w:space="0" w:color="BFBFBF"/>
                  </w:tcBorders>
                </w:tcPr>
                <w:p w:rsidR="001270BB" w:rsidRDefault="001270BB" w:rsidP="001270BB">
                  <w:pPr>
                    <w:pStyle w:val="TableColumnHeading"/>
                  </w:pPr>
                  <w:r>
                    <w:t>Admin</w:t>
                  </w:r>
                </w:p>
              </w:tc>
              <w:tc>
                <w:tcPr>
                  <w:tcW w:w="749" w:type="pct"/>
                  <w:tcBorders>
                    <w:top w:val="single" w:sz="6" w:space="0" w:color="BFBFBF"/>
                    <w:bottom w:val="single" w:sz="6" w:space="0" w:color="BFBFBF"/>
                  </w:tcBorders>
                  <w:shd w:val="clear" w:color="auto" w:fill="auto"/>
                  <w:tcMar>
                    <w:top w:w="28" w:type="dxa"/>
                  </w:tcMar>
                </w:tcPr>
                <w:p w:rsidR="001270BB" w:rsidRDefault="001270BB" w:rsidP="001270BB">
                  <w:pPr>
                    <w:pStyle w:val="TableColumnHeading"/>
                  </w:pPr>
                  <w:r>
                    <w:t>Investment</w:t>
                  </w:r>
                </w:p>
              </w:tc>
              <w:tc>
                <w:tcPr>
                  <w:tcW w:w="667" w:type="pct"/>
                  <w:tcBorders>
                    <w:top w:val="single" w:sz="6" w:space="0" w:color="BFBFBF"/>
                    <w:bottom w:val="single" w:sz="6" w:space="0" w:color="BFBFBF"/>
                  </w:tcBorders>
                </w:tcPr>
                <w:p w:rsidR="001270BB" w:rsidRDefault="001270BB" w:rsidP="001270BB">
                  <w:pPr>
                    <w:pStyle w:val="TableColumnHeading"/>
                  </w:pPr>
                  <w:r>
                    <w:t>Number of options</w:t>
                  </w:r>
                </w:p>
              </w:tc>
              <w:tc>
                <w:tcPr>
                  <w:tcW w:w="608" w:type="pct"/>
                  <w:tcBorders>
                    <w:top w:val="single" w:sz="6" w:space="0" w:color="BFBFBF"/>
                    <w:bottom w:val="single" w:sz="6" w:space="0" w:color="BFBFBF"/>
                  </w:tcBorders>
                </w:tcPr>
                <w:p w:rsidR="001270BB" w:rsidRDefault="001270BB" w:rsidP="001270BB">
                  <w:pPr>
                    <w:pStyle w:val="TableColumnHeading"/>
                  </w:pPr>
                  <w:r>
                    <w:t>Selection model</w:t>
                  </w:r>
                </w:p>
              </w:tc>
              <w:tc>
                <w:tcPr>
                  <w:tcW w:w="809" w:type="pct"/>
                  <w:tcBorders>
                    <w:top w:val="single" w:sz="6" w:space="0" w:color="BFBFBF"/>
                    <w:bottom w:val="single" w:sz="6" w:space="0" w:color="BFBFBF"/>
                  </w:tcBorders>
                </w:tcPr>
                <w:p w:rsidR="001270BB" w:rsidRDefault="001270BB" w:rsidP="001270BB">
                  <w:pPr>
                    <w:pStyle w:val="TableColumnHeading"/>
                  </w:pPr>
                  <w:r>
                    <w:t>Pass</w:t>
                  </w:r>
                  <w:r w:rsidR="00F640C8">
                    <w:noBreakHyphen/>
                  </w:r>
                  <w:r>
                    <w:t>through model</w:t>
                  </w:r>
                </w:p>
              </w:tc>
            </w:tr>
            <w:tr w:rsidR="001270BB" w:rsidTr="001270BB">
              <w:tc>
                <w:tcPr>
                  <w:tcW w:w="1500" w:type="pct"/>
                  <w:tcBorders>
                    <w:top w:val="single" w:sz="6" w:space="0" w:color="BFBFBF"/>
                  </w:tcBorders>
                </w:tcPr>
                <w:p w:rsidR="001270BB" w:rsidRDefault="001270BB" w:rsidP="001270BB">
                  <w:pPr>
                    <w:pStyle w:val="TableUnitsRow"/>
                    <w:jc w:val="left"/>
                  </w:pPr>
                  <w:r>
                    <w:t>Non</w:t>
                  </w:r>
                  <w:r w:rsidR="00F640C8">
                    <w:noBreakHyphen/>
                  </w:r>
                  <w:r>
                    <w:t>varying coefficients</w:t>
                  </w:r>
                </w:p>
              </w:tc>
              <w:tc>
                <w:tcPr>
                  <w:tcW w:w="667" w:type="pct"/>
                  <w:tcBorders>
                    <w:top w:val="single" w:sz="6" w:space="0" w:color="BFBFBF"/>
                  </w:tcBorders>
                </w:tcPr>
                <w:p w:rsidR="001270BB" w:rsidRDefault="001270BB" w:rsidP="001270BB">
                  <w:pPr>
                    <w:pStyle w:val="TableUnitsRow"/>
                  </w:pPr>
                  <w:r>
                    <w:t>N(0, 1)</w:t>
                  </w:r>
                </w:p>
              </w:tc>
              <w:tc>
                <w:tcPr>
                  <w:tcW w:w="749" w:type="pct"/>
                  <w:tcBorders>
                    <w:top w:val="single" w:sz="6" w:space="0" w:color="BFBFBF"/>
                  </w:tcBorders>
                </w:tcPr>
                <w:p w:rsidR="001270BB" w:rsidRDefault="001270BB" w:rsidP="001270BB">
                  <w:pPr>
                    <w:pStyle w:val="TableUnitsRow"/>
                  </w:pPr>
                  <w:r>
                    <w:t>N(0, 1)</w:t>
                  </w:r>
                </w:p>
              </w:tc>
              <w:tc>
                <w:tcPr>
                  <w:tcW w:w="667" w:type="pct"/>
                  <w:tcBorders>
                    <w:top w:val="single" w:sz="6" w:space="0" w:color="BFBFBF"/>
                  </w:tcBorders>
                </w:tcPr>
                <w:p w:rsidR="001270BB" w:rsidRDefault="001270BB" w:rsidP="001270BB">
                  <w:pPr>
                    <w:pStyle w:val="TableUnitsRow"/>
                  </w:pPr>
                  <w:r>
                    <w:t>N(0, 1)</w:t>
                  </w:r>
                </w:p>
              </w:tc>
              <w:tc>
                <w:tcPr>
                  <w:tcW w:w="608" w:type="pct"/>
                  <w:tcBorders>
                    <w:top w:val="single" w:sz="6" w:space="0" w:color="BFBFBF"/>
                  </w:tcBorders>
                </w:tcPr>
                <w:p w:rsidR="001270BB" w:rsidRDefault="001270BB" w:rsidP="001270BB">
                  <w:pPr>
                    <w:pStyle w:val="TableUnitsRow"/>
                  </w:pPr>
                  <w:r>
                    <w:t>N(0, 1)</w:t>
                  </w:r>
                </w:p>
              </w:tc>
              <w:tc>
                <w:tcPr>
                  <w:tcW w:w="809" w:type="pct"/>
                  <w:tcBorders>
                    <w:top w:val="single" w:sz="6" w:space="0" w:color="BFBFBF"/>
                  </w:tcBorders>
                </w:tcPr>
                <w:p w:rsidR="001270BB" w:rsidRDefault="001270BB" w:rsidP="001270BB">
                  <w:pPr>
                    <w:pStyle w:val="TableUnitsRow"/>
                  </w:pPr>
                  <w:r>
                    <w:t>N(0, 1)</w:t>
                  </w:r>
                </w:p>
              </w:tc>
            </w:tr>
            <w:tr w:rsidR="001270BB" w:rsidTr="001270BB">
              <w:trPr>
                <w:trHeight w:val="138"/>
              </w:trPr>
              <w:tc>
                <w:tcPr>
                  <w:tcW w:w="1500" w:type="pct"/>
                  <w:shd w:val="clear" w:color="auto" w:fill="F2F2F2" w:themeFill="background1" w:themeFillShade="F2"/>
                </w:tcPr>
                <w:p w:rsidR="001270BB" w:rsidRDefault="001270BB" w:rsidP="001270BB">
                  <w:pPr>
                    <w:pStyle w:val="TableBodyText"/>
                    <w:jc w:val="left"/>
                  </w:pPr>
                  <w:r>
                    <w:t>Temporary intercept</w:t>
                  </w:r>
                </w:p>
              </w:tc>
              <w:tc>
                <w:tcPr>
                  <w:tcW w:w="667" w:type="pct"/>
                  <w:shd w:val="clear" w:color="auto" w:fill="F2F2F2" w:themeFill="background1" w:themeFillShade="F2"/>
                </w:tcPr>
                <w:p w:rsidR="001270BB" w:rsidRDefault="001270BB" w:rsidP="001270BB">
                  <w:pPr>
                    <w:pStyle w:val="TableBodyText"/>
                  </w:pPr>
                  <w:r>
                    <w:t>N(1, 1)</w:t>
                  </w:r>
                </w:p>
              </w:tc>
              <w:tc>
                <w:tcPr>
                  <w:tcW w:w="749" w:type="pct"/>
                  <w:shd w:val="clear" w:color="auto" w:fill="F2F2F2" w:themeFill="background1" w:themeFillShade="F2"/>
                </w:tcPr>
                <w:p w:rsidR="001270BB" w:rsidRDefault="001270BB" w:rsidP="001270BB">
                  <w:pPr>
                    <w:pStyle w:val="TableBodyText"/>
                  </w:pPr>
                  <w:r>
                    <w:t>N(1, 1)</w:t>
                  </w:r>
                </w:p>
              </w:tc>
              <w:tc>
                <w:tcPr>
                  <w:tcW w:w="667" w:type="pct"/>
                  <w:shd w:val="clear" w:color="auto" w:fill="F2F2F2" w:themeFill="background1" w:themeFillShade="F2"/>
                </w:tcPr>
                <w:p w:rsidR="001270BB" w:rsidRDefault="001270BB" w:rsidP="001270BB">
                  <w:pPr>
                    <w:pStyle w:val="TableBodyText"/>
                  </w:pPr>
                  <w:r>
                    <w:t>N(1, 1)</w:t>
                  </w:r>
                </w:p>
              </w:tc>
              <w:tc>
                <w:tcPr>
                  <w:tcW w:w="608" w:type="pct"/>
                  <w:shd w:val="clear" w:color="auto" w:fill="F2F2F2" w:themeFill="background1" w:themeFillShade="F2"/>
                </w:tcPr>
                <w:p w:rsidR="001270BB" w:rsidRDefault="001270BB" w:rsidP="001270BB">
                  <w:pPr>
                    <w:pStyle w:val="TableBodyText"/>
                  </w:pPr>
                  <w:r>
                    <w:t>N(1, 1)</w:t>
                  </w:r>
                </w:p>
              </w:tc>
              <w:tc>
                <w:tcPr>
                  <w:tcW w:w="809" w:type="pct"/>
                  <w:shd w:val="clear" w:color="auto" w:fill="F2F2F2" w:themeFill="background1" w:themeFillShade="F2"/>
                </w:tcPr>
                <w:p w:rsidR="001270BB" w:rsidRDefault="001270BB" w:rsidP="001270BB">
                  <w:pPr>
                    <w:pStyle w:val="TableBodyText"/>
                  </w:pPr>
                  <w:r>
                    <w:t>N(1, 1)</w:t>
                  </w:r>
                </w:p>
              </w:tc>
            </w:tr>
            <w:tr w:rsidR="001270BB" w:rsidTr="001270BB">
              <w:tc>
                <w:tcPr>
                  <w:tcW w:w="1500" w:type="pct"/>
                  <w:shd w:val="clear" w:color="auto" w:fill="auto"/>
                </w:tcPr>
                <w:p w:rsidR="001270BB" w:rsidRDefault="001270BB" w:rsidP="001270BB">
                  <w:pPr>
                    <w:pStyle w:val="TableBodyText"/>
                    <w:jc w:val="left"/>
                  </w:pPr>
                  <w:r>
                    <w:t>Control function coefficients</w:t>
                  </w:r>
                </w:p>
              </w:tc>
              <w:tc>
                <w:tcPr>
                  <w:tcW w:w="667" w:type="pct"/>
                </w:tcPr>
                <w:p w:rsidR="001270BB" w:rsidRDefault="001270BB" w:rsidP="001270BB">
                  <w:pPr>
                    <w:pStyle w:val="TableBodyText"/>
                  </w:pPr>
                  <w:r>
                    <w:t>N(0, 1)</w:t>
                  </w:r>
                </w:p>
              </w:tc>
              <w:tc>
                <w:tcPr>
                  <w:tcW w:w="749" w:type="pct"/>
                  <w:shd w:val="clear" w:color="auto" w:fill="auto"/>
                </w:tcPr>
                <w:p w:rsidR="001270BB" w:rsidRDefault="001270BB" w:rsidP="001270BB">
                  <w:pPr>
                    <w:pStyle w:val="TableBodyText"/>
                  </w:pPr>
                  <w:r>
                    <w:t>N(0, 1)</w:t>
                  </w:r>
                </w:p>
              </w:tc>
              <w:tc>
                <w:tcPr>
                  <w:tcW w:w="667" w:type="pct"/>
                </w:tcPr>
                <w:p w:rsidR="001270BB" w:rsidRDefault="001270BB" w:rsidP="001270BB">
                  <w:pPr>
                    <w:pStyle w:val="TableBodyText"/>
                  </w:pPr>
                </w:p>
              </w:tc>
              <w:tc>
                <w:tcPr>
                  <w:tcW w:w="608" w:type="pct"/>
                </w:tcPr>
                <w:p w:rsidR="001270BB" w:rsidRDefault="001270BB" w:rsidP="001270BB">
                  <w:pPr>
                    <w:pStyle w:val="TableBodyText"/>
                  </w:pPr>
                </w:p>
              </w:tc>
              <w:tc>
                <w:tcPr>
                  <w:tcW w:w="809" w:type="pct"/>
                </w:tcPr>
                <w:p w:rsidR="001270BB" w:rsidRDefault="001270BB" w:rsidP="001270BB">
                  <w:pPr>
                    <w:pStyle w:val="TableBodyText"/>
                  </w:pPr>
                </w:p>
              </w:tc>
            </w:tr>
            <w:tr w:rsidR="001270BB" w:rsidTr="001270BB">
              <w:tc>
                <w:tcPr>
                  <w:tcW w:w="1500" w:type="pct"/>
                  <w:shd w:val="clear" w:color="auto" w:fill="F2F2F2" w:themeFill="background1" w:themeFillShade="F2"/>
                </w:tcPr>
                <w:p w:rsidR="001270BB" w:rsidRDefault="001270BB" w:rsidP="001270BB">
                  <w:pPr>
                    <w:pStyle w:val="TableBodyText"/>
                    <w:jc w:val="left"/>
                  </w:pPr>
                  <w:r>
                    <w:t>SD of residual</w:t>
                  </w:r>
                </w:p>
              </w:tc>
              <w:tc>
                <w:tcPr>
                  <w:tcW w:w="667" w:type="pct"/>
                  <w:shd w:val="clear" w:color="auto" w:fill="F2F2F2" w:themeFill="background1" w:themeFillShade="F2"/>
                </w:tcPr>
                <w:p w:rsidR="001270BB" w:rsidRDefault="001270BB" w:rsidP="001270BB">
                  <w:pPr>
                    <w:pStyle w:val="TableBodyText"/>
                  </w:pPr>
                  <w:r>
                    <w:t>IG(2, 1)</w:t>
                  </w:r>
                </w:p>
              </w:tc>
              <w:tc>
                <w:tcPr>
                  <w:tcW w:w="749" w:type="pct"/>
                  <w:shd w:val="clear" w:color="auto" w:fill="F2F2F2" w:themeFill="background1" w:themeFillShade="F2"/>
                </w:tcPr>
                <w:p w:rsidR="001270BB" w:rsidRDefault="001270BB" w:rsidP="001270BB">
                  <w:pPr>
                    <w:pStyle w:val="TableBodyText"/>
                  </w:pPr>
                  <w:r>
                    <w:t>IG(2, 1)</w:t>
                  </w:r>
                </w:p>
              </w:tc>
              <w:tc>
                <w:tcPr>
                  <w:tcW w:w="667" w:type="pct"/>
                  <w:shd w:val="clear" w:color="auto" w:fill="F2F2F2" w:themeFill="background1" w:themeFillShade="F2"/>
                </w:tcPr>
                <w:p w:rsidR="001270BB" w:rsidRDefault="001270BB" w:rsidP="001270BB">
                  <w:pPr>
                    <w:pStyle w:val="TableBodyText"/>
                  </w:pPr>
                  <w:r>
                    <w:t>IG(2, 1)</w:t>
                  </w:r>
                </w:p>
              </w:tc>
              <w:tc>
                <w:tcPr>
                  <w:tcW w:w="608" w:type="pct"/>
                  <w:shd w:val="clear" w:color="auto" w:fill="F2F2F2" w:themeFill="background1" w:themeFillShade="F2"/>
                </w:tcPr>
                <w:p w:rsidR="001270BB" w:rsidRDefault="001270BB" w:rsidP="001270BB">
                  <w:pPr>
                    <w:pStyle w:val="TableBodyText"/>
                  </w:pPr>
                </w:p>
              </w:tc>
              <w:tc>
                <w:tcPr>
                  <w:tcW w:w="809" w:type="pct"/>
                  <w:shd w:val="clear" w:color="auto" w:fill="F2F2F2" w:themeFill="background1" w:themeFillShade="F2"/>
                </w:tcPr>
                <w:p w:rsidR="001270BB" w:rsidRDefault="001270BB" w:rsidP="001270BB">
                  <w:pPr>
                    <w:pStyle w:val="TableBodyText"/>
                  </w:pPr>
                  <w:r>
                    <w:t>IG(2, 1)</w:t>
                  </w:r>
                </w:p>
              </w:tc>
            </w:tr>
            <w:tr w:rsidR="001270BB" w:rsidTr="001270BB">
              <w:tc>
                <w:tcPr>
                  <w:tcW w:w="1500" w:type="pct"/>
                  <w:shd w:val="clear" w:color="auto" w:fill="auto"/>
                </w:tcPr>
                <w:p w:rsidR="001270BB" w:rsidRDefault="001270BB" w:rsidP="001270BB">
                  <w:pPr>
                    <w:pStyle w:val="TableBodyText"/>
                    <w:jc w:val="left"/>
                  </w:pPr>
                  <w:r>
                    <w:t>SD of varying coefficients</w:t>
                  </w:r>
                </w:p>
              </w:tc>
              <w:tc>
                <w:tcPr>
                  <w:tcW w:w="667" w:type="pct"/>
                </w:tcPr>
                <w:p w:rsidR="001270BB" w:rsidRDefault="001270BB" w:rsidP="001270BB">
                  <w:pPr>
                    <w:pStyle w:val="TableBodyText"/>
                  </w:pPr>
                  <w:r>
                    <w:t>IG(2, 1)</w:t>
                  </w:r>
                </w:p>
              </w:tc>
              <w:tc>
                <w:tcPr>
                  <w:tcW w:w="749" w:type="pct"/>
                  <w:shd w:val="clear" w:color="auto" w:fill="auto"/>
                </w:tcPr>
                <w:p w:rsidR="001270BB" w:rsidRDefault="001270BB" w:rsidP="001270BB">
                  <w:pPr>
                    <w:pStyle w:val="TableBodyText"/>
                  </w:pPr>
                  <w:r>
                    <w:t>IG(2, 1)</w:t>
                  </w:r>
                </w:p>
              </w:tc>
              <w:tc>
                <w:tcPr>
                  <w:tcW w:w="667" w:type="pct"/>
                </w:tcPr>
                <w:p w:rsidR="001270BB" w:rsidRDefault="001270BB" w:rsidP="001270BB">
                  <w:pPr>
                    <w:pStyle w:val="TableBodyText"/>
                  </w:pPr>
                </w:p>
              </w:tc>
              <w:tc>
                <w:tcPr>
                  <w:tcW w:w="608" w:type="pct"/>
                </w:tcPr>
                <w:p w:rsidR="001270BB" w:rsidRDefault="001270BB" w:rsidP="001270BB">
                  <w:pPr>
                    <w:pStyle w:val="TableBodyText"/>
                  </w:pPr>
                </w:p>
              </w:tc>
              <w:tc>
                <w:tcPr>
                  <w:tcW w:w="809" w:type="pct"/>
                </w:tcPr>
                <w:p w:rsidR="001270BB" w:rsidRDefault="001270BB" w:rsidP="001270BB">
                  <w:pPr>
                    <w:pStyle w:val="TableBodyText"/>
                  </w:pPr>
                  <w:r>
                    <w:t>IG(2, 1)</w:t>
                  </w:r>
                </w:p>
              </w:tc>
            </w:tr>
            <w:tr w:rsidR="001270BB" w:rsidTr="001270BB">
              <w:tc>
                <w:tcPr>
                  <w:tcW w:w="1500" w:type="pct"/>
                  <w:shd w:val="clear" w:color="auto" w:fill="F2F2F2" w:themeFill="background1" w:themeFillShade="F2"/>
                </w:tcPr>
                <w:p w:rsidR="001270BB" w:rsidRDefault="001270BB" w:rsidP="001270BB">
                  <w:pPr>
                    <w:pStyle w:val="TableBodyText"/>
                    <w:jc w:val="left"/>
                  </w:pPr>
                  <w:r>
                    <w:t>Varying coefficients</w:t>
                  </w:r>
                </w:p>
              </w:tc>
              <w:tc>
                <w:tcPr>
                  <w:tcW w:w="667" w:type="pct"/>
                  <w:shd w:val="clear" w:color="auto" w:fill="F2F2F2" w:themeFill="background1" w:themeFillShade="F2"/>
                </w:tcPr>
                <w:p w:rsidR="001270BB" w:rsidRDefault="001270BB" w:rsidP="001270BB">
                  <w:pPr>
                    <w:pStyle w:val="TableBodyText"/>
                  </w:pPr>
                  <w:r>
                    <w:t xml:space="preserve">N(0, </w:t>
                  </w:r>
                  <w:r w:rsidDel="00C60028">
                    <w:t>1</w:t>
                  </w:r>
                  <w:r>
                    <w:t>)</w:t>
                  </w:r>
                </w:p>
              </w:tc>
              <w:tc>
                <w:tcPr>
                  <w:tcW w:w="749" w:type="pct"/>
                  <w:shd w:val="clear" w:color="auto" w:fill="F2F2F2" w:themeFill="background1" w:themeFillShade="F2"/>
                </w:tcPr>
                <w:p w:rsidR="001270BB" w:rsidRDefault="001270BB" w:rsidP="001270BB">
                  <w:pPr>
                    <w:pStyle w:val="TableBodyText"/>
                  </w:pPr>
                  <w:r>
                    <w:t xml:space="preserve">N(0, </w:t>
                  </w:r>
                  <w:r w:rsidDel="00C60028">
                    <w:t>1</w:t>
                  </w:r>
                  <w:r>
                    <w:t>)</w:t>
                  </w:r>
                </w:p>
              </w:tc>
              <w:tc>
                <w:tcPr>
                  <w:tcW w:w="667" w:type="pct"/>
                  <w:shd w:val="clear" w:color="auto" w:fill="F2F2F2" w:themeFill="background1" w:themeFillShade="F2"/>
                </w:tcPr>
                <w:p w:rsidR="001270BB" w:rsidRDefault="001270BB" w:rsidP="001270BB">
                  <w:pPr>
                    <w:pStyle w:val="TableBodyText"/>
                  </w:pPr>
                </w:p>
              </w:tc>
              <w:tc>
                <w:tcPr>
                  <w:tcW w:w="608" w:type="pct"/>
                  <w:shd w:val="clear" w:color="auto" w:fill="F2F2F2" w:themeFill="background1" w:themeFillShade="F2"/>
                </w:tcPr>
                <w:p w:rsidR="001270BB" w:rsidRDefault="001270BB" w:rsidP="001270BB">
                  <w:pPr>
                    <w:pStyle w:val="TableBodyText"/>
                  </w:pPr>
                </w:p>
              </w:tc>
              <w:tc>
                <w:tcPr>
                  <w:tcW w:w="809" w:type="pct"/>
                  <w:shd w:val="clear" w:color="auto" w:fill="F2F2F2" w:themeFill="background1" w:themeFillShade="F2"/>
                </w:tcPr>
                <w:p w:rsidR="001270BB" w:rsidRDefault="001270BB" w:rsidP="001270BB">
                  <w:pPr>
                    <w:pStyle w:val="TableBodyText"/>
                  </w:pPr>
                  <w:r>
                    <w:t xml:space="preserve">N(0, </w:t>
                  </w:r>
                  <w:r w:rsidDel="00C60028">
                    <w:t>1</w:t>
                  </w:r>
                  <w:r>
                    <w:t>)</w:t>
                  </w:r>
                </w:p>
              </w:tc>
            </w:tr>
            <w:tr w:rsidR="001270BB" w:rsidTr="001270BB">
              <w:tc>
                <w:tcPr>
                  <w:tcW w:w="1500" w:type="pct"/>
                  <w:shd w:val="clear" w:color="auto" w:fill="auto"/>
                </w:tcPr>
                <w:p w:rsidR="001270BB" w:rsidRDefault="001270BB" w:rsidP="001270BB">
                  <w:pPr>
                    <w:pStyle w:val="TableBodyText"/>
                    <w:jc w:val="left"/>
                  </w:pPr>
                  <w:r>
                    <w:t>Cholesky factor for varying coefficients</w:t>
                  </w:r>
                </w:p>
              </w:tc>
              <w:tc>
                <w:tcPr>
                  <w:tcW w:w="667" w:type="pct"/>
                </w:tcPr>
                <w:p w:rsidR="001270BB" w:rsidRDefault="001270BB" w:rsidP="001270BB">
                  <w:pPr>
                    <w:pStyle w:val="TableBodyText"/>
                  </w:pPr>
                  <w:r>
                    <w:t>LKJ(50)</w:t>
                  </w:r>
                </w:p>
              </w:tc>
              <w:tc>
                <w:tcPr>
                  <w:tcW w:w="749" w:type="pct"/>
                  <w:shd w:val="clear" w:color="auto" w:fill="auto"/>
                </w:tcPr>
                <w:p w:rsidR="001270BB" w:rsidRDefault="001270BB" w:rsidP="001270BB">
                  <w:pPr>
                    <w:pStyle w:val="TableBodyText"/>
                  </w:pPr>
                  <w:r>
                    <w:t>LKJ(50)</w:t>
                  </w:r>
                </w:p>
              </w:tc>
              <w:tc>
                <w:tcPr>
                  <w:tcW w:w="667" w:type="pct"/>
                </w:tcPr>
                <w:p w:rsidR="001270BB" w:rsidRDefault="001270BB" w:rsidP="001270BB">
                  <w:pPr>
                    <w:pStyle w:val="TableBodyText"/>
                  </w:pPr>
                </w:p>
              </w:tc>
              <w:tc>
                <w:tcPr>
                  <w:tcW w:w="608" w:type="pct"/>
                </w:tcPr>
                <w:p w:rsidR="001270BB" w:rsidRDefault="001270BB" w:rsidP="001270BB">
                  <w:pPr>
                    <w:pStyle w:val="TableBodyText"/>
                  </w:pPr>
                </w:p>
              </w:tc>
              <w:tc>
                <w:tcPr>
                  <w:tcW w:w="809" w:type="pct"/>
                </w:tcPr>
                <w:p w:rsidR="001270BB" w:rsidRDefault="001270BB" w:rsidP="001270BB">
                  <w:pPr>
                    <w:pStyle w:val="TableBodyText"/>
                  </w:pPr>
                  <w:r>
                    <w:t>LKJ(50)</w:t>
                  </w:r>
                </w:p>
              </w:tc>
            </w:tr>
            <w:tr w:rsidR="001270BB" w:rsidTr="001270BB">
              <w:tc>
                <w:tcPr>
                  <w:tcW w:w="1500" w:type="pct"/>
                  <w:tcBorders>
                    <w:bottom w:val="single" w:sz="6" w:space="0" w:color="BFBFBF"/>
                  </w:tcBorders>
                  <w:shd w:val="clear" w:color="auto" w:fill="F2F2F2" w:themeFill="background1" w:themeFillShade="F2"/>
                </w:tcPr>
                <w:p w:rsidR="001270BB" w:rsidRDefault="001270BB" w:rsidP="001270BB">
                  <w:pPr>
                    <w:pStyle w:val="TableBodyText"/>
                    <w:jc w:val="left"/>
                  </w:pPr>
                  <w:r>
                    <w:t>Cholesky factor for joint estimation of admin/investment expenses</w:t>
                  </w:r>
                </w:p>
              </w:tc>
              <w:tc>
                <w:tcPr>
                  <w:tcW w:w="667" w:type="pct"/>
                  <w:tcBorders>
                    <w:bottom w:val="single" w:sz="6" w:space="0" w:color="BFBFBF"/>
                  </w:tcBorders>
                  <w:shd w:val="clear" w:color="auto" w:fill="F2F2F2" w:themeFill="background1" w:themeFillShade="F2"/>
                </w:tcPr>
                <w:p w:rsidR="001270BB" w:rsidRDefault="001270BB" w:rsidP="001270BB">
                  <w:pPr>
                    <w:pStyle w:val="TableBodyText"/>
                  </w:pPr>
                  <w:r>
                    <w:t>LKJ(50)</w:t>
                  </w:r>
                </w:p>
              </w:tc>
              <w:tc>
                <w:tcPr>
                  <w:tcW w:w="749" w:type="pct"/>
                  <w:tcBorders>
                    <w:bottom w:val="single" w:sz="6" w:space="0" w:color="BFBFBF"/>
                  </w:tcBorders>
                  <w:shd w:val="clear" w:color="auto" w:fill="F2F2F2" w:themeFill="background1" w:themeFillShade="F2"/>
                </w:tcPr>
                <w:p w:rsidR="001270BB" w:rsidRDefault="001270BB" w:rsidP="001270BB">
                  <w:pPr>
                    <w:pStyle w:val="TableBodyText"/>
                  </w:pPr>
                  <w:r>
                    <w:t>LKJ(50)</w:t>
                  </w:r>
                </w:p>
              </w:tc>
              <w:tc>
                <w:tcPr>
                  <w:tcW w:w="667" w:type="pct"/>
                  <w:tcBorders>
                    <w:bottom w:val="single" w:sz="6" w:space="0" w:color="BFBFBF"/>
                  </w:tcBorders>
                  <w:shd w:val="clear" w:color="auto" w:fill="F2F2F2" w:themeFill="background1" w:themeFillShade="F2"/>
                </w:tcPr>
                <w:p w:rsidR="001270BB" w:rsidRDefault="001270BB" w:rsidP="001270BB">
                  <w:pPr>
                    <w:pStyle w:val="TableBodyText"/>
                  </w:pPr>
                </w:p>
              </w:tc>
              <w:tc>
                <w:tcPr>
                  <w:tcW w:w="608" w:type="pct"/>
                  <w:tcBorders>
                    <w:bottom w:val="single" w:sz="6" w:space="0" w:color="BFBFBF"/>
                  </w:tcBorders>
                  <w:shd w:val="clear" w:color="auto" w:fill="F2F2F2" w:themeFill="background1" w:themeFillShade="F2"/>
                </w:tcPr>
                <w:p w:rsidR="001270BB" w:rsidRDefault="001270BB" w:rsidP="001270BB">
                  <w:pPr>
                    <w:pStyle w:val="TableBodyText"/>
                  </w:pPr>
                </w:p>
              </w:tc>
              <w:tc>
                <w:tcPr>
                  <w:tcW w:w="809" w:type="pct"/>
                  <w:tcBorders>
                    <w:bottom w:val="single" w:sz="6" w:space="0" w:color="BFBFBF"/>
                  </w:tcBorders>
                  <w:shd w:val="clear" w:color="auto" w:fill="F2F2F2" w:themeFill="background1" w:themeFillShade="F2"/>
                </w:tcPr>
                <w:p w:rsidR="001270BB" w:rsidRDefault="001270BB" w:rsidP="001270BB">
                  <w:pPr>
                    <w:pStyle w:val="TableBodyText"/>
                  </w:pPr>
                </w:p>
              </w:tc>
            </w:tr>
          </w:tbl>
          <w:p w:rsidR="001270BB" w:rsidRDefault="001270BB" w:rsidP="001270BB">
            <w:pPr>
              <w:pStyle w:val="Box"/>
            </w:pPr>
          </w:p>
        </w:tc>
      </w:tr>
      <w:tr w:rsidR="001270BB" w:rsidTr="001270BB">
        <w:tc>
          <w:tcPr>
            <w:tcW w:w="5000" w:type="pct"/>
            <w:tcBorders>
              <w:top w:val="nil"/>
              <w:left w:val="nil"/>
              <w:bottom w:val="nil"/>
              <w:right w:val="nil"/>
            </w:tcBorders>
            <w:shd w:val="clear" w:color="auto" w:fill="auto"/>
          </w:tcPr>
          <w:p w:rsidR="001270BB" w:rsidRPr="000E6A4D" w:rsidRDefault="001270BB" w:rsidP="001270BB">
            <w:pPr>
              <w:pStyle w:val="Note"/>
              <w:rPr>
                <w:i/>
                <w:spacing w:val="-2"/>
              </w:rPr>
            </w:pPr>
            <w:r w:rsidRPr="000E6A4D">
              <w:rPr>
                <w:rStyle w:val="NoteLabel"/>
                <w:spacing w:val="-2"/>
              </w:rPr>
              <w:t>a</w:t>
            </w:r>
            <w:r w:rsidRPr="000E6A4D">
              <w:rPr>
                <w:spacing w:val="-2"/>
              </w:rPr>
              <w:t xml:space="preserve"> </w:t>
            </w:r>
            <w:r w:rsidRPr="000E6A4D">
              <w:rPr>
                <w:i/>
                <w:spacing w:val="-2"/>
              </w:rPr>
              <w:t>N</w:t>
            </w:r>
            <w:r w:rsidRPr="000E6A4D">
              <w:rPr>
                <w:spacing w:val="-2"/>
              </w:rPr>
              <w:t xml:space="preserve"> denotes a normal distribution. </w:t>
            </w:r>
            <w:r w:rsidRPr="000E6A4D">
              <w:rPr>
                <w:i/>
                <w:spacing w:val="-2"/>
              </w:rPr>
              <w:t>IG</w:t>
            </w:r>
            <w:r w:rsidRPr="000E6A4D">
              <w:rPr>
                <w:spacing w:val="-2"/>
              </w:rPr>
              <w:t xml:space="preserve"> denotes an inverse gamma distribution. </w:t>
            </w:r>
            <w:r w:rsidRPr="000E6A4D">
              <w:rPr>
                <w:i/>
                <w:spacing w:val="-2"/>
              </w:rPr>
              <w:t>LKJ</w:t>
            </w:r>
            <w:r w:rsidRPr="000E6A4D">
              <w:rPr>
                <w:spacing w:val="-2"/>
              </w:rPr>
              <w:t xml:space="preserve"> denotes the LKJ distribution.</w:t>
            </w:r>
          </w:p>
        </w:tc>
      </w:tr>
      <w:tr w:rsidR="001270BB" w:rsidTr="001270BB">
        <w:tc>
          <w:tcPr>
            <w:tcW w:w="5000" w:type="pct"/>
            <w:tcBorders>
              <w:top w:val="nil"/>
              <w:left w:val="nil"/>
              <w:bottom w:val="single" w:sz="6" w:space="0" w:color="78A22F"/>
              <w:right w:val="nil"/>
            </w:tcBorders>
            <w:shd w:val="clear" w:color="auto" w:fill="auto"/>
          </w:tcPr>
          <w:p w:rsidR="001270BB" w:rsidRDefault="001270BB" w:rsidP="001270BB">
            <w:pPr>
              <w:pStyle w:val="Box"/>
              <w:spacing w:before="0" w:line="120" w:lineRule="exact"/>
            </w:pPr>
          </w:p>
        </w:tc>
      </w:tr>
      <w:tr w:rsidR="001270BB" w:rsidRPr="000863A5" w:rsidTr="001270BB">
        <w:tc>
          <w:tcPr>
            <w:tcW w:w="5000" w:type="pct"/>
            <w:tcBorders>
              <w:top w:val="single" w:sz="6" w:space="0" w:color="78A22F"/>
              <w:left w:val="nil"/>
              <w:bottom w:val="nil"/>
              <w:right w:val="nil"/>
            </w:tcBorders>
          </w:tcPr>
          <w:p w:rsidR="001270BB" w:rsidRPr="00626D32" w:rsidRDefault="001270BB" w:rsidP="001270BB">
            <w:pPr>
              <w:pStyle w:val="BoxSpaceBelow"/>
            </w:pPr>
          </w:p>
        </w:tc>
      </w:tr>
    </w:tbl>
    <w:p w:rsidR="008E0D49" w:rsidRPr="008E0D49" w:rsidRDefault="008E0D49" w:rsidP="008E0D49">
      <w:pPr>
        <w:pStyle w:val="Heading4"/>
      </w:pPr>
      <w:r w:rsidRPr="008E0D49">
        <w:t>Different imputation thresholds for expenses</w:t>
      </w:r>
    </w:p>
    <w:p w:rsidR="009D5BD5" w:rsidRDefault="00C2298A" w:rsidP="008E0D49">
      <w:pPr>
        <w:pStyle w:val="BodyText"/>
      </w:pPr>
      <w:r>
        <w:t>In the Commission’s preferred specification, only zero</w:t>
      </w:r>
      <w:r w:rsidR="00DA1057">
        <w:t xml:space="preserve"> </w:t>
      </w:r>
      <w:r>
        <w:t>investment and administration expenses are imputed but</w:t>
      </w:r>
      <w:r w:rsidR="00245625">
        <w:t>,</w:t>
      </w:r>
      <w:r>
        <w:t xml:space="preserve"> as previously noted, the data are likely to exhibit substantial underreporting of expenses.</w:t>
      </w:r>
      <w:r w:rsidR="009D5BD5">
        <w:t xml:space="preserve"> </w:t>
      </w:r>
      <w:r w:rsidR="00245625">
        <w:t>It therefore made</w:t>
      </w:r>
      <w:r w:rsidR="009D5BD5">
        <w:t xml:space="preserve"> sense to </w:t>
      </w:r>
      <w:r w:rsidR="00245625">
        <w:t xml:space="preserve">test the impact of </w:t>
      </w:r>
      <w:r w:rsidR="009D5BD5">
        <w:t>treating assumed under</w:t>
      </w:r>
      <w:r w:rsidR="00F640C8">
        <w:noBreakHyphen/>
      </w:r>
      <w:r w:rsidR="009D5BD5">
        <w:t>reported expenses as missing and imput</w:t>
      </w:r>
      <w:r w:rsidR="00245625">
        <w:t>ing</w:t>
      </w:r>
      <w:r w:rsidR="009D5BD5">
        <w:t xml:space="preserve"> those too. </w:t>
      </w:r>
    </w:p>
    <w:p w:rsidR="009D5BD5" w:rsidRDefault="00245625" w:rsidP="00C53652">
      <w:pPr>
        <w:pStyle w:val="BodyText"/>
      </w:pPr>
      <w:r>
        <w:t>T</w:t>
      </w:r>
      <w:r w:rsidR="009D5BD5">
        <w:t xml:space="preserve">he Commission estimated a model where average administration expenses </w:t>
      </w:r>
      <w:r>
        <w:t xml:space="preserve">of </w:t>
      </w:r>
      <w:r w:rsidR="009D5BD5">
        <w:t xml:space="preserve">less than 10 basis points and average investment expenses </w:t>
      </w:r>
      <w:r>
        <w:t xml:space="preserve">of </w:t>
      </w:r>
      <w:r w:rsidR="009D5BD5">
        <w:t>less than 25 basis points were considered implausible and imputed</w:t>
      </w:r>
      <w:r w:rsidR="00DD2879" w:rsidRPr="006007B3">
        <w:rPr>
          <w:rStyle w:val="FootnoteReference"/>
        </w:rPr>
        <w:footnoteReference w:id="33"/>
      </w:r>
      <w:r w:rsidR="009D5BD5">
        <w:t xml:space="preserve">. </w:t>
      </w:r>
      <w:r w:rsidR="001270BB">
        <w:t xml:space="preserve">This model was also estimated using weighted fees and with identified fee outliers removed. Relative to </w:t>
      </w:r>
      <w:r w:rsidR="00575894">
        <w:t xml:space="preserve">the model with only changes in weighted fees and identified fee outliers, the estimated coefficients </w:t>
      </w:r>
      <w:r w:rsidR="004716DF">
        <w:t>resulted in less economies of scale i</w:t>
      </w:r>
      <w:r w:rsidR="006A1ED4">
        <w:t xml:space="preserve">n administration and corporate, industry and retail funds </w:t>
      </w:r>
      <w:r w:rsidR="004716DF">
        <w:t xml:space="preserve">exhibiting </w:t>
      </w:r>
      <w:r w:rsidR="006A1ED4">
        <w:t xml:space="preserve">weak </w:t>
      </w:r>
      <w:r w:rsidR="004716DF">
        <w:t>diseconomies of scale on average in investment</w:t>
      </w:r>
      <w:r w:rsidR="006A1ED4">
        <w:t xml:space="preserve"> (power coefficients just above 1)</w:t>
      </w:r>
      <w:r w:rsidR="004716DF">
        <w:t>.</w:t>
      </w:r>
      <w:r w:rsidR="006A1ED4">
        <w:t xml:space="preserve"> Imputations avoid throwing away important information for estimating costs, but are not a panacea for poor quality data on the expenses</w:t>
      </w:r>
      <w:r w:rsidR="00F640C8">
        <w:noBreakHyphen/>
      </w:r>
      <w:r w:rsidR="006A1ED4">
        <w:t xml:space="preserve">size relationship. Imputing more expenses effectively means that less data is used to estimate the size and expense coefficients, much of which is from smaller funds. This may lead the model to underestimate the extent of economies of scale. </w:t>
      </w:r>
      <w:r w:rsidR="004716DF">
        <w:t xml:space="preserve">On balance from consultations, the Commission considers these estimates to be less plausible than those </w:t>
      </w:r>
      <w:r w:rsidR="00B7203B">
        <w:t>in the preferred specification.</w:t>
      </w:r>
      <w:r w:rsidR="001270BB">
        <w:t xml:space="preserve"> </w:t>
      </w:r>
    </w:p>
    <w:p w:rsidR="003B11F0" w:rsidRDefault="003B11F0">
      <w:pPr>
        <w:rPr>
          <w:rFonts w:ascii="Arial" w:hAnsi="Arial"/>
        </w:rPr>
      </w:pPr>
      <w:r>
        <w:br w:type="page"/>
      </w:r>
    </w:p>
    <w:p w:rsidR="0028615E" w:rsidRDefault="0028615E" w:rsidP="005F6385">
      <w:pPr>
        <w:pStyle w:val="Heading4"/>
      </w:pPr>
      <w:r>
        <w:lastRenderedPageBreak/>
        <w:t xml:space="preserve">Different asset allocation specification </w:t>
      </w:r>
    </w:p>
    <w:p w:rsidR="00420D00" w:rsidRDefault="00CC4ABB" w:rsidP="00420D00">
      <w:pPr>
        <w:pStyle w:val="BodyText"/>
      </w:pPr>
      <w:r>
        <w:t>In the Commission’s preferred specification multiple asset allocation categories are allowed for in the investment</w:t>
      </w:r>
      <w:r w:rsidR="002F3C39">
        <w:t xml:space="preserve"> expense model. These include cash,</w:t>
      </w:r>
      <w:r>
        <w:t xml:space="preserve"> Australian fixed interest, international fixed interest, listed Australian equities, listed international equities, listed property, unlisted property and </w:t>
      </w:r>
      <w:r w:rsidR="00DA1057">
        <w:t>‘</w:t>
      </w:r>
      <w:r>
        <w:t>other</w:t>
      </w:r>
      <w:r w:rsidR="00DA1057">
        <w:t>’ assets</w:t>
      </w:r>
      <w:r>
        <w:t>. Some participants in the technical workshop suggested that</w:t>
      </w:r>
      <w:r w:rsidR="00404216">
        <w:t>,</w:t>
      </w:r>
      <w:r>
        <w:t xml:space="preserve"> </w:t>
      </w:r>
      <w:r w:rsidR="00404216">
        <w:t xml:space="preserve">for parsimony, these </w:t>
      </w:r>
      <w:r>
        <w:t xml:space="preserve">could be aggregated </w:t>
      </w:r>
      <w:r w:rsidR="00404216">
        <w:t xml:space="preserve">into categories because </w:t>
      </w:r>
      <w:r>
        <w:t xml:space="preserve">the unit costs of </w:t>
      </w:r>
      <w:r w:rsidR="00404216">
        <w:t xml:space="preserve">subsets </w:t>
      </w:r>
      <w:r>
        <w:t>of these asset classes do not differ significantly.</w:t>
      </w:r>
    </w:p>
    <w:p w:rsidR="000A3EF3" w:rsidRDefault="000A3482" w:rsidP="00420D00">
      <w:pPr>
        <w:pStyle w:val="BodyText"/>
      </w:pPr>
      <w:r>
        <w:t>T</w:t>
      </w:r>
      <w:r w:rsidR="002F3C39">
        <w:t xml:space="preserve">he Commission considered a specification of the investment expense model with only cash, fixed interest, listed equities, listed property and other </w:t>
      </w:r>
      <w:r w:rsidR="00575894">
        <w:t>asset classes, as before the model was also estimated using weighted fees and with identified fee outliers removed</w:t>
      </w:r>
      <w:r w:rsidR="002F3C39">
        <w:t xml:space="preserve">. </w:t>
      </w:r>
      <w:r w:rsidR="00575894">
        <w:t>Relative to the model with only changes in weighted fees and identified fee outliers, t</w:t>
      </w:r>
      <w:r w:rsidR="002F3C39">
        <w:t>h</w:t>
      </w:r>
      <w:r w:rsidR="000D584C">
        <w:t>e</w:t>
      </w:r>
      <w:r w:rsidR="002F3C39">
        <w:t xml:space="preserve"> model appears sensitive to the choice of asset allocation categories, with many of the asset allocation coefficients changing significantly under the simpler specification.</w:t>
      </w:r>
      <w:r w:rsidR="00575894">
        <w:t xml:space="preserve"> However, the estimated coefficients associated with total assets and number of member accounts are stable. </w:t>
      </w:r>
    </w:p>
    <w:p w:rsidR="00404216" w:rsidRDefault="000A3EF3" w:rsidP="00420D00">
      <w:pPr>
        <w:pStyle w:val="BodyText"/>
      </w:pPr>
      <w:r>
        <w:t>The relative merit of this specification is unclear</w:t>
      </w:r>
      <w:r w:rsidR="000A3482">
        <w:t xml:space="preserve">. It is not clear that unit costs of the aggregated asset classes are all that similar. While ETFs are not easy to compare, Stockspot </w:t>
      </w:r>
      <w:r w:rsidR="00404216" w:rsidRPr="00404216">
        <w:t>(2018)</w:t>
      </w:r>
      <w:r w:rsidR="000A3482">
        <w:t xml:space="preserve"> shows significant variation in listed Australian equity ETFs and listed international equity ETFs.</w:t>
      </w:r>
      <w:r w:rsidR="00062BFF">
        <w:t xml:space="preserve"> A similar result can be seen in the Commission’s analysis of fund survey data in its supplementary paper on investment performance.</w:t>
      </w:r>
    </w:p>
    <w:p w:rsidR="00E33AC6" w:rsidRPr="00AC15BD" w:rsidRDefault="00E33AC6" w:rsidP="00AC15BD">
      <w:pPr>
        <w:pStyle w:val="BodyText"/>
      </w:pPr>
      <w:r>
        <w:br w:type="page"/>
      </w:r>
    </w:p>
    <w:p w:rsidR="002F0A80" w:rsidRDefault="002F0A80">
      <w:pPr>
        <w:pStyle w:val="Heading2"/>
      </w:pPr>
      <w:bookmarkStart w:id="71" w:name="_Toc530748505"/>
      <w:r w:rsidRPr="00AB4553">
        <w:lastRenderedPageBreak/>
        <w:t xml:space="preserve">Appendix </w:t>
      </w:r>
      <w:r w:rsidRPr="00AB4553" w:rsidDel="00E33AC6">
        <w:t>D</w:t>
      </w:r>
      <w:r w:rsidR="00404216">
        <w:t>:</w:t>
      </w:r>
      <w:r w:rsidR="00404216">
        <w:tab/>
      </w:r>
      <w:r w:rsidR="00DE1C8D">
        <w:t>Preferred model fit</w:t>
      </w:r>
      <w:bookmarkEnd w:id="71"/>
    </w:p>
    <w:p w:rsidR="004F1B71" w:rsidRPr="007512E7" w:rsidRDefault="004F1B71" w:rsidP="00726C6E">
      <w:pPr>
        <w:pStyle w:val="BodyText"/>
        <w:rPr>
          <w:spacing w:val="-2"/>
        </w:rPr>
      </w:pPr>
      <w:r w:rsidRPr="007512E7">
        <w:rPr>
          <w:spacing w:val="-2"/>
        </w:rPr>
        <w:t xml:space="preserve">This </w:t>
      </w:r>
      <w:r w:rsidR="003A6CBF" w:rsidRPr="007512E7">
        <w:rPr>
          <w:spacing w:val="-2"/>
        </w:rPr>
        <w:t>appendix</w:t>
      </w:r>
      <w:r w:rsidRPr="007512E7">
        <w:rPr>
          <w:spacing w:val="-2"/>
        </w:rPr>
        <w:t xml:space="preserve"> presents histograms of estimation errors when median estimates are used. </w:t>
      </w:r>
      <w:r w:rsidR="00277AB1" w:rsidRPr="007512E7">
        <w:rPr>
          <w:spacing w:val="-2"/>
        </w:rPr>
        <w:t>Two panels are presented in each case so that different bin sizes can be used</w:t>
      </w:r>
      <w:r w:rsidR="00A05224" w:rsidRPr="007512E7">
        <w:rPr>
          <w:spacing w:val="-2"/>
        </w:rPr>
        <w:t xml:space="preserve"> (figure D.1 and D.2)</w:t>
      </w:r>
      <w:r w:rsidR="007512E7" w:rsidRPr="007512E7">
        <w:rPr>
          <w:spacing w:val="-2"/>
        </w:rPr>
        <w:t>.</w:t>
      </w:r>
    </w:p>
    <w:p w:rsidR="004F1B71" w:rsidRDefault="004F1B71" w:rsidP="004F1B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F1B71" w:rsidTr="004F1B71">
        <w:trPr>
          <w:tblHeader/>
        </w:trPr>
        <w:tc>
          <w:tcPr>
            <w:tcW w:w="5000" w:type="pct"/>
            <w:tcBorders>
              <w:top w:val="single" w:sz="6" w:space="0" w:color="78A22F"/>
              <w:left w:val="nil"/>
              <w:bottom w:val="nil"/>
              <w:right w:val="nil"/>
            </w:tcBorders>
            <w:shd w:val="clear" w:color="auto" w:fill="auto"/>
          </w:tcPr>
          <w:p w:rsidR="004F1B71" w:rsidRPr="00176D3F" w:rsidRDefault="004F1B71" w:rsidP="00E33AC6">
            <w:pPr>
              <w:pStyle w:val="FigureTitle"/>
            </w:pPr>
            <w:r w:rsidRPr="00784A05">
              <w:rPr>
                <w:b w:val="0"/>
              </w:rPr>
              <w:t xml:space="preserve">Figure </w:t>
            </w:r>
            <w:r w:rsidR="00AC15BD">
              <w:rPr>
                <w:b w:val="0"/>
              </w:rPr>
              <w:t>D</w:t>
            </w:r>
            <w:r w:rsidR="00E33AC6">
              <w:rPr>
                <w:b w:val="0"/>
              </w:rPr>
              <w:t>.1</w:t>
            </w:r>
            <w:r>
              <w:tab/>
              <w:t xml:space="preserve">Prediction errors for </w:t>
            </w:r>
            <w:r w:rsidR="00277AB1">
              <w:t xml:space="preserve">administration expenses </w:t>
            </w:r>
          </w:p>
        </w:tc>
      </w:tr>
      <w:tr w:rsidR="004F1B71" w:rsidTr="004F1B7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F1B71" w:rsidRPr="00B1465D" w:rsidTr="004F1B71">
              <w:trPr>
                <w:tblHeader/>
                <w:jc w:val="center"/>
              </w:trPr>
              <w:tc>
                <w:tcPr>
                  <w:tcW w:w="5000" w:type="pct"/>
                  <w:tcBorders>
                    <w:top w:val="nil"/>
                    <w:bottom w:val="nil"/>
                  </w:tcBorders>
                </w:tcPr>
                <w:p w:rsidR="004F1B71" w:rsidRPr="00B1465D" w:rsidRDefault="00C12C4C" w:rsidP="004F1B71">
                  <w:pPr>
                    <w:pStyle w:val="Figure"/>
                    <w:spacing w:before="60" w:after="60"/>
                    <w:rPr>
                      <w:rFonts w:ascii="Arial" w:hAnsi="Arial" w:cs="Arial"/>
                      <w:sz w:val="18"/>
                      <w:szCs w:val="18"/>
                    </w:rPr>
                  </w:pPr>
                  <w:r w:rsidRPr="00C12C4C">
                    <w:rPr>
                      <w:rFonts w:ascii="Arial" w:hAnsi="Arial" w:cs="Arial"/>
                      <w:noProof/>
                      <w:sz w:val="18"/>
                      <w:szCs w:val="18"/>
                    </w:rPr>
                    <w:drawing>
                      <wp:inline distT="0" distB="0" distL="0" distR="0" wp14:anchorId="5C91B4A9" wp14:editId="5CCCB1FA">
                        <wp:extent cx="5577840" cy="5486400"/>
                        <wp:effectExtent l="0" t="0" r="0" b="0"/>
                        <wp:docPr id="31" name="Picture 31" descr="Histograms showing the difference between the administration expense estimated by the model and the actual data on a year by year basis. Most of the difference are close to zero, suggesting that the model prediction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77840" cy="5486400"/>
                                </a:xfrm>
                                <a:prstGeom prst="rect">
                                  <a:avLst/>
                                </a:prstGeom>
                                <a:noFill/>
                                <a:ln>
                                  <a:noFill/>
                                </a:ln>
                              </pic:spPr>
                            </pic:pic>
                          </a:graphicData>
                        </a:graphic>
                      </wp:inline>
                    </w:drawing>
                  </w:r>
                </w:p>
              </w:tc>
            </w:tr>
          </w:tbl>
          <w:p w:rsidR="004F1B71" w:rsidRDefault="004F1B71" w:rsidP="004F1B71">
            <w:pPr>
              <w:pStyle w:val="Figure"/>
            </w:pPr>
          </w:p>
        </w:tc>
      </w:tr>
      <w:tr w:rsidR="004F1B71" w:rsidRPr="00176D3F" w:rsidTr="004F1B71">
        <w:tc>
          <w:tcPr>
            <w:tcW w:w="5000" w:type="pct"/>
            <w:tcBorders>
              <w:top w:val="nil"/>
              <w:left w:val="nil"/>
              <w:bottom w:val="nil"/>
              <w:right w:val="nil"/>
            </w:tcBorders>
            <w:shd w:val="clear" w:color="auto" w:fill="auto"/>
          </w:tcPr>
          <w:p w:rsidR="004F1B71" w:rsidRPr="00176D3F" w:rsidRDefault="00323699" w:rsidP="004F1B71">
            <w:pPr>
              <w:pStyle w:val="Source"/>
            </w:pPr>
            <w:r w:rsidRPr="00F76FED">
              <w:rPr>
                <w:i/>
              </w:rPr>
              <w:t>S</w:t>
            </w:r>
            <w:r w:rsidR="004F1B71" w:rsidRPr="00AC15BD">
              <w:rPr>
                <w:i/>
              </w:rPr>
              <w:t>ource</w:t>
            </w:r>
            <w:r w:rsidR="004F1B71" w:rsidRPr="00AC15BD">
              <w:t>:</w:t>
            </w:r>
            <w:r w:rsidR="004F1B71" w:rsidRPr="00176D3F">
              <w:t xml:space="preserve"> </w:t>
            </w:r>
            <w:r w:rsidR="00F76FED">
              <w:rPr>
                <w:rFonts w:eastAsia="+mn-ea" w:cs="Arial"/>
                <w:color w:val="000000" w:themeColor="text1"/>
                <w:kern w:val="24"/>
                <w:szCs w:val="18"/>
              </w:rPr>
              <w:t xml:space="preserve">PC analysis of APRA </w:t>
            </w:r>
            <w:r w:rsidR="000E6A4D" w:rsidRPr="0018371D">
              <w:rPr>
                <w:rFonts w:eastAsia="+mn-ea" w:cs="Arial"/>
                <w:color w:val="000000" w:themeColor="text1"/>
                <w:kern w:val="24"/>
                <w:szCs w:val="18"/>
              </w:rPr>
              <w:t>data.</w:t>
            </w:r>
          </w:p>
        </w:tc>
      </w:tr>
      <w:tr w:rsidR="004F1B71" w:rsidTr="004F1B71">
        <w:tc>
          <w:tcPr>
            <w:tcW w:w="5000" w:type="pct"/>
            <w:tcBorders>
              <w:top w:val="nil"/>
              <w:left w:val="nil"/>
              <w:bottom w:val="single" w:sz="6" w:space="0" w:color="78A22F"/>
              <w:right w:val="nil"/>
            </w:tcBorders>
            <w:shd w:val="clear" w:color="auto" w:fill="auto"/>
          </w:tcPr>
          <w:p w:rsidR="004F1B71" w:rsidRDefault="004F1B71" w:rsidP="004F1B71">
            <w:pPr>
              <w:pStyle w:val="Figurespace"/>
            </w:pPr>
          </w:p>
        </w:tc>
      </w:tr>
      <w:tr w:rsidR="004F1B71" w:rsidRPr="000863A5" w:rsidTr="004F1B71">
        <w:tc>
          <w:tcPr>
            <w:tcW w:w="5000" w:type="pct"/>
            <w:tcBorders>
              <w:top w:val="single" w:sz="6" w:space="0" w:color="78A22F"/>
              <w:left w:val="nil"/>
              <w:bottom w:val="nil"/>
              <w:right w:val="nil"/>
            </w:tcBorders>
          </w:tcPr>
          <w:p w:rsidR="004F1B71" w:rsidRPr="00626D32" w:rsidRDefault="004F1B71" w:rsidP="004F1B71">
            <w:pPr>
              <w:pStyle w:val="BoxSpaceBelow"/>
            </w:pPr>
          </w:p>
        </w:tc>
      </w:tr>
    </w:tbl>
    <w:p w:rsidR="00277AB1" w:rsidRDefault="00277AB1" w:rsidP="00277AB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77AB1" w:rsidTr="00277AB1">
        <w:trPr>
          <w:tblHeader/>
        </w:trPr>
        <w:tc>
          <w:tcPr>
            <w:tcW w:w="5000" w:type="pct"/>
            <w:tcBorders>
              <w:top w:val="single" w:sz="6" w:space="0" w:color="78A22F"/>
              <w:left w:val="nil"/>
              <w:bottom w:val="nil"/>
              <w:right w:val="nil"/>
            </w:tcBorders>
            <w:shd w:val="clear" w:color="auto" w:fill="auto"/>
          </w:tcPr>
          <w:p w:rsidR="00277AB1" w:rsidRPr="00176D3F" w:rsidRDefault="00277AB1" w:rsidP="00E33AC6">
            <w:pPr>
              <w:pStyle w:val="FigureTitle"/>
            </w:pPr>
            <w:r w:rsidRPr="00784A05">
              <w:rPr>
                <w:b w:val="0"/>
              </w:rPr>
              <w:t xml:space="preserve">Figure </w:t>
            </w:r>
            <w:r w:rsidR="00AC15BD">
              <w:rPr>
                <w:b w:val="0"/>
              </w:rPr>
              <w:t>D</w:t>
            </w:r>
            <w:r w:rsidR="00E33AC6">
              <w:rPr>
                <w:b w:val="0"/>
              </w:rPr>
              <w:t>.2</w:t>
            </w:r>
            <w:r>
              <w:tab/>
              <w:t>Prediction errors for investment expenses</w:t>
            </w:r>
          </w:p>
        </w:tc>
      </w:tr>
      <w:tr w:rsidR="00277AB1" w:rsidTr="00277AB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77AB1" w:rsidRPr="00B1465D" w:rsidTr="00277AB1">
              <w:trPr>
                <w:tblHeader/>
                <w:jc w:val="center"/>
              </w:trPr>
              <w:tc>
                <w:tcPr>
                  <w:tcW w:w="5000" w:type="pct"/>
                  <w:tcBorders>
                    <w:top w:val="nil"/>
                    <w:bottom w:val="nil"/>
                  </w:tcBorders>
                </w:tcPr>
                <w:p w:rsidR="00277AB1" w:rsidRPr="00B1465D" w:rsidRDefault="00C12C4C" w:rsidP="00277AB1">
                  <w:pPr>
                    <w:pStyle w:val="Figure"/>
                    <w:spacing w:before="60" w:after="60"/>
                    <w:rPr>
                      <w:rFonts w:ascii="Arial" w:hAnsi="Arial" w:cs="Arial"/>
                      <w:sz w:val="18"/>
                      <w:szCs w:val="18"/>
                    </w:rPr>
                  </w:pPr>
                  <w:r w:rsidRPr="00C12C4C">
                    <w:rPr>
                      <w:rFonts w:ascii="Arial" w:hAnsi="Arial" w:cs="Arial"/>
                      <w:noProof/>
                      <w:sz w:val="18"/>
                      <w:szCs w:val="18"/>
                    </w:rPr>
                    <w:drawing>
                      <wp:inline distT="0" distB="0" distL="0" distR="0" wp14:anchorId="33D4A3F4" wp14:editId="7FA2A333">
                        <wp:extent cx="5577840" cy="5509260"/>
                        <wp:effectExtent l="0" t="0" r="0" b="0"/>
                        <wp:docPr id="30" name="Picture 30" descr="Histograms showing the difference between the administration expense estimated by the model and the actual data on a year by year basis. Most of the differences are close to zero, suggesting that the model prediction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77840" cy="5509260"/>
                                </a:xfrm>
                                <a:prstGeom prst="rect">
                                  <a:avLst/>
                                </a:prstGeom>
                                <a:noFill/>
                                <a:ln>
                                  <a:noFill/>
                                </a:ln>
                              </pic:spPr>
                            </pic:pic>
                          </a:graphicData>
                        </a:graphic>
                      </wp:inline>
                    </w:drawing>
                  </w:r>
                </w:p>
              </w:tc>
            </w:tr>
          </w:tbl>
          <w:p w:rsidR="00277AB1" w:rsidRDefault="00277AB1" w:rsidP="00277AB1">
            <w:pPr>
              <w:pStyle w:val="Figure"/>
            </w:pPr>
          </w:p>
        </w:tc>
      </w:tr>
      <w:tr w:rsidR="00277AB1" w:rsidRPr="00176D3F" w:rsidTr="00277AB1">
        <w:tc>
          <w:tcPr>
            <w:tcW w:w="5000" w:type="pct"/>
            <w:tcBorders>
              <w:top w:val="nil"/>
              <w:left w:val="nil"/>
              <w:bottom w:val="nil"/>
              <w:right w:val="nil"/>
            </w:tcBorders>
            <w:shd w:val="clear" w:color="auto" w:fill="auto"/>
          </w:tcPr>
          <w:p w:rsidR="00277AB1" w:rsidRPr="00176D3F" w:rsidRDefault="00323699" w:rsidP="00277AB1">
            <w:pPr>
              <w:pStyle w:val="Source"/>
            </w:pPr>
            <w:r w:rsidRPr="00F76FED">
              <w:rPr>
                <w:i/>
              </w:rPr>
              <w:t>S</w:t>
            </w:r>
            <w:r w:rsidR="00277AB1" w:rsidRPr="00AC15BD">
              <w:rPr>
                <w:i/>
              </w:rPr>
              <w:t>ource</w:t>
            </w:r>
            <w:r w:rsidR="00277AB1" w:rsidRPr="00AC15BD">
              <w:t>:</w:t>
            </w:r>
            <w:r w:rsidR="00277AB1" w:rsidRPr="00176D3F">
              <w:t xml:space="preserve"> </w:t>
            </w:r>
            <w:r w:rsidR="00F76FED">
              <w:rPr>
                <w:rFonts w:eastAsia="+mn-ea" w:cs="Arial"/>
                <w:color w:val="000000" w:themeColor="text1"/>
                <w:kern w:val="24"/>
                <w:szCs w:val="18"/>
              </w:rPr>
              <w:t xml:space="preserve">PC analysis of APRA </w:t>
            </w:r>
            <w:r w:rsidR="000E6A4D" w:rsidRPr="0018371D">
              <w:rPr>
                <w:rFonts w:eastAsia="+mn-ea" w:cs="Arial"/>
                <w:color w:val="000000" w:themeColor="text1"/>
                <w:kern w:val="24"/>
                <w:szCs w:val="18"/>
              </w:rPr>
              <w:t>data.</w:t>
            </w:r>
          </w:p>
        </w:tc>
      </w:tr>
      <w:tr w:rsidR="00277AB1" w:rsidTr="00277AB1">
        <w:tc>
          <w:tcPr>
            <w:tcW w:w="5000" w:type="pct"/>
            <w:tcBorders>
              <w:top w:val="nil"/>
              <w:left w:val="nil"/>
              <w:bottom w:val="single" w:sz="6" w:space="0" w:color="78A22F"/>
              <w:right w:val="nil"/>
            </w:tcBorders>
            <w:shd w:val="clear" w:color="auto" w:fill="auto"/>
          </w:tcPr>
          <w:p w:rsidR="00277AB1" w:rsidRDefault="00277AB1" w:rsidP="00277AB1">
            <w:pPr>
              <w:pStyle w:val="Figurespace"/>
            </w:pPr>
          </w:p>
        </w:tc>
      </w:tr>
      <w:tr w:rsidR="00277AB1" w:rsidRPr="000863A5" w:rsidTr="00277AB1">
        <w:tc>
          <w:tcPr>
            <w:tcW w:w="5000" w:type="pct"/>
            <w:tcBorders>
              <w:top w:val="single" w:sz="6" w:space="0" w:color="78A22F"/>
              <w:left w:val="nil"/>
              <w:bottom w:val="nil"/>
              <w:right w:val="nil"/>
            </w:tcBorders>
          </w:tcPr>
          <w:p w:rsidR="00277AB1" w:rsidRPr="00626D32" w:rsidRDefault="00277AB1" w:rsidP="00277AB1">
            <w:pPr>
              <w:pStyle w:val="BoxSpaceBelow"/>
            </w:pPr>
          </w:p>
        </w:tc>
      </w:tr>
    </w:tbl>
    <w:p w:rsidR="00277AB1" w:rsidRDefault="00277AB1" w:rsidP="00726C6E">
      <w:pPr>
        <w:pStyle w:val="BodyText"/>
      </w:pPr>
      <w:r>
        <w:t>One concern may be that the errors may compound over time which may be problematic given that some analysis is at the fund level. The following histograms show this is unlikely to be the case for the vast majority of funds</w:t>
      </w:r>
      <w:r w:rsidR="00A05224">
        <w:t xml:space="preserve"> (figures D.3 and D.4)</w:t>
      </w:r>
      <w:r>
        <w:t xml:space="preserve">. </w:t>
      </w:r>
    </w:p>
    <w:p w:rsidR="00277AB1" w:rsidRDefault="00277AB1" w:rsidP="00277AB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77AB1" w:rsidTr="00277AB1">
        <w:trPr>
          <w:tblHeader/>
        </w:trPr>
        <w:tc>
          <w:tcPr>
            <w:tcW w:w="5000" w:type="pct"/>
            <w:tcBorders>
              <w:top w:val="single" w:sz="6" w:space="0" w:color="78A22F"/>
              <w:left w:val="nil"/>
              <w:bottom w:val="nil"/>
              <w:right w:val="nil"/>
            </w:tcBorders>
            <w:shd w:val="clear" w:color="auto" w:fill="auto"/>
          </w:tcPr>
          <w:p w:rsidR="00277AB1" w:rsidRPr="00176D3F" w:rsidRDefault="00277AB1" w:rsidP="00E33AC6">
            <w:pPr>
              <w:pStyle w:val="FigureTitle"/>
            </w:pPr>
            <w:r w:rsidRPr="00784A05">
              <w:rPr>
                <w:b w:val="0"/>
              </w:rPr>
              <w:t xml:space="preserve">Figure </w:t>
            </w:r>
            <w:r w:rsidR="00982299">
              <w:rPr>
                <w:b w:val="0"/>
              </w:rPr>
              <w:t>D</w:t>
            </w:r>
            <w:r w:rsidR="00E33AC6">
              <w:rPr>
                <w:b w:val="0"/>
              </w:rPr>
              <w:t>.3</w:t>
            </w:r>
            <w:r>
              <w:tab/>
              <w:t>Prediction errors for changes in administration expenses over a fund’s lifetime</w:t>
            </w:r>
          </w:p>
        </w:tc>
      </w:tr>
      <w:tr w:rsidR="00277AB1" w:rsidTr="00277AB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77AB1" w:rsidRPr="00B1465D" w:rsidTr="00277AB1">
              <w:trPr>
                <w:tblHeader/>
                <w:jc w:val="center"/>
              </w:trPr>
              <w:tc>
                <w:tcPr>
                  <w:tcW w:w="5000" w:type="pct"/>
                  <w:tcBorders>
                    <w:top w:val="nil"/>
                    <w:bottom w:val="nil"/>
                  </w:tcBorders>
                </w:tcPr>
                <w:p w:rsidR="00277AB1" w:rsidRPr="00B1465D" w:rsidRDefault="00C12C4C" w:rsidP="00277AB1">
                  <w:pPr>
                    <w:pStyle w:val="Figure"/>
                    <w:spacing w:before="60" w:after="60"/>
                    <w:rPr>
                      <w:rFonts w:ascii="Arial" w:hAnsi="Arial" w:cs="Arial"/>
                      <w:sz w:val="18"/>
                      <w:szCs w:val="18"/>
                    </w:rPr>
                  </w:pPr>
                  <w:r w:rsidRPr="00C12C4C">
                    <w:rPr>
                      <w:rFonts w:ascii="Arial" w:hAnsi="Arial" w:cs="Arial"/>
                      <w:noProof/>
                      <w:sz w:val="18"/>
                      <w:szCs w:val="18"/>
                    </w:rPr>
                    <w:drawing>
                      <wp:inline distT="0" distB="0" distL="0" distR="0" wp14:anchorId="1D5BDA62" wp14:editId="67D5A902">
                        <wp:extent cx="5577840" cy="6789420"/>
                        <wp:effectExtent l="0" t="0" r="0" b="0"/>
                        <wp:docPr id="16" name="Picture 16" descr="Histograms showing the difference between the investment expense estimated by the model and the actual data over the lifetime of the fund. Most of the differences are close to zero, suggesting that the model prediction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77840" cy="6789420"/>
                                </a:xfrm>
                                <a:prstGeom prst="rect">
                                  <a:avLst/>
                                </a:prstGeom>
                                <a:noFill/>
                                <a:ln>
                                  <a:noFill/>
                                </a:ln>
                              </pic:spPr>
                            </pic:pic>
                          </a:graphicData>
                        </a:graphic>
                      </wp:inline>
                    </w:drawing>
                  </w:r>
                </w:p>
              </w:tc>
            </w:tr>
          </w:tbl>
          <w:p w:rsidR="00277AB1" w:rsidRDefault="00277AB1" w:rsidP="00277AB1">
            <w:pPr>
              <w:pStyle w:val="Figure"/>
            </w:pPr>
          </w:p>
        </w:tc>
      </w:tr>
      <w:tr w:rsidR="00277AB1" w:rsidRPr="00176D3F" w:rsidTr="00277AB1">
        <w:tc>
          <w:tcPr>
            <w:tcW w:w="5000" w:type="pct"/>
            <w:tcBorders>
              <w:top w:val="nil"/>
              <w:left w:val="nil"/>
              <w:bottom w:val="nil"/>
              <w:right w:val="nil"/>
            </w:tcBorders>
            <w:shd w:val="clear" w:color="auto" w:fill="auto"/>
          </w:tcPr>
          <w:p w:rsidR="00277AB1" w:rsidRPr="00982299" w:rsidRDefault="00323699" w:rsidP="00277AB1">
            <w:pPr>
              <w:pStyle w:val="Source"/>
            </w:pPr>
            <w:r w:rsidRPr="00982299">
              <w:rPr>
                <w:i/>
              </w:rPr>
              <w:t>S</w:t>
            </w:r>
            <w:r w:rsidR="00277AB1" w:rsidRPr="00982299">
              <w:rPr>
                <w:i/>
              </w:rPr>
              <w:t>ource</w:t>
            </w:r>
            <w:r w:rsidR="00277AB1" w:rsidRPr="00982299">
              <w:t xml:space="preserve">: </w:t>
            </w:r>
            <w:r w:rsidR="00F76FED">
              <w:rPr>
                <w:rFonts w:eastAsia="+mn-ea" w:cs="Arial"/>
                <w:color w:val="000000" w:themeColor="text1"/>
                <w:kern w:val="24"/>
                <w:szCs w:val="18"/>
              </w:rPr>
              <w:t xml:space="preserve">PC analysis of APRA </w:t>
            </w:r>
            <w:r w:rsidR="000E6A4D" w:rsidRPr="0018371D">
              <w:rPr>
                <w:rFonts w:eastAsia="+mn-ea" w:cs="Arial"/>
                <w:color w:val="000000" w:themeColor="text1"/>
                <w:kern w:val="24"/>
                <w:szCs w:val="18"/>
              </w:rPr>
              <w:t>data.</w:t>
            </w:r>
          </w:p>
        </w:tc>
      </w:tr>
      <w:tr w:rsidR="00277AB1" w:rsidTr="00277AB1">
        <w:tc>
          <w:tcPr>
            <w:tcW w:w="5000" w:type="pct"/>
            <w:tcBorders>
              <w:top w:val="nil"/>
              <w:left w:val="nil"/>
              <w:bottom w:val="single" w:sz="6" w:space="0" w:color="78A22F"/>
              <w:right w:val="nil"/>
            </w:tcBorders>
            <w:shd w:val="clear" w:color="auto" w:fill="auto"/>
          </w:tcPr>
          <w:p w:rsidR="00277AB1" w:rsidRDefault="00277AB1" w:rsidP="00277AB1">
            <w:pPr>
              <w:pStyle w:val="Figurespace"/>
            </w:pPr>
          </w:p>
        </w:tc>
      </w:tr>
      <w:tr w:rsidR="00277AB1" w:rsidRPr="000863A5" w:rsidTr="00277AB1">
        <w:tc>
          <w:tcPr>
            <w:tcW w:w="5000" w:type="pct"/>
            <w:tcBorders>
              <w:top w:val="single" w:sz="6" w:space="0" w:color="78A22F"/>
              <w:left w:val="nil"/>
              <w:bottom w:val="nil"/>
              <w:right w:val="nil"/>
            </w:tcBorders>
          </w:tcPr>
          <w:p w:rsidR="00277AB1" w:rsidRPr="00626D32" w:rsidRDefault="00277AB1" w:rsidP="00277AB1">
            <w:pPr>
              <w:pStyle w:val="BoxSpaceBelow"/>
            </w:pPr>
          </w:p>
        </w:tc>
      </w:tr>
    </w:tbl>
    <w:p w:rsidR="00277AB1" w:rsidRDefault="00277AB1" w:rsidP="00277AB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77AB1" w:rsidTr="00277AB1">
        <w:trPr>
          <w:tblHeader/>
        </w:trPr>
        <w:tc>
          <w:tcPr>
            <w:tcW w:w="5000" w:type="pct"/>
            <w:tcBorders>
              <w:top w:val="single" w:sz="6" w:space="0" w:color="78A22F"/>
              <w:left w:val="nil"/>
              <w:bottom w:val="nil"/>
              <w:right w:val="nil"/>
            </w:tcBorders>
            <w:shd w:val="clear" w:color="auto" w:fill="auto"/>
          </w:tcPr>
          <w:p w:rsidR="00277AB1" w:rsidRPr="00176D3F" w:rsidRDefault="00277AB1" w:rsidP="00E33AC6">
            <w:pPr>
              <w:pStyle w:val="FigureTitle"/>
            </w:pPr>
            <w:r w:rsidRPr="00784A05">
              <w:rPr>
                <w:b w:val="0"/>
              </w:rPr>
              <w:t xml:space="preserve">Figure </w:t>
            </w:r>
            <w:r w:rsidR="00F76FED">
              <w:rPr>
                <w:b w:val="0"/>
              </w:rPr>
              <w:t>D</w:t>
            </w:r>
            <w:r w:rsidR="00E33AC6">
              <w:rPr>
                <w:b w:val="0"/>
              </w:rPr>
              <w:t>.4</w:t>
            </w:r>
            <w:r>
              <w:tab/>
            </w:r>
            <w:r w:rsidR="002D18B8">
              <w:t>Prediction errors for changes in investment expenses over a fund’s lifetime</w:t>
            </w:r>
          </w:p>
        </w:tc>
      </w:tr>
      <w:tr w:rsidR="00277AB1" w:rsidTr="00277AB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77AB1" w:rsidRPr="00B1465D" w:rsidTr="00277AB1">
              <w:trPr>
                <w:tblHeader/>
                <w:jc w:val="center"/>
              </w:trPr>
              <w:tc>
                <w:tcPr>
                  <w:tcW w:w="5000" w:type="pct"/>
                  <w:tcBorders>
                    <w:top w:val="nil"/>
                    <w:bottom w:val="nil"/>
                  </w:tcBorders>
                </w:tcPr>
                <w:p w:rsidR="00277AB1" w:rsidRPr="00B1465D" w:rsidRDefault="00C12C4C" w:rsidP="00277AB1">
                  <w:pPr>
                    <w:pStyle w:val="Figure"/>
                    <w:spacing w:before="60" w:after="60"/>
                    <w:rPr>
                      <w:rFonts w:ascii="Arial" w:hAnsi="Arial" w:cs="Arial"/>
                      <w:sz w:val="18"/>
                      <w:szCs w:val="18"/>
                    </w:rPr>
                  </w:pPr>
                  <w:r w:rsidRPr="00C12C4C">
                    <w:rPr>
                      <w:rFonts w:ascii="Arial" w:hAnsi="Arial" w:cs="Arial"/>
                      <w:noProof/>
                      <w:sz w:val="18"/>
                      <w:szCs w:val="18"/>
                    </w:rPr>
                    <w:drawing>
                      <wp:inline distT="0" distB="0" distL="0" distR="0" wp14:anchorId="0AC18F8A" wp14:editId="3EAC647E">
                        <wp:extent cx="5577840" cy="6781800"/>
                        <wp:effectExtent l="0" t="0" r="0" b="0"/>
                        <wp:docPr id="12" name="Picture 12" descr="Histograms showing the difference between the investment expense estimated by the model and the actual data over the lifetime of the fund. Most of the differences are close to zero, suggesting that the model prediction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77840" cy="6781800"/>
                                </a:xfrm>
                                <a:prstGeom prst="rect">
                                  <a:avLst/>
                                </a:prstGeom>
                                <a:noFill/>
                                <a:ln>
                                  <a:noFill/>
                                </a:ln>
                              </pic:spPr>
                            </pic:pic>
                          </a:graphicData>
                        </a:graphic>
                      </wp:inline>
                    </w:drawing>
                  </w:r>
                </w:p>
              </w:tc>
            </w:tr>
          </w:tbl>
          <w:p w:rsidR="00277AB1" w:rsidRDefault="00277AB1" w:rsidP="00277AB1">
            <w:pPr>
              <w:pStyle w:val="Figure"/>
            </w:pPr>
          </w:p>
        </w:tc>
      </w:tr>
      <w:tr w:rsidR="00277AB1" w:rsidRPr="00176D3F" w:rsidTr="00277AB1">
        <w:tc>
          <w:tcPr>
            <w:tcW w:w="5000" w:type="pct"/>
            <w:tcBorders>
              <w:top w:val="nil"/>
              <w:left w:val="nil"/>
              <w:bottom w:val="nil"/>
              <w:right w:val="nil"/>
            </w:tcBorders>
            <w:shd w:val="clear" w:color="auto" w:fill="auto"/>
          </w:tcPr>
          <w:p w:rsidR="00277AB1" w:rsidRPr="00F76FED" w:rsidRDefault="00323699" w:rsidP="00277AB1">
            <w:pPr>
              <w:pStyle w:val="Source"/>
            </w:pPr>
            <w:r w:rsidRPr="00F76FED">
              <w:rPr>
                <w:i/>
              </w:rPr>
              <w:t>S</w:t>
            </w:r>
            <w:r w:rsidR="00277AB1" w:rsidRPr="00F76FED">
              <w:rPr>
                <w:i/>
              </w:rPr>
              <w:t>ource</w:t>
            </w:r>
            <w:r w:rsidR="00277AB1" w:rsidRPr="00F76FED">
              <w:t xml:space="preserve">: </w:t>
            </w:r>
            <w:r w:rsidR="00F76FED">
              <w:rPr>
                <w:rFonts w:eastAsia="+mn-ea" w:cs="Arial"/>
                <w:color w:val="000000" w:themeColor="text1"/>
                <w:kern w:val="24"/>
                <w:szCs w:val="18"/>
              </w:rPr>
              <w:t xml:space="preserve">PC analysis of APRA </w:t>
            </w:r>
            <w:r w:rsidR="000E6A4D" w:rsidRPr="0018371D">
              <w:rPr>
                <w:rFonts w:eastAsia="+mn-ea" w:cs="Arial"/>
                <w:color w:val="000000" w:themeColor="text1"/>
                <w:kern w:val="24"/>
                <w:szCs w:val="18"/>
              </w:rPr>
              <w:t>data.</w:t>
            </w:r>
          </w:p>
        </w:tc>
      </w:tr>
      <w:tr w:rsidR="00277AB1" w:rsidTr="00277AB1">
        <w:tc>
          <w:tcPr>
            <w:tcW w:w="5000" w:type="pct"/>
            <w:tcBorders>
              <w:top w:val="nil"/>
              <w:left w:val="nil"/>
              <w:bottom w:val="single" w:sz="6" w:space="0" w:color="78A22F"/>
              <w:right w:val="nil"/>
            </w:tcBorders>
            <w:shd w:val="clear" w:color="auto" w:fill="auto"/>
          </w:tcPr>
          <w:p w:rsidR="00277AB1" w:rsidRDefault="00277AB1" w:rsidP="00277AB1">
            <w:pPr>
              <w:pStyle w:val="Figurespace"/>
            </w:pPr>
          </w:p>
        </w:tc>
      </w:tr>
      <w:tr w:rsidR="00277AB1" w:rsidRPr="000863A5" w:rsidTr="00277AB1">
        <w:tc>
          <w:tcPr>
            <w:tcW w:w="5000" w:type="pct"/>
            <w:tcBorders>
              <w:top w:val="single" w:sz="6" w:space="0" w:color="78A22F"/>
              <w:left w:val="nil"/>
              <w:bottom w:val="nil"/>
              <w:right w:val="nil"/>
            </w:tcBorders>
          </w:tcPr>
          <w:p w:rsidR="00277AB1" w:rsidRPr="00626D32" w:rsidRDefault="00277AB1" w:rsidP="00277AB1">
            <w:pPr>
              <w:pStyle w:val="BoxSpaceBelow"/>
            </w:pPr>
          </w:p>
        </w:tc>
      </w:tr>
    </w:tbl>
    <w:p w:rsidR="00E33AC6" w:rsidRPr="00F76FED" w:rsidRDefault="00E33AC6" w:rsidP="00F76FED">
      <w:pPr>
        <w:pStyle w:val="BodyText"/>
      </w:pPr>
      <w:r>
        <w:br w:type="page"/>
      </w:r>
    </w:p>
    <w:p w:rsidR="002F0A80" w:rsidRDefault="002F0A80" w:rsidP="003B11F0">
      <w:pPr>
        <w:pStyle w:val="Heading2"/>
        <w:ind w:left="0" w:firstLine="0"/>
      </w:pPr>
      <w:bookmarkStart w:id="72" w:name="_Toc530748506"/>
      <w:r w:rsidRPr="00AB4553">
        <w:lastRenderedPageBreak/>
        <w:t xml:space="preserve">Appendix </w:t>
      </w:r>
      <w:r w:rsidRPr="00AB4553" w:rsidDel="00E33AC6">
        <w:t>E</w:t>
      </w:r>
      <w:r w:rsidRPr="00AB4553">
        <w:t>: Selection and cost model parameter estimates</w:t>
      </w:r>
      <w:bookmarkEnd w:id="72"/>
    </w:p>
    <w:p w:rsidR="00D65B3E" w:rsidRDefault="00D65B3E" w:rsidP="00726C6E">
      <w:pPr>
        <w:pStyle w:val="BodyText"/>
      </w:pPr>
      <w:r>
        <w:t xml:space="preserve">This </w:t>
      </w:r>
      <w:r w:rsidR="003A6CBF">
        <w:t>appendix</w:t>
      </w:r>
      <w:r>
        <w:t xml:space="preserve"> presents parameter estimates for the following models:</w:t>
      </w:r>
    </w:p>
    <w:p w:rsidR="00D65B3E" w:rsidRDefault="00D65B3E" w:rsidP="00726C6E">
      <w:pPr>
        <w:pStyle w:val="ListBullet"/>
      </w:pPr>
      <w:r>
        <w:t>the primary joint module (cost function and pass</w:t>
      </w:r>
      <w:r w:rsidR="00F640C8">
        <w:noBreakHyphen/>
      </w:r>
      <w:r>
        <w:t>through)</w:t>
      </w:r>
      <w:r w:rsidR="00CB42D5">
        <w:t xml:space="preserve"> with unweighted fees </w:t>
      </w:r>
      <w:r w:rsidR="00A05224">
        <w:t xml:space="preserve">and </w:t>
      </w:r>
      <w:r w:rsidR="00CB42D5">
        <w:t>the identified outlier cases of products reporting zero fees for both administration and investment</w:t>
      </w:r>
      <w:r>
        <w:t xml:space="preserve"> (table </w:t>
      </w:r>
      <w:r w:rsidR="00F76FED">
        <w:t>E</w:t>
      </w:r>
      <w:r w:rsidR="00E33AC6">
        <w:t>.1</w:t>
      </w:r>
      <w:r>
        <w:t>)</w:t>
      </w:r>
    </w:p>
    <w:p w:rsidR="00CB42D5" w:rsidRDefault="00D65B3E" w:rsidP="00655794">
      <w:pPr>
        <w:pStyle w:val="ListBullet"/>
      </w:pPr>
      <w:r>
        <w:t xml:space="preserve">a joint model </w:t>
      </w:r>
      <w:r w:rsidR="008E08F5">
        <w:t>(table </w:t>
      </w:r>
      <w:r w:rsidR="00F76FED">
        <w:t>E</w:t>
      </w:r>
      <w:r w:rsidR="00E33AC6">
        <w:t>.2</w:t>
      </w:r>
      <w:r w:rsidR="008E08F5">
        <w:t xml:space="preserve">) </w:t>
      </w:r>
      <w:r>
        <w:t>with</w:t>
      </w:r>
      <w:r w:rsidR="00CB42D5">
        <w:t xml:space="preserve"> weighted fees and the identified outlier cases removed. </w:t>
      </w:r>
    </w:p>
    <w:p w:rsidR="000D74DF" w:rsidRDefault="000D74DF" w:rsidP="00E33AC6">
      <w:pPr>
        <w:pStyle w:val="Heading3"/>
      </w:pPr>
      <w:bookmarkStart w:id="73" w:name="_Toc530748507"/>
      <w:r>
        <w:t>How should parameter estimates be interpreted?</w:t>
      </w:r>
      <w:bookmarkEnd w:id="73"/>
    </w:p>
    <w:p w:rsidR="000D74DF" w:rsidRDefault="000D74DF" w:rsidP="000D74DF">
      <w:pPr>
        <w:pStyle w:val="BodyText"/>
      </w:pPr>
      <w:r>
        <w:t>The posterior distributions that flow out from a Bayesian</w:t>
      </w:r>
      <w:r w:rsidR="00F640C8">
        <w:noBreakHyphen/>
      </w:r>
      <w:r>
        <w:t>estimated model are often simplified for presentation using summary statistics. In this paper, medians of the parameter posterior distributions are presented to give an indication of an average effect. The uncertainty associated with parameter values is reported using the 2.5 and 97.5 percentiles of the posterior distribution — sometimes as a shaded area, sometimes as lines that indicate ranges. This can be interpreted as saying ‘</w:t>
      </w:r>
      <w:r w:rsidRPr="00967ACA">
        <w:rPr>
          <w:i/>
        </w:rPr>
        <w:t>there is a 95 per</w:t>
      </w:r>
      <w:r>
        <w:rPr>
          <w:i/>
        </w:rPr>
        <w:t> </w:t>
      </w:r>
      <w:r w:rsidRPr="00967ACA">
        <w:rPr>
          <w:i/>
        </w:rPr>
        <w:t>cent chance that the true parameter value lies in this range</w:t>
      </w:r>
      <w:r>
        <w:rPr>
          <w:i/>
        </w:rPr>
        <w:t>’</w:t>
      </w:r>
      <w:r w:rsidRPr="00AF1534">
        <w:t>.</w:t>
      </w:r>
    </w:p>
    <w:p w:rsidR="00917F62" w:rsidRDefault="00917F62" w:rsidP="00917F6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17F62" w:rsidTr="00917F62">
        <w:trPr>
          <w:tblHeader/>
        </w:trPr>
        <w:tc>
          <w:tcPr>
            <w:tcW w:w="5000" w:type="pct"/>
            <w:tcBorders>
              <w:top w:val="single" w:sz="6" w:space="0" w:color="78A22F"/>
              <w:left w:val="nil"/>
              <w:bottom w:val="nil"/>
              <w:right w:val="nil"/>
            </w:tcBorders>
            <w:shd w:val="clear" w:color="auto" w:fill="auto"/>
          </w:tcPr>
          <w:p w:rsidR="00917F62" w:rsidRPr="00784A05" w:rsidRDefault="00917F62" w:rsidP="00E33AC6">
            <w:pPr>
              <w:pStyle w:val="TableTitle"/>
            </w:pPr>
            <w:r>
              <w:rPr>
                <w:b w:val="0"/>
              </w:rPr>
              <w:t xml:space="preserve">Table </w:t>
            </w:r>
            <w:r w:rsidR="00F76FED">
              <w:rPr>
                <w:b w:val="0"/>
              </w:rPr>
              <w:t>E</w:t>
            </w:r>
            <w:r w:rsidR="00E33AC6">
              <w:rPr>
                <w:b w:val="0"/>
              </w:rPr>
              <w:t>.1</w:t>
            </w:r>
            <w:r>
              <w:tab/>
              <w:t>Parameter estimates</w:t>
            </w:r>
          </w:p>
        </w:tc>
      </w:tr>
      <w:tr w:rsidR="00917F62" w:rsidTr="00917F62">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917F62" w:rsidTr="00F76FED">
              <w:trPr>
                <w:tblHeader/>
              </w:trPr>
              <w:tc>
                <w:tcPr>
                  <w:tcW w:w="1842" w:type="pct"/>
                  <w:tcBorders>
                    <w:top w:val="single" w:sz="4" w:space="0" w:color="BFBFBF"/>
                    <w:bottom w:val="single" w:sz="6" w:space="0" w:color="BFBFBF"/>
                  </w:tcBorders>
                  <w:shd w:val="clear" w:color="auto" w:fill="auto"/>
                  <w:tcMar>
                    <w:top w:w="28" w:type="dxa"/>
                  </w:tcMar>
                </w:tcPr>
                <w:p w:rsidR="00917F62" w:rsidRDefault="008937A1" w:rsidP="00917F62">
                  <w:pPr>
                    <w:pStyle w:val="TableColumnHeading"/>
                    <w:jc w:val="left"/>
                  </w:pPr>
                  <w:r>
                    <w:t>Parameter</w:t>
                  </w:r>
                </w:p>
              </w:tc>
              <w:tc>
                <w:tcPr>
                  <w:tcW w:w="632" w:type="pct"/>
                  <w:tcBorders>
                    <w:top w:val="single" w:sz="4" w:space="0" w:color="BFBFBF"/>
                    <w:bottom w:val="single" w:sz="6" w:space="0" w:color="BFBFBF"/>
                  </w:tcBorders>
                </w:tcPr>
                <w:p w:rsidR="00917F62" w:rsidRDefault="008937A1" w:rsidP="00917F62">
                  <w:pPr>
                    <w:pStyle w:val="TableColumnHeading"/>
                  </w:pPr>
                  <w:r>
                    <w:t>Mean</w:t>
                  </w:r>
                </w:p>
              </w:tc>
              <w:tc>
                <w:tcPr>
                  <w:tcW w:w="632" w:type="pct"/>
                  <w:tcBorders>
                    <w:top w:val="single" w:sz="4" w:space="0" w:color="BFBFBF"/>
                    <w:bottom w:val="single" w:sz="6" w:space="0" w:color="BFBFBF"/>
                  </w:tcBorders>
                  <w:shd w:val="clear" w:color="auto" w:fill="auto"/>
                  <w:tcMar>
                    <w:top w:w="28" w:type="dxa"/>
                  </w:tcMar>
                </w:tcPr>
                <w:p w:rsidR="00917F62" w:rsidRDefault="008937A1" w:rsidP="00917F62">
                  <w:pPr>
                    <w:pStyle w:val="TableColumnHeading"/>
                  </w:pPr>
                  <w:r>
                    <w:t>Standard deviation</w:t>
                  </w:r>
                </w:p>
              </w:tc>
              <w:tc>
                <w:tcPr>
                  <w:tcW w:w="632" w:type="pct"/>
                  <w:tcBorders>
                    <w:top w:val="single" w:sz="4" w:space="0" w:color="BFBFBF"/>
                    <w:bottom w:val="single" w:sz="6" w:space="0" w:color="BFBFBF"/>
                  </w:tcBorders>
                  <w:shd w:val="clear" w:color="auto" w:fill="auto"/>
                  <w:tcMar>
                    <w:top w:w="28" w:type="dxa"/>
                  </w:tcMar>
                </w:tcPr>
                <w:p w:rsidR="00917F62" w:rsidRDefault="008937A1" w:rsidP="00917F62">
                  <w:pPr>
                    <w:pStyle w:val="TableColumnHeading"/>
                    <w:ind w:right="28"/>
                  </w:pPr>
                  <w:r>
                    <w:t>2.5 percentile</w:t>
                  </w:r>
                </w:p>
              </w:tc>
              <w:tc>
                <w:tcPr>
                  <w:tcW w:w="632" w:type="pct"/>
                  <w:tcBorders>
                    <w:top w:val="single" w:sz="4" w:space="0" w:color="BFBFBF"/>
                    <w:bottom w:val="single" w:sz="6" w:space="0" w:color="BFBFBF"/>
                  </w:tcBorders>
                </w:tcPr>
                <w:p w:rsidR="008937A1" w:rsidRDefault="008937A1" w:rsidP="00917F62">
                  <w:pPr>
                    <w:pStyle w:val="TableColumnHeading"/>
                    <w:ind w:right="28"/>
                  </w:pPr>
                  <w:r>
                    <w:t>Median</w:t>
                  </w:r>
                </w:p>
              </w:tc>
              <w:tc>
                <w:tcPr>
                  <w:tcW w:w="630" w:type="pct"/>
                  <w:tcBorders>
                    <w:top w:val="single" w:sz="4" w:space="0" w:color="BFBFBF"/>
                    <w:bottom w:val="single" w:sz="6" w:space="0" w:color="BFBFBF"/>
                  </w:tcBorders>
                </w:tcPr>
                <w:p w:rsidR="008937A1" w:rsidRDefault="008937A1" w:rsidP="00917F62">
                  <w:pPr>
                    <w:pStyle w:val="TableColumnHeading"/>
                    <w:ind w:right="28"/>
                  </w:pPr>
                  <w:r>
                    <w:t>97.5 percentile</w:t>
                  </w:r>
                </w:p>
              </w:tc>
            </w:tr>
            <w:tr w:rsidR="00917F62" w:rsidTr="00F76FED">
              <w:tc>
                <w:tcPr>
                  <w:tcW w:w="1842" w:type="pct"/>
                  <w:tcBorders>
                    <w:top w:val="single" w:sz="6" w:space="0" w:color="BFBFBF"/>
                  </w:tcBorders>
                  <w:shd w:val="clear" w:color="auto" w:fill="BFBFBF" w:themeFill="background1" w:themeFillShade="BF"/>
                </w:tcPr>
                <w:p w:rsidR="00917F62" w:rsidRPr="00992D7E" w:rsidRDefault="001E6893" w:rsidP="00C358C1">
                  <w:pPr>
                    <w:pStyle w:val="TableBodyText"/>
                    <w:jc w:val="left"/>
                    <w:rPr>
                      <w:b/>
                    </w:rPr>
                  </w:pPr>
                  <w:r>
                    <w:rPr>
                      <w:b/>
                    </w:rPr>
                    <w:t>Likelihood</w:t>
                  </w:r>
                </w:p>
              </w:tc>
              <w:tc>
                <w:tcPr>
                  <w:tcW w:w="632" w:type="pct"/>
                  <w:tcBorders>
                    <w:top w:val="single" w:sz="6" w:space="0" w:color="BFBFBF"/>
                  </w:tcBorders>
                  <w:shd w:val="clear" w:color="auto" w:fill="BFBFBF" w:themeFill="background1" w:themeFillShade="BF"/>
                </w:tcPr>
                <w:p w:rsidR="00917F62" w:rsidRDefault="00917F62" w:rsidP="00C358C1">
                  <w:pPr>
                    <w:pStyle w:val="TableBodyText"/>
                    <w:ind w:right="28"/>
                  </w:pPr>
                </w:p>
              </w:tc>
              <w:tc>
                <w:tcPr>
                  <w:tcW w:w="632" w:type="pct"/>
                  <w:tcBorders>
                    <w:top w:val="single" w:sz="6" w:space="0" w:color="BFBFBF"/>
                  </w:tcBorders>
                  <w:shd w:val="clear" w:color="auto" w:fill="BFBFBF" w:themeFill="background1" w:themeFillShade="BF"/>
                </w:tcPr>
                <w:p w:rsidR="00917F62" w:rsidRDefault="00917F62" w:rsidP="00C358C1">
                  <w:pPr>
                    <w:pStyle w:val="TableBodyText"/>
                    <w:ind w:right="28"/>
                  </w:pPr>
                </w:p>
              </w:tc>
              <w:tc>
                <w:tcPr>
                  <w:tcW w:w="632" w:type="pct"/>
                  <w:tcBorders>
                    <w:top w:val="single" w:sz="6" w:space="0" w:color="BFBFBF"/>
                  </w:tcBorders>
                  <w:shd w:val="clear" w:color="auto" w:fill="BFBFBF" w:themeFill="background1" w:themeFillShade="BF"/>
                </w:tcPr>
                <w:p w:rsidR="00917F62" w:rsidRDefault="00917F62" w:rsidP="00C358C1">
                  <w:pPr>
                    <w:pStyle w:val="TableBodyText"/>
                    <w:ind w:right="28"/>
                  </w:pPr>
                </w:p>
              </w:tc>
              <w:tc>
                <w:tcPr>
                  <w:tcW w:w="632" w:type="pct"/>
                  <w:tcBorders>
                    <w:top w:val="single" w:sz="6" w:space="0" w:color="BFBFBF"/>
                  </w:tcBorders>
                  <w:shd w:val="clear" w:color="auto" w:fill="BFBFBF" w:themeFill="background1" w:themeFillShade="BF"/>
                </w:tcPr>
                <w:p w:rsidR="008937A1" w:rsidRDefault="008937A1" w:rsidP="00C358C1">
                  <w:pPr>
                    <w:pStyle w:val="TableBodyText"/>
                    <w:ind w:right="28"/>
                  </w:pPr>
                </w:p>
              </w:tc>
              <w:tc>
                <w:tcPr>
                  <w:tcW w:w="630" w:type="pct"/>
                  <w:tcBorders>
                    <w:top w:val="single" w:sz="6" w:space="0" w:color="BFBFBF"/>
                  </w:tcBorders>
                  <w:shd w:val="clear" w:color="auto" w:fill="BFBFBF" w:themeFill="background1" w:themeFillShade="BF"/>
                </w:tcPr>
                <w:p w:rsidR="008937A1" w:rsidRDefault="008937A1" w:rsidP="00C358C1">
                  <w:pPr>
                    <w:pStyle w:val="TableBodyText"/>
                    <w:ind w:right="28"/>
                  </w:pPr>
                </w:p>
              </w:tc>
            </w:tr>
            <w:tr w:rsidR="001E6893" w:rsidTr="004C4BB2">
              <w:tc>
                <w:tcPr>
                  <w:tcW w:w="1842" w:type="pct"/>
                  <w:vAlign w:val="bottom"/>
                </w:tcPr>
                <w:p w:rsidR="001E6893" w:rsidRPr="00C358C1" w:rsidRDefault="00A70057" w:rsidP="001E6893">
                  <w:pPr>
                    <w:pStyle w:val="TableBodyText"/>
                    <w:jc w:val="left"/>
                  </w:pPr>
                  <w:r w:rsidRPr="00C358C1">
                    <w:t>S</w:t>
                  </w:r>
                  <w:r w:rsidR="00532E47">
                    <w:t>D</w:t>
                  </w:r>
                  <w:r w:rsidRPr="00C358C1">
                    <w:t xml:space="preserve"> of admin expenses</w:t>
                  </w:r>
                </w:p>
              </w:tc>
              <w:tc>
                <w:tcPr>
                  <w:tcW w:w="632" w:type="pct"/>
                  <w:vAlign w:val="bottom"/>
                </w:tcPr>
                <w:p w:rsidR="001E6893" w:rsidRPr="00C358C1" w:rsidRDefault="001E6893" w:rsidP="00C358C1">
                  <w:pPr>
                    <w:pStyle w:val="TableBodyText"/>
                    <w:ind w:right="28"/>
                  </w:pPr>
                  <w:r w:rsidRPr="00C358C1">
                    <w:t>0.175</w:t>
                  </w:r>
                </w:p>
              </w:tc>
              <w:tc>
                <w:tcPr>
                  <w:tcW w:w="632" w:type="pct"/>
                  <w:vAlign w:val="bottom"/>
                </w:tcPr>
                <w:p w:rsidR="001E6893" w:rsidRPr="00C358C1" w:rsidRDefault="001E6893" w:rsidP="00C358C1">
                  <w:pPr>
                    <w:pStyle w:val="TableBodyText"/>
                    <w:ind w:right="28"/>
                  </w:pPr>
                  <w:r w:rsidRPr="00C358C1">
                    <w:t>0.003</w:t>
                  </w:r>
                </w:p>
              </w:tc>
              <w:tc>
                <w:tcPr>
                  <w:tcW w:w="632" w:type="pct"/>
                  <w:vAlign w:val="bottom"/>
                </w:tcPr>
                <w:p w:rsidR="001E6893" w:rsidRPr="00C358C1" w:rsidRDefault="001E6893" w:rsidP="001E6893">
                  <w:pPr>
                    <w:pStyle w:val="TableBodyText"/>
                    <w:ind w:right="28"/>
                  </w:pPr>
                  <w:r w:rsidRPr="00C358C1">
                    <w:t>0.170</w:t>
                  </w:r>
                </w:p>
              </w:tc>
              <w:tc>
                <w:tcPr>
                  <w:tcW w:w="632" w:type="pct"/>
                  <w:vAlign w:val="bottom"/>
                </w:tcPr>
                <w:p w:rsidR="001E6893" w:rsidRPr="00C358C1" w:rsidRDefault="001E6893" w:rsidP="001E6893">
                  <w:pPr>
                    <w:pStyle w:val="TableBodyText"/>
                    <w:ind w:right="28"/>
                  </w:pPr>
                  <w:r w:rsidRPr="00C358C1">
                    <w:t>0.175</w:t>
                  </w:r>
                </w:p>
              </w:tc>
              <w:tc>
                <w:tcPr>
                  <w:tcW w:w="630" w:type="pct"/>
                  <w:vAlign w:val="bottom"/>
                </w:tcPr>
                <w:p w:rsidR="001E6893" w:rsidRPr="00C358C1" w:rsidRDefault="001E6893" w:rsidP="001E6893">
                  <w:pPr>
                    <w:pStyle w:val="TableBodyText"/>
                    <w:ind w:right="28"/>
                  </w:pPr>
                  <w:r w:rsidRPr="00C358C1">
                    <w:t>0.181</w:t>
                  </w:r>
                </w:p>
              </w:tc>
            </w:tr>
            <w:tr w:rsidR="001E6893" w:rsidTr="00F76FED">
              <w:tc>
                <w:tcPr>
                  <w:tcW w:w="1842" w:type="pct"/>
                  <w:shd w:val="clear" w:color="auto" w:fill="F2F2F2" w:themeFill="background1" w:themeFillShade="F2"/>
                  <w:vAlign w:val="bottom"/>
                </w:tcPr>
                <w:p w:rsidR="001E6893" w:rsidRPr="00C358C1" w:rsidRDefault="00A70057" w:rsidP="001E6893">
                  <w:pPr>
                    <w:pStyle w:val="TableBodyText"/>
                    <w:jc w:val="left"/>
                  </w:pPr>
                  <w:r w:rsidRPr="00C358C1">
                    <w:t>SD of investment expenses</w:t>
                  </w:r>
                </w:p>
              </w:tc>
              <w:tc>
                <w:tcPr>
                  <w:tcW w:w="632" w:type="pct"/>
                  <w:shd w:val="clear" w:color="auto" w:fill="F2F2F2" w:themeFill="background1" w:themeFillShade="F2"/>
                  <w:vAlign w:val="bottom"/>
                </w:tcPr>
                <w:p w:rsidR="001E6893" w:rsidRPr="00C358C1" w:rsidRDefault="001E6893" w:rsidP="00C358C1">
                  <w:pPr>
                    <w:pStyle w:val="TableBodyText"/>
                    <w:ind w:right="28"/>
                  </w:pPr>
                  <w:r w:rsidRPr="00C358C1">
                    <w:t>0.308</w:t>
                  </w:r>
                </w:p>
              </w:tc>
              <w:tc>
                <w:tcPr>
                  <w:tcW w:w="632" w:type="pct"/>
                  <w:shd w:val="clear" w:color="auto" w:fill="F2F2F2" w:themeFill="background1" w:themeFillShade="F2"/>
                  <w:vAlign w:val="bottom"/>
                </w:tcPr>
                <w:p w:rsidR="001E6893" w:rsidRPr="00C358C1" w:rsidRDefault="001E6893" w:rsidP="00C358C1">
                  <w:pPr>
                    <w:pStyle w:val="TableBodyText"/>
                    <w:ind w:right="28"/>
                  </w:pPr>
                  <w:r w:rsidRPr="00C358C1">
                    <w:t>0.005</w:t>
                  </w:r>
                </w:p>
              </w:tc>
              <w:tc>
                <w:tcPr>
                  <w:tcW w:w="632" w:type="pct"/>
                  <w:shd w:val="clear" w:color="auto" w:fill="F2F2F2" w:themeFill="background1" w:themeFillShade="F2"/>
                  <w:vAlign w:val="bottom"/>
                </w:tcPr>
                <w:p w:rsidR="001E6893" w:rsidRPr="00C358C1" w:rsidRDefault="001E6893" w:rsidP="001E6893">
                  <w:pPr>
                    <w:pStyle w:val="TableBodyText"/>
                    <w:ind w:right="28"/>
                  </w:pPr>
                  <w:r w:rsidRPr="00C358C1">
                    <w:t>0.298</w:t>
                  </w:r>
                </w:p>
              </w:tc>
              <w:tc>
                <w:tcPr>
                  <w:tcW w:w="632" w:type="pct"/>
                  <w:shd w:val="clear" w:color="auto" w:fill="F2F2F2" w:themeFill="background1" w:themeFillShade="F2"/>
                  <w:vAlign w:val="bottom"/>
                </w:tcPr>
                <w:p w:rsidR="001E6893" w:rsidRPr="00C358C1" w:rsidRDefault="001E6893" w:rsidP="001E6893">
                  <w:pPr>
                    <w:pStyle w:val="TableBodyText"/>
                    <w:ind w:right="28"/>
                  </w:pPr>
                  <w:r w:rsidRPr="00C358C1">
                    <w:t>0.308</w:t>
                  </w:r>
                </w:p>
              </w:tc>
              <w:tc>
                <w:tcPr>
                  <w:tcW w:w="630" w:type="pct"/>
                  <w:shd w:val="clear" w:color="auto" w:fill="F2F2F2" w:themeFill="background1" w:themeFillShade="F2"/>
                  <w:vAlign w:val="bottom"/>
                </w:tcPr>
                <w:p w:rsidR="001E6893" w:rsidRPr="00C358C1" w:rsidRDefault="001E6893" w:rsidP="001E6893">
                  <w:pPr>
                    <w:pStyle w:val="TableBodyText"/>
                    <w:ind w:right="28"/>
                  </w:pPr>
                  <w:r w:rsidRPr="00C358C1">
                    <w:t>0.317</w:t>
                  </w:r>
                </w:p>
              </w:tc>
            </w:tr>
            <w:tr w:rsidR="001E6893" w:rsidTr="004C4BB2">
              <w:tc>
                <w:tcPr>
                  <w:tcW w:w="1842" w:type="pct"/>
                  <w:vAlign w:val="bottom"/>
                </w:tcPr>
                <w:p w:rsidR="001E6893" w:rsidRPr="00C358C1" w:rsidRDefault="001E6893" w:rsidP="001E6893">
                  <w:pPr>
                    <w:pStyle w:val="TableBodyText"/>
                    <w:jc w:val="left"/>
                  </w:pPr>
                </w:p>
              </w:tc>
              <w:tc>
                <w:tcPr>
                  <w:tcW w:w="632" w:type="pct"/>
                  <w:vAlign w:val="bottom"/>
                </w:tcPr>
                <w:p w:rsidR="001E6893" w:rsidRPr="00C358C1" w:rsidRDefault="001E6893" w:rsidP="00C358C1">
                  <w:pPr>
                    <w:pStyle w:val="TableBodyText"/>
                    <w:ind w:right="28"/>
                  </w:pPr>
                </w:p>
              </w:tc>
              <w:tc>
                <w:tcPr>
                  <w:tcW w:w="632" w:type="pct"/>
                  <w:vAlign w:val="bottom"/>
                </w:tcPr>
                <w:p w:rsidR="001E6893" w:rsidRPr="00C358C1" w:rsidRDefault="001E6893" w:rsidP="00C358C1">
                  <w:pPr>
                    <w:pStyle w:val="TableBodyText"/>
                    <w:ind w:right="28"/>
                  </w:pPr>
                </w:p>
              </w:tc>
              <w:tc>
                <w:tcPr>
                  <w:tcW w:w="632" w:type="pct"/>
                  <w:vAlign w:val="bottom"/>
                </w:tcPr>
                <w:p w:rsidR="001E6893" w:rsidRPr="00C358C1" w:rsidRDefault="001E6893" w:rsidP="001E6893">
                  <w:pPr>
                    <w:pStyle w:val="TableBodyText"/>
                    <w:ind w:right="28"/>
                  </w:pPr>
                </w:p>
              </w:tc>
              <w:tc>
                <w:tcPr>
                  <w:tcW w:w="632" w:type="pct"/>
                  <w:vAlign w:val="bottom"/>
                </w:tcPr>
                <w:p w:rsidR="001E6893" w:rsidRPr="00C358C1" w:rsidRDefault="001E6893" w:rsidP="001E6893">
                  <w:pPr>
                    <w:pStyle w:val="TableBodyText"/>
                    <w:ind w:right="28"/>
                  </w:pPr>
                </w:p>
              </w:tc>
              <w:tc>
                <w:tcPr>
                  <w:tcW w:w="630" w:type="pct"/>
                  <w:vAlign w:val="bottom"/>
                </w:tcPr>
                <w:p w:rsidR="001E6893" w:rsidRPr="00C358C1" w:rsidRDefault="001E6893" w:rsidP="001E6893">
                  <w:pPr>
                    <w:pStyle w:val="TableBodyText"/>
                    <w:ind w:right="28"/>
                  </w:pPr>
                </w:p>
              </w:tc>
            </w:tr>
            <w:tr w:rsidR="001E6893" w:rsidTr="00F76FED">
              <w:tc>
                <w:tcPr>
                  <w:tcW w:w="1842" w:type="pct"/>
                  <w:shd w:val="clear" w:color="auto" w:fill="BFBFBF" w:themeFill="background1" w:themeFillShade="BF"/>
                  <w:vAlign w:val="bottom"/>
                </w:tcPr>
                <w:p w:rsidR="001E6893" w:rsidRPr="00C358C1" w:rsidRDefault="001E6893" w:rsidP="001E6893">
                  <w:pPr>
                    <w:pStyle w:val="TableBodyText"/>
                    <w:jc w:val="left"/>
                    <w:rPr>
                      <w:b/>
                    </w:rPr>
                  </w:pPr>
                  <w:r w:rsidRPr="00C358C1">
                    <w:rPr>
                      <w:b/>
                    </w:rPr>
                    <w:t>Admin</w:t>
                  </w:r>
                </w:p>
              </w:tc>
              <w:tc>
                <w:tcPr>
                  <w:tcW w:w="632" w:type="pct"/>
                  <w:shd w:val="clear" w:color="auto" w:fill="BFBFBF" w:themeFill="background1" w:themeFillShade="BF"/>
                  <w:vAlign w:val="bottom"/>
                </w:tcPr>
                <w:p w:rsidR="001E6893" w:rsidRPr="00C358C1" w:rsidRDefault="001E6893" w:rsidP="00C358C1">
                  <w:pPr>
                    <w:pStyle w:val="TableBodyText"/>
                    <w:ind w:right="28"/>
                  </w:pPr>
                </w:p>
              </w:tc>
              <w:tc>
                <w:tcPr>
                  <w:tcW w:w="632" w:type="pct"/>
                  <w:shd w:val="clear" w:color="auto" w:fill="BFBFBF" w:themeFill="background1" w:themeFillShade="BF"/>
                  <w:vAlign w:val="bottom"/>
                </w:tcPr>
                <w:p w:rsidR="001E6893" w:rsidRPr="00C358C1" w:rsidRDefault="001E6893" w:rsidP="00C358C1">
                  <w:pPr>
                    <w:pStyle w:val="TableBodyText"/>
                    <w:ind w:right="28"/>
                  </w:pPr>
                </w:p>
              </w:tc>
              <w:tc>
                <w:tcPr>
                  <w:tcW w:w="632" w:type="pct"/>
                  <w:shd w:val="clear" w:color="auto" w:fill="BFBFBF" w:themeFill="background1" w:themeFillShade="BF"/>
                  <w:vAlign w:val="bottom"/>
                </w:tcPr>
                <w:p w:rsidR="001E6893" w:rsidRPr="00C358C1" w:rsidRDefault="001E6893" w:rsidP="001E6893">
                  <w:pPr>
                    <w:pStyle w:val="TableBodyText"/>
                    <w:ind w:right="28"/>
                  </w:pPr>
                </w:p>
              </w:tc>
              <w:tc>
                <w:tcPr>
                  <w:tcW w:w="632" w:type="pct"/>
                  <w:shd w:val="clear" w:color="auto" w:fill="BFBFBF" w:themeFill="background1" w:themeFillShade="BF"/>
                  <w:vAlign w:val="bottom"/>
                </w:tcPr>
                <w:p w:rsidR="001E6893" w:rsidRPr="00C358C1" w:rsidRDefault="001E6893" w:rsidP="001E6893">
                  <w:pPr>
                    <w:pStyle w:val="TableBodyText"/>
                    <w:ind w:right="28"/>
                  </w:pPr>
                </w:p>
              </w:tc>
              <w:tc>
                <w:tcPr>
                  <w:tcW w:w="630" w:type="pct"/>
                  <w:shd w:val="clear" w:color="auto" w:fill="BFBFBF" w:themeFill="background1" w:themeFillShade="BF"/>
                  <w:vAlign w:val="bottom"/>
                </w:tcPr>
                <w:p w:rsidR="001E6893" w:rsidRPr="00C358C1" w:rsidRDefault="001E6893" w:rsidP="001E6893">
                  <w:pPr>
                    <w:pStyle w:val="TableBodyText"/>
                    <w:ind w:right="28"/>
                  </w:pPr>
                </w:p>
              </w:tc>
            </w:tr>
            <w:tr w:rsidR="00917F62" w:rsidTr="004C4BB2">
              <w:tc>
                <w:tcPr>
                  <w:tcW w:w="1842" w:type="pct"/>
                  <w:vAlign w:val="bottom"/>
                </w:tcPr>
                <w:p w:rsidR="00917F62" w:rsidRDefault="00C55A40" w:rsidP="00917F62">
                  <w:pPr>
                    <w:pStyle w:val="TableBodyText"/>
                    <w:jc w:val="left"/>
                  </w:pPr>
                  <w:r w:rsidRPr="00C358C1">
                    <w:t>Assets</w:t>
                  </w:r>
                </w:p>
              </w:tc>
              <w:tc>
                <w:tcPr>
                  <w:tcW w:w="632" w:type="pct"/>
                  <w:vAlign w:val="bottom"/>
                </w:tcPr>
                <w:p w:rsidR="00917F62" w:rsidRDefault="00C55A40" w:rsidP="00C358C1">
                  <w:pPr>
                    <w:pStyle w:val="TableBodyText"/>
                    <w:ind w:right="28"/>
                  </w:pPr>
                  <w:r w:rsidRPr="00C358C1">
                    <w:t>0.511</w:t>
                  </w:r>
                </w:p>
              </w:tc>
              <w:tc>
                <w:tcPr>
                  <w:tcW w:w="632" w:type="pct"/>
                  <w:vAlign w:val="bottom"/>
                </w:tcPr>
                <w:p w:rsidR="00917F62" w:rsidRDefault="00C55A40" w:rsidP="00C358C1">
                  <w:pPr>
                    <w:pStyle w:val="TableBodyText"/>
                    <w:ind w:right="28"/>
                  </w:pPr>
                  <w:r w:rsidRPr="00C358C1">
                    <w:t>0.044</w:t>
                  </w:r>
                </w:p>
              </w:tc>
              <w:tc>
                <w:tcPr>
                  <w:tcW w:w="632" w:type="pct"/>
                  <w:vAlign w:val="bottom"/>
                </w:tcPr>
                <w:p w:rsidR="00917F62" w:rsidRDefault="00C55A40" w:rsidP="00917F62">
                  <w:pPr>
                    <w:pStyle w:val="TableBodyText"/>
                    <w:ind w:right="28"/>
                  </w:pPr>
                  <w:r w:rsidRPr="00C358C1">
                    <w:t>0.432</w:t>
                  </w:r>
                </w:p>
              </w:tc>
              <w:tc>
                <w:tcPr>
                  <w:tcW w:w="632" w:type="pct"/>
                  <w:vAlign w:val="bottom"/>
                </w:tcPr>
                <w:p w:rsidR="00C55A40" w:rsidRPr="00C358C1" w:rsidRDefault="00C55A40" w:rsidP="00C55A40">
                  <w:pPr>
                    <w:pStyle w:val="TableBodyText"/>
                    <w:ind w:right="28"/>
                  </w:pPr>
                  <w:r w:rsidRPr="00C358C1">
                    <w:t>0.510</w:t>
                  </w:r>
                </w:p>
              </w:tc>
              <w:tc>
                <w:tcPr>
                  <w:tcW w:w="630" w:type="pct"/>
                  <w:vAlign w:val="bottom"/>
                </w:tcPr>
                <w:p w:rsidR="00C55A40" w:rsidRPr="00C358C1" w:rsidRDefault="00C55A40" w:rsidP="00C55A40">
                  <w:pPr>
                    <w:pStyle w:val="TableBodyText"/>
                    <w:ind w:right="28"/>
                  </w:pPr>
                  <w:r w:rsidRPr="00C358C1">
                    <w:t>0.597</w:t>
                  </w:r>
                </w:p>
              </w:tc>
            </w:tr>
            <w:tr w:rsidR="00917F62" w:rsidTr="00F76FED">
              <w:tc>
                <w:tcPr>
                  <w:tcW w:w="1842" w:type="pct"/>
                  <w:shd w:val="clear" w:color="auto" w:fill="F2F2F2" w:themeFill="background1" w:themeFillShade="F2"/>
                  <w:vAlign w:val="bottom"/>
                </w:tcPr>
                <w:p w:rsidR="00917F62" w:rsidRDefault="00C55A40" w:rsidP="00917F62">
                  <w:pPr>
                    <w:pStyle w:val="TableBodyText"/>
                    <w:jc w:val="left"/>
                  </w:pPr>
                  <w:r w:rsidRPr="00C358C1">
                    <w:t>Member accounts</w:t>
                  </w:r>
                </w:p>
              </w:tc>
              <w:tc>
                <w:tcPr>
                  <w:tcW w:w="632" w:type="pct"/>
                  <w:shd w:val="clear" w:color="auto" w:fill="F2F2F2" w:themeFill="background1" w:themeFillShade="F2"/>
                  <w:vAlign w:val="bottom"/>
                </w:tcPr>
                <w:p w:rsidR="00917F62" w:rsidRDefault="00C55A40" w:rsidP="00C358C1">
                  <w:pPr>
                    <w:pStyle w:val="TableBodyText"/>
                    <w:ind w:right="28"/>
                  </w:pPr>
                  <w:r w:rsidRPr="00C358C1">
                    <w:t>0.445</w:t>
                  </w:r>
                </w:p>
              </w:tc>
              <w:tc>
                <w:tcPr>
                  <w:tcW w:w="632" w:type="pct"/>
                  <w:shd w:val="clear" w:color="auto" w:fill="F2F2F2" w:themeFill="background1" w:themeFillShade="F2"/>
                  <w:vAlign w:val="bottom"/>
                </w:tcPr>
                <w:p w:rsidR="00917F62" w:rsidRDefault="00C55A40" w:rsidP="00C358C1">
                  <w:pPr>
                    <w:pStyle w:val="TableBodyText"/>
                    <w:ind w:right="28"/>
                  </w:pPr>
                  <w:r w:rsidRPr="00C358C1">
                    <w:t>0.053</w:t>
                  </w:r>
                </w:p>
              </w:tc>
              <w:tc>
                <w:tcPr>
                  <w:tcW w:w="632" w:type="pct"/>
                  <w:shd w:val="clear" w:color="auto" w:fill="F2F2F2" w:themeFill="background1" w:themeFillShade="F2"/>
                  <w:vAlign w:val="bottom"/>
                </w:tcPr>
                <w:p w:rsidR="00917F62" w:rsidRDefault="00C55A40" w:rsidP="00917F62">
                  <w:pPr>
                    <w:pStyle w:val="TableBodyText"/>
                    <w:ind w:right="28"/>
                  </w:pPr>
                  <w:r w:rsidRPr="00C358C1">
                    <w:t>0.341</w:t>
                  </w:r>
                </w:p>
              </w:tc>
              <w:tc>
                <w:tcPr>
                  <w:tcW w:w="632" w:type="pct"/>
                  <w:shd w:val="clear" w:color="auto" w:fill="F2F2F2" w:themeFill="background1" w:themeFillShade="F2"/>
                  <w:vAlign w:val="bottom"/>
                </w:tcPr>
                <w:p w:rsidR="00C55A40" w:rsidRPr="00C358C1" w:rsidRDefault="00C55A40" w:rsidP="00C55A40">
                  <w:pPr>
                    <w:pStyle w:val="TableBodyText"/>
                    <w:ind w:right="28"/>
                  </w:pPr>
                  <w:r w:rsidRPr="00C358C1">
                    <w:t>0.445</w:t>
                  </w:r>
                </w:p>
              </w:tc>
              <w:tc>
                <w:tcPr>
                  <w:tcW w:w="630" w:type="pct"/>
                  <w:shd w:val="clear" w:color="auto" w:fill="F2F2F2" w:themeFill="background1" w:themeFillShade="F2"/>
                  <w:vAlign w:val="bottom"/>
                </w:tcPr>
                <w:p w:rsidR="00C55A40" w:rsidRPr="00C358C1" w:rsidRDefault="00C55A40" w:rsidP="00C55A40">
                  <w:pPr>
                    <w:pStyle w:val="TableBodyText"/>
                    <w:ind w:right="28"/>
                  </w:pPr>
                  <w:r w:rsidRPr="00C358C1">
                    <w:t>0.544</w:t>
                  </w:r>
                </w:p>
              </w:tc>
            </w:tr>
            <w:tr w:rsidR="00C55A40" w:rsidTr="004C4BB2">
              <w:tc>
                <w:tcPr>
                  <w:tcW w:w="1842" w:type="pct"/>
                  <w:shd w:val="clear" w:color="auto" w:fill="auto"/>
                  <w:vAlign w:val="bottom"/>
                </w:tcPr>
                <w:p w:rsidR="00C55A40" w:rsidRDefault="00C55A40" w:rsidP="00C55A40">
                  <w:pPr>
                    <w:pStyle w:val="TableBodyText"/>
                    <w:jc w:val="left"/>
                  </w:pPr>
                  <w:r w:rsidRPr="00C358C1">
                    <w:t>Number of investment options</w:t>
                  </w:r>
                </w:p>
              </w:tc>
              <w:tc>
                <w:tcPr>
                  <w:tcW w:w="632" w:type="pct"/>
                  <w:vAlign w:val="bottom"/>
                </w:tcPr>
                <w:p w:rsidR="00C55A40" w:rsidRDefault="00C55A40" w:rsidP="00C358C1">
                  <w:pPr>
                    <w:pStyle w:val="TableBodyText"/>
                    <w:ind w:right="28"/>
                  </w:pPr>
                  <w:r w:rsidRPr="00C358C1">
                    <w:t>0.059</w:t>
                  </w:r>
                </w:p>
              </w:tc>
              <w:tc>
                <w:tcPr>
                  <w:tcW w:w="632" w:type="pct"/>
                  <w:shd w:val="clear" w:color="auto" w:fill="auto"/>
                  <w:vAlign w:val="bottom"/>
                </w:tcPr>
                <w:p w:rsidR="00C55A40" w:rsidRDefault="00C55A40" w:rsidP="00C358C1">
                  <w:pPr>
                    <w:pStyle w:val="TableBodyText"/>
                    <w:ind w:right="28"/>
                  </w:pPr>
                  <w:r w:rsidRPr="00C358C1">
                    <w:t>0.011</w:t>
                  </w:r>
                </w:p>
              </w:tc>
              <w:tc>
                <w:tcPr>
                  <w:tcW w:w="632" w:type="pct"/>
                  <w:shd w:val="clear" w:color="auto" w:fill="auto"/>
                  <w:vAlign w:val="bottom"/>
                </w:tcPr>
                <w:p w:rsidR="00C55A40" w:rsidRDefault="00C55A40" w:rsidP="00C55A40">
                  <w:pPr>
                    <w:pStyle w:val="TableBodyText"/>
                    <w:ind w:right="28"/>
                  </w:pPr>
                  <w:r w:rsidRPr="00C358C1">
                    <w:t>0.035</w:t>
                  </w:r>
                </w:p>
              </w:tc>
              <w:tc>
                <w:tcPr>
                  <w:tcW w:w="632" w:type="pct"/>
                  <w:vAlign w:val="bottom"/>
                </w:tcPr>
                <w:p w:rsidR="00C55A40" w:rsidRDefault="00C55A40" w:rsidP="00C55A40">
                  <w:pPr>
                    <w:pStyle w:val="TableBodyText"/>
                    <w:ind w:right="28"/>
                  </w:pPr>
                  <w:r w:rsidRPr="00C358C1">
                    <w:t>0.060</w:t>
                  </w:r>
                </w:p>
              </w:tc>
              <w:tc>
                <w:tcPr>
                  <w:tcW w:w="630" w:type="pct"/>
                  <w:vAlign w:val="bottom"/>
                </w:tcPr>
                <w:p w:rsidR="00C55A40" w:rsidRDefault="00C55A40" w:rsidP="00C55A40">
                  <w:pPr>
                    <w:pStyle w:val="TableBodyText"/>
                    <w:ind w:right="28"/>
                  </w:pPr>
                  <w:r w:rsidRPr="00C358C1">
                    <w:t>0.082</w:t>
                  </w:r>
                </w:p>
              </w:tc>
            </w:tr>
            <w:tr w:rsidR="00C55A40" w:rsidTr="00F76FED">
              <w:tc>
                <w:tcPr>
                  <w:tcW w:w="1842" w:type="pct"/>
                  <w:shd w:val="clear" w:color="auto" w:fill="F2F2F2" w:themeFill="background1" w:themeFillShade="F2"/>
                  <w:vAlign w:val="bottom"/>
                </w:tcPr>
                <w:p w:rsidR="00C55A40" w:rsidRDefault="00C55A40" w:rsidP="00C55A40">
                  <w:pPr>
                    <w:pStyle w:val="TableBodyText"/>
                    <w:jc w:val="left"/>
                  </w:pPr>
                  <w:r w:rsidRPr="00C358C1">
                    <w:t>Net contributions</w:t>
                  </w:r>
                </w:p>
              </w:tc>
              <w:tc>
                <w:tcPr>
                  <w:tcW w:w="632" w:type="pct"/>
                  <w:shd w:val="clear" w:color="auto" w:fill="F2F2F2" w:themeFill="background1" w:themeFillShade="F2"/>
                  <w:vAlign w:val="bottom"/>
                </w:tcPr>
                <w:p w:rsidR="00C55A40" w:rsidRDefault="00C55A40" w:rsidP="00C358C1">
                  <w:pPr>
                    <w:pStyle w:val="TableBodyText"/>
                    <w:ind w:right="28"/>
                  </w:pPr>
                  <w:r w:rsidRPr="00C358C1">
                    <w:t>0.006</w:t>
                  </w:r>
                </w:p>
              </w:tc>
              <w:tc>
                <w:tcPr>
                  <w:tcW w:w="632" w:type="pct"/>
                  <w:shd w:val="clear" w:color="auto" w:fill="F2F2F2" w:themeFill="background1" w:themeFillShade="F2"/>
                  <w:vAlign w:val="bottom"/>
                </w:tcPr>
                <w:p w:rsidR="00C55A40" w:rsidRDefault="00C55A40" w:rsidP="00C358C1">
                  <w:pPr>
                    <w:pStyle w:val="TableBodyText"/>
                    <w:ind w:right="28"/>
                  </w:pPr>
                  <w:r w:rsidRPr="00C358C1">
                    <w:t>0.007</w:t>
                  </w:r>
                </w:p>
              </w:tc>
              <w:tc>
                <w:tcPr>
                  <w:tcW w:w="632" w:type="pct"/>
                  <w:shd w:val="clear" w:color="auto" w:fill="F2F2F2" w:themeFill="background1" w:themeFillShade="F2"/>
                  <w:vAlign w:val="bottom"/>
                </w:tcPr>
                <w:p w:rsidR="00C55A40" w:rsidRDefault="00C55A40" w:rsidP="00C55A40">
                  <w:pPr>
                    <w:pStyle w:val="TableBodyText"/>
                    <w:ind w:right="28"/>
                  </w:pPr>
                  <w:r w:rsidRPr="00C358C1">
                    <w:t>-0.008</w:t>
                  </w:r>
                </w:p>
              </w:tc>
              <w:tc>
                <w:tcPr>
                  <w:tcW w:w="632" w:type="pct"/>
                  <w:shd w:val="clear" w:color="auto" w:fill="F2F2F2" w:themeFill="background1" w:themeFillShade="F2"/>
                  <w:vAlign w:val="bottom"/>
                </w:tcPr>
                <w:p w:rsidR="00C55A40" w:rsidRDefault="00C55A40" w:rsidP="00C55A40">
                  <w:pPr>
                    <w:pStyle w:val="TableBodyText"/>
                    <w:ind w:right="28"/>
                  </w:pPr>
                  <w:r w:rsidRPr="00C358C1">
                    <w:t>0.006</w:t>
                  </w:r>
                </w:p>
              </w:tc>
              <w:tc>
                <w:tcPr>
                  <w:tcW w:w="630" w:type="pct"/>
                  <w:shd w:val="clear" w:color="auto" w:fill="F2F2F2" w:themeFill="background1" w:themeFillShade="F2"/>
                  <w:vAlign w:val="bottom"/>
                </w:tcPr>
                <w:p w:rsidR="00C55A40" w:rsidRDefault="00C55A40" w:rsidP="00C55A40">
                  <w:pPr>
                    <w:pStyle w:val="TableBodyText"/>
                    <w:ind w:right="28"/>
                  </w:pPr>
                  <w:r w:rsidRPr="00C358C1">
                    <w:t>0.019</w:t>
                  </w:r>
                </w:p>
              </w:tc>
            </w:tr>
            <w:tr w:rsidR="00C55A40" w:rsidTr="004C4BB2">
              <w:tc>
                <w:tcPr>
                  <w:tcW w:w="1842" w:type="pct"/>
                  <w:shd w:val="clear" w:color="auto" w:fill="auto"/>
                  <w:vAlign w:val="bottom"/>
                </w:tcPr>
                <w:p w:rsidR="00C55A40" w:rsidRDefault="00C55A40" w:rsidP="00C55A40">
                  <w:pPr>
                    <w:pStyle w:val="TableBodyText"/>
                    <w:jc w:val="left"/>
                  </w:pPr>
                  <w:r w:rsidRPr="00C358C1">
                    <w:t>Net rollovers</w:t>
                  </w:r>
                </w:p>
              </w:tc>
              <w:tc>
                <w:tcPr>
                  <w:tcW w:w="632" w:type="pct"/>
                  <w:vAlign w:val="bottom"/>
                </w:tcPr>
                <w:p w:rsidR="00C55A40" w:rsidRDefault="00C55A40" w:rsidP="00C358C1">
                  <w:pPr>
                    <w:pStyle w:val="TableBodyText"/>
                    <w:ind w:right="28"/>
                  </w:pPr>
                  <w:r w:rsidRPr="00C358C1">
                    <w:t>-0.010</w:t>
                  </w:r>
                </w:p>
              </w:tc>
              <w:tc>
                <w:tcPr>
                  <w:tcW w:w="632" w:type="pct"/>
                  <w:shd w:val="clear" w:color="auto" w:fill="auto"/>
                  <w:vAlign w:val="bottom"/>
                </w:tcPr>
                <w:p w:rsidR="00C55A40" w:rsidRDefault="00C55A40" w:rsidP="00C358C1">
                  <w:pPr>
                    <w:pStyle w:val="TableBodyText"/>
                    <w:ind w:right="28"/>
                  </w:pPr>
                  <w:r w:rsidRPr="00C358C1">
                    <w:t>0.004</w:t>
                  </w:r>
                </w:p>
              </w:tc>
              <w:tc>
                <w:tcPr>
                  <w:tcW w:w="632" w:type="pct"/>
                  <w:shd w:val="clear" w:color="auto" w:fill="auto"/>
                  <w:vAlign w:val="bottom"/>
                </w:tcPr>
                <w:p w:rsidR="00C55A40" w:rsidRDefault="00C55A40" w:rsidP="00C55A40">
                  <w:pPr>
                    <w:pStyle w:val="TableBodyText"/>
                    <w:ind w:right="28"/>
                  </w:pPr>
                  <w:r w:rsidRPr="00C358C1">
                    <w:t>-0.018</w:t>
                  </w:r>
                </w:p>
              </w:tc>
              <w:tc>
                <w:tcPr>
                  <w:tcW w:w="632" w:type="pct"/>
                  <w:vAlign w:val="bottom"/>
                </w:tcPr>
                <w:p w:rsidR="00C55A40" w:rsidRDefault="00C55A40" w:rsidP="00C55A40">
                  <w:pPr>
                    <w:pStyle w:val="TableBodyText"/>
                    <w:ind w:right="28"/>
                  </w:pPr>
                  <w:r w:rsidRPr="00C358C1">
                    <w:t>-0.010</w:t>
                  </w:r>
                </w:p>
              </w:tc>
              <w:tc>
                <w:tcPr>
                  <w:tcW w:w="630" w:type="pct"/>
                  <w:vAlign w:val="bottom"/>
                </w:tcPr>
                <w:p w:rsidR="00C55A40" w:rsidRDefault="00C55A40" w:rsidP="00C55A40">
                  <w:pPr>
                    <w:pStyle w:val="TableBodyText"/>
                    <w:ind w:right="28"/>
                  </w:pPr>
                  <w:r w:rsidRPr="00C358C1">
                    <w:t>-0.004</w:t>
                  </w:r>
                </w:p>
              </w:tc>
            </w:tr>
            <w:tr w:rsidR="00C55A40" w:rsidTr="00F76FED">
              <w:tc>
                <w:tcPr>
                  <w:tcW w:w="1842" w:type="pct"/>
                  <w:shd w:val="clear" w:color="auto" w:fill="F2F2F2" w:themeFill="background1" w:themeFillShade="F2"/>
                  <w:vAlign w:val="bottom"/>
                </w:tcPr>
                <w:p w:rsidR="00C55A40" w:rsidRDefault="00C55A40" w:rsidP="00C55A40">
                  <w:pPr>
                    <w:pStyle w:val="TableBodyText"/>
                    <w:jc w:val="left"/>
                  </w:pPr>
                  <w:r w:rsidRPr="00C358C1">
                    <w:t>Net insurance flows</w:t>
                  </w:r>
                </w:p>
              </w:tc>
              <w:tc>
                <w:tcPr>
                  <w:tcW w:w="632" w:type="pct"/>
                  <w:shd w:val="clear" w:color="auto" w:fill="F2F2F2" w:themeFill="background1" w:themeFillShade="F2"/>
                  <w:vAlign w:val="bottom"/>
                </w:tcPr>
                <w:p w:rsidR="00C55A40" w:rsidRDefault="00C55A40" w:rsidP="00C358C1">
                  <w:pPr>
                    <w:pStyle w:val="TableBodyText"/>
                    <w:ind w:right="28"/>
                  </w:pPr>
                  <w:r w:rsidRPr="00C358C1">
                    <w:t>-0.009</w:t>
                  </w:r>
                </w:p>
              </w:tc>
              <w:tc>
                <w:tcPr>
                  <w:tcW w:w="632" w:type="pct"/>
                  <w:shd w:val="clear" w:color="auto" w:fill="F2F2F2" w:themeFill="background1" w:themeFillShade="F2"/>
                  <w:vAlign w:val="bottom"/>
                </w:tcPr>
                <w:p w:rsidR="00C55A40" w:rsidRDefault="00C55A40" w:rsidP="00C358C1">
                  <w:pPr>
                    <w:pStyle w:val="TableBodyText"/>
                    <w:ind w:right="28"/>
                  </w:pPr>
                  <w:r w:rsidRPr="00C358C1">
                    <w:t>0.006</w:t>
                  </w:r>
                </w:p>
              </w:tc>
              <w:tc>
                <w:tcPr>
                  <w:tcW w:w="632" w:type="pct"/>
                  <w:shd w:val="clear" w:color="auto" w:fill="F2F2F2" w:themeFill="background1" w:themeFillShade="F2"/>
                  <w:vAlign w:val="bottom"/>
                </w:tcPr>
                <w:p w:rsidR="00C55A40" w:rsidRDefault="00C55A40" w:rsidP="00C55A40">
                  <w:pPr>
                    <w:pStyle w:val="TableBodyText"/>
                    <w:ind w:right="28"/>
                  </w:pPr>
                  <w:r w:rsidRPr="00C358C1">
                    <w:t>-0.021</w:t>
                  </w:r>
                </w:p>
              </w:tc>
              <w:tc>
                <w:tcPr>
                  <w:tcW w:w="632" w:type="pct"/>
                  <w:shd w:val="clear" w:color="auto" w:fill="F2F2F2" w:themeFill="background1" w:themeFillShade="F2"/>
                  <w:vAlign w:val="bottom"/>
                </w:tcPr>
                <w:p w:rsidR="00C55A40" w:rsidRDefault="00C55A40" w:rsidP="00C55A40">
                  <w:pPr>
                    <w:pStyle w:val="TableBodyText"/>
                    <w:ind w:right="28"/>
                  </w:pPr>
                  <w:r w:rsidRPr="00C358C1">
                    <w:t>-0.009</w:t>
                  </w:r>
                </w:p>
              </w:tc>
              <w:tc>
                <w:tcPr>
                  <w:tcW w:w="630" w:type="pct"/>
                  <w:shd w:val="clear" w:color="auto" w:fill="F2F2F2" w:themeFill="background1" w:themeFillShade="F2"/>
                  <w:vAlign w:val="bottom"/>
                </w:tcPr>
                <w:p w:rsidR="00C55A40" w:rsidRDefault="00C55A40" w:rsidP="00C55A40">
                  <w:pPr>
                    <w:pStyle w:val="TableBodyText"/>
                    <w:ind w:right="28"/>
                  </w:pPr>
                  <w:r w:rsidRPr="00C358C1">
                    <w:t>0.004</w:t>
                  </w:r>
                </w:p>
              </w:tc>
            </w:tr>
            <w:tr w:rsidR="00C55A40" w:rsidTr="004C4BB2">
              <w:tc>
                <w:tcPr>
                  <w:tcW w:w="1842" w:type="pct"/>
                  <w:shd w:val="clear" w:color="auto" w:fill="auto"/>
                  <w:vAlign w:val="bottom"/>
                </w:tcPr>
                <w:p w:rsidR="00C55A40" w:rsidRDefault="00C55A40" w:rsidP="00C55A40">
                  <w:pPr>
                    <w:pStyle w:val="TableBodyText"/>
                    <w:jc w:val="left"/>
                  </w:pPr>
                  <w:r w:rsidRPr="00C358C1">
                    <w:t>Stronger super</w:t>
                  </w:r>
                </w:p>
              </w:tc>
              <w:tc>
                <w:tcPr>
                  <w:tcW w:w="632" w:type="pct"/>
                  <w:vAlign w:val="bottom"/>
                </w:tcPr>
                <w:p w:rsidR="00C55A40" w:rsidRDefault="00C55A40" w:rsidP="00C358C1">
                  <w:pPr>
                    <w:pStyle w:val="TableBodyText"/>
                    <w:ind w:right="28"/>
                  </w:pPr>
                  <w:r w:rsidRPr="00C358C1">
                    <w:t>0.035</w:t>
                  </w:r>
                </w:p>
              </w:tc>
              <w:tc>
                <w:tcPr>
                  <w:tcW w:w="632" w:type="pct"/>
                  <w:shd w:val="clear" w:color="auto" w:fill="auto"/>
                  <w:vAlign w:val="bottom"/>
                </w:tcPr>
                <w:p w:rsidR="00C55A40" w:rsidRDefault="00C55A40" w:rsidP="00C358C1">
                  <w:pPr>
                    <w:pStyle w:val="TableBodyText"/>
                    <w:ind w:right="28"/>
                  </w:pPr>
                  <w:r w:rsidRPr="00C358C1">
                    <w:t>0.013</w:t>
                  </w:r>
                </w:p>
              </w:tc>
              <w:tc>
                <w:tcPr>
                  <w:tcW w:w="632" w:type="pct"/>
                  <w:shd w:val="clear" w:color="auto" w:fill="auto"/>
                  <w:vAlign w:val="bottom"/>
                </w:tcPr>
                <w:p w:rsidR="00C55A40" w:rsidRDefault="00C55A40" w:rsidP="00C55A40">
                  <w:pPr>
                    <w:pStyle w:val="TableBodyText"/>
                    <w:ind w:right="28"/>
                  </w:pPr>
                  <w:r w:rsidRPr="00C358C1">
                    <w:t>0.010</w:t>
                  </w:r>
                </w:p>
              </w:tc>
              <w:tc>
                <w:tcPr>
                  <w:tcW w:w="632" w:type="pct"/>
                  <w:vAlign w:val="bottom"/>
                </w:tcPr>
                <w:p w:rsidR="00C55A40" w:rsidRDefault="00C55A40" w:rsidP="00C55A40">
                  <w:pPr>
                    <w:pStyle w:val="TableBodyText"/>
                    <w:ind w:right="28"/>
                  </w:pPr>
                  <w:r w:rsidRPr="00C358C1">
                    <w:t>0.035</w:t>
                  </w:r>
                </w:p>
              </w:tc>
              <w:tc>
                <w:tcPr>
                  <w:tcW w:w="630" w:type="pct"/>
                  <w:vAlign w:val="bottom"/>
                </w:tcPr>
                <w:p w:rsidR="00C55A40" w:rsidRDefault="00C55A40" w:rsidP="00C55A40">
                  <w:pPr>
                    <w:pStyle w:val="TableBodyText"/>
                    <w:ind w:right="28"/>
                  </w:pPr>
                  <w:r w:rsidRPr="00C358C1">
                    <w:t>0.060</w:t>
                  </w:r>
                </w:p>
              </w:tc>
            </w:tr>
            <w:tr w:rsidR="00C55A40" w:rsidTr="00F76FED">
              <w:tc>
                <w:tcPr>
                  <w:tcW w:w="1842" w:type="pct"/>
                  <w:shd w:val="clear" w:color="auto" w:fill="F2F2F2" w:themeFill="background1" w:themeFillShade="F2"/>
                  <w:vAlign w:val="bottom"/>
                </w:tcPr>
                <w:p w:rsidR="00C55A40" w:rsidRDefault="00C55A40" w:rsidP="00C55A40">
                  <w:pPr>
                    <w:pStyle w:val="TableBodyText"/>
                    <w:jc w:val="left"/>
                  </w:pPr>
                  <w:r w:rsidRPr="00C358C1">
                    <w:t>Post reporting change (</w:t>
                  </w:r>
                  <w:r w:rsidR="00532E47">
                    <w:t>PRC</w:t>
                  </w:r>
                  <w:r w:rsidRPr="00C358C1">
                    <w:t>)</w:t>
                  </w:r>
                </w:p>
              </w:tc>
              <w:tc>
                <w:tcPr>
                  <w:tcW w:w="632" w:type="pct"/>
                  <w:shd w:val="clear" w:color="auto" w:fill="F2F2F2" w:themeFill="background1" w:themeFillShade="F2"/>
                  <w:vAlign w:val="bottom"/>
                </w:tcPr>
                <w:p w:rsidR="00C55A40" w:rsidRDefault="00C55A40" w:rsidP="00C358C1">
                  <w:pPr>
                    <w:pStyle w:val="TableBodyText"/>
                    <w:ind w:right="28"/>
                  </w:pPr>
                  <w:r w:rsidRPr="00C358C1">
                    <w:t>-0.037</w:t>
                  </w:r>
                </w:p>
              </w:tc>
              <w:tc>
                <w:tcPr>
                  <w:tcW w:w="632" w:type="pct"/>
                  <w:shd w:val="clear" w:color="auto" w:fill="F2F2F2" w:themeFill="background1" w:themeFillShade="F2"/>
                  <w:vAlign w:val="bottom"/>
                </w:tcPr>
                <w:p w:rsidR="00C55A40" w:rsidRDefault="00C55A40" w:rsidP="00C358C1">
                  <w:pPr>
                    <w:pStyle w:val="TableBodyText"/>
                    <w:ind w:right="28"/>
                  </w:pPr>
                  <w:r w:rsidRPr="00C358C1">
                    <w:t>0.015</w:t>
                  </w:r>
                </w:p>
              </w:tc>
              <w:tc>
                <w:tcPr>
                  <w:tcW w:w="632" w:type="pct"/>
                  <w:shd w:val="clear" w:color="auto" w:fill="F2F2F2" w:themeFill="background1" w:themeFillShade="F2"/>
                  <w:vAlign w:val="bottom"/>
                </w:tcPr>
                <w:p w:rsidR="00C55A40" w:rsidRDefault="00C55A40" w:rsidP="00C55A40">
                  <w:pPr>
                    <w:pStyle w:val="TableBodyText"/>
                    <w:ind w:right="28"/>
                  </w:pPr>
                  <w:r w:rsidRPr="00C358C1">
                    <w:t>-0.067</w:t>
                  </w:r>
                </w:p>
              </w:tc>
              <w:tc>
                <w:tcPr>
                  <w:tcW w:w="632" w:type="pct"/>
                  <w:shd w:val="clear" w:color="auto" w:fill="F2F2F2" w:themeFill="background1" w:themeFillShade="F2"/>
                  <w:vAlign w:val="bottom"/>
                </w:tcPr>
                <w:p w:rsidR="00C55A40" w:rsidRDefault="00C55A40" w:rsidP="00C55A40">
                  <w:pPr>
                    <w:pStyle w:val="TableBodyText"/>
                    <w:ind w:right="28"/>
                  </w:pPr>
                  <w:r w:rsidRPr="00C358C1">
                    <w:t>-0.037</w:t>
                  </w:r>
                </w:p>
              </w:tc>
              <w:tc>
                <w:tcPr>
                  <w:tcW w:w="630" w:type="pct"/>
                  <w:shd w:val="clear" w:color="auto" w:fill="F2F2F2" w:themeFill="background1" w:themeFillShade="F2"/>
                  <w:vAlign w:val="bottom"/>
                </w:tcPr>
                <w:p w:rsidR="00C55A40" w:rsidRDefault="00C55A40" w:rsidP="00C55A40">
                  <w:pPr>
                    <w:pStyle w:val="TableBodyText"/>
                    <w:ind w:right="28"/>
                  </w:pPr>
                  <w:r w:rsidRPr="00C358C1">
                    <w:t>-0.008</w:t>
                  </w:r>
                </w:p>
              </w:tc>
            </w:tr>
            <w:tr w:rsidR="00C55A40" w:rsidTr="004C4BB2">
              <w:tc>
                <w:tcPr>
                  <w:tcW w:w="1842" w:type="pct"/>
                  <w:shd w:val="clear" w:color="auto" w:fill="auto"/>
                  <w:vAlign w:val="bottom"/>
                </w:tcPr>
                <w:p w:rsidR="00C55A40" w:rsidRDefault="00C55A40" w:rsidP="00C55A40">
                  <w:pPr>
                    <w:pStyle w:val="TableBodyText"/>
                    <w:jc w:val="left"/>
                  </w:pPr>
                  <w:r w:rsidRPr="00C358C1">
                    <w:t>Industry</w:t>
                  </w:r>
                </w:p>
              </w:tc>
              <w:tc>
                <w:tcPr>
                  <w:tcW w:w="632" w:type="pct"/>
                  <w:vAlign w:val="bottom"/>
                </w:tcPr>
                <w:p w:rsidR="00C55A40" w:rsidRDefault="00C55A40" w:rsidP="00C358C1">
                  <w:pPr>
                    <w:pStyle w:val="TableBodyText"/>
                    <w:ind w:right="28"/>
                  </w:pPr>
                  <w:r w:rsidRPr="00C358C1">
                    <w:t>-0.389</w:t>
                  </w:r>
                </w:p>
              </w:tc>
              <w:tc>
                <w:tcPr>
                  <w:tcW w:w="632" w:type="pct"/>
                  <w:shd w:val="clear" w:color="auto" w:fill="auto"/>
                  <w:vAlign w:val="bottom"/>
                </w:tcPr>
                <w:p w:rsidR="00C55A40" w:rsidRDefault="00C55A40" w:rsidP="00C358C1">
                  <w:pPr>
                    <w:pStyle w:val="TableBodyText"/>
                    <w:ind w:right="28"/>
                  </w:pPr>
                  <w:r w:rsidRPr="00C358C1">
                    <w:t>0.243</w:t>
                  </w:r>
                </w:p>
              </w:tc>
              <w:tc>
                <w:tcPr>
                  <w:tcW w:w="632" w:type="pct"/>
                  <w:shd w:val="clear" w:color="auto" w:fill="auto"/>
                  <w:vAlign w:val="bottom"/>
                </w:tcPr>
                <w:p w:rsidR="00C55A40" w:rsidRDefault="00C55A40" w:rsidP="00C55A40">
                  <w:pPr>
                    <w:pStyle w:val="TableBodyText"/>
                    <w:ind w:right="28"/>
                  </w:pPr>
                  <w:r w:rsidRPr="00C358C1">
                    <w:t>-0.914</w:t>
                  </w:r>
                </w:p>
              </w:tc>
              <w:tc>
                <w:tcPr>
                  <w:tcW w:w="632" w:type="pct"/>
                  <w:vAlign w:val="bottom"/>
                </w:tcPr>
                <w:p w:rsidR="00C55A40" w:rsidRDefault="00C55A40" w:rsidP="00C55A40">
                  <w:pPr>
                    <w:pStyle w:val="TableBodyText"/>
                    <w:ind w:right="28"/>
                  </w:pPr>
                  <w:r w:rsidRPr="00C358C1">
                    <w:t>-0.384</w:t>
                  </w:r>
                </w:p>
              </w:tc>
              <w:tc>
                <w:tcPr>
                  <w:tcW w:w="630" w:type="pct"/>
                  <w:vAlign w:val="bottom"/>
                </w:tcPr>
                <w:p w:rsidR="00C55A40" w:rsidRDefault="00C55A40" w:rsidP="00C55A40">
                  <w:pPr>
                    <w:pStyle w:val="TableBodyText"/>
                    <w:ind w:right="28"/>
                  </w:pPr>
                  <w:r w:rsidRPr="00C358C1">
                    <w:t>0.056</w:t>
                  </w:r>
                </w:p>
              </w:tc>
            </w:tr>
            <w:tr w:rsidR="00C55A40" w:rsidTr="00F76FED">
              <w:tc>
                <w:tcPr>
                  <w:tcW w:w="1842" w:type="pct"/>
                  <w:shd w:val="clear" w:color="auto" w:fill="F2F2F2" w:themeFill="background1" w:themeFillShade="F2"/>
                  <w:vAlign w:val="bottom"/>
                </w:tcPr>
                <w:p w:rsidR="00C55A40" w:rsidRDefault="00C55A40" w:rsidP="00C55A40">
                  <w:pPr>
                    <w:pStyle w:val="TableBodyText"/>
                    <w:jc w:val="left"/>
                  </w:pPr>
                  <w:r w:rsidRPr="00C358C1">
                    <w:t>Public</w:t>
                  </w:r>
                </w:p>
              </w:tc>
              <w:tc>
                <w:tcPr>
                  <w:tcW w:w="632" w:type="pct"/>
                  <w:shd w:val="clear" w:color="auto" w:fill="F2F2F2" w:themeFill="background1" w:themeFillShade="F2"/>
                  <w:vAlign w:val="bottom"/>
                </w:tcPr>
                <w:p w:rsidR="00C55A40" w:rsidRDefault="00C55A40" w:rsidP="00C358C1">
                  <w:pPr>
                    <w:pStyle w:val="TableBodyText"/>
                    <w:ind w:right="28"/>
                  </w:pPr>
                  <w:r w:rsidRPr="00C358C1">
                    <w:t>0.044</w:t>
                  </w:r>
                </w:p>
              </w:tc>
              <w:tc>
                <w:tcPr>
                  <w:tcW w:w="632" w:type="pct"/>
                  <w:shd w:val="clear" w:color="auto" w:fill="F2F2F2" w:themeFill="background1" w:themeFillShade="F2"/>
                  <w:vAlign w:val="bottom"/>
                </w:tcPr>
                <w:p w:rsidR="00C55A40" w:rsidRDefault="00C55A40" w:rsidP="00C358C1">
                  <w:pPr>
                    <w:pStyle w:val="TableBodyText"/>
                    <w:ind w:right="28"/>
                  </w:pPr>
                  <w:r w:rsidRPr="00C358C1">
                    <w:t>0.368</w:t>
                  </w:r>
                </w:p>
              </w:tc>
              <w:tc>
                <w:tcPr>
                  <w:tcW w:w="632" w:type="pct"/>
                  <w:shd w:val="clear" w:color="auto" w:fill="F2F2F2" w:themeFill="background1" w:themeFillShade="F2"/>
                  <w:vAlign w:val="bottom"/>
                </w:tcPr>
                <w:p w:rsidR="00C55A40" w:rsidRDefault="00C55A40" w:rsidP="00C55A40">
                  <w:pPr>
                    <w:pStyle w:val="TableBodyText"/>
                    <w:ind w:right="28"/>
                  </w:pPr>
                  <w:r w:rsidRPr="00C358C1">
                    <w:t>-0.673</w:t>
                  </w:r>
                </w:p>
              </w:tc>
              <w:tc>
                <w:tcPr>
                  <w:tcW w:w="632" w:type="pct"/>
                  <w:shd w:val="clear" w:color="auto" w:fill="F2F2F2" w:themeFill="background1" w:themeFillShade="F2"/>
                  <w:vAlign w:val="bottom"/>
                </w:tcPr>
                <w:p w:rsidR="00C55A40" w:rsidRDefault="00C55A40" w:rsidP="00C55A40">
                  <w:pPr>
                    <w:pStyle w:val="TableBodyText"/>
                    <w:ind w:right="28"/>
                  </w:pPr>
                  <w:r w:rsidRPr="00C358C1">
                    <w:t>0.041</w:t>
                  </w:r>
                </w:p>
              </w:tc>
              <w:tc>
                <w:tcPr>
                  <w:tcW w:w="630" w:type="pct"/>
                  <w:shd w:val="clear" w:color="auto" w:fill="F2F2F2" w:themeFill="background1" w:themeFillShade="F2"/>
                  <w:vAlign w:val="bottom"/>
                </w:tcPr>
                <w:p w:rsidR="00C55A40" w:rsidRDefault="00C55A40" w:rsidP="00C55A40">
                  <w:pPr>
                    <w:pStyle w:val="TableBodyText"/>
                    <w:ind w:right="28"/>
                  </w:pPr>
                  <w:r w:rsidRPr="00C358C1">
                    <w:t>0.725</w:t>
                  </w:r>
                </w:p>
              </w:tc>
            </w:tr>
            <w:tr w:rsidR="00C55A40" w:rsidTr="004C4BB2">
              <w:tc>
                <w:tcPr>
                  <w:tcW w:w="1842" w:type="pct"/>
                  <w:shd w:val="clear" w:color="auto" w:fill="auto"/>
                  <w:vAlign w:val="bottom"/>
                </w:tcPr>
                <w:p w:rsidR="00C55A40" w:rsidRDefault="00C55A40" w:rsidP="00C55A40">
                  <w:pPr>
                    <w:pStyle w:val="TableBodyText"/>
                    <w:jc w:val="left"/>
                  </w:pPr>
                  <w:r w:rsidRPr="00C358C1">
                    <w:t>Retail</w:t>
                  </w:r>
                </w:p>
              </w:tc>
              <w:tc>
                <w:tcPr>
                  <w:tcW w:w="632" w:type="pct"/>
                  <w:vAlign w:val="bottom"/>
                </w:tcPr>
                <w:p w:rsidR="00C55A40" w:rsidRDefault="00C55A40" w:rsidP="00C358C1">
                  <w:pPr>
                    <w:pStyle w:val="TableBodyText"/>
                    <w:ind w:right="28"/>
                  </w:pPr>
                  <w:r w:rsidRPr="00C358C1">
                    <w:t>-0.322</w:t>
                  </w:r>
                </w:p>
              </w:tc>
              <w:tc>
                <w:tcPr>
                  <w:tcW w:w="632" w:type="pct"/>
                  <w:shd w:val="clear" w:color="auto" w:fill="auto"/>
                  <w:vAlign w:val="bottom"/>
                </w:tcPr>
                <w:p w:rsidR="00C55A40" w:rsidRDefault="00C55A40" w:rsidP="00C358C1">
                  <w:pPr>
                    <w:pStyle w:val="TableBodyText"/>
                    <w:ind w:right="28"/>
                  </w:pPr>
                  <w:r w:rsidRPr="00C358C1">
                    <w:t>0.132</w:t>
                  </w:r>
                </w:p>
              </w:tc>
              <w:tc>
                <w:tcPr>
                  <w:tcW w:w="632" w:type="pct"/>
                  <w:shd w:val="clear" w:color="auto" w:fill="auto"/>
                  <w:vAlign w:val="bottom"/>
                </w:tcPr>
                <w:p w:rsidR="00C55A40" w:rsidRDefault="00C55A40" w:rsidP="00C55A40">
                  <w:pPr>
                    <w:pStyle w:val="TableBodyText"/>
                    <w:ind w:right="28"/>
                  </w:pPr>
                  <w:r w:rsidRPr="00C358C1">
                    <w:t>-0.592</w:t>
                  </w:r>
                </w:p>
              </w:tc>
              <w:tc>
                <w:tcPr>
                  <w:tcW w:w="632" w:type="pct"/>
                  <w:vAlign w:val="bottom"/>
                </w:tcPr>
                <w:p w:rsidR="00C55A40" w:rsidRDefault="00C55A40" w:rsidP="00C55A40">
                  <w:pPr>
                    <w:pStyle w:val="TableBodyText"/>
                    <w:ind w:right="28"/>
                  </w:pPr>
                  <w:r w:rsidRPr="00C358C1">
                    <w:t>-0.316</w:t>
                  </w:r>
                </w:p>
              </w:tc>
              <w:tc>
                <w:tcPr>
                  <w:tcW w:w="630" w:type="pct"/>
                  <w:vAlign w:val="bottom"/>
                </w:tcPr>
                <w:p w:rsidR="00C55A40" w:rsidRDefault="00C55A40" w:rsidP="00C55A40">
                  <w:pPr>
                    <w:pStyle w:val="TableBodyText"/>
                    <w:ind w:right="28"/>
                  </w:pPr>
                  <w:r w:rsidRPr="00C358C1">
                    <w:t>-0.077</w:t>
                  </w:r>
                </w:p>
              </w:tc>
            </w:tr>
            <w:tr w:rsidR="00C55A40" w:rsidTr="00F76FED">
              <w:tc>
                <w:tcPr>
                  <w:tcW w:w="1842" w:type="pct"/>
                  <w:shd w:val="clear" w:color="auto" w:fill="F2F2F2" w:themeFill="background1" w:themeFillShade="F2"/>
                  <w:vAlign w:val="bottom"/>
                </w:tcPr>
                <w:p w:rsidR="00C55A40" w:rsidRDefault="00C55A40" w:rsidP="00C55A40">
                  <w:pPr>
                    <w:pStyle w:val="TableBodyText"/>
                    <w:jc w:val="left"/>
                  </w:pPr>
                  <w:r w:rsidRPr="00C358C1">
                    <w:t>Industry x Assets</w:t>
                  </w:r>
                </w:p>
              </w:tc>
              <w:tc>
                <w:tcPr>
                  <w:tcW w:w="632" w:type="pct"/>
                  <w:shd w:val="clear" w:color="auto" w:fill="F2F2F2" w:themeFill="background1" w:themeFillShade="F2"/>
                  <w:vAlign w:val="bottom"/>
                </w:tcPr>
                <w:p w:rsidR="00C55A40" w:rsidRDefault="00C55A40" w:rsidP="00C358C1">
                  <w:pPr>
                    <w:pStyle w:val="TableBodyText"/>
                    <w:ind w:right="28"/>
                  </w:pPr>
                  <w:r w:rsidRPr="00C358C1">
                    <w:t>0.161</w:t>
                  </w:r>
                </w:p>
              </w:tc>
              <w:tc>
                <w:tcPr>
                  <w:tcW w:w="632" w:type="pct"/>
                  <w:shd w:val="clear" w:color="auto" w:fill="F2F2F2" w:themeFill="background1" w:themeFillShade="F2"/>
                  <w:vAlign w:val="bottom"/>
                </w:tcPr>
                <w:p w:rsidR="00C55A40" w:rsidRDefault="00C55A40" w:rsidP="00C358C1">
                  <w:pPr>
                    <w:pStyle w:val="TableBodyText"/>
                    <w:ind w:right="28"/>
                  </w:pPr>
                  <w:r w:rsidRPr="00C358C1">
                    <w:t>0.063</w:t>
                  </w:r>
                </w:p>
              </w:tc>
              <w:tc>
                <w:tcPr>
                  <w:tcW w:w="632" w:type="pct"/>
                  <w:shd w:val="clear" w:color="auto" w:fill="F2F2F2" w:themeFill="background1" w:themeFillShade="F2"/>
                  <w:vAlign w:val="bottom"/>
                </w:tcPr>
                <w:p w:rsidR="00C55A40" w:rsidRDefault="00C55A40" w:rsidP="00C55A40">
                  <w:pPr>
                    <w:pStyle w:val="TableBodyText"/>
                    <w:ind w:right="28"/>
                  </w:pPr>
                  <w:r w:rsidRPr="00C358C1">
                    <w:t>0.045</w:t>
                  </w:r>
                </w:p>
              </w:tc>
              <w:tc>
                <w:tcPr>
                  <w:tcW w:w="632" w:type="pct"/>
                  <w:shd w:val="clear" w:color="auto" w:fill="F2F2F2" w:themeFill="background1" w:themeFillShade="F2"/>
                  <w:vAlign w:val="bottom"/>
                </w:tcPr>
                <w:p w:rsidR="00C55A40" w:rsidRDefault="00C55A40" w:rsidP="00C55A40">
                  <w:pPr>
                    <w:pStyle w:val="TableBodyText"/>
                    <w:ind w:right="28"/>
                  </w:pPr>
                  <w:r w:rsidRPr="00C358C1">
                    <w:t>0.160</w:t>
                  </w:r>
                </w:p>
              </w:tc>
              <w:tc>
                <w:tcPr>
                  <w:tcW w:w="630" w:type="pct"/>
                  <w:shd w:val="clear" w:color="auto" w:fill="F2F2F2" w:themeFill="background1" w:themeFillShade="F2"/>
                  <w:vAlign w:val="bottom"/>
                </w:tcPr>
                <w:p w:rsidR="00C55A40" w:rsidRDefault="00C55A40" w:rsidP="00C55A40">
                  <w:pPr>
                    <w:pStyle w:val="TableBodyText"/>
                    <w:ind w:right="28"/>
                  </w:pPr>
                  <w:r w:rsidRPr="00C358C1">
                    <w:t>0.289</w:t>
                  </w:r>
                </w:p>
              </w:tc>
            </w:tr>
            <w:tr w:rsidR="00C55A40" w:rsidTr="004C4BB2">
              <w:tc>
                <w:tcPr>
                  <w:tcW w:w="1842" w:type="pct"/>
                  <w:shd w:val="clear" w:color="auto" w:fill="auto"/>
                  <w:vAlign w:val="bottom"/>
                </w:tcPr>
                <w:p w:rsidR="00C55A40" w:rsidRDefault="00C55A40" w:rsidP="00C55A40">
                  <w:pPr>
                    <w:pStyle w:val="TableBodyText"/>
                    <w:jc w:val="left"/>
                  </w:pPr>
                  <w:r w:rsidRPr="00C358C1">
                    <w:t>Public x Assets</w:t>
                  </w:r>
                </w:p>
              </w:tc>
              <w:tc>
                <w:tcPr>
                  <w:tcW w:w="632" w:type="pct"/>
                  <w:vAlign w:val="bottom"/>
                </w:tcPr>
                <w:p w:rsidR="00C55A40" w:rsidRDefault="00C55A40" w:rsidP="00C358C1">
                  <w:pPr>
                    <w:pStyle w:val="TableBodyText"/>
                    <w:ind w:right="28"/>
                  </w:pPr>
                  <w:r w:rsidRPr="00C358C1">
                    <w:t>0.076</w:t>
                  </w:r>
                </w:p>
              </w:tc>
              <w:tc>
                <w:tcPr>
                  <w:tcW w:w="632" w:type="pct"/>
                  <w:shd w:val="clear" w:color="auto" w:fill="auto"/>
                  <w:vAlign w:val="bottom"/>
                </w:tcPr>
                <w:p w:rsidR="00C55A40" w:rsidRDefault="00C55A40" w:rsidP="00C358C1">
                  <w:pPr>
                    <w:pStyle w:val="TableBodyText"/>
                    <w:ind w:right="28"/>
                  </w:pPr>
                  <w:r w:rsidRPr="00C358C1">
                    <w:t>0.102</w:t>
                  </w:r>
                </w:p>
              </w:tc>
              <w:tc>
                <w:tcPr>
                  <w:tcW w:w="632" w:type="pct"/>
                  <w:shd w:val="clear" w:color="auto" w:fill="auto"/>
                  <w:vAlign w:val="bottom"/>
                </w:tcPr>
                <w:p w:rsidR="00C55A40" w:rsidRDefault="00C55A40" w:rsidP="00C55A40">
                  <w:pPr>
                    <w:pStyle w:val="TableBodyText"/>
                    <w:ind w:right="28"/>
                  </w:pPr>
                  <w:r w:rsidRPr="00C358C1">
                    <w:t>-0.132</w:t>
                  </w:r>
                </w:p>
              </w:tc>
              <w:tc>
                <w:tcPr>
                  <w:tcW w:w="632" w:type="pct"/>
                  <w:vAlign w:val="bottom"/>
                </w:tcPr>
                <w:p w:rsidR="00C55A40" w:rsidRDefault="00C55A40" w:rsidP="00C55A40">
                  <w:pPr>
                    <w:pStyle w:val="TableBodyText"/>
                    <w:ind w:right="28"/>
                  </w:pPr>
                  <w:r w:rsidRPr="00C358C1">
                    <w:t>0.074</w:t>
                  </w:r>
                </w:p>
              </w:tc>
              <w:tc>
                <w:tcPr>
                  <w:tcW w:w="630" w:type="pct"/>
                  <w:vAlign w:val="bottom"/>
                </w:tcPr>
                <w:p w:rsidR="00C55A40" w:rsidRDefault="00C55A40" w:rsidP="00C55A40">
                  <w:pPr>
                    <w:pStyle w:val="TableBodyText"/>
                    <w:ind w:right="28"/>
                  </w:pPr>
                  <w:r w:rsidRPr="00C358C1">
                    <w:t>0.274</w:t>
                  </w:r>
                </w:p>
              </w:tc>
            </w:tr>
            <w:tr w:rsidR="00C55A40" w:rsidTr="00F76FED">
              <w:tc>
                <w:tcPr>
                  <w:tcW w:w="1842" w:type="pct"/>
                  <w:shd w:val="clear" w:color="auto" w:fill="F2F2F2" w:themeFill="background1" w:themeFillShade="F2"/>
                  <w:vAlign w:val="bottom"/>
                </w:tcPr>
                <w:p w:rsidR="00C55A40" w:rsidRDefault="00C55A40" w:rsidP="00C55A40">
                  <w:pPr>
                    <w:pStyle w:val="TableBodyText"/>
                    <w:jc w:val="left"/>
                  </w:pPr>
                  <w:r w:rsidRPr="00C358C1">
                    <w:t>Retail x Assets</w:t>
                  </w:r>
                </w:p>
              </w:tc>
              <w:tc>
                <w:tcPr>
                  <w:tcW w:w="632" w:type="pct"/>
                  <w:shd w:val="clear" w:color="auto" w:fill="F2F2F2" w:themeFill="background1" w:themeFillShade="F2"/>
                  <w:vAlign w:val="bottom"/>
                </w:tcPr>
                <w:p w:rsidR="00C55A40" w:rsidRDefault="00C55A40" w:rsidP="00C358C1">
                  <w:pPr>
                    <w:pStyle w:val="TableBodyText"/>
                    <w:ind w:right="28"/>
                  </w:pPr>
                  <w:r w:rsidRPr="00C358C1">
                    <w:t>0.228</w:t>
                  </w:r>
                </w:p>
              </w:tc>
              <w:tc>
                <w:tcPr>
                  <w:tcW w:w="632" w:type="pct"/>
                  <w:shd w:val="clear" w:color="auto" w:fill="F2F2F2" w:themeFill="background1" w:themeFillShade="F2"/>
                  <w:vAlign w:val="bottom"/>
                </w:tcPr>
                <w:p w:rsidR="00C55A40" w:rsidRDefault="00C55A40" w:rsidP="00C358C1">
                  <w:pPr>
                    <w:pStyle w:val="TableBodyText"/>
                    <w:ind w:right="28"/>
                  </w:pPr>
                  <w:r w:rsidRPr="00C358C1">
                    <w:t>0.048</w:t>
                  </w:r>
                </w:p>
              </w:tc>
              <w:tc>
                <w:tcPr>
                  <w:tcW w:w="632" w:type="pct"/>
                  <w:shd w:val="clear" w:color="auto" w:fill="F2F2F2" w:themeFill="background1" w:themeFillShade="F2"/>
                  <w:vAlign w:val="bottom"/>
                </w:tcPr>
                <w:p w:rsidR="00C55A40" w:rsidRDefault="00C55A40" w:rsidP="00C55A40">
                  <w:pPr>
                    <w:pStyle w:val="TableBodyText"/>
                    <w:ind w:right="28"/>
                  </w:pPr>
                  <w:r w:rsidRPr="00C358C1">
                    <w:t>0.136</w:t>
                  </w:r>
                </w:p>
              </w:tc>
              <w:tc>
                <w:tcPr>
                  <w:tcW w:w="632" w:type="pct"/>
                  <w:shd w:val="clear" w:color="auto" w:fill="F2F2F2" w:themeFill="background1" w:themeFillShade="F2"/>
                  <w:vAlign w:val="bottom"/>
                </w:tcPr>
                <w:p w:rsidR="00C55A40" w:rsidRDefault="00C55A40" w:rsidP="00C55A40">
                  <w:pPr>
                    <w:pStyle w:val="TableBodyText"/>
                    <w:ind w:right="28"/>
                  </w:pPr>
                  <w:r w:rsidRPr="00C358C1">
                    <w:t>0.228</w:t>
                  </w:r>
                </w:p>
              </w:tc>
              <w:tc>
                <w:tcPr>
                  <w:tcW w:w="630" w:type="pct"/>
                  <w:shd w:val="clear" w:color="auto" w:fill="F2F2F2" w:themeFill="background1" w:themeFillShade="F2"/>
                  <w:vAlign w:val="bottom"/>
                </w:tcPr>
                <w:p w:rsidR="00C55A40" w:rsidRDefault="00C55A40" w:rsidP="00C55A40">
                  <w:pPr>
                    <w:pStyle w:val="TableBodyText"/>
                    <w:ind w:right="28"/>
                  </w:pPr>
                  <w:r w:rsidRPr="00C358C1">
                    <w:t>0.325</w:t>
                  </w:r>
                </w:p>
              </w:tc>
            </w:tr>
            <w:tr w:rsidR="00C55A40" w:rsidTr="004C4BB2">
              <w:tc>
                <w:tcPr>
                  <w:tcW w:w="1842" w:type="pct"/>
                  <w:shd w:val="clear" w:color="auto" w:fill="auto"/>
                  <w:vAlign w:val="bottom"/>
                </w:tcPr>
                <w:p w:rsidR="00C55A40" w:rsidRDefault="00C55A40" w:rsidP="00C55A40">
                  <w:pPr>
                    <w:pStyle w:val="TableBodyText"/>
                    <w:jc w:val="left"/>
                  </w:pPr>
                  <w:r w:rsidRPr="00C358C1">
                    <w:t>Industry x Member accounts</w:t>
                  </w:r>
                </w:p>
              </w:tc>
              <w:tc>
                <w:tcPr>
                  <w:tcW w:w="632" w:type="pct"/>
                  <w:vAlign w:val="bottom"/>
                </w:tcPr>
                <w:p w:rsidR="00C55A40" w:rsidRDefault="00C55A40" w:rsidP="00C358C1">
                  <w:pPr>
                    <w:pStyle w:val="TableBodyText"/>
                    <w:ind w:right="28"/>
                  </w:pPr>
                  <w:r w:rsidRPr="00C358C1">
                    <w:t>-0.150</w:t>
                  </w:r>
                </w:p>
              </w:tc>
              <w:tc>
                <w:tcPr>
                  <w:tcW w:w="632" w:type="pct"/>
                  <w:shd w:val="clear" w:color="auto" w:fill="auto"/>
                  <w:vAlign w:val="bottom"/>
                </w:tcPr>
                <w:p w:rsidR="00C55A40" w:rsidRDefault="00C55A40" w:rsidP="00C358C1">
                  <w:pPr>
                    <w:pStyle w:val="TableBodyText"/>
                    <w:ind w:right="28"/>
                  </w:pPr>
                  <w:r w:rsidRPr="00C358C1">
                    <w:t>0.093</w:t>
                  </w:r>
                </w:p>
              </w:tc>
              <w:tc>
                <w:tcPr>
                  <w:tcW w:w="632" w:type="pct"/>
                  <w:shd w:val="clear" w:color="auto" w:fill="auto"/>
                  <w:vAlign w:val="bottom"/>
                </w:tcPr>
                <w:p w:rsidR="00C55A40" w:rsidRDefault="00C55A40" w:rsidP="00C55A40">
                  <w:pPr>
                    <w:pStyle w:val="TableBodyText"/>
                    <w:ind w:right="28"/>
                  </w:pPr>
                  <w:r w:rsidRPr="00C358C1">
                    <w:t>-0.343</w:t>
                  </w:r>
                </w:p>
              </w:tc>
              <w:tc>
                <w:tcPr>
                  <w:tcW w:w="632" w:type="pct"/>
                  <w:vAlign w:val="bottom"/>
                </w:tcPr>
                <w:p w:rsidR="00C55A40" w:rsidRDefault="00C55A40" w:rsidP="00C55A40">
                  <w:pPr>
                    <w:pStyle w:val="TableBodyText"/>
                    <w:ind w:right="28"/>
                  </w:pPr>
                  <w:r w:rsidRPr="00C358C1">
                    <w:t>-0.147</w:t>
                  </w:r>
                </w:p>
              </w:tc>
              <w:tc>
                <w:tcPr>
                  <w:tcW w:w="630" w:type="pct"/>
                  <w:vAlign w:val="bottom"/>
                </w:tcPr>
                <w:p w:rsidR="00C55A40" w:rsidRDefault="00C55A40" w:rsidP="00C55A40">
                  <w:pPr>
                    <w:pStyle w:val="TableBodyText"/>
                    <w:ind w:right="28"/>
                  </w:pPr>
                  <w:r w:rsidRPr="00C358C1">
                    <w:t>0.027</w:t>
                  </w:r>
                </w:p>
              </w:tc>
            </w:tr>
            <w:tr w:rsidR="00C55A40" w:rsidTr="00F76FED">
              <w:tc>
                <w:tcPr>
                  <w:tcW w:w="1842" w:type="pct"/>
                  <w:shd w:val="clear" w:color="auto" w:fill="F2F2F2" w:themeFill="background1" w:themeFillShade="F2"/>
                  <w:vAlign w:val="bottom"/>
                </w:tcPr>
                <w:p w:rsidR="00C55A40" w:rsidRDefault="00C55A40" w:rsidP="00C55A40">
                  <w:pPr>
                    <w:pStyle w:val="TableBodyText"/>
                    <w:jc w:val="left"/>
                  </w:pPr>
                  <w:r w:rsidRPr="00C358C1">
                    <w:t>Public x Member accounts</w:t>
                  </w:r>
                </w:p>
              </w:tc>
              <w:tc>
                <w:tcPr>
                  <w:tcW w:w="632" w:type="pct"/>
                  <w:shd w:val="clear" w:color="auto" w:fill="F2F2F2" w:themeFill="background1" w:themeFillShade="F2"/>
                  <w:vAlign w:val="bottom"/>
                </w:tcPr>
                <w:p w:rsidR="00C55A40" w:rsidRDefault="00C55A40" w:rsidP="00C358C1">
                  <w:pPr>
                    <w:pStyle w:val="TableBodyText"/>
                    <w:ind w:right="28"/>
                  </w:pPr>
                  <w:r w:rsidRPr="00C358C1">
                    <w:t>-0.179</w:t>
                  </w:r>
                </w:p>
              </w:tc>
              <w:tc>
                <w:tcPr>
                  <w:tcW w:w="632" w:type="pct"/>
                  <w:shd w:val="clear" w:color="auto" w:fill="F2F2F2" w:themeFill="background1" w:themeFillShade="F2"/>
                  <w:vAlign w:val="bottom"/>
                </w:tcPr>
                <w:p w:rsidR="00C55A40" w:rsidRDefault="00C55A40" w:rsidP="00C358C1">
                  <w:pPr>
                    <w:pStyle w:val="TableBodyText"/>
                    <w:ind w:right="28"/>
                  </w:pPr>
                  <w:r w:rsidRPr="00C358C1">
                    <w:t>0.155</w:t>
                  </w:r>
                </w:p>
              </w:tc>
              <w:tc>
                <w:tcPr>
                  <w:tcW w:w="632" w:type="pct"/>
                  <w:shd w:val="clear" w:color="auto" w:fill="F2F2F2" w:themeFill="background1" w:themeFillShade="F2"/>
                  <w:vAlign w:val="bottom"/>
                </w:tcPr>
                <w:p w:rsidR="00C55A40" w:rsidRDefault="00C55A40" w:rsidP="00C55A40">
                  <w:pPr>
                    <w:pStyle w:val="TableBodyText"/>
                    <w:ind w:right="28"/>
                  </w:pPr>
                  <w:r w:rsidRPr="00C358C1">
                    <w:t>-0.462</w:t>
                  </w:r>
                </w:p>
              </w:tc>
              <w:tc>
                <w:tcPr>
                  <w:tcW w:w="632" w:type="pct"/>
                  <w:shd w:val="clear" w:color="auto" w:fill="F2F2F2" w:themeFill="background1" w:themeFillShade="F2"/>
                  <w:vAlign w:val="bottom"/>
                </w:tcPr>
                <w:p w:rsidR="00C55A40" w:rsidRDefault="00C55A40" w:rsidP="00C55A40">
                  <w:pPr>
                    <w:pStyle w:val="TableBodyText"/>
                    <w:ind w:right="28"/>
                  </w:pPr>
                  <w:r w:rsidRPr="00C358C1">
                    <w:t>-0.185</w:t>
                  </w:r>
                </w:p>
              </w:tc>
              <w:tc>
                <w:tcPr>
                  <w:tcW w:w="630" w:type="pct"/>
                  <w:shd w:val="clear" w:color="auto" w:fill="F2F2F2" w:themeFill="background1" w:themeFillShade="F2"/>
                  <w:vAlign w:val="bottom"/>
                </w:tcPr>
                <w:p w:rsidR="00C55A40" w:rsidRDefault="00C55A40" w:rsidP="00C55A40">
                  <w:pPr>
                    <w:pStyle w:val="TableBodyText"/>
                    <w:ind w:right="28"/>
                  </w:pPr>
                  <w:r w:rsidRPr="00C358C1">
                    <w:t>0.132</w:t>
                  </w:r>
                </w:p>
              </w:tc>
            </w:tr>
            <w:tr w:rsidR="00C55A40" w:rsidTr="004C4BB2">
              <w:tc>
                <w:tcPr>
                  <w:tcW w:w="1842" w:type="pct"/>
                  <w:shd w:val="clear" w:color="auto" w:fill="auto"/>
                  <w:vAlign w:val="bottom"/>
                </w:tcPr>
                <w:p w:rsidR="00C55A40" w:rsidRDefault="00C55A40" w:rsidP="00C55A40">
                  <w:pPr>
                    <w:pStyle w:val="TableBodyText"/>
                    <w:jc w:val="left"/>
                  </w:pPr>
                  <w:r w:rsidRPr="00C358C1">
                    <w:t>Retail x Member accounts</w:t>
                  </w:r>
                </w:p>
              </w:tc>
              <w:tc>
                <w:tcPr>
                  <w:tcW w:w="632" w:type="pct"/>
                  <w:vAlign w:val="bottom"/>
                </w:tcPr>
                <w:p w:rsidR="00C55A40" w:rsidRDefault="00C55A40" w:rsidP="00C358C1">
                  <w:pPr>
                    <w:pStyle w:val="TableBodyText"/>
                    <w:ind w:right="28"/>
                  </w:pPr>
                  <w:r w:rsidRPr="00C358C1">
                    <w:t>-0.286</w:t>
                  </w:r>
                </w:p>
              </w:tc>
              <w:tc>
                <w:tcPr>
                  <w:tcW w:w="632" w:type="pct"/>
                  <w:shd w:val="clear" w:color="auto" w:fill="auto"/>
                  <w:vAlign w:val="bottom"/>
                </w:tcPr>
                <w:p w:rsidR="00C55A40" w:rsidRDefault="00C55A40" w:rsidP="00C358C1">
                  <w:pPr>
                    <w:pStyle w:val="TableBodyText"/>
                    <w:ind w:right="28"/>
                  </w:pPr>
                  <w:r w:rsidRPr="00C358C1">
                    <w:t>0.049</w:t>
                  </w:r>
                </w:p>
              </w:tc>
              <w:tc>
                <w:tcPr>
                  <w:tcW w:w="632" w:type="pct"/>
                  <w:shd w:val="clear" w:color="auto" w:fill="auto"/>
                  <w:vAlign w:val="bottom"/>
                </w:tcPr>
                <w:p w:rsidR="00C55A40" w:rsidRDefault="00C55A40" w:rsidP="00C55A40">
                  <w:pPr>
                    <w:pStyle w:val="TableBodyText"/>
                    <w:ind w:right="28"/>
                  </w:pPr>
                  <w:r w:rsidRPr="00C358C1">
                    <w:t>-0.380</w:t>
                  </w:r>
                </w:p>
              </w:tc>
              <w:tc>
                <w:tcPr>
                  <w:tcW w:w="632" w:type="pct"/>
                  <w:vAlign w:val="bottom"/>
                </w:tcPr>
                <w:p w:rsidR="00C55A40" w:rsidRDefault="00C55A40" w:rsidP="00C55A40">
                  <w:pPr>
                    <w:pStyle w:val="TableBodyText"/>
                    <w:ind w:right="28"/>
                  </w:pPr>
                  <w:r w:rsidRPr="00C358C1">
                    <w:t>-0.285</w:t>
                  </w:r>
                </w:p>
              </w:tc>
              <w:tc>
                <w:tcPr>
                  <w:tcW w:w="630" w:type="pct"/>
                  <w:vAlign w:val="bottom"/>
                </w:tcPr>
                <w:p w:rsidR="00C55A40" w:rsidRDefault="00C55A40" w:rsidP="00C55A40">
                  <w:pPr>
                    <w:pStyle w:val="TableBodyText"/>
                    <w:ind w:right="28"/>
                  </w:pPr>
                  <w:r w:rsidRPr="00C358C1">
                    <w:t>-0.193</w:t>
                  </w:r>
                </w:p>
              </w:tc>
            </w:tr>
            <w:tr w:rsidR="00C55A40" w:rsidTr="00F76FED">
              <w:tc>
                <w:tcPr>
                  <w:tcW w:w="1842" w:type="pct"/>
                  <w:shd w:val="clear" w:color="auto" w:fill="F2F2F2" w:themeFill="background1" w:themeFillShade="F2"/>
                  <w:vAlign w:val="bottom"/>
                </w:tcPr>
                <w:p w:rsidR="00C55A40" w:rsidRDefault="00C55A40" w:rsidP="00C55A40">
                  <w:pPr>
                    <w:pStyle w:val="TableBodyText"/>
                    <w:jc w:val="left"/>
                  </w:pPr>
                  <w:r w:rsidRPr="00C358C1">
                    <w:t>Intercept</w:t>
                  </w:r>
                </w:p>
              </w:tc>
              <w:tc>
                <w:tcPr>
                  <w:tcW w:w="632" w:type="pct"/>
                  <w:shd w:val="clear" w:color="auto" w:fill="F2F2F2" w:themeFill="background1" w:themeFillShade="F2"/>
                  <w:vAlign w:val="bottom"/>
                </w:tcPr>
                <w:p w:rsidR="00C55A40" w:rsidRDefault="00C55A40" w:rsidP="00C358C1">
                  <w:pPr>
                    <w:pStyle w:val="TableBodyText"/>
                    <w:ind w:right="28"/>
                  </w:pPr>
                  <w:r w:rsidRPr="00C358C1">
                    <w:t>-0.876</w:t>
                  </w:r>
                </w:p>
              </w:tc>
              <w:tc>
                <w:tcPr>
                  <w:tcW w:w="632" w:type="pct"/>
                  <w:shd w:val="clear" w:color="auto" w:fill="F2F2F2" w:themeFill="background1" w:themeFillShade="F2"/>
                  <w:vAlign w:val="bottom"/>
                </w:tcPr>
                <w:p w:rsidR="00C55A40" w:rsidRDefault="00C55A40" w:rsidP="00C358C1">
                  <w:pPr>
                    <w:pStyle w:val="TableBodyText"/>
                    <w:ind w:right="28"/>
                  </w:pPr>
                  <w:r w:rsidRPr="00C358C1">
                    <w:t>0.127</w:t>
                  </w:r>
                </w:p>
              </w:tc>
              <w:tc>
                <w:tcPr>
                  <w:tcW w:w="632" w:type="pct"/>
                  <w:shd w:val="clear" w:color="auto" w:fill="F2F2F2" w:themeFill="background1" w:themeFillShade="F2"/>
                  <w:vAlign w:val="bottom"/>
                </w:tcPr>
                <w:p w:rsidR="00C55A40" w:rsidRDefault="00C55A40" w:rsidP="00C55A40">
                  <w:pPr>
                    <w:pStyle w:val="TableBodyText"/>
                    <w:ind w:right="28"/>
                  </w:pPr>
                  <w:r w:rsidRPr="00C358C1">
                    <w:t>-1.115</w:t>
                  </w:r>
                </w:p>
              </w:tc>
              <w:tc>
                <w:tcPr>
                  <w:tcW w:w="632" w:type="pct"/>
                  <w:shd w:val="clear" w:color="auto" w:fill="F2F2F2" w:themeFill="background1" w:themeFillShade="F2"/>
                  <w:vAlign w:val="bottom"/>
                </w:tcPr>
                <w:p w:rsidR="00C55A40" w:rsidRDefault="00C55A40" w:rsidP="00C55A40">
                  <w:pPr>
                    <w:pStyle w:val="TableBodyText"/>
                    <w:ind w:right="28"/>
                  </w:pPr>
                  <w:r w:rsidRPr="00C358C1">
                    <w:t>-0.876</w:t>
                  </w:r>
                </w:p>
              </w:tc>
              <w:tc>
                <w:tcPr>
                  <w:tcW w:w="630" w:type="pct"/>
                  <w:shd w:val="clear" w:color="auto" w:fill="F2F2F2" w:themeFill="background1" w:themeFillShade="F2"/>
                  <w:vAlign w:val="bottom"/>
                </w:tcPr>
                <w:p w:rsidR="00C55A40" w:rsidRDefault="00C55A40" w:rsidP="00C55A40">
                  <w:pPr>
                    <w:pStyle w:val="TableBodyText"/>
                    <w:ind w:right="28"/>
                  </w:pPr>
                  <w:r w:rsidRPr="00C358C1">
                    <w:t>-0.628</w:t>
                  </w:r>
                </w:p>
              </w:tc>
            </w:tr>
            <w:tr w:rsidR="00C55A40" w:rsidTr="004C4BB2">
              <w:tc>
                <w:tcPr>
                  <w:tcW w:w="1842" w:type="pct"/>
                  <w:shd w:val="clear" w:color="auto" w:fill="auto"/>
                  <w:vAlign w:val="bottom"/>
                </w:tcPr>
                <w:p w:rsidR="00C55A40" w:rsidRDefault="00C55A40" w:rsidP="00C55A40">
                  <w:pPr>
                    <w:pStyle w:val="TableBodyText"/>
                    <w:jc w:val="left"/>
                  </w:pPr>
                  <w:r w:rsidRPr="00C358C1">
                    <w:t>SD of varying Intercept</w:t>
                  </w:r>
                </w:p>
              </w:tc>
              <w:tc>
                <w:tcPr>
                  <w:tcW w:w="632" w:type="pct"/>
                  <w:vAlign w:val="bottom"/>
                </w:tcPr>
                <w:p w:rsidR="00C55A40" w:rsidRDefault="00C55A40" w:rsidP="00C358C1">
                  <w:pPr>
                    <w:pStyle w:val="TableBodyText"/>
                    <w:ind w:right="28"/>
                  </w:pPr>
                  <w:r w:rsidRPr="00C358C1">
                    <w:t>0.979</w:t>
                  </w:r>
                </w:p>
              </w:tc>
              <w:tc>
                <w:tcPr>
                  <w:tcW w:w="632" w:type="pct"/>
                  <w:shd w:val="clear" w:color="auto" w:fill="auto"/>
                  <w:vAlign w:val="bottom"/>
                </w:tcPr>
                <w:p w:rsidR="00C55A40" w:rsidRDefault="00C55A40" w:rsidP="00C358C1">
                  <w:pPr>
                    <w:pStyle w:val="TableBodyText"/>
                    <w:ind w:right="28"/>
                  </w:pPr>
                  <w:r w:rsidRPr="00C358C1">
                    <w:t>0.132</w:t>
                  </w:r>
                </w:p>
              </w:tc>
              <w:tc>
                <w:tcPr>
                  <w:tcW w:w="632" w:type="pct"/>
                  <w:shd w:val="clear" w:color="auto" w:fill="auto"/>
                  <w:vAlign w:val="bottom"/>
                </w:tcPr>
                <w:p w:rsidR="00C55A40" w:rsidRDefault="00C55A40" w:rsidP="00C55A40">
                  <w:pPr>
                    <w:pStyle w:val="TableBodyText"/>
                    <w:ind w:right="28"/>
                  </w:pPr>
                  <w:r w:rsidRPr="00C358C1">
                    <w:t>0.735</w:t>
                  </w:r>
                </w:p>
              </w:tc>
              <w:tc>
                <w:tcPr>
                  <w:tcW w:w="632" w:type="pct"/>
                  <w:vAlign w:val="bottom"/>
                </w:tcPr>
                <w:p w:rsidR="00C55A40" w:rsidRDefault="00C55A40" w:rsidP="00C55A40">
                  <w:pPr>
                    <w:pStyle w:val="TableBodyText"/>
                    <w:ind w:right="28"/>
                  </w:pPr>
                  <w:r w:rsidRPr="00C358C1">
                    <w:t>0.976</w:t>
                  </w:r>
                </w:p>
              </w:tc>
              <w:tc>
                <w:tcPr>
                  <w:tcW w:w="630" w:type="pct"/>
                  <w:vAlign w:val="bottom"/>
                </w:tcPr>
                <w:p w:rsidR="00C55A40" w:rsidRDefault="00C55A40" w:rsidP="00C55A40">
                  <w:pPr>
                    <w:pStyle w:val="TableBodyText"/>
                    <w:ind w:right="28"/>
                  </w:pPr>
                  <w:r w:rsidRPr="00C358C1">
                    <w:t>1.243</w:t>
                  </w:r>
                </w:p>
              </w:tc>
            </w:tr>
            <w:tr w:rsidR="00C55A40" w:rsidTr="00F76FED">
              <w:tc>
                <w:tcPr>
                  <w:tcW w:w="1842" w:type="pct"/>
                  <w:shd w:val="clear" w:color="auto" w:fill="F2F2F2" w:themeFill="background1" w:themeFillShade="F2"/>
                  <w:vAlign w:val="bottom"/>
                </w:tcPr>
                <w:p w:rsidR="00C55A40" w:rsidRDefault="00C55A40" w:rsidP="00C55A40">
                  <w:pPr>
                    <w:pStyle w:val="TableBodyText"/>
                    <w:jc w:val="left"/>
                  </w:pPr>
                  <w:r w:rsidRPr="00C358C1">
                    <w:t xml:space="preserve">SD of varying </w:t>
                  </w:r>
                  <w:r w:rsidR="002640CD">
                    <w:t xml:space="preserve">slope: </w:t>
                  </w:r>
                  <w:r w:rsidRPr="00C358C1">
                    <w:t>Assets</w:t>
                  </w:r>
                </w:p>
              </w:tc>
              <w:tc>
                <w:tcPr>
                  <w:tcW w:w="632" w:type="pct"/>
                  <w:shd w:val="clear" w:color="auto" w:fill="F2F2F2" w:themeFill="background1" w:themeFillShade="F2"/>
                  <w:vAlign w:val="bottom"/>
                </w:tcPr>
                <w:p w:rsidR="00C55A40" w:rsidRDefault="00C55A40" w:rsidP="00C358C1">
                  <w:pPr>
                    <w:pStyle w:val="TableBodyText"/>
                    <w:ind w:right="28"/>
                  </w:pPr>
                  <w:r w:rsidRPr="00C358C1">
                    <w:t>0.208</w:t>
                  </w:r>
                </w:p>
              </w:tc>
              <w:tc>
                <w:tcPr>
                  <w:tcW w:w="632" w:type="pct"/>
                  <w:shd w:val="clear" w:color="auto" w:fill="F2F2F2" w:themeFill="background1" w:themeFillShade="F2"/>
                  <w:vAlign w:val="bottom"/>
                </w:tcPr>
                <w:p w:rsidR="00C55A40" w:rsidRDefault="00C55A40" w:rsidP="00C358C1">
                  <w:pPr>
                    <w:pStyle w:val="TableBodyText"/>
                    <w:ind w:right="28"/>
                  </w:pPr>
                  <w:r w:rsidRPr="00C358C1">
                    <w:t>0.036</w:t>
                  </w:r>
                </w:p>
              </w:tc>
              <w:tc>
                <w:tcPr>
                  <w:tcW w:w="632" w:type="pct"/>
                  <w:shd w:val="clear" w:color="auto" w:fill="F2F2F2" w:themeFill="background1" w:themeFillShade="F2"/>
                  <w:vAlign w:val="bottom"/>
                </w:tcPr>
                <w:p w:rsidR="00C55A40" w:rsidRDefault="00C55A40" w:rsidP="00C55A40">
                  <w:pPr>
                    <w:pStyle w:val="TableBodyText"/>
                    <w:ind w:right="28"/>
                  </w:pPr>
                  <w:r w:rsidRPr="00C358C1">
                    <w:t>0.142</w:t>
                  </w:r>
                </w:p>
              </w:tc>
              <w:tc>
                <w:tcPr>
                  <w:tcW w:w="632" w:type="pct"/>
                  <w:shd w:val="clear" w:color="auto" w:fill="F2F2F2" w:themeFill="background1" w:themeFillShade="F2"/>
                  <w:vAlign w:val="bottom"/>
                </w:tcPr>
                <w:p w:rsidR="00C55A40" w:rsidRDefault="00C55A40" w:rsidP="00C55A40">
                  <w:pPr>
                    <w:pStyle w:val="TableBodyText"/>
                    <w:ind w:right="28"/>
                  </w:pPr>
                  <w:r w:rsidRPr="00C358C1">
                    <w:t>0.207</w:t>
                  </w:r>
                </w:p>
              </w:tc>
              <w:tc>
                <w:tcPr>
                  <w:tcW w:w="630" w:type="pct"/>
                  <w:shd w:val="clear" w:color="auto" w:fill="F2F2F2" w:themeFill="background1" w:themeFillShade="F2"/>
                  <w:vAlign w:val="bottom"/>
                </w:tcPr>
                <w:p w:rsidR="00C55A40" w:rsidRDefault="00C55A40" w:rsidP="00C55A40">
                  <w:pPr>
                    <w:pStyle w:val="TableBodyText"/>
                    <w:ind w:right="28"/>
                  </w:pPr>
                  <w:r w:rsidRPr="00C358C1">
                    <w:t>0.277</w:t>
                  </w:r>
                </w:p>
              </w:tc>
            </w:tr>
            <w:tr w:rsidR="00C55A40" w:rsidTr="004C4BB2">
              <w:tc>
                <w:tcPr>
                  <w:tcW w:w="1842" w:type="pct"/>
                  <w:tcBorders>
                    <w:bottom w:val="single" w:sz="6" w:space="0" w:color="BFBFBF" w:themeColor="background1" w:themeShade="BF"/>
                  </w:tcBorders>
                  <w:shd w:val="clear" w:color="auto" w:fill="auto"/>
                  <w:vAlign w:val="bottom"/>
                </w:tcPr>
                <w:p w:rsidR="00C55A40" w:rsidRDefault="00C55A40" w:rsidP="00C55A40">
                  <w:pPr>
                    <w:pStyle w:val="TableBodyText"/>
                    <w:jc w:val="left"/>
                  </w:pPr>
                  <w:r w:rsidRPr="00C358C1">
                    <w:t xml:space="preserve">SD of varying </w:t>
                  </w:r>
                  <w:r w:rsidR="002640CD">
                    <w:t xml:space="preserve">slope: </w:t>
                  </w:r>
                  <w:r w:rsidRPr="00C358C1">
                    <w:t xml:space="preserve">Member </w:t>
                  </w:r>
                  <w:r w:rsidR="002640CD">
                    <w:t>accounts</w:t>
                  </w:r>
                </w:p>
              </w:tc>
              <w:tc>
                <w:tcPr>
                  <w:tcW w:w="632" w:type="pct"/>
                  <w:tcBorders>
                    <w:bottom w:val="single" w:sz="6" w:space="0" w:color="BFBFBF" w:themeColor="background1" w:themeShade="BF"/>
                  </w:tcBorders>
                  <w:vAlign w:val="bottom"/>
                </w:tcPr>
                <w:p w:rsidR="00C55A40" w:rsidRDefault="00C55A40" w:rsidP="00C358C1">
                  <w:pPr>
                    <w:pStyle w:val="TableBodyText"/>
                    <w:ind w:right="28"/>
                  </w:pPr>
                  <w:r w:rsidRPr="00C358C1">
                    <w:t>0.205</w:t>
                  </w:r>
                </w:p>
              </w:tc>
              <w:tc>
                <w:tcPr>
                  <w:tcW w:w="632" w:type="pct"/>
                  <w:tcBorders>
                    <w:bottom w:val="single" w:sz="6" w:space="0" w:color="BFBFBF" w:themeColor="background1" w:themeShade="BF"/>
                  </w:tcBorders>
                  <w:shd w:val="clear" w:color="auto" w:fill="auto"/>
                  <w:vAlign w:val="bottom"/>
                </w:tcPr>
                <w:p w:rsidR="00C55A40" w:rsidRDefault="00C55A40" w:rsidP="00C358C1">
                  <w:pPr>
                    <w:pStyle w:val="TableBodyText"/>
                    <w:ind w:right="28"/>
                  </w:pPr>
                  <w:r w:rsidRPr="00C358C1">
                    <w:t>0.031</w:t>
                  </w:r>
                </w:p>
              </w:tc>
              <w:tc>
                <w:tcPr>
                  <w:tcW w:w="632" w:type="pct"/>
                  <w:tcBorders>
                    <w:bottom w:val="single" w:sz="6" w:space="0" w:color="BFBFBF" w:themeColor="background1" w:themeShade="BF"/>
                  </w:tcBorders>
                  <w:shd w:val="clear" w:color="auto" w:fill="auto"/>
                  <w:vAlign w:val="bottom"/>
                </w:tcPr>
                <w:p w:rsidR="00C55A40" w:rsidRDefault="00C55A40" w:rsidP="00C55A40">
                  <w:pPr>
                    <w:pStyle w:val="TableBodyText"/>
                    <w:ind w:right="28"/>
                  </w:pPr>
                  <w:r w:rsidRPr="00C358C1">
                    <w:t>0.151</w:t>
                  </w:r>
                </w:p>
              </w:tc>
              <w:tc>
                <w:tcPr>
                  <w:tcW w:w="632" w:type="pct"/>
                  <w:tcBorders>
                    <w:bottom w:val="single" w:sz="6" w:space="0" w:color="BFBFBF" w:themeColor="background1" w:themeShade="BF"/>
                  </w:tcBorders>
                  <w:vAlign w:val="bottom"/>
                </w:tcPr>
                <w:p w:rsidR="00C55A40" w:rsidRDefault="00C55A40" w:rsidP="00C55A40">
                  <w:pPr>
                    <w:pStyle w:val="TableBodyText"/>
                    <w:ind w:right="28"/>
                  </w:pPr>
                  <w:r w:rsidRPr="00C358C1">
                    <w:t>0.202</w:t>
                  </w:r>
                </w:p>
              </w:tc>
              <w:tc>
                <w:tcPr>
                  <w:tcW w:w="630" w:type="pct"/>
                  <w:tcBorders>
                    <w:bottom w:val="single" w:sz="6" w:space="0" w:color="BFBFBF" w:themeColor="background1" w:themeShade="BF"/>
                  </w:tcBorders>
                  <w:vAlign w:val="bottom"/>
                </w:tcPr>
                <w:p w:rsidR="00C55A40" w:rsidRDefault="00C55A40" w:rsidP="00C55A40">
                  <w:pPr>
                    <w:pStyle w:val="TableBodyText"/>
                    <w:ind w:right="28"/>
                  </w:pPr>
                  <w:r w:rsidRPr="00C358C1">
                    <w:t>0.272</w:t>
                  </w:r>
                </w:p>
              </w:tc>
            </w:tr>
          </w:tbl>
          <w:p w:rsidR="00917F62" w:rsidRDefault="00917F62" w:rsidP="00917F62">
            <w:pPr>
              <w:pStyle w:val="Box"/>
            </w:pPr>
          </w:p>
        </w:tc>
      </w:tr>
      <w:tr w:rsidR="00917F62" w:rsidTr="00917F62">
        <w:tc>
          <w:tcPr>
            <w:tcW w:w="5000" w:type="pct"/>
            <w:tcBorders>
              <w:top w:val="nil"/>
              <w:left w:val="nil"/>
              <w:bottom w:val="nil"/>
              <w:right w:val="nil"/>
            </w:tcBorders>
            <w:shd w:val="clear" w:color="auto" w:fill="auto"/>
          </w:tcPr>
          <w:p w:rsidR="00917F62" w:rsidRDefault="00164D81" w:rsidP="004C4BB2">
            <w:pPr>
              <w:pStyle w:val="Continued"/>
            </w:pPr>
            <w:r w:rsidRPr="004C4BB2">
              <w:t>(continued next page)</w:t>
            </w:r>
          </w:p>
        </w:tc>
      </w:tr>
      <w:tr w:rsidR="00917F62" w:rsidTr="00917F62">
        <w:tc>
          <w:tcPr>
            <w:tcW w:w="5000" w:type="pct"/>
            <w:tcBorders>
              <w:top w:val="nil"/>
              <w:left w:val="nil"/>
              <w:bottom w:val="single" w:sz="6" w:space="0" w:color="78A22F"/>
              <w:right w:val="nil"/>
            </w:tcBorders>
            <w:shd w:val="clear" w:color="auto" w:fill="auto"/>
          </w:tcPr>
          <w:p w:rsidR="00917F62" w:rsidRDefault="00917F62" w:rsidP="00917F62">
            <w:pPr>
              <w:pStyle w:val="Box"/>
              <w:spacing w:before="0" w:line="120" w:lineRule="exact"/>
            </w:pPr>
          </w:p>
        </w:tc>
      </w:tr>
      <w:tr w:rsidR="00917F62" w:rsidRPr="000863A5" w:rsidTr="00917F62">
        <w:tc>
          <w:tcPr>
            <w:tcW w:w="5000" w:type="pct"/>
            <w:tcBorders>
              <w:top w:val="single" w:sz="6" w:space="0" w:color="78A22F"/>
              <w:left w:val="nil"/>
              <w:bottom w:val="nil"/>
              <w:right w:val="nil"/>
            </w:tcBorders>
          </w:tcPr>
          <w:p w:rsidR="00917F62" w:rsidRPr="00626D32" w:rsidRDefault="00917F62" w:rsidP="00917F62">
            <w:pPr>
              <w:pStyle w:val="BoxSpaceBelow"/>
            </w:pPr>
          </w:p>
        </w:tc>
      </w:tr>
    </w:tbl>
    <w:p w:rsidR="00137EEB" w:rsidRDefault="00137EEB" w:rsidP="00872B1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37EEB" w:rsidTr="00872B1A">
        <w:trPr>
          <w:tblHeader/>
        </w:trPr>
        <w:tc>
          <w:tcPr>
            <w:tcW w:w="5000" w:type="pct"/>
            <w:tcBorders>
              <w:top w:val="single" w:sz="6" w:space="0" w:color="78A22F"/>
              <w:left w:val="nil"/>
              <w:bottom w:val="nil"/>
              <w:right w:val="nil"/>
            </w:tcBorders>
            <w:shd w:val="clear" w:color="auto" w:fill="auto"/>
          </w:tcPr>
          <w:p w:rsidR="00137EEB" w:rsidRPr="00784A05" w:rsidRDefault="00137EEB" w:rsidP="0041071F">
            <w:pPr>
              <w:pStyle w:val="TableTitle"/>
            </w:pPr>
            <w:r>
              <w:rPr>
                <w:b w:val="0"/>
              </w:rPr>
              <w:t xml:space="preserve">Table </w:t>
            </w:r>
            <w:r w:rsidR="00F76FED">
              <w:rPr>
                <w:b w:val="0"/>
              </w:rPr>
              <w:t>E</w:t>
            </w:r>
            <w:r w:rsidR="0041071F">
              <w:rPr>
                <w:b w:val="0"/>
              </w:rPr>
              <w:t>.1</w:t>
            </w:r>
            <w:r>
              <w:tab/>
            </w:r>
            <w:r w:rsidR="0040665D" w:rsidRPr="004C4BB2">
              <w:rPr>
                <w:b w:val="0"/>
                <w:sz w:val="18"/>
                <w:szCs w:val="18"/>
              </w:rPr>
              <w:t>(continued)</w:t>
            </w:r>
          </w:p>
        </w:tc>
      </w:tr>
      <w:tr w:rsidR="00137EEB" w:rsidTr="00872B1A">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40665D" w:rsidTr="00F76FED">
              <w:tc>
                <w:tcPr>
                  <w:tcW w:w="1842" w:type="pct"/>
                  <w:tcBorders>
                    <w:top w:val="single" w:sz="4" w:space="0" w:color="BFBFBF"/>
                    <w:bottom w:val="single" w:sz="6" w:space="0" w:color="BFBFBF" w:themeColor="background1" w:themeShade="BF"/>
                  </w:tcBorders>
                  <w:shd w:val="clear" w:color="auto" w:fill="auto"/>
                </w:tcPr>
                <w:p w:rsidR="0040665D" w:rsidRDefault="0040665D" w:rsidP="004C4BB2">
                  <w:pPr>
                    <w:pStyle w:val="TableColumnHeading"/>
                    <w:jc w:val="left"/>
                    <w:rPr>
                      <w:b/>
                    </w:rPr>
                  </w:pPr>
                  <w:r>
                    <w:t>Parameter</w:t>
                  </w:r>
                </w:p>
              </w:tc>
              <w:tc>
                <w:tcPr>
                  <w:tcW w:w="632" w:type="pct"/>
                  <w:tcBorders>
                    <w:top w:val="single" w:sz="4" w:space="0" w:color="BFBFBF"/>
                    <w:bottom w:val="single" w:sz="6" w:space="0" w:color="BFBFBF" w:themeColor="background1" w:themeShade="BF"/>
                  </w:tcBorders>
                </w:tcPr>
                <w:p w:rsidR="0040665D" w:rsidRDefault="0040665D" w:rsidP="004C4BB2">
                  <w:pPr>
                    <w:pStyle w:val="TableColumnHeading"/>
                  </w:pPr>
                  <w:r>
                    <w:t>Mean</w:t>
                  </w:r>
                </w:p>
              </w:tc>
              <w:tc>
                <w:tcPr>
                  <w:tcW w:w="632" w:type="pct"/>
                  <w:tcBorders>
                    <w:top w:val="single" w:sz="4" w:space="0" w:color="BFBFBF"/>
                    <w:bottom w:val="single" w:sz="6" w:space="0" w:color="BFBFBF" w:themeColor="background1" w:themeShade="BF"/>
                  </w:tcBorders>
                  <w:shd w:val="clear" w:color="auto" w:fill="auto"/>
                </w:tcPr>
                <w:p w:rsidR="0040665D" w:rsidRDefault="0040665D" w:rsidP="004C4BB2">
                  <w:pPr>
                    <w:pStyle w:val="TableColumnHeading"/>
                  </w:pPr>
                  <w:r>
                    <w:t>Standard deviation</w:t>
                  </w:r>
                </w:p>
              </w:tc>
              <w:tc>
                <w:tcPr>
                  <w:tcW w:w="632" w:type="pct"/>
                  <w:tcBorders>
                    <w:top w:val="single" w:sz="4" w:space="0" w:color="BFBFBF"/>
                    <w:bottom w:val="single" w:sz="6" w:space="0" w:color="BFBFBF" w:themeColor="background1" w:themeShade="BF"/>
                  </w:tcBorders>
                  <w:shd w:val="clear" w:color="auto" w:fill="auto"/>
                </w:tcPr>
                <w:p w:rsidR="0040665D" w:rsidRDefault="0040665D" w:rsidP="004C4BB2">
                  <w:pPr>
                    <w:pStyle w:val="TableColumnHeading"/>
                  </w:pPr>
                  <w:r>
                    <w:t>2.5 percentile</w:t>
                  </w:r>
                </w:p>
              </w:tc>
              <w:tc>
                <w:tcPr>
                  <w:tcW w:w="632" w:type="pct"/>
                  <w:tcBorders>
                    <w:top w:val="single" w:sz="4" w:space="0" w:color="BFBFBF"/>
                    <w:bottom w:val="single" w:sz="6" w:space="0" w:color="BFBFBF" w:themeColor="background1" w:themeShade="BF"/>
                  </w:tcBorders>
                </w:tcPr>
                <w:p w:rsidR="0040665D" w:rsidRDefault="0040665D" w:rsidP="004C4BB2">
                  <w:pPr>
                    <w:pStyle w:val="TableColumnHeading"/>
                  </w:pPr>
                  <w:r>
                    <w:t>Median</w:t>
                  </w:r>
                </w:p>
              </w:tc>
              <w:tc>
                <w:tcPr>
                  <w:tcW w:w="632" w:type="pct"/>
                  <w:tcBorders>
                    <w:top w:val="single" w:sz="4" w:space="0" w:color="BFBFBF"/>
                    <w:bottom w:val="single" w:sz="6" w:space="0" w:color="BFBFBF" w:themeColor="background1" w:themeShade="BF"/>
                  </w:tcBorders>
                </w:tcPr>
                <w:p w:rsidR="0040665D" w:rsidRDefault="0040665D" w:rsidP="004C4BB2">
                  <w:pPr>
                    <w:pStyle w:val="TableColumnHeading"/>
                  </w:pPr>
                  <w:r>
                    <w:t>97.5 percentile</w:t>
                  </w:r>
                </w:p>
              </w:tc>
            </w:tr>
            <w:tr w:rsidR="0040665D" w:rsidTr="00F76FED">
              <w:tc>
                <w:tcPr>
                  <w:tcW w:w="1842" w:type="pct"/>
                  <w:tcBorders>
                    <w:top w:val="single" w:sz="6" w:space="0" w:color="BFBFBF" w:themeColor="background1" w:themeShade="BF"/>
                  </w:tcBorders>
                  <w:shd w:val="clear" w:color="auto" w:fill="BFBFBF" w:themeFill="background1" w:themeFillShade="BF"/>
                </w:tcPr>
                <w:p w:rsidR="0040665D" w:rsidRPr="0099011F" w:rsidRDefault="0040665D" w:rsidP="0040665D">
                  <w:pPr>
                    <w:pStyle w:val="TableBodyText"/>
                    <w:jc w:val="left"/>
                    <w:rPr>
                      <w:b/>
                    </w:rPr>
                  </w:pPr>
                  <w:r w:rsidRPr="0099011F">
                    <w:rPr>
                      <w:b/>
                    </w:rPr>
                    <w:t>Investment</w:t>
                  </w:r>
                </w:p>
              </w:tc>
              <w:tc>
                <w:tcPr>
                  <w:tcW w:w="632" w:type="pct"/>
                  <w:tcBorders>
                    <w:top w:val="single" w:sz="6" w:space="0" w:color="BFBFBF" w:themeColor="background1" w:themeShade="BF"/>
                  </w:tcBorders>
                  <w:shd w:val="clear" w:color="auto" w:fill="BFBFBF" w:themeFill="background1" w:themeFillShade="BF"/>
                </w:tcPr>
                <w:p w:rsidR="0040665D" w:rsidRDefault="0040665D" w:rsidP="0040665D">
                  <w:pPr>
                    <w:pStyle w:val="TableBodyText"/>
                  </w:pPr>
                </w:p>
              </w:tc>
              <w:tc>
                <w:tcPr>
                  <w:tcW w:w="632" w:type="pct"/>
                  <w:tcBorders>
                    <w:top w:val="single" w:sz="6" w:space="0" w:color="BFBFBF" w:themeColor="background1" w:themeShade="BF"/>
                  </w:tcBorders>
                  <w:shd w:val="clear" w:color="auto" w:fill="BFBFBF" w:themeFill="background1" w:themeFillShade="BF"/>
                </w:tcPr>
                <w:p w:rsidR="0040665D" w:rsidRDefault="0040665D" w:rsidP="0040665D">
                  <w:pPr>
                    <w:pStyle w:val="TableBodyText"/>
                  </w:pPr>
                </w:p>
              </w:tc>
              <w:tc>
                <w:tcPr>
                  <w:tcW w:w="632" w:type="pct"/>
                  <w:tcBorders>
                    <w:top w:val="single" w:sz="6" w:space="0" w:color="BFBFBF" w:themeColor="background1" w:themeShade="BF"/>
                  </w:tcBorders>
                  <w:shd w:val="clear" w:color="auto" w:fill="BFBFBF" w:themeFill="background1" w:themeFillShade="BF"/>
                </w:tcPr>
                <w:p w:rsidR="0040665D" w:rsidRDefault="0040665D" w:rsidP="0040665D">
                  <w:pPr>
                    <w:pStyle w:val="TableBodyText"/>
                    <w:ind w:right="28"/>
                  </w:pPr>
                </w:p>
              </w:tc>
              <w:tc>
                <w:tcPr>
                  <w:tcW w:w="632" w:type="pct"/>
                  <w:tcBorders>
                    <w:top w:val="single" w:sz="6" w:space="0" w:color="BFBFBF" w:themeColor="background1" w:themeShade="BF"/>
                  </w:tcBorders>
                  <w:shd w:val="clear" w:color="auto" w:fill="BFBFBF" w:themeFill="background1" w:themeFillShade="BF"/>
                </w:tcPr>
                <w:p w:rsidR="0040665D" w:rsidRDefault="0040665D" w:rsidP="0040665D">
                  <w:pPr>
                    <w:pStyle w:val="TableBodyText"/>
                    <w:ind w:right="28"/>
                  </w:pPr>
                </w:p>
              </w:tc>
              <w:tc>
                <w:tcPr>
                  <w:tcW w:w="632" w:type="pct"/>
                  <w:tcBorders>
                    <w:top w:val="single" w:sz="6" w:space="0" w:color="BFBFBF" w:themeColor="background1" w:themeShade="BF"/>
                  </w:tcBorders>
                  <w:shd w:val="clear" w:color="auto" w:fill="BFBFBF" w:themeFill="background1" w:themeFillShade="BF"/>
                </w:tcPr>
                <w:p w:rsidR="0040665D" w:rsidRDefault="0040665D" w:rsidP="0040665D">
                  <w:pPr>
                    <w:pStyle w:val="TableBodyText"/>
                    <w:ind w:right="28"/>
                  </w:pPr>
                </w:p>
              </w:tc>
            </w:tr>
            <w:tr w:rsidR="0040665D" w:rsidTr="004C4BB2">
              <w:tc>
                <w:tcPr>
                  <w:tcW w:w="1842" w:type="pct"/>
                  <w:shd w:val="clear" w:color="auto" w:fill="auto"/>
                  <w:vAlign w:val="bottom"/>
                </w:tcPr>
                <w:p w:rsidR="0040665D" w:rsidRDefault="0040665D" w:rsidP="0040665D">
                  <w:pPr>
                    <w:pStyle w:val="TableBodyText"/>
                    <w:jc w:val="left"/>
                  </w:pPr>
                  <w:r w:rsidRPr="00C358C1">
                    <w:t>Assets</w:t>
                  </w:r>
                </w:p>
              </w:tc>
              <w:tc>
                <w:tcPr>
                  <w:tcW w:w="632" w:type="pct"/>
                  <w:vAlign w:val="bottom"/>
                </w:tcPr>
                <w:p w:rsidR="0040665D" w:rsidRDefault="0040665D" w:rsidP="0040665D">
                  <w:pPr>
                    <w:pStyle w:val="TableBodyText"/>
                    <w:ind w:right="28"/>
                  </w:pPr>
                  <w:r w:rsidRPr="00C358C1">
                    <w:t>0.667</w:t>
                  </w:r>
                </w:p>
              </w:tc>
              <w:tc>
                <w:tcPr>
                  <w:tcW w:w="632" w:type="pct"/>
                  <w:shd w:val="clear" w:color="auto" w:fill="auto"/>
                  <w:vAlign w:val="bottom"/>
                </w:tcPr>
                <w:p w:rsidR="0040665D" w:rsidRDefault="0040665D" w:rsidP="0040665D">
                  <w:pPr>
                    <w:pStyle w:val="TableBodyText"/>
                    <w:ind w:right="28"/>
                  </w:pPr>
                  <w:r w:rsidRPr="00C358C1">
                    <w:t>0.045</w:t>
                  </w:r>
                </w:p>
              </w:tc>
              <w:tc>
                <w:tcPr>
                  <w:tcW w:w="632" w:type="pct"/>
                  <w:shd w:val="clear" w:color="auto" w:fill="auto"/>
                  <w:vAlign w:val="bottom"/>
                </w:tcPr>
                <w:p w:rsidR="0040665D" w:rsidRDefault="0040665D" w:rsidP="0040665D">
                  <w:pPr>
                    <w:pStyle w:val="TableBodyText"/>
                    <w:ind w:right="28"/>
                  </w:pPr>
                  <w:r w:rsidRPr="00C358C1">
                    <w:t>0.584</w:t>
                  </w:r>
                </w:p>
              </w:tc>
              <w:tc>
                <w:tcPr>
                  <w:tcW w:w="632" w:type="pct"/>
                  <w:vAlign w:val="bottom"/>
                </w:tcPr>
                <w:p w:rsidR="0040665D" w:rsidRDefault="0040665D" w:rsidP="0040665D">
                  <w:pPr>
                    <w:pStyle w:val="TableBodyText"/>
                    <w:ind w:right="28"/>
                  </w:pPr>
                  <w:r w:rsidRPr="00C358C1">
                    <w:t>0.665</w:t>
                  </w:r>
                </w:p>
              </w:tc>
              <w:tc>
                <w:tcPr>
                  <w:tcW w:w="632" w:type="pct"/>
                  <w:vAlign w:val="bottom"/>
                </w:tcPr>
                <w:p w:rsidR="0040665D" w:rsidRDefault="0040665D" w:rsidP="0040665D">
                  <w:pPr>
                    <w:pStyle w:val="TableBodyText"/>
                    <w:ind w:right="28"/>
                  </w:pPr>
                  <w:r w:rsidRPr="00C358C1">
                    <w:t>0.758</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Number of investment options</w:t>
                  </w:r>
                </w:p>
              </w:tc>
              <w:tc>
                <w:tcPr>
                  <w:tcW w:w="632" w:type="pct"/>
                  <w:shd w:val="clear" w:color="auto" w:fill="F2F2F2" w:themeFill="background1" w:themeFillShade="F2"/>
                  <w:vAlign w:val="bottom"/>
                </w:tcPr>
                <w:p w:rsidR="0040665D" w:rsidRDefault="0040665D" w:rsidP="0040665D">
                  <w:pPr>
                    <w:pStyle w:val="TableBodyText"/>
                    <w:ind w:right="28"/>
                  </w:pPr>
                  <w:r w:rsidRPr="00C358C1">
                    <w:t>-0.014</w:t>
                  </w:r>
                </w:p>
              </w:tc>
              <w:tc>
                <w:tcPr>
                  <w:tcW w:w="632" w:type="pct"/>
                  <w:shd w:val="clear" w:color="auto" w:fill="F2F2F2" w:themeFill="background1" w:themeFillShade="F2"/>
                  <w:vAlign w:val="bottom"/>
                </w:tcPr>
                <w:p w:rsidR="0040665D" w:rsidRDefault="0040665D" w:rsidP="0040665D">
                  <w:pPr>
                    <w:pStyle w:val="TableBodyText"/>
                    <w:ind w:right="28"/>
                  </w:pPr>
                  <w:r w:rsidRPr="00C358C1">
                    <w:t>0.020</w:t>
                  </w:r>
                </w:p>
              </w:tc>
              <w:tc>
                <w:tcPr>
                  <w:tcW w:w="632" w:type="pct"/>
                  <w:shd w:val="clear" w:color="auto" w:fill="F2F2F2" w:themeFill="background1" w:themeFillShade="F2"/>
                  <w:vAlign w:val="bottom"/>
                </w:tcPr>
                <w:p w:rsidR="0040665D" w:rsidRDefault="0040665D" w:rsidP="0040665D">
                  <w:pPr>
                    <w:pStyle w:val="TableBodyText"/>
                    <w:ind w:right="28"/>
                  </w:pPr>
                  <w:r w:rsidRPr="00C358C1">
                    <w:t>-0.052</w:t>
                  </w:r>
                </w:p>
              </w:tc>
              <w:tc>
                <w:tcPr>
                  <w:tcW w:w="632" w:type="pct"/>
                  <w:shd w:val="clear" w:color="auto" w:fill="F2F2F2" w:themeFill="background1" w:themeFillShade="F2"/>
                  <w:vAlign w:val="bottom"/>
                </w:tcPr>
                <w:p w:rsidR="0040665D" w:rsidRDefault="0040665D" w:rsidP="0040665D">
                  <w:pPr>
                    <w:pStyle w:val="TableBodyText"/>
                    <w:ind w:right="28"/>
                  </w:pPr>
                  <w:r w:rsidRPr="00C358C1">
                    <w:t>-0.014</w:t>
                  </w:r>
                </w:p>
              </w:tc>
              <w:tc>
                <w:tcPr>
                  <w:tcW w:w="632" w:type="pct"/>
                  <w:shd w:val="clear" w:color="auto" w:fill="F2F2F2" w:themeFill="background1" w:themeFillShade="F2"/>
                  <w:vAlign w:val="bottom"/>
                </w:tcPr>
                <w:p w:rsidR="0040665D" w:rsidRDefault="0040665D" w:rsidP="0040665D">
                  <w:pPr>
                    <w:pStyle w:val="TableBodyText"/>
                    <w:ind w:right="28"/>
                  </w:pPr>
                  <w:r w:rsidRPr="00C358C1">
                    <w:t>0.024</w:t>
                  </w:r>
                </w:p>
              </w:tc>
            </w:tr>
            <w:tr w:rsidR="0040665D" w:rsidTr="004C4BB2">
              <w:tc>
                <w:tcPr>
                  <w:tcW w:w="1842" w:type="pct"/>
                  <w:shd w:val="clear" w:color="auto" w:fill="auto"/>
                  <w:vAlign w:val="bottom"/>
                </w:tcPr>
                <w:p w:rsidR="0040665D" w:rsidRDefault="0040665D" w:rsidP="0040665D">
                  <w:pPr>
                    <w:pStyle w:val="TableBodyText"/>
                    <w:jc w:val="left"/>
                  </w:pPr>
                  <w:r w:rsidRPr="00C358C1">
                    <w:t>Net contributions</w:t>
                  </w:r>
                </w:p>
              </w:tc>
              <w:tc>
                <w:tcPr>
                  <w:tcW w:w="632" w:type="pct"/>
                  <w:vAlign w:val="bottom"/>
                </w:tcPr>
                <w:p w:rsidR="0040665D" w:rsidRDefault="0040665D" w:rsidP="0040665D">
                  <w:pPr>
                    <w:pStyle w:val="TableBodyText"/>
                    <w:ind w:right="28"/>
                  </w:pPr>
                  <w:r w:rsidRPr="00C358C1">
                    <w:t>-0.009</w:t>
                  </w:r>
                </w:p>
              </w:tc>
              <w:tc>
                <w:tcPr>
                  <w:tcW w:w="632" w:type="pct"/>
                  <w:shd w:val="clear" w:color="auto" w:fill="auto"/>
                  <w:vAlign w:val="bottom"/>
                </w:tcPr>
                <w:p w:rsidR="0040665D" w:rsidRDefault="0040665D" w:rsidP="0040665D">
                  <w:pPr>
                    <w:pStyle w:val="TableBodyText"/>
                    <w:ind w:right="28"/>
                  </w:pPr>
                  <w:r w:rsidRPr="00C358C1">
                    <w:t>0.014</w:t>
                  </w:r>
                </w:p>
              </w:tc>
              <w:tc>
                <w:tcPr>
                  <w:tcW w:w="632" w:type="pct"/>
                  <w:shd w:val="clear" w:color="auto" w:fill="auto"/>
                  <w:vAlign w:val="bottom"/>
                </w:tcPr>
                <w:p w:rsidR="0040665D" w:rsidRDefault="0040665D" w:rsidP="0040665D">
                  <w:pPr>
                    <w:pStyle w:val="TableBodyText"/>
                    <w:ind w:right="28"/>
                  </w:pPr>
                  <w:r w:rsidRPr="00C358C1">
                    <w:t>-0.038</w:t>
                  </w:r>
                </w:p>
              </w:tc>
              <w:tc>
                <w:tcPr>
                  <w:tcW w:w="632" w:type="pct"/>
                  <w:vAlign w:val="bottom"/>
                </w:tcPr>
                <w:p w:rsidR="0040665D" w:rsidRDefault="0040665D" w:rsidP="0040665D">
                  <w:pPr>
                    <w:pStyle w:val="TableBodyText"/>
                    <w:ind w:right="28"/>
                  </w:pPr>
                  <w:r w:rsidRPr="00C358C1">
                    <w:t>-0.008</w:t>
                  </w:r>
                </w:p>
              </w:tc>
              <w:tc>
                <w:tcPr>
                  <w:tcW w:w="632" w:type="pct"/>
                  <w:vAlign w:val="bottom"/>
                </w:tcPr>
                <w:p w:rsidR="0040665D" w:rsidRDefault="0040665D" w:rsidP="0040665D">
                  <w:pPr>
                    <w:pStyle w:val="TableBodyText"/>
                    <w:ind w:right="28"/>
                  </w:pPr>
                  <w:r w:rsidRPr="00C358C1">
                    <w:t>0.019</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Net rollovers</w:t>
                  </w:r>
                </w:p>
              </w:tc>
              <w:tc>
                <w:tcPr>
                  <w:tcW w:w="632" w:type="pct"/>
                  <w:shd w:val="clear" w:color="auto" w:fill="F2F2F2" w:themeFill="background1" w:themeFillShade="F2"/>
                  <w:vAlign w:val="bottom"/>
                </w:tcPr>
                <w:p w:rsidR="0040665D" w:rsidRDefault="0040665D" w:rsidP="0040665D">
                  <w:pPr>
                    <w:pStyle w:val="TableBodyText"/>
                    <w:ind w:right="28"/>
                  </w:pPr>
                  <w:r w:rsidRPr="00C358C1">
                    <w:t>-0.013</w:t>
                  </w:r>
                </w:p>
              </w:tc>
              <w:tc>
                <w:tcPr>
                  <w:tcW w:w="632" w:type="pct"/>
                  <w:shd w:val="clear" w:color="auto" w:fill="F2F2F2" w:themeFill="background1" w:themeFillShade="F2"/>
                  <w:vAlign w:val="bottom"/>
                </w:tcPr>
                <w:p w:rsidR="0040665D" w:rsidRDefault="0040665D" w:rsidP="0040665D">
                  <w:pPr>
                    <w:pStyle w:val="TableBodyText"/>
                    <w:ind w:right="28"/>
                  </w:pPr>
                  <w:r w:rsidRPr="00C358C1">
                    <w:t>0.009</w:t>
                  </w:r>
                </w:p>
              </w:tc>
              <w:tc>
                <w:tcPr>
                  <w:tcW w:w="632" w:type="pct"/>
                  <w:shd w:val="clear" w:color="auto" w:fill="F2F2F2" w:themeFill="background1" w:themeFillShade="F2"/>
                  <w:vAlign w:val="bottom"/>
                </w:tcPr>
                <w:p w:rsidR="0040665D" w:rsidRDefault="0040665D" w:rsidP="0040665D">
                  <w:pPr>
                    <w:pStyle w:val="TableBodyText"/>
                    <w:ind w:right="28"/>
                  </w:pPr>
                  <w:r w:rsidRPr="00C358C1">
                    <w:t>-0.031</w:t>
                  </w:r>
                </w:p>
              </w:tc>
              <w:tc>
                <w:tcPr>
                  <w:tcW w:w="632" w:type="pct"/>
                  <w:shd w:val="clear" w:color="auto" w:fill="F2F2F2" w:themeFill="background1" w:themeFillShade="F2"/>
                  <w:vAlign w:val="bottom"/>
                </w:tcPr>
                <w:p w:rsidR="0040665D" w:rsidRDefault="0040665D" w:rsidP="0040665D">
                  <w:pPr>
                    <w:pStyle w:val="TableBodyText"/>
                    <w:ind w:right="28"/>
                  </w:pPr>
                  <w:r w:rsidRPr="00C358C1">
                    <w:t>-0.013</w:t>
                  </w:r>
                </w:p>
              </w:tc>
              <w:tc>
                <w:tcPr>
                  <w:tcW w:w="632" w:type="pct"/>
                  <w:shd w:val="clear" w:color="auto" w:fill="F2F2F2" w:themeFill="background1" w:themeFillShade="F2"/>
                  <w:vAlign w:val="bottom"/>
                </w:tcPr>
                <w:p w:rsidR="0040665D" w:rsidRDefault="0040665D" w:rsidP="0040665D">
                  <w:pPr>
                    <w:pStyle w:val="TableBodyText"/>
                    <w:ind w:right="28"/>
                  </w:pPr>
                  <w:r w:rsidRPr="00C358C1">
                    <w:t>0.004</w:t>
                  </w:r>
                </w:p>
              </w:tc>
            </w:tr>
            <w:tr w:rsidR="0040665D" w:rsidTr="004C4BB2">
              <w:tc>
                <w:tcPr>
                  <w:tcW w:w="1842" w:type="pct"/>
                  <w:shd w:val="clear" w:color="auto" w:fill="auto"/>
                  <w:vAlign w:val="bottom"/>
                </w:tcPr>
                <w:p w:rsidR="0040665D" w:rsidRDefault="0040665D" w:rsidP="0040665D">
                  <w:pPr>
                    <w:pStyle w:val="TableBodyText"/>
                    <w:jc w:val="left"/>
                  </w:pPr>
                  <w:r w:rsidRPr="00C358C1">
                    <w:t>Industry</w:t>
                  </w:r>
                </w:p>
              </w:tc>
              <w:tc>
                <w:tcPr>
                  <w:tcW w:w="632" w:type="pct"/>
                  <w:vAlign w:val="bottom"/>
                </w:tcPr>
                <w:p w:rsidR="0040665D" w:rsidRDefault="0040665D" w:rsidP="0040665D">
                  <w:pPr>
                    <w:pStyle w:val="TableBodyText"/>
                    <w:ind w:right="28"/>
                  </w:pPr>
                  <w:r w:rsidRPr="00C358C1">
                    <w:t>-0.333</w:t>
                  </w:r>
                </w:p>
              </w:tc>
              <w:tc>
                <w:tcPr>
                  <w:tcW w:w="632" w:type="pct"/>
                  <w:shd w:val="clear" w:color="auto" w:fill="auto"/>
                  <w:vAlign w:val="bottom"/>
                </w:tcPr>
                <w:p w:rsidR="0040665D" w:rsidRDefault="0040665D" w:rsidP="0040665D">
                  <w:pPr>
                    <w:pStyle w:val="TableBodyText"/>
                    <w:ind w:right="28"/>
                  </w:pPr>
                  <w:r w:rsidRPr="00C358C1">
                    <w:t>0.324</w:t>
                  </w:r>
                </w:p>
              </w:tc>
              <w:tc>
                <w:tcPr>
                  <w:tcW w:w="632" w:type="pct"/>
                  <w:shd w:val="clear" w:color="auto" w:fill="auto"/>
                  <w:vAlign w:val="bottom"/>
                </w:tcPr>
                <w:p w:rsidR="0040665D" w:rsidRDefault="0040665D" w:rsidP="0040665D">
                  <w:pPr>
                    <w:pStyle w:val="TableBodyText"/>
                    <w:ind w:right="28"/>
                  </w:pPr>
                  <w:r w:rsidRPr="00C358C1">
                    <w:t>-0.977</w:t>
                  </w:r>
                </w:p>
              </w:tc>
              <w:tc>
                <w:tcPr>
                  <w:tcW w:w="632" w:type="pct"/>
                  <w:vAlign w:val="bottom"/>
                </w:tcPr>
                <w:p w:rsidR="0040665D" w:rsidRDefault="0040665D" w:rsidP="0040665D">
                  <w:pPr>
                    <w:pStyle w:val="TableBodyText"/>
                    <w:ind w:right="28"/>
                  </w:pPr>
                  <w:r w:rsidRPr="00C358C1">
                    <w:t>-0.321</w:t>
                  </w:r>
                </w:p>
              </w:tc>
              <w:tc>
                <w:tcPr>
                  <w:tcW w:w="632" w:type="pct"/>
                  <w:vAlign w:val="bottom"/>
                </w:tcPr>
                <w:p w:rsidR="0040665D" w:rsidRDefault="0040665D" w:rsidP="0040665D">
                  <w:pPr>
                    <w:pStyle w:val="TableBodyText"/>
                    <w:ind w:right="28"/>
                  </w:pPr>
                  <w:r w:rsidRPr="00C358C1">
                    <w:t>0.299</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Public</w:t>
                  </w:r>
                </w:p>
              </w:tc>
              <w:tc>
                <w:tcPr>
                  <w:tcW w:w="632" w:type="pct"/>
                  <w:shd w:val="clear" w:color="auto" w:fill="F2F2F2" w:themeFill="background1" w:themeFillShade="F2"/>
                  <w:vAlign w:val="bottom"/>
                </w:tcPr>
                <w:p w:rsidR="0040665D" w:rsidRDefault="0040665D" w:rsidP="0040665D">
                  <w:pPr>
                    <w:pStyle w:val="TableBodyText"/>
                    <w:ind w:right="28"/>
                  </w:pPr>
                  <w:r w:rsidRPr="00C358C1">
                    <w:t>1.401</w:t>
                  </w:r>
                </w:p>
              </w:tc>
              <w:tc>
                <w:tcPr>
                  <w:tcW w:w="632" w:type="pct"/>
                  <w:shd w:val="clear" w:color="auto" w:fill="F2F2F2" w:themeFill="background1" w:themeFillShade="F2"/>
                  <w:vAlign w:val="bottom"/>
                </w:tcPr>
                <w:p w:rsidR="0040665D" w:rsidRDefault="0040665D" w:rsidP="0040665D">
                  <w:pPr>
                    <w:pStyle w:val="TableBodyText"/>
                    <w:ind w:right="28"/>
                  </w:pPr>
                  <w:r w:rsidRPr="00C358C1">
                    <w:t>0.421</w:t>
                  </w:r>
                </w:p>
              </w:tc>
              <w:tc>
                <w:tcPr>
                  <w:tcW w:w="632" w:type="pct"/>
                  <w:shd w:val="clear" w:color="auto" w:fill="F2F2F2" w:themeFill="background1" w:themeFillShade="F2"/>
                  <w:vAlign w:val="bottom"/>
                </w:tcPr>
                <w:p w:rsidR="0040665D" w:rsidRDefault="0040665D" w:rsidP="0040665D">
                  <w:pPr>
                    <w:pStyle w:val="TableBodyText"/>
                    <w:ind w:right="28"/>
                  </w:pPr>
                  <w:r w:rsidRPr="00C358C1">
                    <w:t>0.537</w:t>
                  </w:r>
                </w:p>
              </w:tc>
              <w:tc>
                <w:tcPr>
                  <w:tcW w:w="632" w:type="pct"/>
                  <w:shd w:val="clear" w:color="auto" w:fill="F2F2F2" w:themeFill="background1" w:themeFillShade="F2"/>
                  <w:vAlign w:val="bottom"/>
                </w:tcPr>
                <w:p w:rsidR="0040665D" w:rsidRDefault="0040665D" w:rsidP="0040665D">
                  <w:pPr>
                    <w:pStyle w:val="TableBodyText"/>
                    <w:ind w:right="28"/>
                  </w:pPr>
                  <w:r w:rsidRPr="00C358C1">
                    <w:t>1.413</w:t>
                  </w:r>
                </w:p>
              </w:tc>
              <w:tc>
                <w:tcPr>
                  <w:tcW w:w="632" w:type="pct"/>
                  <w:shd w:val="clear" w:color="auto" w:fill="F2F2F2" w:themeFill="background1" w:themeFillShade="F2"/>
                  <w:vAlign w:val="bottom"/>
                </w:tcPr>
                <w:p w:rsidR="0040665D" w:rsidRDefault="0040665D" w:rsidP="0040665D">
                  <w:pPr>
                    <w:pStyle w:val="TableBodyText"/>
                    <w:ind w:right="28"/>
                  </w:pPr>
                  <w:r w:rsidRPr="00C358C1">
                    <w:t>2.202</w:t>
                  </w:r>
                </w:p>
              </w:tc>
            </w:tr>
            <w:tr w:rsidR="0040665D" w:rsidTr="004C4BB2">
              <w:tc>
                <w:tcPr>
                  <w:tcW w:w="1842" w:type="pct"/>
                  <w:shd w:val="clear" w:color="auto" w:fill="auto"/>
                  <w:vAlign w:val="bottom"/>
                </w:tcPr>
                <w:p w:rsidR="0040665D" w:rsidRDefault="0040665D" w:rsidP="0040665D">
                  <w:pPr>
                    <w:pStyle w:val="TableBodyText"/>
                    <w:jc w:val="left"/>
                  </w:pPr>
                  <w:r w:rsidRPr="00C358C1">
                    <w:t>Retail</w:t>
                  </w:r>
                </w:p>
              </w:tc>
              <w:tc>
                <w:tcPr>
                  <w:tcW w:w="632" w:type="pct"/>
                  <w:vAlign w:val="bottom"/>
                </w:tcPr>
                <w:p w:rsidR="0040665D" w:rsidRDefault="0040665D" w:rsidP="0040665D">
                  <w:pPr>
                    <w:pStyle w:val="TableBodyText"/>
                    <w:ind w:right="28"/>
                  </w:pPr>
                  <w:r w:rsidRPr="00C358C1">
                    <w:t>0.427</w:t>
                  </w:r>
                </w:p>
              </w:tc>
              <w:tc>
                <w:tcPr>
                  <w:tcW w:w="632" w:type="pct"/>
                  <w:shd w:val="clear" w:color="auto" w:fill="auto"/>
                  <w:vAlign w:val="bottom"/>
                </w:tcPr>
                <w:p w:rsidR="0040665D" w:rsidRDefault="0040665D" w:rsidP="0040665D">
                  <w:pPr>
                    <w:pStyle w:val="TableBodyText"/>
                    <w:ind w:right="28"/>
                  </w:pPr>
                  <w:r w:rsidRPr="00C358C1">
                    <w:t>0.214</w:t>
                  </w:r>
                </w:p>
              </w:tc>
              <w:tc>
                <w:tcPr>
                  <w:tcW w:w="632" w:type="pct"/>
                  <w:shd w:val="clear" w:color="auto" w:fill="auto"/>
                  <w:vAlign w:val="bottom"/>
                </w:tcPr>
                <w:p w:rsidR="0040665D" w:rsidRDefault="0040665D" w:rsidP="0040665D">
                  <w:pPr>
                    <w:pStyle w:val="TableBodyText"/>
                    <w:ind w:right="28"/>
                  </w:pPr>
                  <w:r w:rsidRPr="00C358C1">
                    <w:t>0.005</w:t>
                  </w:r>
                </w:p>
              </w:tc>
              <w:tc>
                <w:tcPr>
                  <w:tcW w:w="632" w:type="pct"/>
                  <w:vAlign w:val="bottom"/>
                </w:tcPr>
                <w:p w:rsidR="0040665D" w:rsidRDefault="0040665D" w:rsidP="0040665D">
                  <w:pPr>
                    <w:pStyle w:val="TableBodyText"/>
                    <w:ind w:right="28"/>
                  </w:pPr>
                  <w:r w:rsidRPr="00C358C1">
                    <w:t>0.426</w:t>
                  </w:r>
                </w:p>
              </w:tc>
              <w:tc>
                <w:tcPr>
                  <w:tcW w:w="632" w:type="pct"/>
                  <w:vAlign w:val="bottom"/>
                </w:tcPr>
                <w:p w:rsidR="0040665D" w:rsidRDefault="0040665D" w:rsidP="0040665D">
                  <w:pPr>
                    <w:pStyle w:val="TableBodyText"/>
                    <w:ind w:right="28"/>
                  </w:pPr>
                  <w:r w:rsidRPr="00C358C1">
                    <w:t>0.872</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Aus fixed interest</w:t>
                  </w:r>
                </w:p>
              </w:tc>
              <w:tc>
                <w:tcPr>
                  <w:tcW w:w="632" w:type="pct"/>
                  <w:shd w:val="clear" w:color="auto" w:fill="F2F2F2" w:themeFill="background1" w:themeFillShade="F2"/>
                  <w:vAlign w:val="bottom"/>
                </w:tcPr>
                <w:p w:rsidR="0040665D" w:rsidRDefault="0040665D" w:rsidP="0040665D">
                  <w:pPr>
                    <w:pStyle w:val="TableBodyText"/>
                    <w:ind w:right="28"/>
                  </w:pPr>
                  <w:r w:rsidRPr="00C358C1">
                    <w:t>-0.017</w:t>
                  </w:r>
                </w:p>
              </w:tc>
              <w:tc>
                <w:tcPr>
                  <w:tcW w:w="632" w:type="pct"/>
                  <w:shd w:val="clear" w:color="auto" w:fill="F2F2F2" w:themeFill="background1" w:themeFillShade="F2"/>
                  <w:vAlign w:val="bottom"/>
                </w:tcPr>
                <w:p w:rsidR="0040665D" w:rsidRDefault="0040665D" w:rsidP="0040665D">
                  <w:pPr>
                    <w:pStyle w:val="TableBodyText"/>
                    <w:ind w:right="28"/>
                  </w:pPr>
                  <w:r w:rsidRPr="00C358C1">
                    <w:t>0.012</w:t>
                  </w:r>
                </w:p>
              </w:tc>
              <w:tc>
                <w:tcPr>
                  <w:tcW w:w="632" w:type="pct"/>
                  <w:shd w:val="clear" w:color="auto" w:fill="F2F2F2" w:themeFill="background1" w:themeFillShade="F2"/>
                  <w:vAlign w:val="bottom"/>
                </w:tcPr>
                <w:p w:rsidR="0040665D" w:rsidRDefault="0040665D" w:rsidP="0040665D">
                  <w:pPr>
                    <w:pStyle w:val="TableBodyText"/>
                    <w:ind w:right="28"/>
                  </w:pPr>
                  <w:r w:rsidRPr="00C358C1">
                    <w:t>-0.039</w:t>
                  </w:r>
                </w:p>
              </w:tc>
              <w:tc>
                <w:tcPr>
                  <w:tcW w:w="632" w:type="pct"/>
                  <w:shd w:val="clear" w:color="auto" w:fill="F2F2F2" w:themeFill="background1" w:themeFillShade="F2"/>
                  <w:vAlign w:val="bottom"/>
                </w:tcPr>
                <w:p w:rsidR="0040665D" w:rsidRDefault="0040665D" w:rsidP="0040665D">
                  <w:pPr>
                    <w:pStyle w:val="TableBodyText"/>
                    <w:ind w:right="28"/>
                  </w:pPr>
                  <w:r w:rsidRPr="00C358C1">
                    <w:t>-0.017</w:t>
                  </w:r>
                </w:p>
              </w:tc>
              <w:tc>
                <w:tcPr>
                  <w:tcW w:w="632" w:type="pct"/>
                  <w:shd w:val="clear" w:color="auto" w:fill="F2F2F2" w:themeFill="background1" w:themeFillShade="F2"/>
                  <w:vAlign w:val="bottom"/>
                </w:tcPr>
                <w:p w:rsidR="0040665D" w:rsidRDefault="0040665D" w:rsidP="0040665D">
                  <w:pPr>
                    <w:pStyle w:val="TableBodyText"/>
                    <w:ind w:right="28"/>
                  </w:pPr>
                  <w:r w:rsidRPr="00C358C1">
                    <w:t>0.007</w:t>
                  </w:r>
                </w:p>
              </w:tc>
            </w:tr>
            <w:tr w:rsidR="0040665D" w:rsidTr="004C4BB2">
              <w:tc>
                <w:tcPr>
                  <w:tcW w:w="1842" w:type="pct"/>
                  <w:shd w:val="clear" w:color="auto" w:fill="auto"/>
                  <w:vAlign w:val="bottom"/>
                </w:tcPr>
                <w:p w:rsidR="0040665D" w:rsidRDefault="0040665D" w:rsidP="0040665D">
                  <w:pPr>
                    <w:pStyle w:val="TableBodyText"/>
                    <w:jc w:val="left"/>
                  </w:pPr>
                  <w:r w:rsidRPr="00C358C1">
                    <w:t>International fixed interest</w:t>
                  </w:r>
                </w:p>
              </w:tc>
              <w:tc>
                <w:tcPr>
                  <w:tcW w:w="632" w:type="pct"/>
                  <w:vAlign w:val="bottom"/>
                </w:tcPr>
                <w:p w:rsidR="0040665D" w:rsidRDefault="0040665D" w:rsidP="0040665D">
                  <w:pPr>
                    <w:pStyle w:val="TableBodyText"/>
                    <w:ind w:right="28"/>
                  </w:pPr>
                  <w:r w:rsidRPr="00C358C1">
                    <w:t>-0.005</w:t>
                  </w:r>
                </w:p>
              </w:tc>
              <w:tc>
                <w:tcPr>
                  <w:tcW w:w="632" w:type="pct"/>
                  <w:shd w:val="clear" w:color="auto" w:fill="auto"/>
                  <w:vAlign w:val="bottom"/>
                </w:tcPr>
                <w:p w:rsidR="0040665D" w:rsidRDefault="0040665D" w:rsidP="0040665D">
                  <w:pPr>
                    <w:pStyle w:val="TableBodyText"/>
                    <w:ind w:right="28"/>
                  </w:pPr>
                  <w:r w:rsidRPr="00C358C1">
                    <w:t>0.010</w:t>
                  </w:r>
                </w:p>
              </w:tc>
              <w:tc>
                <w:tcPr>
                  <w:tcW w:w="632" w:type="pct"/>
                  <w:shd w:val="clear" w:color="auto" w:fill="auto"/>
                  <w:vAlign w:val="bottom"/>
                </w:tcPr>
                <w:p w:rsidR="0040665D" w:rsidRDefault="0040665D" w:rsidP="0040665D">
                  <w:pPr>
                    <w:pStyle w:val="TableBodyText"/>
                    <w:ind w:right="28"/>
                  </w:pPr>
                  <w:r w:rsidRPr="00C358C1">
                    <w:t>-0.024</w:t>
                  </w:r>
                </w:p>
              </w:tc>
              <w:tc>
                <w:tcPr>
                  <w:tcW w:w="632" w:type="pct"/>
                  <w:vAlign w:val="bottom"/>
                </w:tcPr>
                <w:p w:rsidR="0040665D" w:rsidRDefault="0040665D" w:rsidP="0040665D">
                  <w:pPr>
                    <w:pStyle w:val="TableBodyText"/>
                    <w:ind w:right="28"/>
                  </w:pPr>
                  <w:r w:rsidRPr="00C358C1">
                    <w:t>-0.005</w:t>
                  </w:r>
                </w:p>
              </w:tc>
              <w:tc>
                <w:tcPr>
                  <w:tcW w:w="632" w:type="pct"/>
                  <w:vAlign w:val="bottom"/>
                </w:tcPr>
                <w:p w:rsidR="0040665D" w:rsidRDefault="0040665D" w:rsidP="0040665D">
                  <w:pPr>
                    <w:pStyle w:val="TableBodyText"/>
                    <w:ind w:right="28"/>
                  </w:pPr>
                  <w:r w:rsidRPr="00C358C1">
                    <w:t>0.015</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Aus equity</w:t>
                  </w:r>
                </w:p>
              </w:tc>
              <w:tc>
                <w:tcPr>
                  <w:tcW w:w="632" w:type="pct"/>
                  <w:shd w:val="clear" w:color="auto" w:fill="F2F2F2" w:themeFill="background1" w:themeFillShade="F2"/>
                  <w:vAlign w:val="bottom"/>
                </w:tcPr>
                <w:p w:rsidR="0040665D" w:rsidRDefault="0040665D" w:rsidP="0040665D">
                  <w:pPr>
                    <w:pStyle w:val="TableBodyText"/>
                    <w:ind w:right="28"/>
                  </w:pPr>
                  <w:r w:rsidRPr="00C358C1">
                    <w:t>0.009</w:t>
                  </w:r>
                </w:p>
              </w:tc>
              <w:tc>
                <w:tcPr>
                  <w:tcW w:w="632" w:type="pct"/>
                  <w:shd w:val="clear" w:color="auto" w:fill="F2F2F2" w:themeFill="background1" w:themeFillShade="F2"/>
                  <w:vAlign w:val="bottom"/>
                </w:tcPr>
                <w:p w:rsidR="0040665D" w:rsidRDefault="0040665D" w:rsidP="0040665D">
                  <w:pPr>
                    <w:pStyle w:val="TableBodyText"/>
                    <w:ind w:right="28"/>
                  </w:pPr>
                  <w:r w:rsidRPr="00C358C1">
                    <w:t>0.013</w:t>
                  </w:r>
                </w:p>
              </w:tc>
              <w:tc>
                <w:tcPr>
                  <w:tcW w:w="632" w:type="pct"/>
                  <w:shd w:val="clear" w:color="auto" w:fill="F2F2F2" w:themeFill="background1" w:themeFillShade="F2"/>
                  <w:vAlign w:val="bottom"/>
                </w:tcPr>
                <w:p w:rsidR="0040665D" w:rsidRDefault="0040665D" w:rsidP="0040665D">
                  <w:pPr>
                    <w:pStyle w:val="TableBodyText"/>
                    <w:ind w:right="28"/>
                  </w:pPr>
                  <w:r w:rsidRPr="00C358C1">
                    <w:t>-0.018</w:t>
                  </w:r>
                </w:p>
              </w:tc>
              <w:tc>
                <w:tcPr>
                  <w:tcW w:w="632" w:type="pct"/>
                  <w:shd w:val="clear" w:color="auto" w:fill="F2F2F2" w:themeFill="background1" w:themeFillShade="F2"/>
                  <w:vAlign w:val="bottom"/>
                </w:tcPr>
                <w:p w:rsidR="0040665D" w:rsidRDefault="0040665D" w:rsidP="0040665D">
                  <w:pPr>
                    <w:pStyle w:val="TableBodyText"/>
                    <w:ind w:right="28"/>
                  </w:pPr>
                  <w:r w:rsidRPr="00C358C1">
                    <w:t>0.009</w:t>
                  </w:r>
                </w:p>
              </w:tc>
              <w:tc>
                <w:tcPr>
                  <w:tcW w:w="632" w:type="pct"/>
                  <w:shd w:val="clear" w:color="auto" w:fill="F2F2F2" w:themeFill="background1" w:themeFillShade="F2"/>
                  <w:vAlign w:val="bottom"/>
                </w:tcPr>
                <w:p w:rsidR="0040665D" w:rsidRDefault="0040665D" w:rsidP="0040665D">
                  <w:pPr>
                    <w:pStyle w:val="TableBodyText"/>
                    <w:ind w:right="28"/>
                  </w:pPr>
                  <w:r w:rsidRPr="00C358C1">
                    <w:t>0.033</w:t>
                  </w:r>
                </w:p>
              </w:tc>
            </w:tr>
            <w:tr w:rsidR="0040665D" w:rsidTr="004C4BB2">
              <w:tc>
                <w:tcPr>
                  <w:tcW w:w="1842" w:type="pct"/>
                  <w:shd w:val="clear" w:color="auto" w:fill="auto"/>
                  <w:vAlign w:val="bottom"/>
                </w:tcPr>
                <w:p w:rsidR="0040665D" w:rsidRDefault="0040665D" w:rsidP="0040665D">
                  <w:pPr>
                    <w:pStyle w:val="TableBodyText"/>
                    <w:jc w:val="left"/>
                  </w:pPr>
                  <w:r w:rsidRPr="00C358C1">
                    <w:t>International equity</w:t>
                  </w:r>
                </w:p>
              </w:tc>
              <w:tc>
                <w:tcPr>
                  <w:tcW w:w="632" w:type="pct"/>
                  <w:vAlign w:val="bottom"/>
                </w:tcPr>
                <w:p w:rsidR="0040665D" w:rsidRDefault="0040665D" w:rsidP="0040665D">
                  <w:pPr>
                    <w:pStyle w:val="TableBodyText"/>
                    <w:ind w:right="28"/>
                  </w:pPr>
                  <w:r w:rsidRPr="00C358C1">
                    <w:t>-0.012</w:t>
                  </w:r>
                </w:p>
              </w:tc>
              <w:tc>
                <w:tcPr>
                  <w:tcW w:w="632" w:type="pct"/>
                  <w:shd w:val="clear" w:color="auto" w:fill="auto"/>
                  <w:vAlign w:val="bottom"/>
                </w:tcPr>
                <w:p w:rsidR="0040665D" w:rsidRDefault="0040665D" w:rsidP="0040665D">
                  <w:pPr>
                    <w:pStyle w:val="TableBodyText"/>
                    <w:ind w:right="28"/>
                  </w:pPr>
                  <w:r w:rsidRPr="00C358C1">
                    <w:t>0.016</w:t>
                  </w:r>
                </w:p>
              </w:tc>
              <w:tc>
                <w:tcPr>
                  <w:tcW w:w="632" w:type="pct"/>
                  <w:shd w:val="clear" w:color="auto" w:fill="auto"/>
                  <w:vAlign w:val="bottom"/>
                </w:tcPr>
                <w:p w:rsidR="0040665D" w:rsidRDefault="0040665D" w:rsidP="0040665D">
                  <w:pPr>
                    <w:pStyle w:val="TableBodyText"/>
                    <w:ind w:right="28"/>
                  </w:pPr>
                  <w:r w:rsidRPr="00C358C1">
                    <w:t>-0.041</w:t>
                  </w:r>
                </w:p>
              </w:tc>
              <w:tc>
                <w:tcPr>
                  <w:tcW w:w="632" w:type="pct"/>
                  <w:vAlign w:val="bottom"/>
                </w:tcPr>
                <w:p w:rsidR="0040665D" w:rsidRDefault="0040665D" w:rsidP="0040665D">
                  <w:pPr>
                    <w:pStyle w:val="TableBodyText"/>
                    <w:ind w:right="28"/>
                  </w:pPr>
                  <w:r w:rsidRPr="00C358C1">
                    <w:t>-0.012</w:t>
                  </w:r>
                </w:p>
              </w:tc>
              <w:tc>
                <w:tcPr>
                  <w:tcW w:w="632" w:type="pct"/>
                  <w:vAlign w:val="bottom"/>
                </w:tcPr>
                <w:p w:rsidR="0040665D" w:rsidRDefault="0040665D" w:rsidP="0040665D">
                  <w:pPr>
                    <w:pStyle w:val="TableBodyText"/>
                    <w:ind w:right="28"/>
                  </w:pPr>
                  <w:r w:rsidRPr="00C358C1">
                    <w:t>0.019</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Listed Property</w:t>
                  </w:r>
                </w:p>
              </w:tc>
              <w:tc>
                <w:tcPr>
                  <w:tcW w:w="632" w:type="pct"/>
                  <w:shd w:val="clear" w:color="auto" w:fill="F2F2F2" w:themeFill="background1" w:themeFillShade="F2"/>
                  <w:vAlign w:val="bottom"/>
                </w:tcPr>
                <w:p w:rsidR="0040665D" w:rsidRDefault="0040665D" w:rsidP="0040665D">
                  <w:pPr>
                    <w:pStyle w:val="TableBodyText"/>
                    <w:ind w:right="28"/>
                  </w:pPr>
                  <w:r w:rsidRPr="00C358C1">
                    <w:t>0.013</w:t>
                  </w:r>
                </w:p>
              </w:tc>
              <w:tc>
                <w:tcPr>
                  <w:tcW w:w="632" w:type="pct"/>
                  <w:shd w:val="clear" w:color="auto" w:fill="F2F2F2" w:themeFill="background1" w:themeFillShade="F2"/>
                  <w:vAlign w:val="bottom"/>
                </w:tcPr>
                <w:p w:rsidR="0040665D" w:rsidRDefault="0040665D" w:rsidP="0040665D">
                  <w:pPr>
                    <w:pStyle w:val="TableBodyText"/>
                    <w:ind w:right="28"/>
                  </w:pPr>
                  <w:r w:rsidRPr="00C358C1">
                    <w:t>0.008</w:t>
                  </w:r>
                </w:p>
              </w:tc>
              <w:tc>
                <w:tcPr>
                  <w:tcW w:w="632" w:type="pct"/>
                  <w:shd w:val="clear" w:color="auto" w:fill="F2F2F2" w:themeFill="background1" w:themeFillShade="F2"/>
                  <w:vAlign w:val="bottom"/>
                </w:tcPr>
                <w:p w:rsidR="0040665D" w:rsidRDefault="0040665D" w:rsidP="0040665D">
                  <w:pPr>
                    <w:pStyle w:val="TableBodyText"/>
                    <w:ind w:right="28"/>
                  </w:pPr>
                  <w:r w:rsidRPr="00C358C1">
                    <w:t>-0.002</w:t>
                  </w:r>
                </w:p>
              </w:tc>
              <w:tc>
                <w:tcPr>
                  <w:tcW w:w="632" w:type="pct"/>
                  <w:shd w:val="clear" w:color="auto" w:fill="F2F2F2" w:themeFill="background1" w:themeFillShade="F2"/>
                  <w:vAlign w:val="bottom"/>
                </w:tcPr>
                <w:p w:rsidR="0040665D" w:rsidRDefault="0040665D" w:rsidP="0040665D">
                  <w:pPr>
                    <w:pStyle w:val="TableBodyText"/>
                    <w:ind w:right="28"/>
                  </w:pPr>
                  <w:r w:rsidRPr="00C358C1">
                    <w:t>0.013</w:t>
                  </w:r>
                </w:p>
              </w:tc>
              <w:tc>
                <w:tcPr>
                  <w:tcW w:w="632" w:type="pct"/>
                  <w:shd w:val="clear" w:color="auto" w:fill="F2F2F2" w:themeFill="background1" w:themeFillShade="F2"/>
                  <w:vAlign w:val="bottom"/>
                </w:tcPr>
                <w:p w:rsidR="0040665D" w:rsidRDefault="0040665D" w:rsidP="0040665D">
                  <w:pPr>
                    <w:pStyle w:val="TableBodyText"/>
                    <w:ind w:right="28"/>
                  </w:pPr>
                  <w:r w:rsidRPr="00C358C1">
                    <w:t>0.029</w:t>
                  </w:r>
                </w:p>
              </w:tc>
            </w:tr>
            <w:tr w:rsidR="0040665D" w:rsidTr="004C4BB2">
              <w:tc>
                <w:tcPr>
                  <w:tcW w:w="1842" w:type="pct"/>
                  <w:shd w:val="clear" w:color="auto" w:fill="auto"/>
                  <w:vAlign w:val="bottom"/>
                </w:tcPr>
                <w:p w:rsidR="0040665D" w:rsidRDefault="0040665D" w:rsidP="0040665D">
                  <w:pPr>
                    <w:pStyle w:val="TableBodyText"/>
                    <w:jc w:val="left"/>
                  </w:pPr>
                  <w:r w:rsidRPr="00C358C1">
                    <w:t>Unlisted property</w:t>
                  </w:r>
                </w:p>
              </w:tc>
              <w:tc>
                <w:tcPr>
                  <w:tcW w:w="632" w:type="pct"/>
                  <w:vAlign w:val="bottom"/>
                </w:tcPr>
                <w:p w:rsidR="0040665D" w:rsidRDefault="0040665D" w:rsidP="0040665D">
                  <w:pPr>
                    <w:pStyle w:val="TableBodyText"/>
                    <w:ind w:right="28"/>
                  </w:pPr>
                  <w:r w:rsidRPr="00C358C1">
                    <w:t>0.054</w:t>
                  </w:r>
                </w:p>
              </w:tc>
              <w:tc>
                <w:tcPr>
                  <w:tcW w:w="632" w:type="pct"/>
                  <w:shd w:val="clear" w:color="auto" w:fill="auto"/>
                  <w:vAlign w:val="bottom"/>
                </w:tcPr>
                <w:p w:rsidR="0040665D" w:rsidRDefault="0040665D" w:rsidP="0040665D">
                  <w:pPr>
                    <w:pStyle w:val="TableBodyText"/>
                    <w:ind w:right="28"/>
                  </w:pPr>
                  <w:r w:rsidRPr="00C358C1">
                    <w:t>0.013</w:t>
                  </w:r>
                </w:p>
              </w:tc>
              <w:tc>
                <w:tcPr>
                  <w:tcW w:w="632" w:type="pct"/>
                  <w:shd w:val="clear" w:color="auto" w:fill="auto"/>
                  <w:vAlign w:val="bottom"/>
                </w:tcPr>
                <w:p w:rsidR="0040665D" w:rsidRDefault="0040665D" w:rsidP="0040665D">
                  <w:pPr>
                    <w:pStyle w:val="TableBodyText"/>
                    <w:ind w:right="28"/>
                  </w:pPr>
                  <w:r w:rsidRPr="00C358C1">
                    <w:t>0.029</w:t>
                  </w:r>
                </w:p>
              </w:tc>
              <w:tc>
                <w:tcPr>
                  <w:tcW w:w="632" w:type="pct"/>
                  <w:vAlign w:val="bottom"/>
                </w:tcPr>
                <w:p w:rsidR="0040665D" w:rsidRDefault="0040665D" w:rsidP="0040665D">
                  <w:pPr>
                    <w:pStyle w:val="TableBodyText"/>
                    <w:ind w:right="28"/>
                  </w:pPr>
                  <w:r w:rsidRPr="00C358C1">
                    <w:t>0.054</w:t>
                  </w:r>
                </w:p>
              </w:tc>
              <w:tc>
                <w:tcPr>
                  <w:tcW w:w="632" w:type="pct"/>
                  <w:vAlign w:val="bottom"/>
                </w:tcPr>
                <w:p w:rsidR="0040665D" w:rsidRDefault="0040665D" w:rsidP="0040665D">
                  <w:pPr>
                    <w:pStyle w:val="TableBodyText"/>
                    <w:ind w:right="28"/>
                  </w:pPr>
                  <w:r w:rsidRPr="00C358C1">
                    <w:t>0.080</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Other</w:t>
                  </w:r>
                </w:p>
              </w:tc>
              <w:tc>
                <w:tcPr>
                  <w:tcW w:w="632" w:type="pct"/>
                  <w:shd w:val="clear" w:color="auto" w:fill="F2F2F2" w:themeFill="background1" w:themeFillShade="F2"/>
                  <w:vAlign w:val="bottom"/>
                </w:tcPr>
                <w:p w:rsidR="0040665D" w:rsidRDefault="0040665D" w:rsidP="0040665D">
                  <w:pPr>
                    <w:pStyle w:val="TableBodyText"/>
                    <w:ind w:right="28"/>
                  </w:pPr>
                  <w:r w:rsidRPr="00C358C1">
                    <w:t>-0.067</w:t>
                  </w:r>
                </w:p>
              </w:tc>
              <w:tc>
                <w:tcPr>
                  <w:tcW w:w="632" w:type="pct"/>
                  <w:shd w:val="clear" w:color="auto" w:fill="F2F2F2" w:themeFill="background1" w:themeFillShade="F2"/>
                  <w:vAlign w:val="bottom"/>
                </w:tcPr>
                <w:p w:rsidR="0040665D" w:rsidRDefault="0040665D" w:rsidP="0040665D">
                  <w:pPr>
                    <w:pStyle w:val="TableBodyText"/>
                    <w:ind w:right="28"/>
                  </w:pPr>
                  <w:r w:rsidRPr="00C358C1">
                    <w:t>0.090</w:t>
                  </w:r>
                </w:p>
              </w:tc>
              <w:tc>
                <w:tcPr>
                  <w:tcW w:w="632" w:type="pct"/>
                  <w:shd w:val="clear" w:color="auto" w:fill="F2F2F2" w:themeFill="background1" w:themeFillShade="F2"/>
                  <w:vAlign w:val="bottom"/>
                </w:tcPr>
                <w:p w:rsidR="0040665D" w:rsidRDefault="0040665D" w:rsidP="0040665D">
                  <w:pPr>
                    <w:pStyle w:val="TableBodyText"/>
                    <w:ind w:right="28"/>
                  </w:pPr>
                  <w:r w:rsidRPr="00C358C1">
                    <w:t>-0.240</w:t>
                  </w:r>
                </w:p>
              </w:tc>
              <w:tc>
                <w:tcPr>
                  <w:tcW w:w="632" w:type="pct"/>
                  <w:shd w:val="clear" w:color="auto" w:fill="F2F2F2" w:themeFill="background1" w:themeFillShade="F2"/>
                  <w:vAlign w:val="bottom"/>
                </w:tcPr>
                <w:p w:rsidR="0040665D" w:rsidRDefault="0040665D" w:rsidP="0040665D">
                  <w:pPr>
                    <w:pStyle w:val="TableBodyText"/>
                    <w:ind w:right="28"/>
                  </w:pPr>
                  <w:r w:rsidRPr="00C358C1">
                    <w:t>-0.069</w:t>
                  </w:r>
                </w:p>
              </w:tc>
              <w:tc>
                <w:tcPr>
                  <w:tcW w:w="632" w:type="pct"/>
                  <w:shd w:val="clear" w:color="auto" w:fill="F2F2F2" w:themeFill="background1" w:themeFillShade="F2"/>
                  <w:vAlign w:val="bottom"/>
                </w:tcPr>
                <w:p w:rsidR="0040665D" w:rsidRDefault="0040665D" w:rsidP="0040665D">
                  <w:pPr>
                    <w:pStyle w:val="TableBodyText"/>
                    <w:ind w:right="28"/>
                  </w:pPr>
                  <w:r w:rsidRPr="00C358C1">
                    <w:t>0.116</w:t>
                  </w:r>
                </w:p>
              </w:tc>
            </w:tr>
            <w:tr w:rsidR="0040665D" w:rsidTr="004C4BB2">
              <w:tc>
                <w:tcPr>
                  <w:tcW w:w="1842" w:type="pct"/>
                  <w:shd w:val="clear" w:color="auto" w:fill="auto"/>
                  <w:vAlign w:val="bottom"/>
                </w:tcPr>
                <w:p w:rsidR="0040665D" w:rsidRDefault="0040665D" w:rsidP="0040665D">
                  <w:pPr>
                    <w:pStyle w:val="TableBodyText"/>
                    <w:jc w:val="left"/>
                  </w:pPr>
                  <w:r w:rsidRPr="00C358C1">
                    <w:t>Post reporting change (</w:t>
                  </w:r>
                  <w:r w:rsidR="00532E47">
                    <w:t>PRC</w:t>
                  </w:r>
                  <w:r w:rsidRPr="00C358C1">
                    <w:t>)</w:t>
                  </w:r>
                </w:p>
              </w:tc>
              <w:tc>
                <w:tcPr>
                  <w:tcW w:w="632" w:type="pct"/>
                  <w:vAlign w:val="bottom"/>
                </w:tcPr>
                <w:p w:rsidR="0040665D" w:rsidRDefault="0040665D" w:rsidP="0040665D">
                  <w:pPr>
                    <w:pStyle w:val="TableBodyText"/>
                    <w:ind w:right="28"/>
                  </w:pPr>
                  <w:r w:rsidRPr="00C358C1">
                    <w:t>0.295</w:t>
                  </w:r>
                </w:p>
              </w:tc>
              <w:tc>
                <w:tcPr>
                  <w:tcW w:w="632" w:type="pct"/>
                  <w:shd w:val="clear" w:color="auto" w:fill="auto"/>
                  <w:vAlign w:val="bottom"/>
                </w:tcPr>
                <w:p w:rsidR="0040665D" w:rsidRDefault="0040665D" w:rsidP="0040665D">
                  <w:pPr>
                    <w:pStyle w:val="TableBodyText"/>
                    <w:ind w:right="28"/>
                  </w:pPr>
                  <w:r w:rsidRPr="00C358C1">
                    <w:t>0.156</w:t>
                  </w:r>
                </w:p>
              </w:tc>
              <w:tc>
                <w:tcPr>
                  <w:tcW w:w="632" w:type="pct"/>
                  <w:shd w:val="clear" w:color="auto" w:fill="auto"/>
                  <w:vAlign w:val="bottom"/>
                </w:tcPr>
                <w:p w:rsidR="0040665D" w:rsidRDefault="0040665D" w:rsidP="0040665D">
                  <w:pPr>
                    <w:pStyle w:val="TableBodyText"/>
                    <w:ind w:right="28"/>
                  </w:pPr>
                  <w:r w:rsidRPr="00C358C1">
                    <w:t>-0.023</w:t>
                  </w:r>
                </w:p>
              </w:tc>
              <w:tc>
                <w:tcPr>
                  <w:tcW w:w="632" w:type="pct"/>
                  <w:vAlign w:val="bottom"/>
                </w:tcPr>
                <w:p w:rsidR="0040665D" w:rsidRDefault="0040665D" w:rsidP="0040665D">
                  <w:pPr>
                    <w:pStyle w:val="TableBodyText"/>
                    <w:ind w:right="28"/>
                  </w:pPr>
                  <w:r w:rsidRPr="00C358C1">
                    <w:t>0.302</w:t>
                  </w:r>
                </w:p>
              </w:tc>
              <w:tc>
                <w:tcPr>
                  <w:tcW w:w="632" w:type="pct"/>
                  <w:vAlign w:val="bottom"/>
                </w:tcPr>
                <w:p w:rsidR="0040665D" w:rsidRDefault="0040665D" w:rsidP="0040665D">
                  <w:pPr>
                    <w:pStyle w:val="TableBodyText"/>
                    <w:ind w:right="28"/>
                  </w:pPr>
                  <w:r w:rsidRPr="00C358C1">
                    <w:t>0.581</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Industry x Assets</w:t>
                  </w:r>
                </w:p>
              </w:tc>
              <w:tc>
                <w:tcPr>
                  <w:tcW w:w="632" w:type="pct"/>
                  <w:shd w:val="clear" w:color="auto" w:fill="F2F2F2" w:themeFill="background1" w:themeFillShade="F2"/>
                  <w:vAlign w:val="bottom"/>
                </w:tcPr>
                <w:p w:rsidR="0040665D" w:rsidRDefault="0040665D" w:rsidP="0040665D">
                  <w:pPr>
                    <w:pStyle w:val="TableBodyText"/>
                    <w:ind w:right="28"/>
                  </w:pPr>
                  <w:r w:rsidRPr="00C358C1">
                    <w:t>0.110</w:t>
                  </w:r>
                </w:p>
              </w:tc>
              <w:tc>
                <w:tcPr>
                  <w:tcW w:w="632" w:type="pct"/>
                  <w:shd w:val="clear" w:color="auto" w:fill="F2F2F2" w:themeFill="background1" w:themeFillShade="F2"/>
                  <w:vAlign w:val="bottom"/>
                </w:tcPr>
                <w:p w:rsidR="0040665D" w:rsidRDefault="0040665D" w:rsidP="0040665D">
                  <w:pPr>
                    <w:pStyle w:val="TableBodyText"/>
                    <w:ind w:right="28"/>
                  </w:pPr>
                  <w:r w:rsidRPr="00C358C1">
                    <w:t>0.066</w:t>
                  </w:r>
                </w:p>
              </w:tc>
              <w:tc>
                <w:tcPr>
                  <w:tcW w:w="632" w:type="pct"/>
                  <w:shd w:val="clear" w:color="auto" w:fill="F2F2F2" w:themeFill="background1" w:themeFillShade="F2"/>
                  <w:vAlign w:val="bottom"/>
                </w:tcPr>
                <w:p w:rsidR="0040665D" w:rsidRDefault="0040665D" w:rsidP="0040665D">
                  <w:pPr>
                    <w:pStyle w:val="TableBodyText"/>
                    <w:ind w:right="28"/>
                  </w:pPr>
                  <w:r w:rsidRPr="00C358C1">
                    <w:t>-0.012</w:t>
                  </w:r>
                </w:p>
              </w:tc>
              <w:tc>
                <w:tcPr>
                  <w:tcW w:w="632" w:type="pct"/>
                  <w:shd w:val="clear" w:color="auto" w:fill="F2F2F2" w:themeFill="background1" w:themeFillShade="F2"/>
                  <w:vAlign w:val="bottom"/>
                </w:tcPr>
                <w:p w:rsidR="0040665D" w:rsidRDefault="0040665D" w:rsidP="0040665D">
                  <w:pPr>
                    <w:pStyle w:val="TableBodyText"/>
                    <w:ind w:right="28"/>
                  </w:pPr>
                  <w:r w:rsidRPr="00C358C1">
                    <w:t>0.108</w:t>
                  </w:r>
                </w:p>
              </w:tc>
              <w:tc>
                <w:tcPr>
                  <w:tcW w:w="632" w:type="pct"/>
                  <w:shd w:val="clear" w:color="auto" w:fill="F2F2F2" w:themeFill="background1" w:themeFillShade="F2"/>
                  <w:vAlign w:val="bottom"/>
                </w:tcPr>
                <w:p w:rsidR="0040665D" w:rsidRDefault="0040665D" w:rsidP="0040665D">
                  <w:pPr>
                    <w:pStyle w:val="TableBodyText"/>
                    <w:ind w:right="28"/>
                  </w:pPr>
                  <w:r w:rsidRPr="00C358C1">
                    <w:t>0.243</w:t>
                  </w:r>
                </w:p>
              </w:tc>
            </w:tr>
            <w:tr w:rsidR="0040665D" w:rsidTr="004C4BB2">
              <w:tc>
                <w:tcPr>
                  <w:tcW w:w="1842" w:type="pct"/>
                  <w:shd w:val="clear" w:color="auto" w:fill="auto"/>
                  <w:vAlign w:val="bottom"/>
                </w:tcPr>
                <w:p w:rsidR="0040665D" w:rsidRDefault="0040665D" w:rsidP="0040665D">
                  <w:pPr>
                    <w:pStyle w:val="TableBodyText"/>
                    <w:jc w:val="left"/>
                  </w:pPr>
                  <w:r w:rsidRPr="00C358C1">
                    <w:t>Public x Assets</w:t>
                  </w:r>
                </w:p>
              </w:tc>
              <w:tc>
                <w:tcPr>
                  <w:tcW w:w="632" w:type="pct"/>
                  <w:vAlign w:val="bottom"/>
                </w:tcPr>
                <w:p w:rsidR="0040665D" w:rsidRDefault="0040665D" w:rsidP="0040665D">
                  <w:pPr>
                    <w:pStyle w:val="TableBodyText"/>
                    <w:ind w:right="28"/>
                  </w:pPr>
                  <w:r w:rsidRPr="00C358C1">
                    <w:t>-0.208</w:t>
                  </w:r>
                </w:p>
              </w:tc>
              <w:tc>
                <w:tcPr>
                  <w:tcW w:w="632" w:type="pct"/>
                  <w:shd w:val="clear" w:color="auto" w:fill="auto"/>
                  <w:vAlign w:val="bottom"/>
                </w:tcPr>
                <w:p w:rsidR="0040665D" w:rsidRDefault="0040665D" w:rsidP="0040665D">
                  <w:pPr>
                    <w:pStyle w:val="TableBodyText"/>
                    <w:ind w:right="28"/>
                  </w:pPr>
                  <w:r w:rsidRPr="00C358C1">
                    <w:t>0.076</w:t>
                  </w:r>
                </w:p>
              </w:tc>
              <w:tc>
                <w:tcPr>
                  <w:tcW w:w="632" w:type="pct"/>
                  <w:shd w:val="clear" w:color="auto" w:fill="auto"/>
                  <w:vAlign w:val="bottom"/>
                </w:tcPr>
                <w:p w:rsidR="0040665D" w:rsidRDefault="0040665D" w:rsidP="0040665D">
                  <w:pPr>
                    <w:pStyle w:val="TableBodyText"/>
                    <w:ind w:right="28"/>
                  </w:pPr>
                  <w:r w:rsidRPr="00C358C1">
                    <w:t>-0.352</w:t>
                  </w:r>
                </w:p>
              </w:tc>
              <w:tc>
                <w:tcPr>
                  <w:tcW w:w="632" w:type="pct"/>
                  <w:vAlign w:val="bottom"/>
                </w:tcPr>
                <w:p w:rsidR="0040665D" w:rsidRDefault="0040665D" w:rsidP="0040665D">
                  <w:pPr>
                    <w:pStyle w:val="TableBodyText"/>
                    <w:ind w:right="28"/>
                  </w:pPr>
                  <w:r w:rsidRPr="00C358C1">
                    <w:t>-0.211</w:t>
                  </w:r>
                </w:p>
              </w:tc>
              <w:tc>
                <w:tcPr>
                  <w:tcW w:w="632" w:type="pct"/>
                  <w:vAlign w:val="bottom"/>
                </w:tcPr>
                <w:p w:rsidR="0040665D" w:rsidRDefault="0040665D" w:rsidP="0040665D">
                  <w:pPr>
                    <w:pStyle w:val="TableBodyText"/>
                    <w:ind w:right="28"/>
                  </w:pPr>
                  <w:r w:rsidRPr="00C358C1">
                    <w:t>-0.052</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Retail x Assets</w:t>
                  </w:r>
                </w:p>
              </w:tc>
              <w:tc>
                <w:tcPr>
                  <w:tcW w:w="632" w:type="pct"/>
                  <w:shd w:val="clear" w:color="auto" w:fill="F2F2F2" w:themeFill="background1" w:themeFillShade="F2"/>
                  <w:vAlign w:val="bottom"/>
                </w:tcPr>
                <w:p w:rsidR="0040665D" w:rsidRDefault="0040665D" w:rsidP="0040665D">
                  <w:pPr>
                    <w:pStyle w:val="TableBodyText"/>
                    <w:ind w:right="28"/>
                  </w:pPr>
                  <w:r w:rsidRPr="00C358C1">
                    <w:t>-0.151</w:t>
                  </w:r>
                </w:p>
              </w:tc>
              <w:tc>
                <w:tcPr>
                  <w:tcW w:w="632" w:type="pct"/>
                  <w:shd w:val="clear" w:color="auto" w:fill="F2F2F2" w:themeFill="background1" w:themeFillShade="F2"/>
                  <w:vAlign w:val="bottom"/>
                </w:tcPr>
                <w:p w:rsidR="0040665D" w:rsidRDefault="0040665D" w:rsidP="0040665D">
                  <w:pPr>
                    <w:pStyle w:val="TableBodyText"/>
                    <w:ind w:right="28"/>
                  </w:pPr>
                  <w:r w:rsidRPr="00C358C1">
                    <w:t>0.048</w:t>
                  </w:r>
                </w:p>
              </w:tc>
              <w:tc>
                <w:tcPr>
                  <w:tcW w:w="632" w:type="pct"/>
                  <w:shd w:val="clear" w:color="auto" w:fill="F2F2F2" w:themeFill="background1" w:themeFillShade="F2"/>
                  <w:vAlign w:val="bottom"/>
                </w:tcPr>
                <w:p w:rsidR="0040665D" w:rsidRDefault="0040665D" w:rsidP="0040665D">
                  <w:pPr>
                    <w:pStyle w:val="TableBodyText"/>
                    <w:ind w:right="28"/>
                  </w:pPr>
                  <w:r w:rsidRPr="00C358C1">
                    <w:t>-0.246</w:t>
                  </w:r>
                </w:p>
              </w:tc>
              <w:tc>
                <w:tcPr>
                  <w:tcW w:w="632" w:type="pct"/>
                  <w:shd w:val="clear" w:color="auto" w:fill="F2F2F2" w:themeFill="background1" w:themeFillShade="F2"/>
                  <w:vAlign w:val="bottom"/>
                </w:tcPr>
                <w:p w:rsidR="0040665D" w:rsidRDefault="0040665D" w:rsidP="0040665D">
                  <w:pPr>
                    <w:pStyle w:val="TableBodyText"/>
                    <w:ind w:right="28"/>
                  </w:pPr>
                  <w:r w:rsidRPr="00C358C1">
                    <w:t>-0.152</w:t>
                  </w:r>
                </w:p>
              </w:tc>
              <w:tc>
                <w:tcPr>
                  <w:tcW w:w="632" w:type="pct"/>
                  <w:shd w:val="clear" w:color="auto" w:fill="F2F2F2" w:themeFill="background1" w:themeFillShade="F2"/>
                  <w:vAlign w:val="bottom"/>
                </w:tcPr>
                <w:p w:rsidR="0040665D" w:rsidRDefault="0040665D" w:rsidP="0040665D">
                  <w:pPr>
                    <w:pStyle w:val="TableBodyText"/>
                    <w:ind w:right="28"/>
                  </w:pPr>
                  <w:r w:rsidRPr="00C358C1">
                    <w:t>-0.055</w:t>
                  </w:r>
                </w:p>
              </w:tc>
            </w:tr>
            <w:tr w:rsidR="0040665D" w:rsidTr="004C4BB2">
              <w:tc>
                <w:tcPr>
                  <w:tcW w:w="1842" w:type="pct"/>
                  <w:shd w:val="clear" w:color="auto" w:fill="auto"/>
                  <w:vAlign w:val="bottom"/>
                </w:tcPr>
                <w:p w:rsidR="0040665D" w:rsidRDefault="0040665D" w:rsidP="0040665D">
                  <w:pPr>
                    <w:pStyle w:val="TableBodyText"/>
                    <w:jc w:val="left"/>
                  </w:pPr>
                  <w:r w:rsidRPr="00C358C1">
                    <w:t>Industry x Other</w:t>
                  </w:r>
                </w:p>
              </w:tc>
              <w:tc>
                <w:tcPr>
                  <w:tcW w:w="632" w:type="pct"/>
                  <w:vAlign w:val="bottom"/>
                </w:tcPr>
                <w:p w:rsidR="0040665D" w:rsidRDefault="0040665D" w:rsidP="0040665D">
                  <w:pPr>
                    <w:pStyle w:val="TableBodyText"/>
                    <w:ind w:right="28"/>
                  </w:pPr>
                  <w:r w:rsidRPr="00C358C1">
                    <w:t>0.079</w:t>
                  </w:r>
                </w:p>
              </w:tc>
              <w:tc>
                <w:tcPr>
                  <w:tcW w:w="632" w:type="pct"/>
                  <w:shd w:val="clear" w:color="auto" w:fill="auto"/>
                  <w:vAlign w:val="bottom"/>
                </w:tcPr>
                <w:p w:rsidR="0040665D" w:rsidRDefault="0040665D" w:rsidP="0040665D">
                  <w:pPr>
                    <w:pStyle w:val="TableBodyText"/>
                    <w:ind w:right="28"/>
                  </w:pPr>
                  <w:r w:rsidRPr="00C358C1">
                    <w:t>0.108</w:t>
                  </w:r>
                </w:p>
              </w:tc>
              <w:tc>
                <w:tcPr>
                  <w:tcW w:w="632" w:type="pct"/>
                  <w:shd w:val="clear" w:color="auto" w:fill="auto"/>
                  <w:vAlign w:val="bottom"/>
                </w:tcPr>
                <w:p w:rsidR="0040665D" w:rsidRDefault="0040665D" w:rsidP="0040665D">
                  <w:pPr>
                    <w:pStyle w:val="TableBodyText"/>
                    <w:ind w:right="28"/>
                  </w:pPr>
                  <w:r w:rsidRPr="00C358C1">
                    <w:t>-0.133</w:t>
                  </w:r>
                </w:p>
              </w:tc>
              <w:tc>
                <w:tcPr>
                  <w:tcW w:w="632" w:type="pct"/>
                  <w:vAlign w:val="bottom"/>
                </w:tcPr>
                <w:p w:rsidR="0040665D" w:rsidRDefault="0040665D" w:rsidP="0040665D">
                  <w:pPr>
                    <w:pStyle w:val="TableBodyText"/>
                    <w:ind w:right="28"/>
                  </w:pPr>
                  <w:r w:rsidRPr="00C358C1">
                    <w:t>0.080</w:t>
                  </w:r>
                </w:p>
              </w:tc>
              <w:tc>
                <w:tcPr>
                  <w:tcW w:w="632" w:type="pct"/>
                  <w:vAlign w:val="bottom"/>
                </w:tcPr>
                <w:p w:rsidR="0040665D" w:rsidRDefault="0040665D" w:rsidP="0040665D">
                  <w:pPr>
                    <w:pStyle w:val="TableBodyText"/>
                    <w:ind w:right="28"/>
                  </w:pPr>
                  <w:r w:rsidRPr="00C358C1">
                    <w:t>0.282</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Public x Other</w:t>
                  </w:r>
                </w:p>
              </w:tc>
              <w:tc>
                <w:tcPr>
                  <w:tcW w:w="632" w:type="pct"/>
                  <w:shd w:val="clear" w:color="auto" w:fill="F2F2F2" w:themeFill="background1" w:themeFillShade="F2"/>
                  <w:vAlign w:val="bottom"/>
                </w:tcPr>
                <w:p w:rsidR="0040665D" w:rsidRDefault="0040665D" w:rsidP="0040665D">
                  <w:pPr>
                    <w:pStyle w:val="TableBodyText"/>
                    <w:ind w:right="28"/>
                  </w:pPr>
                  <w:r w:rsidRPr="00C358C1">
                    <w:t>-0.069</w:t>
                  </w:r>
                </w:p>
              </w:tc>
              <w:tc>
                <w:tcPr>
                  <w:tcW w:w="632" w:type="pct"/>
                  <w:shd w:val="clear" w:color="auto" w:fill="F2F2F2" w:themeFill="background1" w:themeFillShade="F2"/>
                  <w:vAlign w:val="bottom"/>
                </w:tcPr>
                <w:p w:rsidR="0040665D" w:rsidRDefault="0040665D" w:rsidP="0040665D">
                  <w:pPr>
                    <w:pStyle w:val="TableBodyText"/>
                    <w:ind w:right="28"/>
                  </w:pPr>
                  <w:r w:rsidRPr="00C358C1">
                    <w:t>0.138</w:t>
                  </w:r>
                </w:p>
              </w:tc>
              <w:tc>
                <w:tcPr>
                  <w:tcW w:w="632" w:type="pct"/>
                  <w:shd w:val="clear" w:color="auto" w:fill="F2F2F2" w:themeFill="background1" w:themeFillShade="F2"/>
                  <w:vAlign w:val="bottom"/>
                </w:tcPr>
                <w:p w:rsidR="0040665D" w:rsidRDefault="0040665D" w:rsidP="0040665D">
                  <w:pPr>
                    <w:pStyle w:val="TableBodyText"/>
                    <w:ind w:right="28"/>
                  </w:pPr>
                  <w:r w:rsidRPr="00C358C1">
                    <w:t>-0.355</w:t>
                  </w:r>
                </w:p>
              </w:tc>
              <w:tc>
                <w:tcPr>
                  <w:tcW w:w="632" w:type="pct"/>
                  <w:shd w:val="clear" w:color="auto" w:fill="F2F2F2" w:themeFill="background1" w:themeFillShade="F2"/>
                  <w:vAlign w:val="bottom"/>
                </w:tcPr>
                <w:p w:rsidR="0040665D" w:rsidRDefault="0040665D" w:rsidP="0040665D">
                  <w:pPr>
                    <w:pStyle w:val="TableBodyText"/>
                    <w:ind w:right="28"/>
                  </w:pPr>
                  <w:r w:rsidRPr="00C358C1">
                    <w:t>-0.071</w:t>
                  </w:r>
                </w:p>
              </w:tc>
              <w:tc>
                <w:tcPr>
                  <w:tcW w:w="632" w:type="pct"/>
                  <w:shd w:val="clear" w:color="auto" w:fill="F2F2F2" w:themeFill="background1" w:themeFillShade="F2"/>
                  <w:vAlign w:val="bottom"/>
                </w:tcPr>
                <w:p w:rsidR="0040665D" w:rsidRDefault="0040665D" w:rsidP="0040665D">
                  <w:pPr>
                    <w:pStyle w:val="TableBodyText"/>
                    <w:ind w:right="28"/>
                  </w:pPr>
                  <w:r w:rsidRPr="00C358C1">
                    <w:t>0.210</w:t>
                  </w:r>
                </w:p>
              </w:tc>
            </w:tr>
            <w:tr w:rsidR="0040665D" w:rsidTr="004C4BB2">
              <w:tc>
                <w:tcPr>
                  <w:tcW w:w="1842" w:type="pct"/>
                  <w:shd w:val="clear" w:color="auto" w:fill="auto"/>
                  <w:vAlign w:val="bottom"/>
                </w:tcPr>
                <w:p w:rsidR="0040665D" w:rsidRDefault="0040665D" w:rsidP="0040665D">
                  <w:pPr>
                    <w:pStyle w:val="TableBodyText"/>
                    <w:jc w:val="left"/>
                  </w:pPr>
                  <w:r w:rsidRPr="00C358C1">
                    <w:t>Retail x Other</w:t>
                  </w:r>
                </w:p>
              </w:tc>
              <w:tc>
                <w:tcPr>
                  <w:tcW w:w="632" w:type="pct"/>
                  <w:vAlign w:val="bottom"/>
                </w:tcPr>
                <w:p w:rsidR="0040665D" w:rsidRDefault="0040665D" w:rsidP="0040665D">
                  <w:pPr>
                    <w:pStyle w:val="TableBodyText"/>
                    <w:ind w:right="28"/>
                  </w:pPr>
                  <w:r w:rsidRPr="00C358C1">
                    <w:t>0.106</w:t>
                  </w:r>
                </w:p>
              </w:tc>
              <w:tc>
                <w:tcPr>
                  <w:tcW w:w="632" w:type="pct"/>
                  <w:shd w:val="clear" w:color="auto" w:fill="auto"/>
                  <w:vAlign w:val="bottom"/>
                </w:tcPr>
                <w:p w:rsidR="0040665D" w:rsidRDefault="0040665D" w:rsidP="0040665D">
                  <w:pPr>
                    <w:pStyle w:val="TableBodyText"/>
                    <w:ind w:right="28"/>
                  </w:pPr>
                  <w:r w:rsidRPr="00C358C1">
                    <w:t>0.105</w:t>
                  </w:r>
                </w:p>
              </w:tc>
              <w:tc>
                <w:tcPr>
                  <w:tcW w:w="632" w:type="pct"/>
                  <w:shd w:val="clear" w:color="auto" w:fill="auto"/>
                  <w:vAlign w:val="bottom"/>
                </w:tcPr>
                <w:p w:rsidR="0040665D" w:rsidRDefault="0040665D" w:rsidP="0040665D">
                  <w:pPr>
                    <w:pStyle w:val="TableBodyText"/>
                    <w:ind w:right="28"/>
                  </w:pPr>
                  <w:r w:rsidRPr="00C358C1">
                    <w:t>-0.092</w:t>
                  </w:r>
                </w:p>
              </w:tc>
              <w:tc>
                <w:tcPr>
                  <w:tcW w:w="632" w:type="pct"/>
                  <w:vAlign w:val="bottom"/>
                </w:tcPr>
                <w:p w:rsidR="0040665D" w:rsidRDefault="0040665D" w:rsidP="0040665D">
                  <w:pPr>
                    <w:pStyle w:val="TableBodyText"/>
                    <w:ind w:right="28"/>
                  </w:pPr>
                  <w:r w:rsidRPr="00C358C1">
                    <w:t>0.107</w:t>
                  </w:r>
                </w:p>
              </w:tc>
              <w:tc>
                <w:tcPr>
                  <w:tcW w:w="632" w:type="pct"/>
                  <w:vAlign w:val="bottom"/>
                </w:tcPr>
                <w:p w:rsidR="0040665D" w:rsidRDefault="0040665D" w:rsidP="0040665D">
                  <w:pPr>
                    <w:pStyle w:val="TableBodyText"/>
                    <w:ind w:right="28"/>
                  </w:pPr>
                  <w:r w:rsidRPr="00C358C1">
                    <w:t>0.310</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PRC x Aus fixed interest</w:t>
                  </w:r>
                </w:p>
              </w:tc>
              <w:tc>
                <w:tcPr>
                  <w:tcW w:w="632" w:type="pct"/>
                  <w:shd w:val="clear" w:color="auto" w:fill="F2F2F2" w:themeFill="background1" w:themeFillShade="F2"/>
                  <w:vAlign w:val="bottom"/>
                </w:tcPr>
                <w:p w:rsidR="0040665D" w:rsidRDefault="0040665D" w:rsidP="0040665D">
                  <w:pPr>
                    <w:pStyle w:val="TableBodyText"/>
                    <w:ind w:right="28"/>
                  </w:pPr>
                  <w:r w:rsidRPr="00C358C1">
                    <w:t>-0.065</w:t>
                  </w:r>
                </w:p>
              </w:tc>
              <w:tc>
                <w:tcPr>
                  <w:tcW w:w="632" w:type="pct"/>
                  <w:shd w:val="clear" w:color="auto" w:fill="F2F2F2" w:themeFill="background1" w:themeFillShade="F2"/>
                  <w:vAlign w:val="bottom"/>
                </w:tcPr>
                <w:p w:rsidR="0040665D" w:rsidRDefault="0040665D" w:rsidP="0040665D">
                  <w:pPr>
                    <w:pStyle w:val="TableBodyText"/>
                    <w:ind w:right="28"/>
                  </w:pPr>
                  <w:r w:rsidRPr="00C358C1">
                    <w:t>0.040</w:t>
                  </w:r>
                </w:p>
              </w:tc>
              <w:tc>
                <w:tcPr>
                  <w:tcW w:w="632" w:type="pct"/>
                  <w:shd w:val="clear" w:color="auto" w:fill="F2F2F2" w:themeFill="background1" w:themeFillShade="F2"/>
                  <w:vAlign w:val="bottom"/>
                </w:tcPr>
                <w:p w:rsidR="0040665D" w:rsidRDefault="0040665D" w:rsidP="0040665D">
                  <w:pPr>
                    <w:pStyle w:val="TableBodyText"/>
                    <w:ind w:right="28"/>
                  </w:pPr>
                  <w:r w:rsidRPr="00C358C1">
                    <w:t>-0.140</w:t>
                  </w:r>
                </w:p>
              </w:tc>
              <w:tc>
                <w:tcPr>
                  <w:tcW w:w="632" w:type="pct"/>
                  <w:shd w:val="clear" w:color="auto" w:fill="F2F2F2" w:themeFill="background1" w:themeFillShade="F2"/>
                  <w:vAlign w:val="bottom"/>
                </w:tcPr>
                <w:p w:rsidR="0040665D" w:rsidRDefault="0040665D" w:rsidP="0040665D">
                  <w:pPr>
                    <w:pStyle w:val="TableBodyText"/>
                    <w:ind w:right="28"/>
                  </w:pPr>
                  <w:r w:rsidRPr="00C358C1">
                    <w:t>-0.064</w:t>
                  </w:r>
                </w:p>
              </w:tc>
              <w:tc>
                <w:tcPr>
                  <w:tcW w:w="632" w:type="pct"/>
                  <w:shd w:val="clear" w:color="auto" w:fill="F2F2F2" w:themeFill="background1" w:themeFillShade="F2"/>
                  <w:vAlign w:val="bottom"/>
                </w:tcPr>
                <w:p w:rsidR="0040665D" w:rsidRDefault="0040665D" w:rsidP="0040665D">
                  <w:pPr>
                    <w:pStyle w:val="TableBodyText"/>
                    <w:ind w:right="28"/>
                  </w:pPr>
                  <w:r w:rsidRPr="00C358C1">
                    <w:t>0.010</w:t>
                  </w:r>
                </w:p>
              </w:tc>
            </w:tr>
            <w:tr w:rsidR="0040665D" w:rsidTr="004C4BB2">
              <w:tc>
                <w:tcPr>
                  <w:tcW w:w="1842" w:type="pct"/>
                  <w:shd w:val="clear" w:color="auto" w:fill="auto"/>
                  <w:vAlign w:val="bottom"/>
                </w:tcPr>
                <w:p w:rsidR="0040665D" w:rsidRDefault="0040665D" w:rsidP="0040665D">
                  <w:pPr>
                    <w:pStyle w:val="TableBodyText"/>
                    <w:jc w:val="left"/>
                  </w:pPr>
                  <w:r w:rsidRPr="00C358C1">
                    <w:t>PRC x International fixed interest</w:t>
                  </w:r>
                </w:p>
              </w:tc>
              <w:tc>
                <w:tcPr>
                  <w:tcW w:w="632" w:type="pct"/>
                  <w:vAlign w:val="bottom"/>
                </w:tcPr>
                <w:p w:rsidR="0040665D" w:rsidRDefault="0040665D" w:rsidP="0040665D">
                  <w:pPr>
                    <w:pStyle w:val="TableBodyText"/>
                    <w:ind w:right="28"/>
                  </w:pPr>
                  <w:r w:rsidRPr="00C358C1">
                    <w:t>0.073</w:t>
                  </w:r>
                </w:p>
              </w:tc>
              <w:tc>
                <w:tcPr>
                  <w:tcW w:w="632" w:type="pct"/>
                  <w:shd w:val="clear" w:color="auto" w:fill="auto"/>
                  <w:vAlign w:val="bottom"/>
                </w:tcPr>
                <w:p w:rsidR="0040665D" w:rsidRDefault="0040665D" w:rsidP="0040665D">
                  <w:pPr>
                    <w:pStyle w:val="TableBodyText"/>
                    <w:ind w:right="28"/>
                  </w:pPr>
                  <w:r w:rsidRPr="00C358C1">
                    <w:t>0.037</w:t>
                  </w:r>
                </w:p>
              </w:tc>
              <w:tc>
                <w:tcPr>
                  <w:tcW w:w="632" w:type="pct"/>
                  <w:shd w:val="clear" w:color="auto" w:fill="auto"/>
                  <w:vAlign w:val="bottom"/>
                </w:tcPr>
                <w:p w:rsidR="0040665D" w:rsidRDefault="0040665D" w:rsidP="0040665D">
                  <w:pPr>
                    <w:pStyle w:val="TableBodyText"/>
                    <w:ind w:right="28"/>
                  </w:pPr>
                  <w:r w:rsidRPr="00C358C1">
                    <w:t>-0.003</w:t>
                  </w:r>
                </w:p>
              </w:tc>
              <w:tc>
                <w:tcPr>
                  <w:tcW w:w="632" w:type="pct"/>
                  <w:vAlign w:val="bottom"/>
                </w:tcPr>
                <w:p w:rsidR="0040665D" w:rsidRDefault="0040665D" w:rsidP="0040665D">
                  <w:pPr>
                    <w:pStyle w:val="TableBodyText"/>
                    <w:ind w:right="28"/>
                  </w:pPr>
                  <w:r w:rsidRPr="00C358C1">
                    <w:t>0.072</w:t>
                  </w:r>
                </w:p>
              </w:tc>
              <w:tc>
                <w:tcPr>
                  <w:tcW w:w="632" w:type="pct"/>
                  <w:vAlign w:val="bottom"/>
                </w:tcPr>
                <w:p w:rsidR="0040665D" w:rsidRDefault="0040665D" w:rsidP="0040665D">
                  <w:pPr>
                    <w:pStyle w:val="TableBodyText"/>
                    <w:ind w:right="28"/>
                  </w:pPr>
                  <w:r w:rsidRPr="00C358C1">
                    <w:t>0.148</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PRC x Aus equity</w:t>
                  </w:r>
                </w:p>
              </w:tc>
              <w:tc>
                <w:tcPr>
                  <w:tcW w:w="632" w:type="pct"/>
                  <w:shd w:val="clear" w:color="auto" w:fill="F2F2F2" w:themeFill="background1" w:themeFillShade="F2"/>
                  <w:vAlign w:val="bottom"/>
                </w:tcPr>
                <w:p w:rsidR="0040665D" w:rsidRDefault="0040665D" w:rsidP="0040665D">
                  <w:pPr>
                    <w:pStyle w:val="TableBodyText"/>
                    <w:ind w:right="28"/>
                  </w:pPr>
                  <w:r w:rsidRPr="00C358C1">
                    <w:t>0.014</w:t>
                  </w:r>
                </w:p>
              </w:tc>
              <w:tc>
                <w:tcPr>
                  <w:tcW w:w="632" w:type="pct"/>
                  <w:shd w:val="clear" w:color="auto" w:fill="F2F2F2" w:themeFill="background1" w:themeFillShade="F2"/>
                  <w:vAlign w:val="bottom"/>
                </w:tcPr>
                <w:p w:rsidR="0040665D" w:rsidRDefault="0040665D" w:rsidP="0040665D">
                  <w:pPr>
                    <w:pStyle w:val="TableBodyText"/>
                    <w:ind w:right="28"/>
                  </w:pPr>
                  <w:r w:rsidRPr="00C358C1">
                    <w:t>0.037</w:t>
                  </w:r>
                </w:p>
              </w:tc>
              <w:tc>
                <w:tcPr>
                  <w:tcW w:w="632" w:type="pct"/>
                  <w:shd w:val="clear" w:color="auto" w:fill="F2F2F2" w:themeFill="background1" w:themeFillShade="F2"/>
                  <w:vAlign w:val="bottom"/>
                </w:tcPr>
                <w:p w:rsidR="0040665D" w:rsidRDefault="0040665D" w:rsidP="0040665D">
                  <w:pPr>
                    <w:pStyle w:val="TableBodyText"/>
                    <w:ind w:right="28"/>
                  </w:pPr>
                  <w:r w:rsidRPr="00C358C1">
                    <w:t>-0.057</w:t>
                  </w:r>
                </w:p>
              </w:tc>
              <w:tc>
                <w:tcPr>
                  <w:tcW w:w="632" w:type="pct"/>
                  <w:shd w:val="clear" w:color="auto" w:fill="F2F2F2" w:themeFill="background1" w:themeFillShade="F2"/>
                  <w:vAlign w:val="bottom"/>
                </w:tcPr>
                <w:p w:rsidR="0040665D" w:rsidRDefault="0040665D" w:rsidP="0040665D">
                  <w:pPr>
                    <w:pStyle w:val="TableBodyText"/>
                    <w:ind w:right="28"/>
                  </w:pPr>
                  <w:r w:rsidRPr="00C358C1">
                    <w:t>0.014</w:t>
                  </w:r>
                </w:p>
              </w:tc>
              <w:tc>
                <w:tcPr>
                  <w:tcW w:w="632" w:type="pct"/>
                  <w:shd w:val="clear" w:color="auto" w:fill="F2F2F2" w:themeFill="background1" w:themeFillShade="F2"/>
                  <w:vAlign w:val="bottom"/>
                </w:tcPr>
                <w:p w:rsidR="0040665D" w:rsidRDefault="0040665D" w:rsidP="0040665D">
                  <w:pPr>
                    <w:pStyle w:val="TableBodyText"/>
                    <w:ind w:right="28"/>
                  </w:pPr>
                  <w:r w:rsidRPr="00C358C1">
                    <w:t>0.088</w:t>
                  </w:r>
                </w:p>
              </w:tc>
            </w:tr>
            <w:tr w:rsidR="0040665D" w:rsidTr="004C4BB2">
              <w:tc>
                <w:tcPr>
                  <w:tcW w:w="1842" w:type="pct"/>
                  <w:shd w:val="clear" w:color="auto" w:fill="auto"/>
                  <w:vAlign w:val="bottom"/>
                </w:tcPr>
                <w:p w:rsidR="0040665D" w:rsidRDefault="0040665D" w:rsidP="0040665D">
                  <w:pPr>
                    <w:pStyle w:val="TableBodyText"/>
                    <w:jc w:val="left"/>
                  </w:pPr>
                  <w:r w:rsidRPr="00C358C1">
                    <w:t>PRC x International equity</w:t>
                  </w:r>
                </w:p>
              </w:tc>
              <w:tc>
                <w:tcPr>
                  <w:tcW w:w="632" w:type="pct"/>
                  <w:vAlign w:val="bottom"/>
                </w:tcPr>
                <w:p w:rsidR="0040665D" w:rsidRDefault="0040665D" w:rsidP="0040665D">
                  <w:pPr>
                    <w:pStyle w:val="TableBodyText"/>
                    <w:ind w:right="28"/>
                  </w:pPr>
                  <w:r w:rsidRPr="00C358C1">
                    <w:t>-0.111</w:t>
                  </w:r>
                </w:p>
              </w:tc>
              <w:tc>
                <w:tcPr>
                  <w:tcW w:w="632" w:type="pct"/>
                  <w:shd w:val="clear" w:color="auto" w:fill="auto"/>
                  <w:vAlign w:val="bottom"/>
                </w:tcPr>
                <w:p w:rsidR="0040665D" w:rsidRDefault="0040665D" w:rsidP="0040665D">
                  <w:pPr>
                    <w:pStyle w:val="TableBodyText"/>
                    <w:ind w:right="28"/>
                  </w:pPr>
                  <w:r w:rsidRPr="00C358C1">
                    <w:t>0.034</w:t>
                  </w:r>
                </w:p>
              </w:tc>
              <w:tc>
                <w:tcPr>
                  <w:tcW w:w="632" w:type="pct"/>
                  <w:shd w:val="clear" w:color="auto" w:fill="auto"/>
                  <w:vAlign w:val="bottom"/>
                </w:tcPr>
                <w:p w:rsidR="0040665D" w:rsidRDefault="0040665D" w:rsidP="0040665D">
                  <w:pPr>
                    <w:pStyle w:val="TableBodyText"/>
                    <w:ind w:right="28"/>
                  </w:pPr>
                  <w:r w:rsidRPr="00C358C1">
                    <w:t>-0.181</w:t>
                  </w:r>
                </w:p>
              </w:tc>
              <w:tc>
                <w:tcPr>
                  <w:tcW w:w="632" w:type="pct"/>
                  <w:vAlign w:val="bottom"/>
                </w:tcPr>
                <w:p w:rsidR="0040665D" w:rsidRDefault="0040665D" w:rsidP="0040665D">
                  <w:pPr>
                    <w:pStyle w:val="TableBodyText"/>
                    <w:ind w:right="28"/>
                  </w:pPr>
                  <w:r w:rsidRPr="00C358C1">
                    <w:t>-0.112</w:t>
                  </w:r>
                </w:p>
              </w:tc>
              <w:tc>
                <w:tcPr>
                  <w:tcW w:w="632" w:type="pct"/>
                  <w:vAlign w:val="bottom"/>
                </w:tcPr>
                <w:p w:rsidR="0040665D" w:rsidRDefault="0040665D" w:rsidP="0040665D">
                  <w:pPr>
                    <w:pStyle w:val="TableBodyText"/>
                    <w:ind w:right="28"/>
                  </w:pPr>
                  <w:r w:rsidRPr="00C358C1">
                    <w:t>-0.045</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PRC x Listed Property</w:t>
                  </w:r>
                </w:p>
              </w:tc>
              <w:tc>
                <w:tcPr>
                  <w:tcW w:w="632" w:type="pct"/>
                  <w:shd w:val="clear" w:color="auto" w:fill="F2F2F2" w:themeFill="background1" w:themeFillShade="F2"/>
                  <w:vAlign w:val="bottom"/>
                </w:tcPr>
                <w:p w:rsidR="0040665D" w:rsidRDefault="0040665D" w:rsidP="0040665D">
                  <w:pPr>
                    <w:pStyle w:val="TableBodyText"/>
                    <w:ind w:right="28"/>
                  </w:pPr>
                  <w:r w:rsidRPr="00C358C1">
                    <w:t>0.075</w:t>
                  </w:r>
                </w:p>
              </w:tc>
              <w:tc>
                <w:tcPr>
                  <w:tcW w:w="632" w:type="pct"/>
                  <w:shd w:val="clear" w:color="auto" w:fill="F2F2F2" w:themeFill="background1" w:themeFillShade="F2"/>
                  <w:vAlign w:val="bottom"/>
                </w:tcPr>
                <w:p w:rsidR="0040665D" w:rsidRDefault="0040665D" w:rsidP="0040665D">
                  <w:pPr>
                    <w:pStyle w:val="TableBodyText"/>
                    <w:ind w:right="28"/>
                  </w:pPr>
                  <w:r w:rsidRPr="00C358C1">
                    <w:t>0.045</w:t>
                  </w:r>
                </w:p>
              </w:tc>
              <w:tc>
                <w:tcPr>
                  <w:tcW w:w="632" w:type="pct"/>
                  <w:shd w:val="clear" w:color="auto" w:fill="F2F2F2" w:themeFill="background1" w:themeFillShade="F2"/>
                  <w:vAlign w:val="bottom"/>
                </w:tcPr>
                <w:p w:rsidR="0040665D" w:rsidRDefault="0040665D" w:rsidP="0040665D">
                  <w:pPr>
                    <w:pStyle w:val="TableBodyText"/>
                    <w:ind w:right="28"/>
                  </w:pPr>
                  <w:r w:rsidRPr="00C358C1">
                    <w:t>-0.012</w:t>
                  </w:r>
                </w:p>
              </w:tc>
              <w:tc>
                <w:tcPr>
                  <w:tcW w:w="632" w:type="pct"/>
                  <w:shd w:val="clear" w:color="auto" w:fill="F2F2F2" w:themeFill="background1" w:themeFillShade="F2"/>
                  <w:vAlign w:val="bottom"/>
                </w:tcPr>
                <w:p w:rsidR="0040665D" w:rsidRDefault="0040665D" w:rsidP="0040665D">
                  <w:pPr>
                    <w:pStyle w:val="TableBodyText"/>
                    <w:ind w:right="28"/>
                  </w:pPr>
                  <w:r w:rsidRPr="00C358C1">
                    <w:t>0.075</w:t>
                  </w:r>
                </w:p>
              </w:tc>
              <w:tc>
                <w:tcPr>
                  <w:tcW w:w="632" w:type="pct"/>
                  <w:shd w:val="clear" w:color="auto" w:fill="F2F2F2" w:themeFill="background1" w:themeFillShade="F2"/>
                  <w:vAlign w:val="bottom"/>
                </w:tcPr>
                <w:p w:rsidR="0040665D" w:rsidRDefault="0040665D" w:rsidP="0040665D">
                  <w:pPr>
                    <w:pStyle w:val="TableBodyText"/>
                    <w:ind w:right="28"/>
                  </w:pPr>
                  <w:r w:rsidRPr="00C358C1">
                    <w:t>0.163</w:t>
                  </w:r>
                </w:p>
              </w:tc>
            </w:tr>
            <w:tr w:rsidR="0040665D" w:rsidTr="004C4BB2">
              <w:tc>
                <w:tcPr>
                  <w:tcW w:w="1842" w:type="pct"/>
                  <w:shd w:val="clear" w:color="auto" w:fill="auto"/>
                  <w:vAlign w:val="bottom"/>
                </w:tcPr>
                <w:p w:rsidR="0040665D" w:rsidRDefault="0040665D" w:rsidP="0040665D">
                  <w:pPr>
                    <w:pStyle w:val="TableBodyText"/>
                    <w:jc w:val="left"/>
                  </w:pPr>
                  <w:r w:rsidRPr="00C358C1">
                    <w:t>PRC x Unlisted property</w:t>
                  </w:r>
                </w:p>
              </w:tc>
              <w:tc>
                <w:tcPr>
                  <w:tcW w:w="632" w:type="pct"/>
                  <w:vAlign w:val="bottom"/>
                </w:tcPr>
                <w:p w:rsidR="0040665D" w:rsidRDefault="0040665D" w:rsidP="0040665D">
                  <w:pPr>
                    <w:pStyle w:val="TableBodyText"/>
                    <w:ind w:right="28"/>
                  </w:pPr>
                  <w:r w:rsidRPr="00C358C1">
                    <w:t>-0.120</w:t>
                  </w:r>
                </w:p>
              </w:tc>
              <w:tc>
                <w:tcPr>
                  <w:tcW w:w="632" w:type="pct"/>
                  <w:shd w:val="clear" w:color="auto" w:fill="auto"/>
                  <w:vAlign w:val="bottom"/>
                </w:tcPr>
                <w:p w:rsidR="0040665D" w:rsidRDefault="0040665D" w:rsidP="0040665D">
                  <w:pPr>
                    <w:pStyle w:val="TableBodyText"/>
                    <w:ind w:right="28"/>
                  </w:pPr>
                  <w:r w:rsidRPr="00C358C1">
                    <w:t>0.040</w:t>
                  </w:r>
                </w:p>
              </w:tc>
              <w:tc>
                <w:tcPr>
                  <w:tcW w:w="632" w:type="pct"/>
                  <w:shd w:val="clear" w:color="auto" w:fill="auto"/>
                  <w:vAlign w:val="bottom"/>
                </w:tcPr>
                <w:p w:rsidR="0040665D" w:rsidRDefault="0040665D" w:rsidP="0040665D">
                  <w:pPr>
                    <w:pStyle w:val="TableBodyText"/>
                    <w:ind w:right="28"/>
                  </w:pPr>
                  <w:r w:rsidRPr="00C358C1">
                    <w:t>-0.199</w:t>
                  </w:r>
                </w:p>
              </w:tc>
              <w:tc>
                <w:tcPr>
                  <w:tcW w:w="632" w:type="pct"/>
                  <w:vAlign w:val="bottom"/>
                </w:tcPr>
                <w:p w:rsidR="0040665D" w:rsidRDefault="0040665D" w:rsidP="0040665D">
                  <w:pPr>
                    <w:pStyle w:val="TableBodyText"/>
                    <w:ind w:right="28"/>
                  </w:pPr>
                  <w:r w:rsidRPr="00C358C1">
                    <w:t>-0.121</w:t>
                  </w:r>
                </w:p>
              </w:tc>
              <w:tc>
                <w:tcPr>
                  <w:tcW w:w="632" w:type="pct"/>
                  <w:vAlign w:val="bottom"/>
                </w:tcPr>
                <w:p w:rsidR="0040665D" w:rsidRDefault="0040665D" w:rsidP="0040665D">
                  <w:pPr>
                    <w:pStyle w:val="TableBodyText"/>
                    <w:ind w:right="28"/>
                  </w:pPr>
                  <w:r w:rsidRPr="00C358C1">
                    <w:t>-0.039</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PRC x Other</w:t>
                  </w:r>
                </w:p>
              </w:tc>
              <w:tc>
                <w:tcPr>
                  <w:tcW w:w="632" w:type="pct"/>
                  <w:shd w:val="clear" w:color="auto" w:fill="F2F2F2" w:themeFill="background1" w:themeFillShade="F2"/>
                  <w:vAlign w:val="bottom"/>
                </w:tcPr>
                <w:p w:rsidR="0040665D" w:rsidRDefault="0040665D" w:rsidP="0040665D">
                  <w:pPr>
                    <w:pStyle w:val="TableBodyText"/>
                    <w:ind w:right="28"/>
                  </w:pPr>
                  <w:r w:rsidRPr="00C358C1">
                    <w:t>-0.033</w:t>
                  </w:r>
                </w:p>
              </w:tc>
              <w:tc>
                <w:tcPr>
                  <w:tcW w:w="632" w:type="pct"/>
                  <w:shd w:val="clear" w:color="auto" w:fill="F2F2F2" w:themeFill="background1" w:themeFillShade="F2"/>
                  <w:vAlign w:val="bottom"/>
                </w:tcPr>
                <w:p w:rsidR="0040665D" w:rsidRDefault="0040665D" w:rsidP="0040665D">
                  <w:pPr>
                    <w:pStyle w:val="TableBodyText"/>
                    <w:ind w:right="28"/>
                  </w:pPr>
                  <w:r w:rsidRPr="00C358C1">
                    <w:t>0.054</w:t>
                  </w:r>
                </w:p>
              </w:tc>
              <w:tc>
                <w:tcPr>
                  <w:tcW w:w="632" w:type="pct"/>
                  <w:shd w:val="clear" w:color="auto" w:fill="F2F2F2" w:themeFill="background1" w:themeFillShade="F2"/>
                  <w:vAlign w:val="bottom"/>
                </w:tcPr>
                <w:p w:rsidR="0040665D" w:rsidRDefault="0040665D" w:rsidP="0040665D">
                  <w:pPr>
                    <w:pStyle w:val="TableBodyText"/>
                    <w:ind w:right="28"/>
                  </w:pPr>
                  <w:r w:rsidRPr="00C358C1">
                    <w:t>-0.136</w:t>
                  </w:r>
                </w:p>
              </w:tc>
              <w:tc>
                <w:tcPr>
                  <w:tcW w:w="632" w:type="pct"/>
                  <w:shd w:val="clear" w:color="auto" w:fill="F2F2F2" w:themeFill="background1" w:themeFillShade="F2"/>
                  <w:vAlign w:val="bottom"/>
                </w:tcPr>
                <w:p w:rsidR="0040665D" w:rsidRDefault="0040665D" w:rsidP="0040665D">
                  <w:pPr>
                    <w:pStyle w:val="TableBodyText"/>
                    <w:ind w:right="28"/>
                  </w:pPr>
                  <w:r w:rsidRPr="00C358C1">
                    <w:t>-0.034</w:t>
                  </w:r>
                </w:p>
              </w:tc>
              <w:tc>
                <w:tcPr>
                  <w:tcW w:w="632" w:type="pct"/>
                  <w:shd w:val="clear" w:color="auto" w:fill="F2F2F2" w:themeFill="background1" w:themeFillShade="F2"/>
                  <w:vAlign w:val="bottom"/>
                </w:tcPr>
                <w:p w:rsidR="0040665D" w:rsidRDefault="0040665D" w:rsidP="0040665D">
                  <w:pPr>
                    <w:pStyle w:val="TableBodyText"/>
                    <w:ind w:right="28"/>
                  </w:pPr>
                  <w:r w:rsidRPr="00C358C1">
                    <w:t>0.074</w:t>
                  </w:r>
                </w:p>
              </w:tc>
            </w:tr>
            <w:tr w:rsidR="0040665D" w:rsidTr="004C4BB2">
              <w:tc>
                <w:tcPr>
                  <w:tcW w:w="1842" w:type="pct"/>
                  <w:shd w:val="clear" w:color="auto" w:fill="auto"/>
                  <w:vAlign w:val="bottom"/>
                </w:tcPr>
                <w:p w:rsidR="0040665D" w:rsidRDefault="0040665D" w:rsidP="0040665D">
                  <w:pPr>
                    <w:pStyle w:val="TableBodyText"/>
                    <w:jc w:val="left"/>
                  </w:pPr>
                  <w:r w:rsidRPr="00C358C1">
                    <w:t>Intercept</w:t>
                  </w:r>
                </w:p>
              </w:tc>
              <w:tc>
                <w:tcPr>
                  <w:tcW w:w="632" w:type="pct"/>
                  <w:vAlign w:val="bottom"/>
                </w:tcPr>
                <w:p w:rsidR="0040665D" w:rsidRDefault="0040665D" w:rsidP="0040665D">
                  <w:pPr>
                    <w:pStyle w:val="TableBodyText"/>
                    <w:ind w:right="28"/>
                  </w:pPr>
                  <w:r w:rsidRPr="00C358C1">
                    <w:t>-1.488</w:t>
                  </w:r>
                </w:p>
              </w:tc>
              <w:tc>
                <w:tcPr>
                  <w:tcW w:w="632" w:type="pct"/>
                  <w:shd w:val="clear" w:color="auto" w:fill="auto"/>
                  <w:vAlign w:val="bottom"/>
                </w:tcPr>
                <w:p w:rsidR="0040665D" w:rsidRDefault="0040665D" w:rsidP="0040665D">
                  <w:pPr>
                    <w:pStyle w:val="TableBodyText"/>
                    <w:ind w:right="28"/>
                  </w:pPr>
                  <w:r w:rsidRPr="00C358C1">
                    <w:t>0.194</w:t>
                  </w:r>
                </w:p>
              </w:tc>
              <w:tc>
                <w:tcPr>
                  <w:tcW w:w="632" w:type="pct"/>
                  <w:shd w:val="clear" w:color="auto" w:fill="auto"/>
                  <w:vAlign w:val="bottom"/>
                </w:tcPr>
                <w:p w:rsidR="0040665D" w:rsidRDefault="0040665D" w:rsidP="0040665D">
                  <w:pPr>
                    <w:pStyle w:val="TableBodyText"/>
                    <w:ind w:right="28"/>
                  </w:pPr>
                  <w:r w:rsidRPr="00C358C1">
                    <w:t>-1.871</w:t>
                  </w:r>
                </w:p>
              </w:tc>
              <w:tc>
                <w:tcPr>
                  <w:tcW w:w="632" w:type="pct"/>
                  <w:vAlign w:val="bottom"/>
                </w:tcPr>
                <w:p w:rsidR="0040665D" w:rsidRDefault="0040665D" w:rsidP="0040665D">
                  <w:pPr>
                    <w:pStyle w:val="TableBodyText"/>
                    <w:ind w:right="28"/>
                  </w:pPr>
                  <w:r w:rsidRPr="00C358C1">
                    <w:t>-1.485</w:t>
                  </w:r>
                </w:p>
              </w:tc>
              <w:tc>
                <w:tcPr>
                  <w:tcW w:w="632" w:type="pct"/>
                  <w:vAlign w:val="bottom"/>
                </w:tcPr>
                <w:p w:rsidR="0040665D" w:rsidRDefault="0040665D" w:rsidP="0040665D">
                  <w:pPr>
                    <w:pStyle w:val="TableBodyText"/>
                    <w:ind w:right="28"/>
                  </w:pPr>
                  <w:r w:rsidRPr="00C358C1">
                    <w:t>-1.128</w:t>
                  </w:r>
                </w:p>
              </w:tc>
            </w:tr>
            <w:tr w:rsidR="0040665D" w:rsidTr="00F76FED">
              <w:tc>
                <w:tcPr>
                  <w:tcW w:w="1842" w:type="pct"/>
                  <w:shd w:val="clear" w:color="auto" w:fill="F2F2F2" w:themeFill="background1" w:themeFillShade="F2"/>
                  <w:vAlign w:val="bottom"/>
                </w:tcPr>
                <w:p w:rsidR="0040665D" w:rsidRDefault="0040665D" w:rsidP="0040665D">
                  <w:pPr>
                    <w:pStyle w:val="TableBodyText"/>
                    <w:jc w:val="left"/>
                  </w:pPr>
                  <w:r w:rsidRPr="00C358C1">
                    <w:t>SD of varying Intercept</w:t>
                  </w:r>
                </w:p>
              </w:tc>
              <w:tc>
                <w:tcPr>
                  <w:tcW w:w="632" w:type="pct"/>
                  <w:shd w:val="clear" w:color="auto" w:fill="F2F2F2" w:themeFill="background1" w:themeFillShade="F2"/>
                  <w:vAlign w:val="bottom"/>
                </w:tcPr>
                <w:p w:rsidR="0040665D" w:rsidRDefault="0040665D" w:rsidP="0040665D">
                  <w:pPr>
                    <w:pStyle w:val="TableBodyText"/>
                    <w:ind w:right="28"/>
                  </w:pPr>
                  <w:r w:rsidRPr="00C358C1">
                    <w:t>0.494</w:t>
                  </w:r>
                </w:p>
              </w:tc>
              <w:tc>
                <w:tcPr>
                  <w:tcW w:w="632" w:type="pct"/>
                  <w:shd w:val="clear" w:color="auto" w:fill="F2F2F2" w:themeFill="background1" w:themeFillShade="F2"/>
                  <w:vAlign w:val="bottom"/>
                </w:tcPr>
                <w:p w:rsidR="0040665D" w:rsidRDefault="0040665D" w:rsidP="0040665D">
                  <w:pPr>
                    <w:pStyle w:val="TableBodyText"/>
                    <w:ind w:right="28"/>
                  </w:pPr>
                  <w:r w:rsidRPr="00C358C1">
                    <w:t>0.073</w:t>
                  </w:r>
                </w:p>
              </w:tc>
              <w:tc>
                <w:tcPr>
                  <w:tcW w:w="632" w:type="pct"/>
                  <w:shd w:val="clear" w:color="auto" w:fill="F2F2F2" w:themeFill="background1" w:themeFillShade="F2"/>
                  <w:vAlign w:val="bottom"/>
                </w:tcPr>
                <w:p w:rsidR="0040665D" w:rsidRDefault="0040665D" w:rsidP="0040665D">
                  <w:pPr>
                    <w:pStyle w:val="TableBodyText"/>
                    <w:ind w:right="28"/>
                  </w:pPr>
                  <w:r w:rsidRPr="00C358C1">
                    <w:t>0.353</w:t>
                  </w:r>
                </w:p>
              </w:tc>
              <w:tc>
                <w:tcPr>
                  <w:tcW w:w="632" w:type="pct"/>
                  <w:shd w:val="clear" w:color="auto" w:fill="F2F2F2" w:themeFill="background1" w:themeFillShade="F2"/>
                  <w:vAlign w:val="bottom"/>
                </w:tcPr>
                <w:p w:rsidR="0040665D" w:rsidRDefault="0040665D" w:rsidP="0040665D">
                  <w:pPr>
                    <w:pStyle w:val="TableBodyText"/>
                    <w:ind w:right="28"/>
                  </w:pPr>
                  <w:r w:rsidRPr="00C358C1">
                    <w:t>0.489</w:t>
                  </w:r>
                </w:p>
              </w:tc>
              <w:tc>
                <w:tcPr>
                  <w:tcW w:w="632" w:type="pct"/>
                  <w:shd w:val="clear" w:color="auto" w:fill="F2F2F2" w:themeFill="background1" w:themeFillShade="F2"/>
                  <w:vAlign w:val="bottom"/>
                </w:tcPr>
                <w:p w:rsidR="0040665D" w:rsidRDefault="0040665D" w:rsidP="0040665D">
                  <w:pPr>
                    <w:pStyle w:val="TableBodyText"/>
                    <w:ind w:right="28"/>
                  </w:pPr>
                  <w:r w:rsidRPr="00C358C1">
                    <w:t>0.640</w:t>
                  </w:r>
                </w:p>
              </w:tc>
            </w:tr>
            <w:tr w:rsidR="0040665D" w:rsidTr="004C4BB2">
              <w:tc>
                <w:tcPr>
                  <w:tcW w:w="1842" w:type="pct"/>
                  <w:shd w:val="clear" w:color="auto" w:fill="auto"/>
                  <w:vAlign w:val="bottom"/>
                </w:tcPr>
                <w:p w:rsidR="0040665D" w:rsidRDefault="0040665D" w:rsidP="0040665D">
                  <w:pPr>
                    <w:pStyle w:val="TableBodyText"/>
                    <w:jc w:val="left"/>
                  </w:pPr>
                  <w:r w:rsidRPr="00C358C1">
                    <w:t xml:space="preserve">SD of varying </w:t>
                  </w:r>
                  <w:r w:rsidR="002640CD">
                    <w:t xml:space="preserve">slope: </w:t>
                  </w:r>
                  <w:r w:rsidRPr="00C358C1">
                    <w:t>Assets</w:t>
                  </w:r>
                </w:p>
              </w:tc>
              <w:tc>
                <w:tcPr>
                  <w:tcW w:w="632" w:type="pct"/>
                  <w:vAlign w:val="bottom"/>
                </w:tcPr>
                <w:p w:rsidR="0040665D" w:rsidRDefault="0040665D" w:rsidP="0040665D">
                  <w:pPr>
                    <w:pStyle w:val="TableBodyText"/>
                    <w:ind w:right="28"/>
                  </w:pPr>
                  <w:r w:rsidRPr="00C358C1">
                    <w:t>0.115</w:t>
                  </w:r>
                </w:p>
              </w:tc>
              <w:tc>
                <w:tcPr>
                  <w:tcW w:w="632" w:type="pct"/>
                  <w:shd w:val="clear" w:color="auto" w:fill="auto"/>
                  <w:vAlign w:val="bottom"/>
                </w:tcPr>
                <w:p w:rsidR="0040665D" w:rsidRDefault="0040665D" w:rsidP="0040665D">
                  <w:pPr>
                    <w:pStyle w:val="TableBodyText"/>
                    <w:ind w:right="28"/>
                  </w:pPr>
                  <w:r w:rsidRPr="00C358C1">
                    <w:t>0.011</w:t>
                  </w:r>
                </w:p>
              </w:tc>
              <w:tc>
                <w:tcPr>
                  <w:tcW w:w="632" w:type="pct"/>
                  <w:shd w:val="clear" w:color="auto" w:fill="auto"/>
                  <w:vAlign w:val="bottom"/>
                </w:tcPr>
                <w:p w:rsidR="0040665D" w:rsidRDefault="0040665D" w:rsidP="0040665D">
                  <w:pPr>
                    <w:pStyle w:val="TableBodyText"/>
                    <w:ind w:right="28"/>
                  </w:pPr>
                  <w:r w:rsidRPr="00C358C1">
                    <w:t>0.094</w:t>
                  </w:r>
                </w:p>
              </w:tc>
              <w:tc>
                <w:tcPr>
                  <w:tcW w:w="632" w:type="pct"/>
                  <w:vAlign w:val="bottom"/>
                </w:tcPr>
                <w:p w:rsidR="0040665D" w:rsidRDefault="0040665D" w:rsidP="0040665D">
                  <w:pPr>
                    <w:pStyle w:val="TableBodyText"/>
                    <w:ind w:right="28"/>
                  </w:pPr>
                  <w:r w:rsidRPr="00C358C1">
                    <w:t>0.115</w:t>
                  </w:r>
                </w:p>
              </w:tc>
              <w:tc>
                <w:tcPr>
                  <w:tcW w:w="632" w:type="pct"/>
                  <w:vAlign w:val="bottom"/>
                </w:tcPr>
                <w:p w:rsidR="0040665D" w:rsidRDefault="0040665D" w:rsidP="0040665D">
                  <w:pPr>
                    <w:pStyle w:val="TableBodyText"/>
                    <w:ind w:right="28"/>
                  </w:pPr>
                  <w:r w:rsidRPr="00C358C1">
                    <w:t>0.140</w:t>
                  </w:r>
                </w:p>
              </w:tc>
            </w:tr>
            <w:tr w:rsidR="0040665D" w:rsidTr="00F76FED">
              <w:tc>
                <w:tcPr>
                  <w:tcW w:w="1842" w:type="pct"/>
                  <w:tcBorders>
                    <w:bottom w:val="single" w:sz="6" w:space="0" w:color="BFBFBF" w:themeColor="background1" w:themeShade="BF"/>
                  </w:tcBorders>
                  <w:shd w:val="clear" w:color="auto" w:fill="F2F2F2" w:themeFill="background1" w:themeFillShade="F2"/>
                  <w:vAlign w:val="bottom"/>
                </w:tcPr>
                <w:p w:rsidR="0040665D" w:rsidRDefault="0040665D" w:rsidP="0040665D">
                  <w:pPr>
                    <w:pStyle w:val="TableBodyText"/>
                    <w:jc w:val="left"/>
                  </w:pPr>
                  <w:r w:rsidRPr="00C358C1">
                    <w:t xml:space="preserve">SD of varying </w:t>
                  </w:r>
                  <w:r w:rsidR="002640CD">
                    <w:t xml:space="preserve">slope: </w:t>
                  </w:r>
                  <w:r w:rsidRPr="00C358C1">
                    <w:t>Other</w:t>
                  </w:r>
                </w:p>
              </w:tc>
              <w:tc>
                <w:tcPr>
                  <w:tcW w:w="632" w:type="pct"/>
                  <w:tcBorders>
                    <w:bottom w:val="single" w:sz="6" w:space="0" w:color="BFBFBF" w:themeColor="background1" w:themeShade="BF"/>
                  </w:tcBorders>
                  <w:shd w:val="clear" w:color="auto" w:fill="F2F2F2" w:themeFill="background1" w:themeFillShade="F2"/>
                  <w:vAlign w:val="bottom"/>
                </w:tcPr>
                <w:p w:rsidR="0040665D" w:rsidRDefault="0040665D" w:rsidP="0040665D">
                  <w:pPr>
                    <w:pStyle w:val="TableBodyText"/>
                    <w:ind w:right="28"/>
                  </w:pPr>
                  <w:r w:rsidRPr="00C358C1">
                    <w:t>0.430</w:t>
                  </w:r>
                </w:p>
              </w:tc>
              <w:tc>
                <w:tcPr>
                  <w:tcW w:w="632" w:type="pct"/>
                  <w:tcBorders>
                    <w:bottom w:val="single" w:sz="6" w:space="0" w:color="BFBFBF" w:themeColor="background1" w:themeShade="BF"/>
                  </w:tcBorders>
                  <w:shd w:val="clear" w:color="auto" w:fill="F2F2F2" w:themeFill="background1" w:themeFillShade="F2"/>
                  <w:vAlign w:val="bottom"/>
                </w:tcPr>
                <w:p w:rsidR="0040665D" w:rsidRDefault="0040665D" w:rsidP="0040665D">
                  <w:pPr>
                    <w:pStyle w:val="TableBodyText"/>
                    <w:ind w:right="28"/>
                  </w:pPr>
                  <w:r w:rsidRPr="00C358C1">
                    <w:t>0.048</w:t>
                  </w:r>
                </w:p>
              </w:tc>
              <w:tc>
                <w:tcPr>
                  <w:tcW w:w="632" w:type="pct"/>
                  <w:tcBorders>
                    <w:bottom w:val="single" w:sz="6" w:space="0" w:color="BFBFBF" w:themeColor="background1" w:themeShade="BF"/>
                  </w:tcBorders>
                  <w:shd w:val="clear" w:color="auto" w:fill="F2F2F2" w:themeFill="background1" w:themeFillShade="F2"/>
                  <w:vAlign w:val="bottom"/>
                </w:tcPr>
                <w:p w:rsidR="0040665D" w:rsidRDefault="0040665D" w:rsidP="0040665D">
                  <w:pPr>
                    <w:pStyle w:val="TableBodyText"/>
                    <w:ind w:right="28"/>
                  </w:pPr>
                  <w:r w:rsidRPr="00C358C1">
                    <w:t>0.341</w:t>
                  </w:r>
                </w:p>
              </w:tc>
              <w:tc>
                <w:tcPr>
                  <w:tcW w:w="632" w:type="pct"/>
                  <w:tcBorders>
                    <w:bottom w:val="single" w:sz="6" w:space="0" w:color="BFBFBF" w:themeColor="background1" w:themeShade="BF"/>
                  </w:tcBorders>
                  <w:shd w:val="clear" w:color="auto" w:fill="F2F2F2" w:themeFill="background1" w:themeFillShade="F2"/>
                  <w:vAlign w:val="bottom"/>
                </w:tcPr>
                <w:p w:rsidR="0040665D" w:rsidRDefault="0040665D" w:rsidP="0040665D">
                  <w:pPr>
                    <w:pStyle w:val="TableBodyText"/>
                    <w:ind w:right="28"/>
                  </w:pPr>
                  <w:r w:rsidRPr="00C358C1">
                    <w:t>0.427</w:t>
                  </w:r>
                </w:p>
              </w:tc>
              <w:tc>
                <w:tcPr>
                  <w:tcW w:w="632" w:type="pct"/>
                  <w:tcBorders>
                    <w:bottom w:val="single" w:sz="6" w:space="0" w:color="BFBFBF" w:themeColor="background1" w:themeShade="BF"/>
                  </w:tcBorders>
                  <w:shd w:val="clear" w:color="auto" w:fill="F2F2F2" w:themeFill="background1" w:themeFillShade="F2"/>
                  <w:vAlign w:val="bottom"/>
                </w:tcPr>
                <w:p w:rsidR="0040665D" w:rsidRDefault="0040665D" w:rsidP="0040665D">
                  <w:pPr>
                    <w:pStyle w:val="TableBodyText"/>
                    <w:ind w:right="28"/>
                  </w:pPr>
                  <w:r w:rsidRPr="00C358C1">
                    <w:t>0.530</w:t>
                  </w:r>
                </w:p>
              </w:tc>
            </w:tr>
          </w:tbl>
          <w:p w:rsidR="00137EEB" w:rsidRDefault="00137EEB" w:rsidP="00872B1A">
            <w:pPr>
              <w:pStyle w:val="Box"/>
            </w:pPr>
          </w:p>
        </w:tc>
      </w:tr>
      <w:tr w:rsidR="00137EEB" w:rsidTr="00872B1A">
        <w:tc>
          <w:tcPr>
            <w:tcW w:w="5000" w:type="pct"/>
            <w:tcBorders>
              <w:top w:val="nil"/>
              <w:left w:val="nil"/>
              <w:bottom w:val="nil"/>
              <w:right w:val="nil"/>
            </w:tcBorders>
            <w:shd w:val="clear" w:color="auto" w:fill="auto"/>
          </w:tcPr>
          <w:p w:rsidR="00137EEB" w:rsidRDefault="00E6227F" w:rsidP="004C4BB2">
            <w:pPr>
              <w:pStyle w:val="Continued"/>
            </w:pPr>
            <w:r>
              <w:t>(continued next page)</w:t>
            </w:r>
          </w:p>
        </w:tc>
      </w:tr>
      <w:tr w:rsidR="00137EEB" w:rsidTr="00872B1A">
        <w:tc>
          <w:tcPr>
            <w:tcW w:w="5000" w:type="pct"/>
            <w:tcBorders>
              <w:top w:val="nil"/>
              <w:left w:val="nil"/>
              <w:bottom w:val="single" w:sz="6" w:space="0" w:color="78A22F"/>
              <w:right w:val="nil"/>
            </w:tcBorders>
            <w:shd w:val="clear" w:color="auto" w:fill="auto"/>
          </w:tcPr>
          <w:p w:rsidR="00137EEB" w:rsidRDefault="00137EEB" w:rsidP="00872B1A">
            <w:pPr>
              <w:pStyle w:val="Box"/>
              <w:spacing w:before="0" w:line="120" w:lineRule="exact"/>
            </w:pPr>
          </w:p>
        </w:tc>
      </w:tr>
      <w:tr w:rsidR="00137EEB" w:rsidRPr="000863A5" w:rsidTr="00872B1A">
        <w:tc>
          <w:tcPr>
            <w:tcW w:w="5000" w:type="pct"/>
            <w:tcBorders>
              <w:top w:val="single" w:sz="6" w:space="0" w:color="78A22F"/>
              <w:left w:val="nil"/>
              <w:bottom w:val="nil"/>
              <w:right w:val="nil"/>
            </w:tcBorders>
          </w:tcPr>
          <w:p w:rsidR="00137EEB" w:rsidRPr="00626D32" w:rsidRDefault="00137EEB" w:rsidP="00872B1A">
            <w:pPr>
              <w:pStyle w:val="BoxSpaceBelow"/>
            </w:pPr>
          </w:p>
        </w:tc>
      </w:tr>
    </w:tbl>
    <w:p w:rsidR="00E6227F" w:rsidRDefault="00E6227F" w:rsidP="00E6227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6227F" w:rsidTr="00E6227F">
        <w:trPr>
          <w:tblHeader/>
        </w:trPr>
        <w:tc>
          <w:tcPr>
            <w:tcW w:w="5000" w:type="pct"/>
            <w:tcBorders>
              <w:top w:val="single" w:sz="6" w:space="0" w:color="78A22F"/>
              <w:left w:val="nil"/>
              <w:bottom w:val="nil"/>
              <w:right w:val="nil"/>
            </w:tcBorders>
            <w:shd w:val="clear" w:color="auto" w:fill="auto"/>
          </w:tcPr>
          <w:p w:rsidR="00E6227F" w:rsidRPr="00784A05" w:rsidRDefault="00E6227F" w:rsidP="0041071F">
            <w:pPr>
              <w:pStyle w:val="TableTitle"/>
            </w:pPr>
            <w:r>
              <w:rPr>
                <w:b w:val="0"/>
              </w:rPr>
              <w:t xml:space="preserve">Table </w:t>
            </w:r>
            <w:r w:rsidR="00F76FED">
              <w:rPr>
                <w:b w:val="0"/>
              </w:rPr>
              <w:t>E</w:t>
            </w:r>
            <w:r w:rsidR="0041071F">
              <w:rPr>
                <w:b w:val="0"/>
              </w:rPr>
              <w:t>.1</w:t>
            </w:r>
            <w:r>
              <w:tab/>
            </w:r>
            <w:r w:rsidRPr="004B358B">
              <w:rPr>
                <w:b w:val="0"/>
                <w:sz w:val="18"/>
                <w:szCs w:val="18"/>
              </w:rPr>
              <w:t>(continued)</w:t>
            </w:r>
          </w:p>
        </w:tc>
      </w:tr>
      <w:tr w:rsidR="00E6227F" w:rsidTr="00E6227F">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E6227F" w:rsidTr="00F76FED">
              <w:tc>
                <w:tcPr>
                  <w:tcW w:w="1842" w:type="pct"/>
                  <w:tcBorders>
                    <w:top w:val="single" w:sz="6" w:space="0" w:color="BFBFBF"/>
                    <w:bottom w:val="single" w:sz="6" w:space="0" w:color="BFBFBF"/>
                  </w:tcBorders>
                  <w:shd w:val="clear" w:color="auto" w:fill="auto"/>
                </w:tcPr>
                <w:p w:rsidR="00E6227F" w:rsidRDefault="00E6227F" w:rsidP="004C4BB2">
                  <w:pPr>
                    <w:pStyle w:val="TableColumnHeading"/>
                    <w:jc w:val="left"/>
                    <w:rPr>
                      <w:b/>
                    </w:rPr>
                  </w:pPr>
                  <w:r>
                    <w:t>Parameter</w:t>
                  </w:r>
                </w:p>
              </w:tc>
              <w:tc>
                <w:tcPr>
                  <w:tcW w:w="632" w:type="pct"/>
                  <w:tcBorders>
                    <w:top w:val="single" w:sz="6" w:space="0" w:color="BFBFBF"/>
                    <w:bottom w:val="single" w:sz="6" w:space="0" w:color="BFBFBF"/>
                  </w:tcBorders>
                </w:tcPr>
                <w:p w:rsidR="00E6227F" w:rsidRDefault="00E6227F" w:rsidP="004C4BB2">
                  <w:pPr>
                    <w:pStyle w:val="TableColumnHeading"/>
                  </w:pPr>
                  <w:r>
                    <w:t>Mean</w:t>
                  </w:r>
                </w:p>
              </w:tc>
              <w:tc>
                <w:tcPr>
                  <w:tcW w:w="632" w:type="pct"/>
                  <w:tcBorders>
                    <w:top w:val="single" w:sz="6" w:space="0" w:color="BFBFBF"/>
                    <w:bottom w:val="single" w:sz="6" w:space="0" w:color="BFBFBF"/>
                  </w:tcBorders>
                  <w:shd w:val="clear" w:color="auto" w:fill="auto"/>
                </w:tcPr>
                <w:p w:rsidR="00E6227F" w:rsidRDefault="00E6227F" w:rsidP="004C4BB2">
                  <w:pPr>
                    <w:pStyle w:val="TableColumnHeading"/>
                  </w:pPr>
                  <w:r>
                    <w:t>Standard deviation</w:t>
                  </w:r>
                </w:p>
              </w:tc>
              <w:tc>
                <w:tcPr>
                  <w:tcW w:w="632" w:type="pct"/>
                  <w:tcBorders>
                    <w:top w:val="single" w:sz="6" w:space="0" w:color="BFBFBF"/>
                    <w:bottom w:val="single" w:sz="6" w:space="0" w:color="BFBFBF"/>
                  </w:tcBorders>
                  <w:shd w:val="clear" w:color="auto" w:fill="auto"/>
                </w:tcPr>
                <w:p w:rsidR="00E6227F" w:rsidRDefault="00E6227F" w:rsidP="004C4BB2">
                  <w:pPr>
                    <w:pStyle w:val="TableColumnHeading"/>
                  </w:pPr>
                  <w:r>
                    <w:t>2.5 percentile</w:t>
                  </w:r>
                </w:p>
              </w:tc>
              <w:tc>
                <w:tcPr>
                  <w:tcW w:w="632" w:type="pct"/>
                  <w:tcBorders>
                    <w:top w:val="single" w:sz="6" w:space="0" w:color="BFBFBF"/>
                    <w:bottom w:val="single" w:sz="6" w:space="0" w:color="BFBFBF"/>
                  </w:tcBorders>
                </w:tcPr>
                <w:p w:rsidR="00E6227F" w:rsidRDefault="00E6227F" w:rsidP="004C4BB2">
                  <w:pPr>
                    <w:pStyle w:val="TableColumnHeading"/>
                  </w:pPr>
                  <w:r>
                    <w:t>Median</w:t>
                  </w:r>
                </w:p>
              </w:tc>
              <w:tc>
                <w:tcPr>
                  <w:tcW w:w="632" w:type="pct"/>
                  <w:tcBorders>
                    <w:top w:val="single" w:sz="6" w:space="0" w:color="BFBFBF"/>
                    <w:bottom w:val="single" w:sz="6" w:space="0" w:color="BFBFBF"/>
                  </w:tcBorders>
                </w:tcPr>
                <w:p w:rsidR="00E6227F" w:rsidRDefault="00E6227F" w:rsidP="004C4BB2">
                  <w:pPr>
                    <w:pStyle w:val="TableColumnHeading"/>
                  </w:pPr>
                  <w:r>
                    <w:t>97.5 percentile</w:t>
                  </w:r>
                </w:p>
              </w:tc>
            </w:tr>
            <w:tr w:rsidR="00E6227F" w:rsidTr="00F76FED">
              <w:tc>
                <w:tcPr>
                  <w:tcW w:w="1842" w:type="pct"/>
                  <w:tcBorders>
                    <w:top w:val="single" w:sz="6" w:space="0" w:color="BFBFBF"/>
                  </w:tcBorders>
                  <w:shd w:val="clear" w:color="auto" w:fill="BFBFBF" w:themeFill="background1" w:themeFillShade="BF"/>
                  <w:vAlign w:val="bottom"/>
                </w:tcPr>
                <w:p w:rsidR="00E6227F" w:rsidRPr="0099011F" w:rsidRDefault="00E6227F" w:rsidP="00E6227F">
                  <w:pPr>
                    <w:pStyle w:val="TableBodyText"/>
                    <w:jc w:val="left"/>
                    <w:rPr>
                      <w:b/>
                    </w:rPr>
                  </w:pPr>
                  <w:r w:rsidRPr="00C358C1">
                    <w:rPr>
                      <w:b/>
                    </w:rPr>
                    <w:t>Number of investment options</w:t>
                  </w:r>
                </w:p>
              </w:tc>
              <w:tc>
                <w:tcPr>
                  <w:tcW w:w="632" w:type="pct"/>
                  <w:tcBorders>
                    <w:top w:val="single" w:sz="6" w:space="0" w:color="BFBFBF"/>
                  </w:tcBorders>
                  <w:shd w:val="clear" w:color="auto" w:fill="BFBFBF" w:themeFill="background1" w:themeFillShade="BF"/>
                  <w:vAlign w:val="bottom"/>
                </w:tcPr>
                <w:p w:rsidR="00E6227F" w:rsidRDefault="00E6227F" w:rsidP="00E6227F">
                  <w:pPr>
                    <w:pStyle w:val="TableBodyText"/>
                  </w:pPr>
                </w:p>
              </w:tc>
              <w:tc>
                <w:tcPr>
                  <w:tcW w:w="632" w:type="pct"/>
                  <w:tcBorders>
                    <w:top w:val="single" w:sz="6" w:space="0" w:color="BFBFBF"/>
                  </w:tcBorders>
                  <w:shd w:val="clear" w:color="auto" w:fill="BFBFBF" w:themeFill="background1" w:themeFillShade="BF"/>
                  <w:vAlign w:val="bottom"/>
                </w:tcPr>
                <w:p w:rsidR="00E6227F" w:rsidRDefault="00E6227F" w:rsidP="00E6227F">
                  <w:pPr>
                    <w:pStyle w:val="TableBodyText"/>
                  </w:pPr>
                </w:p>
              </w:tc>
              <w:tc>
                <w:tcPr>
                  <w:tcW w:w="632" w:type="pct"/>
                  <w:tcBorders>
                    <w:top w:val="single" w:sz="6" w:space="0" w:color="BFBFBF"/>
                  </w:tcBorders>
                  <w:shd w:val="clear" w:color="auto" w:fill="BFBFBF" w:themeFill="background1" w:themeFillShade="BF"/>
                  <w:vAlign w:val="bottom"/>
                </w:tcPr>
                <w:p w:rsidR="00E6227F" w:rsidRDefault="00E6227F" w:rsidP="00E6227F">
                  <w:pPr>
                    <w:pStyle w:val="TableBodyText"/>
                    <w:ind w:right="28"/>
                  </w:pPr>
                </w:p>
              </w:tc>
              <w:tc>
                <w:tcPr>
                  <w:tcW w:w="632" w:type="pct"/>
                  <w:tcBorders>
                    <w:top w:val="single" w:sz="6" w:space="0" w:color="BFBFBF"/>
                  </w:tcBorders>
                  <w:shd w:val="clear" w:color="auto" w:fill="BFBFBF" w:themeFill="background1" w:themeFillShade="BF"/>
                  <w:vAlign w:val="bottom"/>
                </w:tcPr>
                <w:p w:rsidR="00E6227F" w:rsidRDefault="00E6227F" w:rsidP="00E6227F">
                  <w:pPr>
                    <w:pStyle w:val="TableBodyText"/>
                    <w:ind w:right="28"/>
                  </w:pPr>
                </w:p>
              </w:tc>
              <w:tc>
                <w:tcPr>
                  <w:tcW w:w="632" w:type="pct"/>
                  <w:tcBorders>
                    <w:top w:val="single" w:sz="6" w:space="0" w:color="BFBFBF"/>
                  </w:tcBorders>
                  <w:shd w:val="clear" w:color="auto" w:fill="BFBFBF" w:themeFill="background1" w:themeFillShade="BF"/>
                  <w:vAlign w:val="bottom"/>
                </w:tcPr>
                <w:p w:rsidR="00E6227F" w:rsidRDefault="00E6227F" w:rsidP="00E6227F">
                  <w:pPr>
                    <w:pStyle w:val="TableBodyText"/>
                    <w:ind w:right="28"/>
                  </w:pPr>
                </w:p>
              </w:tc>
            </w:tr>
            <w:tr w:rsidR="00E6227F" w:rsidTr="004C4BB2">
              <w:tc>
                <w:tcPr>
                  <w:tcW w:w="1842" w:type="pct"/>
                  <w:shd w:val="clear" w:color="auto" w:fill="auto"/>
                  <w:vAlign w:val="bottom"/>
                </w:tcPr>
                <w:p w:rsidR="00E6227F" w:rsidRDefault="00E6227F" w:rsidP="00E6227F">
                  <w:pPr>
                    <w:pStyle w:val="TableBodyText"/>
                    <w:jc w:val="left"/>
                  </w:pPr>
                  <w:r w:rsidRPr="00C358C1">
                    <w:t>Assets</w:t>
                  </w:r>
                </w:p>
              </w:tc>
              <w:tc>
                <w:tcPr>
                  <w:tcW w:w="632" w:type="pct"/>
                  <w:vAlign w:val="bottom"/>
                </w:tcPr>
                <w:p w:rsidR="00E6227F" w:rsidRDefault="00E6227F" w:rsidP="00E6227F">
                  <w:pPr>
                    <w:pStyle w:val="TableBodyText"/>
                    <w:ind w:right="28"/>
                  </w:pPr>
                  <w:r w:rsidRPr="00C358C1">
                    <w:t>0.034</w:t>
                  </w:r>
                </w:p>
              </w:tc>
              <w:tc>
                <w:tcPr>
                  <w:tcW w:w="632" w:type="pct"/>
                  <w:shd w:val="clear" w:color="auto" w:fill="auto"/>
                  <w:vAlign w:val="bottom"/>
                </w:tcPr>
                <w:p w:rsidR="00E6227F" w:rsidRDefault="00E6227F" w:rsidP="00E6227F">
                  <w:pPr>
                    <w:pStyle w:val="TableBodyText"/>
                    <w:ind w:right="28"/>
                  </w:pPr>
                  <w:r w:rsidRPr="00C358C1">
                    <w:t>0.084</w:t>
                  </w:r>
                </w:p>
              </w:tc>
              <w:tc>
                <w:tcPr>
                  <w:tcW w:w="632" w:type="pct"/>
                  <w:shd w:val="clear" w:color="auto" w:fill="auto"/>
                  <w:vAlign w:val="bottom"/>
                </w:tcPr>
                <w:p w:rsidR="00E6227F" w:rsidRDefault="00E6227F" w:rsidP="00E6227F">
                  <w:pPr>
                    <w:pStyle w:val="TableBodyText"/>
                    <w:ind w:right="28"/>
                  </w:pPr>
                  <w:r w:rsidRPr="00C358C1">
                    <w:t>-0.127</w:t>
                  </w:r>
                </w:p>
              </w:tc>
              <w:tc>
                <w:tcPr>
                  <w:tcW w:w="632" w:type="pct"/>
                  <w:vAlign w:val="bottom"/>
                </w:tcPr>
                <w:p w:rsidR="00E6227F" w:rsidRDefault="00E6227F" w:rsidP="00E6227F">
                  <w:pPr>
                    <w:pStyle w:val="TableBodyText"/>
                    <w:ind w:right="28"/>
                  </w:pPr>
                  <w:r w:rsidRPr="00C358C1">
                    <w:t>0.036</w:t>
                  </w:r>
                </w:p>
              </w:tc>
              <w:tc>
                <w:tcPr>
                  <w:tcW w:w="632" w:type="pct"/>
                  <w:vAlign w:val="bottom"/>
                </w:tcPr>
                <w:p w:rsidR="00E6227F" w:rsidRDefault="00E6227F" w:rsidP="00E6227F">
                  <w:pPr>
                    <w:pStyle w:val="TableBodyText"/>
                    <w:ind w:right="28"/>
                  </w:pPr>
                  <w:r w:rsidRPr="00C358C1">
                    <w:t>0.199</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Member accounts</w:t>
                  </w:r>
                </w:p>
              </w:tc>
              <w:tc>
                <w:tcPr>
                  <w:tcW w:w="632" w:type="pct"/>
                  <w:shd w:val="clear" w:color="auto" w:fill="F2F2F2" w:themeFill="background1" w:themeFillShade="F2"/>
                  <w:vAlign w:val="bottom"/>
                </w:tcPr>
                <w:p w:rsidR="00E6227F" w:rsidRDefault="00E6227F" w:rsidP="00E6227F">
                  <w:pPr>
                    <w:pStyle w:val="TableBodyText"/>
                    <w:ind w:right="28"/>
                  </w:pPr>
                  <w:r w:rsidRPr="00C358C1">
                    <w:t>0.277</w:t>
                  </w:r>
                </w:p>
              </w:tc>
              <w:tc>
                <w:tcPr>
                  <w:tcW w:w="632" w:type="pct"/>
                  <w:shd w:val="clear" w:color="auto" w:fill="F2F2F2" w:themeFill="background1" w:themeFillShade="F2"/>
                  <w:vAlign w:val="bottom"/>
                </w:tcPr>
                <w:p w:rsidR="00E6227F" w:rsidRDefault="00E6227F" w:rsidP="00E6227F">
                  <w:pPr>
                    <w:pStyle w:val="TableBodyText"/>
                    <w:ind w:right="28"/>
                  </w:pPr>
                  <w:r w:rsidRPr="00C358C1">
                    <w:t>0.101</w:t>
                  </w:r>
                </w:p>
              </w:tc>
              <w:tc>
                <w:tcPr>
                  <w:tcW w:w="632" w:type="pct"/>
                  <w:shd w:val="clear" w:color="auto" w:fill="F2F2F2" w:themeFill="background1" w:themeFillShade="F2"/>
                  <w:vAlign w:val="bottom"/>
                </w:tcPr>
                <w:p w:rsidR="00E6227F" w:rsidRDefault="00E6227F" w:rsidP="00E6227F">
                  <w:pPr>
                    <w:pStyle w:val="TableBodyText"/>
                    <w:ind w:right="28"/>
                  </w:pPr>
                  <w:r w:rsidRPr="00C358C1">
                    <w:t>0.073</w:t>
                  </w:r>
                </w:p>
              </w:tc>
              <w:tc>
                <w:tcPr>
                  <w:tcW w:w="632" w:type="pct"/>
                  <w:shd w:val="clear" w:color="auto" w:fill="F2F2F2" w:themeFill="background1" w:themeFillShade="F2"/>
                  <w:vAlign w:val="bottom"/>
                </w:tcPr>
                <w:p w:rsidR="00E6227F" w:rsidRDefault="00E6227F" w:rsidP="00E6227F">
                  <w:pPr>
                    <w:pStyle w:val="TableBodyText"/>
                    <w:ind w:right="28"/>
                  </w:pPr>
                  <w:r w:rsidRPr="00C358C1">
                    <w:t>0.279</w:t>
                  </w:r>
                </w:p>
              </w:tc>
              <w:tc>
                <w:tcPr>
                  <w:tcW w:w="632" w:type="pct"/>
                  <w:shd w:val="clear" w:color="auto" w:fill="F2F2F2" w:themeFill="background1" w:themeFillShade="F2"/>
                  <w:vAlign w:val="bottom"/>
                </w:tcPr>
                <w:p w:rsidR="00E6227F" w:rsidRDefault="00E6227F" w:rsidP="00E6227F">
                  <w:pPr>
                    <w:pStyle w:val="TableBodyText"/>
                    <w:ind w:right="28"/>
                  </w:pPr>
                  <w:r w:rsidRPr="00C358C1">
                    <w:t>0.474</w:t>
                  </w:r>
                </w:p>
              </w:tc>
            </w:tr>
            <w:tr w:rsidR="00E6227F" w:rsidTr="004C4BB2">
              <w:tc>
                <w:tcPr>
                  <w:tcW w:w="1842" w:type="pct"/>
                  <w:shd w:val="clear" w:color="auto" w:fill="auto"/>
                  <w:vAlign w:val="bottom"/>
                </w:tcPr>
                <w:p w:rsidR="00E6227F" w:rsidRDefault="00E6227F" w:rsidP="00E6227F">
                  <w:pPr>
                    <w:pStyle w:val="TableBodyText"/>
                    <w:jc w:val="left"/>
                  </w:pPr>
                  <w:r w:rsidRPr="00C358C1">
                    <w:t>Net contributions</w:t>
                  </w:r>
                </w:p>
              </w:tc>
              <w:tc>
                <w:tcPr>
                  <w:tcW w:w="632" w:type="pct"/>
                  <w:vAlign w:val="bottom"/>
                </w:tcPr>
                <w:p w:rsidR="00E6227F" w:rsidRDefault="00E6227F" w:rsidP="00E6227F">
                  <w:pPr>
                    <w:pStyle w:val="TableBodyText"/>
                    <w:ind w:right="28"/>
                  </w:pPr>
                  <w:r w:rsidRPr="00C358C1">
                    <w:t>0.009</w:t>
                  </w:r>
                </w:p>
              </w:tc>
              <w:tc>
                <w:tcPr>
                  <w:tcW w:w="632" w:type="pct"/>
                  <w:shd w:val="clear" w:color="auto" w:fill="auto"/>
                  <w:vAlign w:val="bottom"/>
                </w:tcPr>
                <w:p w:rsidR="00E6227F" w:rsidRDefault="00E6227F" w:rsidP="00E6227F">
                  <w:pPr>
                    <w:pStyle w:val="TableBodyText"/>
                    <w:ind w:right="28"/>
                  </w:pPr>
                  <w:r w:rsidRPr="00C358C1">
                    <w:t>0.016</w:t>
                  </w:r>
                </w:p>
              </w:tc>
              <w:tc>
                <w:tcPr>
                  <w:tcW w:w="632" w:type="pct"/>
                  <w:shd w:val="clear" w:color="auto" w:fill="auto"/>
                  <w:vAlign w:val="bottom"/>
                </w:tcPr>
                <w:p w:rsidR="00E6227F" w:rsidRDefault="00E6227F" w:rsidP="00E6227F">
                  <w:pPr>
                    <w:pStyle w:val="TableBodyText"/>
                    <w:ind w:right="28"/>
                  </w:pPr>
                  <w:r w:rsidRPr="00C358C1">
                    <w:t>-0.022</w:t>
                  </w:r>
                </w:p>
              </w:tc>
              <w:tc>
                <w:tcPr>
                  <w:tcW w:w="632" w:type="pct"/>
                  <w:vAlign w:val="bottom"/>
                </w:tcPr>
                <w:p w:rsidR="00E6227F" w:rsidRDefault="00E6227F" w:rsidP="00E6227F">
                  <w:pPr>
                    <w:pStyle w:val="TableBodyText"/>
                    <w:ind w:right="28"/>
                  </w:pPr>
                  <w:r w:rsidRPr="00C358C1">
                    <w:t>0.009</w:t>
                  </w:r>
                </w:p>
              </w:tc>
              <w:tc>
                <w:tcPr>
                  <w:tcW w:w="632" w:type="pct"/>
                  <w:vAlign w:val="bottom"/>
                </w:tcPr>
                <w:p w:rsidR="00E6227F" w:rsidRDefault="00E6227F" w:rsidP="00E6227F">
                  <w:pPr>
                    <w:pStyle w:val="TableBodyText"/>
                    <w:ind w:right="28"/>
                  </w:pPr>
                  <w:r w:rsidRPr="00C358C1">
                    <w:t>0.039</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Net rollovers</w:t>
                  </w:r>
                </w:p>
              </w:tc>
              <w:tc>
                <w:tcPr>
                  <w:tcW w:w="632" w:type="pct"/>
                  <w:shd w:val="clear" w:color="auto" w:fill="F2F2F2" w:themeFill="background1" w:themeFillShade="F2"/>
                  <w:vAlign w:val="bottom"/>
                </w:tcPr>
                <w:p w:rsidR="00E6227F" w:rsidRDefault="00E6227F" w:rsidP="00E6227F">
                  <w:pPr>
                    <w:pStyle w:val="TableBodyText"/>
                    <w:ind w:right="28"/>
                  </w:pPr>
                  <w:r w:rsidRPr="00C358C1">
                    <w:t>0.044</w:t>
                  </w:r>
                </w:p>
              </w:tc>
              <w:tc>
                <w:tcPr>
                  <w:tcW w:w="632" w:type="pct"/>
                  <w:shd w:val="clear" w:color="auto" w:fill="F2F2F2" w:themeFill="background1" w:themeFillShade="F2"/>
                  <w:vAlign w:val="bottom"/>
                </w:tcPr>
                <w:p w:rsidR="00E6227F" w:rsidRDefault="00E6227F" w:rsidP="00E6227F">
                  <w:pPr>
                    <w:pStyle w:val="TableBodyText"/>
                    <w:ind w:right="28"/>
                  </w:pPr>
                  <w:r w:rsidRPr="00C358C1">
                    <w:t>0.012</w:t>
                  </w:r>
                </w:p>
              </w:tc>
              <w:tc>
                <w:tcPr>
                  <w:tcW w:w="632" w:type="pct"/>
                  <w:shd w:val="clear" w:color="auto" w:fill="F2F2F2" w:themeFill="background1" w:themeFillShade="F2"/>
                  <w:vAlign w:val="bottom"/>
                </w:tcPr>
                <w:p w:rsidR="00E6227F" w:rsidRDefault="00E6227F" w:rsidP="00E6227F">
                  <w:pPr>
                    <w:pStyle w:val="TableBodyText"/>
                    <w:ind w:right="28"/>
                  </w:pPr>
                  <w:r w:rsidRPr="00C358C1">
                    <w:t>0.022</w:t>
                  </w:r>
                </w:p>
              </w:tc>
              <w:tc>
                <w:tcPr>
                  <w:tcW w:w="632" w:type="pct"/>
                  <w:shd w:val="clear" w:color="auto" w:fill="F2F2F2" w:themeFill="background1" w:themeFillShade="F2"/>
                  <w:vAlign w:val="bottom"/>
                </w:tcPr>
                <w:p w:rsidR="00E6227F" w:rsidRDefault="00E6227F" w:rsidP="00E6227F">
                  <w:pPr>
                    <w:pStyle w:val="TableBodyText"/>
                    <w:ind w:right="28"/>
                  </w:pPr>
                  <w:r w:rsidRPr="00C358C1">
                    <w:t>0.044</w:t>
                  </w:r>
                </w:p>
              </w:tc>
              <w:tc>
                <w:tcPr>
                  <w:tcW w:w="632" w:type="pct"/>
                  <w:shd w:val="clear" w:color="auto" w:fill="F2F2F2" w:themeFill="background1" w:themeFillShade="F2"/>
                  <w:vAlign w:val="bottom"/>
                </w:tcPr>
                <w:p w:rsidR="00E6227F" w:rsidRDefault="00E6227F" w:rsidP="00E6227F">
                  <w:pPr>
                    <w:pStyle w:val="TableBodyText"/>
                    <w:ind w:right="28"/>
                  </w:pPr>
                  <w:r w:rsidRPr="00C358C1">
                    <w:t>0.067</w:t>
                  </w:r>
                </w:p>
              </w:tc>
            </w:tr>
            <w:tr w:rsidR="00E6227F" w:rsidTr="004C4BB2">
              <w:tc>
                <w:tcPr>
                  <w:tcW w:w="1842" w:type="pct"/>
                  <w:shd w:val="clear" w:color="auto" w:fill="auto"/>
                  <w:vAlign w:val="bottom"/>
                </w:tcPr>
                <w:p w:rsidR="00E6227F" w:rsidRDefault="00E6227F" w:rsidP="00E6227F">
                  <w:pPr>
                    <w:pStyle w:val="TableBodyText"/>
                    <w:jc w:val="left"/>
                  </w:pPr>
                  <w:r w:rsidRPr="00C358C1">
                    <w:t>Annual net return</w:t>
                  </w:r>
                </w:p>
              </w:tc>
              <w:tc>
                <w:tcPr>
                  <w:tcW w:w="632" w:type="pct"/>
                  <w:vAlign w:val="bottom"/>
                </w:tcPr>
                <w:p w:rsidR="00E6227F" w:rsidRDefault="00E6227F" w:rsidP="00E6227F">
                  <w:pPr>
                    <w:pStyle w:val="TableBodyText"/>
                    <w:ind w:right="28"/>
                  </w:pPr>
                  <w:r w:rsidRPr="00C358C1">
                    <w:t>-0.030</w:t>
                  </w:r>
                </w:p>
              </w:tc>
              <w:tc>
                <w:tcPr>
                  <w:tcW w:w="632" w:type="pct"/>
                  <w:shd w:val="clear" w:color="auto" w:fill="auto"/>
                  <w:vAlign w:val="bottom"/>
                </w:tcPr>
                <w:p w:rsidR="00E6227F" w:rsidRDefault="00E6227F" w:rsidP="00E6227F">
                  <w:pPr>
                    <w:pStyle w:val="TableBodyText"/>
                    <w:ind w:right="28"/>
                  </w:pPr>
                  <w:r w:rsidRPr="00C358C1">
                    <w:t>0.018</w:t>
                  </w:r>
                </w:p>
              </w:tc>
              <w:tc>
                <w:tcPr>
                  <w:tcW w:w="632" w:type="pct"/>
                  <w:shd w:val="clear" w:color="auto" w:fill="auto"/>
                  <w:vAlign w:val="bottom"/>
                </w:tcPr>
                <w:p w:rsidR="00E6227F" w:rsidRDefault="00E6227F" w:rsidP="00E6227F">
                  <w:pPr>
                    <w:pStyle w:val="TableBodyText"/>
                    <w:ind w:right="28"/>
                  </w:pPr>
                  <w:r w:rsidRPr="00C358C1">
                    <w:t>-0.066</w:t>
                  </w:r>
                </w:p>
              </w:tc>
              <w:tc>
                <w:tcPr>
                  <w:tcW w:w="632" w:type="pct"/>
                  <w:vAlign w:val="bottom"/>
                </w:tcPr>
                <w:p w:rsidR="00E6227F" w:rsidRDefault="00E6227F" w:rsidP="00E6227F">
                  <w:pPr>
                    <w:pStyle w:val="TableBodyText"/>
                    <w:ind w:right="28"/>
                  </w:pPr>
                  <w:r w:rsidRPr="00C358C1">
                    <w:t>-0.030</w:t>
                  </w:r>
                </w:p>
              </w:tc>
              <w:tc>
                <w:tcPr>
                  <w:tcW w:w="632" w:type="pct"/>
                  <w:vAlign w:val="bottom"/>
                </w:tcPr>
                <w:p w:rsidR="00E6227F" w:rsidRDefault="00E6227F" w:rsidP="00E6227F">
                  <w:pPr>
                    <w:pStyle w:val="TableBodyText"/>
                    <w:ind w:right="28"/>
                  </w:pPr>
                  <w:r w:rsidRPr="00C358C1">
                    <w:t>0.005</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Stronger super</w:t>
                  </w:r>
                </w:p>
              </w:tc>
              <w:tc>
                <w:tcPr>
                  <w:tcW w:w="632" w:type="pct"/>
                  <w:shd w:val="clear" w:color="auto" w:fill="F2F2F2" w:themeFill="background1" w:themeFillShade="F2"/>
                  <w:vAlign w:val="bottom"/>
                </w:tcPr>
                <w:p w:rsidR="00E6227F" w:rsidRDefault="00E6227F" w:rsidP="00E6227F">
                  <w:pPr>
                    <w:pStyle w:val="TableBodyText"/>
                    <w:ind w:right="28"/>
                  </w:pPr>
                  <w:r w:rsidRPr="00C358C1">
                    <w:t>0.032</w:t>
                  </w:r>
                </w:p>
              </w:tc>
              <w:tc>
                <w:tcPr>
                  <w:tcW w:w="632" w:type="pct"/>
                  <w:shd w:val="clear" w:color="auto" w:fill="F2F2F2" w:themeFill="background1" w:themeFillShade="F2"/>
                  <w:vAlign w:val="bottom"/>
                </w:tcPr>
                <w:p w:rsidR="00E6227F" w:rsidRDefault="00E6227F" w:rsidP="00E6227F">
                  <w:pPr>
                    <w:pStyle w:val="TableBodyText"/>
                    <w:ind w:right="28"/>
                  </w:pPr>
                  <w:r w:rsidRPr="00C358C1">
                    <w:t>0.040</w:t>
                  </w:r>
                </w:p>
              </w:tc>
              <w:tc>
                <w:tcPr>
                  <w:tcW w:w="632" w:type="pct"/>
                  <w:shd w:val="clear" w:color="auto" w:fill="F2F2F2" w:themeFill="background1" w:themeFillShade="F2"/>
                  <w:vAlign w:val="bottom"/>
                </w:tcPr>
                <w:p w:rsidR="00E6227F" w:rsidRDefault="00E6227F" w:rsidP="00E6227F">
                  <w:pPr>
                    <w:pStyle w:val="TableBodyText"/>
                    <w:ind w:right="28"/>
                  </w:pPr>
                  <w:r w:rsidRPr="00C358C1">
                    <w:t>-0.042</w:t>
                  </w:r>
                </w:p>
              </w:tc>
              <w:tc>
                <w:tcPr>
                  <w:tcW w:w="632" w:type="pct"/>
                  <w:shd w:val="clear" w:color="auto" w:fill="F2F2F2" w:themeFill="background1" w:themeFillShade="F2"/>
                  <w:vAlign w:val="bottom"/>
                </w:tcPr>
                <w:p w:rsidR="00E6227F" w:rsidRDefault="00E6227F" w:rsidP="00E6227F">
                  <w:pPr>
                    <w:pStyle w:val="TableBodyText"/>
                    <w:ind w:right="28"/>
                  </w:pPr>
                  <w:r w:rsidRPr="00C358C1">
                    <w:t>0.031</w:t>
                  </w:r>
                </w:p>
              </w:tc>
              <w:tc>
                <w:tcPr>
                  <w:tcW w:w="632" w:type="pct"/>
                  <w:shd w:val="clear" w:color="auto" w:fill="F2F2F2" w:themeFill="background1" w:themeFillShade="F2"/>
                  <w:vAlign w:val="bottom"/>
                </w:tcPr>
                <w:p w:rsidR="00E6227F" w:rsidRDefault="00E6227F" w:rsidP="00E6227F">
                  <w:pPr>
                    <w:pStyle w:val="TableBodyText"/>
                    <w:ind w:right="28"/>
                  </w:pPr>
                  <w:r w:rsidRPr="00C358C1">
                    <w:t>0.108</w:t>
                  </w:r>
                </w:p>
              </w:tc>
            </w:tr>
            <w:tr w:rsidR="00E6227F" w:rsidTr="004C4BB2">
              <w:tc>
                <w:tcPr>
                  <w:tcW w:w="1842" w:type="pct"/>
                  <w:shd w:val="clear" w:color="auto" w:fill="auto"/>
                  <w:vAlign w:val="bottom"/>
                </w:tcPr>
                <w:p w:rsidR="00E6227F" w:rsidRDefault="00E6227F" w:rsidP="00E6227F">
                  <w:pPr>
                    <w:pStyle w:val="TableBodyText"/>
                    <w:jc w:val="left"/>
                  </w:pPr>
                  <w:r w:rsidRPr="00C358C1">
                    <w:t>Post reporting change</w:t>
                  </w:r>
                </w:p>
              </w:tc>
              <w:tc>
                <w:tcPr>
                  <w:tcW w:w="632" w:type="pct"/>
                  <w:vAlign w:val="bottom"/>
                </w:tcPr>
                <w:p w:rsidR="00E6227F" w:rsidRDefault="00E6227F" w:rsidP="00E6227F">
                  <w:pPr>
                    <w:pStyle w:val="TableBodyText"/>
                    <w:ind w:right="28"/>
                  </w:pPr>
                  <w:r w:rsidRPr="00C358C1">
                    <w:t>0.205</w:t>
                  </w:r>
                </w:p>
              </w:tc>
              <w:tc>
                <w:tcPr>
                  <w:tcW w:w="632" w:type="pct"/>
                  <w:shd w:val="clear" w:color="auto" w:fill="auto"/>
                  <w:vAlign w:val="bottom"/>
                </w:tcPr>
                <w:p w:rsidR="00E6227F" w:rsidRDefault="00E6227F" w:rsidP="00E6227F">
                  <w:pPr>
                    <w:pStyle w:val="TableBodyText"/>
                    <w:ind w:right="28"/>
                  </w:pPr>
                  <w:r w:rsidRPr="00C358C1">
                    <w:t>0.049</w:t>
                  </w:r>
                </w:p>
              </w:tc>
              <w:tc>
                <w:tcPr>
                  <w:tcW w:w="632" w:type="pct"/>
                  <w:shd w:val="clear" w:color="auto" w:fill="auto"/>
                  <w:vAlign w:val="bottom"/>
                </w:tcPr>
                <w:p w:rsidR="00E6227F" w:rsidRDefault="00E6227F" w:rsidP="00E6227F">
                  <w:pPr>
                    <w:pStyle w:val="TableBodyText"/>
                    <w:ind w:right="28"/>
                  </w:pPr>
                  <w:r w:rsidRPr="00C358C1">
                    <w:t>0.109</w:t>
                  </w:r>
                </w:p>
              </w:tc>
              <w:tc>
                <w:tcPr>
                  <w:tcW w:w="632" w:type="pct"/>
                  <w:vAlign w:val="bottom"/>
                </w:tcPr>
                <w:p w:rsidR="00E6227F" w:rsidRDefault="00E6227F" w:rsidP="00E6227F">
                  <w:pPr>
                    <w:pStyle w:val="TableBodyText"/>
                    <w:ind w:right="28"/>
                  </w:pPr>
                  <w:r w:rsidRPr="00C358C1">
                    <w:t>0.204</w:t>
                  </w:r>
                </w:p>
              </w:tc>
              <w:tc>
                <w:tcPr>
                  <w:tcW w:w="632" w:type="pct"/>
                  <w:vAlign w:val="bottom"/>
                </w:tcPr>
                <w:p w:rsidR="00E6227F" w:rsidRDefault="00E6227F" w:rsidP="00E6227F">
                  <w:pPr>
                    <w:pStyle w:val="TableBodyText"/>
                    <w:ind w:right="28"/>
                  </w:pPr>
                  <w:r w:rsidRPr="00C358C1">
                    <w:t>0.299</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Industry</w:t>
                  </w:r>
                </w:p>
              </w:tc>
              <w:tc>
                <w:tcPr>
                  <w:tcW w:w="632" w:type="pct"/>
                  <w:shd w:val="clear" w:color="auto" w:fill="F2F2F2" w:themeFill="background1" w:themeFillShade="F2"/>
                  <w:vAlign w:val="bottom"/>
                </w:tcPr>
                <w:p w:rsidR="00E6227F" w:rsidRDefault="00E6227F" w:rsidP="00E6227F">
                  <w:pPr>
                    <w:pStyle w:val="TableBodyText"/>
                    <w:ind w:right="28"/>
                  </w:pPr>
                  <w:r w:rsidRPr="00C358C1">
                    <w:t>-0.475</w:t>
                  </w:r>
                </w:p>
              </w:tc>
              <w:tc>
                <w:tcPr>
                  <w:tcW w:w="632" w:type="pct"/>
                  <w:shd w:val="clear" w:color="auto" w:fill="F2F2F2" w:themeFill="background1" w:themeFillShade="F2"/>
                  <w:vAlign w:val="bottom"/>
                </w:tcPr>
                <w:p w:rsidR="00E6227F" w:rsidRDefault="00E6227F" w:rsidP="00E6227F">
                  <w:pPr>
                    <w:pStyle w:val="TableBodyText"/>
                    <w:ind w:right="28"/>
                  </w:pPr>
                  <w:r w:rsidRPr="00C358C1">
                    <w:t>0.290</w:t>
                  </w:r>
                </w:p>
              </w:tc>
              <w:tc>
                <w:tcPr>
                  <w:tcW w:w="632" w:type="pct"/>
                  <w:shd w:val="clear" w:color="auto" w:fill="F2F2F2" w:themeFill="background1" w:themeFillShade="F2"/>
                  <w:vAlign w:val="bottom"/>
                </w:tcPr>
                <w:p w:rsidR="00E6227F" w:rsidRDefault="00E6227F" w:rsidP="00E6227F">
                  <w:pPr>
                    <w:pStyle w:val="TableBodyText"/>
                    <w:ind w:right="28"/>
                  </w:pPr>
                  <w:r w:rsidRPr="00C358C1">
                    <w:t>-1.030</w:t>
                  </w:r>
                </w:p>
              </w:tc>
              <w:tc>
                <w:tcPr>
                  <w:tcW w:w="632" w:type="pct"/>
                  <w:shd w:val="clear" w:color="auto" w:fill="F2F2F2" w:themeFill="background1" w:themeFillShade="F2"/>
                  <w:vAlign w:val="bottom"/>
                </w:tcPr>
                <w:p w:rsidR="00E6227F" w:rsidRDefault="00E6227F" w:rsidP="00E6227F">
                  <w:pPr>
                    <w:pStyle w:val="TableBodyText"/>
                    <w:ind w:right="28"/>
                  </w:pPr>
                  <w:r w:rsidRPr="00C358C1">
                    <w:t>-0.479</w:t>
                  </w:r>
                </w:p>
              </w:tc>
              <w:tc>
                <w:tcPr>
                  <w:tcW w:w="632" w:type="pct"/>
                  <w:shd w:val="clear" w:color="auto" w:fill="F2F2F2" w:themeFill="background1" w:themeFillShade="F2"/>
                  <w:vAlign w:val="bottom"/>
                </w:tcPr>
                <w:p w:rsidR="00E6227F" w:rsidRDefault="00E6227F" w:rsidP="00E6227F">
                  <w:pPr>
                    <w:pStyle w:val="TableBodyText"/>
                    <w:ind w:right="28"/>
                  </w:pPr>
                  <w:r w:rsidRPr="00C358C1">
                    <w:t>0.072</w:t>
                  </w:r>
                </w:p>
              </w:tc>
            </w:tr>
            <w:tr w:rsidR="00E6227F" w:rsidTr="004C4BB2">
              <w:tc>
                <w:tcPr>
                  <w:tcW w:w="1842" w:type="pct"/>
                  <w:shd w:val="clear" w:color="auto" w:fill="auto"/>
                  <w:vAlign w:val="bottom"/>
                </w:tcPr>
                <w:p w:rsidR="00E6227F" w:rsidRDefault="00E6227F" w:rsidP="00E6227F">
                  <w:pPr>
                    <w:pStyle w:val="TableBodyText"/>
                    <w:jc w:val="left"/>
                  </w:pPr>
                  <w:r w:rsidRPr="00C358C1">
                    <w:t>Public</w:t>
                  </w:r>
                </w:p>
              </w:tc>
              <w:tc>
                <w:tcPr>
                  <w:tcW w:w="632" w:type="pct"/>
                  <w:vAlign w:val="bottom"/>
                </w:tcPr>
                <w:p w:rsidR="00E6227F" w:rsidRDefault="00E6227F" w:rsidP="00E6227F">
                  <w:pPr>
                    <w:pStyle w:val="TableBodyText"/>
                    <w:ind w:right="28"/>
                  </w:pPr>
                  <w:r w:rsidRPr="00C358C1">
                    <w:t>0.137</w:t>
                  </w:r>
                </w:p>
              </w:tc>
              <w:tc>
                <w:tcPr>
                  <w:tcW w:w="632" w:type="pct"/>
                  <w:shd w:val="clear" w:color="auto" w:fill="auto"/>
                  <w:vAlign w:val="bottom"/>
                </w:tcPr>
                <w:p w:rsidR="00E6227F" w:rsidRDefault="00E6227F" w:rsidP="00E6227F">
                  <w:pPr>
                    <w:pStyle w:val="TableBodyText"/>
                    <w:ind w:right="28"/>
                  </w:pPr>
                  <w:r w:rsidRPr="00C358C1">
                    <w:t>0.418</w:t>
                  </w:r>
                </w:p>
              </w:tc>
              <w:tc>
                <w:tcPr>
                  <w:tcW w:w="632" w:type="pct"/>
                  <w:shd w:val="clear" w:color="auto" w:fill="auto"/>
                  <w:vAlign w:val="bottom"/>
                </w:tcPr>
                <w:p w:rsidR="00E6227F" w:rsidRDefault="00E6227F" w:rsidP="00E6227F">
                  <w:pPr>
                    <w:pStyle w:val="TableBodyText"/>
                    <w:ind w:right="28"/>
                  </w:pPr>
                  <w:r w:rsidRPr="00C358C1">
                    <w:t>-0.673</w:t>
                  </w:r>
                </w:p>
              </w:tc>
              <w:tc>
                <w:tcPr>
                  <w:tcW w:w="632" w:type="pct"/>
                  <w:vAlign w:val="bottom"/>
                </w:tcPr>
                <w:p w:rsidR="00E6227F" w:rsidRDefault="00E6227F" w:rsidP="00E6227F">
                  <w:pPr>
                    <w:pStyle w:val="TableBodyText"/>
                    <w:ind w:right="28"/>
                  </w:pPr>
                  <w:r w:rsidRPr="00C358C1">
                    <w:t>0.138</w:t>
                  </w:r>
                </w:p>
              </w:tc>
              <w:tc>
                <w:tcPr>
                  <w:tcW w:w="632" w:type="pct"/>
                  <w:vAlign w:val="bottom"/>
                </w:tcPr>
                <w:p w:rsidR="00E6227F" w:rsidRDefault="00E6227F" w:rsidP="00E6227F">
                  <w:pPr>
                    <w:pStyle w:val="TableBodyText"/>
                    <w:ind w:right="28"/>
                  </w:pPr>
                  <w:r w:rsidRPr="00C358C1">
                    <w:t>1.000</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Retail</w:t>
                  </w:r>
                </w:p>
              </w:tc>
              <w:tc>
                <w:tcPr>
                  <w:tcW w:w="632" w:type="pct"/>
                  <w:shd w:val="clear" w:color="auto" w:fill="F2F2F2" w:themeFill="background1" w:themeFillShade="F2"/>
                  <w:vAlign w:val="bottom"/>
                </w:tcPr>
                <w:p w:rsidR="00E6227F" w:rsidRDefault="00E6227F" w:rsidP="00E6227F">
                  <w:pPr>
                    <w:pStyle w:val="TableBodyText"/>
                    <w:ind w:right="28"/>
                  </w:pPr>
                  <w:r w:rsidRPr="00C358C1">
                    <w:t>-1.944</w:t>
                  </w:r>
                </w:p>
              </w:tc>
              <w:tc>
                <w:tcPr>
                  <w:tcW w:w="632" w:type="pct"/>
                  <w:shd w:val="clear" w:color="auto" w:fill="F2F2F2" w:themeFill="background1" w:themeFillShade="F2"/>
                  <w:vAlign w:val="bottom"/>
                </w:tcPr>
                <w:p w:rsidR="00E6227F" w:rsidRDefault="00E6227F" w:rsidP="00E6227F">
                  <w:pPr>
                    <w:pStyle w:val="TableBodyText"/>
                    <w:ind w:right="28"/>
                  </w:pPr>
                  <w:r w:rsidRPr="00C358C1">
                    <w:t>0.208</w:t>
                  </w:r>
                </w:p>
              </w:tc>
              <w:tc>
                <w:tcPr>
                  <w:tcW w:w="632" w:type="pct"/>
                  <w:shd w:val="clear" w:color="auto" w:fill="F2F2F2" w:themeFill="background1" w:themeFillShade="F2"/>
                  <w:vAlign w:val="bottom"/>
                </w:tcPr>
                <w:p w:rsidR="00E6227F" w:rsidRDefault="00E6227F" w:rsidP="00E6227F">
                  <w:pPr>
                    <w:pStyle w:val="TableBodyText"/>
                    <w:ind w:right="28"/>
                  </w:pPr>
                  <w:r w:rsidRPr="00C358C1">
                    <w:t>-2.349</w:t>
                  </w:r>
                </w:p>
              </w:tc>
              <w:tc>
                <w:tcPr>
                  <w:tcW w:w="632" w:type="pct"/>
                  <w:shd w:val="clear" w:color="auto" w:fill="F2F2F2" w:themeFill="background1" w:themeFillShade="F2"/>
                  <w:vAlign w:val="bottom"/>
                </w:tcPr>
                <w:p w:rsidR="00E6227F" w:rsidRDefault="00E6227F" w:rsidP="00E6227F">
                  <w:pPr>
                    <w:pStyle w:val="TableBodyText"/>
                    <w:ind w:right="28"/>
                  </w:pPr>
                  <w:r w:rsidRPr="00C358C1">
                    <w:t>-1.935</w:t>
                  </w:r>
                </w:p>
              </w:tc>
              <w:tc>
                <w:tcPr>
                  <w:tcW w:w="632" w:type="pct"/>
                  <w:shd w:val="clear" w:color="auto" w:fill="F2F2F2" w:themeFill="background1" w:themeFillShade="F2"/>
                  <w:vAlign w:val="bottom"/>
                </w:tcPr>
                <w:p w:rsidR="00E6227F" w:rsidRDefault="00E6227F" w:rsidP="00E6227F">
                  <w:pPr>
                    <w:pStyle w:val="TableBodyText"/>
                    <w:ind w:right="28"/>
                  </w:pPr>
                  <w:r w:rsidRPr="00C358C1">
                    <w:t>-1.546</w:t>
                  </w:r>
                </w:p>
              </w:tc>
            </w:tr>
            <w:tr w:rsidR="00E6227F" w:rsidTr="004C4BB2">
              <w:tc>
                <w:tcPr>
                  <w:tcW w:w="1842" w:type="pct"/>
                  <w:shd w:val="clear" w:color="auto" w:fill="auto"/>
                  <w:vAlign w:val="bottom"/>
                </w:tcPr>
                <w:p w:rsidR="00E6227F" w:rsidRDefault="00E6227F" w:rsidP="00E6227F">
                  <w:pPr>
                    <w:pStyle w:val="TableBodyText"/>
                    <w:jc w:val="left"/>
                  </w:pPr>
                  <w:r w:rsidRPr="00C358C1">
                    <w:t>Industry x Assets</w:t>
                  </w:r>
                </w:p>
              </w:tc>
              <w:tc>
                <w:tcPr>
                  <w:tcW w:w="632" w:type="pct"/>
                  <w:vAlign w:val="bottom"/>
                </w:tcPr>
                <w:p w:rsidR="00E6227F" w:rsidRDefault="00E6227F" w:rsidP="00E6227F">
                  <w:pPr>
                    <w:pStyle w:val="TableBodyText"/>
                    <w:ind w:right="28"/>
                  </w:pPr>
                  <w:r w:rsidRPr="00C358C1">
                    <w:t>0.248</w:t>
                  </w:r>
                </w:p>
              </w:tc>
              <w:tc>
                <w:tcPr>
                  <w:tcW w:w="632" w:type="pct"/>
                  <w:shd w:val="clear" w:color="auto" w:fill="auto"/>
                  <w:vAlign w:val="bottom"/>
                </w:tcPr>
                <w:p w:rsidR="00E6227F" w:rsidRDefault="00E6227F" w:rsidP="00E6227F">
                  <w:pPr>
                    <w:pStyle w:val="TableBodyText"/>
                    <w:ind w:right="28"/>
                  </w:pPr>
                  <w:r w:rsidRPr="00C358C1">
                    <w:t>0.106</w:t>
                  </w:r>
                </w:p>
              </w:tc>
              <w:tc>
                <w:tcPr>
                  <w:tcW w:w="632" w:type="pct"/>
                  <w:shd w:val="clear" w:color="auto" w:fill="auto"/>
                  <w:vAlign w:val="bottom"/>
                </w:tcPr>
                <w:p w:rsidR="00E6227F" w:rsidRDefault="00E6227F" w:rsidP="00E6227F">
                  <w:pPr>
                    <w:pStyle w:val="TableBodyText"/>
                    <w:ind w:right="28"/>
                  </w:pPr>
                  <w:r w:rsidRPr="00C358C1">
                    <w:t>0.053</w:t>
                  </w:r>
                </w:p>
              </w:tc>
              <w:tc>
                <w:tcPr>
                  <w:tcW w:w="632" w:type="pct"/>
                  <w:vAlign w:val="bottom"/>
                </w:tcPr>
                <w:p w:rsidR="00E6227F" w:rsidRDefault="00E6227F" w:rsidP="00E6227F">
                  <w:pPr>
                    <w:pStyle w:val="TableBodyText"/>
                    <w:ind w:right="28"/>
                  </w:pPr>
                  <w:r w:rsidRPr="00C358C1">
                    <w:t>0.240</w:t>
                  </w:r>
                </w:p>
              </w:tc>
              <w:tc>
                <w:tcPr>
                  <w:tcW w:w="632" w:type="pct"/>
                  <w:vAlign w:val="bottom"/>
                </w:tcPr>
                <w:p w:rsidR="00E6227F" w:rsidRDefault="00E6227F" w:rsidP="00E6227F">
                  <w:pPr>
                    <w:pStyle w:val="TableBodyText"/>
                    <w:ind w:right="28"/>
                  </w:pPr>
                  <w:r w:rsidRPr="00C358C1">
                    <w:t>0.462</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Public x Assets</w:t>
                  </w:r>
                </w:p>
              </w:tc>
              <w:tc>
                <w:tcPr>
                  <w:tcW w:w="632" w:type="pct"/>
                  <w:shd w:val="clear" w:color="auto" w:fill="F2F2F2" w:themeFill="background1" w:themeFillShade="F2"/>
                  <w:vAlign w:val="bottom"/>
                </w:tcPr>
                <w:p w:rsidR="00E6227F" w:rsidRDefault="00E6227F" w:rsidP="00E6227F">
                  <w:pPr>
                    <w:pStyle w:val="TableBodyText"/>
                    <w:ind w:right="28"/>
                  </w:pPr>
                  <w:r w:rsidRPr="00C358C1">
                    <w:t>0.082</w:t>
                  </w:r>
                </w:p>
              </w:tc>
              <w:tc>
                <w:tcPr>
                  <w:tcW w:w="632" w:type="pct"/>
                  <w:shd w:val="clear" w:color="auto" w:fill="F2F2F2" w:themeFill="background1" w:themeFillShade="F2"/>
                  <w:vAlign w:val="bottom"/>
                </w:tcPr>
                <w:p w:rsidR="00E6227F" w:rsidRDefault="00E6227F" w:rsidP="00E6227F">
                  <w:pPr>
                    <w:pStyle w:val="TableBodyText"/>
                    <w:ind w:right="28"/>
                  </w:pPr>
                  <w:r w:rsidRPr="00C358C1">
                    <w:t>0.136</w:t>
                  </w:r>
                </w:p>
              </w:tc>
              <w:tc>
                <w:tcPr>
                  <w:tcW w:w="632" w:type="pct"/>
                  <w:shd w:val="clear" w:color="auto" w:fill="F2F2F2" w:themeFill="background1" w:themeFillShade="F2"/>
                  <w:vAlign w:val="bottom"/>
                </w:tcPr>
                <w:p w:rsidR="00E6227F" w:rsidRDefault="00E6227F" w:rsidP="00E6227F">
                  <w:pPr>
                    <w:pStyle w:val="TableBodyText"/>
                    <w:ind w:right="28"/>
                  </w:pPr>
                  <w:r w:rsidRPr="00C358C1">
                    <w:t>-0.211</w:t>
                  </w:r>
                </w:p>
              </w:tc>
              <w:tc>
                <w:tcPr>
                  <w:tcW w:w="632" w:type="pct"/>
                  <w:shd w:val="clear" w:color="auto" w:fill="F2F2F2" w:themeFill="background1" w:themeFillShade="F2"/>
                  <w:vAlign w:val="bottom"/>
                </w:tcPr>
                <w:p w:rsidR="00E6227F" w:rsidRDefault="00E6227F" w:rsidP="00E6227F">
                  <w:pPr>
                    <w:pStyle w:val="TableBodyText"/>
                    <w:ind w:right="28"/>
                  </w:pPr>
                  <w:r w:rsidRPr="00C358C1">
                    <w:t>0.089</w:t>
                  </w:r>
                </w:p>
              </w:tc>
              <w:tc>
                <w:tcPr>
                  <w:tcW w:w="632" w:type="pct"/>
                  <w:shd w:val="clear" w:color="auto" w:fill="F2F2F2" w:themeFill="background1" w:themeFillShade="F2"/>
                  <w:vAlign w:val="bottom"/>
                </w:tcPr>
                <w:p w:rsidR="00E6227F" w:rsidRDefault="00E6227F" w:rsidP="00E6227F">
                  <w:pPr>
                    <w:pStyle w:val="TableBodyText"/>
                    <w:ind w:right="28"/>
                  </w:pPr>
                  <w:r w:rsidRPr="00C358C1">
                    <w:t>0.353</w:t>
                  </w:r>
                </w:p>
              </w:tc>
            </w:tr>
            <w:tr w:rsidR="00E6227F" w:rsidTr="004C4BB2">
              <w:tc>
                <w:tcPr>
                  <w:tcW w:w="1842" w:type="pct"/>
                  <w:shd w:val="clear" w:color="auto" w:fill="auto"/>
                  <w:vAlign w:val="bottom"/>
                </w:tcPr>
                <w:p w:rsidR="00E6227F" w:rsidRDefault="00E6227F" w:rsidP="00E6227F">
                  <w:pPr>
                    <w:pStyle w:val="TableBodyText"/>
                    <w:jc w:val="left"/>
                  </w:pPr>
                  <w:r w:rsidRPr="00C358C1">
                    <w:t>Retail x Assets</w:t>
                  </w:r>
                </w:p>
              </w:tc>
              <w:tc>
                <w:tcPr>
                  <w:tcW w:w="632" w:type="pct"/>
                  <w:vAlign w:val="bottom"/>
                </w:tcPr>
                <w:p w:rsidR="00E6227F" w:rsidRDefault="00E6227F" w:rsidP="00E6227F">
                  <w:pPr>
                    <w:pStyle w:val="TableBodyText"/>
                    <w:ind w:right="28"/>
                  </w:pPr>
                  <w:r w:rsidRPr="00C358C1">
                    <w:t>0.730</w:t>
                  </w:r>
                </w:p>
              </w:tc>
              <w:tc>
                <w:tcPr>
                  <w:tcW w:w="632" w:type="pct"/>
                  <w:shd w:val="clear" w:color="auto" w:fill="auto"/>
                  <w:vAlign w:val="bottom"/>
                </w:tcPr>
                <w:p w:rsidR="00E6227F" w:rsidRDefault="00E6227F" w:rsidP="00E6227F">
                  <w:pPr>
                    <w:pStyle w:val="TableBodyText"/>
                    <w:ind w:right="28"/>
                  </w:pPr>
                  <w:r w:rsidRPr="00C358C1">
                    <w:t>0.088</w:t>
                  </w:r>
                </w:p>
              </w:tc>
              <w:tc>
                <w:tcPr>
                  <w:tcW w:w="632" w:type="pct"/>
                  <w:shd w:val="clear" w:color="auto" w:fill="auto"/>
                  <w:vAlign w:val="bottom"/>
                </w:tcPr>
                <w:p w:rsidR="00E6227F" w:rsidRDefault="00E6227F" w:rsidP="00E6227F">
                  <w:pPr>
                    <w:pStyle w:val="TableBodyText"/>
                    <w:ind w:right="28"/>
                  </w:pPr>
                  <w:r w:rsidRPr="00C358C1">
                    <w:t>0.560</w:t>
                  </w:r>
                </w:p>
              </w:tc>
              <w:tc>
                <w:tcPr>
                  <w:tcW w:w="632" w:type="pct"/>
                  <w:vAlign w:val="bottom"/>
                </w:tcPr>
                <w:p w:rsidR="00E6227F" w:rsidRDefault="00E6227F" w:rsidP="00E6227F">
                  <w:pPr>
                    <w:pStyle w:val="TableBodyText"/>
                    <w:ind w:right="28"/>
                  </w:pPr>
                  <w:r w:rsidRPr="00C358C1">
                    <w:t>0.729</w:t>
                  </w:r>
                </w:p>
              </w:tc>
              <w:tc>
                <w:tcPr>
                  <w:tcW w:w="632" w:type="pct"/>
                  <w:vAlign w:val="bottom"/>
                </w:tcPr>
                <w:p w:rsidR="00E6227F" w:rsidRDefault="00E6227F" w:rsidP="00E6227F">
                  <w:pPr>
                    <w:pStyle w:val="TableBodyText"/>
                    <w:ind w:right="28"/>
                  </w:pPr>
                  <w:r w:rsidRPr="00C358C1">
                    <w:t>0.896</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Industry x Member accounts</w:t>
                  </w:r>
                </w:p>
              </w:tc>
              <w:tc>
                <w:tcPr>
                  <w:tcW w:w="632" w:type="pct"/>
                  <w:shd w:val="clear" w:color="auto" w:fill="F2F2F2" w:themeFill="background1" w:themeFillShade="F2"/>
                  <w:vAlign w:val="bottom"/>
                </w:tcPr>
                <w:p w:rsidR="00E6227F" w:rsidRDefault="00E6227F" w:rsidP="00E6227F">
                  <w:pPr>
                    <w:pStyle w:val="TableBodyText"/>
                    <w:ind w:right="28"/>
                  </w:pPr>
                  <w:r w:rsidRPr="00C358C1">
                    <w:t>-0.252</w:t>
                  </w:r>
                </w:p>
              </w:tc>
              <w:tc>
                <w:tcPr>
                  <w:tcW w:w="632" w:type="pct"/>
                  <w:shd w:val="clear" w:color="auto" w:fill="F2F2F2" w:themeFill="background1" w:themeFillShade="F2"/>
                  <w:vAlign w:val="bottom"/>
                </w:tcPr>
                <w:p w:rsidR="00E6227F" w:rsidRDefault="00E6227F" w:rsidP="00E6227F">
                  <w:pPr>
                    <w:pStyle w:val="TableBodyText"/>
                    <w:ind w:right="28"/>
                  </w:pPr>
                  <w:r w:rsidRPr="00C358C1">
                    <w:t>0.131</w:t>
                  </w:r>
                </w:p>
              </w:tc>
              <w:tc>
                <w:tcPr>
                  <w:tcW w:w="632" w:type="pct"/>
                  <w:shd w:val="clear" w:color="auto" w:fill="F2F2F2" w:themeFill="background1" w:themeFillShade="F2"/>
                  <w:vAlign w:val="bottom"/>
                </w:tcPr>
                <w:p w:rsidR="00E6227F" w:rsidRDefault="00E6227F" w:rsidP="00E6227F">
                  <w:pPr>
                    <w:pStyle w:val="TableBodyText"/>
                    <w:ind w:right="28"/>
                  </w:pPr>
                  <w:r w:rsidRPr="00C358C1">
                    <w:t>-0.509</w:t>
                  </w:r>
                </w:p>
              </w:tc>
              <w:tc>
                <w:tcPr>
                  <w:tcW w:w="632" w:type="pct"/>
                  <w:shd w:val="clear" w:color="auto" w:fill="F2F2F2" w:themeFill="background1" w:themeFillShade="F2"/>
                  <w:vAlign w:val="bottom"/>
                </w:tcPr>
                <w:p w:rsidR="00E6227F" w:rsidRDefault="00E6227F" w:rsidP="00E6227F">
                  <w:pPr>
                    <w:pStyle w:val="TableBodyText"/>
                    <w:ind w:right="28"/>
                  </w:pPr>
                  <w:r w:rsidRPr="00C358C1">
                    <w:t>-0.249</w:t>
                  </w:r>
                </w:p>
              </w:tc>
              <w:tc>
                <w:tcPr>
                  <w:tcW w:w="632" w:type="pct"/>
                  <w:shd w:val="clear" w:color="auto" w:fill="F2F2F2" w:themeFill="background1" w:themeFillShade="F2"/>
                  <w:vAlign w:val="bottom"/>
                </w:tcPr>
                <w:p w:rsidR="00E6227F" w:rsidRDefault="00E6227F" w:rsidP="00E6227F">
                  <w:pPr>
                    <w:pStyle w:val="TableBodyText"/>
                    <w:ind w:right="28"/>
                  </w:pPr>
                  <w:r w:rsidRPr="00C358C1">
                    <w:t>0.000</w:t>
                  </w:r>
                </w:p>
              </w:tc>
            </w:tr>
            <w:tr w:rsidR="00E6227F" w:rsidTr="004C4BB2">
              <w:tc>
                <w:tcPr>
                  <w:tcW w:w="1842" w:type="pct"/>
                  <w:shd w:val="clear" w:color="auto" w:fill="auto"/>
                  <w:vAlign w:val="bottom"/>
                </w:tcPr>
                <w:p w:rsidR="00E6227F" w:rsidRDefault="00E6227F" w:rsidP="00E6227F">
                  <w:pPr>
                    <w:pStyle w:val="TableBodyText"/>
                    <w:jc w:val="left"/>
                  </w:pPr>
                  <w:r w:rsidRPr="00C358C1">
                    <w:t>Public x Member accounts</w:t>
                  </w:r>
                </w:p>
              </w:tc>
              <w:tc>
                <w:tcPr>
                  <w:tcW w:w="632" w:type="pct"/>
                  <w:vAlign w:val="bottom"/>
                </w:tcPr>
                <w:p w:rsidR="00E6227F" w:rsidRDefault="00E6227F" w:rsidP="00E6227F">
                  <w:pPr>
                    <w:pStyle w:val="TableBodyText"/>
                    <w:ind w:right="28"/>
                  </w:pPr>
                  <w:r w:rsidRPr="00C358C1">
                    <w:t>-0.221</w:t>
                  </w:r>
                </w:p>
              </w:tc>
              <w:tc>
                <w:tcPr>
                  <w:tcW w:w="632" w:type="pct"/>
                  <w:shd w:val="clear" w:color="auto" w:fill="auto"/>
                  <w:vAlign w:val="bottom"/>
                </w:tcPr>
                <w:p w:rsidR="00E6227F" w:rsidRDefault="00E6227F" w:rsidP="00E6227F">
                  <w:pPr>
                    <w:pStyle w:val="TableBodyText"/>
                    <w:ind w:right="28"/>
                  </w:pPr>
                  <w:r w:rsidRPr="00C358C1">
                    <w:t>0.161</w:t>
                  </w:r>
                </w:p>
              </w:tc>
              <w:tc>
                <w:tcPr>
                  <w:tcW w:w="632" w:type="pct"/>
                  <w:shd w:val="clear" w:color="auto" w:fill="auto"/>
                  <w:vAlign w:val="bottom"/>
                </w:tcPr>
                <w:p w:rsidR="00E6227F" w:rsidRDefault="00E6227F" w:rsidP="00E6227F">
                  <w:pPr>
                    <w:pStyle w:val="TableBodyText"/>
                    <w:ind w:right="28"/>
                  </w:pPr>
                  <w:r w:rsidRPr="00C358C1">
                    <w:t>-0.533</w:t>
                  </w:r>
                </w:p>
              </w:tc>
              <w:tc>
                <w:tcPr>
                  <w:tcW w:w="632" w:type="pct"/>
                  <w:vAlign w:val="bottom"/>
                </w:tcPr>
                <w:p w:rsidR="00E6227F" w:rsidRDefault="00E6227F" w:rsidP="00E6227F">
                  <w:pPr>
                    <w:pStyle w:val="TableBodyText"/>
                    <w:ind w:right="28"/>
                  </w:pPr>
                  <w:r w:rsidRPr="00C358C1">
                    <w:t>-0.226</w:t>
                  </w:r>
                </w:p>
              </w:tc>
              <w:tc>
                <w:tcPr>
                  <w:tcW w:w="632" w:type="pct"/>
                  <w:vAlign w:val="bottom"/>
                </w:tcPr>
                <w:p w:rsidR="00E6227F" w:rsidRDefault="00E6227F" w:rsidP="00E6227F">
                  <w:pPr>
                    <w:pStyle w:val="TableBodyText"/>
                    <w:ind w:right="28"/>
                  </w:pPr>
                  <w:r w:rsidRPr="00C358C1">
                    <w:t>0.094</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Retail x Member accounts</w:t>
                  </w:r>
                </w:p>
              </w:tc>
              <w:tc>
                <w:tcPr>
                  <w:tcW w:w="632" w:type="pct"/>
                  <w:shd w:val="clear" w:color="auto" w:fill="F2F2F2" w:themeFill="background1" w:themeFillShade="F2"/>
                  <w:vAlign w:val="bottom"/>
                </w:tcPr>
                <w:p w:rsidR="00E6227F" w:rsidRDefault="00E6227F" w:rsidP="00E6227F">
                  <w:pPr>
                    <w:pStyle w:val="TableBodyText"/>
                    <w:ind w:right="28"/>
                  </w:pPr>
                  <w:r w:rsidRPr="00C358C1">
                    <w:t>-0.314</w:t>
                  </w:r>
                </w:p>
              </w:tc>
              <w:tc>
                <w:tcPr>
                  <w:tcW w:w="632" w:type="pct"/>
                  <w:shd w:val="clear" w:color="auto" w:fill="F2F2F2" w:themeFill="background1" w:themeFillShade="F2"/>
                  <w:vAlign w:val="bottom"/>
                </w:tcPr>
                <w:p w:rsidR="00E6227F" w:rsidRDefault="00E6227F" w:rsidP="00E6227F">
                  <w:pPr>
                    <w:pStyle w:val="TableBodyText"/>
                    <w:ind w:right="28"/>
                  </w:pPr>
                  <w:r w:rsidRPr="00C358C1">
                    <w:t>0.106</w:t>
                  </w:r>
                </w:p>
              </w:tc>
              <w:tc>
                <w:tcPr>
                  <w:tcW w:w="632" w:type="pct"/>
                  <w:shd w:val="clear" w:color="auto" w:fill="F2F2F2" w:themeFill="background1" w:themeFillShade="F2"/>
                  <w:vAlign w:val="bottom"/>
                </w:tcPr>
                <w:p w:rsidR="00E6227F" w:rsidRDefault="00E6227F" w:rsidP="00E6227F">
                  <w:pPr>
                    <w:pStyle w:val="TableBodyText"/>
                    <w:ind w:right="28"/>
                  </w:pPr>
                  <w:r w:rsidRPr="00C358C1">
                    <w:t>-0.514</w:t>
                  </w:r>
                </w:p>
              </w:tc>
              <w:tc>
                <w:tcPr>
                  <w:tcW w:w="632" w:type="pct"/>
                  <w:shd w:val="clear" w:color="auto" w:fill="F2F2F2" w:themeFill="background1" w:themeFillShade="F2"/>
                  <w:vAlign w:val="bottom"/>
                </w:tcPr>
                <w:p w:rsidR="00E6227F" w:rsidRDefault="00E6227F" w:rsidP="00E6227F">
                  <w:pPr>
                    <w:pStyle w:val="TableBodyText"/>
                    <w:ind w:right="28"/>
                  </w:pPr>
                  <w:r w:rsidRPr="00C358C1">
                    <w:t>-0.317</w:t>
                  </w:r>
                </w:p>
              </w:tc>
              <w:tc>
                <w:tcPr>
                  <w:tcW w:w="632" w:type="pct"/>
                  <w:shd w:val="clear" w:color="auto" w:fill="F2F2F2" w:themeFill="background1" w:themeFillShade="F2"/>
                  <w:vAlign w:val="bottom"/>
                </w:tcPr>
                <w:p w:rsidR="00E6227F" w:rsidRDefault="00E6227F" w:rsidP="00E6227F">
                  <w:pPr>
                    <w:pStyle w:val="TableBodyText"/>
                    <w:ind w:right="28"/>
                  </w:pPr>
                  <w:r w:rsidRPr="00C358C1">
                    <w:t>-0.101</w:t>
                  </w:r>
                </w:p>
              </w:tc>
            </w:tr>
            <w:tr w:rsidR="00E6227F" w:rsidTr="004C4BB2">
              <w:tc>
                <w:tcPr>
                  <w:tcW w:w="1842" w:type="pct"/>
                  <w:shd w:val="clear" w:color="auto" w:fill="auto"/>
                  <w:vAlign w:val="bottom"/>
                </w:tcPr>
                <w:p w:rsidR="00E6227F" w:rsidRDefault="00E6227F" w:rsidP="00E6227F">
                  <w:pPr>
                    <w:pStyle w:val="TableBodyText"/>
                    <w:jc w:val="left"/>
                  </w:pPr>
                  <w:r w:rsidRPr="00C358C1">
                    <w:t>Intercept</w:t>
                  </w:r>
                </w:p>
              </w:tc>
              <w:tc>
                <w:tcPr>
                  <w:tcW w:w="632" w:type="pct"/>
                  <w:vAlign w:val="bottom"/>
                </w:tcPr>
                <w:p w:rsidR="00E6227F" w:rsidRDefault="00E6227F" w:rsidP="00E6227F">
                  <w:pPr>
                    <w:pStyle w:val="TableBodyText"/>
                    <w:ind w:right="28"/>
                  </w:pPr>
                  <w:r w:rsidRPr="00C358C1">
                    <w:t>-0.008</w:t>
                  </w:r>
                </w:p>
              </w:tc>
              <w:tc>
                <w:tcPr>
                  <w:tcW w:w="632" w:type="pct"/>
                  <w:shd w:val="clear" w:color="auto" w:fill="auto"/>
                  <w:vAlign w:val="bottom"/>
                </w:tcPr>
                <w:p w:rsidR="00E6227F" w:rsidRDefault="00E6227F" w:rsidP="00E6227F">
                  <w:pPr>
                    <w:pStyle w:val="TableBodyText"/>
                    <w:ind w:right="28"/>
                  </w:pPr>
                  <w:r w:rsidRPr="00C358C1">
                    <w:t>0.194</w:t>
                  </w:r>
                </w:p>
              </w:tc>
              <w:tc>
                <w:tcPr>
                  <w:tcW w:w="632" w:type="pct"/>
                  <w:shd w:val="clear" w:color="auto" w:fill="auto"/>
                  <w:vAlign w:val="bottom"/>
                </w:tcPr>
                <w:p w:rsidR="00E6227F" w:rsidRDefault="00E6227F" w:rsidP="00E6227F">
                  <w:pPr>
                    <w:pStyle w:val="TableBodyText"/>
                    <w:ind w:right="28"/>
                  </w:pPr>
                  <w:r w:rsidRPr="00C358C1">
                    <w:t>-0.387</w:t>
                  </w:r>
                </w:p>
              </w:tc>
              <w:tc>
                <w:tcPr>
                  <w:tcW w:w="632" w:type="pct"/>
                  <w:vAlign w:val="bottom"/>
                </w:tcPr>
                <w:p w:rsidR="00E6227F" w:rsidRDefault="00E6227F" w:rsidP="00E6227F">
                  <w:pPr>
                    <w:pStyle w:val="TableBodyText"/>
                    <w:ind w:right="28"/>
                  </w:pPr>
                  <w:r w:rsidRPr="00C358C1">
                    <w:t>-0.010</w:t>
                  </w:r>
                </w:p>
              </w:tc>
              <w:tc>
                <w:tcPr>
                  <w:tcW w:w="632" w:type="pct"/>
                  <w:vAlign w:val="bottom"/>
                </w:tcPr>
                <w:p w:rsidR="00E6227F" w:rsidRDefault="00E6227F" w:rsidP="00E6227F">
                  <w:pPr>
                    <w:pStyle w:val="TableBodyText"/>
                    <w:ind w:right="28"/>
                  </w:pPr>
                  <w:r w:rsidRPr="00C358C1">
                    <w:t>0.357</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SD of number of options</w:t>
                  </w:r>
                </w:p>
              </w:tc>
              <w:tc>
                <w:tcPr>
                  <w:tcW w:w="632" w:type="pct"/>
                  <w:shd w:val="clear" w:color="auto" w:fill="F2F2F2" w:themeFill="background1" w:themeFillShade="F2"/>
                  <w:vAlign w:val="bottom"/>
                </w:tcPr>
                <w:p w:rsidR="00E6227F" w:rsidRDefault="00E6227F" w:rsidP="00E6227F">
                  <w:pPr>
                    <w:pStyle w:val="TableBodyText"/>
                    <w:ind w:right="28"/>
                  </w:pPr>
                  <w:r w:rsidRPr="00C358C1">
                    <w:t>0.746</w:t>
                  </w:r>
                </w:p>
              </w:tc>
              <w:tc>
                <w:tcPr>
                  <w:tcW w:w="632" w:type="pct"/>
                  <w:shd w:val="clear" w:color="auto" w:fill="F2F2F2" w:themeFill="background1" w:themeFillShade="F2"/>
                  <w:vAlign w:val="bottom"/>
                </w:tcPr>
                <w:p w:rsidR="00E6227F" w:rsidRDefault="00E6227F" w:rsidP="00E6227F">
                  <w:pPr>
                    <w:pStyle w:val="TableBodyText"/>
                    <w:ind w:right="28"/>
                  </w:pPr>
                  <w:r w:rsidRPr="00C358C1">
                    <w:t>0.009</w:t>
                  </w:r>
                </w:p>
              </w:tc>
              <w:tc>
                <w:tcPr>
                  <w:tcW w:w="632" w:type="pct"/>
                  <w:shd w:val="clear" w:color="auto" w:fill="F2F2F2" w:themeFill="background1" w:themeFillShade="F2"/>
                  <w:vAlign w:val="bottom"/>
                </w:tcPr>
                <w:p w:rsidR="00E6227F" w:rsidRDefault="00E6227F" w:rsidP="00E6227F">
                  <w:pPr>
                    <w:pStyle w:val="TableBodyText"/>
                    <w:ind w:right="28"/>
                  </w:pPr>
                  <w:r w:rsidRPr="00C358C1">
                    <w:t>0.729</w:t>
                  </w:r>
                </w:p>
              </w:tc>
              <w:tc>
                <w:tcPr>
                  <w:tcW w:w="632" w:type="pct"/>
                  <w:shd w:val="clear" w:color="auto" w:fill="F2F2F2" w:themeFill="background1" w:themeFillShade="F2"/>
                  <w:vAlign w:val="bottom"/>
                </w:tcPr>
                <w:p w:rsidR="00E6227F" w:rsidRDefault="00E6227F" w:rsidP="00E6227F">
                  <w:pPr>
                    <w:pStyle w:val="TableBodyText"/>
                    <w:ind w:right="28"/>
                  </w:pPr>
                  <w:r w:rsidRPr="00C358C1">
                    <w:t>0.746</w:t>
                  </w:r>
                </w:p>
              </w:tc>
              <w:tc>
                <w:tcPr>
                  <w:tcW w:w="632" w:type="pct"/>
                  <w:shd w:val="clear" w:color="auto" w:fill="F2F2F2" w:themeFill="background1" w:themeFillShade="F2"/>
                  <w:vAlign w:val="bottom"/>
                </w:tcPr>
                <w:p w:rsidR="00E6227F" w:rsidRDefault="00E6227F" w:rsidP="00E6227F">
                  <w:pPr>
                    <w:pStyle w:val="TableBodyText"/>
                    <w:ind w:right="28"/>
                  </w:pPr>
                  <w:r w:rsidRPr="00C358C1">
                    <w:t>0.764</w:t>
                  </w:r>
                </w:p>
              </w:tc>
            </w:tr>
            <w:tr w:rsidR="00E6227F" w:rsidTr="004C4BB2">
              <w:tc>
                <w:tcPr>
                  <w:tcW w:w="1842" w:type="pct"/>
                  <w:shd w:val="clear" w:color="auto" w:fill="auto"/>
                  <w:vAlign w:val="bottom"/>
                </w:tcPr>
                <w:p w:rsidR="00E6227F" w:rsidRDefault="00E6227F" w:rsidP="00E6227F">
                  <w:pPr>
                    <w:pStyle w:val="TableBodyText"/>
                    <w:jc w:val="left"/>
                  </w:pPr>
                </w:p>
              </w:tc>
              <w:tc>
                <w:tcPr>
                  <w:tcW w:w="632" w:type="pct"/>
                  <w:vAlign w:val="bottom"/>
                </w:tcPr>
                <w:p w:rsidR="00E6227F" w:rsidRDefault="00E6227F" w:rsidP="00E6227F">
                  <w:pPr>
                    <w:pStyle w:val="TableBodyText"/>
                    <w:ind w:right="28"/>
                  </w:pPr>
                </w:p>
              </w:tc>
              <w:tc>
                <w:tcPr>
                  <w:tcW w:w="632" w:type="pct"/>
                  <w:shd w:val="clear" w:color="auto" w:fill="auto"/>
                  <w:vAlign w:val="bottom"/>
                </w:tcPr>
                <w:p w:rsidR="00E6227F" w:rsidRDefault="00E6227F" w:rsidP="00E6227F">
                  <w:pPr>
                    <w:pStyle w:val="TableBodyText"/>
                    <w:ind w:right="28"/>
                  </w:pPr>
                </w:p>
              </w:tc>
              <w:tc>
                <w:tcPr>
                  <w:tcW w:w="632" w:type="pct"/>
                  <w:shd w:val="clear" w:color="auto" w:fill="auto"/>
                  <w:vAlign w:val="bottom"/>
                </w:tcPr>
                <w:p w:rsidR="00E6227F" w:rsidRDefault="00E6227F" w:rsidP="00E6227F">
                  <w:pPr>
                    <w:pStyle w:val="TableBodyText"/>
                    <w:ind w:right="28"/>
                  </w:pPr>
                </w:p>
              </w:tc>
              <w:tc>
                <w:tcPr>
                  <w:tcW w:w="632" w:type="pct"/>
                  <w:vAlign w:val="bottom"/>
                </w:tcPr>
                <w:p w:rsidR="00E6227F" w:rsidRDefault="00E6227F" w:rsidP="00E6227F">
                  <w:pPr>
                    <w:pStyle w:val="TableBodyText"/>
                    <w:ind w:right="28"/>
                  </w:pPr>
                </w:p>
              </w:tc>
              <w:tc>
                <w:tcPr>
                  <w:tcW w:w="632" w:type="pct"/>
                  <w:vAlign w:val="bottom"/>
                </w:tcPr>
                <w:p w:rsidR="00E6227F" w:rsidRDefault="00E6227F" w:rsidP="00E6227F">
                  <w:pPr>
                    <w:pStyle w:val="TableBodyText"/>
                    <w:ind w:right="28"/>
                  </w:pPr>
                </w:p>
              </w:tc>
            </w:tr>
            <w:tr w:rsidR="00E6227F" w:rsidTr="00F76FED">
              <w:tc>
                <w:tcPr>
                  <w:tcW w:w="1842" w:type="pct"/>
                  <w:shd w:val="clear" w:color="auto" w:fill="BFBFBF" w:themeFill="background1" w:themeFillShade="BF"/>
                  <w:vAlign w:val="bottom"/>
                </w:tcPr>
                <w:p w:rsidR="00E6227F" w:rsidRDefault="00E6227F" w:rsidP="00E6227F">
                  <w:pPr>
                    <w:pStyle w:val="TableBodyText"/>
                    <w:jc w:val="left"/>
                  </w:pPr>
                  <w:r w:rsidRPr="00C358C1">
                    <w:rPr>
                      <w:b/>
                    </w:rPr>
                    <w:t>Survival equation</w:t>
                  </w:r>
                </w:p>
              </w:tc>
              <w:tc>
                <w:tcPr>
                  <w:tcW w:w="632" w:type="pct"/>
                  <w:shd w:val="clear" w:color="auto" w:fill="BFBFBF" w:themeFill="background1" w:themeFillShade="BF"/>
                  <w:vAlign w:val="bottom"/>
                </w:tcPr>
                <w:p w:rsidR="00E6227F" w:rsidRDefault="00E6227F" w:rsidP="00E6227F">
                  <w:pPr>
                    <w:pStyle w:val="TableBodyText"/>
                    <w:ind w:right="28"/>
                  </w:pPr>
                </w:p>
              </w:tc>
              <w:tc>
                <w:tcPr>
                  <w:tcW w:w="632" w:type="pct"/>
                  <w:shd w:val="clear" w:color="auto" w:fill="BFBFBF" w:themeFill="background1" w:themeFillShade="BF"/>
                  <w:vAlign w:val="bottom"/>
                </w:tcPr>
                <w:p w:rsidR="00E6227F" w:rsidRDefault="00E6227F" w:rsidP="00E6227F">
                  <w:pPr>
                    <w:pStyle w:val="TableBodyText"/>
                    <w:ind w:right="28"/>
                  </w:pPr>
                </w:p>
              </w:tc>
              <w:tc>
                <w:tcPr>
                  <w:tcW w:w="632" w:type="pct"/>
                  <w:shd w:val="clear" w:color="auto" w:fill="BFBFBF" w:themeFill="background1" w:themeFillShade="BF"/>
                  <w:vAlign w:val="bottom"/>
                </w:tcPr>
                <w:p w:rsidR="00E6227F" w:rsidRDefault="00E6227F" w:rsidP="00E6227F">
                  <w:pPr>
                    <w:pStyle w:val="TableBodyText"/>
                    <w:ind w:right="28"/>
                  </w:pPr>
                </w:p>
              </w:tc>
              <w:tc>
                <w:tcPr>
                  <w:tcW w:w="632" w:type="pct"/>
                  <w:shd w:val="clear" w:color="auto" w:fill="BFBFBF" w:themeFill="background1" w:themeFillShade="BF"/>
                  <w:vAlign w:val="bottom"/>
                </w:tcPr>
                <w:p w:rsidR="00E6227F" w:rsidRDefault="00E6227F" w:rsidP="00E6227F">
                  <w:pPr>
                    <w:pStyle w:val="TableBodyText"/>
                    <w:ind w:right="28"/>
                  </w:pPr>
                </w:p>
              </w:tc>
              <w:tc>
                <w:tcPr>
                  <w:tcW w:w="632" w:type="pct"/>
                  <w:shd w:val="clear" w:color="auto" w:fill="BFBFBF" w:themeFill="background1" w:themeFillShade="BF"/>
                  <w:vAlign w:val="bottom"/>
                </w:tcPr>
                <w:p w:rsidR="00E6227F" w:rsidRDefault="00E6227F" w:rsidP="00E6227F">
                  <w:pPr>
                    <w:pStyle w:val="TableBodyText"/>
                    <w:ind w:right="28"/>
                  </w:pPr>
                </w:p>
              </w:tc>
            </w:tr>
            <w:tr w:rsidR="00E6227F" w:rsidTr="004C4BB2">
              <w:tc>
                <w:tcPr>
                  <w:tcW w:w="1842" w:type="pct"/>
                  <w:shd w:val="clear" w:color="auto" w:fill="auto"/>
                  <w:vAlign w:val="bottom"/>
                </w:tcPr>
                <w:p w:rsidR="00E6227F" w:rsidRDefault="00E6227F" w:rsidP="00E6227F">
                  <w:pPr>
                    <w:pStyle w:val="TableBodyText"/>
                    <w:jc w:val="left"/>
                  </w:pPr>
                  <w:r w:rsidRPr="00C358C1">
                    <w:t>Assets</w:t>
                  </w:r>
                </w:p>
              </w:tc>
              <w:tc>
                <w:tcPr>
                  <w:tcW w:w="632" w:type="pct"/>
                  <w:vAlign w:val="bottom"/>
                </w:tcPr>
                <w:p w:rsidR="00E6227F" w:rsidRDefault="00E6227F" w:rsidP="00E6227F">
                  <w:pPr>
                    <w:pStyle w:val="TableBodyText"/>
                    <w:ind w:right="28"/>
                  </w:pPr>
                  <w:r w:rsidRPr="00C358C1">
                    <w:t>0.797</w:t>
                  </w:r>
                </w:p>
              </w:tc>
              <w:tc>
                <w:tcPr>
                  <w:tcW w:w="632" w:type="pct"/>
                  <w:shd w:val="clear" w:color="auto" w:fill="auto"/>
                  <w:vAlign w:val="bottom"/>
                </w:tcPr>
                <w:p w:rsidR="00E6227F" w:rsidRDefault="00E6227F" w:rsidP="00E6227F">
                  <w:pPr>
                    <w:pStyle w:val="TableBodyText"/>
                    <w:ind w:right="28"/>
                  </w:pPr>
                  <w:r w:rsidRPr="00C358C1">
                    <w:t>0.140</w:t>
                  </w:r>
                </w:p>
              </w:tc>
              <w:tc>
                <w:tcPr>
                  <w:tcW w:w="632" w:type="pct"/>
                  <w:shd w:val="clear" w:color="auto" w:fill="auto"/>
                  <w:vAlign w:val="bottom"/>
                </w:tcPr>
                <w:p w:rsidR="00E6227F" w:rsidRDefault="00E6227F" w:rsidP="00E6227F">
                  <w:pPr>
                    <w:pStyle w:val="TableBodyText"/>
                    <w:ind w:right="28"/>
                  </w:pPr>
                  <w:r w:rsidRPr="00C358C1">
                    <w:t>0.529</w:t>
                  </w:r>
                </w:p>
              </w:tc>
              <w:tc>
                <w:tcPr>
                  <w:tcW w:w="632" w:type="pct"/>
                  <w:vAlign w:val="bottom"/>
                </w:tcPr>
                <w:p w:rsidR="00E6227F" w:rsidRDefault="00E6227F" w:rsidP="00E6227F">
                  <w:pPr>
                    <w:pStyle w:val="TableBodyText"/>
                    <w:ind w:right="28"/>
                  </w:pPr>
                  <w:r w:rsidRPr="00C358C1">
                    <w:t>0.791</w:t>
                  </w:r>
                </w:p>
              </w:tc>
              <w:tc>
                <w:tcPr>
                  <w:tcW w:w="632" w:type="pct"/>
                  <w:vAlign w:val="bottom"/>
                </w:tcPr>
                <w:p w:rsidR="00E6227F" w:rsidRDefault="00E6227F" w:rsidP="00E6227F">
                  <w:pPr>
                    <w:pStyle w:val="TableBodyText"/>
                    <w:ind w:right="28"/>
                  </w:pPr>
                  <w:r w:rsidRPr="00C358C1">
                    <w:t>1.074</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Member accounts</w:t>
                  </w:r>
                </w:p>
              </w:tc>
              <w:tc>
                <w:tcPr>
                  <w:tcW w:w="632" w:type="pct"/>
                  <w:shd w:val="clear" w:color="auto" w:fill="F2F2F2" w:themeFill="background1" w:themeFillShade="F2"/>
                  <w:vAlign w:val="bottom"/>
                </w:tcPr>
                <w:p w:rsidR="00E6227F" w:rsidRDefault="00E6227F" w:rsidP="00E6227F">
                  <w:pPr>
                    <w:pStyle w:val="TableBodyText"/>
                    <w:ind w:right="28"/>
                  </w:pPr>
                  <w:r w:rsidRPr="00C358C1">
                    <w:t>-0.166</w:t>
                  </w:r>
                </w:p>
              </w:tc>
              <w:tc>
                <w:tcPr>
                  <w:tcW w:w="632" w:type="pct"/>
                  <w:shd w:val="clear" w:color="auto" w:fill="F2F2F2" w:themeFill="background1" w:themeFillShade="F2"/>
                  <w:vAlign w:val="bottom"/>
                </w:tcPr>
                <w:p w:rsidR="00E6227F" w:rsidRDefault="00E6227F" w:rsidP="00E6227F">
                  <w:pPr>
                    <w:pStyle w:val="TableBodyText"/>
                    <w:ind w:right="28"/>
                  </w:pPr>
                  <w:r w:rsidRPr="00C358C1">
                    <w:t>0.121</w:t>
                  </w:r>
                </w:p>
              </w:tc>
              <w:tc>
                <w:tcPr>
                  <w:tcW w:w="632" w:type="pct"/>
                  <w:shd w:val="clear" w:color="auto" w:fill="F2F2F2" w:themeFill="background1" w:themeFillShade="F2"/>
                  <w:vAlign w:val="bottom"/>
                </w:tcPr>
                <w:p w:rsidR="00E6227F" w:rsidRDefault="00E6227F" w:rsidP="00E6227F">
                  <w:pPr>
                    <w:pStyle w:val="TableBodyText"/>
                    <w:ind w:right="28"/>
                  </w:pPr>
                  <w:r w:rsidRPr="00C358C1">
                    <w:t>-0.411</w:t>
                  </w:r>
                </w:p>
              </w:tc>
              <w:tc>
                <w:tcPr>
                  <w:tcW w:w="632" w:type="pct"/>
                  <w:shd w:val="clear" w:color="auto" w:fill="F2F2F2" w:themeFill="background1" w:themeFillShade="F2"/>
                  <w:vAlign w:val="bottom"/>
                </w:tcPr>
                <w:p w:rsidR="00E6227F" w:rsidRDefault="00E6227F" w:rsidP="00E6227F">
                  <w:pPr>
                    <w:pStyle w:val="TableBodyText"/>
                    <w:ind w:right="28"/>
                  </w:pPr>
                  <w:r w:rsidRPr="00C358C1">
                    <w:t>-0.168</w:t>
                  </w:r>
                </w:p>
              </w:tc>
              <w:tc>
                <w:tcPr>
                  <w:tcW w:w="632" w:type="pct"/>
                  <w:shd w:val="clear" w:color="auto" w:fill="F2F2F2" w:themeFill="background1" w:themeFillShade="F2"/>
                  <w:vAlign w:val="bottom"/>
                </w:tcPr>
                <w:p w:rsidR="00E6227F" w:rsidRDefault="00E6227F" w:rsidP="00E6227F">
                  <w:pPr>
                    <w:pStyle w:val="TableBodyText"/>
                    <w:ind w:right="28"/>
                  </w:pPr>
                  <w:r w:rsidRPr="00C358C1">
                    <w:t>0.076</w:t>
                  </w:r>
                </w:p>
              </w:tc>
            </w:tr>
            <w:tr w:rsidR="00E6227F" w:rsidTr="004C4BB2">
              <w:tc>
                <w:tcPr>
                  <w:tcW w:w="1842" w:type="pct"/>
                  <w:shd w:val="clear" w:color="auto" w:fill="auto"/>
                  <w:vAlign w:val="bottom"/>
                </w:tcPr>
                <w:p w:rsidR="00E6227F" w:rsidRDefault="00E6227F" w:rsidP="00E6227F">
                  <w:pPr>
                    <w:pStyle w:val="TableBodyText"/>
                    <w:jc w:val="left"/>
                  </w:pPr>
                  <w:r w:rsidRPr="00C358C1">
                    <w:t>Number of investment options</w:t>
                  </w:r>
                </w:p>
              </w:tc>
              <w:tc>
                <w:tcPr>
                  <w:tcW w:w="632" w:type="pct"/>
                  <w:vAlign w:val="bottom"/>
                </w:tcPr>
                <w:p w:rsidR="00E6227F" w:rsidRDefault="00E6227F" w:rsidP="00E6227F">
                  <w:pPr>
                    <w:pStyle w:val="TableBodyText"/>
                    <w:ind w:right="28"/>
                  </w:pPr>
                  <w:r w:rsidRPr="00C358C1">
                    <w:t>0.115</w:t>
                  </w:r>
                </w:p>
              </w:tc>
              <w:tc>
                <w:tcPr>
                  <w:tcW w:w="632" w:type="pct"/>
                  <w:shd w:val="clear" w:color="auto" w:fill="auto"/>
                  <w:vAlign w:val="bottom"/>
                </w:tcPr>
                <w:p w:rsidR="00E6227F" w:rsidRDefault="00E6227F" w:rsidP="00E6227F">
                  <w:pPr>
                    <w:pStyle w:val="TableBodyText"/>
                    <w:ind w:right="28"/>
                  </w:pPr>
                  <w:r w:rsidRPr="00C358C1">
                    <w:t>0.081</w:t>
                  </w:r>
                </w:p>
              </w:tc>
              <w:tc>
                <w:tcPr>
                  <w:tcW w:w="632" w:type="pct"/>
                  <w:shd w:val="clear" w:color="auto" w:fill="auto"/>
                  <w:vAlign w:val="bottom"/>
                </w:tcPr>
                <w:p w:rsidR="00E6227F" w:rsidRDefault="00E6227F" w:rsidP="00E6227F">
                  <w:pPr>
                    <w:pStyle w:val="TableBodyText"/>
                    <w:ind w:right="28"/>
                  </w:pPr>
                  <w:r w:rsidRPr="00C358C1">
                    <w:t>-0.035</w:t>
                  </w:r>
                </w:p>
              </w:tc>
              <w:tc>
                <w:tcPr>
                  <w:tcW w:w="632" w:type="pct"/>
                  <w:vAlign w:val="bottom"/>
                </w:tcPr>
                <w:p w:rsidR="00E6227F" w:rsidRDefault="00E6227F" w:rsidP="00E6227F">
                  <w:pPr>
                    <w:pStyle w:val="TableBodyText"/>
                    <w:ind w:right="28"/>
                  </w:pPr>
                  <w:r w:rsidRPr="00C358C1">
                    <w:t>0.114</w:t>
                  </w:r>
                </w:p>
              </w:tc>
              <w:tc>
                <w:tcPr>
                  <w:tcW w:w="632" w:type="pct"/>
                  <w:vAlign w:val="bottom"/>
                </w:tcPr>
                <w:p w:rsidR="00E6227F" w:rsidRDefault="00E6227F" w:rsidP="00E6227F">
                  <w:pPr>
                    <w:pStyle w:val="TableBodyText"/>
                    <w:ind w:right="28"/>
                  </w:pPr>
                  <w:r w:rsidRPr="00C358C1">
                    <w:t>0.292</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Net contributions</w:t>
                  </w:r>
                </w:p>
              </w:tc>
              <w:tc>
                <w:tcPr>
                  <w:tcW w:w="632" w:type="pct"/>
                  <w:shd w:val="clear" w:color="auto" w:fill="F2F2F2" w:themeFill="background1" w:themeFillShade="F2"/>
                  <w:vAlign w:val="bottom"/>
                </w:tcPr>
                <w:p w:rsidR="00E6227F" w:rsidRDefault="00E6227F" w:rsidP="00E6227F">
                  <w:pPr>
                    <w:pStyle w:val="TableBodyText"/>
                    <w:ind w:right="28"/>
                  </w:pPr>
                  <w:r w:rsidRPr="00C358C1">
                    <w:t>0.290</w:t>
                  </w:r>
                </w:p>
              </w:tc>
              <w:tc>
                <w:tcPr>
                  <w:tcW w:w="632" w:type="pct"/>
                  <w:shd w:val="clear" w:color="auto" w:fill="F2F2F2" w:themeFill="background1" w:themeFillShade="F2"/>
                  <w:vAlign w:val="bottom"/>
                </w:tcPr>
                <w:p w:rsidR="00E6227F" w:rsidRDefault="00E6227F" w:rsidP="00E6227F">
                  <w:pPr>
                    <w:pStyle w:val="TableBodyText"/>
                    <w:ind w:right="28"/>
                  </w:pPr>
                  <w:r w:rsidRPr="00C358C1">
                    <w:t>0.184</w:t>
                  </w:r>
                </w:p>
              </w:tc>
              <w:tc>
                <w:tcPr>
                  <w:tcW w:w="632" w:type="pct"/>
                  <w:shd w:val="clear" w:color="auto" w:fill="F2F2F2" w:themeFill="background1" w:themeFillShade="F2"/>
                  <w:vAlign w:val="bottom"/>
                </w:tcPr>
                <w:p w:rsidR="00E6227F" w:rsidRDefault="00E6227F" w:rsidP="00E6227F">
                  <w:pPr>
                    <w:pStyle w:val="TableBodyText"/>
                    <w:ind w:right="28"/>
                  </w:pPr>
                  <w:r w:rsidRPr="00C358C1">
                    <w:t>-0.040</w:t>
                  </w:r>
                </w:p>
              </w:tc>
              <w:tc>
                <w:tcPr>
                  <w:tcW w:w="632" w:type="pct"/>
                  <w:shd w:val="clear" w:color="auto" w:fill="F2F2F2" w:themeFill="background1" w:themeFillShade="F2"/>
                  <w:vAlign w:val="bottom"/>
                </w:tcPr>
                <w:p w:rsidR="00E6227F" w:rsidRDefault="00E6227F" w:rsidP="00E6227F">
                  <w:pPr>
                    <w:pStyle w:val="TableBodyText"/>
                    <w:ind w:right="28"/>
                  </w:pPr>
                  <w:r w:rsidRPr="00C358C1">
                    <w:t>0.275</w:t>
                  </w:r>
                </w:p>
              </w:tc>
              <w:tc>
                <w:tcPr>
                  <w:tcW w:w="632" w:type="pct"/>
                  <w:shd w:val="clear" w:color="auto" w:fill="F2F2F2" w:themeFill="background1" w:themeFillShade="F2"/>
                  <w:vAlign w:val="bottom"/>
                </w:tcPr>
                <w:p w:rsidR="00E6227F" w:rsidRDefault="00E6227F" w:rsidP="00E6227F">
                  <w:pPr>
                    <w:pStyle w:val="TableBodyText"/>
                    <w:ind w:right="28"/>
                  </w:pPr>
                  <w:r w:rsidRPr="00C358C1">
                    <w:t>0.682</w:t>
                  </w:r>
                </w:p>
              </w:tc>
            </w:tr>
            <w:tr w:rsidR="00E6227F" w:rsidTr="004C4BB2">
              <w:tc>
                <w:tcPr>
                  <w:tcW w:w="1842" w:type="pct"/>
                  <w:shd w:val="clear" w:color="auto" w:fill="auto"/>
                  <w:vAlign w:val="bottom"/>
                </w:tcPr>
                <w:p w:rsidR="00E6227F" w:rsidRDefault="00E6227F" w:rsidP="00E6227F">
                  <w:pPr>
                    <w:pStyle w:val="TableBodyText"/>
                    <w:jc w:val="left"/>
                  </w:pPr>
                  <w:r w:rsidRPr="00C358C1">
                    <w:t>Net rollovers</w:t>
                  </w:r>
                </w:p>
              </w:tc>
              <w:tc>
                <w:tcPr>
                  <w:tcW w:w="632" w:type="pct"/>
                  <w:vAlign w:val="bottom"/>
                </w:tcPr>
                <w:p w:rsidR="00E6227F" w:rsidRDefault="00E6227F" w:rsidP="00E6227F">
                  <w:pPr>
                    <w:pStyle w:val="TableBodyText"/>
                    <w:ind w:right="28"/>
                  </w:pPr>
                  <w:r w:rsidRPr="00C358C1">
                    <w:t>0.264</w:t>
                  </w:r>
                </w:p>
              </w:tc>
              <w:tc>
                <w:tcPr>
                  <w:tcW w:w="632" w:type="pct"/>
                  <w:shd w:val="clear" w:color="auto" w:fill="auto"/>
                  <w:vAlign w:val="bottom"/>
                </w:tcPr>
                <w:p w:rsidR="00E6227F" w:rsidRDefault="00E6227F" w:rsidP="00E6227F">
                  <w:pPr>
                    <w:pStyle w:val="TableBodyText"/>
                    <w:ind w:right="28"/>
                  </w:pPr>
                  <w:r w:rsidRPr="00C358C1">
                    <w:t>0.164</w:t>
                  </w:r>
                </w:p>
              </w:tc>
              <w:tc>
                <w:tcPr>
                  <w:tcW w:w="632" w:type="pct"/>
                  <w:shd w:val="clear" w:color="auto" w:fill="auto"/>
                  <w:vAlign w:val="bottom"/>
                </w:tcPr>
                <w:p w:rsidR="00E6227F" w:rsidRDefault="00E6227F" w:rsidP="00E6227F">
                  <w:pPr>
                    <w:pStyle w:val="TableBodyText"/>
                    <w:ind w:right="28"/>
                  </w:pPr>
                  <w:r w:rsidRPr="00C358C1">
                    <w:t>0.027</w:t>
                  </w:r>
                </w:p>
              </w:tc>
              <w:tc>
                <w:tcPr>
                  <w:tcW w:w="632" w:type="pct"/>
                  <w:vAlign w:val="bottom"/>
                </w:tcPr>
                <w:p w:rsidR="00E6227F" w:rsidRDefault="00E6227F" w:rsidP="00E6227F">
                  <w:pPr>
                    <w:pStyle w:val="TableBodyText"/>
                    <w:ind w:right="28"/>
                  </w:pPr>
                  <w:r w:rsidRPr="00C358C1">
                    <w:t>0.211</w:t>
                  </w:r>
                </w:p>
              </w:tc>
              <w:tc>
                <w:tcPr>
                  <w:tcW w:w="632" w:type="pct"/>
                  <w:vAlign w:val="bottom"/>
                </w:tcPr>
                <w:p w:rsidR="00E6227F" w:rsidRDefault="00E6227F" w:rsidP="00E6227F">
                  <w:pPr>
                    <w:pStyle w:val="TableBodyText"/>
                    <w:ind w:right="28"/>
                  </w:pPr>
                  <w:r w:rsidRPr="00C358C1">
                    <w:t>0.579</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Annual net return</w:t>
                  </w:r>
                </w:p>
              </w:tc>
              <w:tc>
                <w:tcPr>
                  <w:tcW w:w="632" w:type="pct"/>
                  <w:shd w:val="clear" w:color="auto" w:fill="F2F2F2" w:themeFill="background1" w:themeFillShade="F2"/>
                  <w:vAlign w:val="bottom"/>
                </w:tcPr>
                <w:p w:rsidR="00E6227F" w:rsidRDefault="00E6227F" w:rsidP="00E6227F">
                  <w:pPr>
                    <w:pStyle w:val="TableBodyText"/>
                    <w:ind w:right="28"/>
                  </w:pPr>
                  <w:r w:rsidRPr="00C358C1">
                    <w:t>0.029</w:t>
                  </w:r>
                </w:p>
              </w:tc>
              <w:tc>
                <w:tcPr>
                  <w:tcW w:w="632" w:type="pct"/>
                  <w:shd w:val="clear" w:color="auto" w:fill="F2F2F2" w:themeFill="background1" w:themeFillShade="F2"/>
                  <w:vAlign w:val="bottom"/>
                </w:tcPr>
                <w:p w:rsidR="00E6227F" w:rsidRDefault="00E6227F" w:rsidP="00E6227F">
                  <w:pPr>
                    <w:pStyle w:val="TableBodyText"/>
                    <w:ind w:right="28"/>
                  </w:pPr>
                  <w:r w:rsidRPr="00C358C1">
                    <w:t>0.047</w:t>
                  </w:r>
                </w:p>
              </w:tc>
              <w:tc>
                <w:tcPr>
                  <w:tcW w:w="632" w:type="pct"/>
                  <w:shd w:val="clear" w:color="auto" w:fill="F2F2F2" w:themeFill="background1" w:themeFillShade="F2"/>
                  <w:vAlign w:val="bottom"/>
                </w:tcPr>
                <w:p w:rsidR="00E6227F" w:rsidRDefault="00E6227F" w:rsidP="00E6227F">
                  <w:pPr>
                    <w:pStyle w:val="TableBodyText"/>
                    <w:ind w:right="28"/>
                  </w:pPr>
                  <w:r w:rsidRPr="00C358C1">
                    <w:t>-0.052</w:t>
                  </w:r>
                </w:p>
              </w:tc>
              <w:tc>
                <w:tcPr>
                  <w:tcW w:w="632" w:type="pct"/>
                  <w:shd w:val="clear" w:color="auto" w:fill="F2F2F2" w:themeFill="background1" w:themeFillShade="F2"/>
                  <w:vAlign w:val="bottom"/>
                </w:tcPr>
                <w:p w:rsidR="00E6227F" w:rsidRDefault="00E6227F" w:rsidP="00E6227F">
                  <w:pPr>
                    <w:pStyle w:val="TableBodyText"/>
                    <w:ind w:right="28"/>
                  </w:pPr>
                  <w:r w:rsidRPr="00C358C1">
                    <w:t>0.029</w:t>
                  </w:r>
                </w:p>
              </w:tc>
              <w:tc>
                <w:tcPr>
                  <w:tcW w:w="632" w:type="pct"/>
                  <w:shd w:val="clear" w:color="auto" w:fill="F2F2F2" w:themeFill="background1" w:themeFillShade="F2"/>
                  <w:vAlign w:val="bottom"/>
                </w:tcPr>
                <w:p w:rsidR="00E6227F" w:rsidRDefault="00E6227F" w:rsidP="00E6227F">
                  <w:pPr>
                    <w:pStyle w:val="TableBodyText"/>
                    <w:ind w:right="28"/>
                  </w:pPr>
                  <w:r w:rsidRPr="00C358C1">
                    <w:t>0.124</w:t>
                  </w:r>
                </w:p>
              </w:tc>
            </w:tr>
            <w:tr w:rsidR="00E6227F" w:rsidTr="004C4BB2">
              <w:tc>
                <w:tcPr>
                  <w:tcW w:w="1842" w:type="pct"/>
                  <w:shd w:val="clear" w:color="auto" w:fill="auto"/>
                  <w:vAlign w:val="bottom"/>
                </w:tcPr>
                <w:p w:rsidR="00E6227F" w:rsidRDefault="00E6227F" w:rsidP="00E6227F">
                  <w:pPr>
                    <w:pStyle w:val="TableBodyText"/>
                    <w:jc w:val="left"/>
                  </w:pPr>
                  <w:r w:rsidRPr="00C358C1">
                    <w:t>Stronger super</w:t>
                  </w:r>
                </w:p>
              </w:tc>
              <w:tc>
                <w:tcPr>
                  <w:tcW w:w="632" w:type="pct"/>
                  <w:vAlign w:val="bottom"/>
                </w:tcPr>
                <w:p w:rsidR="00E6227F" w:rsidRDefault="00E6227F" w:rsidP="00E6227F">
                  <w:pPr>
                    <w:pStyle w:val="TableBodyText"/>
                    <w:ind w:right="28"/>
                  </w:pPr>
                  <w:r w:rsidRPr="00C358C1">
                    <w:t>0.433</w:t>
                  </w:r>
                </w:p>
              </w:tc>
              <w:tc>
                <w:tcPr>
                  <w:tcW w:w="632" w:type="pct"/>
                  <w:shd w:val="clear" w:color="auto" w:fill="auto"/>
                  <w:vAlign w:val="bottom"/>
                </w:tcPr>
                <w:p w:rsidR="00E6227F" w:rsidRDefault="00E6227F" w:rsidP="00E6227F">
                  <w:pPr>
                    <w:pStyle w:val="TableBodyText"/>
                    <w:ind w:right="28"/>
                  </w:pPr>
                  <w:r w:rsidRPr="00C358C1">
                    <w:t>0.148</w:t>
                  </w:r>
                </w:p>
              </w:tc>
              <w:tc>
                <w:tcPr>
                  <w:tcW w:w="632" w:type="pct"/>
                  <w:shd w:val="clear" w:color="auto" w:fill="auto"/>
                  <w:vAlign w:val="bottom"/>
                </w:tcPr>
                <w:p w:rsidR="00E6227F" w:rsidRDefault="00E6227F" w:rsidP="00E6227F">
                  <w:pPr>
                    <w:pStyle w:val="TableBodyText"/>
                    <w:ind w:right="28"/>
                  </w:pPr>
                  <w:r w:rsidRPr="00C358C1">
                    <w:t>0.152</w:t>
                  </w:r>
                </w:p>
              </w:tc>
              <w:tc>
                <w:tcPr>
                  <w:tcW w:w="632" w:type="pct"/>
                  <w:vAlign w:val="bottom"/>
                </w:tcPr>
                <w:p w:rsidR="00E6227F" w:rsidRDefault="00E6227F" w:rsidP="00E6227F">
                  <w:pPr>
                    <w:pStyle w:val="TableBodyText"/>
                    <w:ind w:right="28"/>
                  </w:pPr>
                  <w:r w:rsidRPr="00C358C1">
                    <w:t>0.439</w:t>
                  </w:r>
                </w:p>
              </w:tc>
              <w:tc>
                <w:tcPr>
                  <w:tcW w:w="632" w:type="pct"/>
                  <w:vAlign w:val="bottom"/>
                </w:tcPr>
                <w:p w:rsidR="00E6227F" w:rsidRDefault="00E6227F" w:rsidP="00E6227F">
                  <w:pPr>
                    <w:pStyle w:val="TableBodyText"/>
                    <w:ind w:right="28"/>
                  </w:pPr>
                  <w:r w:rsidRPr="00C358C1">
                    <w:t>0.727</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Post reporting change</w:t>
                  </w:r>
                </w:p>
              </w:tc>
              <w:tc>
                <w:tcPr>
                  <w:tcW w:w="632" w:type="pct"/>
                  <w:shd w:val="clear" w:color="auto" w:fill="F2F2F2" w:themeFill="background1" w:themeFillShade="F2"/>
                  <w:vAlign w:val="bottom"/>
                </w:tcPr>
                <w:p w:rsidR="00E6227F" w:rsidRDefault="00E6227F" w:rsidP="00E6227F">
                  <w:pPr>
                    <w:pStyle w:val="TableBodyText"/>
                    <w:ind w:right="28"/>
                  </w:pPr>
                  <w:r w:rsidRPr="00C358C1">
                    <w:t>0.290</w:t>
                  </w:r>
                </w:p>
              </w:tc>
              <w:tc>
                <w:tcPr>
                  <w:tcW w:w="632" w:type="pct"/>
                  <w:shd w:val="clear" w:color="auto" w:fill="F2F2F2" w:themeFill="background1" w:themeFillShade="F2"/>
                  <w:vAlign w:val="bottom"/>
                </w:tcPr>
                <w:p w:rsidR="00E6227F" w:rsidRDefault="00E6227F" w:rsidP="00E6227F">
                  <w:pPr>
                    <w:pStyle w:val="TableBodyText"/>
                    <w:ind w:right="28"/>
                  </w:pPr>
                  <w:r w:rsidRPr="00C358C1">
                    <w:t>0.206</w:t>
                  </w:r>
                </w:p>
              </w:tc>
              <w:tc>
                <w:tcPr>
                  <w:tcW w:w="632" w:type="pct"/>
                  <w:shd w:val="clear" w:color="auto" w:fill="F2F2F2" w:themeFill="background1" w:themeFillShade="F2"/>
                  <w:vAlign w:val="bottom"/>
                </w:tcPr>
                <w:p w:rsidR="00E6227F" w:rsidRDefault="00E6227F" w:rsidP="00E6227F">
                  <w:pPr>
                    <w:pStyle w:val="TableBodyText"/>
                    <w:ind w:right="28"/>
                  </w:pPr>
                  <w:r w:rsidRPr="00C358C1">
                    <w:t>-0.120</w:t>
                  </w:r>
                </w:p>
              </w:tc>
              <w:tc>
                <w:tcPr>
                  <w:tcW w:w="632" w:type="pct"/>
                  <w:shd w:val="clear" w:color="auto" w:fill="F2F2F2" w:themeFill="background1" w:themeFillShade="F2"/>
                  <w:vAlign w:val="bottom"/>
                </w:tcPr>
                <w:p w:rsidR="00E6227F" w:rsidRDefault="00E6227F" w:rsidP="00E6227F">
                  <w:pPr>
                    <w:pStyle w:val="TableBodyText"/>
                    <w:ind w:right="28"/>
                  </w:pPr>
                  <w:r w:rsidRPr="00C358C1">
                    <w:t>0.293</w:t>
                  </w:r>
                </w:p>
              </w:tc>
              <w:tc>
                <w:tcPr>
                  <w:tcW w:w="632" w:type="pct"/>
                  <w:shd w:val="clear" w:color="auto" w:fill="F2F2F2" w:themeFill="background1" w:themeFillShade="F2"/>
                  <w:vAlign w:val="bottom"/>
                </w:tcPr>
                <w:p w:rsidR="00E6227F" w:rsidRDefault="00E6227F" w:rsidP="00E6227F">
                  <w:pPr>
                    <w:pStyle w:val="TableBodyText"/>
                    <w:ind w:right="28"/>
                  </w:pPr>
                  <w:r w:rsidRPr="00C358C1">
                    <w:t>0.706</w:t>
                  </w:r>
                </w:p>
              </w:tc>
            </w:tr>
            <w:tr w:rsidR="00E6227F" w:rsidTr="004C4BB2">
              <w:tc>
                <w:tcPr>
                  <w:tcW w:w="1842" w:type="pct"/>
                  <w:shd w:val="clear" w:color="auto" w:fill="auto"/>
                  <w:vAlign w:val="bottom"/>
                </w:tcPr>
                <w:p w:rsidR="00E6227F" w:rsidRDefault="00E6227F" w:rsidP="00E6227F">
                  <w:pPr>
                    <w:pStyle w:val="TableBodyText"/>
                    <w:jc w:val="left"/>
                  </w:pPr>
                  <w:r w:rsidRPr="00C358C1">
                    <w:t>Sum of other fund’s assets in same period</w:t>
                  </w:r>
                </w:p>
              </w:tc>
              <w:tc>
                <w:tcPr>
                  <w:tcW w:w="632" w:type="pct"/>
                  <w:vAlign w:val="bottom"/>
                </w:tcPr>
                <w:p w:rsidR="00E6227F" w:rsidRDefault="00E6227F" w:rsidP="00E6227F">
                  <w:pPr>
                    <w:pStyle w:val="TableBodyText"/>
                    <w:ind w:right="28"/>
                  </w:pPr>
                  <w:r w:rsidRPr="00C358C1">
                    <w:t>-0.649</w:t>
                  </w:r>
                </w:p>
              </w:tc>
              <w:tc>
                <w:tcPr>
                  <w:tcW w:w="632" w:type="pct"/>
                  <w:shd w:val="clear" w:color="auto" w:fill="auto"/>
                  <w:vAlign w:val="bottom"/>
                </w:tcPr>
                <w:p w:rsidR="00E6227F" w:rsidRDefault="00E6227F" w:rsidP="00E6227F">
                  <w:pPr>
                    <w:pStyle w:val="TableBodyText"/>
                    <w:ind w:right="28"/>
                  </w:pPr>
                  <w:r w:rsidRPr="00C358C1">
                    <w:t>0.156</w:t>
                  </w:r>
                </w:p>
              </w:tc>
              <w:tc>
                <w:tcPr>
                  <w:tcW w:w="632" w:type="pct"/>
                  <w:shd w:val="clear" w:color="auto" w:fill="auto"/>
                  <w:vAlign w:val="bottom"/>
                </w:tcPr>
                <w:p w:rsidR="00E6227F" w:rsidRDefault="00E6227F" w:rsidP="00E6227F">
                  <w:pPr>
                    <w:pStyle w:val="TableBodyText"/>
                    <w:ind w:right="28"/>
                  </w:pPr>
                  <w:r w:rsidRPr="00C358C1">
                    <w:t>-0.981</w:t>
                  </w:r>
                </w:p>
              </w:tc>
              <w:tc>
                <w:tcPr>
                  <w:tcW w:w="632" w:type="pct"/>
                  <w:vAlign w:val="bottom"/>
                </w:tcPr>
                <w:p w:rsidR="00E6227F" w:rsidRDefault="00E6227F" w:rsidP="00E6227F">
                  <w:pPr>
                    <w:pStyle w:val="TableBodyText"/>
                    <w:ind w:right="28"/>
                  </w:pPr>
                  <w:r w:rsidRPr="00C358C1">
                    <w:t>-0.653</w:t>
                  </w:r>
                </w:p>
              </w:tc>
              <w:tc>
                <w:tcPr>
                  <w:tcW w:w="632" w:type="pct"/>
                  <w:vAlign w:val="bottom"/>
                </w:tcPr>
                <w:p w:rsidR="00E6227F" w:rsidRDefault="00E6227F" w:rsidP="00E6227F">
                  <w:pPr>
                    <w:pStyle w:val="TableBodyText"/>
                    <w:ind w:right="28"/>
                  </w:pPr>
                  <w:r w:rsidRPr="00C358C1">
                    <w:t>-0.356</w:t>
                  </w:r>
                </w:p>
              </w:tc>
            </w:tr>
            <w:tr w:rsidR="00E6227F" w:rsidTr="00F76FED">
              <w:tc>
                <w:tcPr>
                  <w:tcW w:w="1842" w:type="pct"/>
                  <w:shd w:val="clear" w:color="auto" w:fill="F2F2F2" w:themeFill="background1" w:themeFillShade="F2"/>
                  <w:vAlign w:val="bottom"/>
                </w:tcPr>
                <w:p w:rsidR="00E6227F" w:rsidRDefault="00E6227F" w:rsidP="00E6227F">
                  <w:pPr>
                    <w:pStyle w:val="TableBodyText"/>
                    <w:jc w:val="left"/>
                  </w:pPr>
                  <w:r w:rsidRPr="00C358C1">
                    <w:t>Sum of other fund’s member accounts in same period</w:t>
                  </w:r>
                </w:p>
              </w:tc>
              <w:tc>
                <w:tcPr>
                  <w:tcW w:w="632" w:type="pct"/>
                  <w:shd w:val="clear" w:color="auto" w:fill="F2F2F2" w:themeFill="background1" w:themeFillShade="F2"/>
                  <w:vAlign w:val="bottom"/>
                </w:tcPr>
                <w:p w:rsidR="00E6227F" w:rsidRDefault="00E6227F" w:rsidP="00E6227F">
                  <w:pPr>
                    <w:pStyle w:val="TableBodyText"/>
                    <w:ind w:right="28"/>
                  </w:pPr>
                  <w:r w:rsidRPr="00C358C1">
                    <w:t>-0.432</w:t>
                  </w:r>
                </w:p>
              </w:tc>
              <w:tc>
                <w:tcPr>
                  <w:tcW w:w="632" w:type="pct"/>
                  <w:shd w:val="clear" w:color="auto" w:fill="F2F2F2" w:themeFill="background1" w:themeFillShade="F2"/>
                  <w:vAlign w:val="bottom"/>
                </w:tcPr>
                <w:p w:rsidR="00E6227F" w:rsidRDefault="00E6227F" w:rsidP="00E6227F">
                  <w:pPr>
                    <w:pStyle w:val="TableBodyText"/>
                    <w:ind w:right="28"/>
                  </w:pPr>
                  <w:r w:rsidRPr="00C358C1">
                    <w:t>0.106</w:t>
                  </w:r>
                </w:p>
              </w:tc>
              <w:tc>
                <w:tcPr>
                  <w:tcW w:w="632" w:type="pct"/>
                  <w:shd w:val="clear" w:color="auto" w:fill="F2F2F2" w:themeFill="background1" w:themeFillShade="F2"/>
                  <w:vAlign w:val="bottom"/>
                </w:tcPr>
                <w:p w:rsidR="00E6227F" w:rsidRDefault="00E6227F" w:rsidP="00E6227F">
                  <w:pPr>
                    <w:pStyle w:val="TableBodyText"/>
                    <w:ind w:right="28"/>
                  </w:pPr>
                  <w:r w:rsidRPr="00C358C1">
                    <w:t>-0.644</w:t>
                  </w:r>
                </w:p>
              </w:tc>
              <w:tc>
                <w:tcPr>
                  <w:tcW w:w="632" w:type="pct"/>
                  <w:shd w:val="clear" w:color="auto" w:fill="F2F2F2" w:themeFill="background1" w:themeFillShade="F2"/>
                  <w:vAlign w:val="bottom"/>
                </w:tcPr>
                <w:p w:rsidR="00E6227F" w:rsidRDefault="00E6227F" w:rsidP="00E6227F">
                  <w:pPr>
                    <w:pStyle w:val="TableBodyText"/>
                    <w:ind w:right="28"/>
                  </w:pPr>
                  <w:r w:rsidRPr="00C358C1">
                    <w:t>-0.429</w:t>
                  </w:r>
                </w:p>
              </w:tc>
              <w:tc>
                <w:tcPr>
                  <w:tcW w:w="632" w:type="pct"/>
                  <w:shd w:val="clear" w:color="auto" w:fill="F2F2F2" w:themeFill="background1" w:themeFillShade="F2"/>
                  <w:vAlign w:val="bottom"/>
                </w:tcPr>
                <w:p w:rsidR="00E6227F" w:rsidRDefault="00E6227F" w:rsidP="00E6227F">
                  <w:pPr>
                    <w:pStyle w:val="TableBodyText"/>
                    <w:ind w:right="28"/>
                  </w:pPr>
                  <w:r w:rsidRPr="00C358C1">
                    <w:t>-0.246</w:t>
                  </w:r>
                </w:p>
              </w:tc>
            </w:tr>
            <w:tr w:rsidR="00E6227F" w:rsidTr="004C4BB2">
              <w:tc>
                <w:tcPr>
                  <w:tcW w:w="1842" w:type="pct"/>
                  <w:shd w:val="clear" w:color="auto" w:fill="auto"/>
                  <w:vAlign w:val="bottom"/>
                </w:tcPr>
                <w:p w:rsidR="00E6227F" w:rsidRDefault="00E6227F" w:rsidP="00E6227F">
                  <w:pPr>
                    <w:pStyle w:val="TableBodyText"/>
                    <w:jc w:val="left"/>
                  </w:pPr>
                  <w:r w:rsidRPr="00C358C1">
                    <w:t>Sum of other fund’s annual net returns in same period</w:t>
                  </w:r>
                </w:p>
              </w:tc>
              <w:tc>
                <w:tcPr>
                  <w:tcW w:w="632" w:type="pct"/>
                  <w:vAlign w:val="bottom"/>
                </w:tcPr>
                <w:p w:rsidR="00E6227F" w:rsidRDefault="00E6227F" w:rsidP="00E6227F">
                  <w:pPr>
                    <w:pStyle w:val="TableBodyText"/>
                    <w:ind w:right="28"/>
                  </w:pPr>
                  <w:r w:rsidRPr="00C358C1">
                    <w:t>0.374</w:t>
                  </w:r>
                </w:p>
              </w:tc>
              <w:tc>
                <w:tcPr>
                  <w:tcW w:w="632" w:type="pct"/>
                  <w:shd w:val="clear" w:color="auto" w:fill="auto"/>
                  <w:vAlign w:val="bottom"/>
                </w:tcPr>
                <w:p w:rsidR="00E6227F" w:rsidRDefault="00E6227F" w:rsidP="00E6227F">
                  <w:pPr>
                    <w:pStyle w:val="TableBodyText"/>
                    <w:ind w:right="28"/>
                  </w:pPr>
                  <w:r w:rsidRPr="00C358C1">
                    <w:t>0.086</w:t>
                  </w:r>
                </w:p>
              </w:tc>
              <w:tc>
                <w:tcPr>
                  <w:tcW w:w="632" w:type="pct"/>
                  <w:shd w:val="clear" w:color="auto" w:fill="auto"/>
                  <w:vAlign w:val="bottom"/>
                </w:tcPr>
                <w:p w:rsidR="00E6227F" w:rsidRDefault="00E6227F" w:rsidP="00E6227F">
                  <w:pPr>
                    <w:pStyle w:val="TableBodyText"/>
                    <w:ind w:right="28"/>
                  </w:pPr>
                  <w:r w:rsidRPr="00C358C1">
                    <w:t>0.215</w:t>
                  </w:r>
                </w:p>
              </w:tc>
              <w:tc>
                <w:tcPr>
                  <w:tcW w:w="632" w:type="pct"/>
                  <w:vAlign w:val="bottom"/>
                </w:tcPr>
                <w:p w:rsidR="00E6227F" w:rsidRDefault="00E6227F" w:rsidP="00E6227F">
                  <w:pPr>
                    <w:pStyle w:val="TableBodyText"/>
                    <w:ind w:right="28"/>
                  </w:pPr>
                  <w:r w:rsidRPr="00C358C1">
                    <w:t>0.372</w:t>
                  </w:r>
                </w:p>
              </w:tc>
              <w:tc>
                <w:tcPr>
                  <w:tcW w:w="632" w:type="pct"/>
                  <w:vAlign w:val="bottom"/>
                </w:tcPr>
                <w:p w:rsidR="00E6227F" w:rsidRDefault="00E6227F" w:rsidP="00E6227F">
                  <w:pPr>
                    <w:pStyle w:val="TableBodyText"/>
                    <w:ind w:right="28"/>
                  </w:pPr>
                  <w:r w:rsidRPr="00C358C1">
                    <w:t>0.572</w:t>
                  </w:r>
                </w:p>
              </w:tc>
            </w:tr>
            <w:tr w:rsidR="00E6227F" w:rsidTr="00F76FED">
              <w:tc>
                <w:tcPr>
                  <w:tcW w:w="1842" w:type="pct"/>
                  <w:tcBorders>
                    <w:bottom w:val="single" w:sz="6" w:space="0" w:color="BFBFBF" w:themeColor="background1" w:themeShade="BF"/>
                  </w:tcBorders>
                  <w:shd w:val="clear" w:color="auto" w:fill="F2F2F2" w:themeFill="background1" w:themeFillShade="F2"/>
                  <w:vAlign w:val="bottom"/>
                </w:tcPr>
                <w:p w:rsidR="00E6227F" w:rsidRDefault="00E6227F" w:rsidP="00E6227F">
                  <w:pPr>
                    <w:pStyle w:val="TableBodyText"/>
                    <w:jc w:val="left"/>
                  </w:pPr>
                  <w:r w:rsidRPr="00C358C1">
                    <w:t>Intercept</w:t>
                  </w:r>
                </w:p>
              </w:tc>
              <w:tc>
                <w:tcPr>
                  <w:tcW w:w="632" w:type="pct"/>
                  <w:tcBorders>
                    <w:bottom w:val="single" w:sz="6" w:space="0" w:color="BFBFBF" w:themeColor="background1" w:themeShade="BF"/>
                  </w:tcBorders>
                  <w:shd w:val="clear" w:color="auto" w:fill="F2F2F2" w:themeFill="background1" w:themeFillShade="F2"/>
                  <w:vAlign w:val="bottom"/>
                </w:tcPr>
                <w:p w:rsidR="00E6227F" w:rsidRDefault="00E6227F" w:rsidP="00E6227F">
                  <w:pPr>
                    <w:pStyle w:val="TableBodyText"/>
                    <w:ind w:right="28"/>
                  </w:pPr>
                  <w:r w:rsidRPr="00C358C1">
                    <w:t>128.692</w:t>
                  </w:r>
                </w:p>
              </w:tc>
              <w:tc>
                <w:tcPr>
                  <w:tcW w:w="632" w:type="pct"/>
                  <w:tcBorders>
                    <w:bottom w:val="single" w:sz="6" w:space="0" w:color="BFBFBF" w:themeColor="background1" w:themeShade="BF"/>
                  </w:tcBorders>
                  <w:shd w:val="clear" w:color="auto" w:fill="F2F2F2" w:themeFill="background1" w:themeFillShade="F2"/>
                  <w:vAlign w:val="bottom"/>
                </w:tcPr>
                <w:p w:rsidR="00E6227F" w:rsidRDefault="00E6227F" w:rsidP="00E6227F">
                  <w:pPr>
                    <w:pStyle w:val="TableBodyText"/>
                    <w:ind w:right="28"/>
                  </w:pPr>
                  <w:r w:rsidRPr="00C358C1">
                    <w:t>20.805</w:t>
                  </w:r>
                </w:p>
              </w:tc>
              <w:tc>
                <w:tcPr>
                  <w:tcW w:w="632" w:type="pct"/>
                  <w:tcBorders>
                    <w:bottom w:val="single" w:sz="6" w:space="0" w:color="BFBFBF" w:themeColor="background1" w:themeShade="BF"/>
                  </w:tcBorders>
                  <w:shd w:val="clear" w:color="auto" w:fill="F2F2F2" w:themeFill="background1" w:themeFillShade="F2"/>
                  <w:vAlign w:val="bottom"/>
                </w:tcPr>
                <w:p w:rsidR="00E6227F" w:rsidRDefault="00E6227F" w:rsidP="00E6227F">
                  <w:pPr>
                    <w:pStyle w:val="TableBodyText"/>
                    <w:ind w:right="28"/>
                  </w:pPr>
                  <w:r w:rsidRPr="00C358C1">
                    <w:t>92.346</w:t>
                  </w:r>
                </w:p>
              </w:tc>
              <w:tc>
                <w:tcPr>
                  <w:tcW w:w="632" w:type="pct"/>
                  <w:tcBorders>
                    <w:bottom w:val="single" w:sz="6" w:space="0" w:color="BFBFBF" w:themeColor="background1" w:themeShade="BF"/>
                  </w:tcBorders>
                  <w:shd w:val="clear" w:color="auto" w:fill="F2F2F2" w:themeFill="background1" w:themeFillShade="F2"/>
                  <w:vAlign w:val="bottom"/>
                </w:tcPr>
                <w:p w:rsidR="00E6227F" w:rsidRDefault="00E6227F" w:rsidP="00E6227F">
                  <w:pPr>
                    <w:pStyle w:val="TableBodyText"/>
                    <w:ind w:right="28"/>
                  </w:pPr>
                  <w:r w:rsidRPr="00C358C1">
                    <w:t>127.392</w:t>
                  </w:r>
                </w:p>
              </w:tc>
              <w:tc>
                <w:tcPr>
                  <w:tcW w:w="632" w:type="pct"/>
                  <w:tcBorders>
                    <w:bottom w:val="single" w:sz="6" w:space="0" w:color="BFBFBF" w:themeColor="background1" w:themeShade="BF"/>
                  </w:tcBorders>
                  <w:shd w:val="clear" w:color="auto" w:fill="F2F2F2" w:themeFill="background1" w:themeFillShade="F2"/>
                  <w:vAlign w:val="bottom"/>
                </w:tcPr>
                <w:p w:rsidR="00E6227F" w:rsidRDefault="00E6227F" w:rsidP="00E6227F">
                  <w:pPr>
                    <w:pStyle w:val="TableBodyText"/>
                    <w:ind w:right="28"/>
                  </w:pPr>
                  <w:r w:rsidRPr="00C358C1">
                    <w:t>175.367</w:t>
                  </w:r>
                </w:p>
              </w:tc>
            </w:tr>
          </w:tbl>
          <w:p w:rsidR="00E6227F" w:rsidRDefault="00E6227F" w:rsidP="00E6227F">
            <w:pPr>
              <w:pStyle w:val="Box"/>
            </w:pPr>
          </w:p>
        </w:tc>
      </w:tr>
      <w:tr w:rsidR="00E6227F" w:rsidTr="00E6227F">
        <w:tc>
          <w:tcPr>
            <w:tcW w:w="5000" w:type="pct"/>
            <w:tcBorders>
              <w:top w:val="nil"/>
              <w:left w:val="nil"/>
              <w:bottom w:val="nil"/>
              <w:right w:val="nil"/>
            </w:tcBorders>
            <w:shd w:val="clear" w:color="auto" w:fill="auto"/>
          </w:tcPr>
          <w:p w:rsidR="00E6227F" w:rsidRDefault="00E6227F" w:rsidP="00E6227F">
            <w:pPr>
              <w:pStyle w:val="Continued"/>
            </w:pPr>
            <w:r>
              <w:t>(continued next page)</w:t>
            </w:r>
          </w:p>
        </w:tc>
      </w:tr>
      <w:tr w:rsidR="00E6227F" w:rsidTr="00E6227F">
        <w:tc>
          <w:tcPr>
            <w:tcW w:w="5000" w:type="pct"/>
            <w:tcBorders>
              <w:top w:val="nil"/>
              <w:left w:val="nil"/>
              <w:bottom w:val="single" w:sz="6" w:space="0" w:color="78A22F"/>
              <w:right w:val="nil"/>
            </w:tcBorders>
            <w:shd w:val="clear" w:color="auto" w:fill="auto"/>
          </w:tcPr>
          <w:p w:rsidR="00E6227F" w:rsidRDefault="00E6227F" w:rsidP="00E6227F">
            <w:pPr>
              <w:pStyle w:val="Box"/>
              <w:spacing w:before="0" w:line="120" w:lineRule="exact"/>
            </w:pPr>
          </w:p>
        </w:tc>
      </w:tr>
      <w:tr w:rsidR="00E6227F" w:rsidRPr="000863A5" w:rsidTr="00E6227F">
        <w:tc>
          <w:tcPr>
            <w:tcW w:w="5000" w:type="pct"/>
            <w:tcBorders>
              <w:top w:val="single" w:sz="6" w:space="0" w:color="78A22F"/>
              <w:left w:val="nil"/>
              <w:bottom w:val="nil"/>
              <w:right w:val="nil"/>
            </w:tcBorders>
          </w:tcPr>
          <w:p w:rsidR="00E6227F" w:rsidRPr="00626D32" w:rsidRDefault="00E6227F" w:rsidP="00E6227F">
            <w:pPr>
              <w:pStyle w:val="BoxSpaceBelow"/>
            </w:pPr>
          </w:p>
        </w:tc>
      </w:tr>
    </w:tbl>
    <w:p w:rsidR="00164D81" w:rsidRPr="00333D50" w:rsidRDefault="00164D81" w:rsidP="00333D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6227F" w:rsidTr="00E6227F">
        <w:trPr>
          <w:tblHeader/>
        </w:trPr>
        <w:tc>
          <w:tcPr>
            <w:tcW w:w="5000" w:type="pct"/>
            <w:tcBorders>
              <w:top w:val="single" w:sz="6" w:space="0" w:color="78A22F"/>
              <w:left w:val="nil"/>
              <w:bottom w:val="nil"/>
              <w:right w:val="nil"/>
            </w:tcBorders>
            <w:shd w:val="clear" w:color="auto" w:fill="auto"/>
          </w:tcPr>
          <w:p w:rsidR="00E6227F" w:rsidRPr="00784A05" w:rsidRDefault="00E6227F" w:rsidP="00F414FE">
            <w:pPr>
              <w:pStyle w:val="TableTitle"/>
            </w:pPr>
            <w:r>
              <w:rPr>
                <w:b w:val="0"/>
              </w:rPr>
              <w:t xml:space="preserve">Table </w:t>
            </w:r>
            <w:r w:rsidR="00F76FED">
              <w:rPr>
                <w:b w:val="0"/>
              </w:rPr>
              <w:t>E</w:t>
            </w:r>
            <w:r w:rsidR="00F414FE">
              <w:rPr>
                <w:b w:val="0"/>
              </w:rPr>
              <w:t>.1</w:t>
            </w:r>
            <w:r>
              <w:tab/>
            </w:r>
            <w:r w:rsidRPr="004B358B">
              <w:rPr>
                <w:b w:val="0"/>
                <w:sz w:val="18"/>
                <w:szCs w:val="18"/>
              </w:rPr>
              <w:t>(continued)</w:t>
            </w:r>
          </w:p>
        </w:tc>
      </w:tr>
      <w:tr w:rsidR="00E6227F" w:rsidTr="00E6227F">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3146"/>
              <w:gridCol w:w="1077"/>
              <w:gridCol w:w="1077"/>
              <w:gridCol w:w="1077"/>
              <w:gridCol w:w="1076"/>
              <w:gridCol w:w="1076"/>
            </w:tblGrid>
            <w:tr w:rsidR="00164D81" w:rsidTr="00F76FED">
              <w:tc>
                <w:tcPr>
                  <w:tcW w:w="1843" w:type="pct"/>
                  <w:tcBorders>
                    <w:top w:val="single" w:sz="6" w:space="0" w:color="BFBFBF"/>
                    <w:bottom w:val="single" w:sz="6" w:space="0" w:color="BFBFBF"/>
                  </w:tcBorders>
                  <w:shd w:val="clear" w:color="auto" w:fill="auto"/>
                </w:tcPr>
                <w:p w:rsidR="00E6227F" w:rsidRDefault="00E6227F" w:rsidP="004C4BB2">
                  <w:pPr>
                    <w:pStyle w:val="TableColumnHeading"/>
                    <w:jc w:val="left"/>
                    <w:rPr>
                      <w:b/>
                    </w:rPr>
                  </w:pPr>
                  <w:r>
                    <w:t>Parameter</w:t>
                  </w:r>
                </w:p>
              </w:tc>
              <w:tc>
                <w:tcPr>
                  <w:tcW w:w="631" w:type="pct"/>
                  <w:tcBorders>
                    <w:top w:val="single" w:sz="6" w:space="0" w:color="BFBFBF"/>
                    <w:bottom w:val="single" w:sz="6" w:space="0" w:color="BFBFBF"/>
                  </w:tcBorders>
                </w:tcPr>
                <w:p w:rsidR="00E6227F" w:rsidRDefault="00E6227F" w:rsidP="00E6227F">
                  <w:pPr>
                    <w:pStyle w:val="TableColumnHeading"/>
                  </w:pPr>
                  <w:r>
                    <w:t>Mean</w:t>
                  </w:r>
                </w:p>
              </w:tc>
              <w:tc>
                <w:tcPr>
                  <w:tcW w:w="631" w:type="pct"/>
                  <w:tcBorders>
                    <w:top w:val="single" w:sz="6" w:space="0" w:color="BFBFBF"/>
                    <w:bottom w:val="single" w:sz="6" w:space="0" w:color="BFBFBF"/>
                  </w:tcBorders>
                  <w:shd w:val="clear" w:color="auto" w:fill="auto"/>
                </w:tcPr>
                <w:p w:rsidR="00E6227F" w:rsidRDefault="00E6227F" w:rsidP="00E6227F">
                  <w:pPr>
                    <w:pStyle w:val="TableColumnHeading"/>
                  </w:pPr>
                  <w:r>
                    <w:t>Standard deviation</w:t>
                  </w:r>
                </w:p>
              </w:tc>
              <w:tc>
                <w:tcPr>
                  <w:tcW w:w="631" w:type="pct"/>
                  <w:tcBorders>
                    <w:top w:val="single" w:sz="6" w:space="0" w:color="BFBFBF"/>
                    <w:bottom w:val="single" w:sz="6" w:space="0" w:color="BFBFBF"/>
                  </w:tcBorders>
                  <w:shd w:val="clear" w:color="auto" w:fill="auto"/>
                </w:tcPr>
                <w:p w:rsidR="00E6227F" w:rsidRDefault="00E6227F">
                  <w:pPr>
                    <w:pStyle w:val="TableColumnHeading"/>
                  </w:pPr>
                  <w:r>
                    <w:t>2.5</w:t>
                  </w:r>
                  <w:r w:rsidR="00164D81">
                    <w:t xml:space="preserve"> </w:t>
                  </w:r>
                  <w:r>
                    <w:t>percentile</w:t>
                  </w:r>
                </w:p>
              </w:tc>
              <w:tc>
                <w:tcPr>
                  <w:tcW w:w="631" w:type="pct"/>
                  <w:tcBorders>
                    <w:top w:val="single" w:sz="6" w:space="0" w:color="BFBFBF"/>
                    <w:bottom w:val="single" w:sz="6" w:space="0" w:color="BFBFBF"/>
                  </w:tcBorders>
                </w:tcPr>
                <w:p w:rsidR="00E6227F" w:rsidRDefault="00E6227F" w:rsidP="00E6227F">
                  <w:pPr>
                    <w:pStyle w:val="TableColumnHeading"/>
                  </w:pPr>
                  <w:r>
                    <w:t>Median</w:t>
                  </w:r>
                </w:p>
              </w:tc>
              <w:tc>
                <w:tcPr>
                  <w:tcW w:w="631" w:type="pct"/>
                  <w:tcBorders>
                    <w:top w:val="single" w:sz="6" w:space="0" w:color="BFBFBF"/>
                    <w:bottom w:val="single" w:sz="6" w:space="0" w:color="BFBFBF"/>
                  </w:tcBorders>
                </w:tcPr>
                <w:p w:rsidR="00E6227F" w:rsidRDefault="00E6227F" w:rsidP="00E6227F">
                  <w:pPr>
                    <w:pStyle w:val="TableColumnHeading"/>
                  </w:pPr>
                  <w:r>
                    <w:t>97.5 percentile</w:t>
                  </w:r>
                </w:p>
              </w:tc>
            </w:tr>
            <w:tr w:rsidR="00164D81" w:rsidTr="00F76FED">
              <w:tc>
                <w:tcPr>
                  <w:tcW w:w="1843" w:type="pct"/>
                  <w:tcBorders>
                    <w:top w:val="single" w:sz="6" w:space="0" w:color="BFBFBF"/>
                  </w:tcBorders>
                  <w:shd w:val="clear" w:color="auto" w:fill="BFBFBF" w:themeFill="background1" w:themeFillShade="BF"/>
                  <w:vAlign w:val="bottom"/>
                </w:tcPr>
                <w:p w:rsidR="00E6227F" w:rsidRPr="0099011F" w:rsidRDefault="00E6227F" w:rsidP="00E6227F">
                  <w:pPr>
                    <w:pStyle w:val="TableBodyText"/>
                    <w:jc w:val="left"/>
                    <w:rPr>
                      <w:b/>
                    </w:rPr>
                  </w:pPr>
                  <w:r w:rsidRPr="00C358C1">
                    <w:rPr>
                      <w:b/>
                    </w:rPr>
                    <w:t>Pass-through: Admin fees</w:t>
                  </w:r>
                </w:p>
              </w:tc>
              <w:tc>
                <w:tcPr>
                  <w:tcW w:w="631" w:type="pct"/>
                  <w:tcBorders>
                    <w:top w:val="single" w:sz="6" w:space="0" w:color="BFBFBF"/>
                  </w:tcBorders>
                  <w:shd w:val="clear" w:color="auto" w:fill="BFBFBF" w:themeFill="background1" w:themeFillShade="BF"/>
                  <w:vAlign w:val="bottom"/>
                </w:tcPr>
                <w:p w:rsidR="00E6227F" w:rsidRDefault="00E6227F" w:rsidP="00E6227F">
                  <w:pPr>
                    <w:pStyle w:val="TableBodyText"/>
                  </w:pPr>
                </w:p>
              </w:tc>
              <w:tc>
                <w:tcPr>
                  <w:tcW w:w="631" w:type="pct"/>
                  <w:tcBorders>
                    <w:top w:val="single" w:sz="6" w:space="0" w:color="BFBFBF"/>
                  </w:tcBorders>
                  <w:shd w:val="clear" w:color="auto" w:fill="BFBFBF" w:themeFill="background1" w:themeFillShade="BF"/>
                  <w:vAlign w:val="bottom"/>
                </w:tcPr>
                <w:p w:rsidR="00E6227F" w:rsidRDefault="00E6227F" w:rsidP="00E6227F">
                  <w:pPr>
                    <w:pStyle w:val="TableBodyText"/>
                  </w:pPr>
                </w:p>
              </w:tc>
              <w:tc>
                <w:tcPr>
                  <w:tcW w:w="631" w:type="pct"/>
                  <w:tcBorders>
                    <w:top w:val="single" w:sz="6" w:space="0" w:color="BFBFBF"/>
                  </w:tcBorders>
                  <w:shd w:val="clear" w:color="auto" w:fill="BFBFBF" w:themeFill="background1" w:themeFillShade="BF"/>
                  <w:vAlign w:val="bottom"/>
                </w:tcPr>
                <w:p w:rsidR="00E6227F" w:rsidRDefault="00E6227F" w:rsidP="00E6227F">
                  <w:pPr>
                    <w:pStyle w:val="TableBodyText"/>
                    <w:ind w:right="28"/>
                  </w:pPr>
                </w:p>
              </w:tc>
              <w:tc>
                <w:tcPr>
                  <w:tcW w:w="631" w:type="pct"/>
                  <w:tcBorders>
                    <w:top w:val="single" w:sz="6" w:space="0" w:color="BFBFBF"/>
                  </w:tcBorders>
                  <w:shd w:val="clear" w:color="auto" w:fill="BFBFBF" w:themeFill="background1" w:themeFillShade="BF"/>
                  <w:vAlign w:val="bottom"/>
                </w:tcPr>
                <w:p w:rsidR="00E6227F" w:rsidRDefault="00E6227F" w:rsidP="00E6227F">
                  <w:pPr>
                    <w:pStyle w:val="TableBodyText"/>
                    <w:ind w:right="28"/>
                  </w:pPr>
                </w:p>
              </w:tc>
              <w:tc>
                <w:tcPr>
                  <w:tcW w:w="631" w:type="pct"/>
                  <w:tcBorders>
                    <w:top w:val="single" w:sz="6" w:space="0" w:color="BFBFBF"/>
                  </w:tcBorders>
                  <w:shd w:val="clear" w:color="auto" w:fill="BFBFBF" w:themeFill="background1" w:themeFillShade="BF"/>
                  <w:vAlign w:val="bottom"/>
                </w:tcPr>
                <w:p w:rsidR="00E6227F" w:rsidRDefault="00E6227F" w:rsidP="00E6227F">
                  <w:pPr>
                    <w:pStyle w:val="TableBodyText"/>
                    <w:ind w:right="28"/>
                  </w:pPr>
                </w:p>
              </w:tc>
            </w:tr>
            <w:tr w:rsidR="00164D81" w:rsidTr="004C4BB2">
              <w:tc>
                <w:tcPr>
                  <w:tcW w:w="1843" w:type="pct"/>
                  <w:shd w:val="clear" w:color="auto" w:fill="auto"/>
                  <w:vAlign w:val="bottom"/>
                </w:tcPr>
                <w:p w:rsidR="00E6227F" w:rsidRDefault="00E6227F" w:rsidP="00E6227F">
                  <w:pPr>
                    <w:pStyle w:val="TableBodyText"/>
                    <w:jc w:val="left"/>
                  </w:pPr>
                  <w:r w:rsidRPr="00C358C1">
                    <w:t>Industry</w:t>
                  </w:r>
                </w:p>
              </w:tc>
              <w:tc>
                <w:tcPr>
                  <w:tcW w:w="631" w:type="pct"/>
                  <w:vAlign w:val="bottom"/>
                </w:tcPr>
                <w:p w:rsidR="00E6227F" w:rsidRDefault="00E6227F" w:rsidP="00E6227F">
                  <w:pPr>
                    <w:pStyle w:val="TableBodyText"/>
                    <w:ind w:right="28"/>
                  </w:pPr>
                  <w:r w:rsidRPr="00C358C1">
                    <w:t>0.023</w:t>
                  </w:r>
                </w:p>
              </w:tc>
              <w:tc>
                <w:tcPr>
                  <w:tcW w:w="631" w:type="pct"/>
                  <w:shd w:val="clear" w:color="auto" w:fill="auto"/>
                  <w:vAlign w:val="bottom"/>
                </w:tcPr>
                <w:p w:rsidR="00E6227F" w:rsidRDefault="00E6227F" w:rsidP="00E6227F">
                  <w:pPr>
                    <w:pStyle w:val="TableBodyText"/>
                    <w:ind w:right="28"/>
                  </w:pPr>
                  <w:r w:rsidRPr="00C358C1">
                    <w:t>0.024</w:t>
                  </w:r>
                </w:p>
              </w:tc>
              <w:tc>
                <w:tcPr>
                  <w:tcW w:w="631" w:type="pct"/>
                  <w:shd w:val="clear" w:color="auto" w:fill="auto"/>
                  <w:vAlign w:val="bottom"/>
                </w:tcPr>
                <w:p w:rsidR="00E6227F" w:rsidRDefault="00E6227F" w:rsidP="00E6227F">
                  <w:pPr>
                    <w:pStyle w:val="TableBodyText"/>
                    <w:ind w:right="28"/>
                  </w:pPr>
                  <w:r w:rsidRPr="00C358C1">
                    <w:t>-0.025</w:t>
                  </w:r>
                </w:p>
              </w:tc>
              <w:tc>
                <w:tcPr>
                  <w:tcW w:w="631" w:type="pct"/>
                  <w:vAlign w:val="bottom"/>
                </w:tcPr>
                <w:p w:rsidR="00E6227F" w:rsidRDefault="00E6227F" w:rsidP="00E6227F">
                  <w:pPr>
                    <w:pStyle w:val="TableBodyText"/>
                    <w:ind w:right="28"/>
                  </w:pPr>
                  <w:r w:rsidRPr="00C358C1">
                    <w:t>0.024</w:t>
                  </w:r>
                </w:p>
              </w:tc>
              <w:tc>
                <w:tcPr>
                  <w:tcW w:w="631" w:type="pct"/>
                  <w:vAlign w:val="bottom"/>
                </w:tcPr>
                <w:p w:rsidR="00E6227F" w:rsidRDefault="00E6227F" w:rsidP="00E6227F">
                  <w:pPr>
                    <w:pStyle w:val="TableBodyText"/>
                    <w:ind w:right="28"/>
                  </w:pPr>
                  <w:r w:rsidRPr="00C358C1">
                    <w:t>0.071</w:t>
                  </w:r>
                </w:p>
              </w:tc>
            </w:tr>
            <w:tr w:rsidR="00164D81" w:rsidTr="00F76FED">
              <w:tc>
                <w:tcPr>
                  <w:tcW w:w="1843" w:type="pct"/>
                  <w:shd w:val="clear" w:color="auto" w:fill="F2F2F2" w:themeFill="background1" w:themeFillShade="F2"/>
                  <w:vAlign w:val="bottom"/>
                </w:tcPr>
                <w:p w:rsidR="00E6227F" w:rsidRDefault="00E6227F" w:rsidP="00E6227F">
                  <w:pPr>
                    <w:pStyle w:val="TableBodyText"/>
                    <w:jc w:val="left"/>
                  </w:pPr>
                  <w:r w:rsidRPr="00C358C1">
                    <w:t>Public</w:t>
                  </w:r>
                </w:p>
              </w:tc>
              <w:tc>
                <w:tcPr>
                  <w:tcW w:w="631" w:type="pct"/>
                  <w:shd w:val="clear" w:color="auto" w:fill="F2F2F2" w:themeFill="background1" w:themeFillShade="F2"/>
                  <w:vAlign w:val="bottom"/>
                </w:tcPr>
                <w:p w:rsidR="00E6227F" w:rsidRDefault="00E6227F" w:rsidP="00E6227F">
                  <w:pPr>
                    <w:pStyle w:val="TableBodyText"/>
                    <w:ind w:right="28"/>
                  </w:pPr>
                  <w:r w:rsidRPr="00C358C1">
                    <w:t>0.020</w:t>
                  </w:r>
                </w:p>
              </w:tc>
              <w:tc>
                <w:tcPr>
                  <w:tcW w:w="631" w:type="pct"/>
                  <w:shd w:val="clear" w:color="auto" w:fill="F2F2F2" w:themeFill="background1" w:themeFillShade="F2"/>
                  <w:vAlign w:val="bottom"/>
                </w:tcPr>
                <w:p w:rsidR="00E6227F" w:rsidRDefault="00E6227F" w:rsidP="00E6227F">
                  <w:pPr>
                    <w:pStyle w:val="TableBodyText"/>
                    <w:ind w:right="28"/>
                  </w:pPr>
                  <w:r w:rsidRPr="00C358C1">
                    <w:t>0.028</w:t>
                  </w:r>
                </w:p>
              </w:tc>
              <w:tc>
                <w:tcPr>
                  <w:tcW w:w="631" w:type="pct"/>
                  <w:shd w:val="clear" w:color="auto" w:fill="F2F2F2" w:themeFill="background1" w:themeFillShade="F2"/>
                  <w:vAlign w:val="bottom"/>
                </w:tcPr>
                <w:p w:rsidR="00E6227F" w:rsidRDefault="00E6227F" w:rsidP="00E6227F">
                  <w:pPr>
                    <w:pStyle w:val="TableBodyText"/>
                    <w:ind w:right="28"/>
                  </w:pPr>
                  <w:r w:rsidRPr="00C358C1">
                    <w:t>-0.035</w:t>
                  </w:r>
                </w:p>
              </w:tc>
              <w:tc>
                <w:tcPr>
                  <w:tcW w:w="631" w:type="pct"/>
                  <w:shd w:val="clear" w:color="auto" w:fill="F2F2F2" w:themeFill="background1" w:themeFillShade="F2"/>
                  <w:vAlign w:val="bottom"/>
                </w:tcPr>
                <w:p w:rsidR="00E6227F" w:rsidRDefault="00E6227F" w:rsidP="00E6227F">
                  <w:pPr>
                    <w:pStyle w:val="TableBodyText"/>
                    <w:ind w:right="28"/>
                  </w:pPr>
                  <w:r w:rsidRPr="00C358C1">
                    <w:t>0.020</w:t>
                  </w:r>
                </w:p>
              </w:tc>
              <w:tc>
                <w:tcPr>
                  <w:tcW w:w="631" w:type="pct"/>
                  <w:shd w:val="clear" w:color="auto" w:fill="F2F2F2" w:themeFill="background1" w:themeFillShade="F2"/>
                  <w:vAlign w:val="bottom"/>
                </w:tcPr>
                <w:p w:rsidR="00E6227F" w:rsidRDefault="00E6227F" w:rsidP="00E6227F">
                  <w:pPr>
                    <w:pStyle w:val="TableBodyText"/>
                    <w:ind w:right="28"/>
                  </w:pPr>
                  <w:r w:rsidRPr="00C358C1">
                    <w:t>0.074</w:t>
                  </w:r>
                </w:p>
              </w:tc>
            </w:tr>
            <w:tr w:rsidR="00164D81" w:rsidTr="004C4BB2">
              <w:tc>
                <w:tcPr>
                  <w:tcW w:w="1843" w:type="pct"/>
                  <w:shd w:val="clear" w:color="auto" w:fill="auto"/>
                  <w:vAlign w:val="bottom"/>
                </w:tcPr>
                <w:p w:rsidR="00E6227F" w:rsidRDefault="00E6227F" w:rsidP="00E6227F">
                  <w:pPr>
                    <w:pStyle w:val="TableBodyText"/>
                    <w:jc w:val="left"/>
                  </w:pPr>
                  <w:r w:rsidRPr="00C358C1">
                    <w:t>Retail</w:t>
                  </w:r>
                </w:p>
              </w:tc>
              <w:tc>
                <w:tcPr>
                  <w:tcW w:w="631" w:type="pct"/>
                  <w:vAlign w:val="bottom"/>
                </w:tcPr>
                <w:p w:rsidR="00E6227F" w:rsidRDefault="00E6227F" w:rsidP="00E6227F">
                  <w:pPr>
                    <w:pStyle w:val="TableBodyText"/>
                    <w:ind w:right="28"/>
                  </w:pPr>
                  <w:r w:rsidRPr="00C358C1">
                    <w:t>0.000</w:t>
                  </w:r>
                </w:p>
              </w:tc>
              <w:tc>
                <w:tcPr>
                  <w:tcW w:w="631" w:type="pct"/>
                  <w:shd w:val="clear" w:color="auto" w:fill="auto"/>
                  <w:vAlign w:val="bottom"/>
                </w:tcPr>
                <w:p w:rsidR="00E6227F" w:rsidRDefault="00E6227F" w:rsidP="00E6227F">
                  <w:pPr>
                    <w:pStyle w:val="TableBodyText"/>
                    <w:ind w:right="28"/>
                  </w:pPr>
                  <w:r w:rsidRPr="00C358C1">
                    <w:t>0.024</w:t>
                  </w:r>
                </w:p>
              </w:tc>
              <w:tc>
                <w:tcPr>
                  <w:tcW w:w="631" w:type="pct"/>
                  <w:shd w:val="clear" w:color="auto" w:fill="auto"/>
                  <w:vAlign w:val="bottom"/>
                </w:tcPr>
                <w:p w:rsidR="00E6227F" w:rsidRDefault="00E6227F" w:rsidP="00E6227F">
                  <w:pPr>
                    <w:pStyle w:val="TableBodyText"/>
                    <w:ind w:right="28"/>
                  </w:pPr>
                  <w:r w:rsidRPr="00C358C1">
                    <w:t>-0.044</w:t>
                  </w:r>
                </w:p>
              </w:tc>
              <w:tc>
                <w:tcPr>
                  <w:tcW w:w="631" w:type="pct"/>
                  <w:vAlign w:val="bottom"/>
                </w:tcPr>
                <w:p w:rsidR="00E6227F" w:rsidRDefault="00E6227F" w:rsidP="00E6227F">
                  <w:pPr>
                    <w:pStyle w:val="TableBodyText"/>
                    <w:ind w:right="28"/>
                  </w:pPr>
                  <w:r w:rsidRPr="00C358C1">
                    <w:t>0.001</w:t>
                  </w:r>
                </w:p>
              </w:tc>
              <w:tc>
                <w:tcPr>
                  <w:tcW w:w="631" w:type="pct"/>
                  <w:vAlign w:val="bottom"/>
                </w:tcPr>
                <w:p w:rsidR="00E6227F" w:rsidRDefault="00E6227F" w:rsidP="00E6227F">
                  <w:pPr>
                    <w:pStyle w:val="TableBodyText"/>
                    <w:ind w:right="28"/>
                  </w:pPr>
                  <w:r w:rsidRPr="00C358C1">
                    <w:t>0.045</w:t>
                  </w:r>
                </w:p>
              </w:tc>
            </w:tr>
            <w:tr w:rsidR="00164D81" w:rsidTr="00F76FED">
              <w:tc>
                <w:tcPr>
                  <w:tcW w:w="1843" w:type="pct"/>
                  <w:shd w:val="clear" w:color="auto" w:fill="F2F2F2" w:themeFill="background1" w:themeFillShade="F2"/>
                  <w:vAlign w:val="bottom"/>
                </w:tcPr>
                <w:p w:rsidR="00E6227F" w:rsidRDefault="00E6227F" w:rsidP="00E6227F">
                  <w:pPr>
                    <w:pStyle w:val="TableBodyText"/>
                    <w:jc w:val="left"/>
                  </w:pPr>
                  <w:r w:rsidRPr="00C358C1">
                    <w:t>Change in admin expenses due to size</w:t>
                  </w:r>
                </w:p>
              </w:tc>
              <w:tc>
                <w:tcPr>
                  <w:tcW w:w="631" w:type="pct"/>
                  <w:shd w:val="clear" w:color="auto" w:fill="F2F2F2" w:themeFill="background1" w:themeFillShade="F2"/>
                  <w:vAlign w:val="bottom"/>
                </w:tcPr>
                <w:p w:rsidR="00E6227F" w:rsidRDefault="00E6227F" w:rsidP="00E6227F">
                  <w:pPr>
                    <w:pStyle w:val="TableBodyText"/>
                    <w:ind w:right="28"/>
                  </w:pPr>
                  <w:r w:rsidRPr="00C358C1">
                    <w:t>0.096</w:t>
                  </w:r>
                </w:p>
              </w:tc>
              <w:tc>
                <w:tcPr>
                  <w:tcW w:w="631" w:type="pct"/>
                  <w:shd w:val="clear" w:color="auto" w:fill="F2F2F2" w:themeFill="background1" w:themeFillShade="F2"/>
                  <w:vAlign w:val="bottom"/>
                </w:tcPr>
                <w:p w:rsidR="00E6227F" w:rsidRDefault="00E6227F" w:rsidP="00E6227F">
                  <w:pPr>
                    <w:pStyle w:val="TableBodyText"/>
                    <w:ind w:right="28"/>
                  </w:pPr>
                  <w:r w:rsidRPr="00C358C1">
                    <w:t>0.199</w:t>
                  </w:r>
                </w:p>
              </w:tc>
              <w:tc>
                <w:tcPr>
                  <w:tcW w:w="631" w:type="pct"/>
                  <w:shd w:val="clear" w:color="auto" w:fill="F2F2F2" w:themeFill="background1" w:themeFillShade="F2"/>
                  <w:vAlign w:val="bottom"/>
                </w:tcPr>
                <w:p w:rsidR="00E6227F" w:rsidRDefault="00E6227F" w:rsidP="00E6227F">
                  <w:pPr>
                    <w:pStyle w:val="TableBodyText"/>
                    <w:ind w:right="28"/>
                  </w:pPr>
                  <w:r w:rsidRPr="00C358C1">
                    <w:t>-0.301</w:t>
                  </w:r>
                </w:p>
              </w:tc>
              <w:tc>
                <w:tcPr>
                  <w:tcW w:w="631" w:type="pct"/>
                  <w:shd w:val="clear" w:color="auto" w:fill="F2F2F2" w:themeFill="background1" w:themeFillShade="F2"/>
                  <w:vAlign w:val="bottom"/>
                </w:tcPr>
                <w:p w:rsidR="00E6227F" w:rsidRDefault="00E6227F" w:rsidP="00E6227F">
                  <w:pPr>
                    <w:pStyle w:val="TableBodyText"/>
                    <w:ind w:right="28"/>
                  </w:pPr>
                  <w:r w:rsidRPr="00C358C1">
                    <w:t>0.097</w:t>
                  </w:r>
                </w:p>
              </w:tc>
              <w:tc>
                <w:tcPr>
                  <w:tcW w:w="631" w:type="pct"/>
                  <w:shd w:val="clear" w:color="auto" w:fill="F2F2F2" w:themeFill="background1" w:themeFillShade="F2"/>
                  <w:vAlign w:val="bottom"/>
                </w:tcPr>
                <w:p w:rsidR="00E6227F" w:rsidRDefault="00E6227F" w:rsidP="00E6227F">
                  <w:pPr>
                    <w:pStyle w:val="TableBodyText"/>
                    <w:ind w:right="28"/>
                  </w:pPr>
                  <w:r w:rsidRPr="00C358C1">
                    <w:t>0.494</w:t>
                  </w:r>
                </w:p>
              </w:tc>
            </w:tr>
            <w:tr w:rsidR="00164D81" w:rsidTr="004C4BB2">
              <w:tc>
                <w:tcPr>
                  <w:tcW w:w="1843" w:type="pct"/>
                  <w:shd w:val="clear" w:color="auto" w:fill="auto"/>
                  <w:vAlign w:val="bottom"/>
                </w:tcPr>
                <w:p w:rsidR="00E6227F" w:rsidRDefault="00E6227F" w:rsidP="00E6227F">
                  <w:pPr>
                    <w:pStyle w:val="TableBodyText"/>
                    <w:jc w:val="left"/>
                  </w:pPr>
                  <w:r w:rsidRPr="00C358C1">
                    <w:t>Industry x Change in admin expenses due to size</w:t>
                  </w:r>
                </w:p>
              </w:tc>
              <w:tc>
                <w:tcPr>
                  <w:tcW w:w="631" w:type="pct"/>
                  <w:vAlign w:val="bottom"/>
                </w:tcPr>
                <w:p w:rsidR="00E6227F" w:rsidRDefault="00E6227F" w:rsidP="00E6227F">
                  <w:pPr>
                    <w:pStyle w:val="TableBodyText"/>
                    <w:ind w:right="28"/>
                  </w:pPr>
                  <w:r w:rsidRPr="00C358C1">
                    <w:t>-0.087</w:t>
                  </w:r>
                </w:p>
              </w:tc>
              <w:tc>
                <w:tcPr>
                  <w:tcW w:w="631" w:type="pct"/>
                  <w:shd w:val="clear" w:color="auto" w:fill="auto"/>
                  <w:vAlign w:val="bottom"/>
                </w:tcPr>
                <w:p w:rsidR="00E6227F" w:rsidRDefault="00E6227F" w:rsidP="00E6227F">
                  <w:pPr>
                    <w:pStyle w:val="TableBodyText"/>
                    <w:ind w:right="28"/>
                  </w:pPr>
                  <w:r w:rsidRPr="00C358C1">
                    <w:t>0.211</w:t>
                  </w:r>
                </w:p>
              </w:tc>
              <w:tc>
                <w:tcPr>
                  <w:tcW w:w="631" w:type="pct"/>
                  <w:shd w:val="clear" w:color="auto" w:fill="auto"/>
                  <w:vAlign w:val="bottom"/>
                </w:tcPr>
                <w:p w:rsidR="00E6227F" w:rsidRDefault="00E6227F" w:rsidP="00E6227F">
                  <w:pPr>
                    <w:pStyle w:val="TableBodyText"/>
                    <w:ind w:right="28"/>
                  </w:pPr>
                  <w:r w:rsidRPr="00C358C1">
                    <w:t>-0.511</w:t>
                  </w:r>
                </w:p>
              </w:tc>
              <w:tc>
                <w:tcPr>
                  <w:tcW w:w="631" w:type="pct"/>
                  <w:vAlign w:val="bottom"/>
                </w:tcPr>
                <w:p w:rsidR="00E6227F" w:rsidRDefault="00E6227F" w:rsidP="00E6227F">
                  <w:pPr>
                    <w:pStyle w:val="TableBodyText"/>
                    <w:ind w:right="28"/>
                  </w:pPr>
                  <w:r w:rsidRPr="00C358C1">
                    <w:t>-0.088</w:t>
                  </w:r>
                </w:p>
              </w:tc>
              <w:tc>
                <w:tcPr>
                  <w:tcW w:w="631" w:type="pct"/>
                  <w:vAlign w:val="bottom"/>
                </w:tcPr>
                <w:p w:rsidR="00E6227F" w:rsidRDefault="00E6227F" w:rsidP="00E6227F">
                  <w:pPr>
                    <w:pStyle w:val="TableBodyText"/>
                    <w:ind w:right="28"/>
                  </w:pPr>
                  <w:r w:rsidRPr="00C358C1">
                    <w:t>0.320</w:t>
                  </w:r>
                </w:p>
              </w:tc>
            </w:tr>
            <w:tr w:rsidR="00164D81" w:rsidTr="00F76FED">
              <w:tc>
                <w:tcPr>
                  <w:tcW w:w="1843" w:type="pct"/>
                  <w:shd w:val="clear" w:color="auto" w:fill="F2F2F2" w:themeFill="background1" w:themeFillShade="F2"/>
                  <w:vAlign w:val="bottom"/>
                </w:tcPr>
                <w:p w:rsidR="00E6227F" w:rsidRDefault="00E6227F" w:rsidP="00E6227F">
                  <w:pPr>
                    <w:pStyle w:val="TableBodyText"/>
                    <w:jc w:val="left"/>
                  </w:pPr>
                  <w:r w:rsidRPr="00C358C1">
                    <w:t>Public x Change in admin expenses due to size</w:t>
                  </w:r>
                </w:p>
              </w:tc>
              <w:tc>
                <w:tcPr>
                  <w:tcW w:w="631" w:type="pct"/>
                  <w:shd w:val="clear" w:color="auto" w:fill="F2F2F2" w:themeFill="background1" w:themeFillShade="F2"/>
                  <w:vAlign w:val="bottom"/>
                </w:tcPr>
                <w:p w:rsidR="00E6227F" w:rsidRDefault="00E6227F" w:rsidP="00E6227F">
                  <w:pPr>
                    <w:pStyle w:val="TableBodyText"/>
                    <w:ind w:right="28"/>
                  </w:pPr>
                  <w:r w:rsidRPr="00C358C1">
                    <w:t>-0.039</w:t>
                  </w:r>
                </w:p>
              </w:tc>
              <w:tc>
                <w:tcPr>
                  <w:tcW w:w="631" w:type="pct"/>
                  <w:shd w:val="clear" w:color="auto" w:fill="F2F2F2" w:themeFill="background1" w:themeFillShade="F2"/>
                  <w:vAlign w:val="bottom"/>
                </w:tcPr>
                <w:p w:rsidR="00E6227F" w:rsidRDefault="00E6227F" w:rsidP="00E6227F">
                  <w:pPr>
                    <w:pStyle w:val="TableBodyText"/>
                    <w:ind w:right="28"/>
                  </w:pPr>
                  <w:r w:rsidRPr="00C358C1">
                    <w:t>0.239</w:t>
                  </w:r>
                </w:p>
              </w:tc>
              <w:tc>
                <w:tcPr>
                  <w:tcW w:w="631" w:type="pct"/>
                  <w:shd w:val="clear" w:color="auto" w:fill="F2F2F2" w:themeFill="background1" w:themeFillShade="F2"/>
                  <w:vAlign w:val="bottom"/>
                </w:tcPr>
                <w:p w:rsidR="00E6227F" w:rsidRDefault="00E6227F" w:rsidP="00E6227F">
                  <w:pPr>
                    <w:pStyle w:val="TableBodyText"/>
                    <w:ind w:right="28"/>
                  </w:pPr>
                  <w:r w:rsidRPr="00C358C1">
                    <w:t>-0.513</w:t>
                  </w:r>
                </w:p>
              </w:tc>
              <w:tc>
                <w:tcPr>
                  <w:tcW w:w="631" w:type="pct"/>
                  <w:shd w:val="clear" w:color="auto" w:fill="F2F2F2" w:themeFill="background1" w:themeFillShade="F2"/>
                  <w:vAlign w:val="bottom"/>
                </w:tcPr>
                <w:p w:rsidR="00E6227F" w:rsidRDefault="00E6227F" w:rsidP="00E6227F">
                  <w:pPr>
                    <w:pStyle w:val="TableBodyText"/>
                    <w:ind w:right="28"/>
                  </w:pPr>
                  <w:r w:rsidRPr="00C358C1">
                    <w:t>-0.041</w:t>
                  </w:r>
                </w:p>
              </w:tc>
              <w:tc>
                <w:tcPr>
                  <w:tcW w:w="631" w:type="pct"/>
                  <w:shd w:val="clear" w:color="auto" w:fill="F2F2F2" w:themeFill="background1" w:themeFillShade="F2"/>
                  <w:vAlign w:val="bottom"/>
                </w:tcPr>
                <w:p w:rsidR="00E6227F" w:rsidRDefault="00E6227F" w:rsidP="00E6227F">
                  <w:pPr>
                    <w:pStyle w:val="TableBodyText"/>
                    <w:ind w:right="28"/>
                  </w:pPr>
                  <w:r w:rsidRPr="00C358C1">
                    <w:t>0.436</w:t>
                  </w:r>
                </w:p>
              </w:tc>
            </w:tr>
            <w:tr w:rsidR="00164D81" w:rsidTr="004C4BB2">
              <w:tc>
                <w:tcPr>
                  <w:tcW w:w="1843" w:type="pct"/>
                  <w:shd w:val="clear" w:color="auto" w:fill="auto"/>
                  <w:vAlign w:val="bottom"/>
                </w:tcPr>
                <w:p w:rsidR="00E6227F" w:rsidRDefault="00E6227F" w:rsidP="00E6227F">
                  <w:pPr>
                    <w:pStyle w:val="TableBodyText"/>
                    <w:jc w:val="left"/>
                  </w:pPr>
                  <w:r w:rsidRPr="00C358C1">
                    <w:t>Retail x Change in admin expenses due to size</w:t>
                  </w:r>
                </w:p>
              </w:tc>
              <w:tc>
                <w:tcPr>
                  <w:tcW w:w="631" w:type="pct"/>
                  <w:vAlign w:val="bottom"/>
                </w:tcPr>
                <w:p w:rsidR="00E6227F" w:rsidRDefault="00E6227F" w:rsidP="00E6227F">
                  <w:pPr>
                    <w:pStyle w:val="TableBodyText"/>
                    <w:ind w:right="28"/>
                  </w:pPr>
                  <w:r w:rsidRPr="00C358C1">
                    <w:t>-0.107</w:t>
                  </w:r>
                </w:p>
              </w:tc>
              <w:tc>
                <w:tcPr>
                  <w:tcW w:w="631" w:type="pct"/>
                  <w:shd w:val="clear" w:color="auto" w:fill="auto"/>
                  <w:vAlign w:val="bottom"/>
                </w:tcPr>
                <w:p w:rsidR="00E6227F" w:rsidRDefault="00E6227F" w:rsidP="00E6227F">
                  <w:pPr>
                    <w:pStyle w:val="TableBodyText"/>
                    <w:ind w:right="28"/>
                  </w:pPr>
                  <w:r w:rsidRPr="00C358C1">
                    <w:t>0.206</w:t>
                  </w:r>
                </w:p>
              </w:tc>
              <w:tc>
                <w:tcPr>
                  <w:tcW w:w="631" w:type="pct"/>
                  <w:shd w:val="clear" w:color="auto" w:fill="auto"/>
                  <w:vAlign w:val="bottom"/>
                </w:tcPr>
                <w:p w:rsidR="00E6227F" w:rsidRDefault="00E6227F" w:rsidP="00E6227F">
                  <w:pPr>
                    <w:pStyle w:val="TableBodyText"/>
                    <w:ind w:right="28"/>
                  </w:pPr>
                  <w:r w:rsidRPr="00C358C1">
                    <w:t>-0.507</w:t>
                  </w:r>
                </w:p>
              </w:tc>
              <w:tc>
                <w:tcPr>
                  <w:tcW w:w="631" w:type="pct"/>
                  <w:vAlign w:val="bottom"/>
                </w:tcPr>
                <w:p w:rsidR="00E6227F" w:rsidRDefault="00E6227F" w:rsidP="00E6227F">
                  <w:pPr>
                    <w:pStyle w:val="TableBodyText"/>
                    <w:ind w:right="28"/>
                  </w:pPr>
                  <w:r w:rsidRPr="00C358C1">
                    <w:t>-0.108</w:t>
                  </w:r>
                </w:p>
              </w:tc>
              <w:tc>
                <w:tcPr>
                  <w:tcW w:w="631" w:type="pct"/>
                  <w:vAlign w:val="bottom"/>
                </w:tcPr>
                <w:p w:rsidR="00E6227F" w:rsidRDefault="00E6227F" w:rsidP="00E6227F">
                  <w:pPr>
                    <w:pStyle w:val="TableBodyText"/>
                    <w:ind w:right="28"/>
                  </w:pPr>
                  <w:r w:rsidRPr="00C358C1">
                    <w:t>0.313</w:t>
                  </w:r>
                </w:p>
              </w:tc>
            </w:tr>
            <w:tr w:rsidR="00164D81" w:rsidTr="00F76FED">
              <w:tc>
                <w:tcPr>
                  <w:tcW w:w="1843" w:type="pct"/>
                  <w:shd w:val="clear" w:color="auto" w:fill="F2F2F2" w:themeFill="background1" w:themeFillShade="F2"/>
                  <w:vAlign w:val="bottom"/>
                </w:tcPr>
                <w:p w:rsidR="00E6227F" w:rsidRDefault="00E6227F" w:rsidP="00E6227F">
                  <w:pPr>
                    <w:pStyle w:val="TableBodyText"/>
                    <w:jc w:val="left"/>
                  </w:pPr>
                  <w:r w:rsidRPr="00C358C1">
                    <w:t>Intercept</w:t>
                  </w:r>
                </w:p>
              </w:tc>
              <w:tc>
                <w:tcPr>
                  <w:tcW w:w="631" w:type="pct"/>
                  <w:shd w:val="clear" w:color="auto" w:fill="F2F2F2" w:themeFill="background1" w:themeFillShade="F2"/>
                  <w:vAlign w:val="bottom"/>
                </w:tcPr>
                <w:p w:rsidR="00E6227F" w:rsidRDefault="00E6227F" w:rsidP="00E6227F">
                  <w:pPr>
                    <w:pStyle w:val="TableBodyText"/>
                    <w:ind w:right="28"/>
                  </w:pPr>
                  <w:r w:rsidRPr="00C358C1">
                    <w:t>-0.016</w:t>
                  </w:r>
                </w:p>
              </w:tc>
              <w:tc>
                <w:tcPr>
                  <w:tcW w:w="631" w:type="pct"/>
                  <w:shd w:val="clear" w:color="auto" w:fill="F2F2F2" w:themeFill="background1" w:themeFillShade="F2"/>
                  <w:vAlign w:val="bottom"/>
                </w:tcPr>
                <w:p w:rsidR="00E6227F" w:rsidRDefault="00E6227F" w:rsidP="00E6227F">
                  <w:pPr>
                    <w:pStyle w:val="TableBodyText"/>
                    <w:ind w:right="28"/>
                  </w:pPr>
                  <w:r w:rsidRPr="00C358C1">
                    <w:t>0.021</w:t>
                  </w:r>
                </w:p>
              </w:tc>
              <w:tc>
                <w:tcPr>
                  <w:tcW w:w="631" w:type="pct"/>
                  <w:shd w:val="clear" w:color="auto" w:fill="F2F2F2" w:themeFill="background1" w:themeFillShade="F2"/>
                  <w:vAlign w:val="bottom"/>
                </w:tcPr>
                <w:p w:rsidR="00E6227F" w:rsidRDefault="00E6227F" w:rsidP="00E6227F">
                  <w:pPr>
                    <w:pStyle w:val="TableBodyText"/>
                    <w:ind w:right="28"/>
                  </w:pPr>
                  <w:r w:rsidRPr="00C358C1">
                    <w:t>-0.057</w:t>
                  </w:r>
                </w:p>
              </w:tc>
              <w:tc>
                <w:tcPr>
                  <w:tcW w:w="631" w:type="pct"/>
                  <w:shd w:val="clear" w:color="auto" w:fill="F2F2F2" w:themeFill="background1" w:themeFillShade="F2"/>
                  <w:vAlign w:val="bottom"/>
                </w:tcPr>
                <w:p w:rsidR="00E6227F" w:rsidRDefault="00E6227F" w:rsidP="00E6227F">
                  <w:pPr>
                    <w:pStyle w:val="TableBodyText"/>
                    <w:ind w:right="28"/>
                  </w:pPr>
                  <w:r w:rsidRPr="00C358C1">
                    <w:t>-0.016</w:t>
                  </w:r>
                </w:p>
              </w:tc>
              <w:tc>
                <w:tcPr>
                  <w:tcW w:w="631" w:type="pct"/>
                  <w:shd w:val="clear" w:color="auto" w:fill="F2F2F2" w:themeFill="background1" w:themeFillShade="F2"/>
                  <w:vAlign w:val="bottom"/>
                </w:tcPr>
                <w:p w:rsidR="00E6227F" w:rsidRDefault="00E6227F" w:rsidP="00E6227F">
                  <w:pPr>
                    <w:pStyle w:val="TableBodyText"/>
                    <w:ind w:right="28"/>
                  </w:pPr>
                  <w:r w:rsidRPr="00C358C1">
                    <w:t>0.025</w:t>
                  </w:r>
                </w:p>
              </w:tc>
            </w:tr>
            <w:tr w:rsidR="00164D81" w:rsidTr="004C4BB2">
              <w:tc>
                <w:tcPr>
                  <w:tcW w:w="1843" w:type="pct"/>
                  <w:shd w:val="clear" w:color="auto" w:fill="auto"/>
                  <w:vAlign w:val="bottom"/>
                </w:tcPr>
                <w:p w:rsidR="00E6227F" w:rsidRDefault="00E6227F" w:rsidP="00E6227F">
                  <w:pPr>
                    <w:pStyle w:val="TableBodyText"/>
                    <w:jc w:val="left"/>
                  </w:pPr>
                  <w:r w:rsidRPr="00C358C1">
                    <w:t>SD of admin pass-through</w:t>
                  </w:r>
                </w:p>
              </w:tc>
              <w:tc>
                <w:tcPr>
                  <w:tcW w:w="631" w:type="pct"/>
                  <w:vAlign w:val="bottom"/>
                </w:tcPr>
                <w:p w:rsidR="00E6227F" w:rsidRDefault="00E6227F" w:rsidP="00E6227F">
                  <w:pPr>
                    <w:pStyle w:val="TableBodyText"/>
                    <w:ind w:right="28"/>
                  </w:pPr>
                  <w:r w:rsidRPr="00C358C1">
                    <w:t>0.164</w:t>
                  </w:r>
                </w:p>
              </w:tc>
              <w:tc>
                <w:tcPr>
                  <w:tcW w:w="631" w:type="pct"/>
                  <w:shd w:val="clear" w:color="auto" w:fill="auto"/>
                  <w:vAlign w:val="bottom"/>
                </w:tcPr>
                <w:p w:rsidR="00E6227F" w:rsidRDefault="00E6227F" w:rsidP="00E6227F">
                  <w:pPr>
                    <w:pStyle w:val="TableBodyText"/>
                    <w:ind w:right="28"/>
                  </w:pPr>
                  <w:r w:rsidRPr="00C358C1">
                    <w:t>0.003</w:t>
                  </w:r>
                </w:p>
              </w:tc>
              <w:tc>
                <w:tcPr>
                  <w:tcW w:w="631" w:type="pct"/>
                  <w:shd w:val="clear" w:color="auto" w:fill="auto"/>
                  <w:vAlign w:val="bottom"/>
                </w:tcPr>
                <w:p w:rsidR="00E6227F" w:rsidRDefault="00E6227F" w:rsidP="00E6227F">
                  <w:pPr>
                    <w:pStyle w:val="TableBodyText"/>
                    <w:ind w:right="28"/>
                  </w:pPr>
                  <w:r w:rsidRPr="00C358C1">
                    <w:t>0.158</w:t>
                  </w:r>
                </w:p>
              </w:tc>
              <w:tc>
                <w:tcPr>
                  <w:tcW w:w="631" w:type="pct"/>
                  <w:vAlign w:val="bottom"/>
                </w:tcPr>
                <w:p w:rsidR="00E6227F" w:rsidRDefault="00E6227F" w:rsidP="00E6227F">
                  <w:pPr>
                    <w:pStyle w:val="TableBodyText"/>
                    <w:ind w:right="28"/>
                  </w:pPr>
                  <w:r w:rsidRPr="00C358C1">
                    <w:t>0.164</w:t>
                  </w:r>
                </w:p>
              </w:tc>
              <w:tc>
                <w:tcPr>
                  <w:tcW w:w="631" w:type="pct"/>
                  <w:vAlign w:val="bottom"/>
                </w:tcPr>
                <w:p w:rsidR="00E6227F" w:rsidRDefault="00E6227F" w:rsidP="00E6227F">
                  <w:pPr>
                    <w:pStyle w:val="TableBodyText"/>
                    <w:ind w:right="28"/>
                  </w:pPr>
                  <w:r w:rsidRPr="00C358C1">
                    <w:t>0.171</w:t>
                  </w:r>
                </w:p>
              </w:tc>
            </w:tr>
            <w:tr w:rsidR="00164D81" w:rsidTr="00F76FED">
              <w:tc>
                <w:tcPr>
                  <w:tcW w:w="1843" w:type="pct"/>
                  <w:shd w:val="clear" w:color="auto" w:fill="F2F2F2" w:themeFill="background1" w:themeFillShade="F2"/>
                  <w:vAlign w:val="bottom"/>
                </w:tcPr>
                <w:p w:rsidR="00E6227F" w:rsidRDefault="00E6227F" w:rsidP="00E6227F">
                  <w:pPr>
                    <w:pStyle w:val="TableBodyText"/>
                    <w:jc w:val="left"/>
                  </w:pPr>
                  <w:r w:rsidRPr="00C358C1">
                    <w:t>SD of varying intercept</w:t>
                  </w:r>
                </w:p>
              </w:tc>
              <w:tc>
                <w:tcPr>
                  <w:tcW w:w="631" w:type="pct"/>
                  <w:shd w:val="clear" w:color="auto" w:fill="F2F2F2" w:themeFill="background1" w:themeFillShade="F2"/>
                  <w:vAlign w:val="bottom"/>
                </w:tcPr>
                <w:p w:rsidR="00E6227F" w:rsidRDefault="00E6227F" w:rsidP="00E6227F">
                  <w:pPr>
                    <w:pStyle w:val="TableBodyText"/>
                    <w:ind w:right="28"/>
                  </w:pPr>
                  <w:r w:rsidRPr="00C358C1">
                    <w:t>0.039</w:t>
                  </w:r>
                </w:p>
              </w:tc>
              <w:tc>
                <w:tcPr>
                  <w:tcW w:w="631" w:type="pct"/>
                  <w:shd w:val="clear" w:color="auto" w:fill="F2F2F2" w:themeFill="background1" w:themeFillShade="F2"/>
                  <w:vAlign w:val="bottom"/>
                </w:tcPr>
                <w:p w:rsidR="00E6227F" w:rsidRDefault="00E6227F" w:rsidP="00E6227F">
                  <w:pPr>
                    <w:pStyle w:val="TableBodyText"/>
                    <w:ind w:right="28"/>
                  </w:pPr>
                  <w:r w:rsidRPr="00C358C1">
                    <w:t>0.005</w:t>
                  </w:r>
                </w:p>
              </w:tc>
              <w:tc>
                <w:tcPr>
                  <w:tcW w:w="631" w:type="pct"/>
                  <w:shd w:val="clear" w:color="auto" w:fill="F2F2F2" w:themeFill="background1" w:themeFillShade="F2"/>
                  <w:vAlign w:val="bottom"/>
                </w:tcPr>
                <w:p w:rsidR="00E6227F" w:rsidRDefault="00E6227F" w:rsidP="00E6227F">
                  <w:pPr>
                    <w:pStyle w:val="TableBodyText"/>
                    <w:ind w:right="28"/>
                  </w:pPr>
                  <w:r w:rsidRPr="00C358C1">
                    <w:t>0.030</w:t>
                  </w:r>
                </w:p>
              </w:tc>
              <w:tc>
                <w:tcPr>
                  <w:tcW w:w="631" w:type="pct"/>
                  <w:shd w:val="clear" w:color="auto" w:fill="F2F2F2" w:themeFill="background1" w:themeFillShade="F2"/>
                  <w:vAlign w:val="bottom"/>
                </w:tcPr>
                <w:p w:rsidR="00E6227F" w:rsidRDefault="00E6227F" w:rsidP="00E6227F">
                  <w:pPr>
                    <w:pStyle w:val="TableBodyText"/>
                    <w:ind w:right="28"/>
                  </w:pPr>
                  <w:r w:rsidRPr="00C358C1">
                    <w:t>0.039</w:t>
                  </w:r>
                </w:p>
              </w:tc>
              <w:tc>
                <w:tcPr>
                  <w:tcW w:w="631" w:type="pct"/>
                  <w:shd w:val="clear" w:color="auto" w:fill="F2F2F2" w:themeFill="background1" w:themeFillShade="F2"/>
                  <w:vAlign w:val="bottom"/>
                </w:tcPr>
                <w:p w:rsidR="00E6227F" w:rsidRDefault="00E6227F" w:rsidP="00E6227F">
                  <w:pPr>
                    <w:pStyle w:val="TableBodyText"/>
                    <w:ind w:right="28"/>
                  </w:pPr>
                  <w:r w:rsidRPr="00C358C1">
                    <w:t>0.048</w:t>
                  </w:r>
                </w:p>
              </w:tc>
            </w:tr>
            <w:tr w:rsidR="00164D81" w:rsidTr="004C4BB2">
              <w:tc>
                <w:tcPr>
                  <w:tcW w:w="1843" w:type="pct"/>
                  <w:shd w:val="clear" w:color="auto" w:fill="auto"/>
                  <w:vAlign w:val="bottom"/>
                </w:tcPr>
                <w:p w:rsidR="00E6227F" w:rsidRDefault="00E6227F" w:rsidP="00E6227F">
                  <w:pPr>
                    <w:pStyle w:val="TableBodyText"/>
                    <w:jc w:val="left"/>
                  </w:pPr>
                  <w:r w:rsidRPr="00C358C1">
                    <w:t xml:space="preserve">SD of varying </w:t>
                  </w:r>
                  <w:r w:rsidR="002640CD">
                    <w:t xml:space="preserve">slope: </w:t>
                  </w:r>
                  <w:r w:rsidRPr="00C358C1">
                    <w:t>Change in admin expenses due to size</w:t>
                  </w:r>
                </w:p>
              </w:tc>
              <w:tc>
                <w:tcPr>
                  <w:tcW w:w="631" w:type="pct"/>
                  <w:vAlign w:val="bottom"/>
                </w:tcPr>
                <w:p w:rsidR="00E6227F" w:rsidRDefault="00E6227F" w:rsidP="00E6227F">
                  <w:pPr>
                    <w:pStyle w:val="TableBodyText"/>
                    <w:ind w:right="28"/>
                  </w:pPr>
                  <w:r w:rsidRPr="00C358C1">
                    <w:t>0.165</w:t>
                  </w:r>
                </w:p>
              </w:tc>
              <w:tc>
                <w:tcPr>
                  <w:tcW w:w="631" w:type="pct"/>
                  <w:shd w:val="clear" w:color="auto" w:fill="auto"/>
                  <w:vAlign w:val="bottom"/>
                </w:tcPr>
                <w:p w:rsidR="00E6227F" w:rsidRDefault="00E6227F" w:rsidP="00E6227F">
                  <w:pPr>
                    <w:pStyle w:val="TableBodyText"/>
                    <w:ind w:right="28"/>
                  </w:pPr>
                  <w:r w:rsidRPr="00C358C1">
                    <w:t>0.047</w:t>
                  </w:r>
                </w:p>
              </w:tc>
              <w:tc>
                <w:tcPr>
                  <w:tcW w:w="631" w:type="pct"/>
                  <w:shd w:val="clear" w:color="auto" w:fill="auto"/>
                  <w:vAlign w:val="bottom"/>
                </w:tcPr>
                <w:p w:rsidR="00E6227F" w:rsidRDefault="00E6227F" w:rsidP="00E6227F">
                  <w:pPr>
                    <w:pStyle w:val="TableBodyText"/>
                    <w:ind w:right="28"/>
                  </w:pPr>
                  <w:r w:rsidRPr="00C358C1">
                    <w:t>0.093</w:t>
                  </w:r>
                </w:p>
              </w:tc>
              <w:tc>
                <w:tcPr>
                  <w:tcW w:w="631" w:type="pct"/>
                  <w:vAlign w:val="bottom"/>
                </w:tcPr>
                <w:p w:rsidR="00E6227F" w:rsidRDefault="00E6227F" w:rsidP="00E6227F">
                  <w:pPr>
                    <w:pStyle w:val="TableBodyText"/>
                    <w:ind w:right="28"/>
                  </w:pPr>
                  <w:r w:rsidRPr="00C358C1">
                    <w:t>0.157</w:t>
                  </w:r>
                </w:p>
              </w:tc>
              <w:tc>
                <w:tcPr>
                  <w:tcW w:w="631" w:type="pct"/>
                  <w:vAlign w:val="bottom"/>
                </w:tcPr>
                <w:p w:rsidR="00E6227F" w:rsidRDefault="00E6227F" w:rsidP="00E6227F">
                  <w:pPr>
                    <w:pStyle w:val="TableBodyText"/>
                    <w:ind w:right="28"/>
                  </w:pPr>
                  <w:r w:rsidRPr="00C358C1">
                    <w:t>0.274</w:t>
                  </w:r>
                </w:p>
              </w:tc>
            </w:tr>
            <w:tr w:rsidR="00164D81" w:rsidTr="004C4BB2">
              <w:tc>
                <w:tcPr>
                  <w:tcW w:w="1843" w:type="pct"/>
                  <w:shd w:val="clear" w:color="auto" w:fill="auto"/>
                  <w:vAlign w:val="bottom"/>
                </w:tcPr>
                <w:p w:rsidR="00E6227F" w:rsidRDefault="00E6227F" w:rsidP="00E6227F">
                  <w:pPr>
                    <w:pStyle w:val="TableBodyText"/>
                    <w:jc w:val="left"/>
                  </w:pPr>
                </w:p>
              </w:tc>
              <w:tc>
                <w:tcPr>
                  <w:tcW w:w="631" w:type="pct"/>
                  <w:vAlign w:val="bottom"/>
                </w:tcPr>
                <w:p w:rsidR="00E6227F" w:rsidRDefault="00E6227F" w:rsidP="00E6227F">
                  <w:pPr>
                    <w:pStyle w:val="TableBodyText"/>
                    <w:ind w:right="28"/>
                  </w:pPr>
                </w:p>
              </w:tc>
              <w:tc>
                <w:tcPr>
                  <w:tcW w:w="631" w:type="pct"/>
                  <w:shd w:val="clear" w:color="auto" w:fill="auto"/>
                  <w:vAlign w:val="bottom"/>
                </w:tcPr>
                <w:p w:rsidR="00E6227F" w:rsidRDefault="00E6227F" w:rsidP="00E6227F">
                  <w:pPr>
                    <w:pStyle w:val="TableBodyText"/>
                    <w:ind w:right="28"/>
                  </w:pPr>
                </w:p>
              </w:tc>
              <w:tc>
                <w:tcPr>
                  <w:tcW w:w="631" w:type="pct"/>
                  <w:shd w:val="clear" w:color="auto" w:fill="auto"/>
                  <w:vAlign w:val="bottom"/>
                </w:tcPr>
                <w:p w:rsidR="00E6227F" w:rsidRDefault="00E6227F" w:rsidP="00E6227F">
                  <w:pPr>
                    <w:pStyle w:val="TableBodyText"/>
                    <w:ind w:right="28"/>
                  </w:pPr>
                </w:p>
              </w:tc>
              <w:tc>
                <w:tcPr>
                  <w:tcW w:w="631" w:type="pct"/>
                  <w:vAlign w:val="bottom"/>
                </w:tcPr>
                <w:p w:rsidR="00E6227F" w:rsidRDefault="00E6227F" w:rsidP="00E6227F">
                  <w:pPr>
                    <w:pStyle w:val="TableBodyText"/>
                    <w:ind w:right="28"/>
                  </w:pPr>
                </w:p>
              </w:tc>
              <w:tc>
                <w:tcPr>
                  <w:tcW w:w="631" w:type="pct"/>
                  <w:vAlign w:val="bottom"/>
                </w:tcPr>
                <w:p w:rsidR="00E6227F" w:rsidRDefault="00E6227F" w:rsidP="00E6227F">
                  <w:pPr>
                    <w:pStyle w:val="TableBodyText"/>
                    <w:ind w:right="28"/>
                  </w:pPr>
                </w:p>
              </w:tc>
            </w:tr>
            <w:tr w:rsidR="00164D81" w:rsidTr="00F76FED">
              <w:tc>
                <w:tcPr>
                  <w:tcW w:w="1843" w:type="pct"/>
                  <w:shd w:val="clear" w:color="auto" w:fill="BFBFBF" w:themeFill="background1" w:themeFillShade="BF"/>
                  <w:vAlign w:val="bottom"/>
                </w:tcPr>
                <w:p w:rsidR="00E6227F" w:rsidRDefault="00E6227F" w:rsidP="00E6227F">
                  <w:pPr>
                    <w:pStyle w:val="TableBodyText"/>
                    <w:jc w:val="left"/>
                  </w:pPr>
                  <w:r w:rsidRPr="00992D7E">
                    <w:rPr>
                      <w:b/>
                    </w:rPr>
                    <w:t>Pass-through: Investment fees</w:t>
                  </w:r>
                </w:p>
              </w:tc>
              <w:tc>
                <w:tcPr>
                  <w:tcW w:w="631" w:type="pct"/>
                  <w:shd w:val="clear" w:color="auto" w:fill="BFBFBF" w:themeFill="background1" w:themeFillShade="BF"/>
                  <w:vAlign w:val="bottom"/>
                </w:tcPr>
                <w:p w:rsidR="00E6227F" w:rsidRDefault="00E6227F" w:rsidP="00E6227F">
                  <w:pPr>
                    <w:pStyle w:val="TableBodyText"/>
                    <w:ind w:right="28"/>
                  </w:pPr>
                </w:p>
              </w:tc>
              <w:tc>
                <w:tcPr>
                  <w:tcW w:w="631" w:type="pct"/>
                  <w:shd w:val="clear" w:color="auto" w:fill="BFBFBF" w:themeFill="background1" w:themeFillShade="BF"/>
                  <w:vAlign w:val="bottom"/>
                </w:tcPr>
                <w:p w:rsidR="00E6227F" w:rsidRDefault="00E6227F" w:rsidP="00E6227F">
                  <w:pPr>
                    <w:pStyle w:val="TableBodyText"/>
                    <w:ind w:right="28"/>
                  </w:pPr>
                </w:p>
              </w:tc>
              <w:tc>
                <w:tcPr>
                  <w:tcW w:w="631" w:type="pct"/>
                  <w:shd w:val="clear" w:color="auto" w:fill="BFBFBF" w:themeFill="background1" w:themeFillShade="BF"/>
                  <w:vAlign w:val="bottom"/>
                </w:tcPr>
                <w:p w:rsidR="00E6227F" w:rsidRDefault="00E6227F" w:rsidP="00E6227F">
                  <w:pPr>
                    <w:pStyle w:val="TableBodyText"/>
                    <w:ind w:right="28"/>
                  </w:pPr>
                </w:p>
              </w:tc>
              <w:tc>
                <w:tcPr>
                  <w:tcW w:w="631" w:type="pct"/>
                  <w:shd w:val="clear" w:color="auto" w:fill="BFBFBF" w:themeFill="background1" w:themeFillShade="BF"/>
                  <w:vAlign w:val="bottom"/>
                </w:tcPr>
                <w:p w:rsidR="00E6227F" w:rsidRDefault="00E6227F" w:rsidP="00E6227F">
                  <w:pPr>
                    <w:pStyle w:val="TableBodyText"/>
                    <w:ind w:right="28"/>
                  </w:pPr>
                </w:p>
              </w:tc>
              <w:tc>
                <w:tcPr>
                  <w:tcW w:w="631" w:type="pct"/>
                  <w:shd w:val="clear" w:color="auto" w:fill="BFBFBF" w:themeFill="background1" w:themeFillShade="BF"/>
                  <w:vAlign w:val="bottom"/>
                </w:tcPr>
                <w:p w:rsidR="00E6227F" w:rsidRDefault="00E6227F" w:rsidP="00E6227F">
                  <w:pPr>
                    <w:pStyle w:val="TableBodyText"/>
                    <w:ind w:right="28"/>
                  </w:pPr>
                </w:p>
              </w:tc>
            </w:tr>
            <w:tr w:rsidR="00164D81" w:rsidTr="004C4BB2">
              <w:tc>
                <w:tcPr>
                  <w:tcW w:w="1843" w:type="pct"/>
                  <w:shd w:val="clear" w:color="auto" w:fill="auto"/>
                  <w:vAlign w:val="bottom"/>
                </w:tcPr>
                <w:p w:rsidR="00E6227F" w:rsidRDefault="00E6227F" w:rsidP="00E6227F">
                  <w:pPr>
                    <w:pStyle w:val="TableBodyText"/>
                    <w:jc w:val="left"/>
                  </w:pPr>
                  <w:r w:rsidRPr="00C358C1">
                    <w:t>Industry</w:t>
                  </w:r>
                </w:p>
              </w:tc>
              <w:tc>
                <w:tcPr>
                  <w:tcW w:w="631" w:type="pct"/>
                  <w:vAlign w:val="bottom"/>
                </w:tcPr>
                <w:p w:rsidR="00E6227F" w:rsidRDefault="00E6227F" w:rsidP="00E6227F">
                  <w:pPr>
                    <w:pStyle w:val="TableBodyText"/>
                    <w:ind w:right="28"/>
                  </w:pPr>
                  <w:r w:rsidRPr="00C358C1">
                    <w:t>-0.020</w:t>
                  </w:r>
                </w:p>
              </w:tc>
              <w:tc>
                <w:tcPr>
                  <w:tcW w:w="631" w:type="pct"/>
                  <w:shd w:val="clear" w:color="auto" w:fill="auto"/>
                  <w:vAlign w:val="bottom"/>
                </w:tcPr>
                <w:p w:rsidR="00E6227F" w:rsidRDefault="00E6227F" w:rsidP="00E6227F">
                  <w:pPr>
                    <w:pStyle w:val="TableBodyText"/>
                    <w:ind w:right="28"/>
                  </w:pPr>
                  <w:r w:rsidRPr="00C358C1">
                    <w:t>0.052</w:t>
                  </w:r>
                </w:p>
              </w:tc>
              <w:tc>
                <w:tcPr>
                  <w:tcW w:w="631" w:type="pct"/>
                  <w:shd w:val="clear" w:color="auto" w:fill="auto"/>
                  <w:vAlign w:val="bottom"/>
                </w:tcPr>
                <w:p w:rsidR="00E6227F" w:rsidRDefault="00E6227F" w:rsidP="00E6227F">
                  <w:pPr>
                    <w:pStyle w:val="TableBodyText"/>
                    <w:ind w:right="28"/>
                  </w:pPr>
                  <w:r w:rsidRPr="00C358C1">
                    <w:t>-0.121</w:t>
                  </w:r>
                </w:p>
              </w:tc>
              <w:tc>
                <w:tcPr>
                  <w:tcW w:w="631" w:type="pct"/>
                  <w:vAlign w:val="bottom"/>
                </w:tcPr>
                <w:p w:rsidR="00E6227F" w:rsidRDefault="00E6227F" w:rsidP="00E6227F">
                  <w:pPr>
                    <w:pStyle w:val="TableBodyText"/>
                    <w:ind w:right="28"/>
                  </w:pPr>
                  <w:r w:rsidRPr="00C358C1">
                    <w:t>-0.019</w:t>
                  </w:r>
                </w:p>
              </w:tc>
              <w:tc>
                <w:tcPr>
                  <w:tcW w:w="631" w:type="pct"/>
                  <w:vAlign w:val="bottom"/>
                </w:tcPr>
                <w:p w:rsidR="00E6227F" w:rsidRDefault="00E6227F" w:rsidP="00E6227F">
                  <w:pPr>
                    <w:pStyle w:val="TableBodyText"/>
                    <w:ind w:right="28"/>
                  </w:pPr>
                  <w:r w:rsidRPr="00C358C1">
                    <w:t>0.080</w:t>
                  </w:r>
                </w:p>
              </w:tc>
            </w:tr>
            <w:tr w:rsidR="00164D81" w:rsidTr="00AB3A61">
              <w:tc>
                <w:tcPr>
                  <w:tcW w:w="1843" w:type="pct"/>
                  <w:shd w:val="clear" w:color="auto" w:fill="F2F2F2" w:themeFill="background1" w:themeFillShade="F2"/>
                  <w:vAlign w:val="bottom"/>
                </w:tcPr>
                <w:p w:rsidR="00E6227F" w:rsidRDefault="00E6227F" w:rsidP="00E6227F">
                  <w:pPr>
                    <w:pStyle w:val="TableBodyText"/>
                    <w:jc w:val="left"/>
                  </w:pPr>
                  <w:r w:rsidRPr="00C358C1">
                    <w:t>Public</w:t>
                  </w:r>
                </w:p>
              </w:tc>
              <w:tc>
                <w:tcPr>
                  <w:tcW w:w="631" w:type="pct"/>
                  <w:shd w:val="clear" w:color="auto" w:fill="F2F2F2" w:themeFill="background1" w:themeFillShade="F2"/>
                  <w:vAlign w:val="bottom"/>
                </w:tcPr>
                <w:p w:rsidR="00E6227F" w:rsidRDefault="00E6227F" w:rsidP="00E6227F">
                  <w:pPr>
                    <w:pStyle w:val="TableBodyText"/>
                    <w:ind w:right="28"/>
                  </w:pPr>
                  <w:r w:rsidRPr="00C358C1">
                    <w:t>-0.009</w:t>
                  </w:r>
                </w:p>
              </w:tc>
              <w:tc>
                <w:tcPr>
                  <w:tcW w:w="631" w:type="pct"/>
                  <w:shd w:val="clear" w:color="auto" w:fill="F2F2F2" w:themeFill="background1" w:themeFillShade="F2"/>
                  <w:vAlign w:val="bottom"/>
                </w:tcPr>
                <w:p w:rsidR="00E6227F" w:rsidRDefault="00E6227F" w:rsidP="00E6227F">
                  <w:pPr>
                    <w:pStyle w:val="TableBodyText"/>
                    <w:ind w:right="28"/>
                  </w:pPr>
                  <w:r w:rsidRPr="00C358C1">
                    <w:t>0.064</w:t>
                  </w:r>
                </w:p>
              </w:tc>
              <w:tc>
                <w:tcPr>
                  <w:tcW w:w="631" w:type="pct"/>
                  <w:shd w:val="clear" w:color="auto" w:fill="F2F2F2" w:themeFill="background1" w:themeFillShade="F2"/>
                  <w:vAlign w:val="bottom"/>
                </w:tcPr>
                <w:p w:rsidR="00E6227F" w:rsidRDefault="00E6227F" w:rsidP="00E6227F">
                  <w:pPr>
                    <w:pStyle w:val="TableBodyText"/>
                    <w:ind w:right="28"/>
                  </w:pPr>
                  <w:r w:rsidRPr="00C358C1">
                    <w:t>-0.135</w:t>
                  </w:r>
                </w:p>
              </w:tc>
              <w:tc>
                <w:tcPr>
                  <w:tcW w:w="631" w:type="pct"/>
                  <w:shd w:val="clear" w:color="auto" w:fill="F2F2F2" w:themeFill="background1" w:themeFillShade="F2"/>
                  <w:vAlign w:val="bottom"/>
                </w:tcPr>
                <w:p w:rsidR="00E6227F" w:rsidRDefault="00E6227F" w:rsidP="00E6227F">
                  <w:pPr>
                    <w:pStyle w:val="TableBodyText"/>
                    <w:ind w:right="28"/>
                  </w:pPr>
                  <w:r w:rsidRPr="00C358C1">
                    <w:t>-0.010</w:t>
                  </w:r>
                </w:p>
              </w:tc>
              <w:tc>
                <w:tcPr>
                  <w:tcW w:w="631" w:type="pct"/>
                  <w:shd w:val="clear" w:color="auto" w:fill="F2F2F2" w:themeFill="background1" w:themeFillShade="F2"/>
                  <w:vAlign w:val="bottom"/>
                </w:tcPr>
                <w:p w:rsidR="00E6227F" w:rsidRDefault="00E6227F" w:rsidP="00E6227F">
                  <w:pPr>
                    <w:pStyle w:val="TableBodyText"/>
                    <w:ind w:right="28"/>
                  </w:pPr>
                  <w:r w:rsidRPr="00C358C1">
                    <w:t>0.123</w:t>
                  </w:r>
                </w:p>
              </w:tc>
            </w:tr>
            <w:tr w:rsidR="00164D81" w:rsidTr="004C4BB2">
              <w:tc>
                <w:tcPr>
                  <w:tcW w:w="1843" w:type="pct"/>
                  <w:shd w:val="clear" w:color="auto" w:fill="auto"/>
                  <w:vAlign w:val="bottom"/>
                </w:tcPr>
                <w:p w:rsidR="00E6227F" w:rsidRDefault="00E6227F" w:rsidP="00E6227F">
                  <w:pPr>
                    <w:pStyle w:val="TableBodyText"/>
                    <w:jc w:val="left"/>
                  </w:pPr>
                  <w:r w:rsidRPr="00C358C1">
                    <w:t>Retail</w:t>
                  </w:r>
                </w:p>
              </w:tc>
              <w:tc>
                <w:tcPr>
                  <w:tcW w:w="631" w:type="pct"/>
                  <w:vAlign w:val="bottom"/>
                </w:tcPr>
                <w:p w:rsidR="00E6227F" w:rsidRDefault="00E6227F" w:rsidP="00E6227F">
                  <w:pPr>
                    <w:pStyle w:val="TableBodyText"/>
                    <w:ind w:right="28"/>
                  </w:pPr>
                  <w:r w:rsidRPr="00C358C1">
                    <w:t>-0.028</w:t>
                  </w:r>
                </w:p>
              </w:tc>
              <w:tc>
                <w:tcPr>
                  <w:tcW w:w="631" w:type="pct"/>
                  <w:shd w:val="clear" w:color="auto" w:fill="auto"/>
                  <w:vAlign w:val="bottom"/>
                </w:tcPr>
                <w:p w:rsidR="00E6227F" w:rsidRDefault="00E6227F" w:rsidP="00E6227F">
                  <w:pPr>
                    <w:pStyle w:val="TableBodyText"/>
                    <w:ind w:right="28"/>
                  </w:pPr>
                  <w:r w:rsidRPr="00C358C1">
                    <w:t>0.048</w:t>
                  </w:r>
                </w:p>
              </w:tc>
              <w:tc>
                <w:tcPr>
                  <w:tcW w:w="631" w:type="pct"/>
                  <w:shd w:val="clear" w:color="auto" w:fill="auto"/>
                  <w:vAlign w:val="bottom"/>
                </w:tcPr>
                <w:p w:rsidR="00E6227F" w:rsidRDefault="00E6227F" w:rsidP="00E6227F">
                  <w:pPr>
                    <w:pStyle w:val="TableBodyText"/>
                    <w:ind w:right="28"/>
                  </w:pPr>
                  <w:r w:rsidRPr="00C358C1">
                    <w:t>-0.119</w:t>
                  </w:r>
                </w:p>
              </w:tc>
              <w:tc>
                <w:tcPr>
                  <w:tcW w:w="631" w:type="pct"/>
                  <w:vAlign w:val="bottom"/>
                </w:tcPr>
                <w:p w:rsidR="00E6227F" w:rsidRDefault="00E6227F" w:rsidP="00E6227F">
                  <w:pPr>
                    <w:pStyle w:val="TableBodyText"/>
                    <w:ind w:right="28"/>
                  </w:pPr>
                  <w:r w:rsidRPr="00C358C1">
                    <w:t>-0.028</w:t>
                  </w:r>
                </w:p>
              </w:tc>
              <w:tc>
                <w:tcPr>
                  <w:tcW w:w="631" w:type="pct"/>
                  <w:vAlign w:val="bottom"/>
                </w:tcPr>
                <w:p w:rsidR="00E6227F" w:rsidRDefault="00E6227F" w:rsidP="00E6227F">
                  <w:pPr>
                    <w:pStyle w:val="TableBodyText"/>
                    <w:ind w:right="28"/>
                  </w:pPr>
                  <w:r w:rsidRPr="00C358C1">
                    <w:t>0.065</w:t>
                  </w:r>
                </w:p>
              </w:tc>
            </w:tr>
            <w:tr w:rsidR="00164D81" w:rsidTr="00F76FED">
              <w:tc>
                <w:tcPr>
                  <w:tcW w:w="1843" w:type="pct"/>
                  <w:shd w:val="clear" w:color="auto" w:fill="F2F2F2" w:themeFill="background1" w:themeFillShade="F2"/>
                  <w:vAlign w:val="bottom"/>
                </w:tcPr>
                <w:p w:rsidR="00E6227F" w:rsidRDefault="00E6227F" w:rsidP="00E6227F">
                  <w:pPr>
                    <w:pStyle w:val="TableBodyText"/>
                    <w:jc w:val="left"/>
                  </w:pPr>
                  <w:r w:rsidRPr="00C358C1">
                    <w:t>Change in investment expenses due to size</w:t>
                  </w:r>
                </w:p>
              </w:tc>
              <w:tc>
                <w:tcPr>
                  <w:tcW w:w="631" w:type="pct"/>
                  <w:shd w:val="clear" w:color="auto" w:fill="F2F2F2" w:themeFill="background1" w:themeFillShade="F2"/>
                  <w:vAlign w:val="bottom"/>
                </w:tcPr>
                <w:p w:rsidR="00E6227F" w:rsidRDefault="00E6227F" w:rsidP="00E6227F">
                  <w:pPr>
                    <w:pStyle w:val="TableBodyText"/>
                    <w:ind w:right="28"/>
                  </w:pPr>
                  <w:r w:rsidRPr="00C358C1">
                    <w:t>-0.177</w:t>
                  </w:r>
                </w:p>
              </w:tc>
              <w:tc>
                <w:tcPr>
                  <w:tcW w:w="631" w:type="pct"/>
                  <w:shd w:val="clear" w:color="auto" w:fill="F2F2F2" w:themeFill="background1" w:themeFillShade="F2"/>
                  <w:vAlign w:val="bottom"/>
                </w:tcPr>
                <w:p w:rsidR="00E6227F" w:rsidRDefault="00E6227F" w:rsidP="00E6227F">
                  <w:pPr>
                    <w:pStyle w:val="TableBodyText"/>
                    <w:ind w:right="28"/>
                  </w:pPr>
                  <w:r w:rsidRPr="00C358C1">
                    <w:t>0.253</w:t>
                  </w:r>
                </w:p>
              </w:tc>
              <w:tc>
                <w:tcPr>
                  <w:tcW w:w="631" w:type="pct"/>
                  <w:shd w:val="clear" w:color="auto" w:fill="F2F2F2" w:themeFill="background1" w:themeFillShade="F2"/>
                  <w:vAlign w:val="bottom"/>
                </w:tcPr>
                <w:p w:rsidR="00E6227F" w:rsidRDefault="00E6227F" w:rsidP="00E6227F">
                  <w:pPr>
                    <w:pStyle w:val="TableBodyText"/>
                    <w:ind w:right="28"/>
                  </w:pPr>
                  <w:r w:rsidRPr="00C358C1">
                    <w:t>-0.670</w:t>
                  </w:r>
                </w:p>
              </w:tc>
              <w:tc>
                <w:tcPr>
                  <w:tcW w:w="631" w:type="pct"/>
                  <w:shd w:val="clear" w:color="auto" w:fill="F2F2F2" w:themeFill="background1" w:themeFillShade="F2"/>
                  <w:vAlign w:val="bottom"/>
                </w:tcPr>
                <w:p w:rsidR="00E6227F" w:rsidRDefault="00E6227F" w:rsidP="00E6227F">
                  <w:pPr>
                    <w:pStyle w:val="TableBodyText"/>
                    <w:ind w:right="28"/>
                  </w:pPr>
                  <w:r w:rsidRPr="00C358C1">
                    <w:t>-0.175</w:t>
                  </w:r>
                </w:p>
              </w:tc>
              <w:tc>
                <w:tcPr>
                  <w:tcW w:w="631" w:type="pct"/>
                  <w:shd w:val="clear" w:color="auto" w:fill="F2F2F2" w:themeFill="background1" w:themeFillShade="F2"/>
                  <w:vAlign w:val="bottom"/>
                </w:tcPr>
                <w:p w:rsidR="00E6227F" w:rsidRDefault="00E6227F" w:rsidP="00E6227F">
                  <w:pPr>
                    <w:pStyle w:val="TableBodyText"/>
                    <w:ind w:right="28"/>
                  </w:pPr>
                  <w:r w:rsidRPr="00C358C1">
                    <w:t>0.318</w:t>
                  </w:r>
                </w:p>
              </w:tc>
            </w:tr>
            <w:tr w:rsidR="00164D81" w:rsidTr="004C4BB2">
              <w:tc>
                <w:tcPr>
                  <w:tcW w:w="1843" w:type="pct"/>
                  <w:shd w:val="clear" w:color="auto" w:fill="auto"/>
                  <w:vAlign w:val="bottom"/>
                </w:tcPr>
                <w:p w:rsidR="00E6227F" w:rsidRDefault="00E6227F" w:rsidP="00E6227F">
                  <w:pPr>
                    <w:pStyle w:val="TableBodyText"/>
                    <w:jc w:val="left"/>
                  </w:pPr>
                  <w:r w:rsidRPr="00C358C1">
                    <w:t>Industry x Change in investment expenses due to size</w:t>
                  </w:r>
                </w:p>
              </w:tc>
              <w:tc>
                <w:tcPr>
                  <w:tcW w:w="631" w:type="pct"/>
                  <w:vAlign w:val="bottom"/>
                </w:tcPr>
                <w:p w:rsidR="00E6227F" w:rsidRDefault="00E6227F" w:rsidP="00E6227F">
                  <w:pPr>
                    <w:pStyle w:val="TableBodyText"/>
                    <w:ind w:right="28"/>
                  </w:pPr>
                  <w:r w:rsidRPr="00C358C1">
                    <w:t>0.120</w:t>
                  </w:r>
                </w:p>
              </w:tc>
              <w:tc>
                <w:tcPr>
                  <w:tcW w:w="631" w:type="pct"/>
                  <w:shd w:val="clear" w:color="auto" w:fill="auto"/>
                  <w:vAlign w:val="bottom"/>
                </w:tcPr>
                <w:p w:rsidR="00E6227F" w:rsidRDefault="00E6227F" w:rsidP="00E6227F">
                  <w:pPr>
                    <w:pStyle w:val="TableBodyText"/>
                    <w:ind w:right="28"/>
                  </w:pPr>
                  <w:r w:rsidRPr="00C358C1">
                    <w:t>0.320</w:t>
                  </w:r>
                </w:p>
              </w:tc>
              <w:tc>
                <w:tcPr>
                  <w:tcW w:w="631" w:type="pct"/>
                  <w:shd w:val="clear" w:color="auto" w:fill="auto"/>
                  <w:vAlign w:val="bottom"/>
                </w:tcPr>
                <w:p w:rsidR="00E6227F" w:rsidRDefault="00E6227F" w:rsidP="00E6227F">
                  <w:pPr>
                    <w:pStyle w:val="TableBodyText"/>
                    <w:ind w:right="28"/>
                  </w:pPr>
                  <w:r w:rsidRPr="00C358C1">
                    <w:t>-0.494</w:t>
                  </w:r>
                </w:p>
              </w:tc>
              <w:tc>
                <w:tcPr>
                  <w:tcW w:w="631" w:type="pct"/>
                  <w:vAlign w:val="bottom"/>
                </w:tcPr>
                <w:p w:rsidR="00E6227F" w:rsidRDefault="00E6227F" w:rsidP="00E6227F">
                  <w:pPr>
                    <w:pStyle w:val="TableBodyText"/>
                    <w:ind w:right="28"/>
                  </w:pPr>
                  <w:r w:rsidRPr="00C358C1">
                    <w:t>0.125</w:t>
                  </w:r>
                </w:p>
              </w:tc>
              <w:tc>
                <w:tcPr>
                  <w:tcW w:w="631" w:type="pct"/>
                  <w:vAlign w:val="bottom"/>
                </w:tcPr>
                <w:p w:rsidR="00E6227F" w:rsidRDefault="00E6227F" w:rsidP="00E6227F">
                  <w:pPr>
                    <w:pStyle w:val="TableBodyText"/>
                    <w:ind w:right="28"/>
                  </w:pPr>
                  <w:r w:rsidRPr="00C358C1">
                    <w:t>0.757</w:t>
                  </w:r>
                </w:p>
              </w:tc>
            </w:tr>
            <w:tr w:rsidR="00164D81" w:rsidTr="00F76FED">
              <w:tc>
                <w:tcPr>
                  <w:tcW w:w="1843" w:type="pct"/>
                  <w:shd w:val="clear" w:color="auto" w:fill="F2F2F2" w:themeFill="background1" w:themeFillShade="F2"/>
                  <w:vAlign w:val="bottom"/>
                </w:tcPr>
                <w:p w:rsidR="00E6227F" w:rsidRDefault="00E6227F" w:rsidP="00E6227F">
                  <w:pPr>
                    <w:pStyle w:val="TableBodyText"/>
                    <w:jc w:val="left"/>
                  </w:pPr>
                  <w:r w:rsidRPr="00C358C1">
                    <w:t>Public x Change in investment expenses due to size</w:t>
                  </w:r>
                </w:p>
              </w:tc>
              <w:tc>
                <w:tcPr>
                  <w:tcW w:w="631" w:type="pct"/>
                  <w:shd w:val="clear" w:color="auto" w:fill="F2F2F2" w:themeFill="background1" w:themeFillShade="F2"/>
                  <w:vAlign w:val="bottom"/>
                </w:tcPr>
                <w:p w:rsidR="00E6227F" w:rsidRDefault="00E6227F" w:rsidP="00E6227F">
                  <w:pPr>
                    <w:pStyle w:val="TableBodyText"/>
                    <w:ind w:right="28"/>
                  </w:pPr>
                  <w:r w:rsidRPr="00C358C1">
                    <w:t>-0.021</w:t>
                  </w:r>
                </w:p>
              </w:tc>
              <w:tc>
                <w:tcPr>
                  <w:tcW w:w="631" w:type="pct"/>
                  <w:shd w:val="clear" w:color="auto" w:fill="F2F2F2" w:themeFill="background1" w:themeFillShade="F2"/>
                  <w:vAlign w:val="bottom"/>
                </w:tcPr>
                <w:p w:rsidR="00E6227F" w:rsidRDefault="00E6227F" w:rsidP="00E6227F">
                  <w:pPr>
                    <w:pStyle w:val="TableBodyText"/>
                    <w:ind w:right="28"/>
                  </w:pPr>
                  <w:r w:rsidRPr="00C358C1">
                    <w:t>0.418</w:t>
                  </w:r>
                </w:p>
              </w:tc>
              <w:tc>
                <w:tcPr>
                  <w:tcW w:w="631" w:type="pct"/>
                  <w:shd w:val="clear" w:color="auto" w:fill="F2F2F2" w:themeFill="background1" w:themeFillShade="F2"/>
                  <w:vAlign w:val="bottom"/>
                </w:tcPr>
                <w:p w:rsidR="00E6227F" w:rsidRDefault="00E6227F" w:rsidP="00E6227F">
                  <w:pPr>
                    <w:pStyle w:val="TableBodyText"/>
                    <w:ind w:right="28"/>
                  </w:pPr>
                  <w:r w:rsidRPr="00C358C1">
                    <w:t>-0.843</w:t>
                  </w:r>
                </w:p>
              </w:tc>
              <w:tc>
                <w:tcPr>
                  <w:tcW w:w="631" w:type="pct"/>
                  <w:shd w:val="clear" w:color="auto" w:fill="F2F2F2" w:themeFill="background1" w:themeFillShade="F2"/>
                  <w:vAlign w:val="bottom"/>
                </w:tcPr>
                <w:p w:rsidR="00E6227F" w:rsidRDefault="00E6227F" w:rsidP="00E6227F">
                  <w:pPr>
                    <w:pStyle w:val="TableBodyText"/>
                    <w:ind w:right="28"/>
                  </w:pPr>
                  <w:r w:rsidRPr="00C358C1">
                    <w:t>-0.011</w:t>
                  </w:r>
                </w:p>
              </w:tc>
              <w:tc>
                <w:tcPr>
                  <w:tcW w:w="631" w:type="pct"/>
                  <w:shd w:val="clear" w:color="auto" w:fill="F2F2F2" w:themeFill="background1" w:themeFillShade="F2"/>
                  <w:vAlign w:val="bottom"/>
                </w:tcPr>
                <w:p w:rsidR="00E6227F" w:rsidRDefault="00E6227F" w:rsidP="00E6227F">
                  <w:pPr>
                    <w:pStyle w:val="TableBodyText"/>
                    <w:ind w:right="28"/>
                  </w:pPr>
                  <w:r w:rsidRPr="00C358C1">
                    <w:t>0.779</w:t>
                  </w:r>
                </w:p>
              </w:tc>
            </w:tr>
            <w:tr w:rsidR="00164D81" w:rsidTr="004C4BB2">
              <w:tc>
                <w:tcPr>
                  <w:tcW w:w="1843" w:type="pct"/>
                  <w:shd w:val="clear" w:color="auto" w:fill="auto"/>
                  <w:vAlign w:val="bottom"/>
                </w:tcPr>
                <w:p w:rsidR="00E6227F" w:rsidRDefault="00E6227F" w:rsidP="00E6227F">
                  <w:pPr>
                    <w:pStyle w:val="TableBodyText"/>
                    <w:jc w:val="left"/>
                  </w:pPr>
                  <w:r w:rsidRPr="00C358C1">
                    <w:t>Retail x Change in investment expenses due to size</w:t>
                  </w:r>
                </w:p>
              </w:tc>
              <w:tc>
                <w:tcPr>
                  <w:tcW w:w="631" w:type="pct"/>
                  <w:vAlign w:val="bottom"/>
                </w:tcPr>
                <w:p w:rsidR="00E6227F" w:rsidRDefault="00E6227F" w:rsidP="00E6227F">
                  <w:pPr>
                    <w:pStyle w:val="TableBodyText"/>
                    <w:ind w:right="28"/>
                  </w:pPr>
                  <w:r w:rsidRPr="00C358C1">
                    <w:t>-0.313</w:t>
                  </w:r>
                </w:p>
              </w:tc>
              <w:tc>
                <w:tcPr>
                  <w:tcW w:w="631" w:type="pct"/>
                  <w:shd w:val="clear" w:color="auto" w:fill="auto"/>
                  <w:vAlign w:val="bottom"/>
                </w:tcPr>
                <w:p w:rsidR="00E6227F" w:rsidRDefault="00E6227F" w:rsidP="00E6227F">
                  <w:pPr>
                    <w:pStyle w:val="TableBodyText"/>
                    <w:ind w:right="28"/>
                  </w:pPr>
                  <w:r w:rsidRPr="00C358C1">
                    <w:t>0.317</w:t>
                  </w:r>
                </w:p>
              </w:tc>
              <w:tc>
                <w:tcPr>
                  <w:tcW w:w="631" w:type="pct"/>
                  <w:shd w:val="clear" w:color="auto" w:fill="auto"/>
                  <w:vAlign w:val="bottom"/>
                </w:tcPr>
                <w:p w:rsidR="00E6227F" w:rsidRDefault="00E6227F" w:rsidP="00E6227F">
                  <w:pPr>
                    <w:pStyle w:val="TableBodyText"/>
                    <w:ind w:right="28"/>
                  </w:pPr>
                  <w:r w:rsidRPr="00C358C1">
                    <w:t>-0.936</w:t>
                  </w:r>
                </w:p>
              </w:tc>
              <w:tc>
                <w:tcPr>
                  <w:tcW w:w="631" w:type="pct"/>
                  <w:vAlign w:val="bottom"/>
                </w:tcPr>
                <w:p w:rsidR="00E6227F" w:rsidRDefault="00E6227F" w:rsidP="00E6227F">
                  <w:pPr>
                    <w:pStyle w:val="TableBodyText"/>
                    <w:ind w:right="28"/>
                  </w:pPr>
                  <w:r w:rsidRPr="00C358C1">
                    <w:t>-0.317</w:t>
                  </w:r>
                </w:p>
              </w:tc>
              <w:tc>
                <w:tcPr>
                  <w:tcW w:w="631" w:type="pct"/>
                  <w:vAlign w:val="bottom"/>
                </w:tcPr>
                <w:p w:rsidR="00E6227F" w:rsidRDefault="00E6227F" w:rsidP="00E6227F">
                  <w:pPr>
                    <w:pStyle w:val="TableBodyText"/>
                    <w:ind w:right="28"/>
                  </w:pPr>
                  <w:r w:rsidRPr="00C358C1">
                    <w:t>0.285</w:t>
                  </w:r>
                </w:p>
              </w:tc>
            </w:tr>
            <w:tr w:rsidR="00164D81" w:rsidTr="00F76FED">
              <w:tc>
                <w:tcPr>
                  <w:tcW w:w="1843" w:type="pct"/>
                  <w:shd w:val="clear" w:color="auto" w:fill="F2F2F2" w:themeFill="background1" w:themeFillShade="F2"/>
                  <w:vAlign w:val="bottom"/>
                </w:tcPr>
                <w:p w:rsidR="00E6227F" w:rsidRDefault="00E6227F" w:rsidP="00E6227F">
                  <w:pPr>
                    <w:pStyle w:val="TableBodyText"/>
                    <w:jc w:val="left"/>
                  </w:pPr>
                  <w:r w:rsidRPr="00C358C1">
                    <w:t>Intercept</w:t>
                  </w:r>
                </w:p>
              </w:tc>
              <w:tc>
                <w:tcPr>
                  <w:tcW w:w="631" w:type="pct"/>
                  <w:shd w:val="clear" w:color="auto" w:fill="F2F2F2" w:themeFill="background1" w:themeFillShade="F2"/>
                  <w:vAlign w:val="bottom"/>
                </w:tcPr>
                <w:p w:rsidR="00E6227F" w:rsidRDefault="00E6227F" w:rsidP="00E6227F">
                  <w:pPr>
                    <w:pStyle w:val="TableBodyText"/>
                    <w:ind w:right="28"/>
                  </w:pPr>
                  <w:r w:rsidRPr="00C358C1">
                    <w:t>0.027</w:t>
                  </w:r>
                </w:p>
              </w:tc>
              <w:tc>
                <w:tcPr>
                  <w:tcW w:w="631" w:type="pct"/>
                  <w:shd w:val="clear" w:color="auto" w:fill="F2F2F2" w:themeFill="background1" w:themeFillShade="F2"/>
                  <w:vAlign w:val="bottom"/>
                </w:tcPr>
                <w:p w:rsidR="00E6227F" w:rsidRDefault="00E6227F" w:rsidP="00E6227F">
                  <w:pPr>
                    <w:pStyle w:val="TableBodyText"/>
                    <w:ind w:right="28"/>
                  </w:pPr>
                  <w:r w:rsidRPr="00C358C1">
                    <w:t>0.044</w:t>
                  </w:r>
                </w:p>
              </w:tc>
              <w:tc>
                <w:tcPr>
                  <w:tcW w:w="631" w:type="pct"/>
                  <w:shd w:val="clear" w:color="auto" w:fill="F2F2F2" w:themeFill="background1" w:themeFillShade="F2"/>
                  <w:vAlign w:val="bottom"/>
                </w:tcPr>
                <w:p w:rsidR="00E6227F" w:rsidRDefault="00E6227F" w:rsidP="00E6227F">
                  <w:pPr>
                    <w:pStyle w:val="TableBodyText"/>
                    <w:ind w:right="28"/>
                  </w:pPr>
                  <w:r w:rsidRPr="00C358C1">
                    <w:t>-0.059</w:t>
                  </w:r>
                </w:p>
              </w:tc>
              <w:tc>
                <w:tcPr>
                  <w:tcW w:w="631" w:type="pct"/>
                  <w:shd w:val="clear" w:color="auto" w:fill="F2F2F2" w:themeFill="background1" w:themeFillShade="F2"/>
                  <w:vAlign w:val="bottom"/>
                </w:tcPr>
                <w:p w:rsidR="00E6227F" w:rsidRDefault="00E6227F" w:rsidP="00E6227F">
                  <w:pPr>
                    <w:pStyle w:val="TableBodyText"/>
                    <w:ind w:right="28"/>
                  </w:pPr>
                  <w:r w:rsidRPr="00C358C1">
                    <w:t>0.027</w:t>
                  </w:r>
                </w:p>
              </w:tc>
              <w:tc>
                <w:tcPr>
                  <w:tcW w:w="631" w:type="pct"/>
                  <w:shd w:val="clear" w:color="auto" w:fill="F2F2F2" w:themeFill="background1" w:themeFillShade="F2"/>
                  <w:vAlign w:val="bottom"/>
                </w:tcPr>
                <w:p w:rsidR="00E6227F" w:rsidRDefault="00E6227F" w:rsidP="00E6227F">
                  <w:pPr>
                    <w:pStyle w:val="TableBodyText"/>
                    <w:ind w:right="28"/>
                  </w:pPr>
                  <w:r w:rsidRPr="00C358C1">
                    <w:t>0.114</w:t>
                  </w:r>
                </w:p>
              </w:tc>
            </w:tr>
            <w:tr w:rsidR="00164D81" w:rsidTr="004C4BB2">
              <w:tc>
                <w:tcPr>
                  <w:tcW w:w="1843" w:type="pct"/>
                  <w:shd w:val="clear" w:color="auto" w:fill="auto"/>
                  <w:vAlign w:val="bottom"/>
                </w:tcPr>
                <w:p w:rsidR="00E6227F" w:rsidRDefault="00E6227F" w:rsidP="00E6227F">
                  <w:pPr>
                    <w:pStyle w:val="TableBodyText"/>
                    <w:jc w:val="left"/>
                  </w:pPr>
                  <w:r w:rsidRPr="00C358C1">
                    <w:t>SD of investment pass-through</w:t>
                  </w:r>
                </w:p>
              </w:tc>
              <w:tc>
                <w:tcPr>
                  <w:tcW w:w="631" w:type="pct"/>
                  <w:vAlign w:val="bottom"/>
                </w:tcPr>
                <w:p w:rsidR="00E6227F" w:rsidRDefault="00E6227F" w:rsidP="00E6227F">
                  <w:pPr>
                    <w:pStyle w:val="TableBodyText"/>
                    <w:ind w:right="28"/>
                  </w:pPr>
                  <w:r w:rsidRPr="00C358C1">
                    <w:t>0.378</w:t>
                  </w:r>
                </w:p>
              </w:tc>
              <w:tc>
                <w:tcPr>
                  <w:tcW w:w="631" w:type="pct"/>
                  <w:shd w:val="clear" w:color="auto" w:fill="auto"/>
                  <w:vAlign w:val="bottom"/>
                </w:tcPr>
                <w:p w:rsidR="00E6227F" w:rsidRDefault="00E6227F" w:rsidP="00E6227F">
                  <w:pPr>
                    <w:pStyle w:val="TableBodyText"/>
                    <w:ind w:right="28"/>
                  </w:pPr>
                  <w:r w:rsidRPr="00C358C1">
                    <w:t>0.008</w:t>
                  </w:r>
                </w:p>
              </w:tc>
              <w:tc>
                <w:tcPr>
                  <w:tcW w:w="631" w:type="pct"/>
                  <w:shd w:val="clear" w:color="auto" w:fill="auto"/>
                  <w:vAlign w:val="bottom"/>
                </w:tcPr>
                <w:p w:rsidR="00E6227F" w:rsidRDefault="00E6227F" w:rsidP="00E6227F">
                  <w:pPr>
                    <w:pStyle w:val="TableBodyText"/>
                    <w:ind w:right="28"/>
                  </w:pPr>
                  <w:r w:rsidRPr="00C358C1">
                    <w:t>0.362</w:t>
                  </w:r>
                </w:p>
              </w:tc>
              <w:tc>
                <w:tcPr>
                  <w:tcW w:w="631" w:type="pct"/>
                  <w:vAlign w:val="bottom"/>
                </w:tcPr>
                <w:p w:rsidR="00E6227F" w:rsidRDefault="00E6227F" w:rsidP="00E6227F">
                  <w:pPr>
                    <w:pStyle w:val="TableBodyText"/>
                    <w:ind w:right="28"/>
                  </w:pPr>
                  <w:r w:rsidRPr="00C358C1">
                    <w:t>0.378</w:t>
                  </w:r>
                </w:p>
              </w:tc>
              <w:tc>
                <w:tcPr>
                  <w:tcW w:w="631" w:type="pct"/>
                  <w:vAlign w:val="bottom"/>
                </w:tcPr>
                <w:p w:rsidR="00E6227F" w:rsidRDefault="00E6227F" w:rsidP="00E6227F">
                  <w:pPr>
                    <w:pStyle w:val="TableBodyText"/>
                    <w:ind w:right="28"/>
                  </w:pPr>
                  <w:r w:rsidRPr="00C358C1">
                    <w:t>0.393</w:t>
                  </w:r>
                </w:p>
              </w:tc>
            </w:tr>
            <w:tr w:rsidR="00164D81" w:rsidTr="00F76FED">
              <w:tc>
                <w:tcPr>
                  <w:tcW w:w="1843" w:type="pct"/>
                  <w:shd w:val="clear" w:color="auto" w:fill="F2F2F2" w:themeFill="background1" w:themeFillShade="F2"/>
                  <w:vAlign w:val="bottom"/>
                </w:tcPr>
                <w:p w:rsidR="00E6227F" w:rsidRDefault="00E6227F" w:rsidP="00E6227F">
                  <w:pPr>
                    <w:pStyle w:val="TableBodyText"/>
                    <w:jc w:val="left"/>
                  </w:pPr>
                  <w:r w:rsidRPr="00C358C1">
                    <w:t>SD of varying intercept</w:t>
                  </w:r>
                </w:p>
              </w:tc>
              <w:tc>
                <w:tcPr>
                  <w:tcW w:w="631" w:type="pct"/>
                  <w:shd w:val="clear" w:color="auto" w:fill="F2F2F2" w:themeFill="background1" w:themeFillShade="F2"/>
                  <w:vAlign w:val="bottom"/>
                </w:tcPr>
                <w:p w:rsidR="00E6227F" w:rsidRDefault="00E6227F" w:rsidP="00E6227F">
                  <w:pPr>
                    <w:pStyle w:val="TableBodyText"/>
                    <w:ind w:right="28"/>
                  </w:pPr>
                  <w:r w:rsidRPr="00C358C1">
                    <w:t>0.064</w:t>
                  </w:r>
                </w:p>
              </w:tc>
              <w:tc>
                <w:tcPr>
                  <w:tcW w:w="631" w:type="pct"/>
                  <w:shd w:val="clear" w:color="auto" w:fill="F2F2F2" w:themeFill="background1" w:themeFillShade="F2"/>
                  <w:vAlign w:val="bottom"/>
                </w:tcPr>
                <w:p w:rsidR="00E6227F" w:rsidRDefault="00E6227F" w:rsidP="00E6227F">
                  <w:pPr>
                    <w:pStyle w:val="TableBodyText"/>
                    <w:ind w:right="28"/>
                  </w:pPr>
                  <w:r w:rsidRPr="00C358C1">
                    <w:t>0.010</w:t>
                  </w:r>
                </w:p>
              </w:tc>
              <w:tc>
                <w:tcPr>
                  <w:tcW w:w="631" w:type="pct"/>
                  <w:shd w:val="clear" w:color="auto" w:fill="F2F2F2" w:themeFill="background1" w:themeFillShade="F2"/>
                  <w:vAlign w:val="bottom"/>
                </w:tcPr>
                <w:p w:rsidR="00E6227F" w:rsidRDefault="00E6227F" w:rsidP="00E6227F">
                  <w:pPr>
                    <w:pStyle w:val="TableBodyText"/>
                    <w:ind w:right="28"/>
                  </w:pPr>
                  <w:r w:rsidRPr="00C358C1">
                    <w:t>0.045</w:t>
                  </w:r>
                </w:p>
              </w:tc>
              <w:tc>
                <w:tcPr>
                  <w:tcW w:w="631" w:type="pct"/>
                  <w:shd w:val="clear" w:color="auto" w:fill="F2F2F2" w:themeFill="background1" w:themeFillShade="F2"/>
                  <w:vAlign w:val="bottom"/>
                </w:tcPr>
                <w:p w:rsidR="00E6227F" w:rsidRDefault="00E6227F" w:rsidP="00E6227F">
                  <w:pPr>
                    <w:pStyle w:val="TableBodyText"/>
                    <w:ind w:right="28"/>
                  </w:pPr>
                  <w:r w:rsidRPr="00C358C1">
                    <w:t>0.063</w:t>
                  </w:r>
                </w:p>
              </w:tc>
              <w:tc>
                <w:tcPr>
                  <w:tcW w:w="631" w:type="pct"/>
                  <w:shd w:val="clear" w:color="auto" w:fill="F2F2F2" w:themeFill="background1" w:themeFillShade="F2"/>
                  <w:vAlign w:val="bottom"/>
                </w:tcPr>
                <w:p w:rsidR="00E6227F" w:rsidRDefault="00E6227F" w:rsidP="00E6227F">
                  <w:pPr>
                    <w:pStyle w:val="TableBodyText"/>
                    <w:ind w:right="28"/>
                  </w:pPr>
                  <w:r w:rsidRPr="00C358C1">
                    <w:t>0.087</w:t>
                  </w:r>
                </w:p>
              </w:tc>
            </w:tr>
            <w:tr w:rsidR="00164D81" w:rsidTr="004C4BB2">
              <w:tc>
                <w:tcPr>
                  <w:tcW w:w="1843" w:type="pct"/>
                  <w:tcBorders>
                    <w:bottom w:val="single" w:sz="6" w:space="0" w:color="BFBFBF" w:themeColor="background1" w:themeShade="BF"/>
                  </w:tcBorders>
                  <w:shd w:val="clear" w:color="auto" w:fill="auto"/>
                  <w:vAlign w:val="bottom"/>
                </w:tcPr>
                <w:p w:rsidR="00E6227F" w:rsidRDefault="00E6227F" w:rsidP="00E6227F">
                  <w:pPr>
                    <w:pStyle w:val="TableBodyText"/>
                    <w:jc w:val="left"/>
                  </w:pPr>
                  <w:r w:rsidRPr="00C358C1">
                    <w:t xml:space="preserve">SD of varying </w:t>
                  </w:r>
                  <w:r w:rsidR="002640CD">
                    <w:t xml:space="preserve">slope: </w:t>
                  </w:r>
                  <w:r w:rsidRPr="00C358C1">
                    <w:t>Change in investment expenses due to size</w:t>
                  </w:r>
                </w:p>
              </w:tc>
              <w:tc>
                <w:tcPr>
                  <w:tcW w:w="631" w:type="pct"/>
                  <w:tcBorders>
                    <w:bottom w:val="single" w:sz="6" w:space="0" w:color="BFBFBF" w:themeColor="background1" w:themeShade="BF"/>
                  </w:tcBorders>
                  <w:vAlign w:val="bottom"/>
                </w:tcPr>
                <w:p w:rsidR="00E6227F" w:rsidRDefault="00E6227F" w:rsidP="00E6227F">
                  <w:pPr>
                    <w:pStyle w:val="TableBodyText"/>
                    <w:ind w:right="28"/>
                  </w:pPr>
                  <w:r w:rsidRPr="00C358C1">
                    <w:t>1.544</w:t>
                  </w:r>
                </w:p>
              </w:tc>
              <w:tc>
                <w:tcPr>
                  <w:tcW w:w="631" w:type="pct"/>
                  <w:tcBorders>
                    <w:bottom w:val="single" w:sz="6" w:space="0" w:color="BFBFBF" w:themeColor="background1" w:themeShade="BF"/>
                  </w:tcBorders>
                  <w:shd w:val="clear" w:color="auto" w:fill="auto"/>
                  <w:vAlign w:val="bottom"/>
                </w:tcPr>
                <w:p w:rsidR="00E6227F" w:rsidRDefault="00E6227F" w:rsidP="00E6227F">
                  <w:pPr>
                    <w:pStyle w:val="TableBodyText"/>
                    <w:ind w:right="28"/>
                  </w:pPr>
                  <w:r w:rsidRPr="00C358C1">
                    <w:t>0.171</w:t>
                  </w:r>
                </w:p>
              </w:tc>
              <w:tc>
                <w:tcPr>
                  <w:tcW w:w="631" w:type="pct"/>
                  <w:tcBorders>
                    <w:bottom w:val="single" w:sz="6" w:space="0" w:color="BFBFBF" w:themeColor="background1" w:themeShade="BF"/>
                  </w:tcBorders>
                  <w:shd w:val="clear" w:color="auto" w:fill="auto"/>
                  <w:vAlign w:val="bottom"/>
                </w:tcPr>
                <w:p w:rsidR="00E6227F" w:rsidRDefault="00E6227F" w:rsidP="00E6227F">
                  <w:pPr>
                    <w:pStyle w:val="TableBodyText"/>
                    <w:ind w:right="28"/>
                  </w:pPr>
                  <w:r w:rsidRPr="00C358C1">
                    <w:t>1.229</w:t>
                  </w:r>
                </w:p>
              </w:tc>
              <w:tc>
                <w:tcPr>
                  <w:tcW w:w="631" w:type="pct"/>
                  <w:tcBorders>
                    <w:bottom w:val="single" w:sz="6" w:space="0" w:color="BFBFBF" w:themeColor="background1" w:themeShade="BF"/>
                  </w:tcBorders>
                  <w:vAlign w:val="bottom"/>
                </w:tcPr>
                <w:p w:rsidR="00E6227F" w:rsidRDefault="00E6227F" w:rsidP="00E6227F">
                  <w:pPr>
                    <w:pStyle w:val="TableBodyText"/>
                    <w:ind w:right="28"/>
                  </w:pPr>
                  <w:r w:rsidRPr="00C358C1">
                    <w:t>1.531</w:t>
                  </w:r>
                </w:p>
              </w:tc>
              <w:tc>
                <w:tcPr>
                  <w:tcW w:w="631" w:type="pct"/>
                  <w:tcBorders>
                    <w:bottom w:val="single" w:sz="6" w:space="0" w:color="BFBFBF" w:themeColor="background1" w:themeShade="BF"/>
                  </w:tcBorders>
                  <w:vAlign w:val="bottom"/>
                </w:tcPr>
                <w:p w:rsidR="00E6227F" w:rsidRDefault="00E6227F" w:rsidP="00E6227F">
                  <w:pPr>
                    <w:pStyle w:val="TableBodyText"/>
                    <w:ind w:right="28"/>
                  </w:pPr>
                  <w:r w:rsidRPr="00C358C1">
                    <w:t>1.907</w:t>
                  </w:r>
                </w:p>
              </w:tc>
            </w:tr>
          </w:tbl>
          <w:p w:rsidR="00E6227F" w:rsidRDefault="00E6227F" w:rsidP="00E6227F">
            <w:pPr>
              <w:pStyle w:val="Box"/>
            </w:pPr>
          </w:p>
        </w:tc>
      </w:tr>
      <w:tr w:rsidR="00E6227F" w:rsidTr="00E6227F">
        <w:tc>
          <w:tcPr>
            <w:tcW w:w="5000" w:type="pct"/>
            <w:tcBorders>
              <w:top w:val="nil"/>
              <w:left w:val="nil"/>
              <w:bottom w:val="nil"/>
              <w:right w:val="nil"/>
            </w:tcBorders>
            <w:shd w:val="clear" w:color="auto" w:fill="auto"/>
          </w:tcPr>
          <w:p w:rsidR="00E6227F" w:rsidRDefault="00E6227F" w:rsidP="00E6227F">
            <w:pPr>
              <w:pStyle w:val="Continued"/>
            </w:pPr>
            <w:r>
              <w:t>(continued next page)</w:t>
            </w:r>
          </w:p>
        </w:tc>
      </w:tr>
      <w:tr w:rsidR="00E6227F" w:rsidTr="00E6227F">
        <w:tc>
          <w:tcPr>
            <w:tcW w:w="5000" w:type="pct"/>
            <w:tcBorders>
              <w:top w:val="nil"/>
              <w:left w:val="nil"/>
              <w:bottom w:val="single" w:sz="6" w:space="0" w:color="78A22F"/>
              <w:right w:val="nil"/>
            </w:tcBorders>
            <w:shd w:val="clear" w:color="auto" w:fill="auto"/>
          </w:tcPr>
          <w:p w:rsidR="00E6227F" w:rsidRDefault="00E6227F" w:rsidP="00E6227F">
            <w:pPr>
              <w:pStyle w:val="Box"/>
              <w:spacing w:before="0" w:line="120" w:lineRule="exact"/>
            </w:pPr>
          </w:p>
        </w:tc>
      </w:tr>
      <w:tr w:rsidR="00E6227F" w:rsidRPr="000863A5" w:rsidTr="00E6227F">
        <w:tc>
          <w:tcPr>
            <w:tcW w:w="5000" w:type="pct"/>
            <w:tcBorders>
              <w:top w:val="single" w:sz="6" w:space="0" w:color="78A22F"/>
              <w:left w:val="nil"/>
              <w:bottom w:val="nil"/>
              <w:right w:val="nil"/>
            </w:tcBorders>
          </w:tcPr>
          <w:p w:rsidR="00E6227F" w:rsidRPr="00626D32" w:rsidRDefault="00E6227F" w:rsidP="00E6227F">
            <w:pPr>
              <w:pStyle w:val="BoxSpaceBelow"/>
            </w:pPr>
          </w:p>
        </w:tc>
      </w:tr>
    </w:tbl>
    <w:p w:rsidR="00164D81" w:rsidRDefault="00164D81" w:rsidP="00E6227F">
      <w:pPr>
        <w:pStyle w:val="BodyText"/>
      </w:pPr>
    </w:p>
    <w:p w:rsidR="00164D81" w:rsidRDefault="00164D81" w:rsidP="00164D8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64D81" w:rsidRPr="00784A05" w:rsidTr="00164D81">
        <w:trPr>
          <w:tblHeader/>
        </w:trPr>
        <w:tc>
          <w:tcPr>
            <w:tcW w:w="5000" w:type="pct"/>
            <w:tcBorders>
              <w:top w:val="single" w:sz="6" w:space="0" w:color="78A22F"/>
              <w:left w:val="nil"/>
              <w:bottom w:val="nil"/>
              <w:right w:val="nil"/>
            </w:tcBorders>
            <w:shd w:val="clear" w:color="auto" w:fill="auto"/>
          </w:tcPr>
          <w:p w:rsidR="00164D81" w:rsidRPr="00784A05" w:rsidRDefault="00164D81" w:rsidP="00F414FE">
            <w:pPr>
              <w:pStyle w:val="TableTitle"/>
            </w:pPr>
            <w:r>
              <w:rPr>
                <w:b w:val="0"/>
              </w:rPr>
              <w:t xml:space="preserve">Table </w:t>
            </w:r>
            <w:r w:rsidR="00F76FED">
              <w:rPr>
                <w:b w:val="0"/>
              </w:rPr>
              <w:t>E</w:t>
            </w:r>
            <w:r w:rsidR="00F414FE">
              <w:rPr>
                <w:b w:val="0"/>
              </w:rPr>
              <w:t>.1</w:t>
            </w:r>
            <w:r>
              <w:tab/>
            </w:r>
            <w:r w:rsidRPr="004B358B">
              <w:rPr>
                <w:b w:val="0"/>
                <w:sz w:val="18"/>
                <w:szCs w:val="18"/>
              </w:rPr>
              <w:t>(continued)</w:t>
            </w:r>
          </w:p>
        </w:tc>
      </w:tr>
      <w:tr w:rsidR="00164D81" w:rsidTr="00164D81">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3146"/>
              <w:gridCol w:w="1077"/>
              <w:gridCol w:w="1077"/>
              <w:gridCol w:w="1077"/>
              <w:gridCol w:w="1076"/>
              <w:gridCol w:w="1076"/>
            </w:tblGrid>
            <w:tr w:rsidR="00164D81" w:rsidTr="00F76FED">
              <w:tc>
                <w:tcPr>
                  <w:tcW w:w="1844" w:type="pct"/>
                  <w:tcBorders>
                    <w:top w:val="single" w:sz="6" w:space="0" w:color="BFBFBF" w:themeColor="background1" w:themeShade="BF"/>
                    <w:bottom w:val="single" w:sz="6" w:space="0" w:color="BFBFBF" w:themeColor="background1" w:themeShade="BF"/>
                  </w:tcBorders>
                  <w:shd w:val="clear" w:color="auto" w:fill="auto"/>
                </w:tcPr>
                <w:p w:rsidR="00164D81" w:rsidRDefault="00164D81" w:rsidP="00164D81">
                  <w:pPr>
                    <w:pStyle w:val="TableColumnHeading"/>
                    <w:jc w:val="left"/>
                    <w:rPr>
                      <w:b/>
                    </w:rPr>
                  </w:pPr>
                  <w:r>
                    <w:t>Parameter</w:t>
                  </w:r>
                </w:p>
              </w:tc>
              <w:tc>
                <w:tcPr>
                  <w:tcW w:w="631" w:type="pct"/>
                  <w:tcBorders>
                    <w:top w:val="single" w:sz="6" w:space="0" w:color="BFBFBF" w:themeColor="background1" w:themeShade="BF"/>
                    <w:bottom w:val="single" w:sz="6" w:space="0" w:color="BFBFBF" w:themeColor="background1" w:themeShade="BF"/>
                  </w:tcBorders>
                </w:tcPr>
                <w:p w:rsidR="00164D81" w:rsidRDefault="00164D81" w:rsidP="00164D81">
                  <w:pPr>
                    <w:pStyle w:val="TableColumnHeading"/>
                  </w:pPr>
                  <w:r>
                    <w:t>Mean</w:t>
                  </w:r>
                </w:p>
              </w:tc>
              <w:tc>
                <w:tcPr>
                  <w:tcW w:w="631" w:type="pct"/>
                  <w:tcBorders>
                    <w:top w:val="single" w:sz="6" w:space="0" w:color="BFBFBF" w:themeColor="background1" w:themeShade="BF"/>
                    <w:bottom w:val="single" w:sz="6" w:space="0" w:color="BFBFBF" w:themeColor="background1" w:themeShade="BF"/>
                  </w:tcBorders>
                  <w:shd w:val="clear" w:color="auto" w:fill="auto"/>
                </w:tcPr>
                <w:p w:rsidR="00164D81" w:rsidRDefault="00164D81" w:rsidP="00164D81">
                  <w:pPr>
                    <w:pStyle w:val="TableColumnHeading"/>
                  </w:pPr>
                  <w:r>
                    <w:t>Standard deviation</w:t>
                  </w:r>
                </w:p>
              </w:tc>
              <w:tc>
                <w:tcPr>
                  <w:tcW w:w="631" w:type="pct"/>
                  <w:tcBorders>
                    <w:top w:val="single" w:sz="6" w:space="0" w:color="BFBFBF" w:themeColor="background1" w:themeShade="BF"/>
                    <w:bottom w:val="single" w:sz="6" w:space="0" w:color="BFBFBF" w:themeColor="background1" w:themeShade="BF"/>
                  </w:tcBorders>
                  <w:shd w:val="clear" w:color="auto" w:fill="auto"/>
                </w:tcPr>
                <w:p w:rsidR="00164D81" w:rsidRDefault="00164D81" w:rsidP="00164D81">
                  <w:pPr>
                    <w:pStyle w:val="TableColumnHeading"/>
                  </w:pPr>
                  <w:r>
                    <w:t>2.5 percentile</w:t>
                  </w:r>
                </w:p>
              </w:tc>
              <w:tc>
                <w:tcPr>
                  <w:tcW w:w="631" w:type="pct"/>
                  <w:tcBorders>
                    <w:top w:val="single" w:sz="6" w:space="0" w:color="BFBFBF" w:themeColor="background1" w:themeShade="BF"/>
                    <w:bottom w:val="single" w:sz="6" w:space="0" w:color="BFBFBF" w:themeColor="background1" w:themeShade="BF"/>
                  </w:tcBorders>
                </w:tcPr>
                <w:p w:rsidR="00164D81" w:rsidRDefault="00164D81" w:rsidP="00164D81">
                  <w:pPr>
                    <w:pStyle w:val="TableColumnHeading"/>
                  </w:pPr>
                  <w:r>
                    <w:t>Median</w:t>
                  </w:r>
                </w:p>
              </w:tc>
              <w:tc>
                <w:tcPr>
                  <w:tcW w:w="631" w:type="pct"/>
                  <w:tcBorders>
                    <w:top w:val="single" w:sz="6" w:space="0" w:color="BFBFBF" w:themeColor="background1" w:themeShade="BF"/>
                    <w:bottom w:val="single" w:sz="6" w:space="0" w:color="BFBFBF" w:themeColor="background1" w:themeShade="BF"/>
                  </w:tcBorders>
                </w:tcPr>
                <w:p w:rsidR="00164D81" w:rsidRDefault="00164D81" w:rsidP="00164D81">
                  <w:pPr>
                    <w:pStyle w:val="TableColumnHeading"/>
                  </w:pPr>
                  <w:r>
                    <w:t>97.5 percentile</w:t>
                  </w:r>
                </w:p>
              </w:tc>
            </w:tr>
            <w:tr w:rsidR="00164D81" w:rsidTr="00F76FED">
              <w:tc>
                <w:tcPr>
                  <w:tcW w:w="1844" w:type="pct"/>
                  <w:tcBorders>
                    <w:top w:val="single" w:sz="6" w:space="0" w:color="BFBFBF" w:themeColor="background1" w:themeShade="BF"/>
                  </w:tcBorders>
                  <w:shd w:val="clear" w:color="auto" w:fill="BFBFBF" w:themeFill="background1" w:themeFillShade="BF"/>
                  <w:vAlign w:val="bottom"/>
                </w:tcPr>
                <w:p w:rsidR="00164D81" w:rsidRPr="0099011F" w:rsidRDefault="00164D81" w:rsidP="00164D81">
                  <w:pPr>
                    <w:pStyle w:val="TableBodyText"/>
                    <w:jc w:val="left"/>
                    <w:rPr>
                      <w:b/>
                    </w:rPr>
                  </w:pPr>
                  <w:r w:rsidRPr="009D752A">
                    <w:rPr>
                      <w:b/>
                    </w:rPr>
                    <w:t xml:space="preserve">Pass-through: </w:t>
                  </w:r>
                  <w:r>
                    <w:rPr>
                      <w:b/>
                    </w:rPr>
                    <w:t xml:space="preserve">total </w:t>
                  </w:r>
                  <w:r w:rsidRPr="009D752A">
                    <w:rPr>
                      <w:b/>
                    </w:rPr>
                    <w:t>fees</w:t>
                  </w:r>
                </w:p>
              </w:tc>
              <w:tc>
                <w:tcPr>
                  <w:tcW w:w="631" w:type="pct"/>
                  <w:tcBorders>
                    <w:top w:val="single" w:sz="6" w:space="0" w:color="BFBFBF" w:themeColor="background1" w:themeShade="BF"/>
                  </w:tcBorders>
                  <w:shd w:val="clear" w:color="auto" w:fill="BFBFBF" w:themeFill="background1" w:themeFillShade="BF"/>
                  <w:vAlign w:val="bottom"/>
                </w:tcPr>
                <w:p w:rsidR="00164D81" w:rsidRDefault="00164D81" w:rsidP="00164D81">
                  <w:pPr>
                    <w:pStyle w:val="TableBodyText"/>
                  </w:pPr>
                </w:p>
              </w:tc>
              <w:tc>
                <w:tcPr>
                  <w:tcW w:w="631" w:type="pct"/>
                  <w:tcBorders>
                    <w:top w:val="single" w:sz="6" w:space="0" w:color="BFBFBF" w:themeColor="background1" w:themeShade="BF"/>
                  </w:tcBorders>
                  <w:shd w:val="clear" w:color="auto" w:fill="BFBFBF" w:themeFill="background1" w:themeFillShade="BF"/>
                  <w:vAlign w:val="bottom"/>
                </w:tcPr>
                <w:p w:rsidR="00164D81" w:rsidRDefault="00164D81" w:rsidP="00164D81">
                  <w:pPr>
                    <w:pStyle w:val="TableBodyText"/>
                  </w:pPr>
                </w:p>
              </w:tc>
              <w:tc>
                <w:tcPr>
                  <w:tcW w:w="631" w:type="pct"/>
                  <w:tcBorders>
                    <w:top w:val="single" w:sz="6" w:space="0" w:color="BFBFBF" w:themeColor="background1" w:themeShade="BF"/>
                  </w:tcBorders>
                  <w:shd w:val="clear" w:color="auto" w:fill="BFBFBF" w:themeFill="background1" w:themeFillShade="BF"/>
                  <w:vAlign w:val="bottom"/>
                </w:tcPr>
                <w:p w:rsidR="00164D81" w:rsidRDefault="00164D81" w:rsidP="00164D81">
                  <w:pPr>
                    <w:pStyle w:val="TableBodyText"/>
                    <w:ind w:right="28"/>
                  </w:pPr>
                </w:p>
              </w:tc>
              <w:tc>
                <w:tcPr>
                  <w:tcW w:w="631" w:type="pct"/>
                  <w:tcBorders>
                    <w:top w:val="single" w:sz="6" w:space="0" w:color="BFBFBF" w:themeColor="background1" w:themeShade="BF"/>
                  </w:tcBorders>
                  <w:shd w:val="clear" w:color="auto" w:fill="BFBFBF" w:themeFill="background1" w:themeFillShade="BF"/>
                  <w:vAlign w:val="bottom"/>
                </w:tcPr>
                <w:p w:rsidR="00164D81" w:rsidRDefault="00164D81" w:rsidP="00164D81">
                  <w:pPr>
                    <w:pStyle w:val="TableBodyText"/>
                    <w:ind w:right="28"/>
                  </w:pPr>
                </w:p>
              </w:tc>
              <w:tc>
                <w:tcPr>
                  <w:tcW w:w="631" w:type="pct"/>
                  <w:tcBorders>
                    <w:top w:val="single" w:sz="6" w:space="0" w:color="BFBFBF" w:themeColor="background1" w:themeShade="BF"/>
                  </w:tcBorders>
                  <w:shd w:val="clear" w:color="auto" w:fill="BFBFBF" w:themeFill="background1" w:themeFillShade="BF"/>
                  <w:vAlign w:val="bottom"/>
                </w:tcPr>
                <w:p w:rsidR="00164D81" w:rsidRDefault="00164D81" w:rsidP="00164D81">
                  <w:pPr>
                    <w:pStyle w:val="TableBodyText"/>
                    <w:ind w:right="28"/>
                  </w:pPr>
                </w:p>
              </w:tc>
            </w:tr>
            <w:tr w:rsidR="00164D81" w:rsidTr="00164D81">
              <w:tc>
                <w:tcPr>
                  <w:tcW w:w="1844" w:type="pct"/>
                  <w:shd w:val="clear" w:color="auto" w:fill="auto"/>
                  <w:vAlign w:val="bottom"/>
                </w:tcPr>
                <w:p w:rsidR="00164D81" w:rsidRDefault="00164D81" w:rsidP="00164D81">
                  <w:pPr>
                    <w:pStyle w:val="TableBodyText"/>
                    <w:jc w:val="left"/>
                  </w:pPr>
                  <w:r w:rsidRPr="00C358C1">
                    <w:t>Industry</w:t>
                  </w:r>
                </w:p>
              </w:tc>
              <w:tc>
                <w:tcPr>
                  <w:tcW w:w="631" w:type="pct"/>
                  <w:vAlign w:val="bottom"/>
                </w:tcPr>
                <w:p w:rsidR="00164D81" w:rsidRDefault="00164D81" w:rsidP="00164D81">
                  <w:pPr>
                    <w:pStyle w:val="TableBodyText"/>
                    <w:ind w:right="28"/>
                  </w:pPr>
                  <w:r w:rsidRPr="00C358C1">
                    <w:t>-0.011</w:t>
                  </w:r>
                </w:p>
              </w:tc>
              <w:tc>
                <w:tcPr>
                  <w:tcW w:w="631" w:type="pct"/>
                  <w:shd w:val="clear" w:color="auto" w:fill="auto"/>
                  <w:vAlign w:val="bottom"/>
                </w:tcPr>
                <w:p w:rsidR="00164D81" w:rsidRDefault="00164D81" w:rsidP="00164D81">
                  <w:pPr>
                    <w:pStyle w:val="TableBodyText"/>
                    <w:ind w:right="28"/>
                  </w:pPr>
                  <w:r w:rsidRPr="00C358C1">
                    <w:t>0.025</w:t>
                  </w:r>
                </w:p>
              </w:tc>
              <w:tc>
                <w:tcPr>
                  <w:tcW w:w="631" w:type="pct"/>
                  <w:shd w:val="clear" w:color="auto" w:fill="auto"/>
                  <w:vAlign w:val="bottom"/>
                </w:tcPr>
                <w:p w:rsidR="00164D81" w:rsidRDefault="00164D81" w:rsidP="00164D81">
                  <w:pPr>
                    <w:pStyle w:val="TableBodyText"/>
                    <w:ind w:right="28"/>
                  </w:pPr>
                  <w:r w:rsidRPr="00C358C1">
                    <w:t>-0.057</w:t>
                  </w:r>
                </w:p>
              </w:tc>
              <w:tc>
                <w:tcPr>
                  <w:tcW w:w="631" w:type="pct"/>
                  <w:vAlign w:val="bottom"/>
                </w:tcPr>
                <w:p w:rsidR="00164D81" w:rsidRDefault="00164D81" w:rsidP="00164D81">
                  <w:pPr>
                    <w:pStyle w:val="TableBodyText"/>
                    <w:ind w:right="28"/>
                  </w:pPr>
                  <w:r w:rsidRPr="00C358C1">
                    <w:t>-0.012</w:t>
                  </w:r>
                </w:p>
              </w:tc>
              <w:tc>
                <w:tcPr>
                  <w:tcW w:w="631" w:type="pct"/>
                  <w:vAlign w:val="bottom"/>
                </w:tcPr>
                <w:p w:rsidR="00164D81" w:rsidRDefault="00164D81" w:rsidP="00164D81">
                  <w:pPr>
                    <w:pStyle w:val="TableBodyText"/>
                    <w:ind w:right="28"/>
                  </w:pPr>
                  <w:r w:rsidRPr="00C358C1">
                    <w:t>0.041</w:t>
                  </w:r>
                </w:p>
              </w:tc>
            </w:tr>
            <w:tr w:rsidR="00164D81" w:rsidTr="00F76FED">
              <w:tc>
                <w:tcPr>
                  <w:tcW w:w="1844" w:type="pct"/>
                  <w:shd w:val="clear" w:color="auto" w:fill="F2F2F2" w:themeFill="background1" w:themeFillShade="F2"/>
                  <w:vAlign w:val="bottom"/>
                </w:tcPr>
                <w:p w:rsidR="00164D81" w:rsidRDefault="00164D81" w:rsidP="00164D81">
                  <w:pPr>
                    <w:pStyle w:val="TableBodyText"/>
                    <w:jc w:val="left"/>
                  </w:pPr>
                  <w:r w:rsidRPr="00C358C1">
                    <w:t>Public</w:t>
                  </w:r>
                </w:p>
              </w:tc>
              <w:tc>
                <w:tcPr>
                  <w:tcW w:w="631" w:type="pct"/>
                  <w:shd w:val="clear" w:color="auto" w:fill="F2F2F2" w:themeFill="background1" w:themeFillShade="F2"/>
                  <w:vAlign w:val="bottom"/>
                </w:tcPr>
                <w:p w:rsidR="00164D81" w:rsidRDefault="00164D81" w:rsidP="00164D81">
                  <w:pPr>
                    <w:pStyle w:val="TableBodyText"/>
                    <w:ind w:right="28"/>
                  </w:pPr>
                  <w:r w:rsidRPr="00C358C1">
                    <w:t>0.015</w:t>
                  </w:r>
                </w:p>
              </w:tc>
              <w:tc>
                <w:tcPr>
                  <w:tcW w:w="631" w:type="pct"/>
                  <w:shd w:val="clear" w:color="auto" w:fill="F2F2F2" w:themeFill="background1" w:themeFillShade="F2"/>
                  <w:vAlign w:val="bottom"/>
                </w:tcPr>
                <w:p w:rsidR="00164D81" w:rsidRDefault="00164D81" w:rsidP="00164D81">
                  <w:pPr>
                    <w:pStyle w:val="TableBodyText"/>
                    <w:ind w:right="28"/>
                  </w:pPr>
                  <w:r w:rsidRPr="00C358C1">
                    <w:t>0.031</w:t>
                  </w:r>
                </w:p>
              </w:tc>
              <w:tc>
                <w:tcPr>
                  <w:tcW w:w="631" w:type="pct"/>
                  <w:shd w:val="clear" w:color="auto" w:fill="F2F2F2" w:themeFill="background1" w:themeFillShade="F2"/>
                  <w:vAlign w:val="bottom"/>
                </w:tcPr>
                <w:p w:rsidR="00164D81" w:rsidRDefault="00164D81" w:rsidP="00164D81">
                  <w:pPr>
                    <w:pStyle w:val="TableBodyText"/>
                    <w:ind w:right="28"/>
                  </w:pPr>
                  <w:r w:rsidRPr="00C358C1">
                    <w:t>-0.043</w:t>
                  </w:r>
                </w:p>
              </w:tc>
              <w:tc>
                <w:tcPr>
                  <w:tcW w:w="631" w:type="pct"/>
                  <w:shd w:val="clear" w:color="auto" w:fill="F2F2F2" w:themeFill="background1" w:themeFillShade="F2"/>
                  <w:vAlign w:val="bottom"/>
                </w:tcPr>
                <w:p w:rsidR="00164D81" w:rsidRDefault="00164D81" w:rsidP="00164D81">
                  <w:pPr>
                    <w:pStyle w:val="TableBodyText"/>
                    <w:ind w:right="28"/>
                  </w:pPr>
                  <w:r w:rsidRPr="00C358C1">
                    <w:t>0.014</w:t>
                  </w:r>
                </w:p>
              </w:tc>
              <w:tc>
                <w:tcPr>
                  <w:tcW w:w="631" w:type="pct"/>
                  <w:shd w:val="clear" w:color="auto" w:fill="F2F2F2" w:themeFill="background1" w:themeFillShade="F2"/>
                  <w:vAlign w:val="bottom"/>
                </w:tcPr>
                <w:p w:rsidR="00164D81" w:rsidRDefault="00164D81" w:rsidP="00164D81">
                  <w:pPr>
                    <w:pStyle w:val="TableBodyText"/>
                    <w:ind w:right="28"/>
                  </w:pPr>
                  <w:r w:rsidRPr="00C358C1">
                    <w:t>0.076</w:t>
                  </w:r>
                </w:p>
              </w:tc>
            </w:tr>
            <w:tr w:rsidR="00164D81" w:rsidTr="00164D81">
              <w:tc>
                <w:tcPr>
                  <w:tcW w:w="1844" w:type="pct"/>
                  <w:shd w:val="clear" w:color="auto" w:fill="auto"/>
                  <w:vAlign w:val="bottom"/>
                </w:tcPr>
                <w:p w:rsidR="00164D81" w:rsidRDefault="00164D81" w:rsidP="00164D81">
                  <w:pPr>
                    <w:pStyle w:val="TableBodyText"/>
                    <w:jc w:val="left"/>
                  </w:pPr>
                  <w:r w:rsidRPr="00C358C1">
                    <w:t>Retail</w:t>
                  </w:r>
                </w:p>
              </w:tc>
              <w:tc>
                <w:tcPr>
                  <w:tcW w:w="631" w:type="pct"/>
                  <w:vAlign w:val="bottom"/>
                </w:tcPr>
                <w:p w:rsidR="00164D81" w:rsidRDefault="00164D81" w:rsidP="00164D81">
                  <w:pPr>
                    <w:pStyle w:val="TableBodyText"/>
                    <w:ind w:right="28"/>
                  </w:pPr>
                  <w:r w:rsidRPr="00C358C1">
                    <w:t>-0.023</w:t>
                  </w:r>
                </w:p>
              </w:tc>
              <w:tc>
                <w:tcPr>
                  <w:tcW w:w="631" w:type="pct"/>
                  <w:shd w:val="clear" w:color="auto" w:fill="auto"/>
                  <w:vAlign w:val="bottom"/>
                </w:tcPr>
                <w:p w:rsidR="00164D81" w:rsidRDefault="00164D81" w:rsidP="00164D81">
                  <w:pPr>
                    <w:pStyle w:val="TableBodyText"/>
                    <w:ind w:right="28"/>
                  </w:pPr>
                  <w:r w:rsidRPr="00C358C1">
                    <w:t>0.025</w:t>
                  </w:r>
                </w:p>
              </w:tc>
              <w:tc>
                <w:tcPr>
                  <w:tcW w:w="631" w:type="pct"/>
                  <w:shd w:val="clear" w:color="auto" w:fill="auto"/>
                  <w:vAlign w:val="bottom"/>
                </w:tcPr>
                <w:p w:rsidR="00164D81" w:rsidRDefault="00164D81" w:rsidP="00164D81">
                  <w:pPr>
                    <w:pStyle w:val="TableBodyText"/>
                    <w:ind w:right="28"/>
                  </w:pPr>
                  <w:r w:rsidRPr="00C358C1">
                    <w:t>-0.069</w:t>
                  </w:r>
                </w:p>
              </w:tc>
              <w:tc>
                <w:tcPr>
                  <w:tcW w:w="631" w:type="pct"/>
                  <w:vAlign w:val="bottom"/>
                </w:tcPr>
                <w:p w:rsidR="00164D81" w:rsidRDefault="00164D81" w:rsidP="00164D81">
                  <w:pPr>
                    <w:pStyle w:val="TableBodyText"/>
                    <w:ind w:right="28"/>
                  </w:pPr>
                  <w:r w:rsidRPr="00C358C1">
                    <w:t>-0.023</w:t>
                  </w:r>
                </w:p>
              </w:tc>
              <w:tc>
                <w:tcPr>
                  <w:tcW w:w="631" w:type="pct"/>
                  <w:vAlign w:val="bottom"/>
                </w:tcPr>
                <w:p w:rsidR="00164D81" w:rsidRDefault="00164D81" w:rsidP="00164D81">
                  <w:pPr>
                    <w:pStyle w:val="TableBodyText"/>
                    <w:ind w:right="28"/>
                  </w:pPr>
                  <w:r w:rsidRPr="00C358C1">
                    <w:t>0.025</w:t>
                  </w:r>
                </w:p>
              </w:tc>
            </w:tr>
            <w:tr w:rsidR="00164D81" w:rsidTr="00F76FED">
              <w:tc>
                <w:tcPr>
                  <w:tcW w:w="1844" w:type="pct"/>
                  <w:shd w:val="clear" w:color="auto" w:fill="F2F2F2" w:themeFill="background1" w:themeFillShade="F2"/>
                  <w:vAlign w:val="bottom"/>
                </w:tcPr>
                <w:p w:rsidR="00164D81" w:rsidRDefault="00164D81" w:rsidP="00164D81">
                  <w:pPr>
                    <w:pStyle w:val="TableBodyText"/>
                    <w:jc w:val="left"/>
                  </w:pPr>
                  <w:r w:rsidRPr="00C358C1">
                    <w:t>Change in total expenses due to size</w:t>
                  </w:r>
                </w:p>
              </w:tc>
              <w:tc>
                <w:tcPr>
                  <w:tcW w:w="631" w:type="pct"/>
                  <w:shd w:val="clear" w:color="auto" w:fill="F2F2F2" w:themeFill="background1" w:themeFillShade="F2"/>
                  <w:vAlign w:val="bottom"/>
                </w:tcPr>
                <w:p w:rsidR="00164D81" w:rsidRDefault="00164D81" w:rsidP="00164D81">
                  <w:pPr>
                    <w:pStyle w:val="TableBodyText"/>
                    <w:ind w:right="28"/>
                  </w:pPr>
                  <w:r w:rsidRPr="00C358C1">
                    <w:t>0.086</w:t>
                  </w:r>
                </w:p>
              </w:tc>
              <w:tc>
                <w:tcPr>
                  <w:tcW w:w="631" w:type="pct"/>
                  <w:shd w:val="clear" w:color="auto" w:fill="F2F2F2" w:themeFill="background1" w:themeFillShade="F2"/>
                  <w:vAlign w:val="bottom"/>
                </w:tcPr>
                <w:p w:rsidR="00164D81" w:rsidRDefault="00164D81" w:rsidP="00164D81">
                  <w:pPr>
                    <w:pStyle w:val="TableBodyText"/>
                    <w:ind w:right="28"/>
                  </w:pPr>
                  <w:r w:rsidRPr="00C358C1">
                    <w:t>0.206</w:t>
                  </w:r>
                </w:p>
              </w:tc>
              <w:tc>
                <w:tcPr>
                  <w:tcW w:w="631" w:type="pct"/>
                  <w:shd w:val="clear" w:color="auto" w:fill="F2F2F2" w:themeFill="background1" w:themeFillShade="F2"/>
                  <w:vAlign w:val="bottom"/>
                </w:tcPr>
                <w:p w:rsidR="00164D81" w:rsidRDefault="00164D81" w:rsidP="00164D81">
                  <w:pPr>
                    <w:pStyle w:val="TableBodyText"/>
                    <w:ind w:right="28"/>
                  </w:pPr>
                  <w:r w:rsidRPr="00C358C1">
                    <w:t>-0.321</w:t>
                  </w:r>
                </w:p>
              </w:tc>
              <w:tc>
                <w:tcPr>
                  <w:tcW w:w="631" w:type="pct"/>
                  <w:shd w:val="clear" w:color="auto" w:fill="F2F2F2" w:themeFill="background1" w:themeFillShade="F2"/>
                  <w:vAlign w:val="bottom"/>
                </w:tcPr>
                <w:p w:rsidR="00164D81" w:rsidRDefault="00164D81" w:rsidP="00164D81">
                  <w:pPr>
                    <w:pStyle w:val="TableBodyText"/>
                    <w:ind w:right="28"/>
                  </w:pPr>
                  <w:r w:rsidRPr="00C358C1">
                    <w:t>0.094</w:t>
                  </w:r>
                </w:p>
              </w:tc>
              <w:tc>
                <w:tcPr>
                  <w:tcW w:w="631" w:type="pct"/>
                  <w:shd w:val="clear" w:color="auto" w:fill="F2F2F2" w:themeFill="background1" w:themeFillShade="F2"/>
                  <w:vAlign w:val="bottom"/>
                </w:tcPr>
                <w:p w:rsidR="00164D81" w:rsidRDefault="00164D81" w:rsidP="00164D81">
                  <w:pPr>
                    <w:pStyle w:val="TableBodyText"/>
                    <w:ind w:right="28"/>
                  </w:pPr>
                  <w:r w:rsidRPr="00C358C1">
                    <w:t>0.488</w:t>
                  </w:r>
                </w:p>
              </w:tc>
            </w:tr>
            <w:tr w:rsidR="00164D81" w:rsidTr="00164D81">
              <w:tc>
                <w:tcPr>
                  <w:tcW w:w="1844" w:type="pct"/>
                  <w:shd w:val="clear" w:color="auto" w:fill="auto"/>
                  <w:vAlign w:val="bottom"/>
                </w:tcPr>
                <w:p w:rsidR="00164D81" w:rsidRDefault="00164D81" w:rsidP="00164D81">
                  <w:pPr>
                    <w:pStyle w:val="TableBodyText"/>
                    <w:jc w:val="left"/>
                  </w:pPr>
                  <w:r w:rsidRPr="00C358C1">
                    <w:t>Industry x Change in total expenses due to size</w:t>
                  </w:r>
                </w:p>
              </w:tc>
              <w:tc>
                <w:tcPr>
                  <w:tcW w:w="631" w:type="pct"/>
                  <w:vAlign w:val="bottom"/>
                </w:tcPr>
                <w:p w:rsidR="00164D81" w:rsidRDefault="00164D81" w:rsidP="00164D81">
                  <w:pPr>
                    <w:pStyle w:val="TableBodyText"/>
                    <w:ind w:right="28"/>
                  </w:pPr>
                  <w:r w:rsidRPr="00C358C1">
                    <w:t>0.189</w:t>
                  </w:r>
                </w:p>
              </w:tc>
              <w:tc>
                <w:tcPr>
                  <w:tcW w:w="631" w:type="pct"/>
                  <w:shd w:val="clear" w:color="auto" w:fill="auto"/>
                  <w:vAlign w:val="bottom"/>
                </w:tcPr>
                <w:p w:rsidR="00164D81" w:rsidRDefault="00164D81" w:rsidP="00164D81">
                  <w:pPr>
                    <w:pStyle w:val="TableBodyText"/>
                    <w:ind w:right="28"/>
                  </w:pPr>
                  <w:r w:rsidRPr="00C358C1">
                    <w:t>0.232</w:t>
                  </w:r>
                </w:p>
              </w:tc>
              <w:tc>
                <w:tcPr>
                  <w:tcW w:w="631" w:type="pct"/>
                  <w:shd w:val="clear" w:color="auto" w:fill="auto"/>
                  <w:vAlign w:val="bottom"/>
                </w:tcPr>
                <w:p w:rsidR="00164D81" w:rsidRDefault="00164D81" w:rsidP="00164D81">
                  <w:pPr>
                    <w:pStyle w:val="TableBodyText"/>
                    <w:ind w:right="28"/>
                  </w:pPr>
                  <w:r w:rsidRPr="00C358C1">
                    <w:t>-0.260</w:t>
                  </w:r>
                </w:p>
              </w:tc>
              <w:tc>
                <w:tcPr>
                  <w:tcW w:w="631" w:type="pct"/>
                  <w:vAlign w:val="bottom"/>
                </w:tcPr>
                <w:p w:rsidR="00164D81" w:rsidRDefault="00164D81" w:rsidP="00164D81">
                  <w:pPr>
                    <w:pStyle w:val="TableBodyText"/>
                    <w:ind w:right="28"/>
                  </w:pPr>
                  <w:r w:rsidRPr="00C358C1">
                    <w:t>0.185</w:t>
                  </w:r>
                </w:p>
              </w:tc>
              <w:tc>
                <w:tcPr>
                  <w:tcW w:w="631" w:type="pct"/>
                  <w:vAlign w:val="bottom"/>
                </w:tcPr>
                <w:p w:rsidR="00164D81" w:rsidRDefault="00164D81" w:rsidP="00164D81">
                  <w:pPr>
                    <w:pStyle w:val="TableBodyText"/>
                    <w:ind w:right="28"/>
                  </w:pPr>
                  <w:r w:rsidRPr="00C358C1">
                    <w:t>0.665</w:t>
                  </w:r>
                </w:p>
              </w:tc>
            </w:tr>
            <w:tr w:rsidR="00164D81" w:rsidTr="00F76FED">
              <w:tc>
                <w:tcPr>
                  <w:tcW w:w="1844" w:type="pct"/>
                  <w:shd w:val="clear" w:color="auto" w:fill="F2F2F2" w:themeFill="background1" w:themeFillShade="F2"/>
                  <w:vAlign w:val="bottom"/>
                </w:tcPr>
                <w:p w:rsidR="00164D81" w:rsidRDefault="00164D81" w:rsidP="00164D81">
                  <w:pPr>
                    <w:pStyle w:val="TableBodyText"/>
                    <w:jc w:val="left"/>
                  </w:pPr>
                  <w:r w:rsidRPr="00C358C1">
                    <w:t>Public x Change in total expenses due to size</w:t>
                  </w:r>
                </w:p>
              </w:tc>
              <w:tc>
                <w:tcPr>
                  <w:tcW w:w="631" w:type="pct"/>
                  <w:shd w:val="clear" w:color="auto" w:fill="F2F2F2" w:themeFill="background1" w:themeFillShade="F2"/>
                  <w:vAlign w:val="bottom"/>
                </w:tcPr>
                <w:p w:rsidR="00164D81" w:rsidRDefault="00164D81" w:rsidP="00164D81">
                  <w:pPr>
                    <w:pStyle w:val="TableBodyText"/>
                    <w:ind w:right="28"/>
                  </w:pPr>
                  <w:r w:rsidRPr="00C358C1">
                    <w:t>-0.043</w:t>
                  </w:r>
                </w:p>
              </w:tc>
              <w:tc>
                <w:tcPr>
                  <w:tcW w:w="631" w:type="pct"/>
                  <w:shd w:val="clear" w:color="auto" w:fill="F2F2F2" w:themeFill="background1" w:themeFillShade="F2"/>
                  <w:vAlign w:val="bottom"/>
                </w:tcPr>
                <w:p w:rsidR="00164D81" w:rsidRDefault="00164D81" w:rsidP="00164D81">
                  <w:pPr>
                    <w:pStyle w:val="TableBodyText"/>
                    <w:ind w:right="28"/>
                  </w:pPr>
                  <w:r w:rsidRPr="00C358C1">
                    <w:t>0.276</w:t>
                  </w:r>
                </w:p>
              </w:tc>
              <w:tc>
                <w:tcPr>
                  <w:tcW w:w="631" w:type="pct"/>
                  <w:shd w:val="clear" w:color="auto" w:fill="F2F2F2" w:themeFill="background1" w:themeFillShade="F2"/>
                  <w:vAlign w:val="bottom"/>
                </w:tcPr>
                <w:p w:rsidR="00164D81" w:rsidRDefault="00164D81" w:rsidP="00164D81">
                  <w:pPr>
                    <w:pStyle w:val="TableBodyText"/>
                    <w:ind w:right="28"/>
                  </w:pPr>
                  <w:r w:rsidRPr="00C358C1">
                    <w:t>-0.584</w:t>
                  </w:r>
                </w:p>
              </w:tc>
              <w:tc>
                <w:tcPr>
                  <w:tcW w:w="631" w:type="pct"/>
                  <w:shd w:val="clear" w:color="auto" w:fill="F2F2F2" w:themeFill="background1" w:themeFillShade="F2"/>
                  <w:vAlign w:val="bottom"/>
                </w:tcPr>
                <w:p w:rsidR="00164D81" w:rsidRDefault="00164D81" w:rsidP="00164D81">
                  <w:pPr>
                    <w:pStyle w:val="TableBodyText"/>
                    <w:ind w:right="28"/>
                  </w:pPr>
                  <w:r w:rsidRPr="00C358C1">
                    <w:t>-0.036</w:t>
                  </w:r>
                </w:p>
              </w:tc>
              <w:tc>
                <w:tcPr>
                  <w:tcW w:w="631" w:type="pct"/>
                  <w:shd w:val="clear" w:color="auto" w:fill="F2F2F2" w:themeFill="background1" w:themeFillShade="F2"/>
                  <w:vAlign w:val="bottom"/>
                </w:tcPr>
                <w:p w:rsidR="00164D81" w:rsidRDefault="00164D81" w:rsidP="00164D81">
                  <w:pPr>
                    <w:pStyle w:val="TableBodyText"/>
                    <w:ind w:right="28"/>
                  </w:pPr>
                  <w:r w:rsidRPr="00C358C1">
                    <w:t>0.498</w:t>
                  </w:r>
                </w:p>
              </w:tc>
            </w:tr>
            <w:tr w:rsidR="00164D81" w:rsidTr="00164D81">
              <w:tc>
                <w:tcPr>
                  <w:tcW w:w="1844" w:type="pct"/>
                  <w:shd w:val="clear" w:color="auto" w:fill="auto"/>
                  <w:vAlign w:val="bottom"/>
                </w:tcPr>
                <w:p w:rsidR="00164D81" w:rsidRDefault="00164D81" w:rsidP="00164D81">
                  <w:pPr>
                    <w:pStyle w:val="TableBodyText"/>
                    <w:jc w:val="left"/>
                  </w:pPr>
                  <w:r w:rsidRPr="00C358C1">
                    <w:t>Retail x Change in total expenses due to size</w:t>
                  </w:r>
                </w:p>
              </w:tc>
              <w:tc>
                <w:tcPr>
                  <w:tcW w:w="631" w:type="pct"/>
                  <w:vAlign w:val="bottom"/>
                </w:tcPr>
                <w:p w:rsidR="00164D81" w:rsidRDefault="00164D81" w:rsidP="00164D81">
                  <w:pPr>
                    <w:pStyle w:val="TableBodyText"/>
                    <w:ind w:right="28"/>
                  </w:pPr>
                  <w:r w:rsidRPr="00C358C1">
                    <w:t>-0.141</w:t>
                  </w:r>
                </w:p>
              </w:tc>
              <w:tc>
                <w:tcPr>
                  <w:tcW w:w="631" w:type="pct"/>
                  <w:shd w:val="clear" w:color="auto" w:fill="auto"/>
                  <w:vAlign w:val="bottom"/>
                </w:tcPr>
                <w:p w:rsidR="00164D81" w:rsidRDefault="00164D81" w:rsidP="00164D81">
                  <w:pPr>
                    <w:pStyle w:val="TableBodyText"/>
                    <w:ind w:right="28"/>
                  </w:pPr>
                  <w:r w:rsidRPr="00C358C1">
                    <w:t>0.222</w:t>
                  </w:r>
                </w:p>
              </w:tc>
              <w:tc>
                <w:tcPr>
                  <w:tcW w:w="631" w:type="pct"/>
                  <w:shd w:val="clear" w:color="auto" w:fill="auto"/>
                  <w:vAlign w:val="bottom"/>
                </w:tcPr>
                <w:p w:rsidR="00164D81" w:rsidRDefault="00164D81" w:rsidP="00164D81">
                  <w:pPr>
                    <w:pStyle w:val="TableBodyText"/>
                    <w:ind w:right="28"/>
                  </w:pPr>
                  <w:r w:rsidRPr="00C358C1">
                    <w:t>-0.554</w:t>
                  </w:r>
                </w:p>
              </w:tc>
              <w:tc>
                <w:tcPr>
                  <w:tcW w:w="631" w:type="pct"/>
                  <w:vAlign w:val="bottom"/>
                </w:tcPr>
                <w:p w:rsidR="00164D81" w:rsidRDefault="00164D81" w:rsidP="00164D81">
                  <w:pPr>
                    <w:pStyle w:val="TableBodyText"/>
                    <w:ind w:right="28"/>
                  </w:pPr>
                  <w:r w:rsidRPr="00C358C1">
                    <w:t>-0.145</w:t>
                  </w:r>
                </w:p>
              </w:tc>
              <w:tc>
                <w:tcPr>
                  <w:tcW w:w="631" w:type="pct"/>
                  <w:vAlign w:val="bottom"/>
                </w:tcPr>
                <w:p w:rsidR="00164D81" w:rsidRDefault="00164D81" w:rsidP="00164D81">
                  <w:pPr>
                    <w:pStyle w:val="TableBodyText"/>
                    <w:ind w:right="28"/>
                  </w:pPr>
                  <w:r w:rsidRPr="00C358C1">
                    <w:t>0.288</w:t>
                  </w:r>
                </w:p>
              </w:tc>
            </w:tr>
            <w:tr w:rsidR="00164D81" w:rsidTr="00F76FED">
              <w:tc>
                <w:tcPr>
                  <w:tcW w:w="1844" w:type="pct"/>
                  <w:shd w:val="clear" w:color="auto" w:fill="F2F2F2" w:themeFill="background1" w:themeFillShade="F2"/>
                  <w:vAlign w:val="bottom"/>
                </w:tcPr>
                <w:p w:rsidR="00164D81" w:rsidRDefault="00164D81" w:rsidP="00164D81">
                  <w:pPr>
                    <w:pStyle w:val="TableBodyText"/>
                    <w:jc w:val="left"/>
                  </w:pPr>
                  <w:r w:rsidRPr="00C358C1">
                    <w:t>Intercept</w:t>
                  </w:r>
                </w:p>
              </w:tc>
              <w:tc>
                <w:tcPr>
                  <w:tcW w:w="631" w:type="pct"/>
                  <w:shd w:val="clear" w:color="auto" w:fill="F2F2F2" w:themeFill="background1" w:themeFillShade="F2"/>
                  <w:vAlign w:val="bottom"/>
                </w:tcPr>
                <w:p w:rsidR="00164D81" w:rsidRDefault="00164D81" w:rsidP="00164D81">
                  <w:pPr>
                    <w:pStyle w:val="TableBodyText"/>
                    <w:ind w:right="28"/>
                  </w:pPr>
                  <w:r w:rsidRPr="00C358C1">
                    <w:t>0.017</w:t>
                  </w:r>
                </w:p>
              </w:tc>
              <w:tc>
                <w:tcPr>
                  <w:tcW w:w="631" w:type="pct"/>
                  <w:shd w:val="clear" w:color="auto" w:fill="F2F2F2" w:themeFill="background1" w:themeFillShade="F2"/>
                  <w:vAlign w:val="bottom"/>
                </w:tcPr>
                <w:p w:rsidR="00164D81" w:rsidRDefault="00164D81" w:rsidP="00164D81">
                  <w:pPr>
                    <w:pStyle w:val="TableBodyText"/>
                    <w:ind w:right="28"/>
                  </w:pPr>
                  <w:r w:rsidRPr="00C358C1">
                    <w:t>0.022</w:t>
                  </w:r>
                </w:p>
              </w:tc>
              <w:tc>
                <w:tcPr>
                  <w:tcW w:w="631" w:type="pct"/>
                  <w:shd w:val="clear" w:color="auto" w:fill="F2F2F2" w:themeFill="background1" w:themeFillShade="F2"/>
                  <w:vAlign w:val="bottom"/>
                </w:tcPr>
                <w:p w:rsidR="00164D81" w:rsidRDefault="00164D81" w:rsidP="00164D81">
                  <w:pPr>
                    <w:pStyle w:val="TableBodyText"/>
                    <w:ind w:right="28"/>
                  </w:pPr>
                  <w:r w:rsidRPr="00C358C1">
                    <w:t>-0.027</w:t>
                  </w:r>
                </w:p>
              </w:tc>
              <w:tc>
                <w:tcPr>
                  <w:tcW w:w="631" w:type="pct"/>
                  <w:shd w:val="clear" w:color="auto" w:fill="F2F2F2" w:themeFill="background1" w:themeFillShade="F2"/>
                  <w:vAlign w:val="bottom"/>
                </w:tcPr>
                <w:p w:rsidR="00164D81" w:rsidRDefault="00164D81" w:rsidP="00164D81">
                  <w:pPr>
                    <w:pStyle w:val="TableBodyText"/>
                    <w:ind w:right="28"/>
                  </w:pPr>
                  <w:r w:rsidRPr="00C358C1">
                    <w:t>0.018</w:t>
                  </w:r>
                </w:p>
              </w:tc>
              <w:tc>
                <w:tcPr>
                  <w:tcW w:w="631" w:type="pct"/>
                  <w:shd w:val="clear" w:color="auto" w:fill="F2F2F2" w:themeFill="background1" w:themeFillShade="F2"/>
                  <w:vAlign w:val="bottom"/>
                </w:tcPr>
                <w:p w:rsidR="00164D81" w:rsidRDefault="00164D81" w:rsidP="00164D81">
                  <w:pPr>
                    <w:pStyle w:val="TableBodyText"/>
                    <w:ind w:right="28"/>
                  </w:pPr>
                  <w:r w:rsidRPr="00C358C1">
                    <w:t>0.059</w:t>
                  </w:r>
                </w:p>
              </w:tc>
            </w:tr>
            <w:tr w:rsidR="00164D81" w:rsidTr="00164D81">
              <w:tc>
                <w:tcPr>
                  <w:tcW w:w="1844" w:type="pct"/>
                  <w:shd w:val="clear" w:color="auto" w:fill="auto"/>
                  <w:vAlign w:val="bottom"/>
                </w:tcPr>
                <w:p w:rsidR="00164D81" w:rsidRDefault="00164D81" w:rsidP="00164D81">
                  <w:pPr>
                    <w:pStyle w:val="TableBodyText"/>
                    <w:jc w:val="left"/>
                  </w:pPr>
                  <w:r w:rsidRPr="00C358C1">
                    <w:t>SD of total pass-through</w:t>
                  </w:r>
                </w:p>
              </w:tc>
              <w:tc>
                <w:tcPr>
                  <w:tcW w:w="631" w:type="pct"/>
                  <w:vAlign w:val="bottom"/>
                </w:tcPr>
                <w:p w:rsidR="00164D81" w:rsidRDefault="00164D81" w:rsidP="00164D81">
                  <w:pPr>
                    <w:pStyle w:val="TableBodyText"/>
                    <w:ind w:right="28"/>
                  </w:pPr>
                  <w:r w:rsidRPr="00C358C1">
                    <w:t>0.172</w:t>
                  </w:r>
                </w:p>
              </w:tc>
              <w:tc>
                <w:tcPr>
                  <w:tcW w:w="631" w:type="pct"/>
                  <w:shd w:val="clear" w:color="auto" w:fill="auto"/>
                  <w:vAlign w:val="bottom"/>
                </w:tcPr>
                <w:p w:rsidR="00164D81" w:rsidRDefault="00164D81" w:rsidP="00164D81">
                  <w:pPr>
                    <w:pStyle w:val="TableBodyText"/>
                    <w:ind w:right="28"/>
                  </w:pPr>
                  <w:r w:rsidRPr="00C358C1">
                    <w:t>0.004</w:t>
                  </w:r>
                </w:p>
              </w:tc>
              <w:tc>
                <w:tcPr>
                  <w:tcW w:w="631" w:type="pct"/>
                  <w:shd w:val="clear" w:color="auto" w:fill="auto"/>
                  <w:vAlign w:val="bottom"/>
                </w:tcPr>
                <w:p w:rsidR="00164D81" w:rsidRDefault="00164D81" w:rsidP="00164D81">
                  <w:pPr>
                    <w:pStyle w:val="TableBodyText"/>
                    <w:ind w:right="28"/>
                  </w:pPr>
                  <w:r w:rsidRPr="00C358C1">
                    <w:t>0.165</w:t>
                  </w:r>
                </w:p>
              </w:tc>
              <w:tc>
                <w:tcPr>
                  <w:tcW w:w="631" w:type="pct"/>
                  <w:vAlign w:val="bottom"/>
                </w:tcPr>
                <w:p w:rsidR="00164D81" w:rsidRDefault="00164D81" w:rsidP="00164D81">
                  <w:pPr>
                    <w:pStyle w:val="TableBodyText"/>
                    <w:ind w:right="28"/>
                  </w:pPr>
                  <w:r w:rsidRPr="00C358C1">
                    <w:t>0.172</w:t>
                  </w:r>
                </w:p>
              </w:tc>
              <w:tc>
                <w:tcPr>
                  <w:tcW w:w="631" w:type="pct"/>
                  <w:vAlign w:val="bottom"/>
                </w:tcPr>
                <w:p w:rsidR="00164D81" w:rsidRDefault="00164D81" w:rsidP="00164D81">
                  <w:pPr>
                    <w:pStyle w:val="TableBodyText"/>
                    <w:ind w:right="28"/>
                  </w:pPr>
                  <w:r w:rsidRPr="00C358C1">
                    <w:t>0.180</w:t>
                  </w:r>
                </w:p>
              </w:tc>
            </w:tr>
            <w:tr w:rsidR="00164D81" w:rsidTr="00F76FED">
              <w:tc>
                <w:tcPr>
                  <w:tcW w:w="1844" w:type="pct"/>
                  <w:shd w:val="clear" w:color="auto" w:fill="F2F2F2" w:themeFill="background1" w:themeFillShade="F2"/>
                  <w:vAlign w:val="bottom"/>
                </w:tcPr>
                <w:p w:rsidR="00164D81" w:rsidRDefault="00164D81" w:rsidP="00164D81">
                  <w:pPr>
                    <w:pStyle w:val="TableBodyText"/>
                    <w:jc w:val="left"/>
                  </w:pPr>
                  <w:r w:rsidRPr="00C358C1">
                    <w:t>SD of varying intercept</w:t>
                  </w:r>
                </w:p>
              </w:tc>
              <w:tc>
                <w:tcPr>
                  <w:tcW w:w="631" w:type="pct"/>
                  <w:shd w:val="clear" w:color="auto" w:fill="F2F2F2" w:themeFill="background1" w:themeFillShade="F2"/>
                  <w:vAlign w:val="bottom"/>
                </w:tcPr>
                <w:p w:rsidR="00164D81" w:rsidRDefault="00164D81" w:rsidP="00164D81">
                  <w:pPr>
                    <w:pStyle w:val="TableBodyText"/>
                    <w:ind w:right="28"/>
                  </w:pPr>
                  <w:r w:rsidRPr="00C358C1">
                    <w:t>0.043</w:t>
                  </w:r>
                </w:p>
              </w:tc>
              <w:tc>
                <w:tcPr>
                  <w:tcW w:w="631" w:type="pct"/>
                  <w:shd w:val="clear" w:color="auto" w:fill="F2F2F2" w:themeFill="background1" w:themeFillShade="F2"/>
                  <w:vAlign w:val="bottom"/>
                </w:tcPr>
                <w:p w:rsidR="00164D81" w:rsidRDefault="00164D81" w:rsidP="00164D81">
                  <w:pPr>
                    <w:pStyle w:val="TableBodyText"/>
                    <w:ind w:right="28"/>
                  </w:pPr>
                  <w:r w:rsidRPr="00C358C1">
                    <w:t>0.005</w:t>
                  </w:r>
                </w:p>
              </w:tc>
              <w:tc>
                <w:tcPr>
                  <w:tcW w:w="631" w:type="pct"/>
                  <w:shd w:val="clear" w:color="auto" w:fill="F2F2F2" w:themeFill="background1" w:themeFillShade="F2"/>
                  <w:vAlign w:val="bottom"/>
                </w:tcPr>
                <w:p w:rsidR="00164D81" w:rsidRDefault="00164D81" w:rsidP="00164D81">
                  <w:pPr>
                    <w:pStyle w:val="TableBodyText"/>
                    <w:ind w:right="28"/>
                  </w:pPr>
                  <w:r w:rsidRPr="00C358C1">
                    <w:t>0.032</w:t>
                  </w:r>
                </w:p>
              </w:tc>
              <w:tc>
                <w:tcPr>
                  <w:tcW w:w="631" w:type="pct"/>
                  <w:shd w:val="clear" w:color="auto" w:fill="F2F2F2" w:themeFill="background1" w:themeFillShade="F2"/>
                  <w:vAlign w:val="bottom"/>
                </w:tcPr>
                <w:p w:rsidR="00164D81" w:rsidRDefault="00164D81" w:rsidP="00164D81">
                  <w:pPr>
                    <w:pStyle w:val="TableBodyText"/>
                    <w:ind w:right="28"/>
                  </w:pPr>
                  <w:r w:rsidRPr="00C358C1">
                    <w:t>0.042</w:t>
                  </w:r>
                </w:p>
              </w:tc>
              <w:tc>
                <w:tcPr>
                  <w:tcW w:w="631" w:type="pct"/>
                  <w:shd w:val="clear" w:color="auto" w:fill="F2F2F2" w:themeFill="background1" w:themeFillShade="F2"/>
                  <w:vAlign w:val="bottom"/>
                </w:tcPr>
                <w:p w:rsidR="00164D81" w:rsidRDefault="00164D81" w:rsidP="00164D81">
                  <w:pPr>
                    <w:pStyle w:val="TableBodyText"/>
                    <w:ind w:right="28"/>
                  </w:pPr>
                  <w:r w:rsidRPr="00C358C1">
                    <w:t>0.055</w:t>
                  </w:r>
                </w:p>
              </w:tc>
            </w:tr>
            <w:tr w:rsidR="00164D81" w:rsidTr="004C4BB2">
              <w:tc>
                <w:tcPr>
                  <w:tcW w:w="1844" w:type="pct"/>
                  <w:tcBorders>
                    <w:bottom w:val="single" w:sz="6" w:space="0" w:color="BFBFBF" w:themeColor="background1" w:themeShade="BF"/>
                  </w:tcBorders>
                  <w:shd w:val="clear" w:color="auto" w:fill="auto"/>
                  <w:vAlign w:val="bottom"/>
                </w:tcPr>
                <w:p w:rsidR="00164D81" w:rsidRDefault="00164D81" w:rsidP="00164D81">
                  <w:pPr>
                    <w:pStyle w:val="TableBodyText"/>
                    <w:jc w:val="left"/>
                  </w:pPr>
                  <w:r w:rsidRPr="00C358C1">
                    <w:t xml:space="preserve">SD of varying </w:t>
                  </w:r>
                  <w:r w:rsidR="002640CD">
                    <w:t xml:space="preserve">slope: </w:t>
                  </w:r>
                  <w:r w:rsidRPr="00C358C1">
                    <w:t xml:space="preserve">Change in total expenses due to size </w:t>
                  </w:r>
                </w:p>
              </w:tc>
              <w:tc>
                <w:tcPr>
                  <w:tcW w:w="631" w:type="pct"/>
                  <w:tcBorders>
                    <w:bottom w:val="single" w:sz="6" w:space="0" w:color="BFBFBF" w:themeColor="background1" w:themeShade="BF"/>
                  </w:tcBorders>
                  <w:vAlign w:val="bottom"/>
                </w:tcPr>
                <w:p w:rsidR="00164D81" w:rsidRDefault="00164D81" w:rsidP="00164D81">
                  <w:pPr>
                    <w:pStyle w:val="TableBodyText"/>
                    <w:ind w:right="28"/>
                  </w:pPr>
                  <w:r w:rsidRPr="00C358C1">
                    <w:t>0.552</w:t>
                  </w:r>
                </w:p>
              </w:tc>
              <w:tc>
                <w:tcPr>
                  <w:tcW w:w="631" w:type="pct"/>
                  <w:tcBorders>
                    <w:bottom w:val="single" w:sz="6" w:space="0" w:color="BFBFBF" w:themeColor="background1" w:themeShade="BF"/>
                  </w:tcBorders>
                  <w:shd w:val="clear" w:color="auto" w:fill="auto"/>
                  <w:vAlign w:val="bottom"/>
                </w:tcPr>
                <w:p w:rsidR="00164D81" w:rsidRDefault="00164D81" w:rsidP="00164D81">
                  <w:pPr>
                    <w:pStyle w:val="TableBodyText"/>
                    <w:ind w:right="28"/>
                  </w:pPr>
                  <w:r w:rsidRPr="00C358C1">
                    <w:t>0.066</w:t>
                  </w:r>
                </w:p>
              </w:tc>
              <w:tc>
                <w:tcPr>
                  <w:tcW w:w="631" w:type="pct"/>
                  <w:tcBorders>
                    <w:bottom w:val="single" w:sz="6" w:space="0" w:color="BFBFBF" w:themeColor="background1" w:themeShade="BF"/>
                  </w:tcBorders>
                  <w:shd w:val="clear" w:color="auto" w:fill="auto"/>
                  <w:vAlign w:val="bottom"/>
                </w:tcPr>
                <w:p w:rsidR="00164D81" w:rsidRDefault="00164D81" w:rsidP="00164D81">
                  <w:pPr>
                    <w:pStyle w:val="TableBodyText"/>
                    <w:ind w:right="28"/>
                  </w:pPr>
                  <w:r w:rsidRPr="00C358C1">
                    <w:t>0.435</w:t>
                  </w:r>
                </w:p>
              </w:tc>
              <w:tc>
                <w:tcPr>
                  <w:tcW w:w="631" w:type="pct"/>
                  <w:tcBorders>
                    <w:bottom w:val="single" w:sz="6" w:space="0" w:color="BFBFBF" w:themeColor="background1" w:themeShade="BF"/>
                  </w:tcBorders>
                  <w:vAlign w:val="bottom"/>
                </w:tcPr>
                <w:p w:rsidR="00164D81" w:rsidRDefault="00164D81" w:rsidP="00164D81">
                  <w:pPr>
                    <w:pStyle w:val="TableBodyText"/>
                    <w:ind w:right="28"/>
                  </w:pPr>
                  <w:r w:rsidRPr="00C358C1">
                    <w:t>0.550</w:t>
                  </w:r>
                </w:p>
              </w:tc>
              <w:tc>
                <w:tcPr>
                  <w:tcW w:w="631" w:type="pct"/>
                  <w:tcBorders>
                    <w:bottom w:val="single" w:sz="6" w:space="0" w:color="BFBFBF" w:themeColor="background1" w:themeShade="BF"/>
                  </w:tcBorders>
                  <w:vAlign w:val="bottom"/>
                </w:tcPr>
                <w:p w:rsidR="00164D81" w:rsidRDefault="00164D81" w:rsidP="00164D81">
                  <w:pPr>
                    <w:pStyle w:val="TableBodyText"/>
                    <w:ind w:right="28"/>
                  </w:pPr>
                  <w:r w:rsidRPr="00C358C1">
                    <w:t>0.689</w:t>
                  </w:r>
                </w:p>
              </w:tc>
            </w:tr>
          </w:tbl>
          <w:p w:rsidR="00164D81" w:rsidRDefault="00164D81" w:rsidP="00164D81">
            <w:pPr>
              <w:pStyle w:val="Box"/>
            </w:pPr>
          </w:p>
        </w:tc>
      </w:tr>
      <w:tr w:rsidR="00164D81" w:rsidTr="00164D81">
        <w:tc>
          <w:tcPr>
            <w:tcW w:w="5000" w:type="pct"/>
            <w:tcBorders>
              <w:top w:val="nil"/>
              <w:left w:val="nil"/>
              <w:bottom w:val="single" w:sz="6" w:space="0" w:color="78A22F"/>
              <w:right w:val="nil"/>
            </w:tcBorders>
            <w:shd w:val="clear" w:color="auto" w:fill="auto"/>
          </w:tcPr>
          <w:p w:rsidR="00164D81" w:rsidRDefault="00164D81" w:rsidP="00164D81">
            <w:pPr>
              <w:pStyle w:val="Box"/>
              <w:spacing w:before="0" w:line="120" w:lineRule="exact"/>
            </w:pPr>
          </w:p>
        </w:tc>
      </w:tr>
      <w:tr w:rsidR="00164D81" w:rsidRPr="00626D32" w:rsidTr="00164D81">
        <w:tc>
          <w:tcPr>
            <w:tcW w:w="5000" w:type="pct"/>
            <w:tcBorders>
              <w:top w:val="single" w:sz="6" w:space="0" w:color="78A22F"/>
              <w:left w:val="nil"/>
              <w:bottom w:val="nil"/>
              <w:right w:val="nil"/>
            </w:tcBorders>
          </w:tcPr>
          <w:p w:rsidR="00164D81" w:rsidRPr="00626D32" w:rsidRDefault="00164D81" w:rsidP="00164D81">
            <w:pPr>
              <w:pStyle w:val="BoxSpaceBelow"/>
            </w:pPr>
          </w:p>
        </w:tc>
      </w:tr>
    </w:tbl>
    <w:p w:rsidR="00FB7973" w:rsidRDefault="00FB7973" w:rsidP="00FB797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B7973" w:rsidTr="00FB7973">
        <w:trPr>
          <w:tblHeader/>
        </w:trPr>
        <w:tc>
          <w:tcPr>
            <w:tcW w:w="5000" w:type="pct"/>
            <w:tcBorders>
              <w:top w:val="single" w:sz="6" w:space="0" w:color="78A22F"/>
              <w:left w:val="nil"/>
              <w:bottom w:val="nil"/>
              <w:right w:val="nil"/>
            </w:tcBorders>
            <w:shd w:val="clear" w:color="auto" w:fill="auto"/>
          </w:tcPr>
          <w:p w:rsidR="00FB7973" w:rsidRDefault="00FB7973" w:rsidP="00FB7973">
            <w:pPr>
              <w:pStyle w:val="TableTitle"/>
            </w:pPr>
            <w:r>
              <w:rPr>
                <w:b w:val="0"/>
              </w:rPr>
              <w:t>Table E.</w:t>
            </w:r>
            <w:r w:rsidR="004703C8">
              <w:rPr>
                <w:b w:val="0"/>
              </w:rPr>
              <w:t>2</w:t>
            </w:r>
            <w:r>
              <w:tab/>
              <w:t>Parameter estimates</w:t>
            </w:r>
          </w:p>
          <w:p w:rsidR="00FB7973" w:rsidRPr="00FB7973" w:rsidRDefault="00FB7973" w:rsidP="00FB7973">
            <w:pPr>
              <w:pStyle w:val="Subtitle"/>
            </w:pPr>
            <w:r>
              <w:t>Weighted product fees</w:t>
            </w:r>
          </w:p>
        </w:tc>
      </w:tr>
      <w:tr w:rsidR="00FB7973" w:rsidTr="00FB7973">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FB7973" w:rsidTr="00FB7973">
              <w:trPr>
                <w:tblHeader/>
              </w:trPr>
              <w:tc>
                <w:tcPr>
                  <w:tcW w:w="1842" w:type="pct"/>
                  <w:tcBorders>
                    <w:top w:val="single" w:sz="4" w:space="0" w:color="BFBFBF"/>
                    <w:bottom w:val="single" w:sz="6" w:space="0" w:color="BFBFBF"/>
                  </w:tcBorders>
                  <w:shd w:val="clear" w:color="auto" w:fill="auto"/>
                  <w:tcMar>
                    <w:top w:w="28" w:type="dxa"/>
                  </w:tcMar>
                </w:tcPr>
                <w:p w:rsidR="00FB7973" w:rsidRDefault="00FB7973" w:rsidP="00FB7973">
                  <w:pPr>
                    <w:pStyle w:val="TableColumnHeading"/>
                    <w:jc w:val="left"/>
                  </w:pPr>
                  <w:r>
                    <w:t>Parameter</w:t>
                  </w:r>
                </w:p>
              </w:tc>
              <w:tc>
                <w:tcPr>
                  <w:tcW w:w="632" w:type="pct"/>
                  <w:tcBorders>
                    <w:top w:val="single" w:sz="4" w:space="0" w:color="BFBFBF"/>
                    <w:bottom w:val="single" w:sz="6" w:space="0" w:color="BFBFBF"/>
                  </w:tcBorders>
                </w:tcPr>
                <w:p w:rsidR="00FB7973" w:rsidRDefault="00FB7973" w:rsidP="00FB7973">
                  <w:pPr>
                    <w:pStyle w:val="TableColumnHeading"/>
                  </w:pPr>
                  <w:r>
                    <w:t>Mean</w:t>
                  </w:r>
                </w:p>
              </w:tc>
              <w:tc>
                <w:tcPr>
                  <w:tcW w:w="632" w:type="pct"/>
                  <w:tcBorders>
                    <w:top w:val="single" w:sz="4" w:space="0" w:color="BFBFBF"/>
                    <w:bottom w:val="single" w:sz="6" w:space="0" w:color="BFBFBF"/>
                  </w:tcBorders>
                  <w:shd w:val="clear" w:color="auto" w:fill="auto"/>
                  <w:tcMar>
                    <w:top w:w="28" w:type="dxa"/>
                  </w:tcMar>
                </w:tcPr>
                <w:p w:rsidR="00FB7973" w:rsidRDefault="00FB7973" w:rsidP="00FB7973">
                  <w:pPr>
                    <w:pStyle w:val="TableColumnHeading"/>
                  </w:pPr>
                  <w:r>
                    <w:t>Standard deviation</w:t>
                  </w:r>
                </w:p>
              </w:tc>
              <w:tc>
                <w:tcPr>
                  <w:tcW w:w="632" w:type="pct"/>
                  <w:tcBorders>
                    <w:top w:val="single" w:sz="4" w:space="0" w:color="BFBFBF"/>
                    <w:bottom w:val="single" w:sz="6" w:space="0" w:color="BFBFBF"/>
                  </w:tcBorders>
                  <w:shd w:val="clear" w:color="auto" w:fill="auto"/>
                  <w:tcMar>
                    <w:top w:w="28" w:type="dxa"/>
                  </w:tcMar>
                </w:tcPr>
                <w:p w:rsidR="00FB7973" w:rsidRDefault="00FB7973" w:rsidP="00FB7973">
                  <w:pPr>
                    <w:pStyle w:val="TableColumnHeading"/>
                    <w:ind w:right="28"/>
                  </w:pPr>
                  <w:r>
                    <w:t>2.5 percentile</w:t>
                  </w:r>
                </w:p>
              </w:tc>
              <w:tc>
                <w:tcPr>
                  <w:tcW w:w="632" w:type="pct"/>
                  <w:tcBorders>
                    <w:top w:val="single" w:sz="4" w:space="0" w:color="BFBFBF"/>
                    <w:bottom w:val="single" w:sz="6" w:space="0" w:color="BFBFBF"/>
                  </w:tcBorders>
                </w:tcPr>
                <w:p w:rsidR="00FB7973" w:rsidRDefault="00FB7973" w:rsidP="00FB7973">
                  <w:pPr>
                    <w:pStyle w:val="TableColumnHeading"/>
                    <w:ind w:right="28"/>
                  </w:pPr>
                  <w:r>
                    <w:t>Median</w:t>
                  </w:r>
                </w:p>
              </w:tc>
              <w:tc>
                <w:tcPr>
                  <w:tcW w:w="630" w:type="pct"/>
                  <w:tcBorders>
                    <w:top w:val="single" w:sz="4" w:space="0" w:color="BFBFBF"/>
                    <w:bottom w:val="single" w:sz="6" w:space="0" w:color="BFBFBF"/>
                  </w:tcBorders>
                </w:tcPr>
                <w:p w:rsidR="00FB7973" w:rsidRDefault="00FB7973" w:rsidP="00FB7973">
                  <w:pPr>
                    <w:pStyle w:val="TableColumnHeading"/>
                    <w:ind w:right="28"/>
                  </w:pPr>
                  <w:r>
                    <w:t>97.5 percentile</w:t>
                  </w:r>
                </w:p>
              </w:tc>
            </w:tr>
            <w:tr w:rsidR="00FB7973" w:rsidTr="00FB7973">
              <w:tc>
                <w:tcPr>
                  <w:tcW w:w="1842" w:type="pct"/>
                  <w:tcBorders>
                    <w:top w:val="single" w:sz="6" w:space="0" w:color="BFBFBF"/>
                  </w:tcBorders>
                  <w:shd w:val="clear" w:color="auto" w:fill="BFBFBF" w:themeFill="background1" w:themeFillShade="BF"/>
                </w:tcPr>
                <w:p w:rsidR="00FB7973" w:rsidRPr="00992D7E" w:rsidRDefault="00FB7973" w:rsidP="00FB7973">
                  <w:pPr>
                    <w:pStyle w:val="TableBodyText"/>
                    <w:jc w:val="left"/>
                    <w:rPr>
                      <w:b/>
                    </w:rPr>
                  </w:pPr>
                  <w:r>
                    <w:rPr>
                      <w:b/>
                    </w:rPr>
                    <w:t>Likelihood</w:t>
                  </w:r>
                </w:p>
              </w:tc>
              <w:tc>
                <w:tcPr>
                  <w:tcW w:w="632" w:type="pct"/>
                  <w:tcBorders>
                    <w:top w:val="single" w:sz="6" w:space="0" w:color="BFBFBF"/>
                  </w:tcBorders>
                  <w:shd w:val="clear" w:color="auto" w:fill="BFBFBF" w:themeFill="background1" w:themeFillShade="BF"/>
                </w:tcPr>
                <w:p w:rsidR="00FB7973" w:rsidRDefault="00FB7973" w:rsidP="00FB7973">
                  <w:pPr>
                    <w:pStyle w:val="TableBodyText"/>
                    <w:ind w:right="28"/>
                  </w:pPr>
                </w:p>
              </w:tc>
              <w:tc>
                <w:tcPr>
                  <w:tcW w:w="632" w:type="pct"/>
                  <w:tcBorders>
                    <w:top w:val="single" w:sz="6" w:space="0" w:color="BFBFBF"/>
                  </w:tcBorders>
                  <w:shd w:val="clear" w:color="auto" w:fill="BFBFBF" w:themeFill="background1" w:themeFillShade="BF"/>
                </w:tcPr>
                <w:p w:rsidR="00FB7973" w:rsidRDefault="00FB7973" w:rsidP="00FB7973">
                  <w:pPr>
                    <w:pStyle w:val="TableBodyText"/>
                    <w:ind w:right="28"/>
                  </w:pPr>
                </w:p>
              </w:tc>
              <w:tc>
                <w:tcPr>
                  <w:tcW w:w="632" w:type="pct"/>
                  <w:tcBorders>
                    <w:top w:val="single" w:sz="6" w:space="0" w:color="BFBFBF"/>
                  </w:tcBorders>
                  <w:shd w:val="clear" w:color="auto" w:fill="BFBFBF" w:themeFill="background1" w:themeFillShade="BF"/>
                </w:tcPr>
                <w:p w:rsidR="00FB7973" w:rsidRDefault="00FB7973" w:rsidP="00FB7973">
                  <w:pPr>
                    <w:pStyle w:val="TableBodyText"/>
                    <w:ind w:right="28"/>
                  </w:pPr>
                </w:p>
              </w:tc>
              <w:tc>
                <w:tcPr>
                  <w:tcW w:w="632" w:type="pct"/>
                  <w:tcBorders>
                    <w:top w:val="single" w:sz="6" w:space="0" w:color="BFBFBF"/>
                  </w:tcBorders>
                  <w:shd w:val="clear" w:color="auto" w:fill="BFBFBF" w:themeFill="background1" w:themeFillShade="BF"/>
                </w:tcPr>
                <w:p w:rsidR="00FB7973" w:rsidRDefault="00FB7973" w:rsidP="00FB7973">
                  <w:pPr>
                    <w:pStyle w:val="TableBodyText"/>
                    <w:ind w:right="28"/>
                  </w:pPr>
                </w:p>
              </w:tc>
              <w:tc>
                <w:tcPr>
                  <w:tcW w:w="630" w:type="pct"/>
                  <w:tcBorders>
                    <w:top w:val="single" w:sz="6" w:space="0" w:color="BFBFBF"/>
                  </w:tcBorders>
                  <w:shd w:val="clear" w:color="auto" w:fill="BFBFBF" w:themeFill="background1" w:themeFillShade="BF"/>
                </w:tcPr>
                <w:p w:rsidR="00FB7973" w:rsidRDefault="00FB7973" w:rsidP="00FB7973">
                  <w:pPr>
                    <w:pStyle w:val="TableBodyText"/>
                    <w:ind w:right="28"/>
                  </w:pPr>
                </w:p>
              </w:tc>
            </w:tr>
            <w:tr w:rsidR="00FB7973" w:rsidTr="00FB7973">
              <w:tc>
                <w:tcPr>
                  <w:tcW w:w="1842" w:type="pct"/>
                  <w:vAlign w:val="bottom"/>
                </w:tcPr>
                <w:p w:rsidR="00FB7973" w:rsidRPr="00C358C1" w:rsidRDefault="00FB7973" w:rsidP="00FB7973">
                  <w:pPr>
                    <w:pStyle w:val="TableBodyText"/>
                    <w:jc w:val="left"/>
                  </w:pPr>
                  <w:r w:rsidRPr="00C358C1">
                    <w:t>S</w:t>
                  </w:r>
                  <w:r>
                    <w:t>D</w:t>
                  </w:r>
                  <w:r w:rsidRPr="00C358C1">
                    <w:t xml:space="preserve"> of admin expenses</w:t>
                  </w:r>
                </w:p>
              </w:tc>
              <w:tc>
                <w:tcPr>
                  <w:tcW w:w="632" w:type="pct"/>
                </w:tcPr>
                <w:p w:rsidR="00FB7973" w:rsidRPr="00C358C1" w:rsidRDefault="00FB7973" w:rsidP="00FB7973">
                  <w:pPr>
                    <w:pStyle w:val="TableBodyText"/>
                    <w:ind w:right="28"/>
                  </w:pPr>
                  <w:r w:rsidRPr="00CC3750">
                    <w:t>0.175</w:t>
                  </w:r>
                </w:p>
              </w:tc>
              <w:tc>
                <w:tcPr>
                  <w:tcW w:w="632" w:type="pct"/>
                </w:tcPr>
                <w:p w:rsidR="00FB7973" w:rsidRPr="00C358C1" w:rsidRDefault="00FB7973" w:rsidP="00FB7973">
                  <w:pPr>
                    <w:pStyle w:val="TableBodyText"/>
                    <w:ind w:right="28"/>
                  </w:pPr>
                  <w:r w:rsidRPr="00CC3750">
                    <w:t>0.003</w:t>
                  </w:r>
                </w:p>
              </w:tc>
              <w:tc>
                <w:tcPr>
                  <w:tcW w:w="632" w:type="pct"/>
                </w:tcPr>
                <w:p w:rsidR="00FB7973" w:rsidRPr="00C358C1" w:rsidRDefault="00FB7973" w:rsidP="00FB7973">
                  <w:pPr>
                    <w:pStyle w:val="TableBodyText"/>
                    <w:ind w:right="28"/>
                  </w:pPr>
                  <w:r w:rsidRPr="00CC3750">
                    <w:t>0.169</w:t>
                  </w:r>
                </w:p>
              </w:tc>
              <w:tc>
                <w:tcPr>
                  <w:tcW w:w="632" w:type="pct"/>
                </w:tcPr>
                <w:p w:rsidR="00FB7973" w:rsidRPr="00C358C1" w:rsidRDefault="00FB7973" w:rsidP="00FB7973">
                  <w:pPr>
                    <w:pStyle w:val="TableBodyText"/>
                    <w:ind w:right="28"/>
                  </w:pPr>
                  <w:r w:rsidRPr="00CC3750">
                    <w:t>0.175</w:t>
                  </w:r>
                </w:p>
              </w:tc>
              <w:tc>
                <w:tcPr>
                  <w:tcW w:w="630" w:type="pct"/>
                </w:tcPr>
                <w:p w:rsidR="00FB7973" w:rsidRPr="00C358C1" w:rsidRDefault="00FB7973" w:rsidP="00FB7973">
                  <w:pPr>
                    <w:pStyle w:val="TableBodyText"/>
                    <w:ind w:right="28"/>
                  </w:pPr>
                  <w:r w:rsidRPr="00CC3750">
                    <w:t>0.181</w:t>
                  </w:r>
                </w:p>
              </w:tc>
            </w:tr>
            <w:tr w:rsidR="00FB7973" w:rsidTr="00FB7973">
              <w:tc>
                <w:tcPr>
                  <w:tcW w:w="1842" w:type="pct"/>
                  <w:shd w:val="clear" w:color="auto" w:fill="F2F2F2" w:themeFill="background1" w:themeFillShade="F2"/>
                  <w:vAlign w:val="bottom"/>
                </w:tcPr>
                <w:p w:rsidR="00FB7973" w:rsidRPr="00C358C1" w:rsidRDefault="00FB7973" w:rsidP="00FB7973">
                  <w:pPr>
                    <w:pStyle w:val="TableBodyText"/>
                    <w:jc w:val="left"/>
                  </w:pPr>
                  <w:r w:rsidRPr="00C358C1">
                    <w:t>SD of investment expenses</w:t>
                  </w:r>
                </w:p>
              </w:tc>
              <w:tc>
                <w:tcPr>
                  <w:tcW w:w="632" w:type="pct"/>
                  <w:shd w:val="clear" w:color="auto" w:fill="F2F2F2" w:themeFill="background1" w:themeFillShade="F2"/>
                </w:tcPr>
                <w:p w:rsidR="00FB7973" w:rsidRPr="00C358C1" w:rsidRDefault="00FB7973" w:rsidP="00FB7973">
                  <w:pPr>
                    <w:pStyle w:val="TableBodyText"/>
                    <w:ind w:right="28"/>
                  </w:pPr>
                  <w:r w:rsidRPr="00CC3750">
                    <w:t>0.309</w:t>
                  </w:r>
                </w:p>
              </w:tc>
              <w:tc>
                <w:tcPr>
                  <w:tcW w:w="632" w:type="pct"/>
                  <w:shd w:val="clear" w:color="auto" w:fill="F2F2F2" w:themeFill="background1" w:themeFillShade="F2"/>
                </w:tcPr>
                <w:p w:rsidR="00FB7973" w:rsidRPr="00C358C1" w:rsidRDefault="00FB7973" w:rsidP="00FB7973">
                  <w:pPr>
                    <w:pStyle w:val="TableBodyText"/>
                    <w:ind w:right="28"/>
                  </w:pPr>
                  <w:r w:rsidRPr="00CC3750">
                    <w:t>0.005</w:t>
                  </w:r>
                </w:p>
              </w:tc>
              <w:tc>
                <w:tcPr>
                  <w:tcW w:w="632" w:type="pct"/>
                  <w:shd w:val="clear" w:color="auto" w:fill="F2F2F2" w:themeFill="background1" w:themeFillShade="F2"/>
                </w:tcPr>
                <w:p w:rsidR="00FB7973" w:rsidRPr="00C358C1" w:rsidRDefault="00FB7973" w:rsidP="00FB7973">
                  <w:pPr>
                    <w:pStyle w:val="TableBodyText"/>
                    <w:ind w:right="28"/>
                  </w:pPr>
                  <w:r w:rsidRPr="00CC3750">
                    <w:t>0.299</w:t>
                  </w:r>
                </w:p>
              </w:tc>
              <w:tc>
                <w:tcPr>
                  <w:tcW w:w="632" w:type="pct"/>
                  <w:shd w:val="clear" w:color="auto" w:fill="F2F2F2" w:themeFill="background1" w:themeFillShade="F2"/>
                </w:tcPr>
                <w:p w:rsidR="00FB7973" w:rsidRPr="00C358C1" w:rsidRDefault="00FB7973" w:rsidP="00FB7973">
                  <w:pPr>
                    <w:pStyle w:val="TableBodyText"/>
                    <w:ind w:right="28"/>
                  </w:pPr>
                  <w:r w:rsidRPr="00CC3750">
                    <w:t>0.309</w:t>
                  </w:r>
                </w:p>
              </w:tc>
              <w:tc>
                <w:tcPr>
                  <w:tcW w:w="630" w:type="pct"/>
                  <w:shd w:val="clear" w:color="auto" w:fill="F2F2F2" w:themeFill="background1" w:themeFillShade="F2"/>
                </w:tcPr>
                <w:p w:rsidR="00FB7973" w:rsidRPr="00C358C1" w:rsidRDefault="00FB7973" w:rsidP="00FB7973">
                  <w:pPr>
                    <w:pStyle w:val="TableBodyText"/>
                    <w:ind w:right="28"/>
                  </w:pPr>
                  <w:r w:rsidRPr="00CC3750">
                    <w:t>0.319</w:t>
                  </w:r>
                </w:p>
              </w:tc>
            </w:tr>
            <w:tr w:rsidR="00FB7973" w:rsidTr="00FB7973">
              <w:tc>
                <w:tcPr>
                  <w:tcW w:w="1842" w:type="pct"/>
                  <w:vAlign w:val="bottom"/>
                </w:tcPr>
                <w:p w:rsidR="00FB7973" w:rsidRPr="00C358C1" w:rsidRDefault="00FB7973" w:rsidP="00FB7973">
                  <w:pPr>
                    <w:pStyle w:val="TableBodyText"/>
                    <w:jc w:val="left"/>
                  </w:pPr>
                </w:p>
              </w:tc>
              <w:tc>
                <w:tcPr>
                  <w:tcW w:w="632" w:type="pct"/>
                  <w:vAlign w:val="bottom"/>
                </w:tcPr>
                <w:p w:rsidR="00FB7973" w:rsidRPr="00C358C1" w:rsidRDefault="00FB7973" w:rsidP="00FB7973">
                  <w:pPr>
                    <w:pStyle w:val="TableBodyText"/>
                    <w:ind w:right="28"/>
                  </w:pPr>
                </w:p>
              </w:tc>
              <w:tc>
                <w:tcPr>
                  <w:tcW w:w="632" w:type="pct"/>
                  <w:vAlign w:val="bottom"/>
                </w:tcPr>
                <w:p w:rsidR="00FB7973" w:rsidRPr="00C358C1" w:rsidRDefault="00FB7973" w:rsidP="00FB7973">
                  <w:pPr>
                    <w:pStyle w:val="TableBodyText"/>
                    <w:ind w:right="28"/>
                  </w:pPr>
                </w:p>
              </w:tc>
              <w:tc>
                <w:tcPr>
                  <w:tcW w:w="632" w:type="pct"/>
                  <w:vAlign w:val="bottom"/>
                </w:tcPr>
                <w:p w:rsidR="00FB7973" w:rsidRPr="00C358C1" w:rsidRDefault="00FB7973" w:rsidP="00FB7973">
                  <w:pPr>
                    <w:pStyle w:val="TableBodyText"/>
                    <w:ind w:right="28"/>
                  </w:pPr>
                </w:p>
              </w:tc>
              <w:tc>
                <w:tcPr>
                  <w:tcW w:w="632" w:type="pct"/>
                  <w:vAlign w:val="bottom"/>
                </w:tcPr>
                <w:p w:rsidR="00FB7973" w:rsidRPr="00C358C1" w:rsidRDefault="00FB7973" w:rsidP="00FB7973">
                  <w:pPr>
                    <w:pStyle w:val="TableBodyText"/>
                    <w:ind w:right="28"/>
                  </w:pPr>
                </w:p>
              </w:tc>
              <w:tc>
                <w:tcPr>
                  <w:tcW w:w="630" w:type="pct"/>
                  <w:vAlign w:val="bottom"/>
                </w:tcPr>
                <w:p w:rsidR="00FB7973" w:rsidRPr="00C358C1" w:rsidRDefault="00FB7973" w:rsidP="00FB7973">
                  <w:pPr>
                    <w:pStyle w:val="TableBodyText"/>
                    <w:ind w:right="28"/>
                  </w:pPr>
                </w:p>
              </w:tc>
            </w:tr>
            <w:tr w:rsidR="00FB7973" w:rsidTr="00FB7973">
              <w:tc>
                <w:tcPr>
                  <w:tcW w:w="1842" w:type="pct"/>
                  <w:shd w:val="clear" w:color="auto" w:fill="BFBFBF" w:themeFill="background1" w:themeFillShade="BF"/>
                  <w:vAlign w:val="bottom"/>
                </w:tcPr>
                <w:p w:rsidR="00FB7973" w:rsidRPr="00C358C1" w:rsidRDefault="00FB7973" w:rsidP="00FB7973">
                  <w:pPr>
                    <w:pStyle w:val="TableBodyText"/>
                    <w:jc w:val="left"/>
                    <w:rPr>
                      <w:b/>
                    </w:rPr>
                  </w:pPr>
                  <w:r w:rsidRPr="00C358C1">
                    <w:rPr>
                      <w:b/>
                    </w:rPr>
                    <w:t>Admin</w:t>
                  </w:r>
                </w:p>
              </w:tc>
              <w:tc>
                <w:tcPr>
                  <w:tcW w:w="632" w:type="pct"/>
                  <w:shd w:val="clear" w:color="auto" w:fill="BFBFBF" w:themeFill="background1" w:themeFillShade="BF"/>
                  <w:vAlign w:val="bottom"/>
                </w:tcPr>
                <w:p w:rsidR="00FB7973" w:rsidRPr="00C358C1" w:rsidRDefault="00FB7973" w:rsidP="00FB7973">
                  <w:pPr>
                    <w:pStyle w:val="TableBodyText"/>
                    <w:ind w:right="28"/>
                  </w:pPr>
                </w:p>
              </w:tc>
              <w:tc>
                <w:tcPr>
                  <w:tcW w:w="632" w:type="pct"/>
                  <w:shd w:val="clear" w:color="auto" w:fill="BFBFBF" w:themeFill="background1" w:themeFillShade="BF"/>
                  <w:vAlign w:val="bottom"/>
                </w:tcPr>
                <w:p w:rsidR="00FB7973" w:rsidRPr="00C358C1" w:rsidRDefault="00FB7973" w:rsidP="00FB7973">
                  <w:pPr>
                    <w:pStyle w:val="TableBodyText"/>
                    <w:ind w:right="28"/>
                  </w:pPr>
                </w:p>
              </w:tc>
              <w:tc>
                <w:tcPr>
                  <w:tcW w:w="632" w:type="pct"/>
                  <w:shd w:val="clear" w:color="auto" w:fill="BFBFBF" w:themeFill="background1" w:themeFillShade="BF"/>
                  <w:vAlign w:val="bottom"/>
                </w:tcPr>
                <w:p w:rsidR="00FB7973" w:rsidRPr="00C358C1" w:rsidRDefault="00FB7973" w:rsidP="00FB7973">
                  <w:pPr>
                    <w:pStyle w:val="TableBodyText"/>
                    <w:ind w:right="28"/>
                  </w:pPr>
                </w:p>
              </w:tc>
              <w:tc>
                <w:tcPr>
                  <w:tcW w:w="632" w:type="pct"/>
                  <w:shd w:val="clear" w:color="auto" w:fill="BFBFBF" w:themeFill="background1" w:themeFillShade="BF"/>
                  <w:vAlign w:val="bottom"/>
                </w:tcPr>
                <w:p w:rsidR="00FB7973" w:rsidRPr="00C358C1" w:rsidRDefault="00FB7973" w:rsidP="00FB7973">
                  <w:pPr>
                    <w:pStyle w:val="TableBodyText"/>
                    <w:ind w:right="28"/>
                  </w:pPr>
                </w:p>
              </w:tc>
              <w:tc>
                <w:tcPr>
                  <w:tcW w:w="630" w:type="pct"/>
                  <w:shd w:val="clear" w:color="auto" w:fill="BFBFBF" w:themeFill="background1" w:themeFillShade="BF"/>
                  <w:vAlign w:val="bottom"/>
                </w:tcPr>
                <w:p w:rsidR="00FB7973" w:rsidRPr="00C358C1" w:rsidRDefault="00FB7973" w:rsidP="00FB7973">
                  <w:pPr>
                    <w:pStyle w:val="TableBodyText"/>
                    <w:ind w:right="28"/>
                  </w:pPr>
                </w:p>
              </w:tc>
            </w:tr>
            <w:tr w:rsidR="00FB7973" w:rsidTr="00FB7973">
              <w:tc>
                <w:tcPr>
                  <w:tcW w:w="1842" w:type="pct"/>
                  <w:vAlign w:val="bottom"/>
                </w:tcPr>
                <w:p w:rsidR="00FB7973" w:rsidRDefault="00FB7973" w:rsidP="00FB7973">
                  <w:pPr>
                    <w:pStyle w:val="TableBodyText"/>
                    <w:jc w:val="left"/>
                  </w:pPr>
                  <w:r w:rsidRPr="00C358C1">
                    <w:t>Assets</w:t>
                  </w:r>
                </w:p>
              </w:tc>
              <w:tc>
                <w:tcPr>
                  <w:tcW w:w="632" w:type="pct"/>
                </w:tcPr>
                <w:p w:rsidR="00FB7973" w:rsidRDefault="00FB7973" w:rsidP="00FB7973">
                  <w:pPr>
                    <w:pStyle w:val="TableBodyText"/>
                    <w:ind w:right="28"/>
                  </w:pPr>
                  <w:r w:rsidRPr="00662641">
                    <w:t>0.511</w:t>
                  </w:r>
                </w:p>
              </w:tc>
              <w:tc>
                <w:tcPr>
                  <w:tcW w:w="632" w:type="pct"/>
                </w:tcPr>
                <w:p w:rsidR="00FB7973" w:rsidRDefault="00FB7973" w:rsidP="00FB7973">
                  <w:pPr>
                    <w:pStyle w:val="TableBodyText"/>
                    <w:ind w:right="28"/>
                  </w:pPr>
                  <w:r w:rsidRPr="00662641">
                    <w:t>0.046</w:t>
                  </w:r>
                </w:p>
              </w:tc>
              <w:tc>
                <w:tcPr>
                  <w:tcW w:w="632" w:type="pct"/>
                </w:tcPr>
                <w:p w:rsidR="00FB7973" w:rsidRDefault="00FB7973" w:rsidP="00FB7973">
                  <w:pPr>
                    <w:pStyle w:val="TableBodyText"/>
                    <w:ind w:right="28"/>
                  </w:pPr>
                  <w:r w:rsidRPr="00662641">
                    <w:t>0.418</w:t>
                  </w:r>
                </w:p>
              </w:tc>
              <w:tc>
                <w:tcPr>
                  <w:tcW w:w="632" w:type="pct"/>
                </w:tcPr>
                <w:p w:rsidR="00FB7973" w:rsidRPr="00C358C1" w:rsidRDefault="00FB7973" w:rsidP="00FB7973">
                  <w:pPr>
                    <w:pStyle w:val="TableBodyText"/>
                    <w:ind w:right="28"/>
                  </w:pPr>
                  <w:r w:rsidRPr="00662641">
                    <w:t>0.513</w:t>
                  </w:r>
                </w:p>
              </w:tc>
              <w:tc>
                <w:tcPr>
                  <w:tcW w:w="630" w:type="pct"/>
                </w:tcPr>
                <w:p w:rsidR="00FB7973" w:rsidRPr="00C358C1" w:rsidRDefault="00FB7973" w:rsidP="00FB7973">
                  <w:pPr>
                    <w:pStyle w:val="TableBodyText"/>
                    <w:ind w:right="28"/>
                  </w:pPr>
                  <w:r w:rsidRPr="00662641">
                    <w:t>0.601</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Member accounts</w:t>
                  </w:r>
                </w:p>
              </w:tc>
              <w:tc>
                <w:tcPr>
                  <w:tcW w:w="632" w:type="pct"/>
                  <w:shd w:val="clear" w:color="auto" w:fill="F2F2F2" w:themeFill="background1" w:themeFillShade="F2"/>
                </w:tcPr>
                <w:p w:rsidR="00FB7973" w:rsidRDefault="00FB7973" w:rsidP="00FB7973">
                  <w:pPr>
                    <w:pStyle w:val="TableBodyText"/>
                    <w:ind w:right="28"/>
                  </w:pPr>
                  <w:r w:rsidRPr="00662641">
                    <w:t>0.443</w:t>
                  </w:r>
                </w:p>
              </w:tc>
              <w:tc>
                <w:tcPr>
                  <w:tcW w:w="632" w:type="pct"/>
                  <w:shd w:val="clear" w:color="auto" w:fill="F2F2F2" w:themeFill="background1" w:themeFillShade="F2"/>
                </w:tcPr>
                <w:p w:rsidR="00FB7973" w:rsidRDefault="00FB7973" w:rsidP="00FB7973">
                  <w:pPr>
                    <w:pStyle w:val="TableBodyText"/>
                    <w:ind w:right="28"/>
                  </w:pPr>
                  <w:r w:rsidRPr="00662641">
                    <w:t>0.051</w:t>
                  </w:r>
                </w:p>
              </w:tc>
              <w:tc>
                <w:tcPr>
                  <w:tcW w:w="632" w:type="pct"/>
                  <w:shd w:val="clear" w:color="auto" w:fill="F2F2F2" w:themeFill="background1" w:themeFillShade="F2"/>
                </w:tcPr>
                <w:p w:rsidR="00FB7973" w:rsidRDefault="00FB7973" w:rsidP="00FB7973">
                  <w:pPr>
                    <w:pStyle w:val="TableBodyText"/>
                    <w:ind w:right="28"/>
                  </w:pPr>
                  <w:r w:rsidRPr="00662641">
                    <w:t>0.344</w:t>
                  </w:r>
                </w:p>
              </w:tc>
              <w:tc>
                <w:tcPr>
                  <w:tcW w:w="632" w:type="pct"/>
                  <w:shd w:val="clear" w:color="auto" w:fill="F2F2F2" w:themeFill="background1" w:themeFillShade="F2"/>
                </w:tcPr>
                <w:p w:rsidR="00FB7973" w:rsidRPr="00C358C1" w:rsidRDefault="00FB7973" w:rsidP="00FB7973">
                  <w:pPr>
                    <w:pStyle w:val="TableBodyText"/>
                    <w:ind w:right="28"/>
                  </w:pPr>
                  <w:r w:rsidRPr="00662641">
                    <w:t>0.443</w:t>
                  </w:r>
                </w:p>
              </w:tc>
              <w:tc>
                <w:tcPr>
                  <w:tcW w:w="630" w:type="pct"/>
                  <w:shd w:val="clear" w:color="auto" w:fill="F2F2F2" w:themeFill="background1" w:themeFillShade="F2"/>
                </w:tcPr>
                <w:p w:rsidR="00FB7973" w:rsidRPr="00C358C1" w:rsidRDefault="00FB7973" w:rsidP="00FB7973">
                  <w:pPr>
                    <w:pStyle w:val="TableBodyText"/>
                    <w:ind w:right="28"/>
                  </w:pPr>
                  <w:r w:rsidRPr="00662641">
                    <w:t>0.543</w:t>
                  </w:r>
                </w:p>
              </w:tc>
            </w:tr>
            <w:tr w:rsidR="00FB7973" w:rsidTr="00FB7973">
              <w:tc>
                <w:tcPr>
                  <w:tcW w:w="1842" w:type="pct"/>
                  <w:shd w:val="clear" w:color="auto" w:fill="auto"/>
                  <w:vAlign w:val="bottom"/>
                </w:tcPr>
                <w:p w:rsidR="00FB7973" w:rsidRDefault="00FB7973" w:rsidP="00FB7973">
                  <w:pPr>
                    <w:pStyle w:val="TableBodyText"/>
                    <w:jc w:val="left"/>
                  </w:pPr>
                  <w:r w:rsidRPr="00C358C1">
                    <w:t>Number of investment options</w:t>
                  </w:r>
                </w:p>
              </w:tc>
              <w:tc>
                <w:tcPr>
                  <w:tcW w:w="632" w:type="pct"/>
                </w:tcPr>
                <w:p w:rsidR="00FB7973" w:rsidRDefault="00FB7973" w:rsidP="00FB7973">
                  <w:pPr>
                    <w:pStyle w:val="TableBodyText"/>
                    <w:ind w:right="28"/>
                  </w:pPr>
                  <w:r w:rsidRPr="00662641">
                    <w:t>0.059</w:t>
                  </w:r>
                </w:p>
              </w:tc>
              <w:tc>
                <w:tcPr>
                  <w:tcW w:w="632" w:type="pct"/>
                  <w:shd w:val="clear" w:color="auto" w:fill="auto"/>
                </w:tcPr>
                <w:p w:rsidR="00FB7973" w:rsidRDefault="00FB7973" w:rsidP="00FB7973">
                  <w:pPr>
                    <w:pStyle w:val="TableBodyText"/>
                    <w:ind w:right="28"/>
                  </w:pPr>
                  <w:r w:rsidRPr="00662641">
                    <w:t>0.011</w:t>
                  </w:r>
                </w:p>
              </w:tc>
              <w:tc>
                <w:tcPr>
                  <w:tcW w:w="632" w:type="pct"/>
                  <w:shd w:val="clear" w:color="auto" w:fill="auto"/>
                </w:tcPr>
                <w:p w:rsidR="00FB7973" w:rsidRDefault="00FB7973" w:rsidP="00FB7973">
                  <w:pPr>
                    <w:pStyle w:val="TableBodyText"/>
                    <w:ind w:right="28"/>
                  </w:pPr>
                  <w:r w:rsidRPr="00662641">
                    <w:t>0.038</w:t>
                  </w:r>
                </w:p>
              </w:tc>
              <w:tc>
                <w:tcPr>
                  <w:tcW w:w="632" w:type="pct"/>
                </w:tcPr>
                <w:p w:rsidR="00FB7973" w:rsidRDefault="00FB7973" w:rsidP="00FB7973">
                  <w:pPr>
                    <w:pStyle w:val="TableBodyText"/>
                    <w:ind w:right="28"/>
                  </w:pPr>
                  <w:r w:rsidRPr="00662641">
                    <w:t>0.059</w:t>
                  </w:r>
                </w:p>
              </w:tc>
              <w:tc>
                <w:tcPr>
                  <w:tcW w:w="630" w:type="pct"/>
                </w:tcPr>
                <w:p w:rsidR="00FB7973" w:rsidRDefault="00FB7973" w:rsidP="00FB7973">
                  <w:pPr>
                    <w:pStyle w:val="TableBodyText"/>
                    <w:ind w:right="28"/>
                  </w:pPr>
                  <w:r w:rsidRPr="00662641">
                    <w:t>0.082</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Net contributions</w:t>
                  </w:r>
                </w:p>
              </w:tc>
              <w:tc>
                <w:tcPr>
                  <w:tcW w:w="632" w:type="pct"/>
                  <w:shd w:val="clear" w:color="auto" w:fill="F2F2F2" w:themeFill="background1" w:themeFillShade="F2"/>
                </w:tcPr>
                <w:p w:rsidR="00FB7973" w:rsidRDefault="00FB7973" w:rsidP="00FB7973">
                  <w:pPr>
                    <w:pStyle w:val="TableBodyText"/>
                    <w:ind w:right="28"/>
                  </w:pPr>
                  <w:r w:rsidRPr="00662641">
                    <w:t>0.006</w:t>
                  </w:r>
                </w:p>
              </w:tc>
              <w:tc>
                <w:tcPr>
                  <w:tcW w:w="632" w:type="pct"/>
                  <w:shd w:val="clear" w:color="auto" w:fill="F2F2F2" w:themeFill="background1" w:themeFillShade="F2"/>
                </w:tcPr>
                <w:p w:rsidR="00FB7973" w:rsidRDefault="00FB7973" w:rsidP="00FB7973">
                  <w:pPr>
                    <w:pStyle w:val="TableBodyText"/>
                    <w:ind w:right="28"/>
                  </w:pPr>
                  <w:r w:rsidRPr="00662641">
                    <w:t>0.007</w:t>
                  </w:r>
                </w:p>
              </w:tc>
              <w:tc>
                <w:tcPr>
                  <w:tcW w:w="632" w:type="pct"/>
                  <w:shd w:val="clear" w:color="auto" w:fill="F2F2F2" w:themeFill="background1" w:themeFillShade="F2"/>
                </w:tcPr>
                <w:p w:rsidR="00FB7973" w:rsidRDefault="00FB7973" w:rsidP="00FB7973">
                  <w:pPr>
                    <w:pStyle w:val="TableBodyText"/>
                    <w:ind w:right="28"/>
                  </w:pPr>
                  <w:r w:rsidRPr="00662641">
                    <w:t>-0.008</w:t>
                  </w:r>
                </w:p>
              </w:tc>
              <w:tc>
                <w:tcPr>
                  <w:tcW w:w="632" w:type="pct"/>
                  <w:shd w:val="clear" w:color="auto" w:fill="F2F2F2" w:themeFill="background1" w:themeFillShade="F2"/>
                </w:tcPr>
                <w:p w:rsidR="00FB7973" w:rsidRDefault="00FB7973" w:rsidP="00FB7973">
                  <w:pPr>
                    <w:pStyle w:val="TableBodyText"/>
                    <w:ind w:right="28"/>
                  </w:pPr>
                  <w:r w:rsidRPr="00662641">
                    <w:t>0.006</w:t>
                  </w:r>
                </w:p>
              </w:tc>
              <w:tc>
                <w:tcPr>
                  <w:tcW w:w="630" w:type="pct"/>
                  <w:shd w:val="clear" w:color="auto" w:fill="F2F2F2" w:themeFill="background1" w:themeFillShade="F2"/>
                </w:tcPr>
                <w:p w:rsidR="00FB7973" w:rsidRDefault="00FB7973" w:rsidP="00FB7973">
                  <w:pPr>
                    <w:pStyle w:val="TableBodyText"/>
                    <w:ind w:right="28"/>
                  </w:pPr>
                  <w:r w:rsidRPr="00662641">
                    <w:t>0.019</w:t>
                  </w:r>
                </w:p>
              </w:tc>
            </w:tr>
            <w:tr w:rsidR="00FB7973" w:rsidTr="00FB7973">
              <w:tc>
                <w:tcPr>
                  <w:tcW w:w="1842" w:type="pct"/>
                  <w:shd w:val="clear" w:color="auto" w:fill="auto"/>
                  <w:vAlign w:val="bottom"/>
                </w:tcPr>
                <w:p w:rsidR="00FB7973" w:rsidRDefault="00FB7973" w:rsidP="00FB7973">
                  <w:pPr>
                    <w:pStyle w:val="TableBodyText"/>
                    <w:jc w:val="left"/>
                  </w:pPr>
                  <w:r w:rsidRPr="00C358C1">
                    <w:t>Net rollovers</w:t>
                  </w:r>
                </w:p>
              </w:tc>
              <w:tc>
                <w:tcPr>
                  <w:tcW w:w="632" w:type="pct"/>
                </w:tcPr>
                <w:p w:rsidR="00FB7973" w:rsidRDefault="00FB7973" w:rsidP="00FB7973">
                  <w:pPr>
                    <w:pStyle w:val="TableBodyText"/>
                    <w:ind w:right="28"/>
                  </w:pPr>
                  <w:r w:rsidRPr="00662641">
                    <w:t>-0.010</w:t>
                  </w:r>
                </w:p>
              </w:tc>
              <w:tc>
                <w:tcPr>
                  <w:tcW w:w="632" w:type="pct"/>
                  <w:shd w:val="clear" w:color="auto" w:fill="auto"/>
                </w:tcPr>
                <w:p w:rsidR="00FB7973" w:rsidRDefault="00FB7973" w:rsidP="00FB7973">
                  <w:pPr>
                    <w:pStyle w:val="TableBodyText"/>
                    <w:ind w:right="28"/>
                  </w:pPr>
                  <w:r w:rsidRPr="00662641">
                    <w:t>0.004</w:t>
                  </w:r>
                </w:p>
              </w:tc>
              <w:tc>
                <w:tcPr>
                  <w:tcW w:w="632" w:type="pct"/>
                  <w:shd w:val="clear" w:color="auto" w:fill="auto"/>
                </w:tcPr>
                <w:p w:rsidR="00FB7973" w:rsidRDefault="00FB7973" w:rsidP="00FB7973">
                  <w:pPr>
                    <w:pStyle w:val="TableBodyText"/>
                    <w:ind w:right="28"/>
                  </w:pPr>
                  <w:r w:rsidRPr="00662641">
                    <w:t>-0.018</w:t>
                  </w:r>
                </w:p>
              </w:tc>
              <w:tc>
                <w:tcPr>
                  <w:tcW w:w="632" w:type="pct"/>
                </w:tcPr>
                <w:p w:rsidR="00FB7973" w:rsidRDefault="00FB7973" w:rsidP="00FB7973">
                  <w:pPr>
                    <w:pStyle w:val="TableBodyText"/>
                    <w:ind w:right="28"/>
                  </w:pPr>
                  <w:r w:rsidRPr="00662641">
                    <w:t>-0.010</w:t>
                  </w:r>
                </w:p>
              </w:tc>
              <w:tc>
                <w:tcPr>
                  <w:tcW w:w="630" w:type="pct"/>
                </w:tcPr>
                <w:p w:rsidR="00FB7973" w:rsidRDefault="00FB7973" w:rsidP="00FB7973">
                  <w:pPr>
                    <w:pStyle w:val="TableBodyText"/>
                    <w:ind w:right="28"/>
                  </w:pPr>
                  <w:r w:rsidRPr="00662641">
                    <w:t>-0.003</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Net insurance flows</w:t>
                  </w:r>
                </w:p>
              </w:tc>
              <w:tc>
                <w:tcPr>
                  <w:tcW w:w="632" w:type="pct"/>
                  <w:shd w:val="clear" w:color="auto" w:fill="F2F2F2" w:themeFill="background1" w:themeFillShade="F2"/>
                </w:tcPr>
                <w:p w:rsidR="00FB7973" w:rsidRDefault="00FB7973" w:rsidP="00FB7973">
                  <w:pPr>
                    <w:pStyle w:val="TableBodyText"/>
                    <w:ind w:right="28"/>
                  </w:pPr>
                  <w:r w:rsidRPr="00662641">
                    <w:t>-0.010</w:t>
                  </w:r>
                </w:p>
              </w:tc>
              <w:tc>
                <w:tcPr>
                  <w:tcW w:w="632" w:type="pct"/>
                  <w:shd w:val="clear" w:color="auto" w:fill="F2F2F2" w:themeFill="background1" w:themeFillShade="F2"/>
                </w:tcPr>
                <w:p w:rsidR="00FB7973" w:rsidRDefault="00FB7973" w:rsidP="00FB7973">
                  <w:pPr>
                    <w:pStyle w:val="TableBodyText"/>
                    <w:ind w:right="28"/>
                  </w:pPr>
                  <w:r w:rsidRPr="00662641">
                    <w:t>0.006</w:t>
                  </w:r>
                </w:p>
              </w:tc>
              <w:tc>
                <w:tcPr>
                  <w:tcW w:w="632" w:type="pct"/>
                  <w:shd w:val="clear" w:color="auto" w:fill="F2F2F2" w:themeFill="background1" w:themeFillShade="F2"/>
                </w:tcPr>
                <w:p w:rsidR="00FB7973" w:rsidRDefault="00FB7973" w:rsidP="00FB7973">
                  <w:pPr>
                    <w:pStyle w:val="TableBodyText"/>
                    <w:ind w:right="28"/>
                  </w:pPr>
                  <w:r w:rsidRPr="00662641">
                    <w:t>-0.022</w:t>
                  </w:r>
                </w:p>
              </w:tc>
              <w:tc>
                <w:tcPr>
                  <w:tcW w:w="632" w:type="pct"/>
                  <w:shd w:val="clear" w:color="auto" w:fill="F2F2F2" w:themeFill="background1" w:themeFillShade="F2"/>
                </w:tcPr>
                <w:p w:rsidR="00FB7973" w:rsidRDefault="00FB7973" w:rsidP="00FB7973">
                  <w:pPr>
                    <w:pStyle w:val="TableBodyText"/>
                    <w:ind w:right="28"/>
                  </w:pPr>
                  <w:r w:rsidRPr="00662641">
                    <w:t>-0.010</w:t>
                  </w:r>
                </w:p>
              </w:tc>
              <w:tc>
                <w:tcPr>
                  <w:tcW w:w="630" w:type="pct"/>
                  <w:shd w:val="clear" w:color="auto" w:fill="F2F2F2" w:themeFill="background1" w:themeFillShade="F2"/>
                </w:tcPr>
                <w:p w:rsidR="00FB7973" w:rsidRDefault="00FB7973" w:rsidP="00FB7973">
                  <w:pPr>
                    <w:pStyle w:val="TableBodyText"/>
                    <w:ind w:right="28"/>
                  </w:pPr>
                  <w:r w:rsidRPr="00662641">
                    <w:t>0.001</w:t>
                  </w:r>
                </w:p>
              </w:tc>
            </w:tr>
            <w:tr w:rsidR="00FB7973" w:rsidTr="00FB7973">
              <w:tc>
                <w:tcPr>
                  <w:tcW w:w="1842" w:type="pct"/>
                  <w:shd w:val="clear" w:color="auto" w:fill="auto"/>
                  <w:vAlign w:val="bottom"/>
                </w:tcPr>
                <w:p w:rsidR="00FB7973" w:rsidRDefault="00FB7973" w:rsidP="00FB7973">
                  <w:pPr>
                    <w:pStyle w:val="TableBodyText"/>
                    <w:jc w:val="left"/>
                  </w:pPr>
                  <w:r w:rsidRPr="00C358C1">
                    <w:t>Stronger super</w:t>
                  </w:r>
                </w:p>
              </w:tc>
              <w:tc>
                <w:tcPr>
                  <w:tcW w:w="632" w:type="pct"/>
                </w:tcPr>
                <w:p w:rsidR="00FB7973" w:rsidRDefault="00FB7973" w:rsidP="00FB7973">
                  <w:pPr>
                    <w:pStyle w:val="TableBodyText"/>
                    <w:ind w:right="28"/>
                  </w:pPr>
                  <w:r w:rsidRPr="00662641">
                    <w:t>0.035</w:t>
                  </w:r>
                </w:p>
              </w:tc>
              <w:tc>
                <w:tcPr>
                  <w:tcW w:w="632" w:type="pct"/>
                  <w:shd w:val="clear" w:color="auto" w:fill="auto"/>
                </w:tcPr>
                <w:p w:rsidR="00FB7973" w:rsidRDefault="00FB7973" w:rsidP="00FB7973">
                  <w:pPr>
                    <w:pStyle w:val="TableBodyText"/>
                    <w:ind w:right="28"/>
                  </w:pPr>
                  <w:r w:rsidRPr="00662641">
                    <w:t>0.012</w:t>
                  </w:r>
                </w:p>
              </w:tc>
              <w:tc>
                <w:tcPr>
                  <w:tcW w:w="632" w:type="pct"/>
                  <w:shd w:val="clear" w:color="auto" w:fill="auto"/>
                </w:tcPr>
                <w:p w:rsidR="00FB7973" w:rsidRDefault="00FB7973" w:rsidP="00FB7973">
                  <w:pPr>
                    <w:pStyle w:val="TableBodyText"/>
                    <w:ind w:right="28"/>
                  </w:pPr>
                  <w:r w:rsidRPr="00662641">
                    <w:t>0.012</w:t>
                  </w:r>
                </w:p>
              </w:tc>
              <w:tc>
                <w:tcPr>
                  <w:tcW w:w="632" w:type="pct"/>
                </w:tcPr>
                <w:p w:rsidR="00FB7973" w:rsidRDefault="00FB7973" w:rsidP="00FB7973">
                  <w:pPr>
                    <w:pStyle w:val="TableBodyText"/>
                    <w:ind w:right="28"/>
                  </w:pPr>
                  <w:r w:rsidRPr="00662641">
                    <w:t>0.035</w:t>
                  </w:r>
                </w:p>
              </w:tc>
              <w:tc>
                <w:tcPr>
                  <w:tcW w:w="630" w:type="pct"/>
                </w:tcPr>
                <w:p w:rsidR="00FB7973" w:rsidRDefault="00FB7973" w:rsidP="00FB7973">
                  <w:pPr>
                    <w:pStyle w:val="TableBodyText"/>
                    <w:ind w:right="28"/>
                  </w:pPr>
                  <w:r w:rsidRPr="00662641">
                    <w:t>0.059</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Post reporting change</w:t>
                  </w:r>
                  <w:r>
                    <w:t xml:space="preserve"> (PRC)</w:t>
                  </w:r>
                </w:p>
              </w:tc>
              <w:tc>
                <w:tcPr>
                  <w:tcW w:w="632" w:type="pct"/>
                  <w:shd w:val="clear" w:color="auto" w:fill="F2F2F2" w:themeFill="background1" w:themeFillShade="F2"/>
                </w:tcPr>
                <w:p w:rsidR="00FB7973" w:rsidRDefault="00FB7973" w:rsidP="00FB7973">
                  <w:pPr>
                    <w:pStyle w:val="TableBodyText"/>
                    <w:ind w:right="28"/>
                  </w:pPr>
                  <w:r w:rsidRPr="00662641">
                    <w:t>-0.038</w:t>
                  </w:r>
                </w:p>
              </w:tc>
              <w:tc>
                <w:tcPr>
                  <w:tcW w:w="632" w:type="pct"/>
                  <w:shd w:val="clear" w:color="auto" w:fill="F2F2F2" w:themeFill="background1" w:themeFillShade="F2"/>
                </w:tcPr>
                <w:p w:rsidR="00FB7973" w:rsidRDefault="00FB7973" w:rsidP="00FB7973">
                  <w:pPr>
                    <w:pStyle w:val="TableBodyText"/>
                    <w:ind w:right="28"/>
                  </w:pPr>
                  <w:r w:rsidRPr="00662641">
                    <w:t>0.015</w:t>
                  </w:r>
                </w:p>
              </w:tc>
              <w:tc>
                <w:tcPr>
                  <w:tcW w:w="632" w:type="pct"/>
                  <w:shd w:val="clear" w:color="auto" w:fill="F2F2F2" w:themeFill="background1" w:themeFillShade="F2"/>
                </w:tcPr>
                <w:p w:rsidR="00FB7973" w:rsidRDefault="00FB7973" w:rsidP="00FB7973">
                  <w:pPr>
                    <w:pStyle w:val="TableBodyText"/>
                    <w:ind w:right="28"/>
                  </w:pPr>
                  <w:r w:rsidRPr="00662641">
                    <w:t>-0.068</w:t>
                  </w:r>
                </w:p>
              </w:tc>
              <w:tc>
                <w:tcPr>
                  <w:tcW w:w="632" w:type="pct"/>
                  <w:shd w:val="clear" w:color="auto" w:fill="F2F2F2" w:themeFill="background1" w:themeFillShade="F2"/>
                </w:tcPr>
                <w:p w:rsidR="00FB7973" w:rsidRDefault="00FB7973" w:rsidP="00FB7973">
                  <w:pPr>
                    <w:pStyle w:val="TableBodyText"/>
                    <w:ind w:right="28"/>
                  </w:pPr>
                  <w:r w:rsidRPr="00662641">
                    <w:t>-0.038</w:t>
                  </w:r>
                </w:p>
              </w:tc>
              <w:tc>
                <w:tcPr>
                  <w:tcW w:w="630" w:type="pct"/>
                  <w:shd w:val="clear" w:color="auto" w:fill="F2F2F2" w:themeFill="background1" w:themeFillShade="F2"/>
                </w:tcPr>
                <w:p w:rsidR="00FB7973" w:rsidRDefault="00FB7973" w:rsidP="00FB7973">
                  <w:pPr>
                    <w:pStyle w:val="TableBodyText"/>
                    <w:ind w:right="28"/>
                  </w:pPr>
                  <w:r w:rsidRPr="00662641">
                    <w:t>-0.006</w:t>
                  </w:r>
                </w:p>
              </w:tc>
            </w:tr>
            <w:tr w:rsidR="00FB7973" w:rsidTr="00FB7973">
              <w:tc>
                <w:tcPr>
                  <w:tcW w:w="1842" w:type="pct"/>
                  <w:shd w:val="clear" w:color="auto" w:fill="auto"/>
                  <w:vAlign w:val="bottom"/>
                </w:tcPr>
                <w:p w:rsidR="00FB7973" w:rsidRDefault="00FB7973" w:rsidP="00FB7973">
                  <w:pPr>
                    <w:pStyle w:val="TableBodyText"/>
                    <w:jc w:val="left"/>
                  </w:pPr>
                  <w:r w:rsidRPr="00C358C1">
                    <w:t>Industry</w:t>
                  </w:r>
                </w:p>
              </w:tc>
              <w:tc>
                <w:tcPr>
                  <w:tcW w:w="632" w:type="pct"/>
                </w:tcPr>
                <w:p w:rsidR="00FB7973" w:rsidRDefault="00FB7973" w:rsidP="00FB7973">
                  <w:pPr>
                    <w:pStyle w:val="TableBodyText"/>
                    <w:ind w:right="28"/>
                  </w:pPr>
                  <w:r w:rsidRPr="00662641">
                    <w:t>-0.335</w:t>
                  </w:r>
                </w:p>
              </w:tc>
              <w:tc>
                <w:tcPr>
                  <w:tcW w:w="632" w:type="pct"/>
                  <w:shd w:val="clear" w:color="auto" w:fill="auto"/>
                </w:tcPr>
                <w:p w:rsidR="00FB7973" w:rsidRDefault="00FB7973" w:rsidP="00FB7973">
                  <w:pPr>
                    <w:pStyle w:val="TableBodyText"/>
                    <w:ind w:right="28"/>
                  </w:pPr>
                  <w:r w:rsidRPr="00662641">
                    <w:t>0.231</w:t>
                  </w:r>
                </w:p>
              </w:tc>
              <w:tc>
                <w:tcPr>
                  <w:tcW w:w="632" w:type="pct"/>
                  <w:shd w:val="clear" w:color="auto" w:fill="auto"/>
                </w:tcPr>
                <w:p w:rsidR="00FB7973" w:rsidRDefault="00FB7973" w:rsidP="00FB7973">
                  <w:pPr>
                    <w:pStyle w:val="TableBodyText"/>
                    <w:ind w:right="28"/>
                  </w:pPr>
                  <w:r w:rsidRPr="00662641">
                    <w:t>-0.782</w:t>
                  </w:r>
                </w:p>
              </w:tc>
              <w:tc>
                <w:tcPr>
                  <w:tcW w:w="632" w:type="pct"/>
                </w:tcPr>
                <w:p w:rsidR="00FB7973" w:rsidRDefault="00FB7973" w:rsidP="00FB7973">
                  <w:pPr>
                    <w:pStyle w:val="TableBodyText"/>
                    <w:ind w:right="28"/>
                  </w:pPr>
                  <w:r w:rsidRPr="00662641">
                    <w:t>-0.342</w:t>
                  </w:r>
                </w:p>
              </w:tc>
              <w:tc>
                <w:tcPr>
                  <w:tcW w:w="630" w:type="pct"/>
                </w:tcPr>
                <w:p w:rsidR="00FB7973" w:rsidRDefault="00FB7973" w:rsidP="00FB7973">
                  <w:pPr>
                    <w:pStyle w:val="TableBodyText"/>
                    <w:ind w:right="28"/>
                  </w:pPr>
                  <w:r w:rsidRPr="00662641">
                    <w:t>0.113</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Public</w:t>
                  </w:r>
                </w:p>
              </w:tc>
              <w:tc>
                <w:tcPr>
                  <w:tcW w:w="632" w:type="pct"/>
                  <w:shd w:val="clear" w:color="auto" w:fill="F2F2F2" w:themeFill="background1" w:themeFillShade="F2"/>
                </w:tcPr>
                <w:p w:rsidR="00FB7973" w:rsidRDefault="00FB7973" w:rsidP="00FB7973">
                  <w:pPr>
                    <w:pStyle w:val="TableBodyText"/>
                    <w:ind w:right="28"/>
                  </w:pPr>
                  <w:r w:rsidRPr="00662641">
                    <w:t>0.071</w:t>
                  </w:r>
                </w:p>
              </w:tc>
              <w:tc>
                <w:tcPr>
                  <w:tcW w:w="632" w:type="pct"/>
                  <w:shd w:val="clear" w:color="auto" w:fill="F2F2F2" w:themeFill="background1" w:themeFillShade="F2"/>
                </w:tcPr>
                <w:p w:rsidR="00FB7973" w:rsidRDefault="00FB7973" w:rsidP="00FB7973">
                  <w:pPr>
                    <w:pStyle w:val="TableBodyText"/>
                    <w:ind w:right="28"/>
                  </w:pPr>
                  <w:r w:rsidRPr="00662641">
                    <w:t>0.343</w:t>
                  </w:r>
                </w:p>
              </w:tc>
              <w:tc>
                <w:tcPr>
                  <w:tcW w:w="632" w:type="pct"/>
                  <w:shd w:val="clear" w:color="auto" w:fill="F2F2F2" w:themeFill="background1" w:themeFillShade="F2"/>
                </w:tcPr>
                <w:p w:rsidR="00FB7973" w:rsidRDefault="00FB7973" w:rsidP="00FB7973">
                  <w:pPr>
                    <w:pStyle w:val="TableBodyText"/>
                    <w:ind w:right="28"/>
                  </w:pPr>
                  <w:r w:rsidRPr="00662641">
                    <w:t>-0.596</w:t>
                  </w:r>
                </w:p>
              </w:tc>
              <w:tc>
                <w:tcPr>
                  <w:tcW w:w="632" w:type="pct"/>
                  <w:shd w:val="clear" w:color="auto" w:fill="F2F2F2" w:themeFill="background1" w:themeFillShade="F2"/>
                </w:tcPr>
                <w:p w:rsidR="00FB7973" w:rsidRDefault="00FB7973" w:rsidP="00FB7973">
                  <w:pPr>
                    <w:pStyle w:val="TableBodyText"/>
                    <w:ind w:right="28"/>
                  </w:pPr>
                  <w:r w:rsidRPr="00662641">
                    <w:t>0.054</w:t>
                  </w:r>
                </w:p>
              </w:tc>
              <w:tc>
                <w:tcPr>
                  <w:tcW w:w="630" w:type="pct"/>
                  <w:shd w:val="clear" w:color="auto" w:fill="F2F2F2" w:themeFill="background1" w:themeFillShade="F2"/>
                </w:tcPr>
                <w:p w:rsidR="00FB7973" w:rsidRDefault="00FB7973" w:rsidP="00FB7973">
                  <w:pPr>
                    <w:pStyle w:val="TableBodyText"/>
                    <w:ind w:right="28"/>
                  </w:pPr>
                  <w:r w:rsidRPr="00662641">
                    <w:t>0.749</w:t>
                  </w:r>
                </w:p>
              </w:tc>
            </w:tr>
            <w:tr w:rsidR="00FB7973" w:rsidTr="00FB7973">
              <w:tc>
                <w:tcPr>
                  <w:tcW w:w="1842" w:type="pct"/>
                  <w:shd w:val="clear" w:color="auto" w:fill="auto"/>
                  <w:vAlign w:val="bottom"/>
                </w:tcPr>
                <w:p w:rsidR="00FB7973" w:rsidRDefault="00FB7973" w:rsidP="00FB7973">
                  <w:pPr>
                    <w:pStyle w:val="TableBodyText"/>
                    <w:jc w:val="left"/>
                  </w:pPr>
                  <w:r w:rsidRPr="00C358C1">
                    <w:t>Retail</w:t>
                  </w:r>
                </w:p>
              </w:tc>
              <w:tc>
                <w:tcPr>
                  <w:tcW w:w="632" w:type="pct"/>
                </w:tcPr>
                <w:p w:rsidR="00FB7973" w:rsidRDefault="00FB7973" w:rsidP="00FB7973">
                  <w:pPr>
                    <w:pStyle w:val="TableBodyText"/>
                    <w:ind w:right="28"/>
                  </w:pPr>
                  <w:r w:rsidRPr="00662641">
                    <w:t>-0.329</w:t>
                  </w:r>
                </w:p>
              </w:tc>
              <w:tc>
                <w:tcPr>
                  <w:tcW w:w="632" w:type="pct"/>
                  <w:shd w:val="clear" w:color="auto" w:fill="auto"/>
                </w:tcPr>
                <w:p w:rsidR="00FB7973" w:rsidRDefault="00FB7973" w:rsidP="00FB7973">
                  <w:pPr>
                    <w:pStyle w:val="TableBodyText"/>
                    <w:ind w:right="28"/>
                  </w:pPr>
                  <w:r w:rsidRPr="00662641">
                    <w:t>0.123</w:t>
                  </w:r>
                </w:p>
              </w:tc>
              <w:tc>
                <w:tcPr>
                  <w:tcW w:w="632" w:type="pct"/>
                  <w:shd w:val="clear" w:color="auto" w:fill="auto"/>
                </w:tcPr>
                <w:p w:rsidR="00FB7973" w:rsidRDefault="00FB7973" w:rsidP="00FB7973">
                  <w:pPr>
                    <w:pStyle w:val="TableBodyText"/>
                    <w:ind w:right="28"/>
                  </w:pPr>
                  <w:r w:rsidRPr="00662641">
                    <w:t>-0.573</w:t>
                  </w:r>
                </w:p>
              </w:tc>
              <w:tc>
                <w:tcPr>
                  <w:tcW w:w="632" w:type="pct"/>
                </w:tcPr>
                <w:p w:rsidR="00FB7973" w:rsidRDefault="00FB7973" w:rsidP="00FB7973">
                  <w:pPr>
                    <w:pStyle w:val="TableBodyText"/>
                    <w:ind w:right="28"/>
                  </w:pPr>
                  <w:r w:rsidRPr="00662641">
                    <w:t>-0.325</w:t>
                  </w:r>
                </w:p>
              </w:tc>
              <w:tc>
                <w:tcPr>
                  <w:tcW w:w="630" w:type="pct"/>
                </w:tcPr>
                <w:p w:rsidR="00FB7973" w:rsidRDefault="00FB7973" w:rsidP="00FB7973">
                  <w:pPr>
                    <w:pStyle w:val="TableBodyText"/>
                    <w:ind w:right="28"/>
                  </w:pPr>
                  <w:r w:rsidRPr="00662641">
                    <w:t>-0.095</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Industry x Assets</w:t>
                  </w:r>
                </w:p>
              </w:tc>
              <w:tc>
                <w:tcPr>
                  <w:tcW w:w="632" w:type="pct"/>
                  <w:shd w:val="clear" w:color="auto" w:fill="F2F2F2" w:themeFill="background1" w:themeFillShade="F2"/>
                </w:tcPr>
                <w:p w:rsidR="00FB7973" w:rsidRDefault="00FB7973" w:rsidP="00FB7973">
                  <w:pPr>
                    <w:pStyle w:val="TableBodyText"/>
                    <w:ind w:right="28"/>
                  </w:pPr>
                  <w:r w:rsidRPr="00662641">
                    <w:t>0.160</w:t>
                  </w:r>
                </w:p>
              </w:tc>
              <w:tc>
                <w:tcPr>
                  <w:tcW w:w="632" w:type="pct"/>
                  <w:shd w:val="clear" w:color="auto" w:fill="F2F2F2" w:themeFill="background1" w:themeFillShade="F2"/>
                </w:tcPr>
                <w:p w:rsidR="00FB7973" w:rsidRDefault="00FB7973" w:rsidP="00FB7973">
                  <w:pPr>
                    <w:pStyle w:val="TableBodyText"/>
                    <w:ind w:right="28"/>
                  </w:pPr>
                  <w:r w:rsidRPr="00662641">
                    <w:t>0.063</w:t>
                  </w:r>
                </w:p>
              </w:tc>
              <w:tc>
                <w:tcPr>
                  <w:tcW w:w="632" w:type="pct"/>
                  <w:shd w:val="clear" w:color="auto" w:fill="F2F2F2" w:themeFill="background1" w:themeFillShade="F2"/>
                </w:tcPr>
                <w:p w:rsidR="00FB7973" w:rsidRDefault="00FB7973" w:rsidP="00FB7973">
                  <w:pPr>
                    <w:pStyle w:val="TableBodyText"/>
                    <w:ind w:right="28"/>
                  </w:pPr>
                  <w:r w:rsidRPr="00662641">
                    <w:t>0.034</w:t>
                  </w:r>
                </w:p>
              </w:tc>
              <w:tc>
                <w:tcPr>
                  <w:tcW w:w="632" w:type="pct"/>
                  <w:shd w:val="clear" w:color="auto" w:fill="F2F2F2" w:themeFill="background1" w:themeFillShade="F2"/>
                </w:tcPr>
                <w:p w:rsidR="00FB7973" w:rsidRDefault="00FB7973" w:rsidP="00FB7973">
                  <w:pPr>
                    <w:pStyle w:val="TableBodyText"/>
                    <w:ind w:right="28"/>
                  </w:pPr>
                  <w:r w:rsidRPr="00662641">
                    <w:t>0.163</w:t>
                  </w:r>
                </w:p>
              </w:tc>
              <w:tc>
                <w:tcPr>
                  <w:tcW w:w="630" w:type="pct"/>
                  <w:shd w:val="clear" w:color="auto" w:fill="F2F2F2" w:themeFill="background1" w:themeFillShade="F2"/>
                </w:tcPr>
                <w:p w:rsidR="00FB7973" w:rsidRDefault="00FB7973" w:rsidP="00FB7973">
                  <w:pPr>
                    <w:pStyle w:val="TableBodyText"/>
                    <w:ind w:right="28"/>
                  </w:pPr>
                  <w:r w:rsidRPr="00662641">
                    <w:t>0.277</w:t>
                  </w:r>
                </w:p>
              </w:tc>
            </w:tr>
            <w:tr w:rsidR="00FB7973" w:rsidTr="00FB7973">
              <w:tc>
                <w:tcPr>
                  <w:tcW w:w="1842" w:type="pct"/>
                  <w:shd w:val="clear" w:color="auto" w:fill="auto"/>
                  <w:vAlign w:val="bottom"/>
                </w:tcPr>
                <w:p w:rsidR="00FB7973" w:rsidRDefault="00FB7973" w:rsidP="00FB7973">
                  <w:pPr>
                    <w:pStyle w:val="TableBodyText"/>
                    <w:jc w:val="left"/>
                  </w:pPr>
                  <w:r w:rsidRPr="00C358C1">
                    <w:t>Public x Assets</w:t>
                  </w:r>
                </w:p>
              </w:tc>
              <w:tc>
                <w:tcPr>
                  <w:tcW w:w="632" w:type="pct"/>
                </w:tcPr>
                <w:p w:rsidR="00FB7973" w:rsidRDefault="00FB7973" w:rsidP="00FB7973">
                  <w:pPr>
                    <w:pStyle w:val="TableBodyText"/>
                    <w:ind w:right="28"/>
                  </w:pPr>
                  <w:r w:rsidRPr="00662641">
                    <w:t>0.076</w:t>
                  </w:r>
                </w:p>
              </w:tc>
              <w:tc>
                <w:tcPr>
                  <w:tcW w:w="632" w:type="pct"/>
                  <w:shd w:val="clear" w:color="auto" w:fill="auto"/>
                </w:tcPr>
                <w:p w:rsidR="00FB7973" w:rsidRDefault="00FB7973" w:rsidP="00FB7973">
                  <w:pPr>
                    <w:pStyle w:val="TableBodyText"/>
                    <w:ind w:right="28"/>
                  </w:pPr>
                  <w:r w:rsidRPr="00662641">
                    <w:t>0.103</w:t>
                  </w:r>
                </w:p>
              </w:tc>
              <w:tc>
                <w:tcPr>
                  <w:tcW w:w="632" w:type="pct"/>
                  <w:shd w:val="clear" w:color="auto" w:fill="auto"/>
                </w:tcPr>
                <w:p w:rsidR="00FB7973" w:rsidRDefault="00FB7973" w:rsidP="00FB7973">
                  <w:pPr>
                    <w:pStyle w:val="TableBodyText"/>
                    <w:ind w:right="28"/>
                  </w:pPr>
                  <w:r w:rsidRPr="00662641">
                    <w:t>-0.127</w:t>
                  </w:r>
                </w:p>
              </w:tc>
              <w:tc>
                <w:tcPr>
                  <w:tcW w:w="632" w:type="pct"/>
                </w:tcPr>
                <w:p w:rsidR="00FB7973" w:rsidRDefault="00FB7973" w:rsidP="00FB7973">
                  <w:pPr>
                    <w:pStyle w:val="TableBodyText"/>
                    <w:ind w:right="28"/>
                  </w:pPr>
                  <w:r w:rsidRPr="00662641">
                    <w:t>0.077</w:t>
                  </w:r>
                </w:p>
              </w:tc>
              <w:tc>
                <w:tcPr>
                  <w:tcW w:w="630" w:type="pct"/>
                </w:tcPr>
                <w:p w:rsidR="00FB7973" w:rsidRDefault="00FB7973" w:rsidP="00FB7973">
                  <w:pPr>
                    <w:pStyle w:val="TableBodyText"/>
                    <w:ind w:right="28"/>
                  </w:pPr>
                  <w:r w:rsidRPr="00662641">
                    <w:t>0.274</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Retail x Assets</w:t>
                  </w:r>
                </w:p>
              </w:tc>
              <w:tc>
                <w:tcPr>
                  <w:tcW w:w="632" w:type="pct"/>
                  <w:shd w:val="clear" w:color="auto" w:fill="F2F2F2" w:themeFill="background1" w:themeFillShade="F2"/>
                </w:tcPr>
                <w:p w:rsidR="00FB7973" w:rsidRDefault="00FB7973" w:rsidP="00FB7973">
                  <w:pPr>
                    <w:pStyle w:val="TableBodyText"/>
                    <w:ind w:right="28"/>
                  </w:pPr>
                  <w:r w:rsidRPr="00662641">
                    <w:t>0.227</w:t>
                  </w:r>
                </w:p>
              </w:tc>
              <w:tc>
                <w:tcPr>
                  <w:tcW w:w="632" w:type="pct"/>
                  <w:shd w:val="clear" w:color="auto" w:fill="F2F2F2" w:themeFill="background1" w:themeFillShade="F2"/>
                </w:tcPr>
                <w:p w:rsidR="00FB7973" w:rsidRDefault="00FB7973" w:rsidP="00FB7973">
                  <w:pPr>
                    <w:pStyle w:val="TableBodyText"/>
                    <w:ind w:right="28"/>
                  </w:pPr>
                  <w:r w:rsidRPr="00662641">
                    <w:t>0.044</w:t>
                  </w:r>
                </w:p>
              </w:tc>
              <w:tc>
                <w:tcPr>
                  <w:tcW w:w="632" w:type="pct"/>
                  <w:shd w:val="clear" w:color="auto" w:fill="F2F2F2" w:themeFill="background1" w:themeFillShade="F2"/>
                </w:tcPr>
                <w:p w:rsidR="00FB7973" w:rsidRDefault="00FB7973" w:rsidP="00FB7973">
                  <w:pPr>
                    <w:pStyle w:val="TableBodyText"/>
                    <w:ind w:right="28"/>
                  </w:pPr>
                  <w:r w:rsidRPr="00662641">
                    <w:t>0.147</w:t>
                  </w:r>
                </w:p>
              </w:tc>
              <w:tc>
                <w:tcPr>
                  <w:tcW w:w="632" w:type="pct"/>
                  <w:shd w:val="clear" w:color="auto" w:fill="F2F2F2" w:themeFill="background1" w:themeFillShade="F2"/>
                </w:tcPr>
                <w:p w:rsidR="00FB7973" w:rsidRDefault="00FB7973" w:rsidP="00FB7973">
                  <w:pPr>
                    <w:pStyle w:val="TableBodyText"/>
                    <w:ind w:right="28"/>
                  </w:pPr>
                  <w:r w:rsidRPr="00662641">
                    <w:t>0.227</w:t>
                  </w:r>
                </w:p>
              </w:tc>
              <w:tc>
                <w:tcPr>
                  <w:tcW w:w="630" w:type="pct"/>
                  <w:shd w:val="clear" w:color="auto" w:fill="F2F2F2" w:themeFill="background1" w:themeFillShade="F2"/>
                </w:tcPr>
                <w:p w:rsidR="00FB7973" w:rsidRDefault="00FB7973" w:rsidP="00FB7973">
                  <w:pPr>
                    <w:pStyle w:val="TableBodyText"/>
                    <w:ind w:right="28"/>
                  </w:pPr>
                  <w:r w:rsidRPr="00662641">
                    <w:t>0.316</w:t>
                  </w:r>
                </w:p>
              </w:tc>
            </w:tr>
            <w:tr w:rsidR="00FB7973" w:rsidTr="00FB7973">
              <w:tc>
                <w:tcPr>
                  <w:tcW w:w="1842" w:type="pct"/>
                  <w:shd w:val="clear" w:color="auto" w:fill="auto"/>
                  <w:vAlign w:val="bottom"/>
                </w:tcPr>
                <w:p w:rsidR="00FB7973" w:rsidRDefault="00FB7973" w:rsidP="00FB7973">
                  <w:pPr>
                    <w:pStyle w:val="TableBodyText"/>
                    <w:jc w:val="left"/>
                  </w:pPr>
                  <w:r w:rsidRPr="00C358C1">
                    <w:t>Industry x Member accounts</w:t>
                  </w:r>
                </w:p>
              </w:tc>
              <w:tc>
                <w:tcPr>
                  <w:tcW w:w="632" w:type="pct"/>
                </w:tcPr>
                <w:p w:rsidR="00FB7973" w:rsidRDefault="00FB7973" w:rsidP="00FB7973">
                  <w:pPr>
                    <w:pStyle w:val="TableBodyText"/>
                    <w:ind w:right="28"/>
                  </w:pPr>
                  <w:r w:rsidRPr="00662641">
                    <w:t>-0.161</w:t>
                  </w:r>
                </w:p>
              </w:tc>
              <w:tc>
                <w:tcPr>
                  <w:tcW w:w="632" w:type="pct"/>
                  <w:shd w:val="clear" w:color="auto" w:fill="auto"/>
                </w:tcPr>
                <w:p w:rsidR="00FB7973" w:rsidRDefault="00FB7973" w:rsidP="00FB7973">
                  <w:pPr>
                    <w:pStyle w:val="TableBodyText"/>
                    <w:ind w:right="28"/>
                  </w:pPr>
                  <w:r w:rsidRPr="00662641">
                    <w:t>0.089</w:t>
                  </w:r>
                </w:p>
              </w:tc>
              <w:tc>
                <w:tcPr>
                  <w:tcW w:w="632" w:type="pct"/>
                  <w:shd w:val="clear" w:color="auto" w:fill="auto"/>
                </w:tcPr>
                <w:p w:rsidR="00FB7973" w:rsidRDefault="00FB7973" w:rsidP="00FB7973">
                  <w:pPr>
                    <w:pStyle w:val="TableBodyText"/>
                    <w:ind w:right="28"/>
                  </w:pPr>
                  <w:r w:rsidRPr="00662641">
                    <w:t>-0.335</w:t>
                  </w:r>
                </w:p>
              </w:tc>
              <w:tc>
                <w:tcPr>
                  <w:tcW w:w="632" w:type="pct"/>
                </w:tcPr>
                <w:p w:rsidR="00FB7973" w:rsidRDefault="00FB7973" w:rsidP="00FB7973">
                  <w:pPr>
                    <w:pStyle w:val="TableBodyText"/>
                    <w:ind w:right="28"/>
                  </w:pPr>
                  <w:r w:rsidRPr="00662641">
                    <w:t>-0.161</w:t>
                  </w:r>
                </w:p>
              </w:tc>
              <w:tc>
                <w:tcPr>
                  <w:tcW w:w="630" w:type="pct"/>
                </w:tcPr>
                <w:p w:rsidR="00FB7973" w:rsidRDefault="00FB7973" w:rsidP="00FB7973">
                  <w:pPr>
                    <w:pStyle w:val="TableBodyText"/>
                    <w:ind w:right="28"/>
                  </w:pPr>
                  <w:r w:rsidRPr="00662641">
                    <w:t>0.015</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Public x Member accounts</w:t>
                  </w:r>
                </w:p>
              </w:tc>
              <w:tc>
                <w:tcPr>
                  <w:tcW w:w="632" w:type="pct"/>
                  <w:shd w:val="clear" w:color="auto" w:fill="F2F2F2" w:themeFill="background1" w:themeFillShade="F2"/>
                </w:tcPr>
                <w:p w:rsidR="00FB7973" w:rsidRDefault="00FB7973" w:rsidP="00FB7973">
                  <w:pPr>
                    <w:pStyle w:val="TableBodyText"/>
                    <w:ind w:right="28"/>
                  </w:pPr>
                  <w:r w:rsidRPr="00662641">
                    <w:t>-0.185</w:t>
                  </w:r>
                </w:p>
              </w:tc>
              <w:tc>
                <w:tcPr>
                  <w:tcW w:w="632" w:type="pct"/>
                  <w:shd w:val="clear" w:color="auto" w:fill="F2F2F2" w:themeFill="background1" w:themeFillShade="F2"/>
                </w:tcPr>
                <w:p w:rsidR="00FB7973" w:rsidRDefault="00FB7973" w:rsidP="00FB7973">
                  <w:pPr>
                    <w:pStyle w:val="TableBodyText"/>
                    <w:ind w:right="28"/>
                  </w:pPr>
                  <w:r w:rsidRPr="00662641">
                    <w:t>0.153</w:t>
                  </w:r>
                </w:p>
              </w:tc>
              <w:tc>
                <w:tcPr>
                  <w:tcW w:w="632" w:type="pct"/>
                  <w:shd w:val="clear" w:color="auto" w:fill="F2F2F2" w:themeFill="background1" w:themeFillShade="F2"/>
                </w:tcPr>
                <w:p w:rsidR="00FB7973" w:rsidRDefault="00FB7973" w:rsidP="00FB7973">
                  <w:pPr>
                    <w:pStyle w:val="TableBodyText"/>
                    <w:ind w:right="28"/>
                  </w:pPr>
                  <w:r w:rsidRPr="00662641">
                    <w:t>-0.491</w:t>
                  </w:r>
                </w:p>
              </w:tc>
              <w:tc>
                <w:tcPr>
                  <w:tcW w:w="632" w:type="pct"/>
                  <w:shd w:val="clear" w:color="auto" w:fill="F2F2F2" w:themeFill="background1" w:themeFillShade="F2"/>
                </w:tcPr>
                <w:p w:rsidR="00FB7973" w:rsidRDefault="00FB7973" w:rsidP="00FB7973">
                  <w:pPr>
                    <w:pStyle w:val="TableBodyText"/>
                    <w:ind w:right="28"/>
                  </w:pPr>
                  <w:r w:rsidRPr="00662641">
                    <w:t>-0.186</w:t>
                  </w:r>
                </w:p>
              </w:tc>
              <w:tc>
                <w:tcPr>
                  <w:tcW w:w="630" w:type="pct"/>
                  <w:shd w:val="clear" w:color="auto" w:fill="F2F2F2" w:themeFill="background1" w:themeFillShade="F2"/>
                </w:tcPr>
                <w:p w:rsidR="00FB7973" w:rsidRDefault="00FB7973" w:rsidP="00FB7973">
                  <w:pPr>
                    <w:pStyle w:val="TableBodyText"/>
                    <w:ind w:right="28"/>
                  </w:pPr>
                  <w:r w:rsidRPr="00662641">
                    <w:t>0.129</w:t>
                  </w:r>
                </w:p>
              </w:tc>
            </w:tr>
            <w:tr w:rsidR="00FB7973" w:rsidTr="00FB7973">
              <w:tc>
                <w:tcPr>
                  <w:tcW w:w="1842" w:type="pct"/>
                  <w:shd w:val="clear" w:color="auto" w:fill="auto"/>
                  <w:vAlign w:val="bottom"/>
                </w:tcPr>
                <w:p w:rsidR="00FB7973" w:rsidRDefault="00FB7973" w:rsidP="00FB7973">
                  <w:pPr>
                    <w:pStyle w:val="TableBodyText"/>
                    <w:jc w:val="left"/>
                  </w:pPr>
                  <w:r w:rsidRPr="00C358C1">
                    <w:t>Retail x Member accounts</w:t>
                  </w:r>
                </w:p>
              </w:tc>
              <w:tc>
                <w:tcPr>
                  <w:tcW w:w="632" w:type="pct"/>
                </w:tcPr>
                <w:p w:rsidR="00FB7973" w:rsidRDefault="00FB7973" w:rsidP="00FB7973">
                  <w:pPr>
                    <w:pStyle w:val="TableBodyText"/>
                    <w:ind w:right="28"/>
                  </w:pPr>
                  <w:r w:rsidRPr="00662641">
                    <w:t>-0.281</w:t>
                  </w:r>
                </w:p>
              </w:tc>
              <w:tc>
                <w:tcPr>
                  <w:tcW w:w="632" w:type="pct"/>
                  <w:shd w:val="clear" w:color="auto" w:fill="auto"/>
                </w:tcPr>
                <w:p w:rsidR="00FB7973" w:rsidRDefault="00FB7973" w:rsidP="00FB7973">
                  <w:pPr>
                    <w:pStyle w:val="TableBodyText"/>
                    <w:ind w:right="28"/>
                  </w:pPr>
                  <w:r w:rsidRPr="00662641">
                    <w:t>0.047</w:t>
                  </w:r>
                </w:p>
              </w:tc>
              <w:tc>
                <w:tcPr>
                  <w:tcW w:w="632" w:type="pct"/>
                  <w:shd w:val="clear" w:color="auto" w:fill="auto"/>
                </w:tcPr>
                <w:p w:rsidR="00FB7973" w:rsidRDefault="00FB7973" w:rsidP="00FB7973">
                  <w:pPr>
                    <w:pStyle w:val="TableBodyText"/>
                    <w:ind w:right="28"/>
                  </w:pPr>
                  <w:r w:rsidRPr="00662641">
                    <w:t>-0.378</w:t>
                  </w:r>
                </w:p>
              </w:tc>
              <w:tc>
                <w:tcPr>
                  <w:tcW w:w="632" w:type="pct"/>
                </w:tcPr>
                <w:p w:rsidR="00FB7973" w:rsidRDefault="00FB7973" w:rsidP="00FB7973">
                  <w:pPr>
                    <w:pStyle w:val="TableBodyText"/>
                    <w:ind w:right="28"/>
                  </w:pPr>
                  <w:r w:rsidRPr="00662641">
                    <w:t>-0.279</w:t>
                  </w:r>
                </w:p>
              </w:tc>
              <w:tc>
                <w:tcPr>
                  <w:tcW w:w="630" w:type="pct"/>
                </w:tcPr>
                <w:p w:rsidR="00FB7973" w:rsidRDefault="00FB7973" w:rsidP="00FB7973">
                  <w:pPr>
                    <w:pStyle w:val="TableBodyText"/>
                    <w:ind w:right="28"/>
                  </w:pPr>
                  <w:r w:rsidRPr="00662641">
                    <w:t>-0.196</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Intercept</w:t>
                  </w:r>
                </w:p>
              </w:tc>
              <w:tc>
                <w:tcPr>
                  <w:tcW w:w="632" w:type="pct"/>
                  <w:shd w:val="clear" w:color="auto" w:fill="F2F2F2" w:themeFill="background1" w:themeFillShade="F2"/>
                </w:tcPr>
                <w:p w:rsidR="00FB7973" w:rsidRDefault="00FB7973" w:rsidP="00FB7973">
                  <w:pPr>
                    <w:pStyle w:val="TableBodyText"/>
                    <w:ind w:right="28"/>
                  </w:pPr>
                  <w:r w:rsidRPr="00662641">
                    <w:t>-0.872</w:t>
                  </w:r>
                </w:p>
              </w:tc>
              <w:tc>
                <w:tcPr>
                  <w:tcW w:w="632" w:type="pct"/>
                  <w:shd w:val="clear" w:color="auto" w:fill="F2F2F2" w:themeFill="background1" w:themeFillShade="F2"/>
                </w:tcPr>
                <w:p w:rsidR="00FB7973" w:rsidRDefault="00FB7973" w:rsidP="00FB7973">
                  <w:pPr>
                    <w:pStyle w:val="TableBodyText"/>
                    <w:ind w:right="28"/>
                  </w:pPr>
                  <w:r w:rsidRPr="00662641">
                    <w:t>0.131</w:t>
                  </w:r>
                </w:p>
              </w:tc>
              <w:tc>
                <w:tcPr>
                  <w:tcW w:w="632" w:type="pct"/>
                  <w:shd w:val="clear" w:color="auto" w:fill="F2F2F2" w:themeFill="background1" w:themeFillShade="F2"/>
                </w:tcPr>
                <w:p w:rsidR="00FB7973" w:rsidRDefault="00FB7973" w:rsidP="00FB7973">
                  <w:pPr>
                    <w:pStyle w:val="TableBodyText"/>
                    <w:ind w:right="28"/>
                  </w:pPr>
                  <w:r w:rsidRPr="00662641">
                    <w:t>-1.130</w:t>
                  </w:r>
                </w:p>
              </w:tc>
              <w:tc>
                <w:tcPr>
                  <w:tcW w:w="632" w:type="pct"/>
                  <w:shd w:val="clear" w:color="auto" w:fill="F2F2F2" w:themeFill="background1" w:themeFillShade="F2"/>
                </w:tcPr>
                <w:p w:rsidR="00FB7973" w:rsidRDefault="00FB7973" w:rsidP="00FB7973">
                  <w:pPr>
                    <w:pStyle w:val="TableBodyText"/>
                    <w:ind w:right="28"/>
                  </w:pPr>
                  <w:r w:rsidRPr="00662641">
                    <w:t>-0.868</w:t>
                  </w:r>
                </w:p>
              </w:tc>
              <w:tc>
                <w:tcPr>
                  <w:tcW w:w="630" w:type="pct"/>
                  <w:shd w:val="clear" w:color="auto" w:fill="F2F2F2" w:themeFill="background1" w:themeFillShade="F2"/>
                </w:tcPr>
                <w:p w:rsidR="00FB7973" w:rsidRDefault="00FB7973" w:rsidP="00FB7973">
                  <w:pPr>
                    <w:pStyle w:val="TableBodyText"/>
                    <w:ind w:right="28"/>
                  </w:pPr>
                  <w:r w:rsidRPr="00662641">
                    <w:t>-0.599</w:t>
                  </w:r>
                </w:p>
              </w:tc>
            </w:tr>
            <w:tr w:rsidR="00FB7973" w:rsidTr="00FB7973">
              <w:tc>
                <w:tcPr>
                  <w:tcW w:w="1842" w:type="pct"/>
                  <w:shd w:val="clear" w:color="auto" w:fill="auto"/>
                  <w:vAlign w:val="bottom"/>
                </w:tcPr>
                <w:p w:rsidR="00FB7973" w:rsidRDefault="00FB7973" w:rsidP="00FB7973">
                  <w:pPr>
                    <w:pStyle w:val="TableBodyText"/>
                    <w:jc w:val="left"/>
                  </w:pPr>
                  <w:r w:rsidRPr="00C358C1">
                    <w:t>SD of varying Intercept</w:t>
                  </w:r>
                </w:p>
              </w:tc>
              <w:tc>
                <w:tcPr>
                  <w:tcW w:w="632" w:type="pct"/>
                </w:tcPr>
                <w:p w:rsidR="00FB7973" w:rsidRDefault="00FB7973" w:rsidP="00FB7973">
                  <w:pPr>
                    <w:pStyle w:val="TableBodyText"/>
                    <w:ind w:right="28"/>
                  </w:pPr>
                  <w:r w:rsidRPr="00662641">
                    <w:t>0.996</w:t>
                  </w:r>
                </w:p>
              </w:tc>
              <w:tc>
                <w:tcPr>
                  <w:tcW w:w="632" w:type="pct"/>
                  <w:shd w:val="clear" w:color="auto" w:fill="auto"/>
                </w:tcPr>
                <w:p w:rsidR="00FB7973" w:rsidRDefault="00FB7973" w:rsidP="00FB7973">
                  <w:pPr>
                    <w:pStyle w:val="TableBodyText"/>
                    <w:ind w:right="28"/>
                  </w:pPr>
                  <w:r w:rsidRPr="00662641">
                    <w:t>0.146</w:t>
                  </w:r>
                </w:p>
              </w:tc>
              <w:tc>
                <w:tcPr>
                  <w:tcW w:w="632" w:type="pct"/>
                  <w:shd w:val="clear" w:color="auto" w:fill="auto"/>
                </w:tcPr>
                <w:p w:rsidR="00FB7973" w:rsidRDefault="00FB7973" w:rsidP="00FB7973">
                  <w:pPr>
                    <w:pStyle w:val="TableBodyText"/>
                    <w:ind w:right="28"/>
                  </w:pPr>
                  <w:r w:rsidRPr="00662641">
                    <w:t>0.689</w:t>
                  </w:r>
                </w:p>
              </w:tc>
              <w:tc>
                <w:tcPr>
                  <w:tcW w:w="632" w:type="pct"/>
                </w:tcPr>
                <w:p w:rsidR="00FB7973" w:rsidRDefault="00FB7973" w:rsidP="00FB7973">
                  <w:pPr>
                    <w:pStyle w:val="TableBodyText"/>
                    <w:ind w:right="28"/>
                  </w:pPr>
                  <w:r w:rsidRPr="00662641">
                    <w:t>1.005</w:t>
                  </w:r>
                </w:p>
              </w:tc>
              <w:tc>
                <w:tcPr>
                  <w:tcW w:w="630" w:type="pct"/>
                </w:tcPr>
                <w:p w:rsidR="00FB7973" w:rsidRDefault="00FB7973" w:rsidP="00FB7973">
                  <w:pPr>
                    <w:pStyle w:val="TableBodyText"/>
                    <w:ind w:right="28"/>
                  </w:pPr>
                  <w:r w:rsidRPr="00662641">
                    <w:t>1.245</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 xml:space="preserve">SD of varying </w:t>
                  </w:r>
                  <w:r>
                    <w:t xml:space="preserve">slope: </w:t>
                  </w:r>
                  <w:r w:rsidRPr="00C358C1">
                    <w:t>Assets</w:t>
                  </w:r>
                </w:p>
              </w:tc>
              <w:tc>
                <w:tcPr>
                  <w:tcW w:w="632" w:type="pct"/>
                  <w:shd w:val="clear" w:color="auto" w:fill="F2F2F2" w:themeFill="background1" w:themeFillShade="F2"/>
                </w:tcPr>
                <w:p w:rsidR="00FB7973" w:rsidRDefault="00FB7973" w:rsidP="00FB7973">
                  <w:pPr>
                    <w:pStyle w:val="TableBodyText"/>
                    <w:ind w:right="28"/>
                  </w:pPr>
                  <w:r w:rsidRPr="00662641">
                    <w:t>0.218</w:t>
                  </w:r>
                </w:p>
              </w:tc>
              <w:tc>
                <w:tcPr>
                  <w:tcW w:w="632" w:type="pct"/>
                  <w:shd w:val="clear" w:color="auto" w:fill="F2F2F2" w:themeFill="background1" w:themeFillShade="F2"/>
                </w:tcPr>
                <w:p w:rsidR="00FB7973" w:rsidRDefault="00FB7973" w:rsidP="00FB7973">
                  <w:pPr>
                    <w:pStyle w:val="TableBodyText"/>
                    <w:ind w:right="28"/>
                  </w:pPr>
                  <w:r w:rsidRPr="00662641">
                    <w:t>0.042</w:t>
                  </w:r>
                </w:p>
              </w:tc>
              <w:tc>
                <w:tcPr>
                  <w:tcW w:w="632" w:type="pct"/>
                  <w:shd w:val="clear" w:color="auto" w:fill="F2F2F2" w:themeFill="background1" w:themeFillShade="F2"/>
                </w:tcPr>
                <w:p w:rsidR="00FB7973" w:rsidRDefault="00FB7973" w:rsidP="00FB7973">
                  <w:pPr>
                    <w:pStyle w:val="TableBodyText"/>
                    <w:ind w:right="28"/>
                  </w:pPr>
                  <w:r w:rsidRPr="00662641">
                    <w:t>0.129</w:t>
                  </w:r>
                </w:p>
              </w:tc>
              <w:tc>
                <w:tcPr>
                  <w:tcW w:w="632" w:type="pct"/>
                  <w:shd w:val="clear" w:color="auto" w:fill="F2F2F2" w:themeFill="background1" w:themeFillShade="F2"/>
                </w:tcPr>
                <w:p w:rsidR="00FB7973" w:rsidRDefault="00FB7973" w:rsidP="00FB7973">
                  <w:pPr>
                    <w:pStyle w:val="TableBodyText"/>
                    <w:ind w:right="28"/>
                  </w:pPr>
                  <w:r w:rsidRPr="00662641">
                    <w:t>0.221</w:t>
                  </w:r>
                </w:p>
              </w:tc>
              <w:tc>
                <w:tcPr>
                  <w:tcW w:w="630" w:type="pct"/>
                  <w:shd w:val="clear" w:color="auto" w:fill="F2F2F2" w:themeFill="background1" w:themeFillShade="F2"/>
                </w:tcPr>
                <w:p w:rsidR="00FB7973" w:rsidRDefault="00FB7973" w:rsidP="00FB7973">
                  <w:pPr>
                    <w:pStyle w:val="TableBodyText"/>
                    <w:ind w:right="28"/>
                  </w:pPr>
                  <w:r w:rsidRPr="00662641">
                    <w:t>0.297</w:t>
                  </w:r>
                </w:p>
              </w:tc>
            </w:tr>
            <w:tr w:rsidR="00FB7973" w:rsidTr="00FB7973">
              <w:tc>
                <w:tcPr>
                  <w:tcW w:w="1842" w:type="pct"/>
                  <w:tcBorders>
                    <w:bottom w:val="single" w:sz="6" w:space="0" w:color="BFBFBF" w:themeColor="background1" w:themeShade="BF"/>
                  </w:tcBorders>
                  <w:shd w:val="clear" w:color="auto" w:fill="auto"/>
                  <w:vAlign w:val="bottom"/>
                </w:tcPr>
                <w:p w:rsidR="00FB7973" w:rsidRDefault="00FB7973" w:rsidP="00FB7973">
                  <w:pPr>
                    <w:pStyle w:val="TableBodyText"/>
                    <w:jc w:val="left"/>
                  </w:pPr>
                  <w:r w:rsidRPr="00C358C1">
                    <w:t xml:space="preserve">SD of varying </w:t>
                  </w:r>
                  <w:r>
                    <w:t xml:space="preserve">slope: </w:t>
                  </w:r>
                  <w:r w:rsidRPr="00C358C1">
                    <w:t xml:space="preserve">Member </w:t>
                  </w:r>
                  <w:r>
                    <w:t>accounts</w:t>
                  </w:r>
                </w:p>
              </w:tc>
              <w:tc>
                <w:tcPr>
                  <w:tcW w:w="632" w:type="pct"/>
                  <w:tcBorders>
                    <w:bottom w:val="single" w:sz="6" w:space="0" w:color="BFBFBF" w:themeColor="background1" w:themeShade="BF"/>
                  </w:tcBorders>
                </w:tcPr>
                <w:p w:rsidR="00FB7973" w:rsidRDefault="00FB7973" w:rsidP="00FB7973">
                  <w:pPr>
                    <w:pStyle w:val="TableBodyText"/>
                    <w:ind w:right="28"/>
                  </w:pPr>
                  <w:r w:rsidRPr="00662641">
                    <w:t>0.209</w:t>
                  </w:r>
                </w:p>
              </w:tc>
              <w:tc>
                <w:tcPr>
                  <w:tcW w:w="632" w:type="pct"/>
                  <w:tcBorders>
                    <w:bottom w:val="single" w:sz="6" w:space="0" w:color="BFBFBF" w:themeColor="background1" w:themeShade="BF"/>
                  </w:tcBorders>
                  <w:shd w:val="clear" w:color="auto" w:fill="auto"/>
                </w:tcPr>
                <w:p w:rsidR="00FB7973" w:rsidRDefault="00FB7973" w:rsidP="00FB7973">
                  <w:pPr>
                    <w:pStyle w:val="TableBodyText"/>
                    <w:ind w:right="28"/>
                  </w:pPr>
                  <w:r w:rsidRPr="00662641">
                    <w:t>0.039</w:t>
                  </w:r>
                </w:p>
              </w:tc>
              <w:tc>
                <w:tcPr>
                  <w:tcW w:w="632" w:type="pct"/>
                  <w:tcBorders>
                    <w:bottom w:val="single" w:sz="6" w:space="0" w:color="BFBFBF" w:themeColor="background1" w:themeShade="BF"/>
                  </w:tcBorders>
                  <w:shd w:val="clear" w:color="auto" w:fill="auto"/>
                </w:tcPr>
                <w:p w:rsidR="00FB7973" w:rsidRDefault="00FB7973" w:rsidP="00FB7973">
                  <w:pPr>
                    <w:pStyle w:val="TableBodyText"/>
                    <w:ind w:right="28"/>
                  </w:pPr>
                  <w:r w:rsidRPr="00662641">
                    <w:t>0.139</w:t>
                  </w:r>
                </w:p>
              </w:tc>
              <w:tc>
                <w:tcPr>
                  <w:tcW w:w="632" w:type="pct"/>
                  <w:tcBorders>
                    <w:bottom w:val="single" w:sz="6" w:space="0" w:color="BFBFBF" w:themeColor="background1" w:themeShade="BF"/>
                  </w:tcBorders>
                </w:tcPr>
                <w:p w:rsidR="00FB7973" w:rsidRDefault="00FB7973" w:rsidP="00FB7973">
                  <w:pPr>
                    <w:pStyle w:val="TableBodyText"/>
                    <w:ind w:right="28"/>
                  </w:pPr>
                  <w:r w:rsidRPr="00662641">
                    <w:t>0.209</w:t>
                  </w:r>
                </w:p>
              </w:tc>
              <w:tc>
                <w:tcPr>
                  <w:tcW w:w="630" w:type="pct"/>
                  <w:tcBorders>
                    <w:bottom w:val="single" w:sz="6" w:space="0" w:color="BFBFBF" w:themeColor="background1" w:themeShade="BF"/>
                  </w:tcBorders>
                </w:tcPr>
                <w:p w:rsidR="00FB7973" w:rsidRDefault="00FB7973" w:rsidP="00FB7973">
                  <w:pPr>
                    <w:pStyle w:val="TableBodyText"/>
                    <w:ind w:right="28"/>
                  </w:pPr>
                  <w:r w:rsidRPr="00662641">
                    <w:t>0.286</w:t>
                  </w:r>
                </w:p>
              </w:tc>
            </w:tr>
          </w:tbl>
          <w:p w:rsidR="00FB7973" w:rsidRDefault="00FB7973" w:rsidP="00FB7973">
            <w:pPr>
              <w:pStyle w:val="Box"/>
            </w:pPr>
          </w:p>
        </w:tc>
      </w:tr>
      <w:tr w:rsidR="00FB7973" w:rsidTr="00FB7973">
        <w:tc>
          <w:tcPr>
            <w:tcW w:w="5000" w:type="pct"/>
            <w:tcBorders>
              <w:top w:val="nil"/>
              <w:left w:val="nil"/>
              <w:bottom w:val="nil"/>
              <w:right w:val="nil"/>
            </w:tcBorders>
            <w:shd w:val="clear" w:color="auto" w:fill="auto"/>
          </w:tcPr>
          <w:p w:rsidR="00FB7973" w:rsidRDefault="00FB7973" w:rsidP="00FB7973">
            <w:pPr>
              <w:pStyle w:val="Continued"/>
            </w:pPr>
            <w:r w:rsidRPr="004C4BB2">
              <w:t>(continued next page)</w:t>
            </w:r>
          </w:p>
        </w:tc>
      </w:tr>
      <w:tr w:rsidR="00FB7973" w:rsidTr="00FB7973">
        <w:tc>
          <w:tcPr>
            <w:tcW w:w="5000" w:type="pct"/>
            <w:tcBorders>
              <w:top w:val="nil"/>
              <w:left w:val="nil"/>
              <w:bottom w:val="single" w:sz="6" w:space="0" w:color="78A22F"/>
              <w:right w:val="nil"/>
            </w:tcBorders>
            <w:shd w:val="clear" w:color="auto" w:fill="auto"/>
          </w:tcPr>
          <w:p w:rsidR="00FB7973" w:rsidRDefault="00FB7973" w:rsidP="00FB7973">
            <w:pPr>
              <w:pStyle w:val="Box"/>
              <w:spacing w:before="0" w:line="120" w:lineRule="exact"/>
            </w:pPr>
          </w:p>
        </w:tc>
      </w:tr>
      <w:tr w:rsidR="00FB7973" w:rsidRPr="000863A5" w:rsidTr="00FB7973">
        <w:tc>
          <w:tcPr>
            <w:tcW w:w="5000" w:type="pct"/>
            <w:tcBorders>
              <w:top w:val="single" w:sz="6" w:space="0" w:color="78A22F"/>
              <w:left w:val="nil"/>
              <w:bottom w:val="nil"/>
              <w:right w:val="nil"/>
            </w:tcBorders>
          </w:tcPr>
          <w:p w:rsidR="00FB7973" w:rsidRPr="00626D32" w:rsidRDefault="00FB7973" w:rsidP="00FB7973">
            <w:pPr>
              <w:pStyle w:val="BoxSpaceBelow"/>
            </w:pPr>
          </w:p>
        </w:tc>
      </w:tr>
    </w:tbl>
    <w:p w:rsidR="00FB7973" w:rsidRDefault="00FB7973" w:rsidP="00FB797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B7973" w:rsidTr="00FB7973">
        <w:trPr>
          <w:tblHeader/>
        </w:trPr>
        <w:tc>
          <w:tcPr>
            <w:tcW w:w="5000" w:type="pct"/>
            <w:tcBorders>
              <w:top w:val="single" w:sz="6" w:space="0" w:color="78A22F"/>
              <w:left w:val="nil"/>
              <w:bottom w:val="nil"/>
              <w:right w:val="nil"/>
            </w:tcBorders>
            <w:shd w:val="clear" w:color="auto" w:fill="auto"/>
          </w:tcPr>
          <w:p w:rsidR="00FB7973" w:rsidRPr="00784A05" w:rsidRDefault="00FB7973" w:rsidP="00FB7973">
            <w:pPr>
              <w:pStyle w:val="TableTitle"/>
            </w:pPr>
            <w:r>
              <w:rPr>
                <w:b w:val="0"/>
              </w:rPr>
              <w:t>Table E.</w:t>
            </w:r>
            <w:r w:rsidR="004703C8">
              <w:rPr>
                <w:b w:val="0"/>
              </w:rPr>
              <w:t>2</w:t>
            </w:r>
            <w:r>
              <w:tab/>
            </w:r>
            <w:r w:rsidRPr="004C4BB2">
              <w:rPr>
                <w:b w:val="0"/>
                <w:sz w:val="18"/>
                <w:szCs w:val="18"/>
              </w:rPr>
              <w:t>(continued)</w:t>
            </w:r>
          </w:p>
        </w:tc>
      </w:tr>
      <w:tr w:rsidR="00FB7973" w:rsidTr="00FB7973">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FB7973" w:rsidTr="00FB7973">
              <w:tc>
                <w:tcPr>
                  <w:tcW w:w="1842" w:type="pct"/>
                  <w:tcBorders>
                    <w:top w:val="single" w:sz="4" w:space="0" w:color="BFBFBF"/>
                    <w:bottom w:val="single" w:sz="6" w:space="0" w:color="BFBFBF" w:themeColor="background1" w:themeShade="BF"/>
                  </w:tcBorders>
                  <w:shd w:val="clear" w:color="auto" w:fill="auto"/>
                </w:tcPr>
                <w:p w:rsidR="00FB7973" w:rsidRDefault="00FB7973" w:rsidP="00FB7973">
                  <w:pPr>
                    <w:pStyle w:val="TableColumnHeading"/>
                    <w:jc w:val="left"/>
                    <w:rPr>
                      <w:b/>
                    </w:rPr>
                  </w:pPr>
                  <w:r>
                    <w:t>Parameter</w:t>
                  </w:r>
                </w:p>
              </w:tc>
              <w:tc>
                <w:tcPr>
                  <w:tcW w:w="632" w:type="pct"/>
                  <w:tcBorders>
                    <w:top w:val="single" w:sz="4" w:space="0" w:color="BFBFBF"/>
                    <w:bottom w:val="single" w:sz="6" w:space="0" w:color="BFBFBF" w:themeColor="background1" w:themeShade="BF"/>
                  </w:tcBorders>
                </w:tcPr>
                <w:p w:rsidR="00FB7973" w:rsidRDefault="00FB7973" w:rsidP="00FB7973">
                  <w:pPr>
                    <w:pStyle w:val="TableColumnHeading"/>
                  </w:pPr>
                  <w:r>
                    <w:t>Mean</w:t>
                  </w:r>
                </w:p>
              </w:tc>
              <w:tc>
                <w:tcPr>
                  <w:tcW w:w="632" w:type="pct"/>
                  <w:tcBorders>
                    <w:top w:val="single" w:sz="4" w:space="0" w:color="BFBFBF"/>
                    <w:bottom w:val="single" w:sz="6" w:space="0" w:color="BFBFBF" w:themeColor="background1" w:themeShade="BF"/>
                  </w:tcBorders>
                  <w:shd w:val="clear" w:color="auto" w:fill="auto"/>
                </w:tcPr>
                <w:p w:rsidR="00FB7973" w:rsidRDefault="00FB7973" w:rsidP="00FB7973">
                  <w:pPr>
                    <w:pStyle w:val="TableColumnHeading"/>
                  </w:pPr>
                  <w:r>
                    <w:t>Standard deviation</w:t>
                  </w:r>
                </w:p>
              </w:tc>
              <w:tc>
                <w:tcPr>
                  <w:tcW w:w="632" w:type="pct"/>
                  <w:tcBorders>
                    <w:top w:val="single" w:sz="4" w:space="0" w:color="BFBFBF"/>
                    <w:bottom w:val="single" w:sz="6" w:space="0" w:color="BFBFBF" w:themeColor="background1" w:themeShade="BF"/>
                  </w:tcBorders>
                  <w:shd w:val="clear" w:color="auto" w:fill="auto"/>
                </w:tcPr>
                <w:p w:rsidR="00FB7973" w:rsidRDefault="00FB7973" w:rsidP="00FB7973">
                  <w:pPr>
                    <w:pStyle w:val="TableColumnHeading"/>
                  </w:pPr>
                  <w:r>
                    <w:t>2.5 percentile</w:t>
                  </w:r>
                </w:p>
              </w:tc>
              <w:tc>
                <w:tcPr>
                  <w:tcW w:w="632" w:type="pct"/>
                  <w:tcBorders>
                    <w:top w:val="single" w:sz="4" w:space="0" w:color="BFBFBF"/>
                    <w:bottom w:val="single" w:sz="6" w:space="0" w:color="BFBFBF" w:themeColor="background1" w:themeShade="BF"/>
                  </w:tcBorders>
                </w:tcPr>
                <w:p w:rsidR="00FB7973" w:rsidRDefault="00FB7973" w:rsidP="00FB7973">
                  <w:pPr>
                    <w:pStyle w:val="TableColumnHeading"/>
                  </w:pPr>
                  <w:r>
                    <w:t>Median</w:t>
                  </w:r>
                </w:p>
              </w:tc>
              <w:tc>
                <w:tcPr>
                  <w:tcW w:w="630" w:type="pct"/>
                  <w:tcBorders>
                    <w:top w:val="single" w:sz="4" w:space="0" w:color="BFBFBF"/>
                    <w:bottom w:val="single" w:sz="6" w:space="0" w:color="BFBFBF" w:themeColor="background1" w:themeShade="BF"/>
                  </w:tcBorders>
                </w:tcPr>
                <w:p w:rsidR="00FB7973" w:rsidRDefault="00FB7973" w:rsidP="00FB7973">
                  <w:pPr>
                    <w:pStyle w:val="TableColumnHeading"/>
                  </w:pPr>
                  <w:r>
                    <w:t>97.5 percentile</w:t>
                  </w:r>
                </w:p>
              </w:tc>
            </w:tr>
            <w:tr w:rsidR="00FB7973" w:rsidTr="00FB7973">
              <w:tc>
                <w:tcPr>
                  <w:tcW w:w="1842" w:type="pct"/>
                  <w:tcBorders>
                    <w:top w:val="single" w:sz="6" w:space="0" w:color="BFBFBF" w:themeColor="background1" w:themeShade="BF"/>
                  </w:tcBorders>
                  <w:shd w:val="clear" w:color="auto" w:fill="BFBFBF" w:themeFill="background1" w:themeFillShade="BF"/>
                </w:tcPr>
                <w:p w:rsidR="00FB7973" w:rsidRPr="0099011F" w:rsidRDefault="00FB7973" w:rsidP="00FB7973">
                  <w:pPr>
                    <w:pStyle w:val="TableBodyText"/>
                    <w:jc w:val="left"/>
                    <w:rPr>
                      <w:b/>
                    </w:rPr>
                  </w:pPr>
                  <w:r w:rsidRPr="0099011F">
                    <w:rPr>
                      <w:b/>
                    </w:rPr>
                    <w:t>Investment</w:t>
                  </w:r>
                </w:p>
              </w:tc>
              <w:tc>
                <w:tcPr>
                  <w:tcW w:w="632" w:type="pct"/>
                  <w:tcBorders>
                    <w:top w:val="single" w:sz="6" w:space="0" w:color="BFBFBF" w:themeColor="background1" w:themeShade="BF"/>
                  </w:tcBorders>
                  <w:shd w:val="clear" w:color="auto" w:fill="BFBFBF" w:themeFill="background1" w:themeFillShade="BF"/>
                </w:tcPr>
                <w:p w:rsidR="00FB7973" w:rsidRDefault="00FB7973" w:rsidP="00FB7973">
                  <w:pPr>
                    <w:pStyle w:val="TableBodyText"/>
                  </w:pPr>
                </w:p>
              </w:tc>
              <w:tc>
                <w:tcPr>
                  <w:tcW w:w="632" w:type="pct"/>
                  <w:tcBorders>
                    <w:top w:val="single" w:sz="6" w:space="0" w:color="BFBFBF" w:themeColor="background1" w:themeShade="BF"/>
                  </w:tcBorders>
                  <w:shd w:val="clear" w:color="auto" w:fill="BFBFBF" w:themeFill="background1" w:themeFillShade="BF"/>
                </w:tcPr>
                <w:p w:rsidR="00FB7973" w:rsidRDefault="00FB7973" w:rsidP="00FB7973">
                  <w:pPr>
                    <w:pStyle w:val="TableBodyText"/>
                  </w:pPr>
                </w:p>
              </w:tc>
              <w:tc>
                <w:tcPr>
                  <w:tcW w:w="632" w:type="pct"/>
                  <w:tcBorders>
                    <w:top w:val="single" w:sz="6" w:space="0" w:color="BFBFBF" w:themeColor="background1" w:themeShade="BF"/>
                  </w:tcBorders>
                  <w:shd w:val="clear" w:color="auto" w:fill="BFBFBF" w:themeFill="background1" w:themeFillShade="BF"/>
                </w:tcPr>
                <w:p w:rsidR="00FB7973" w:rsidRDefault="00FB7973" w:rsidP="00FB7973">
                  <w:pPr>
                    <w:pStyle w:val="TableBodyText"/>
                    <w:ind w:right="28"/>
                  </w:pPr>
                </w:p>
              </w:tc>
              <w:tc>
                <w:tcPr>
                  <w:tcW w:w="632" w:type="pct"/>
                  <w:tcBorders>
                    <w:top w:val="single" w:sz="6" w:space="0" w:color="BFBFBF" w:themeColor="background1" w:themeShade="BF"/>
                  </w:tcBorders>
                  <w:shd w:val="clear" w:color="auto" w:fill="BFBFBF" w:themeFill="background1" w:themeFillShade="BF"/>
                </w:tcPr>
                <w:p w:rsidR="00FB7973" w:rsidRDefault="00FB7973" w:rsidP="00FB7973">
                  <w:pPr>
                    <w:pStyle w:val="TableBodyText"/>
                    <w:ind w:right="28"/>
                  </w:pPr>
                </w:p>
              </w:tc>
              <w:tc>
                <w:tcPr>
                  <w:tcW w:w="630" w:type="pct"/>
                  <w:tcBorders>
                    <w:top w:val="single" w:sz="6" w:space="0" w:color="BFBFBF" w:themeColor="background1" w:themeShade="BF"/>
                  </w:tcBorders>
                  <w:shd w:val="clear" w:color="auto" w:fill="BFBFBF" w:themeFill="background1" w:themeFillShade="BF"/>
                </w:tcPr>
                <w:p w:rsidR="00FB7973" w:rsidRDefault="00FB7973" w:rsidP="00FB7973">
                  <w:pPr>
                    <w:pStyle w:val="TableBodyText"/>
                    <w:ind w:right="28"/>
                  </w:pPr>
                </w:p>
              </w:tc>
            </w:tr>
            <w:tr w:rsidR="00FB7973" w:rsidTr="00FB7973">
              <w:tc>
                <w:tcPr>
                  <w:tcW w:w="1842" w:type="pct"/>
                  <w:shd w:val="clear" w:color="auto" w:fill="auto"/>
                  <w:vAlign w:val="bottom"/>
                </w:tcPr>
                <w:p w:rsidR="00FB7973" w:rsidRDefault="00FB7973" w:rsidP="00FB7973">
                  <w:pPr>
                    <w:pStyle w:val="TableBodyText"/>
                    <w:jc w:val="left"/>
                  </w:pPr>
                  <w:r w:rsidRPr="00C358C1">
                    <w:t>Assets</w:t>
                  </w:r>
                </w:p>
              </w:tc>
              <w:tc>
                <w:tcPr>
                  <w:tcW w:w="632" w:type="pct"/>
                </w:tcPr>
                <w:p w:rsidR="00FB7973" w:rsidRDefault="00FB7973" w:rsidP="00FB7973">
                  <w:pPr>
                    <w:pStyle w:val="TableBodyText"/>
                    <w:ind w:right="28"/>
                  </w:pPr>
                  <w:r w:rsidRPr="00677285">
                    <w:t>0.714</w:t>
                  </w:r>
                </w:p>
              </w:tc>
              <w:tc>
                <w:tcPr>
                  <w:tcW w:w="632" w:type="pct"/>
                  <w:shd w:val="clear" w:color="auto" w:fill="auto"/>
                </w:tcPr>
                <w:p w:rsidR="00FB7973" w:rsidRDefault="00FB7973" w:rsidP="00FB7973">
                  <w:pPr>
                    <w:pStyle w:val="TableBodyText"/>
                    <w:ind w:right="28"/>
                  </w:pPr>
                  <w:r w:rsidRPr="00677285">
                    <w:t>0.043</w:t>
                  </w:r>
                </w:p>
              </w:tc>
              <w:tc>
                <w:tcPr>
                  <w:tcW w:w="632" w:type="pct"/>
                  <w:shd w:val="clear" w:color="auto" w:fill="auto"/>
                </w:tcPr>
                <w:p w:rsidR="00FB7973" w:rsidRDefault="00FB7973" w:rsidP="00FB7973">
                  <w:pPr>
                    <w:pStyle w:val="TableBodyText"/>
                    <w:ind w:right="28"/>
                  </w:pPr>
                  <w:r w:rsidRPr="00677285">
                    <w:t>0.628</w:t>
                  </w:r>
                </w:p>
              </w:tc>
              <w:tc>
                <w:tcPr>
                  <w:tcW w:w="632" w:type="pct"/>
                </w:tcPr>
                <w:p w:rsidR="00FB7973" w:rsidRDefault="00FB7973" w:rsidP="00FB7973">
                  <w:pPr>
                    <w:pStyle w:val="TableBodyText"/>
                    <w:ind w:right="28"/>
                  </w:pPr>
                  <w:r w:rsidRPr="00677285">
                    <w:t>0.716</w:t>
                  </w:r>
                </w:p>
              </w:tc>
              <w:tc>
                <w:tcPr>
                  <w:tcW w:w="630" w:type="pct"/>
                </w:tcPr>
                <w:p w:rsidR="00FB7973" w:rsidRDefault="00FB7973" w:rsidP="00FB7973">
                  <w:pPr>
                    <w:pStyle w:val="TableBodyText"/>
                    <w:ind w:right="28"/>
                  </w:pPr>
                  <w:r w:rsidRPr="00677285">
                    <w:t>0.798</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Number of investment options</w:t>
                  </w:r>
                </w:p>
              </w:tc>
              <w:tc>
                <w:tcPr>
                  <w:tcW w:w="632" w:type="pct"/>
                  <w:shd w:val="clear" w:color="auto" w:fill="F2F2F2" w:themeFill="background1" w:themeFillShade="F2"/>
                </w:tcPr>
                <w:p w:rsidR="00FB7973" w:rsidRDefault="00FB7973" w:rsidP="00FB7973">
                  <w:pPr>
                    <w:pStyle w:val="TableBodyText"/>
                    <w:ind w:right="28"/>
                  </w:pPr>
                  <w:r w:rsidRPr="00677285">
                    <w:t>-0.019</w:t>
                  </w:r>
                </w:p>
              </w:tc>
              <w:tc>
                <w:tcPr>
                  <w:tcW w:w="632" w:type="pct"/>
                  <w:shd w:val="clear" w:color="auto" w:fill="F2F2F2" w:themeFill="background1" w:themeFillShade="F2"/>
                </w:tcPr>
                <w:p w:rsidR="00FB7973" w:rsidRDefault="00FB7973" w:rsidP="00FB7973">
                  <w:pPr>
                    <w:pStyle w:val="TableBodyText"/>
                    <w:ind w:right="28"/>
                  </w:pPr>
                  <w:r w:rsidRPr="00677285">
                    <w:t>0.020</w:t>
                  </w:r>
                </w:p>
              </w:tc>
              <w:tc>
                <w:tcPr>
                  <w:tcW w:w="632" w:type="pct"/>
                  <w:shd w:val="clear" w:color="auto" w:fill="F2F2F2" w:themeFill="background1" w:themeFillShade="F2"/>
                </w:tcPr>
                <w:p w:rsidR="00FB7973" w:rsidRDefault="00FB7973" w:rsidP="00FB7973">
                  <w:pPr>
                    <w:pStyle w:val="TableBodyText"/>
                    <w:ind w:right="28"/>
                  </w:pPr>
                  <w:r w:rsidRPr="00677285">
                    <w:t>-0.060</w:t>
                  </w:r>
                </w:p>
              </w:tc>
              <w:tc>
                <w:tcPr>
                  <w:tcW w:w="632" w:type="pct"/>
                  <w:shd w:val="clear" w:color="auto" w:fill="F2F2F2" w:themeFill="background1" w:themeFillShade="F2"/>
                </w:tcPr>
                <w:p w:rsidR="00FB7973" w:rsidRDefault="00FB7973" w:rsidP="00FB7973">
                  <w:pPr>
                    <w:pStyle w:val="TableBodyText"/>
                    <w:ind w:right="28"/>
                  </w:pPr>
                  <w:r w:rsidRPr="00677285">
                    <w:t>-0.018</w:t>
                  </w:r>
                </w:p>
              </w:tc>
              <w:tc>
                <w:tcPr>
                  <w:tcW w:w="630" w:type="pct"/>
                  <w:shd w:val="clear" w:color="auto" w:fill="F2F2F2" w:themeFill="background1" w:themeFillShade="F2"/>
                </w:tcPr>
                <w:p w:rsidR="00FB7973" w:rsidRDefault="00FB7973" w:rsidP="00FB7973">
                  <w:pPr>
                    <w:pStyle w:val="TableBodyText"/>
                    <w:ind w:right="28"/>
                  </w:pPr>
                  <w:r w:rsidRPr="00677285">
                    <w:t>0.018</w:t>
                  </w:r>
                </w:p>
              </w:tc>
            </w:tr>
            <w:tr w:rsidR="00FB7973" w:rsidTr="00FB7973">
              <w:tc>
                <w:tcPr>
                  <w:tcW w:w="1842" w:type="pct"/>
                  <w:shd w:val="clear" w:color="auto" w:fill="auto"/>
                  <w:vAlign w:val="bottom"/>
                </w:tcPr>
                <w:p w:rsidR="00FB7973" w:rsidRDefault="00FB7973" w:rsidP="00FB7973">
                  <w:pPr>
                    <w:pStyle w:val="TableBodyText"/>
                    <w:jc w:val="left"/>
                  </w:pPr>
                  <w:r w:rsidRPr="00C358C1">
                    <w:t>Net contributions</w:t>
                  </w:r>
                </w:p>
              </w:tc>
              <w:tc>
                <w:tcPr>
                  <w:tcW w:w="632" w:type="pct"/>
                </w:tcPr>
                <w:p w:rsidR="00FB7973" w:rsidRDefault="00FB7973" w:rsidP="00FB7973">
                  <w:pPr>
                    <w:pStyle w:val="TableBodyText"/>
                    <w:ind w:right="28"/>
                  </w:pPr>
                  <w:r w:rsidRPr="00677285">
                    <w:t>-0.013</w:t>
                  </w:r>
                </w:p>
              </w:tc>
              <w:tc>
                <w:tcPr>
                  <w:tcW w:w="632" w:type="pct"/>
                  <w:shd w:val="clear" w:color="auto" w:fill="auto"/>
                </w:tcPr>
                <w:p w:rsidR="00FB7973" w:rsidRDefault="00FB7973" w:rsidP="00FB7973">
                  <w:pPr>
                    <w:pStyle w:val="TableBodyText"/>
                    <w:ind w:right="28"/>
                  </w:pPr>
                  <w:r w:rsidRPr="00677285">
                    <w:t>0.014</w:t>
                  </w:r>
                </w:p>
              </w:tc>
              <w:tc>
                <w:tcPr>
                  <w:tcW w:w="632" w:type="pct"/>
                  <w:shd w:val="clear" w:color="auto" w:fill="auto"/>
                </w:tcPr>
                <w:p w:rsidR="00FB7973" w:rsidRDefault="00FB7973" w:rsidP="00FB7973">
                  <w:pPr>
                    <w:pStyle w:val="TableBodyText"/>
                    <w:ind w:right="28"/>
                  </w:pPr>
                  <w:r w:rsidRPr="00677285">
                    <w:t>-0.041</w:t>
                  </w:r>
                </w:p>
              </w:tc>
              <w:tc>
                <w:tcPr>
                  <w:tcW w:w="632" w:type="pct"/>
                </w:tcPr>
                <w:p w:rsidR="00FB7973" w:rsidRDefault="00FB7973" w:rsidP="00FB7973">
                  <w:pPr>
                    <w:pStyle w:val="TableBodyText"/>
                    <w:ind w:right="28"/>
                  </w:pPr>
                  <w:r w:rsidRPr="00677285">
                    <w:t>-0.013</w:t>
                  </w:r>
                </w:p>
              </w:tc>
              <w:tc>
                <w:tcPr>
                  <w:tcW w:w="630" w:type="pct"/>
                </w:tcPr>
                <w:p w:rsidR="00FB7973" w:rsidRDefault="00FB7973" w:rsidP="00FB7973">
                  <w:pPr>
                    <w:pStyle w:val="TableBodyText"/>
                    <w:ind w:right="28"/>
                  </w:pPr>
                  <w:r w:rsidRPr="00677285">
                    <w:t>0.015</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Net rollovers</w:t>
                  </w:r>
                </w:p>
              </w:tc>
              <w:tc>
                <w:tcPr>
                  <w:tcW w:w="632" w:type="pct"/>
                  <w:shd w:val="clear" w:color="auto" w:fill="F2F2F2" w:themeFill="background1" w:themeFillShade="F2"/>
                </w:tcPr>
                <w:p w:rsidR="00FB7973" w:rsidRDefault="00FB7973" w:rsidP="00FB7973">
                  <w:pPr>
                    <w:pStyle w:val="TableBodyText"/>
                    <w:ind w:right="28"/>
                  </w:pPr>
                  <w:r w:rsidRPr="00677285">
                    <w:t>-0.013</w:t>
                  </w:r>
                </w:p>
              </w:tc>
              <w:tc>
                <w:tcPr>
                  <w:tcW w:w="632" w:type="pct"/>
                  <w:shd w:val="clear" w:color="auto" w:fill="F2F2F2" w:themeFill="background1" w:themeFillShade="F2"/>
                </w:tcPr>
                <w:p w:rsidR="00FB7973" w:rsidRDefault="00FB7973" w:rsidP="00FB7973">
                  <w:pPr>
                    <w:pStyle w:val="TableBodyText"/>
                    <w:ind w:right="28"/>
                  </w:pPr>
                  <w:r w:rsidRPr="00677285">
                    <w:t>0.008</w:t>
                  </w:r>
                </w:p>
              </w:tc>
              <w:tc>
                <w:tcPr>
                  <w:tcW w:w="632" w:type="pct"/>
                  <w:shd w:val="clear" w:color="auto" w:fill="F2F2F2" w:themeFill="background1" w:themeFillShade="F2"/>
                </w:tcPr>
                <w:p w:rsidR="00FB7973" w:rsidRDefault="00FB7973" w:rsidP="00FB7973">
                  <w:pPr>
                    <w:pStyle w:val="TableBodyText"/>
                    <w:ind w:right="28"/>
                  </w:pPr>
                  <w:r w:rsidRPr="00677285">
                    <w:t>-0.030</w:t>
                  </w:r>
                </w:p>
              </w:tc>
              <w:tc>
                <w:tcPr>
                  <w:tcW w:w="632" w:type="pct"/>
                  <w:shd w:val="clear" w:color="auto" w:fill="F2F2F2" w:themeFill="background1" w:themeFillShade="F2"/>
                </w:tcPr>
                <w:p w:rsidR="00FB7973" w:rsidRDefault="00FB7973" w:rsidP="00FB7973">
                  <w:pPr>
                    <w:pStyle w:val="TableBodyText"/>
                    <w:ind w:right="28"/>
                  </w:pPr>
                  <w:r w:rsidRPr="00677285">
                    <w:t>-0.014</w:t>
                  </w:r>
                </w:p>
              </w:tc>
              <w:tc>
                <w:tcPr>
                  <w:tcW w:w="630" w:type="pct"/>
                  <w:shd w:val="clear" w:color="auto" w:fill="F2F2F2" w:themeFill="background1" w:themeFillShade="F2"/>
                </w:tcPr>
                <w:p w:rsidR="00FB7973" w:rsidRDefault="00FB7973" w:rsidP="00FB7973">
                  <w:pPr>
                    <w:pStyle w:val="TableBodyText"/>
                    <w:ind w:right="28"/>
                  </w:pPr>
                  <w:r w:rsidRPr="00677285">
                    <w:t>0.004</w:t>
                  </w:r>
                </w:p>
              </w:tc>
            </w:tr>
            <w:tr w:rsidR="00FB7973" w:rsidTr="00FB7973">
              <w:tc>
                <w:tcPr>
                  <w:tcW w:w="1842" w:type="pct"/>
                  <w:shd w:val="clear" w:color="auto" w:fill="auto"/>
                  <w:vAlign w:val="bottom"/>
                </w:tcPr>
                <w:p w:rsidR="00FB7973" w:rsidRDefault="00FB7973" w:rsidP="00FB7973">
                  <w:pPr>
                    <w:pStyle w:val="TableBodyText"/>
                    <w:jc w:val="left"/>
                  </w:pPr>
                  <w:r w:rsidRPr="00C358C1">
                    <w:t>Industry</w:t>
                  </w:r>
                </w:p>
              </w:tc>
              <w:tc>
                <w:tcPr>
                  <w:tcW w:w="632" w:type="pct"/>
                </w:tcPr>
                <w:p w:rsidR="00FB7973" w:rsidRDefault="00FB7973" w:rsidP="00FB7973">
                  <w:pPr>
                    <w:pStyle w:val="TableBodyText"/>
                    <w:ind w:right="28"/>
                  </w:pPr>
                  <w:r w:rsidRPr="00677285">
                    <w:t>-0.881</w:t>
                  </w:r>
                </w:p>
              </w:tc>
              <w:tc>
                <w:tcPr>
                  <w:tcW w:w="632" w:type="pct"/>
                  <w:shd w:val="clear" w:color="auto" w:fill="auto"/>
                </w:tcPr>
                <w:p w:rsidR="00FB7973" w:rsidRDefault="00FB7973" w:rsidP="00FB7973">
                  <w:pPr>
                    <w:pStyle w:val="TableBodyText"/>
                    <w:ind w:right="28"/>
                  </w:pPr>
                  <w:r w:rsidRPr="00677285">
                    <w:t>0.317</w:t>
                  </w:r>
                </w:p>
              </w:tc>
              <w:tc>
                <w:tcPr>
                  <w:tcW w:w="632" w:type="pct"/>
                  <w:shd w:val="clear" w:color="auto" w:fill="auto"/>
                </w:tcPr>
                <w:p w:rsidR="00FB7973" w:rsidRDefault="00FB7973" w:rsidP="00FB7973">
                  <w:pPr>
                    <w:pStyle w:val="TableBodyText"/>
                    <w:ind w:right="28"/>
                  </w:pPr>
                  <w:r w:rsidRPr="00677285">
                    <w:t>-1.496</w:t>
                  </w:r>
                </w:p>
              </w:tc>
              <w:tc>
                <w:tcPr>
                  <w:tcW w:w="632" w:type="pct"/>
                </w:tcPr>
                <w:p w:rsidR="00FB7973" w:rsidRDefault="00FB7973" w:rsidP="00FB7973">
                  <w:pPr>
                    <w:pStyle w:val="TableBodyText"/>
                    <w:ind w:right="28"/>
                  </w:pPr>
                  <w:r w:rsidRPr="00677285">
                    <w:t>-0.872</w:t>
                  </w:r>
                </w:p>
              </w:tc>
              <w:tc>
                <w:tcPr>
                  <w:tcW w:w="630" w:type="pct"/>
                </w:tcPr>
                <w:p w:rsidR="00FB7973" w:rsidRDefault="00FB7973" w:rsidP="00FB7973">
                  <w:pPr>
                    <w:pStyle w:val="TableBodyText"/>
                    <w:ind w:right="28"/>
                  </w:pPr>
                  <w:r w:rsidRPr="00677285">
                    <w:t>-0.294</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Public</w:t>
                  </w:r>
                </w:p>
              </w:tc>
              <w:tc>
                <w:tcPr>
                  <w:tcW w:w="632" w:type="pct"/>
                  <w:shd w:val="clear" w:color="auto" w:fill="F2F2F2" w:themeFill="background1" w:themeFillShade="F2"/>
                </w:tcPr>
                <w:p w:rsidR="00FB7973" w:rsidRDefault="00FB7973" w:rsidP="00FB7973">
                  <w:pPr>
                    <w:pStyle w:val="TableBodyText"/>
                    <w:ind w:right="28"/>
                  </w:pPr>
                  <w:r w:rsidRPr="00677285">
                    <w:t>1.078</w:t>
                  </w:r>
                </w:p>
              </w:tc>
              <w:tc>
                <w:tcPr>
                  <w:tcW w:w="632" w:type="pct"/>
                  <w:shd w:val="clear" w:color="auto" w:fill="F2F2F2" w:themeFill="background1" w:themeFillShade="F2"/>
                </w:tcPr>
                <w:p w:rsidR="00FB7973" w:rsidRDefault="00FB7973" w:rsidP="00FB7973">
                  <w:pPr>
                    <w:pStyle w:val="TableBodyText"/>
                    <w:ind w:right="28"/>
                  </w:pPr>
                  <w:r w:rsidRPr="00677285">
                    <w:t>0.411</w:t>
                  </w:r>
                </w:p>
              </w:tc>
              <w:tc>
                <w:tcPr>
                  <w:tcW w:w="632" w:type="pct"/>
                  <w:shd w:val="clear" w:color="auto" w:fill="F2F2F2" w:themeFill="background1" w:themeFillShade="F2"/>
                </w:tcPr>
                <w:p w:rsidR="00FB7973" w:rsidRDefault="00FB7973" w:rsidP="00FB7973">
                  <w:pPr>
                    <w:pStyle w:val="TableBodyText"/>
                    <w:ind w:right="28"/>
                  </w:pPr>
                  <w:r w:rsidRPr="00677285">
                    <w:t>0.347</w:t>
                  </w:r>
                </w:p>
              </w:tc>
              <w:tc>
                <w:tcPr>
                  <w:tcW w:w="632" w:type="pct"/>
                  <w:shd w:val="clear" w:color="auto" w:fill="F2F2F2" w:themeFill="background1" w:themeFillShade="F2"/>
                </w:tcPr>
                <w:p w:rsidR="00FB7973" w:rsidRDefault="00FB7973" w:rsidP="00FB7973">
                  <w:pPr>
                    <w:pStyle w:val="TableBodyText"/>
                    <w:ind w:right="28"/>
                  </w:pPr>
                  <w:r w:rsidRPr="00677285">
                    <w:t>1.076</w:t>
                  </w:r>
                </w:p>
              </w:tc>
              <w:tc>
                <w:tcPr>
                  <w:tcW w:w="630" w:type="pct"/>
                  <w:shd w:val="clear" w:color="auto" w:fill="F2F2F2" w:themeFill="background1" w:themeFillShade="F2"/>
                </w:tcPr>
                <w:p w:rsidR="00FB7973" w:rsidRDefault="00FB7973" w:rsidP="00FB7973">
                  <w:pPr>
                    <w:pStyle w:val="TableBodyText"/>
                    <w:ind w:right="28"/>
                  </w:pPr>
                  <w:r w:rsidRPr="00677285">
                    <w:t>1.875</w:t>
                  </w:r>
                </w:p>
              </w:tc>
            </w:tr>
            <w:tr w:rsidR="00FB7973" w:rsidTr="00FB7973">
              <w:tc>
                <w:tcPr>
                  <w:tcW w:w="1842" w:type="pct"/>
                  <w:shd w:val="clear" w:color="auto" w:fill="auto"/>
                  <w:vAlign w:val="bottom"/>
                </w:tcPr>
                <w:p w:rsidR="00FB7973" w:rsidRDefault="00FB7973" w:rsidP="00FB7973">
                  <w:pPr>
                    <w:pStyle w:val="TableBodyText"/>
                    <w:jc w:val="left"/>
                  </w:pPr>
                  <w:r w:rsidRPr="00C358C1">
                    <w:t>Retail</w:t>
                  </w:r>
                </w:p>
              </w:tc>
              <w:tc>
                <w:tcPr>
                  <w:tcW w:w="632" w:type="pct"/>
                </w:tcPr>
                <w:p w:rsidR="00FB7973" w:rsidRDefault="00FB7973" w:rsidP="00FB7973">
                  <w:pPr>
                    <w:pStyle w:val="TableBodyText"/>
                    <w:ind w:right="28"/>
                  </w:pPr>
                  <w:r w:rsidRPr="00677285">
                    <w:t>0.616</w:t>
                  </w:r>
                </w:p>
              </w:tc>
              <w:tc>
                <w:tcPr>
                  <w:tcW w:w="632" w:type="pct"/>
                  <w:shd w:val="clear" w:color="auto" w:fill="auto"/>
                </w:tcPr>
                <w:p w:rsidR="00FB7973" w:rsidRDefault="00FB7973" w:rsidP="00FB7973">
                  <w:pPr>
                    <w:pStyle w:val="TableBodyText"/>
                    <w:ind w:right="28"/>
                  </w:pPr>
                  <w:r w:rsidRPr="00677285">
                    <w:t>0.196</w:t>
                  </w:r>
                </w:p>
              </w:tc>
              <w:tc>
                <w:tcPr>
                  <w:tcW w:w="632" w:type="pct"/>
                  <w:shd w:val="clear" w:color="auto" w:fill="auto"/>
                </w:tcPr>
                <w:p w:rsidR="00FB7973" w:rsidRDefault="00FB7973" w:rsidP="00FB7973">
                  <w:pPr>
                    <w:pStyle w:val="TableBodyText"/>
                    <w:ind w:right="28"/>
                  </w:pPr>
                  <w:r w:rsidRPr="00677285">
                    <w:t>0.226</w:t>
                  </w:r>
                </w:p>
              </w:tc>
              <w:tc>
                <w:tcPr>
                  <w:tcW w:w="632" w:type="pct"/>
                </w:tcPr>
                <w:p w:rsidR="00FB7973" w:rsidRDefault="00FB7973" w:rsidP="00FB7973">
                  <w:pPr>
                    <w:pStyle w:val="TableBodyText"/>
                    <w:ind w:right="28"/>
                  </w:pPr>
                  <w:r w:rsidRPr="00677285">
                    <w:t>0.619</w:t>
                  </w:r>
                </w:p>
              </w:tc>
              <w:tc>
                <w:tcPr>
                  <w:tcW w:w="630" w:type="pct"/>
                </w:tcPr>
                <w:p w:rsidR="00FB7973" w:rsidRDefault="00FB7973" w:rsidP="00FB7973">
                  <w:pPr>
                    <w:pStyle w:val="TableBodyText"/>
                    <w:ind w:right="28"/>
                  </w:pPr>
                  <w:r w:rsidRPr="00677285">
                    <w:t>0.993</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Aus fixed interest</w:t>
                  </w:r>
                </w:p>
              </w:tc>
              <w:tc>
                <w:tcPr>
                  <w:tcW w:w="632" w:type="pct"/>
                  <w:shd w:val="clear" w:color="auto" w:fill="F2F2F2" w:themeFill="background1" w:themeFillShade="F2"/>
                </w:tcPr>
                <w:p w:rsidR="00FB7973" w:rsidRDefault="00FB7973" w:rsidP="00FB7973">
                  <w:pPr>
                    <w:pStyle w:val="TableBodyText"/>
                    <w:ind w:right="28"/>
                  </w:pPr>
                  <w:r w:rsidRPr="00677285">
                    <w:t>-0.019</w:t>
                  </w:r>
                </w:p>
              </w:tc>
              <w:tc>
                <w:tcPr>
                  <w:tcW w:w="632" w:type="pct"/>
                  <w:shd w:val="clear" w:color="auto" w:fill="F2F2F2" w:themeFill="background1" w:themeFillShade="F2"/>
                </w:tcPr>
                <w:p w:rsidR="00FB7973" w:rsidRDefault="00FB7973" w:rsidP="00FB7973">
                  <w:pPr>
                    <w:pStyle w:val="TableBodyText"/>
                    <w:ind w:right="28"/>
                  </w:pPr>
                  <w:r w:rsidRPr="00677285">
                    <w:t>0.012</w:t>
                  </w:r>
                </w:p>
              </w:tc>
              <w:tc>
                <w:tcPr>
                  <w:tcW w:w="632" w:type="pct"/>
                  <w:shd w:val="clear" w:color="auto" w:fill="F2F2F2" w:themeFill="background1" w:themeFillShade="F2"/>
                </w:tcPr>
                <w:p w:rsidR="00FB7973" w:rsidRDefault="00FB7973" w:rsidP="00FB7973">
                  <w:pPr>
                    <w:pStyle w:val="TableBodyText"/>
                    <w:ind w:right="28"/>
                  </w:pPr>
                  <w:r w:rsidRPr="00677285">
                    <w:t>-0.041</w:t>
                  </w:r>
                </w:p>
              </w:tc>
              <w:tc>
                <w:tcPr>
                  <w:tcW w:w="632" w:type="pct"/>
                  <w:shd w:val="clear" w:color="auto" w:fill="F2F2F2" w:themeFill="background1" w:themeFillShade="F2"/>
                </w:tcPr>
                <w:p w:rsidR="00FB7973" w:rsidRDefault="00FB7973" w:rsidP="00FB7973">
                  <w:pPr>
                    <w:pStyle w:val="TableBodyText"/>
                    <w:ind w:right="28"/>
                  </w:pPr>
                  <w:r w:rsidRPr="00677285">
                    <w:t>-0.019</w:t>
                  </w:r>
                </w:p>
              </w:tc>
              <w:tc>
                <w:tcPr>
                  <w:tcW w:w="630" w:type="pct"/>
                  <w:shd w:val="clear" w:color="auto" w:fill="F2F2F2" w:themeFill="background1" w:themeFillShade="F2"/>
                </w:tcPr>
                <w:p w:rsidR="00FB7973" w:rsidRDefault="00FB7973" w:rsidP="00FB7973">
                  <w:pPr>
                    <w:pStyle w:val="TableBodyText"/>
                    <w:ind w:right="28"/>
                  </w:pPr>
                  <w:r w:rsidRPr="00677285">
                    <w:t>0.006</w:t>
                  </w:r>
                </w:p>
              </w:tc>
            </w:tr>
            <w:tr w:rsidR="00FB7973" w:rsidTr="00FB7973">
              <w:tc>
                <w:tcPr>
                  <w:tcW w:w="1842" w:type="pct"/>
                  <w:shd w:val="clear" w:color="auto" w:fill="auto"/>
                  <w:vAlign w:val="bottom"/>
                </w:tcPr>
                <w:p w:rsidR="00FB7973" w:rsidRDefault="00FB7973" w:rsidP="00FB7973">
                  <w:pPr>
                    <w:pStyle w:val="TableBodyText"/>
                    <w:jc w:val="left"/>
                  </w:pPr>
                  <w:r w:rsidRPr="00C358C1">
                    <w:t>International fixed interest</w:t>
                  </w:r>
                </w:p>
              </w:tc>
              <w:tc>
                <w:tcPr>
                  <w:tcW w:w="632" w:type="pct"/>
                </w:tcPr>
                <w:p w:rsidR="00FB7973" w:rsidRDefault="00FB7973" w:rsidP="00FB7973">
                  <w:pPr>
                    <w:pStyle w:val="TableBodyText"/>
                    <w:ind w:right="28"/>
                  </w:pPr>
                  <w:r w:rsidRPr="00677285">
                    <w:t>-0.006</w:t>
                  </w:r>
                </w:p>
              </w:tc>
              <w:tc>
                <w:tcPr>
                  <w:tcW w:w="632" w:type="pct"/>
                  <w:shd w:val="clear" w:color="auto" w:fill="auto"/>
                </w:tcPr>
                <w:p w:rsidR="00FB7973" w:rsidRDefault="00FB7973" w:rsidP="00FB7973">
                  <w:pPr>
                    <w:pStyle w:val="TableBodyText"/>
                    <w:ind w:right="28"/>
                  </w:pPr>
                  <w:r w:rsidRPr="00677285">
                    <w:t>0.010</w:t>
                  </w:r>
                </w:p>
              </w:tc>
              <w:tc>
                <w:tcPr>
                  <w:tcW w:w="632" w:type="pct"/>
                  <w:shd w:val="clear" w:color="auto" w:fill="auto"/>
                </w:tcPr>
                <w:p w:rsidR="00FB7973" w:rsidRDefault="00FB7973" w:rsidP="00FB7973">
                  <w:pPr>
                    <w:pStyle w:val="TableBodyText"/>
                    <w:ind w:right="28"/>
                  </w:pPr>
                  <w:r w:rsidRPr="00677285">
                    <w:t>-0.025</w:t>
                  </w:r>
                </w:p>
              </w:tc>
              <w:tc>
                <w:tcPr>
                  <w:tcW w:w="632" w:type="pct"/>
                </w:tcPr>
                <w:p w:rsidR="00FB7973" w:rsidRDefault="00FB7973" w:rsidP="00FB7973">
                  <w:pPr>
                    <w:pStyle w:val="TableBodyText"/>
                    <w:ind w:right="28"/>
                  </w:pPr>
                  <w:r w:rsidRPr="00677285">
                    <w:t>-0.006</w:t>
                  </w:r>
                </w:p>
              </w:tc>
              <w:tc>
                <w:tcPr>
                  <w:tcW w:w="630" w:type="pct"/>
                </w:tcPr>
                <w:p w:rsidR="00FB7973" w:rsidRDefault="00FB7973" w:rsidP="00FB7973">
                  <w:pPr>
                    <w:pStyle w:val="TableBodyText"/>
                    <w:ind w:right="28"/>
                  </w:pPr>
                  <w:r w:rsidRPr="00677285">
                    <w:t>0.013</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Aus equity</w:t>
                  </w:r>
                </w:p>
              </w:tc>
              <w:tc>
                <w:tcPr>
                  <w:tcW w:w="632" w:type="pct"/>
                  <w:shd w:val="clear" w:color="auto" w:fill="F2F2F2" w:themeFill="background1" w:themeFillShade="F2"/>
                </w:tcPr>
                <w:p w:rsidR="00FB7973" w:rsidRDefault="00FB7973" w:rsidP="00FB7973">
                  <w:pPr>
                    <w:pStyle w:val="TableBodyText"/>
                    <w:ind w:right="28"/>
                  </w:pPr>
                  <w:r w:rsidRPr="00677285">
                    <w:t>0.010</w:t>
                  </w:r>
                </w:p>
              </w:tc>
              <w:tc>
                <w:tcPr>
                  <w:tcW w:w="632" w:type="pct"/>
                  <w:shd w:val="clear" w:color="auto" w:fill="F2F2F2" w:themeFill="background1" w:themeFillShade="F2"/>
                </w:tcPr>
                <w:p w:rsidR="00FB7973" w:rsidRDefault="00FB7973" w:rsidP="00FB7973">
                  <w:pPr>
                    <w:pStyle w:val="TableBodyText"/>
                    <w:ind w:right="28"/>
                  </w:pPr>
                  <w:r w:rsidRPr="00677285">
                    <w:t>0.013</w:t>
                  </w:r>
                </w:p>
              </w:tc>
              <w:tc>
                <w:tcPr>
                  <w:tcW w:w="632" w:type="pct"/>
                  <w:shd w:val="clear" w:color="auto" w:fill="F2F2F2" w:themeFill="background1" w:themeFillShade="F2"/>
                </w:tcPr>
                <w:p w:rsidR="00FB7973" w:rsidRDefault="00FB7973" w:rsidP="00FB7973">
                  <w:pPr>
                    <w:pStyle w:val="TableBodyText"/>
                    <w:ind w:right="28"/>
                  </w:pPr>
                  <w:r w:rsidRPr="00677285">
                    <w:t>-0.014</w:t>
                  </w:r>
                </w:p>
              </w:tc>
              <w:tc>
                <w:tcPr>
                  <w:tcW w:w="632" w:type="pct"/>
                  <w:shd w:val="clear" w:color="auto" w:fill="F2F2F2" w:themeFill="background1" w:themeFillShade="F2"/>
                </w:tcPr>
                <w:p w:rsidR="00FB7973" w:rsidRDefault="00FB7973" w:rsidP="00FB7973">
                  <w:pPr>
                    <w:pStyle w:val="TableBodyText"/>
                    <w:ind w:right="28"/>
                  </w:pPr>
                  <w:r w:rsidRPr="00677285">
                    <w:t>0.010</w:t>
                  </w:r>
                </w:p>
              </w:tc>
              <w:tc>
                <w:tcPr>
                  <w:tcW w:w="630" w:type="pct"/>
                  <w:shd w:val="clear" w:color="auto" w:fill="F2F2F2" w:themeFill="background1" w:themeFillShade="F2"/>
                </w:tcPr>
                <w:p w:rsidR="00FB7973" w:rsidRDefault="00FB7973" w:rsidP="00FB7973">
                  <w:pPr>
                    <w:pStyle w:val="TableBodyText"/>
                    <w:ind w:right="28"/>
                  </w:pPr>
                  <w:r w:rsidRPr="00677285">
                    <w:t>0.036</w:t>
                  </w:r>
                </w:p>
              </w:tc>
            </w:tr>
            <w:tr w:rsidR="00FB7973" w:rsidTr="00FB7973">
              <w:tc>
                <w:tcPr>
                  <w:tcW w:w="1842" w:type="pct"/>
                  <w:shd w:val="clear" w:color="auto" w:fill="auto"/>
                  <w:vAlign w:val="bottom"/>
                </w:tcPr>
                <w:p w:rsidR="00FB7973" w:rsidRDefault="00FB7973" w:rsidP="00FB7973">
                  <w:pPr>
                    <w:pStyle w:val="TableBodyText"/>
                    <w:jc w:val="left"/>
                  </w:pPr>
                  <w:r w:rsidRPr="00C358C1">
                    <w:t>International equity</w:t>
                  </w:r>
                </w:p>
              </w:tc>
              <w:tc>
                <w:tcPr>
                  <w:tcW w:w="632" w:type="pct"/>
                </w:tcPr>
                <w:p w:rsidR="00FB7973" w:rsidRDefault="00FB7973" w:rsidP="00FB7973">
                  <w:pPr>
                    <w:pStyle w:val="TableBodyText"/>
                    <w:ind w:right="28"/>
                  </w:pPr>
                  <w:r w:rsidRPr="00677285">
                    <w:t>-0.022</w:t>
                  </w:r>
                </w:p>
              </w:tc>
              <w:tc>
                <w:tcPr>
                  <w:tcW w:w="632" w:type="pct"/>
                  <w:shd w:val="clear" w:color="auto" w:fill="auto"/>
                </w:tcPr>
                <w:p w:rsidR="00FB7973" w:rsidRDefault="00FB7973" w:rsidP="00FB7973">
                  <w:pPr>
                    <w:pStyle w:val="TableBodyText"/>
                    <w:ind w:right="28"/>
                  </w:pPr>
                  <w:r w:rsidRPr="00677285">
                    <w:t>0.015</w:t>
                  </w:r>
                </w:p>
              </w:tc>
              <w:tc>
                <w:tcPr>
                  <w:tcW w:w="632" w:type="pct"/>
                  <w:shd w:val="clear" w:color="auto" w:fill="auto"/>
                </w:tcPr>
                <w:p w:rsidR="00FB7973" w:rsidRDefault="00FB7973" w:rsidP="00FB7973">
                  <w:pPr>
                    <w:pStyle w:val="TableBodyText"/>
                    <w:ind w:right="28"/>
                  </w:pPr>
                  <w:r w:rsidRPr="00677285">
                    <w:t>-0.050</w:t>
                  </w:r>
                </w:p>
              </w:tc>
              <w:tc>
                <w:tcPr>
                  <w:tcW w:w="632" w:type="pct"/>
                </w:tcPr>
                <w:p w:rsidR="00FB7973" w:rsidRDefault="00FB7973" w:rsidP="00FB7973">
                  <w:pPr>
                    <w:pStyle w:val="TableBodyText"/>
                    <w:ind w:right="28"/>
                  </w:pPr>
                  <w:r w:rsidRPr="00677285">
                    <w:t>-0.021</w:t>
                  </w:r>
                </w:p>
              </w:tc>
              <w:tc>
                <w:tcPr>
                  <w:tcW w:w="630" w:type="pct"/>
                </w:tcPr>
                <w:p w:rsidR="00FB7973" w:rsidRDefault="00FB7973" w:rsidP="00FB7973">
                  <w:pPr>
                    <w:pStyle w:val="TableBodyText"/>
                    <w:ind w:right="28"/>
                  </w:pPr>
                  <w:r w:rsidRPr="00677285">
                    <w:t>0.006</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Listed Property</w:t>
                  </w:r>
                </w:p>
              </w:tc>
              <w:tc>
                <w:tcPr>
                  <w:tcW w:w="632" w:type="pct"/>
                  <w:shd w:val="clear" w:color="auto" w:fill="F2F2F2" w:themeFill="background1" w:themeFillShade="F2"/>
                </w:tcPr>
                <w:p w:rsidR="00FB7973" w:rsidRDefault="00FB7973" w:rsidP="00FB7973">
                  <w:pPr>
                    <w:pStyle w:val="TableBodyText"/>
                    <w:ind w:right="28"/>
                  </w:pPr>
                  <w:r w:rsidRPr="00677285">
                    <w:t>0.013</w:t>
                  </w:r>
                </w:p>
              </w:tc>
              <w:tc>
                <w:tcPr>
                  <w:tcW w:w="632" w:type="pct"/>
                  <w:shd w:val="clear" w:color="auto" w:fill="F2F2F2" w:themeFill="background1" w:themeFillShade="F2"/>
                </w:tcPr>
                <w:p w:rsidR="00FB7973" w:rsidRDefault="00FB7973" w:rsidP="00FB7973">
                  <w:pPr>
                    <w:pStyle w:val="TableBodyText"/>
                    <w:ind w:right="28"/>
                  </w:pPr>
                  <w:r w:rsidRPr="00677285">
                    <w:t>0.008</w:t>
                  </w:r>
                </w:p>
              </w:tc>
              <w:tc>
                <w:tcPr>
                  <w:tcW w:w="632" w:type="pct"/>
                  <w:shd w:val="clear" w:color="auto" w:fill="F2F2F2" w:themeFill="background1" w:themeFillShade="F2"/>
                </w:tcPr>
                <w:p w:rsidR="00FB7973" w:rsidRDefault="00FB7973" w:rsidP="00FB7973">
                  <w:pPr>
                    <w:pStyle w:val="TableBodyText"/>
                    <w:ind w:right="28"/>
                  </w:pPr>
                  <w:r w:rsidRPr="00677285">
                    <w:t>-0.003</w:t>
                  </w:r>
                </w:p>
              </w:tc>
              <w:tc>
                <w:tcPr>
                  <w:tcW w:w="632" w:type="pct"/>
                  <w:shd w:val="clear" w:color="auto" w:fill="F2F2F2" w:themeFill="background1" w:themeFillShade="F2"/>
                </w:tcPr>
                <w:p w:rsidR="00FB7973" w:rsidRDefault="00FB7973" w:rsidP="00FB7973">
                  <w:pPr>
                    <w:pStyle w:val="TableBodyText"/>
                    <w:ind w:right="28"/>
                  </w:pPr>
                  <w:r w:rsidRPr="00677285">
                    <w:t>0.013</w:t>
                  </w:r>
                </w:p>
              </w:tc>
              <w:tc>
                <w:tcPr>
                  <w:tcW w:w="630" w:type="pct"/>
                  <w:shd w:val="clear" w:color="auto" w:fill="F2F2F2" w:themeFill="background1" w:themeFillShade="F2"/>
                </w:tcPr>
                <w:p w:rsidR="00FB7973" w:rsidRDefault="00FB7973" w:rsidP="00FB7973">
                  <w:pPr>
                    <w:pStyle w:val="TableBodyText"/>
                    <w:ind w:right="28"/>
                  </w:pPr>
                  <w:r w:rsidRPr="00677285">
                    <w:t>0.028</w:t>
                  </w:r>
                </w:p>
              </w:tc>
            </w:tr>
            <w:tr w:rsidR="00FB7973" w:rsidTr="00FB7973">
              <w:tc>
                <w:tcPr>
                  <w:tcW w:w="1842" w:type="pct"/>
                  <w:shd w:val="clear" w:color="auto" w:fill="auto"/>
                  <w:vAlign w:val="bottom"/>
                </w:tcPr>
                <w:p w:rsidR="00FB7973" w:rsidRDefault="00FB7973" w:rsidP="00FB7973">
                  <w:pPr>
                    <w:pStyle w:val="TableBodyText"/>
                    <w:jc w:val="left"/>
                  </w:pPr>
                  <w:r w:rsidRPr="00C358C1">
                    <w:t>Unlisted property</w:t>
                  </w:r>
                </w:p>
              </w:tc>
              <w:tc>
                <w:tcPr>
                  <w:tcW w:w="632" w:type="pct"/>
                </w:tcPr>
                <w:p w:rsidR="00FB7973" w:rsidRDefault="00FB7973" w:rsidP="00FB7973">
                  <w:pPr>
                    <w:pStyle w:val="TableBodyText"/>
                    <w:ind w:right="28"/>
                  </w:pPr>
                  <w:r w:rsidRPr="00677285">
                    <w:t>0.053</w:t>
                  </w:r>
                </w:p>
              </w:tc>
              <w:tc>
                <w:tcPr>
                  <w:tcW w:w="632" w:type="pct"/>
                  <w:shd w:val="clear" w:color="auto" w:fill="auto"/>
                </w:tcPr>
                <w:p w:rsidR="00FB7973" w:rsidRDefault="00FB7973" w:rsidP="00FB7973">
                  <w:pPr>
                    <w:pStyle w:val="TableBodyText"/>
                    <w:ind w:right="28"/>
                  </w:pPr>
                  <w:r w:rsidRPr="00677285">
                    <w:t>0.013</w:t>
                  </w:r>
                </w:p>
              </w:tc>
              <w:tc>
                <w:tcPr>
                  <w:tcW w:w="632" w:type="pct"/>
                  <w:shd w:val="clear" w:color="auto" w:fill="auto"/>
                </w:tcPr>
                <w:p w:rsidR="00FB7973" w:rsidRDefault="00FB7973" w:rsidP="00FB7973">
                  <w:pPr>
                    <w:pStyle w:val="TableBodyText"/>
                    <w:ind w:right="28"/>
                  </w:pPr>
                  <w:r w:rsidRPr="00677285">
                    <w:t>0.026</w:t>
                  </w:r>
                </w:p>
              </w:tc>
              <w:tc>
                <w:tcPr>
                  <w:tcW w:w="632" w:type="pct"/>
                </w:tcPr>
                <w:p w:rsidR="00FB7973" w:rsidRDefault="00FB7973" w:rsidP="00FB7973">
                  <w:pPr>
                    <w:pStyle w:val="TableBodyText"/>
                    <w:ind w:right="28"/>
                  </w:pPr>
                  <w:r w:rsidRPr="00677285">
                    <w:t>0.053</w:t>
                  </w:r>
                </w:p>
              </w:tc>
              <w:tc>
                <w:tcPr>
                  <w:tcW w:w="630" w:type="pct"/>
                </w:tcPr>
                <w:p w:rsidR="00FB7973" w:rsidRDefault="00FB7973" w:rsidP="00FB7973">
                  <w:pPr>
                    <w:pStyle w:val="TableBodyText"/>
                    <w:ind w:right="28"/>
                  </w:pPr>
                  <w:r w:rsidRPr="00677285">
                    <w:t>0.077</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Other</w:t>
                  </w:r>
                </w:p>
              </w:tc>
              <w:tc>
                <w:tcPr>
                  <w:tcW w:w="632" w:type="pct"/>
                  <w:shd w:val="clear" w:color="auto" w:fill="F2F2F2" w:themeFill="background1" w:themeFillShade="F2"/>
                </w:tcPr>
                <w:p w:rsidR="00FB7973" w:rsidRDefault="00FB7973" w:rsidP="00FB7973">
                  <w:pPr>
                    <w:pStyle w:val="TableBodyText"/>
                    <w:ind w:right="28"/>
                  </w:pPr>
                  <w:r w:rsidRPr="00677285">
                    <w:t>-0.064</w:t>
                  </w:r>
                </w:p>
              </w:tc>
              <w:tc>
                <w:tcPr>
                  <w:tcW w:w="632" w:type="pct"/>
                  <w:shd w:val="clear" w:color="auto" w:fill="F2F2F2" w:themeFill="background1" w:themeFillShade="F2"/>
                </w:tcPr>
                <w:p w:rsidR="00FB7973" w:rsidRDefault="00FB7973" w:rsidP="00FB7973">
                  <w:pPr>
                    <w:pStyle w:val="TableBodyText"/>
                    <w:ind w:right="28"/>
                  </w:pPr>
                  <w:r w:rsidRPr="00677285">
                    <w:t>0.082</w:t>
                  </w:r>
                </w:p>
              </w:tc>
              <w:tc>
                <w:tcPr>
                  <w:tcW w:w="632" w:type="pct"/>
                  <w:shd w:val="clear" w:color="auto" w:fill="F2F2F2" w:themeFill="background1" w:themeFillShade="F2"/>
                </w:tcPr>
                <w:p w:rsidR="00FB7973" w:rsidRDefault="00FB7973" w:rsidP="00FB7973">
                  <w:pPr>
                    <w:pStyle w:val="TableBodyText"/>
                    <w:ind w:right="28"/>
                  </w:pPr>
                  <w:r w:rsidRPr="00677285">
                    <w:t>-0.224</w:t>
                  </w:r>
                </w:p>
              </w:tc>
              <w:tc>
                <w:tcPr>
                  <w:tcW w:w="632" w:type="pct"/>
                  <w:shd w:val="clear" w:color="auto" w:fill="F2F2F2" w:themeFill="background1" w:themeFillShade="F2"/>
                </w:tcPr>
                <w:p w:rsidR="00FB7973" w:rsidRDefault="00FB7973" w:rsidP="00FB7973">
                  <w:pPr>
                    <w:pStyle w:val="TableBodyText"/>
                    <w:ind w:right="28"/>
                  </w:pPr>
                  <w:r w:rsidRPr="00677285">
                    <w:t>-0.067</w:t>
                  </w:r>
                </w:p>
              </w:tc>
              <w:tc>
                <w:tcPr>
                  <w:tcW w:w="630" w:type="pct"/>
                  <w:shd w:val="clear" w:color="auto" w:fill="F2F2F2" w:themeFill="background1" w:themeFillShade="F2"/>
                </w:tcPr>
                <w:p w:rsidR="00FB7973" w:rsidRDefault="00FB7973" w:rsidP="00FB7973">
                  <w:pPr>
                    <w:pStyle w:val="TableBodyText"/>
                    <w:ind w:right="28"/>
                  </w:pPr>
                  <w:r w:rsidRPr="00677285">
                    <w:t>0.090</w:t>
                  </w:r>
                </w:p>
              </w:tc>
            </w:tr>
            <w:tr w:rsidR="00FB7973" w:rsidTr="00FB7973">
              <w:tc>
                <w:tcPr>
                  <w:tcW w:w="1842" w:type="pct"/>
                  <w:shd w:val="clear" w:color="auto" w:fill="auto"/>
                  <w:vAlign w:val="bottom"/>
                </w:tcPr>
                <w:p w:rsidR="00FB7973" w:rsidRDefault="00FB7973" w:rsidP="00FB7973">
                  <w:pPr>
                    <w:pStyle w:val="TableBodyText"/>
                    <w:jc w:val="left"/>
                  </w:pPr>
                  <w:r w:rsidRPr="00C358C1">
                    <w:t xml:space="preserve">Post reporting change </w:t>
                  </w:r>
                  <w:r>
                    <w:t>(PRC)</w:t>
                  </w:r>
                </w:p>
              </w:tc>
              <w:tc>
                <w:tcPr>
                  <w:tcW w:w="632" w:type="pct"/>
                </w:tcPr>
                <w:p w:rsidR="00FB7973" w:rsidRDefault="00FB7973" w:rsidP="00FB7973">
                  <w:pPr>
                    <w:pStyle w:val="TableBodyText"/>
                    <w:ind w:right="28"/>
                  </w:pPr>
                  <w:r w:rsidRPr="00677285">
                    <w:t>0.306</w:t>
                  </w:r>
                </w:p>
              </w:tc>
              <w:tc>
                <w:tcPr>
                  <w:tcW w:w="632" w:type="pct"/>
                  <w:shd w:val="clear" w:color="auto" w:fill="auto"/>
                </w:tcPr>
                <w:p w:rsidR="00FB7973" w:rsidRDefault="00FB7973" w:rsidP="00FB7973">
                  <w:pPr>
                    <w:pStyle w:val="TableBodyText"/>
                    <w:ind w:right="28"/>
                  </w:pPr>
                  <w:r w:rsidRPr="00677285">
                    <w:t>0.158</w:t>
                  </w:r>
                </w:p>
              </w:tc>
              <w:tc>
                <w:tcPr>
                  <w:tcW w:w="632" w:type="pct"/>
                  <w:shd w:val="clear" w:color="auto" w:fill="auto"/>
                </w:tcPr>
                <w:p w:rsidR="00FB7973" w:rsidRDefault="00FB7973" w:rsidP="00FB7973">
                  <w:pPr>
                    <w:pStyle w:val="TableBodyText"/>
                    <w:ind w:right="28"/>
                  </w:pPr>
                  <w:r w:rsidRPr="00677285">
                    <w:t>-0.003</w:t>
                  </w:r>
                </w:p>
              </w:tc>
              <w:tc>
                <w:tcPr>
                  <w:tcW w:w="632" w:type="pct"/>
                </w:tcPr>
                <w:p w:rsidR="00FB7973" w:rsidRDefault="00FB7973" w:rsidP="00FB7973">
                  <w:pPr>
                    <w:pStyle w:val="TableBodyText"/>
                    <w:ind w:right="28"/>
                  </w:pPr>
                  <w:r w:rsidRPr="00677285">
                    <w:t>0.305</w:t>
                  </w:r>
                </w:p>
              </w:tc>
              <w:tc>
                <w:tcPr>
                  <w:tcW w:w="630" w:type="pct"/>
                </w:tcPr>
                <w:p w:rsidR="00FB7973" w:rsidRDefault="00FB7973" w:rsidP="00FB7973">
                  <w:pPr>
                    <w:pStyle w:val="TableBodyText"/>
                    <w:ind w:right="28"/>
                  </w:pPr>
                  <w:r w:rsidRPr="00677285">
                    <w:t>0.608</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Industry x Assets</w:t>
                  </w:r>
                </w:p>
              </w:tc>
              <w:tc>
                <w:tcPr>
                  <w:tcW w:w="632" w:type="pct"/>
                  <w:shd w:val="clear" w:color="auto" w:fill="F2F2F2" w:themeFill="background1" w:themeFillShade="F2"/>
                </w:tcPr>
                <w:p w:rsidR="00FB7973" w:rsidRDefault="00FB7973" w:rsidP="00FB7973">
                  <w:pPr>
                    <w:pStyle w:val="TableBodyText"/>
                    <w:ind w:right="28"/>
                  </w:pPr>
                  <w:r w:rsidRPr="00677285">
                    <w:t>0.211</w:t>
                  </w:r>
                </w:p>
              </w:tc>
              <w:tc>
                <w:tcPr>
                  <w:tcW w:w="632" w:type="pct"/>
                  <w:shd w:val="clear" w:color="auto" w:fill="F2F2F2" w:themeFill="background1" w:themeFillShade="F2"/>
                </w:tcPr>
                <w:p w:rsidR="00FB7973" w:rsidRDefault="00FB7973" w:rsidP="00FB7973">
                  <w:pPr>
                    <w:pStyle w:val="TableBodyText"/>
                    <w:ind w:right="28"/>
                  </w:pPr>
                  <w:r w:rsidRPr="00677285">
                    <w:t>0.066</w:t>
                  </w:r>
                </w:p>
              </w:tc>
              <w:tc>
                <w:tcPr>
                  <w:tcW w:w="632" w:type="pct"/>
                  <w:shd w:val="clear" w:color="auto" w:fill="F2F2F2" w:themeFill="background1" w:themeFillShade="F2"/>
                </w:tcPr>
                <w:p w:rsidR="00FB7973" w:rsidRDefault="00FB7973" w:rsidP="00FB7973">
                  <w:pPr>
                    <w:pStyle w:val="TableBodyText"/>
                    <w:ind w:right="28"/>
                  </w:pPr>
                  <w:r w:rsidRPr="00677285">
                    <w:t>0.088</w:t>
                  </w:r>
                </w:p>
              </w:tc>
              <w:tc>
                <w:tcPr>
                  <w:tcW w:w="632" w:type="pct"/>
                  <w:shd w:val="clear" w:color="auto" w:fill="F2F2F2" w:themeFill="background1" w:themeFillShade="F2"/>
                </w:tcPr>
                <w:p w:rsidR="00FB7973" w:rsidRDefault="00FB7973" w:rsidP="00FB7973">
                  <w:pPr>
                    <w:pStyle w:val="TableBodyText"/>
                    <w:ind w:right="28"/>
                  </w:pPr>
                  <w:r w:rsidRPr="00677285">
                    <w:t>0.210</w:t>
                  </w:r>
                </w:p>
              </w:tc>
              <w:tc>
                <w:tcPr>
                  <w:tcW w:w="630" w:type="pct"/>
                  <w:shd w:val="clear" w:color="auto" w:fill="F2F2F2" w:themeFill="background1" w:themeFillShade="F2"/>
                </w:tcPr>
                <w:p w:rsidR="00FB7973" w:rsidRDefault="00FB7973" w:rsidP="00FB7973">
                  <w:pPr>
                    <w:pStyle w:val="TableBodyText"/>
                    <w:ind w:right="28"/>
                  </w:pPr>
                  <w:r w:rsidRPr="00677285">
                    <w:t>0.338</w:t>
                  </w:r>
                </w:p>
              </w:tc>
            </w:tr>
            <w:tr w:rsidR="00FB7973" w:rsidTr="00FB7973">
              <w:tc>
                <w:tcPr>
                  <w:tcW w:w="1842" w:type="pct"/>
                  <w:shd w:val="clear" w:color="auto" w:fill="auto"/>
                  <w:vAlign w:val="bottom"/>
                </w:tcPr>
                <w:p w:rsidR="00FB7973" w:rsidRDefault="00FB7973" w:rsidP="00FB7973">
                  <w:pPr>
                    <w:pStyle w:val="TableBodyText"/>
                    <w:jc w:val="left"/>
                  </w:pPr>
                  <w:r w:rsidRPr="00C358C1">
                    <w:t>Public x Assets</w:t>
                  </w:r>
                </w:p>
              </w:tc>
              <w:tc>
                <w:tcPr>
                  <w:tcW w:w="632" w:type="pct"/>
                </w:tcPr>
                <w:p w:rsidR="00FB7973" w:rsidRDefault="00FB7973" w:rsidP="00FB7973">
                  <w:pPr>
                    <w:pStyle w:val="TableBodyText"/>
                    <w:ind w:right="28"/>
                  </w:pPr>
                  <w:r w:rsidRPr="00677285">
                    <w:t>-0.155</w:t>
                  </w:r>
                </w:p>
              </w:tc>
              <w:tc>
                <w:tcPr>
                  <w:tcW w:w="632" w:type="pct"/>
                  <w:shd w:val="clear" w:color="auto" w:fill="auto"/>
                </w:tcPr>
                <w:p w:rsidR="00FB7973" w:rsidRDefault="00FB7973" w:rsidP="00FB7973">
                  <w:pPr>
                    <w:pStyle w:val="TableBodyText"/>
                    <w:ind w:right="28"/>
                  </w:pPr>
                  <w:r w:rsidRPr="00677285">
                    <w:t>0.075</w:t>
                  </w:r>
                </w:p>
              </w:tc>
              <w:tc>
                <w:tcPr>
                  <w:tcW w:w="632" w:type="pct"/>
                  <w:shd w:val="clear" w:color="auto" w:fill="auto"/>
                </w:tcPr>
                <w:p w:rsidR="00FB7973" w:rsidRDefault="00FB7973" w:rsidP="00FB7973">
                  <w:pPr>
                    <w:pStyle w:val="TableBodyText"/>
                    <w:ind w:right="28"/>
                  </w:pPr>
                  <w:r w:rsidRPr="00677285">
                    <w:t>-0.296</w:t>
                  </w:r>
                </w:p>
              </w:tc>
              <w:tc>
                <w:tcPr>
                  <w:tcW w:w="632" w:type="pct"/>
                </w:tcPr>
                <w:p w:rsidR="00FB7973" w:rsidRDefault="00FB7973" w:rsidP="00FB7973">
                  <w:pPr>
                    <w:pStyle w:val="TableBodyText"/>
                    <w:ind w:right="28"/>
                  </w:pPr>
                  <w:r w:rsidRPr="00677285">
                    <w:t>-0.154</w:t>
                  </w:r>
                </w:p>
              </w:tc>
              <w:tc>
                <w:tcPr>
                  <w:tcW w:w="630" w:type="pct"/>
                </w:tcPr>
                <w:p w:rsidR="00FB7973" w:rsidRDefault="00FB7973" w:rsidP="00FB7973">
                  <w:pPr>
                    <w:pStyle w:val="TableBodyText"/>
                    <w:ind w:right="28"/>
                  </w:pPr>
                  <w:r w:rsidRPr="00677285">
                    <w:t>-0.020</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Retail x Assets</w:t>
                  </w:r>
                </w:p>
              </w:tc>
              <w:tc>
                <w:tcPr>
                  <w:tcW w:w="632" w:type="pct"/>
                  <w:shd w:val="clear" w:color="auto" w:fill="F2F2F2" w:themeFill="background1" w:themeFillShade="F2"/>
                </w:tcPr>
                <w:p w:rsidR="00FB7973" w:rsidRDefault="00FB7973" w:rsidP="00FB7973">
                  <w:pPr>
                    <w:pStyle w:val="TableBodyText"/>
                    <w:ind w:right="28"/>
                  </w:pPr>
                  <w:r w:rsidRPr="00677285">
                    <w:t>-0.191</w:t>
                  </w:r>
                </w:p>
              </w:tc>
              <w:tc>
                <w:tcPr>
                  <w:tcW w:w="632" w:type="pct"/>
                  <w:shd w:val="clear" w:color="auto" w:fill="F2F2F2" w:themeFill="background1" w:themeFillShade="F2"/>
                </w:tcPr>
                <w:p w:rsidR="00FB7973" w:rsidRDefault="00FB7973" w:rsidP="00FB7973">
                  <w:pPr>
                    <w:pStyle w:val="TableBodyText"/>
                    <w:ind w:right="28"/>
                  </w:pPr>
                  <w:r w:rsidRPr="00677285">
                    <w:t>0.044</w:t>
                  </w:r>
                </w:p>
              </w:tc>
              <w:tc>
                <w:tcPr>
                  <w:tcW w:w="632" w:type="pct"/>
                  <w:shd w:val="clear" w:color="auto" w:fill="F2F2F2" w:themeFill="background1" w:themeFillShade="F2"/>
                </w:tcPr>
                <w:p w:rsidR="00FB7973" w:rsidRDefault="00FB7973" w:rsidP="00FB7973">
                  <w:pPr>
                    <w:pStyle w:val="TableBodyText"/>
                    <w:ind w:right="28"/>
                  </w:pPr>
                  <w:r w:rsidRPr="00677285">
                    <w:t>-0.279</w:t>
                  </w:r>
                </w:p>
              </w:tc>
              <w:tc>
                <w:tcPr>
                  <w:tcW w:w="632" w:type="pct"/>
                  <w:shd w:val="clear" w:color="auto" w:fill="F2F2F2" w:themeFill="background1" w:themeFillShade="F2"/>
                </w:tcPr>
                <w:p w:rsidR="00FB7973" w:rsidRDefault="00FB7973" w:rsidP="00FB7973">
                  <w:pPr>
                    <w:pStyle w:val="TableBodyText"/>
                    <w:ind w:right="28"/>
                  </w:pPr>
                  <w:r w:rsidRPr="00677285">
                    <w:t>-0.191</w:t>
                  </w:r>
                </w:p>
              </w:tc>
              <w:tc>
                <w:tcPr>
                  <w:tcW w:w="630" w:type="pct"/>
                  <w:shd w:val="clear" w:color="auto" w:fill="F2F2F2" w:themeFill="background1" w:themeFillShade="F2"/>
                </w:tcPr>
                <w:p w:rsidR="00FB7973" w:rsidRDefault="00FB7973" w:rsidP="00FB7973">
                  <w:pPr>
                    <w:pStyle w:val="TableBodyText"/>
                    <w:ind w:right="28"/>
                  </w:pPr>
                  <w:r w:rsidRPr="00677285">
                    <w:t>-0.101</w:t>
                  </w:r>
                </w:p>
              </w:tc>
            </w:tr>
            <w:tr w:rsidR="00FB7973" w:rsidTr="00FB7973">
              <w:tc>
                <w:tcPr>
                  <w:tcW w:w="1842" w:type="pct"/>
                  <w:shd w:val="clear" w:color="auto" w:fill="auto"/>
                  <w:vAlign w:val="bottom"/>
                </w:tcPr>
                <w:p w:rsidR="00FB7973" w:rsidRDefault="00FB7973" w:rsidP="00FB7973">
                  <w:pPr>
                    <w:pStyle w:val="TableBodyText"/>
                    <w:jc w:val="left"/>
                  </w:pPr>
                  <w:r w:rsidRPr="00C358C1">
                    <w:t>Industry x Other</w:t>
                  </w:r>
                </w:p>
              </w:tc>
              <w:tc>
                <w:tcPr>
                  <w:tcW w:w="632" w:type="pct"/>
                </w:tcPr>
                <w:p w:rsidR="00FB7973" w:rsidRDefault="00FB7973" w:rsidP="00FB7973">
                  <w:pPr>
                    <w:pStyle w:val="TableBodyText"/>
                    <w:ind w:right="28"/>
                  </w:pPr>
                  <w:r w:rsidRPr="00677285">
                    <w:t>0.062</w:t>
                  </w:r>
                </w:p>
              </w:tc>
              <w:tc>
                <w:tcPr>
                  <w:tcW w:w="632" w:type="pct"/>
                  <w:shd w:val="clear" w:color="auto" w:fill="auto"/>
                </w:tcPr>
                <w:p w:rsidR="00FB7973" w:rsidRDefault="00FB7973" w:rsidP="00FB7973">
                  <w:pPr>
                    <w:pStyle w:val="TableBodyText"/>
                    <w:ind w:right="28"/>
                  </w:pPr>
                  <w:r w:rsidRPr="00677285">
                    <w:t>0.108</w:t>
                  </w:r>
                </w:p>
              </w:tc>
              <w:tc>
                <w:tcPr>
                  <w:tcW w:w="632" w:type="pct"/>
                  <w:shd w:val="clear" w:color="auto" w:fill="auto"/>
                </w:tcPr>
                <w:p w:rsidR="00FB7973" w:rsidRDefault="00FB7973" w:rsidP="00FB7973">
                  <w:pPr>
                    <w:pStyle w:val="TableBodyText"/>
                    <w:ind w:right="28"/>
                  </w:pPr>
                  <w:r w:rsidRPr="00677285">
                    <w:t>-0.149</w:t>
                  </w:r>
                </w:p>
              </w:tc>
              <w:tc>
                <w:tcPr>
                  <w:tcW w:w="632" w:type="pct"/>
                </w:tcPr>
                <w:p w:rsidR="00FB7973" w:rsidRDefault="00FB7973" w:rsidP="00FB7973">
                  <w:pPr>
                    <w:pStyle w:val="TableBodyText"/>
                    <w:ind w:right="28"/>
                  </w:pPr>
                  <w:r w:rsidRPr="00677285">
                    <w:t>0.059</w:t>
                  </w:r>
                </w:p>
              </w:tc>
              <w:tc>
                <w:tcPr>
                  <w:tcW w:w="630" w:type="pct"/>
                </w:tcPr>
                <w:p w:rsidR="00FB7973" w:rsidRDefault="00FB7973" w:rsidP="00FB7973">
                  <w:pPr>
                    <w:pStyle w:val="TableBodyText"/>
                    <w:ind w:right="28"/>
                  </w:pPr>
                  <w:r w:rsidRPr="00677285">
                    <w:t>0.270</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Public x Other</w:t>
                  </w:r>
                </w:p>
              </w:tc>
              <w:tc>
                <w:tcPr>
                  <w:tcW w:w="632" w:type="pct"/>
                  <w:shd w:val="clear" w:color="auto" w:fill="F2F2F2" w:themeFill="background1" w:themeFillShade="F2"/>
                </w:tcPr>
                <w:p w:rsidR="00FB7973" w:rsidRDefault="00FB7973" w:rsidP="00FB7973">
                  <w:pPr>
                    <w:pStyle w:val="TableBodyText"/>
                    <w:ind w:right="28"/>
                  </w:pPr>
                  <w:r w:rsidRPr="00677285">
                    <w:t>-0.038</w:t>
                  </w:r>
                </w:p>
              </w:tc>
              <w:tc>
                <w:tcPr>
                  <w:tcW w:w="632" w:type="pct"/>
                  <w:shd w:val="clear" w:color="auto" w:fill="F2F2F2" w:themeFill="background1" w:themeFillShade="F2"/>
                </w:tcPr>
                <w:p w:rsidR="00FB7973" w:rsidRDefault="00FB7973" w:rsidP="00FB7973">
                  <w:pPr>
                    <w:pStyle w:val="TableBodyText"/>
                    <w:ind w:right="28"/>
                  </w:pPr>
                  <w:r w:rsidRPr="00677285">
                    <w:t>0.138</w:t>
                  </w:r>
                </w:p>
              </w:tc>
              <w:tc>
                <w:tcPr>
                  <w:tcW w:w="632" w:type="pct"/>
                  <w:shd w:val="clear" w:color="auto" w:fill="F2F2F2" w:themeFill="background1" w:themeFillShade="F2"/>
                </w:tcPr>
                <w:p w:rsidR="00FB7973" w:rsidRDefault="00FB7973" w:rsidP="00FB7973">
                  <w:pPr>
                    <w:pStyle w:val="TableBodyText"/>
                    <w:ind w:right="28"/>
                  </w:pPr>
                  <w:r w:rsidRPr="00677285">
                    <w:t>-0.308</w:t>
                  </w:r>
                </w:p>
              </w:tc>
              <w:tc>
                <w:tcPr>
                  <w:tcW w:w="632" w:type="pct"/>
                  <w:shd w:val="clear" w:color="auto" w:fill="F2F2F2" w:themeFill="background1" w:themeFillShade="F2"/>
                </w:tcPr>
                <w:p w:rsidR="00FB7973" w:rsidRDefault="00FB7973" w:rsidP="00FB7973">
                  <w:pPr>
                    <w:pStyle w:val="TableBodyText"/>
                    <w:ind w:right="28"/>
                  </w:pPr>
                  <w:r w:rsidRPr="00677285">
                    <w:t>-0.039</w:t>
                  </w:r>
                </w:p>
              </w:tc>
              <w:tc>
                <w:tcPr>
                  <w:tcW w:w="630" w:type="pct"/>
                  <w:shd w:val="clear" w:color="auto" w:fill="F2F2F2" w:themeFill="background1" w:themeFillShade="F2"/>
                </w:tcPr>
                <w:p w:rsidR="00FB7973" w:rsidRDefault="00FB7973" w:rsidP="00FB7973">
                  <w:pPr>
                    <w:pStyle w:val="TableBodyText"/>
                    <w:ind w:right="28"/>
                  </w:pPr>
                  <w:r w:rsidRPr="00677285">
                    <w:t>0.233</w:t>
                  </w:r>
                </w:p>
              </w:tc>
            </w:tr>
            <w:tr w:rsidR="00FB7973" w:rsidTr="00FB7973">
              <w:tc>
                <w:tcPr>
                  <w:tcW w:w="1842" w:type="pct"/>
                  <w:shd w:val="clear" w:color="auto" w:fill="auto"/>
                  <w:vAlign w:val="bottom"/>
                </w:tcPr>
                <w:p w:rsidR="00FB7973" w:rsidRDefault="00FB7973" w:rsidP="00FB7973">
                  <w:pPr>
                    <w:pStyle w:val="TableBodyText"/>
                    <w:jc w:val="left"/>
                  </w:pPr>
                  <w:r w:rsidRPr="00C358C1">
                    <w:t>Retail x Other</w:t>
                  </w:r>
                </w:p>
              </w:tc>
              <w:tc>
                <w:tcPr>
                  <w:tcW w:w="632" w:type="pct"/>
                </w:tcPr>
                <w:p w:rsidR="00FB7973" w:rsidRDefault="00FB7973" w:rsidP="00FB7973">
                  <w:pPr>
                    <w:pStyle w:val="TableBodyText"/>
                    <w:ind w:right="28"/>
                  </w:pPr>
                  <w:r w:rsidRPr="00677285">
                    <w:t>0.115</w:t>
                  </w:r>
                </w:p>
              </w:tc>
              <w:tc>
                <w:tcPr>
                  <w:tcW w:w="632" w:type="pct"/>
                  <w:shd w:val="clear" w:color="auto" w:fill="auto"/>
                </w:tcPr>
                <w:p w:rsidR="00FB7973" w:rsidRDefault="00FB7973" w:rsidP="00FB7973">
                  <w:pPr>
                    <w:pStyle w:val="TableBodyText"/>
                    <w:ind w:right="28"/>
                  </w:pPr>
                  <w:r w:rsidRPr="00677285">
                    <w:t>0.103</w:t>
                  </w:r>
                </w:p>
              </w:tc>
              <w:tc>
                <w:tcPr>
                  <w:tcW w:w="632" w:type="pct"/>
                  <w:shd w:val="clear" w:color="auto" w:fill="auto"/>
                </w:tcPr>
                <w:p w:rsidR="00FB7973" w:rsidRDefault="00FB7973" w:rsidP="00FB7973">
                  <w:pPr>
                    <w:pStyle w:val="TableBodyText"/>
                    <w:ind w:right="28"/>
                  </w:pPr>
                  <w:r w:rsidRPr="00677285">
                    <w:t>-0.090</w:t>
                  </w:r>
                </w:p>
              </w:tc>
              <w:tc>
                <w:tcPr>
                  <w:tcW w:w="632" w:type="pct"/>
                </w:tcPr>
                <w:p w:rsidR="00FB7973" w:rsidRDefault="00FB7973" w:rsidP="00FB7973">
                  <w:pPr>
                    <w:pStyle w:val="TableBodyText"/>
                    <w:ind w:right="28"/>
                  </w:pPr>
                  <w:r w:rsidRPr="00677285">
                    <w:t>0.116</w:t>
                  </w:r>
                </w:p>
              </w:tc>
              <w:tc>
                <w:tcPr>
                  <w:tcW w:w="630" w:type="pct"/>
                </w:tcPr>
                <w:p w:rsidR="00FB7973" w:rsidRDefault="00FB7973" w:rsidP="00FB7973">
                  <w:pPr>
                    <w:pStyle w:val="TableBodyText"/>
                    <w:ind w:right="28"/>
                  </w:pPr>
                  <w:r w:rsidRPr="00677285">
                    <w:t>0.315</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PRC x Aus fixed interest</w:t>
                  </w:r>
                </w:p>
              </w:tc>
              <w:tc>
                <w:tcPr>
                  <w:tcW w:w="632" w:type="pct"/>
                  <w:shd w:val="clear" w:color="auto" w:fill="F2F2F2" w:themeFill="background1" w:themeFillShade="F2"/>
                </w:tcPr>
                <w:p w:rsidR="00FB7973" w:rsidRDefault="00FB7973" w:rsidP="00FB7973">
                  <w:pPr>
                    <w:pStyle w:val="TableBodyText"/>
                    <w:ind w:right="28"/>
                  </w:pPr>
                  <w:r w:rsidRPr="00677285">
                    <w:t>-0.065</w:t>
                  </w:r>
                </w:p>
              </w:tc>
              <w:tc>
                <w:tcPr>
                  <w:tcW w:w="632" w:type="pct"/>
                  <w:shd w:val="clear" w:color="auto" w:fill="F2F2F2" w:themeFill="background1" w:themeFillShade="F2"/>
                </w:tcPr>
                <w:p w:rsidR="00FB7973" w:rsidRDefault="00FB7973" w:rsidP="00FB7973">
                  <w:pPr>
                    <w:pStyle w:val="TableBodyText"/>
                    <w:ind w:right="28"/>
                  </w:pPr>
                  <w:r w:rsidRPr="00677285">
                    <w:t>0.040</w:t>
                  </w:r>
                </w:p>
              </w:tc>
              <w:tc>
                <w:tcPr>
                  <w:tcW w:w="632" w:type="pct"/>
                  <w:shd w:val="clear" w:color="auto" w:fill="F2F2F2" w:themeFill="background1" w:themeFillShade="F2"/>
                </w:tcPr>
                <w:p w:rsidR="00FB7973" w:rsidRDefault="00FB7973" w:rsidP="00FB7973">
                  <w:pPr>
                    <w:pStyle w:val="TableBodyText"/>
                    <w:ind w:right="28"/>
                  </w:pPr>
                  <w:r w:rsidRPr="00677285">
                    <w:t>-0.143</w:t>
                  </w:r>
                </w:p>
              </w:tc>
              <w:tc>
                <w:tcPr>
                  <w:tcW w:w="632" w:type="pct"/>
                  <w:shd w:val="clear" w:color="auto" w:fill="F2F2F2" w:themeFill="background1" w:themeFillShade="F2"/>
                </w:tcPr>
                <w:p w:rsidR="00FB7973" w:rsidRDefault="00FB7973" w:rsidP="00FB7973">
                  <w:pPr>
                    <w:pStyle w:val="TableBodyText"/>
                    <w:ind w:right="28"/>
                  </w:pPr>
                  <w:r w:rsidRPr="00677285">
                    <w:t>-0.066</w:t>
                  </w:r>
                </w:p>
              </w:tc>
              <w:tc>
                <w:tcPr>
                  <w:tcW w:w="630" w:type="pct"/>
                  <w:shd w:val="clear" w:color="auto" w:fill="F2F2F2" w:themeFill="background1" w:themeFillShade="F2"/>
                </w:tcPr>
                <w:p w:rsidR="00FB7973" w:rsidRDefault="00FB7973" w:rsidP="00FB7973">
                  <w:pPr>
                    <w:pStyle w:val="TableBodyText"/>
                    <w:ind w:right="28"/>
                  </w:pPr>
                  <w:r w:rsidRPr="00677285">
                    <w:t>0.013</w:t>
                  </w:r>
                </w:p>
              </w:tc>
            </w:tr>
            <w:tr w:rsidR="00FB7973" w:rsidTr="00FB7973">
              <w:tc>
                <w:tcPr>
                  <w:tcW w:w="1842" w:type="pct"/>
                  <w:shd w:val="clear" w:color="auto" w:fill="auto"/>
                  <w:vAlign w:val="bottom"/>
                </w:tcPr>
                <w:p w:rsidR="00FB7973" w:rsidRDefault="00FB7973" w:rsidP="00FB7973">
                  <w:pPr>
                    <w:pStyle w:val="TableBodyText"/>
                    <w:jc w:val="left"/>
                  </w:pPr>
                  <w:r w:rsidRPr="00C358C1">
                    <w:t>PRC x International fixed interest</w:t>
                  </w:r>
                </w:p>
              </w:tc>
              <w:tc>
                <w:tcPr>
                  <w:tcW w:w="632" w:type="pct"/>
                </w:tcPr>
                <w:p w:rsidR="00FB7973" w:rsidRDefault="00FB7973" w:rsidP="00FB7973">
                  <w:pPr>
                    <w:pStyle w:val="TableBodyText"/>
                    <w:ind w:right="28"/>
                  </w:pPr>
                  <w:r w:rsidRPr="00677285">
                    <w:t>0.068</w:t>
                  </w:r>
                </w:p>
              </w:tc>
              <w:tc>
                <w:tcPr>
                  <w:tcW w:w="632" w:type="pct"/>
                  <w:shd w:val="clear" w:color="auto" w:fill="auto"/>
                </w:tcPr>
                <w:p w:rsidR="00FB7973" w:rsidRDefault="00FB7973" w:rsidP="00FB7973">
                  <w:pPr>
                    <w:pStyle w:val="TableBodyText"/>
                    <w:ind w:right="28"/>
                  </w:pPr>
                  <w:r w:rsidRPr="00677285">
                    <w:t>0.038</w:t>
                  </w:r>
                </w:p>
              </w:tc>
              <w:tc>
                <w:tcPr>
                  <w:tcW w:w="632" w:type="pct"/>
                  <w:shd w:val="clear" w:color="auto" w:fill="auto"/>
                </w:tcPr>
                <w:p w:rsidR="00FB7973" w:rsidRDefault="00FB7973" w:rsidP="00FB7973">
                  <w:pPr>
                    <w:pStyle w:val="TableBodyText"/>
                    <w:ind w:right="28"/>
                  </w:pPr>
                  <w:r w:rsidRPr="00677285">
                    <w:t>-0.003</w:t>
                  </w:r>
                </w:p>
              </w:tc>
              <w:tc>
                <w:tcPr>
                  <w:tcW w:w="632" w:type="pct"/>
                </w:tcPr>
                <w:p w:rsidR="00FB7973" w:rsidRDefault="00FB7973" w:rsidP="00FB7973">
                  <w:pPr>
                    <w:pStyle w:val="TableBodyText"/>
                    <w:ind w:right="28"/>
                  </w:pPr>
                  <w:r w:rsidRPr="00677285">
                    <w:t>0.067</w:t>
                  </w:r>
                </w:p>
              </w:tc>
              <w:tc>
                <w:tcPr>
                  <w:tcW w:w="630" w:type="pct"/>
                </w:tcPr>
                <w:p w:rsidR="00FB7973" w:rsidRDefault="00FB7973" w:rsidP="00FB7973">
                  <w:pPr>
                    <w:pStyle w:val="TableBodyText"/>
                    <w:ind w:right="28"/>
                  </w:pPr>
                  <w:r w:rsidRPr="00677285">
                    <w:t>0.148</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PRC x Aus equity</w:t>
                  </w:r>
                </w:p>
              </w:tc>
              <w:tc>
                <w:tcPr>
                  <w:tcW w:w="632" w:type="pct"/>
                  <w:shd w:val="clear" w:color="auto" w:fill="F2F2F2" w:themeFill="background1" w:themeFillShade="F2"/>
                </w:tcPr>
                <w:p w:rsidR="00FB7973" w:rsidRDefault="00FB7973" w:rsidP="00FB7973">
                  <w:pPr>
                    <w:pStyle w:val="TableBodyText"/>
                    <w:ind w:right="28"/>
                  </w:pPr>
                  <w:r w:rsidRPr="00677285">
                    <w:t>0.010</w:t>
                  </w:r>
                </w:p>
              </w:tc>
              <w:tc>
                <w:tcPr>
                  <w:tcW w:w="632" w:type="pct"/>
                  <w:shd w:val="clear" w:color="auto" w:fill="F2F2F2" w:themeFill="background1" w:themeFillShade="F2"/>
                </w:tcPr>
                <w:p w:rsidR="00FB7973" w:rsidRDefault="00FB7973" w:rsidP="00FB7973">
                  <w:pPr>
                    <w:pStyle w:val="TableBodyText"/>
                    <w:ind w:right="28"/>
                  </w:pPr>
                  <w:r w:rsidRPr="00677285">
                    <w:t>0.038</w:t>
                  </w:r>
                </w:p>
              </w:tc>
              <w:tc>
                <w:tcPr>
                  <w:tcW w:w="632" w:type="pct"/>
                  <w:shd w:val="clear" w:color="auto" w:fill="F2F2F2" w:themeFill="background1" w:themeFillShade="F2"/>
                </w:tcPr>
                <w:p w:rsidR="00FB7973" w:rsidRDefault="00FB7973" w:rsidP="00FB7973">
                  <w:pPr>
                    <w:pStyle w:val="TableBodyText"/>
                    <w:ind w:right="28"/>
                  </w:pPr>
                  <w:r w:rsidRPr="00677285">
                    <w:t>-0.062</w:t>
                  </w:r>
                </w:p>
              </w:tc>
              <w:tc>
                <w:tcPr>
                  <w:tcW w:w="632" w:type="pct"/>
                  <w:shd w:val="clear" w:color="auto" w:fill="F2F2F2" w:themeFill="background1" w:themeFillShade="F2"/>
                </w:tcPr>
                <w:p w:rsidR="00FB7973" w:rsidRDefault="00FB7973" w:rsidP="00FB7973">
                  <w:pPr>
                    <w:pStyle w:val="TableBodyText"/>
                    <w:ind w:right="28"/>
                  </w:pPr>
                  <w:r w:rsidRPr="00677285">
                    <w:t>0.011</w:t>
                  </w:r>
                </w:p>
              </w:tc>
              <w:tc>
                <w:tcPr>
                  <w:tcW w:w="630" w:type="pct"/>
                  <w:shd w:val="clear" w:color="auto" w:fill="F2F2F2" w:themeFill="background1" w:themeFillShade="F2"/>
                </w:tcPr>
                <w:p w:rsidR="00FB7973" w:rsidRDefault="00FB7973" w:rsidP="00FB7973">
                  <w:pPr>
                    <w:pStyle w:val="TableBodyText"/>
                    <w:ind w:right="28"/>
                  </w:pPr>
                  <w:r w:rsidRPr="00677285">
                    <w:t>0.086</w:t>
                  </w:r>
                </w:p>
              </w:tc>
            </w:tr>
            <w:tr w:rsidR="00FB7973" w:rsidTr="00FB7973">
              <w:tc>
                <w:tcPr>
                  <w:tcW w:w="1842" w:type="pct"/>
                  <w:shd w:val="clear" w:color="auto" w:fill="auto"/>
                  <w:vAlign w:val="bottom"/>
                </w:tcPr>
                <w:p w:rsidR="00FB7973" w:rsidRDefault="00FB7973" w:rsidP="00FB7973">
                  <w:pPr>
                    <w:pStyle w:val="TableBodyText"/>
                    <w:jc w:val="left"/>
                  </w:pPr>
                  <w:r w:rsidRPr="00C358C1">
                    <w:t>PRC x International equity</w:t>
                  </w:r>
                </w:p>
              </w:tc>
              <w:tc>
                <w:tcPr>
                  <w:tcW w:w="632" w:type="pct"/>
                </w:tcPr>
                <w:p w:rsidR="00FB7973" w:rsidRDefault="00FB7973" w:rsidP="00FB7973">
                  <w:pPr>
                    <w:pStyle w:val="TableBodyText"/>
                    <w:ind w:right="28"/>
                  </w:pPr>
                  <w:r w:rsidRPr="00677285">
                    <w:t>-0.114</w:t>
                  </w:r>
                </w:p>
              </w:tc>
              <w:tc>
                <w:tcPr>
                  <w:tcW w:w="632" w:type="pct"/>
                  <w:shd w:val="clear" w:color="auto" w:fill="auto"/>
                </w:tcPr>
                <w:p w:rsidR="00FB7973" w:rsidRDefault="00FB7973" w:rsidP="00FB7973">
                  <w:pPr>
                    <w:pStyle w:val="TableBodyText"/>
                    <w:ind w:right="28"/>
                  </w:pPr>
                  <w:r w:rsidRPr="00677285">
                    <w:t>0.035</w:t>
                  </w:r>
                </w:p>
              </w:tc>
              <w:tc>
                <w:tcPr>
                  <w:tcW w:w="632" w:type="pct"/>
                  <w:shd w:val="clear" w:color="auto" w:fill="auto"/>
                </w:tcPr>
                <w:p w:rsidR="00FB7973" w:rsidRDefault="00FB7973" w:rsidP="00FB7973">
                  <w:pPr>
                    <w:pStyle w:val="TableBodyText"/>
                    <w:ind w:right="28"/>
                  </w:pPr>
                  <w:r w:rsidRPr="00677285">
                    <w:t>-0.180</w:t>
                  </w:r>
                </w:p>
              </w:tc>
              <w:tc>
                <w:tcPr>
                  <w:tcW w:w="632" w:type="pct"/>
                </w:tcPr>
                <w:p w:rsidR="00FB7973" w:rsidRDefault="00FB7973" w:rsidP="00FB7973">
                  <w:pPr>
                    <w:pStyle w:val="TableBodyText"/>
                    <w:ind w:right="28"/>
                  </w:pPr>
                  <w:r w:rsidRPr="00677285">
                    <w:t>-0.113</w:t>
                  </w:r>
                </w:p>
              </w:tc>
              <w:tc>
                <w:tcPr>
                  <w:tcW w:w="630" w:type="pct"/>
                </w:tcPr>
                <w:p w:rsidR="00FB7973" w:rsidRDefault="00FB7973" w:rsidP="00FB7973">
                  <w:pPr>
                    <w:pStyle w:val="TableBodyText"/>
                    <w:ind w:right="28"/>
                  </w:pPr>
                  <w:r w:rsidRPr="00677285">
                    <w:t>-0.043</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PRC x Listed Property</w:t>
                  </w:r>
                </w:p>
              </w:tc>
              <w:tc>
                <w:tcPr>
                  <w:tcW w:w="632" w:type="pct"/>
                  <w:shd w:val="clear" w:color="auto" w:fill="F2F2F2" w:themeFill="background1" w:themeFillShade="F2"/>
                </w:tcPr>
                <w:p w:rsidR="00FB7973" w:rsidRDefault="00FB7973" w:rsidP="00FB7973">
                  <w:pPr>
                    <w:pStyle w:val="TableBodyText"/>
                    <w:ind w:right="28"/>
                  </w:pPr>
                  <w:r w:rsidRPr="00677285">
                    <w:t>0.076</w:t>
                  </w:r>
                </w:p>
              </w:tc>
              <w:tc>
                <w:tcPr>
                  <w:tcW w:w="632" w:type="pct"/>
                  <w:shd w:val="clear" w:color="auto" w:fill="F2F2F2" w:themeFill="background1" w:themeFillShade="F2"/>
                </w:tcPr>
                <w:p w:rsidR="00FB7973" w:rsidRDefault="00FB7973" w:rsidP="00FB7973">
                  <w:pPr>
                    <w:pStyle w:val="TableBodyText"/>
                    <w:ind w:right="28"/>
                  </w:pPr>
                  <w:r w:rsidRPr="00677285">
                    <w:t>0.042</w:t>
                  </w:r>
                </w:p>
              </w:tc>
              <w:tc>
                <w:tcPr>
                  <w:tcW w:w="632" w:type="pct"/>
                  <w:shd w:val="clear" w:color="auto" w:fill="F2F2F2" w:themeFill="background1" w:themeFillShade="F2"/>
                </w:tcPr>
                <w:p w:rsidR="00FB7973" w:rsidRDefault="00FB7973" w:rsidP="00FB7973">
                  <w:pPr>
                    <w:pStyle w:val="TableBodyText"/>
                    <w:ind w:right="28"/>
                  </w:pPr>
                  <w:r w:rsidRPr="00677285">
                    <w:t>-0.008</w:t>
                  </w:r>
                </w:p>
              </w:tc>
              <w:tc>
                <w:tcPr>
                  <w:tcW w:w="632" w:type="pct"/>
                  <w:shd w:val="clear" w:color="auto" w:fill="F2F2F2" w:themeFill="background1" w:themeFillShade="F2"/>
                </w:tcPr>
                <w:p w:rsidR="00FB7973" w:rsidRDefault="00FB7973" w:rsidP="00FB7973">
                  <w:pPr>
                    <w:pStyle w:val="TableBodyText"/>
                    <w:ind w:right="28"/>
                  </w:pPr>
                  <w:r w:rsidRPr="00677285">
                    <w:t>0.076</w:t>
                  </w:r>
                </w:p>
              </w:tc>
              <w:tc>
                <w:tcPr>
                  <w:tcW w:w="630" w:type="pct"/>
                  <w:shd w:val="clear" w:color="auto" w:fill="F2F2F2" w:themeFill="background1" w:themeFillShade="F2"/>
                </w:tcPr>
                <w:p w:rsidR="00FB7973" w:rsidRDefault="00FB7973" w:rsidP="00FB7973">
                  <w:pPr>
                    <w:pStyle w:val="TableBodyText"/>
                    <w:ind w:right="28"/>
                  </w:pPr>
                  <w:r w:rsidRPr="00677285">
                    <w:t>0.159</w:t>
                  </w:r>
                </w:p>
              </w:tc>
            </w:tr>
            <w:tr w:rsidR="00FB7973" w:rsidTr="00FB7973">
              <w:tc>
                <w:tcPr>
                  <w:tcW w:w="1842" w:type="pct"/>
                  <w:shd w:val="clear" w:color="auto" w:fill="auto"/>
                  <w:vAlign w:val="bottom"/>
                </w:tcPr>
                <w:p w:rsidR="00FB7973" w:rsidRDefault="00FB7973" w:rsidP="00FB7973">
                  <w:pPr>
                    <w:pStyle w:val="TableBodyText"/>
                    <w:jc w:val="left"/>
                  </w:pPr>
                  <w:r w:rsidRPr="00C358C1">
                    <w:t>PRC x Unlisted property</w:t>
                  </w:r>
                </w:p>
              </w:tc>
              <w:tc>
                <w:tcPr>
                  <w:tcW w:w="632" w:type="pct"/>
                </w:tcPr>
                <w:p w:rsidR="00FB7973" w:rsidRDefault="00FB7973" w:rsidP="00FB7973">
                  <w:pPr>
                    <w:pStyle w:val="TableBodyText"/>
                    <w:ind w:right="28"/>
                  </w:pPr>
                  <w:r w:rsidRPr="00677285">
                    <w:t>-0.129</w:t>
                  </w:r>
                </w:p>
              </w:tc>
              <w:tc>
                <w:tcPr>
                  <w:tcW w:w="632" w:type="pct"/>
                  <w:shd w:val="clear" w:color="auto" w:fill="auto"/>
                </w:tcPr>
                <w:p w:rsidR="00FB7973" w:rsidRDefault="00FB7973" w:rsidP="00FB7973">
                  <w:pPr>
                    <w:pStyle w:val="TableBodyText"/>
                    <w:ind w:right="28"/>
                  </w:pPr>
                  <w:r w:rsidRPr="00677285">
                    <w:t>0.041</w:t>
                  </w:r>
                </w:p>
              </w:tc>
              <w:tc>
                <w:tcPr>
                  <w:tcW w:w="632" w:type="pct"/>
                  <w:shd w:val="clear" w:color="auto" w:fill="auto"/>
                </w:tcPr>
                <w:p w:rsidR="00FB7973" w:rsidRDefault="00FB7973" w:rsidP="00FB7973">
                  <w:pPr>
                    <w:pStyle w:val="TableBodyText"/>
                    <w:ind w:right="28"/>
                  </w:pPr>
                  <w:r w:rsidRPr="00677285">
                    <w:t>-0.207</w:t>
                  </w:r>
                </w:p>
              </w:tc>
              <w:tc>
                <w:tcPr>
                  <w:tcW w:w="632" w:type="pct"/>
                </w:tcPr>
                <w:p w:rsidR="00FB7973" w:rsidRDefault="00FB7973" w:rsidP="00FB7973">
                  <w:pPr>
                    <w:pStyle w:val="TableBodyText"/>
                    <w:ind w:right="28"/>
                  </w:pPr>
                  <w:r w:rsidRPr="00677285">
                    <w:t>-0.129</w:t>
                  </w:r>
                </w:p>
              </w:tc>
              <w:tc>
                <w:tcPr>
                  <w:tcW w:w="630" w:type="pct"/>
                </w:tcPr>
                <w:p w:rsidR="00FB7973" w:rsidRDefault="00FB7973" w:rsidP="00FB7973">
                  <w:pPr>
                    <w:pStyle w:val="TableBodyText"/>
                    <w:ind w:right="28"/>
                  </w:pPr>
                  <w:r w:rsidRPr="00677285">
                    <w:t>-0.050</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PRC x Other</w:t>
                  </w:r>
                </w:p>
              </w:tc>
              <w:tc>
                <w:tcPr>
                  <w:tcW w:w="632" w:type="pct"/>
                  <w:shd w:val="clear" w:color="auto" w:fill="F2F2F2" w:themeFill="background1" w:themeFillShade="F2"/>
                </w:tcPr>
                <w:p w:rsidR="00FB7973" w:rsidRDefault="00FB7973" w:rsidP="00FB7973">
                  <w:pPr>
                    <w:pStyle w:val="TableBodyText"/>
                    <w:ind w:right="28"/>
                  </w:pPr>
                  <w:r w:rsidRPr="00677285">
                    <w:t>-0.049</w:t>
                  </w:r>
                </w:p>
              </w:tc>
              <w:tc>
                <w:tcPr>
                  <w:tcW w:w="632" w:type="pct"/>
                  <w:shd w:val="clear" w:color="auto" w:fill="F2F2F2" w:themeFill="background1" w:themeFillShade="F2"/>
                </w:tcPr>
                <w:p w:rsidR="00FB7973" w:rsidRDefault="00FB7973" w:rsidP="00FB7973">
                  <w:pPr>
                    <w:pStyle w:val="TableBodyText"/>
                    <w:ind w:right="28"/>
                  </w:pPr>
                  <w:r w:rsidRPr="00677285">
                    <w:t>0.055</w:t>
                  </w:r>
                </w:p>
              </w:tc>
              <w:tc>
                <w:tcPr>
                  <w:tcW w:w="632" w:type="pct"/>
                  <w:shd w:val="clear" w:color="auto" w:fill="F2F2F2" w:themeFill="background1" w:themeFillShade="F2"/>
                </w:tcPr>
                <w:p w:rsidR="00FB7973" w:rsidRDefault="00FB7973" w:rsidP="00FB7973">
                  <w:pPr>
                    <w:pStyle w:val="TableBodyText"/>
                    <w:ind w:right="28"/>
                  </w:pPr>
                  <w:r w:rsidRPr="00677285">
                    <w:t>-0.156</w:t>
                  </w:r>
                </w:p>
              </w:tc>
              <w:tc>
                <w:tcPr>
                  <w:tcW w:w="632" w:type="pct"/>
                  <w:shd w:val="clear" w:color="auto" w:fill="F2F2F2" w:themeFill="background1" w:themeFillShade="F2"/>
                </w:tcPr>
                <w:p w:rsidR="00FB7973" w:rsidRDefault="00FB7973" w:rsidP="00FB7973">
                  <w:pPr>
                    <w:pStyle w:val="TableBodyText"/>
                    <w:ind w:right="28"/>
                  </w:pPr>
                  <w:r w:rsidRPr="00677285">
                    <w:t>-0.052</w:t>
                  </w:r>
                </w:p>
              </w:tc>
              <w:tc>
                <w:tcPr>
                  <w:tcW w:w="630" w:type="pct"/>
                  <w:shd w:val="clear" w:color="auto" w:fill="F2F2F2" w:themeFill="background1" w:themeFillShade="F2"/>
                </w:tcPr>
                <w:p w:rsidR="00FB7973" w:rsidRDefault="00FB7973" w:rsidP="00FB7973">
                  <w:pPr>
                    <w:pStyle w:val="TableBodyText"/>
                    <w:ind w:right="28"/>
                  </w:pPr>
                  <w:r w:rsidRPr="00677285">
                    <w:t>0.063</w:t>
                  </w:r>
                </w:p>
              </w:tc>
            </w:tr>
            <w:tr w:rsidR="00FB7973" w:rsidTr="00FB7973">
              <w:tc>
                <w:tcPr>
                  <w:tcW w:w="1842" w:type="pct"/>
                  <w:shd w:val="clear" w:color="auto" w:fill="auto"/>
                  <w:vAlign w:val="bottom"/>
                </w:tcPr>
                <w:p w:rsidR="00FB7973" w:rsidRDefault="00FB7973" w:rsidP="00FB7973">
                  <w:pPr>
                    <w:pStyle w:val="TableBodyText"/>
                    <w:jc w:val="left"/>
                  </w:pPr>
                  <w:r w:rsidRPr="00C358C1">
                    <w:t>Intercept</w:t>
                  </w:r>
                </w:p>
              </w:tc>
              <w:tc>
                <w:tcPr>
                  <w:tcW w:w="632" w:type="pct"/>
                </w:tcPr>
                <w:p w:rsidR="00FB7973" w:rsidRDefault="00FB7973" w:rsidP="00FB7973">
                  <w:pPr>
                    <w:pStyle w:val="TableBodyText"/>
                    <w:ind w:right="28"/>
                  </w:pPr>
                  <w:r w:rsidRPr="00677285">
                    <w:t>-1.682</w:t>
                  </w:r>
                </w:p>
              </w:tc>
              <w:tc>
                <w:tcPr>
                  <w:tcW w:w="632" w:type="pct"/>
                  <w:shd w:val="clear" w:color="auto" w:fill="auto"/>
                </w:tcPr>
                <w:p w:rsidR="00FB7973" w:rsidRDefault="00FB7973" w:rsidP="00FB7973">
                  <w:pPr>
                    <w:pStyle w:val="TableBodyText"/>
                    <w:ind w:right="28"/>
                  </w:pPr>
                  <w:r w:rsidRPr="00677285">
                    <w:t>0.190</w:t>
                  </w:r>
                </w:p>
              </w:tc>
              <w:tc>
                <w:tcPr>
                  <w:tcW w:w="632" w:type="pct"/>
                  <w:shd w:val="clear" w:color="auto" w:fill="auto"/>
                </w:tcPr>
                <w:p w:rsidR="00FB7973" w:rsidRDefault="00FB7973" w:rsidP="00FB7973">
                  <w:pPr>
                    <w:pStyle w:val="TableBodyText"/>
                    <w:ind w:right="28"/>
                  </w:pPr>
                  <w:r w:rsidRPr="00677285">
                    <w:t>-2.052</w:t>
                  </w:r>
                </w:p>
              </w:tc>
              <w:tc>
                <w:tcPr>
                  <w:tcW w:w="632" w:type="pct"/>
                </w:tcPr>
                <w:p w:rsidR="00FB7973" w:rsidRDefault="00FB7973" w:rsidP="00FB7973">
                  <w:pPr>
                    <w:pStyle w:val="TableBodyText"/>
                    <w:ind w:right="28"/>
                  </w:pPr>
                  <w:r w:rsidRPr="00677285">
                    <w:t>-1.688</w:t>
                  </w:r>
                </w:p>
              </w:tc>
              <w:tc>
                <w:tcPr>
                  <w:tcW w:w="630" w:type="pct"/>
                </w:tcPr>
                <w:p w:rsidR="00FB7973" w:rsidRDefault="00FB7973" w:rsidP="00FB7973">
                  <w:pPr>
                    <w:pStyle w:val="TableBodyText"/>
                    <w:ind w:right="28"/>
                  </w:pPr>
                  <w:r w:rsidRPr="00677285">
                    <w:t>-1.296</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SD of varying Intercept</w:t>
                  </w:r>
                </w:p>
              </w:tc>
              <w:tc>
                <w:tcPr>
                  <w:tcW w:w="632" w:type="pct"/>
                  <w:shd w:val="clear" w:color="auto" w:fill="F2F2F2" w:themeFill="background1" w:themeFillShade="F2"/>
                </w:tcPr>
                <w:p w:rsidR="00FB7973" w:rsidRDefault="00FB7973" w:rsidP="00FB7973">
                  <w:pPr>
                    <w:pStyle w:val="TableBodyText"/>
                    <w:ind w:right="28"/>
                  </w:pPr>
                  <w:r w:rsidRPr="00677285">
                    <w:t>0.270</w:t>
                  </w:r>
                </w:p>
              </w:tc>
              <w:tc>
                <w:tcPr>
                  <w:tcW w:w="632" w:type="pct"/>
                  <w:shd w:val="clear" w:color="auto" w:fill="F2F2F2" w:themeFill="background1" w:themeFillShade="F2"/>
                </w:tcPr>
                <w:p w:rsidR="00FB7973" w:rsidRDefault="00FB7973" w:rsidP="00FB7973">
                  <w:pPr>
                    <w:pStyle w:val="TableBodyText"/>
                    <w:ind w:right="28"/>
                  </w:pPr>
                  <w:r w:rsidRPr="00677285">
                    <w:t>0.065</w:t>
                  </w:r>
                </w:p>
              </w:tc>
              <w:tc>
                <w:tcPr>
                  <w:tcW w:w="632" w:type="pct"/>
                  <w:shd w:val="clear" w:color="auto" w:fill="F2F2F2" w:themeFill="background1" w:themeFillShade="F2"/>
                </w:tcPr>
                <w:p w:rsidR="00FB7973" w:rsidRDefault="00FB7973" w:rsidP="00FB7973">
                  <w:pPr>
                    <w:pStyle w:val="TableBodyText"/>
                    <w:ind w:right="28"/>
                  </w:pPr>
                  <w:r w:rsidRPr="00677285">
                    <w:t>0.148</w:t>
                  </w:r>
                </w:p>
              </w:tc>
              <w:tc>
                <w:tcPr>
                  <w:tcW w:w="632" w:type="pct"/>
                  <w:shd w:val="clear" w:color="auto" w:fill="F2F2F2" w:themeFill="background1" w:themeFillShade="F2"/>
                </w:tcPr>
                <w:p w:rsidR="00FB7973" w:rsidRDefault="00FB7973" w:rsidP="00FB7973">
                  <w:pPr>
                    <w:pStyle w:val="TableBodyText"/>
                    <w:ind w:right="28"/>
                  </w:pPr>
                  <w:r w:rsidRPr="00677285">
                    <w:t>0.268</w:t>
                  </w:r>
                </w:p>
              </w:tc>
              <w:tc>
                <w:tcPr>
                  <w:tcW w:w="630" w:type="pct"/>
                  <w:shd w:val="clear" w:color="auto" w:fill="F2F2F2" w:themeFill="background1" w:themeFillShade="F2"/>
                </w:tcPr>
                <w:p w:rsidR="00FB7973" w:rsidRDefault="00FB7973" w:rsidP="00FB7973">
                  <w:pPr>
                    <w:pStyle w:val="TableBodyText"/>
                    <w:ind w:right="28"/>
                  </w:pPr>
                  <w:r w:rsidRPr="00677285">
                    <w:t>0.393</w:t>
                  </w:r>
                </w:p>
              </w:tc>
            </w:tr>
            <w:tr w:rsidR="00FB7973" w:rsidTr="00FB7973">
              <w:tc>
                <w:tcPr>
                  <w:tcW w:w="1842" w:type="pct"/>
                  <w:shd w:val="clear" w:color="auto" w:fill="auto"/>
                  <w:vAlign w:val="bottom"/>
                </w:tcPr>
                <w:p w:rsidR="00FB7973" w:rsidRDefault="00FB7973" w:rsidP="00FB7973">
                  <w:pPr>
                    <w:pStyle w:val="TableBodyText"/>
                    <w:jc w:val="left"/>
                  </w:pPr>
                  <w:r w:rsidRPr="00C358C1">
                    <w:t xml:space="preserve">SD of varying </w:t>
                  </w:r>
                  <w:r>
                    <w:t xml:space="preserve">slope: </w:t>
                  </w:r>
                  <w:r w:rsidRPr="00C358C1">
                    <w:t>Assets</w:t>
                  </w:r>
                </w:p>
              </w:tc>
              <w:tc>
                <w:tcPr>
                  <w:tcW w:w="632" w:type="pct"/>
                </w:tcPr>
                <w:p w:rsidR="00FB7973" w:rsidRDefault="00FB7973" w:rsidP="00FB7973">
                  <w:pPr>
                    <w:pStyle w:val="TableBodyText"/>
                    <w:ind w:right="28"/>
                  </w:pPr>
                  <w:r w:rsidRPr="00677285">
                    <w:t>0.101</w:t>
                  </w:r>
                </w:p>
              </w:tc>
              <w:tc>
                <w:tcPr>
                  <w:tcW w:w="632" w:type="pct"/>
                  <w:shd w:val="clear" w:color="auto" w:fill="auto"/>
                </w:tcPr>
                <w:p w:rsidR="00FB7973" w:rsidRDefault="00FB7973" w:rsidP="00FB7973">
                  <w:pPr>
                    <w:pStyle w:val="TableBodyText"/>
                    <w:ind w:right="28"/>
                  </w:pPr>
                  <w:r w:rsidRPr="00677285">
                    <w:t>0.008</w:t>
                  </w:r>
                </w:p>
              </w:tc>
              <w:tc>
                <w:tcPr>
                  <w:tcW w:w="632" w:type="pct"/>
                  <w:shd w:val="clear" w:color="auto" w:fill="auto"/>
                </w:tcPr>
                <w:p w:rsidR="00FB7973" w:rsidRDefault="00FB7973" w:rsidP="00FB7973">
                  <w:pPr>
                    <w:pStyle w:val="TableBodyText"/>
                    <w:ind w:right="28"/>
                  </w:pPr>
                  <w:r w:rsidRPr="00677285">
                    <w:t>0.084</w:t>
                  </w:r>
                </w:p>
              </w:tc>
              <w:tc>
                <w:tcPr>
                  <w:tcW w:w="632" w:type="pct"/>
                </w:tcPr>
                <w:p w:rsidR="00FB7973" w:rsidRDefault="00FB7973" w:rsidP="00FB7973">
                  <w:pPr>
                    <w:pStyle w:val="TableBodyText"/>
                    <w:ind w:right="28"/>
                  </w:pPr>
                  <w:r w:rsidRPr="00677285">
                    <w:t>0.101</w:t>
                  </w:r>
                </w:p>
              </w:tc>
              <w:tc>
                <w:tcPr>
                  <w:tcW w:w="630" w:type="pct"/>
                </w:tcPr>
                <w:p w:rsidR="00FB7973" w:rsidRDefault="00FB7973" w:rsidP="00FB7973">
                  <w:pPr>
                    <w:pStyle w:val="TableBodyText"/>
                    <w:ind w:right="28"/>
                  </w:pPr>
                  <w:r w:rsidRPr="00677285">
                    <w:t>0.115</w:t>
                  </w:r>
                </w:p>
              </w:tc>
            </w:tr>
            <w:tr w:rsidR="00FB7973" w:rsidTr="00FB7973">
              <w:tc>
                <w:tcPr>
                  <w:tcW w:w="1842" w:type="pct"/>
                  <w:tcBorders>
                    <w:bottom w:val="single" w:sz="6" w:space="0" w:color="BFBFBF" w:themeColor="background1" w:themeShade="BF"/>
                  </w:tcBorders>
                  <w:shd w:val="clear" w:color="auto" w:fill="F2F2F2" w:themeFill="background1" w:themeFillShade="F2"/>
                  <w:vAlign w:val="bottom"/>
                </w:tcPr>
                <w:p w:rsidR="00FB7973" w:rsidRDefault="00FB7973" w:rsidP="00FB7973">
                  <w:pPr>
                    <w:pStyle w:val="TableBodyText"/>
                    <w:jc w:val="left"/>
                  </w:pPr>
                  <w:r w:rsidRPr="00C358C1">
                    <w:t xml:space="preserve">SD of varying </w:t>
                  </w:r>
                  <w:r>
                    <w:t xml:space="preserve">slope: </w:t>
                  </w:r>
                  <w:r w:rsidRPr="00C358C1">
                    <w:t>Other</w:t>
                  </w:r>
                </w:p>
              </w:tc>
              <w:tc>
                <w:tcPr>
                  <w:tcW w:w="632"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677285">
                    <w:t>0.430</w:t>
                  </w:r>
                </w:p>
              </w:tc>
              <w:tc>
                <w:tcPr>
                  <w:tcW w:w="632"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677285">
                    <w:t>0.047</w:t>
                  </w:r>
                </w:p>
              </w:tc>
              <w:tc>
                <w:tcPr>
                  <w:tcW w:w="632"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677285">
                    <w:t>0.340</w:t>
                  </w:r>
                </w:p>
              </w:tc>
              <w:tc>
                <w:tcPr>
                  <w:tcW w:w="632"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677285">
                    <w:t>0.430</w:t>
                  </w:r>
                </w:p>
              </w:tc>
              <w:tc>
                <w:tcPr>
                  <w:tcW w:w="630"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677285">
                    <w:t>0.528</w:t>
                  </w:r>
                </w:p>
              </w:tc>
            </w:tr>
          </w:tbl>
          <w:p w:rsidR="00FB7973" w:rsidRDefault="00FB7973" w:rsidP="00FB7973">
            <w:pPr>
              <w:pStyle w:val="Box"/>
            </w:pPr>
          </w:p>
        </w:tc>
      </w:tr>
      <w:tr w:rsidR="00FB7973" w:rsidTr="00FB7973">
        <w:tc>
          <w:tcPr>
            <w:tcW w:w="5000" w:type="pct"/>
            <w:tcBorders>
              <w:top w:val="nil"/>
              <w:left w:val="nil"/>
              <w:bottom w:val="nil"/>
              <w:right w:val="nil"/>
            </w:tcBorders>
            <w:shd w:val="clear" w:color="auto" w:fill="auto"/>
          </w:tcPr>
          <w:p w:rsidR="00FB7973" w:rsidRDefault="00FB7973" w:rsidP="00FB7973">
            <w:pPr>
              <w:pStyle w:val="Continued"/>
            </w:pPr>
            <w:r>
              <w:t>(continued next page)</w:t>
            </w:r>
          </w:p>
        </w:tc>
      </w:tr>
      <w:tr w:rsidR="00FB7973" w:rsidTr="00FB7973">
        <w:tc>
          <w:tcPr>
            <w:tcW w:w="5000" w:type="pct"/>
            <w:tcBorders>
              <w:top w:val="nil"/>
              <w:left w:val="nil"/>
              <w:bottom w:val="single" w:sz="6" w:space="0" w:color="78A22F"/>
              <w:right w:val="nil"/>
            </w:tcBorders>
            <w:shd w:val="clear" w:color="auto" w:fill="auto"/>
          </w:tcPr>
          <w:p w:rsidR="00FB7973" w:rsidRDefault="00FB7973" w:rsidP="00FB7973">
            <w:pPr>
              <w:pStyle w:val="Box"/>
              <w:spacing w:before="0" w:line="120" w:lineRule="exact"/>
            </w:pPr>
          </w:p>
        </w:tc>
      </w:tr>
      <w:tr w:rsidR="00FB7973" w:rsidRPr="000863A5" w:rsidTr="00FB7973">
        <w:tc>
          <w:tcPr>
            <w:tcW w:w="5000" w:type="pct"/>
            <w:tcBorders>
              <w:top w:val="single" w:sz="6" w:space="0" w:color="78A22F"/>
              <w:left w:val="nil"/>
              <w:bottom w:val="nil"/>
              <w:right w:val="nil"/>
            </w:tcBorders>
          </w:tcPr>
          <w:p w:rsidR="00FB7973" w:rsidRPr="00626D32" w:rsidRDefault="00FB7973" w:rsidP="00FB7973">
            <w:pPr>
              <w:pStyle w:val="BoxSpaceBelow"/>
            </w:pPr>
          </w:p>
        </w:tc>
      </w:tr>
    </w:tbl>
    <w:p w:rsidR="00FB7973" w:rsidRDefault="00FB7973" w:rsidP="00FB797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B7973" w:rsidTr="00FB7973">
        <w:trPr>
          <w:tblHeader/>
        </w:trPr>
        <w:tc>
          <w:tcPr>
            <w:tcW w:w="5000" w:type="pct"/>
            <w:tcBorders>
              <w:top w:val="single" w:sz="6" w:space="0" w:color="78A22F"/>
              <w:left w:val="nil"/>
              <w:bottom w:val="nil"/>
              <w:right w:val="nil"/>
            </w:tcBorders>
            <w:shd w:val="clear" w:color="auto" w:fill="auto"/>
          </w:tcPr>
          <w:p w:rsidR="00FB7973" w:rsidRPr="00784A05" w:rsidRDefault="00FB7973" w:rsidP="00FB7973">
            <w:pPr>
              <w:pStyle w:val="TableTitle"/>
            </w:pPr>
            <w:r>
              <w:rPr>
                <w:b w:val="0"/>
              </w:rPr>
              <w:t>Table E.</w:t>
            </w:r>
            <w:r w:rsidR="004703C8">
              <w:rPr>
                <w:b w:val="0"/>
              </w:rPr>
              <w:t>2</w:t>
            </w:r>
            <w:r>
              <w:tab/>
            </w:r>
            <w:r w:rsidRPr="004B358B">
              <w:rPr>
                <w:b w:val="0"/>
                <w:sz w:val="18"/>
                <w:szCs w:val="18"/>
              </w:rPr>
              <w:t>(continued)</w:t>
            </w:r>
          </w:p>
        </w:tc>
      </w:tr>
      <w:tr w:rsidR="00FB7973" w:rsidTr="00FB7973">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FB7973" w:rsidTr="00FB7973">
              <w:tc>
                <w:tcPr>
                  <w:tcW w:w="1842" w:type="pct"/>
                  <w:tcBorders>
                    <w:top w:val="single" w:sz="6" w:space="0" w:color="BFBFBF"/>
                    <w:bottom w:val="single" w:sz="6" w:space="0" w:color="BFBFBF"/>
                  </w:tcBorders>
                  <w:shd w:val="clear" w:color="auto" w:fill="auto"/>
                </w:tcPr>
                <w:p w:rsidR="00FB7973" w:rsidRDefault="00FB7973" w:rsidP="00FB7973">
                  <w:pPr>
                    <w:pStyle w:val="TableColumnHeading"/>
                    <w:jc w:val="left"/>
                    <w:rPr>
                      <w:b/>
                    </w:rPr>
                  </w:pPr>
                  <w:r>
                    <w:t>Parameter</w:t>
                  </w:r>
                </w:p>
              </w:tc>
              <w:tc>
                <w:tcPr>
                  <w:tcW w:w="632" w:type="pct"/>
                  <w:tcBorders>
                    <w:top w:val="single" w:sz="6" w:space="0" w:color="BFBFBF"/>
                    <w:bottom w:val="single" w:sz="6" w:space="0" w:color="BFBFBF"/>
                  </w:tcBorders>
                </w:tcPr>
                <w:p w:rsidR="00FB7973" w:rsidRDefault="00FB7973" w:rsidP="00FB7973">
                  <w:pPr>
                    <w:pStyle w:val="TableColumnHeading"/>
                  </w:pPr>
                  <w:r>
                    <w:t>Mean</w:t>
                  </w:r>
                </w:p>
              </w:tc>
              <w:tc>
                <w:tcPr>
                  <w:tcW w:w="632" w:type="pct"/>
                  <w:tcBorders>
                    <w:top w:val="single" w:sz="6" w:space="0" w:color="BFBFBF"/>
                    <w:bottom w:val="single" w:sz="6" w:space="0" w:color="BFBFBF"/>
                  </w:tcBorders>
                  <w:shd w:val="clear" w:color="auto" w:fill="auto"/>
                </w:tcPr>
                <w:p w:rsidR="00FB7973" w:rsidRDefault="00FB7973" w:rsidP="00FB7973">
                  <w:pPr>
                    <w:pStyle w:val="TableColumnHeading"/>
                  </w:pPr>
                  <w:r>
                    <w:t>Standard deviation</w:t>
                  </w:r>
                </w:p>
              </w:tc>
              <w:tc>
                <w:tcPr>
                  <w:tcW w:w="632" w:type="pct"/>
                  <w:tcBorders>
                    <w:top w:val="single" w:sz="6" w:space="0" w:color="BFBFBF"/>
                    <w:bottom w:val="single" w:sz="6" w:space="0" w:color="BFBFBF"/>
                  </w:tcBorders>
                  <w:shd w:val="clear" w:color="auto" w:fill="auto"/>
                </w:tcPr>
                <w:p w:rsidR="00FB7973" w:rsidRDefault="00FB7973" w:rsidP="00FB7973">
                  <w:pPr>
                    <w:pStyle w:val="TableColumnHeading"/>
                  </w:pPr>
                  <w:r>
                    <w:t>2.5 percentile</w:t>
                  </w:r>
                </w:p>
              </w:tc>
              <w:tc>
                <w:tcPr>
                  <w:tcW w:w="632" w:type="pct"/>
                  <w:tcBorders>
                    <w:top w:val="single" w:sz="6" w:space="0" w:color="BFBFBF"/>
                    <w:bottom w:val="single" w:sz="6" w:space="0" w:color="BFBFBF"/>
                  </w:tcBorders>
                </w:tcPr>
                <w:p w:rsidR="00FB7973" w:rsidRDefault="00FB7973" w:rsidP="00FB7973">
                  <w:pPr>
                    <w:pStyle w:val="TableColumnHeading"/>
                  </w:pPr>
                  <w:r>
                    <w:t>Median</w:t>
                  </w:r>
                </w:p>
              </w:tc>
              <w:tc>
                <w:tcPr>
                  <w:tcW w:w="630" w:type="pct"/>
                  <w:tcBorders>
                    <w:top w:val="single" w:sz="6" w:space="0" w:color="BFBFBF"/>
                    <w:bottom w:val="single" w:sz="6" w:space="0" w:color="BFBFBF"/>
                  </w:tcBorders>
                </w:tcPr>
                <w:p w:rsidR="00FB7973" w:rsidRDefault="00FB7973" w:rsidP="00FB7973">
                  <w:pPr>
                    <w:pStyle w:val="TableColumnHeading"/>
                  </w:pPr>
                  <w:r>
                    <w:t>97.5 percentile</w:t>
                  </w:r>
                </w:p>
              </w:tc>
            </w:tr>
            <w:tr w:rsidR="00FB7973" w:rsidTr="00FB7973">
              <w:tc>
                <w:tcPr>
                  <w:tcW w:w="1842" w:type="pct"/>
                  <w:tcBorders>
                    <w:top w:val="single" w:sz="6" w:space="0" w:color="BFBFBF"/>
                  </w:tcBorders>
                  <w:shd w:val="clear" w:color="auto" w:fill="BFBFBF" w:themeFill="background1" w:themeFillShade="BF"/>
                  <w:vAlign w:val="bottom"/>
                </w:tcPr>
                <w:p w:rsidR="00FB7973" w:rsidRPr="0099011F" w:rsidRDefault="00FB7973" w:rsidP="00FB7973">
                  <w:pPr>
                    <w:pStyle w:val="TableBodyText"/>
                    <w:jc w:val="left"/>
                    <w:rPr>
                      <w:b/>
                    </w:rPr>
                  </w:pPr>
                  <w:r w:rsidRPr="00C358C1">
                    <w:rPr>
                      <w:b/>
                    </w:rPr>
                    <w:t>Number of investment options</w:t>
                  </w:r>
                </w:p>
              </w:tc>
              <w:tc>
                <w:tcPr>
                  <w:tcW w:w="632" w:type="pct"/>
                  <w:tcBorders>
                    <w:top w:val="single" w:sz="6" w:space="0" w:color="BFBFBF"/>
                  </w:tcBorders>
                  <w:shd w:val="clear" w:color="auto" w:fill="BFBFBF" w:themeFill="background1" w:themeFillShade="BF"/>
                  <w:vAlign w:val="bottom"/>
                </w:tcPr>
                <w:p w:rsidR="00FB7973" w:rsidRDefault="00FB7973" w:rsidP="00FB7973">
                  <w:pPr>
                    <w:pStyle w:val="TableBodyText"/>
                  </w:pPr>
                </w:p>
              </w:tc>
              <w:tc>
                <w:tcPr>
                  <w:tcW w:w="632" w:type="pct"/>
                  <w:tcBorders>
                    <w:top w:val="single" w:sz="6" w:space="0" w:color="BFBFBF"/>
                  </w:tcBorders>
                  <w:shd w:val="clear" w:color="auto" w:fill="BFBFBF" w:themeFill="background1" w:themeFillShade="BF"/>
                  <w:vAlign w:val="bottom"/>
                </w:tcPr>
                <w:p w:rsidR="00FB7973" w:rsidRDefault="00FB7973" w:rsidP="00FB7973">
                  <w:pPr>
                    <w:pStyle w:val="TableBodyText"/>
                  </w:pPr>
                </w:p>
              </w:tc>
              <w:tc>
                <w:tcPr>
                  <w:tcW w:w="632" w:type="pct"/>
                  <w:tcBorders>
                    <w:top w:val="single" w:sz="6" w:space="0" w:color="BFBFBF"/>
                  </w:tcBorders>
                  <w:shd w:val="clear" w:color="auto" w:fill="BFBFBF" w:themeFill="background1" w:themeFillShade="BF"/>
                  <w:vAlign w:val="bottom"/>
                </w:tcPr>
                <w:p w:rsidR="00FB7973" w:rsidRDefault="00FB7973" w:rsidP="00FB7973">
                  <w:pPr>
                    <w:pStyle w:val="TableBodyText"/>
                    <w:ind w:right="28"/>
                  </w:pPr>
                </w:p>
              </w:tc>
              <w:tc>
                <w:tcPr>
                  <w:tcW w:w="632" w:type="pct"/>
                  <w:tcBorders>
                    <w:top w:val="single" w:sz="6" w:space="0" w:color="BFBFBF"/>
                  </w:tcBorders>
                  <w:shd w:val="clear" w:color="auto" w:fill="BFBFBF" w:themeFill="background1" w:themeFillShade="BF"/>
                  <w:vAlign w:val="bottom"/>
                </w:tcPr>
                <w:p w:rsidR="00FB7973" w:rsidRDefault="00FB7973" w:rsidP="00FB7973">
                  <w:pPr>
                    <w:pStyle w:val="TableBodyText"/>
                    <w:ind w:right="28"/>
                  </w:pPr>
                </w:p>
              </w:tc>
              <w:tc>
                <w:tcPr>
                  <w:tcW w:w="630" w:type="pct"/>
                  <w:tcBorders>
                    <w:top w:val="single" w:sz="6" w:space="0" w:color="BFBFBF"/>
                  </w:tcBorders>
                  <w:shd w:val="clear" w:color="auto" w:fill="BFBFBF" w:themeFill="background1" w:themeFillShade="BF"/>
                  <w:vAlign w:val="bottom"/>
                </w:tcPr>
                <w:p w:rsidR="00FB7973" w:rsidRDefault="00FB7973" w:rsidP="00FB7973">
                  <w:pPr>
                    <w:pStyle w:val="TableBodyText"/>
                    <w:ind w:right="28"/>
                  </w:pPr>
                </w:p>
              </w:tc>
            </w:tr>
            <w:tr w:rsidR="00FB7973" w:rsidTr="00FB7973">
              <w:tc>
                <w:tcPr>
                  <w:tcW w:w="1842" w:type="pct"/>
                  <w:shd w:val="clear" w:color="auto" w:fill="auto"/>
                  <w:vAlign w:val="bottom"/>
                </w:tcPr>
                <w:p w:rsidR="00FB7973" w:rsidRDefault="00FB7973" w:rsidP="00FB7973">
                  <w:pPr>
                    <w:pStyle w:val="TableBodyText"/>
                    <w:jc w:val="left"/>
                  </w:pPr>
                  <w:r w:rsidRPr="00C358C1">
                    <w:t>Assets</w:t>
                  </w:r>
                </w:p>
              </w:tc>
              <w:tc>
                <w:tcPr>
                  <w:tcW w:w="632" w:type="pct"/>
                </w:tcPr>
                <w:p w:rsidR="00FB7973" w:rsidRDefault="00FB7973" w:rsidP="00FB7973">
                  <w:pPr>
                    <w:pStyle w:val="TableBodyText"/>
                    <w:ind w:right="28"/>
                  </w:pPr>
                  <w:r w:rsidRPr="00EC4B4E">
                    <w:t>0.036</w:t>
                  </w:r>
                </w:p>
              </w:tc>
              <w:tc>
                <w:tcPr>
                  <w:tcW w:w="632" w:type="pct"/>
                  <w:shd w:val="clear" w:color="auto" w:fill="auto"/>
                </w:tcPr>
                <w:p w:rsidR="00FB7973" w:rsidRDefault="00FB7973" w:rsidP="00FB7973">
                  <w:pPr>
                    <w:pStyle w:val="TableBodyText"/>
                    <w:ind w:right="28"/>
                  </w:pPr>
                  <w:r w:rsidRPr="00EC4B4E">
                    <w:t>0.078</w:t>
                  </w:r>
                </w:p>
              </w:tc>
              <w:tc>
                <w:tcPr>
                  <w:tcW w:w="632" w:type="pct"/>
                  <w:shd w:val="clear" w:color="auto" w:fill="auto"/>
                </w:tcPr>
                <w:p w:rsidR="00FB7973" w:rsidRDefault="00FB7973" w:rsidP="00FB7973">
                  <w:pPr>
                    <w:pStyle w:val="TableBodyText"/>
                    <w:ind w:right="28"/>
                  </w:pPr>
                  <w:r w:rsidRPr="00EC4B4E">
                    <w:t>-0.118</w:t>
                  </w:r>
                </w:p>
              </w:tc>
              <w:tc>
                <w:tcPr>
                  <w:tcW w:w="632" w:type="pct"/>
                </w:tcPr>
                <w:p w:rsidR="00FB7973" w:rsidRDefault="00FB7973" w:rsidP="00FB7973">
                  <w:pPr>
                    <w:pStyle w:val="TableBodyText"/>
                    <w:ind w:right="28"/>
                  </w:pPr>
                  <w:r w:rsidRPr="00EC4B4E">
                    <w:t>0.034</w:t>
                  </w:r>
                </w:p>
              </w:tc>
              <w:tc>
                <w:tcPr>
                  <w:tcW w:w="630" w:type="pct"/>
                </w:tcPr>
                <w:p w:rsidR="00FB7973" w:rsidRDefault="00FB7973" w:rsidP="00FB7973">
                  <w:pPr>
                    <w:pStyle w:val="TableBodyText"/>
                    <w:ind w:right="28"/>
                  </w:pPr>
                  <w:r w:rsidRPr="00EC4B4E">
                    <w:t>0.191</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Member accounts</w:t>
                  </w:r>
                </w:p>
              </w:tc>
              <w:tc>
                <w:tcPr>
                  <w:tcW w:w="632" w:type="pct"/>
                  <w:shd w:val="clear" w:color="auto" w:fill="F2F2F2" w:themeFill="background1" w:themeFillShade="F2"/>
                </w:tcPr>
                <w:p w:rsidR="00FB7973" w:rsidRDefault="00FB7973" w:rsidP="00FB7973">
                  <w:pPr>
                    <w:pStyle w:val="TableBodyText"/>
                    <w:ind w:right="28"/>
                  </w:pPr>
                  <w:r w:rsidRPr="00EC4B4E">
                    <w:t>0.275</w:t>
                  </w:r>
                </w:p>
              </w:tc>
              <w:tc>
                <w:tcPr>
                  <w:tcW w:w="632" w:type="pct"/>
                  <w:shd w:val="clear" w:color="auto" w:fill="F2F2F2" w:themeFill="background1" w:themeFillShade="F2"/>
                </w:tcPr>
                <w:p w:rsidR="00FB7973" w:rsidRDefault="00FB7973" w:rsidP="00FB7973">
                  <w:pPr>
                    <w:pStyle w:val="TableBodyText"/>
                    <w:ind w:right="28"/>
                  </w:pPr>
                  <w:r w:rsidRPr="00EC4B4E">
                    <w:t>0.094</w:t>
                  </w:r>
                </w:p>
              </w:tc>
              <w:tc>
                <w:tcPr>
                  <w:tcW w:w="632" w:type="pct"/>
                  <w:shd w:val="clear" w:color="auto" w:fill="F2F2F2" w:themeFill="background1" w:themeFillShade="F2"/>
                </w:tcPr>
                <w:p w:rsidR="00FB7973" w:rsidRDefault="00FB7973" w:rsidP="00FB7973">
                  <w:pPr>
                    <w:pStyle w:val="TableBodyText"/>
                    <w:ind w:right="28"/>
                  </w:pPr>
                  <w:r w:rsidRPr="00EC4B4E">
                    <w:t>0.091</w:t>
                  </w:r>
                </w:p>
              </w:tc>
              <w:tc>
                <w:tcPr>
                  <w:tcW w:w="632" w:type="pct"/>
                  <w:shd w:val="clear" w:color="auto" w:fill="F2F2F2" w:themeFill="background1" w:themeFillShade="F2"/>
                </w:tcPr>
                <w:p w:rsidR="00FB7973" w:rsidRDefault="00FB7973" w:rsidP="00FB7973">
                  <w:pPr>
                    <w:pStyle w:val="TableBodyText"/>
                    <w:ind w:right="28"/>
                  </w:pPr>
                  <w:r w:rsidRPr="00EC4B4E">
                    <w:t>0.275</w:t>
                  </w:r>
                </w:p>
              </w:tc>
              <w:tc>
                <w:tcPr>
                  <w:tcW w:w="630" w:type="pct"/>
                  <w:shd w:val="clear" w:color="auto" w:fill="F2F2F2" w:themeFill="background1" w:themeFillShade="F2"/>
                </w:tcPr>
                <w:p w:rsidR="00FB7973" w:rsidRDefault="00FB7973" w:rsidP="00FB7973">
                  <w:pPr>
                    <w:pStyle w:val="TableBodyText"/>
                    <w:ind w:right="28"/>
                  </w:pPr>
                  <w:r w:rsidRPr="00EC4B4E">
                    <w:t>0.459</w:t>
                  </w:r>
                </w:p>
              </w:tc>
            </w:tr>
            <w:tr w:rsidR="00FB7973" w:rsidTr="00FB7973">
              <w:tc>
                <w:tcPr>
                  <w:tcW w:w="1842" w:type="pct"/>
                  <w:shd w:val="clear" w:color="auto" w:fill="auto"/>
                  <w:vAlign w:val="bottom"/>
                </w:tcPr>
                <w:p w:rsidR="00FB7973" w:rsidRDefault="00FB7973" w:rsidP="00FB7973">
                  <w:pPr>
                    <w:pStyle w:val="TableBodyText"/>
                    <w:jc w:val="left"/>
                  </w:pPr>
                  <w:r w:rsidRPr="00C358C1">
                    <w:t>Net contributions</w:t>
                  </w:r>
                </w:p>
              </w:tc>
              <w:tc>
                <w:tcPr>
                  <w:tcW w:w="632" w:type="pct"/>
                </w:tcPr>
                <w:p w:rsidR="00FB7973" w:rsidRDefault="00FB7973" w:rsidP="00FB7973">
                  <w:pPr>
                    <w:pStyle w:val="TableBodyText"/>
                    <w:ind w:right="28"/>
                  </w:pPr>
                  <w:r w:rsidRPr="00EC4B4E">
                    <w:t>0.009</w:t>
                  </w:r>
                </w:p>
              </w:tc>
              <w:tc>
                <w:tcPr>
                  <w:tcW w:w="632" w:type="pct"/>
                  <w:shd w:val="clear" w:color="auto" w:fill="auto"/>
                </w:tcPr>
                <w:p w:rsidR="00FB7973" w:rsidRDefault="00FB7973" w:rsidP="00FB7973">
                  <w:pPr>
                    <w:pStyle w:val="TableBodyText"/>
                    <w:ind w:right="28"/>
                  </w:pPr>
                  <w:r w:rsidRPr="00EC4B4E">
                    <w:t>0.015</w:t>
                  </w:r>
                </w:p>
              </w:tc>
              <w:tc>
                <w:tcPr>
                  <w:tcW w:w="632" w:type="pct"/>
                  <w:shd w:val="clear" w:color="auto" w:fill="auto"/>
                </w:tcPr>
                <w:p w:rsidR="00FB7973" w:rsidRDefault="00FB7973" w:rsidP="00FB7973">
                  <w:pPr>
                    <w:pStyle w:val="TableBodyText"/>
                    <w:ind w:right="28"/>
                  </w:pPr>
                  <w:r w:rsidRPr="00EC4B4E">
                    <w:t>-0.019</w:t>
                  </w:r>
                </w:p>
              </w:tc>
              <w:tc>
                <w:tcPr>
                  <w:tcW w:w="632" w:type="pct"/>
                </w:tcPr>
                <w:p w:rsidR="00FB7973" w:rsidRDefault="00FB7973" w:rsidP="00FB7973">
                  <w:pPr>
                    <w:pStyle w:val="TableBodyText"/>
                    <w:ind w:right="28"/>
                  </w:pPr>
                  <w:r w:rsidRPr="00EC4B4E">
                    <w:t>0.008</w:t>
                  </w:r>
                </w:p>
              </w:tc>
              <w:tc>
                <w:tcPr>
                  <w:tcW w:w="630" w:type="pct"/>
                </w:tcPr>
                <w:p w:rsidR="00FB7973" w:rsidRDefault="00FB7973" w:rsidP="00FB7973">
                  <w:pPr>
                    <w:pStyle w:val="TableBodyText"/>
                    <w:ind w:right="28"/>
                  </w:pPr>
                  <w:r w:rsidRPr="00EC4B4E">
                    <w:t>0.037</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Net rollovers</w:t>
                  </w:r>
                </w:p>
              </w:tc>
              <w:tc>
                <w:tcPr>
                  <w:tcW w:w="632" w:type="pct"/>
                  <w:shd w:val="clear" w:color="auto" w:fill="F2F2F2" w:themeFill="background1" w:themeFillShade="F2"/>
                </w:tcPr>
                <w:p w:rsidR="00FB7973" w:rsidRDefault="00FB7973" w:rsidP="00FB7973">
                  <w:pPr>
                    <w:pStyle w:val="TableBodyText"/>
                    <w:ind w:right="28"/>
                  </w:pPr>
                  <w:r w:rsidRPr="00EC4B4E">
                    <w:t>0.044</w:t>
                  </w:r>
                </w:p>
              </w:tc>
              <w:tc>
                <w:tcPr>
                  <w:tcW w:w="632" w:type="pct"/>
                  <w:shd w:val="clear" w:color="auto" w:fill="F2F2F2" w:themeFill="background1" w:themeFillShade="F2"/>
                </w:tcPr>
                <w:p w:rsidR="00FB7973" w:rsidRDefault="00FB7973" w:rsidP="00FB7973">
                  <w:pPr>
                    <w:pStyle w:val="TableBodyText"/>
                    <w:ind w:right="28"/>
                  </w:pPr>
                  <w:r w:rsidRPr="00EC4B4E">
                    <w:t>0.013</w:t>
                  </w:r>
                </w:p>
              </w:tc>
              <w:tc>
                <w:tcPr>
                  <w:tcW w:w="632" w:type="pct"/>
                  <w:shd w:val="clear" w:color="auto" w:fill="F2F2F2" w:themeFill="background1" w:themeFillShade="F2"/>
                </w:tcPr>
                <w:p w:rsidR="00FB7973" w:rsidRDefault="00FB7973" w:rsidP="00FB7973">
                  <w:pPr>
                    <w:pStyle w:val="TableBodyText"/>
                    <w:ind w:right="28"/>
                  </w:pPr>
                  <w:r w:rsidRPr="00EC4B4E">
                    <w:t>0.020</w:t>
                  </w:r>
                </w:p>
              </w:tc>
              <w:tc>
                <w:tcPr>
                  <w:tcW w:w="632" w:type="pct"/>
                  <w:shd w:val="clear" w:color="auto" w:fill="F2F2F2" w:themeFill="background1" w:themeFillShade="F2"/>
                </w:tcPr>
                <w:p w:rsidR="00FB7973" w:rsidRDefault="00FB7973" w:rsidP="00FB7973">
                  <w:pPr>
                    <w:pStyle w:val="TableBodyText"/>
                    <w:ind w:right="28"/>
                  </w:pPr>
                  <w:r w:rsidRPr="00EC4B4E">
                    <w:t>0.043</w:t>
                  </w:r>
                </w:p>
              </w:tc>
              <w:tc>
                <w:tcPr>
                  <w:tcW w:w="630" w:type="pct"/>
                  <w:shd w:val="clear" w:color="auto" w:fill="F2F2F2" w:themeFill="background1" w:themeFillShade="F2"/>
                </w:tcPr>
                <w:p w:rsidR="00FB7973" w:rsidRDefault="00FB7973" w:rsidP="00FB7973">
                  <w:pPr>
                    <w:pStyle w:val="TableBodyText"/>
                    <w:ind w:right="28"/>
                  </w:pPr>
                  <w:r w:rsidRPr="00EC4B4E">
                    <w:t>0.070</w:t>
                  </w:r>
                </w:p>
              </w:tc>
            </w:tr>
            <w:tr w:rsidR="00FB7973" w:rsidTr="00FB7973">
              <w:tc>
                <w:tcPr>
                  <w:tcW w:w="1842" w:type="pct"/>
                  <w:shd w:val="clear" w:color="auto" w:fill="auto"/>
                  <w:vAlign w:val="bottom"/>
                </w:tcPr>
                <w:p w:rsidR="00FB7973" w:rsidRDefault="00FB7973" w:rsidP="00FB7973">
                  <w:pPr>
                    <w:pStyle w:val="TableBodyText"/>
                    <w:jc w:val="left"/>
                  </w:pPr>
                  <w:r w:rsidRPr="00C358C1">
                    <w:t>Annual net return</w:t>
                  </w:r>
                </w:p>
              </w:tc>
              <w:tc>
                <w:tcPr>
                  <w:tcW w:w="632" w:type="pct"/>
                </w:tcPr>
                <w:p w:rsidR="00FB7973" w:rsidRDefault="00FB7973" w:rsidP="00FB7973">
                  <w:pPr>
                    <w:pStyle w:val="TableBodyText"/>
                    <w:ind w:right="28"/>
                  </w:pPr>
                  <w:r w:rsidRPr="00EC4B4E">
                    <w:t>-0.030</w:t>
                  </w:r>
                </w:p>
              </w:tc>
              <w:tc>
                <w:tcPr>
                  <w:tcW w:w="632" w:type="pct"/>
                  <w:shd w:val="clear" w:color="auto" w:fill="auto"/>
                </w:tcPr>
                <w:p w:rsidR="00FB7973" w:rsidRDefault="00FB7973" w:rsidP="00FB7973">
                  <w:pPr>
                    <w:pStyle w:val="TableBodyText"/>
                    <w:ind w:right="28"/>
                  </w:pPr>
                  <w:r w:rsidRPr="00EC4B4E">
                    <w:t>0.018</w:t>
                  </w:r>
                </w:p>
              </w:tc>
              <w:tc>
                <w:tcPr>
                  <w:tcW w:w="632" w:type="pct"/>
                  <w:shd w:val="clear" w:color="auto" w:fill="auto"/>
                </w:tcPr>
                <w:p w:rsidR="00FB7973" w:rsidRDefault="00FB7973" w:rsidP="00FB7973">
                  <w:pPr>
                    <w:pStyle w:val="TableBodyText"/>
                    <w:ind w:right="28"/>
                  </w:pPr>
                  <w:r w:rsidRPr="00EC4B4E">
                    <w:t>-0.066</w:t>
                  </w:r>
                </w:p>
              </w:tc>
              <w:tc>
                <w:tcPr>
                  <w:tcW w:w="632" w:type="pct"/>
                </w:tcPr>
                <w:p w:rsidR="00FB7973" w:rsidRDefault="00FB7973" w:rsidP="00FB7973">
                  <w:pPr>
                    <w:pStyle w:val="TableBodyText"/>
                    <w:ind w:right="28"/>
                  </w:pPr>
                  <w:r w:rsidRPr="00EC4B4E">
                    <w:t>-0.029</w:t>
                  </w:r>
                </w:p>
              </w:tc>
              <w:tc>
                <w:tcPr>
                  <w:tcW w:w="630" w:type="pct"/>
                </w:tcPr>
                <w:p w:rsidR="00FB7973" w:rsidRDefault="00FB7973" w:rsidP="00FB7973">
                  <w:pPr>
                    <w:pStyle w:val="TableBodyText"/>
                    <w:ind w:right="28"/>
                  </w:pPr>
                  <w:r w:rsidRPr="00EC4B4E">
                    <w:t>0.006</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Stronger super</w:t>
                  </w:r>
                </w:p>
              </w:tc>
              <w:tc>
                <w:tcPr>
                  <w:tcW w:w="632" w:type="pct"/>
                  <w:shd w:val="clear" w:color="auto" w:fill="F2F2F2" w:themeFill="background1" w:themeFillShade="F2"/>
                </w:tcPr>
                <w:p w:rsidR="00FB7973" w:rsidRDefault="00FB7973" w:rsidP="00FB7973">
                  <w:pPr>
                    <w:pStyle w:val="TableBodyText"/>
                    <w:ind w:right="28"/>
                  </w:pPr>
                  <w:r w:rsidRPr="00EC4B4E">
                    <w:t>0.032</w:t>
                  </w:r>
                </w:p>
              </w:tc>
              <w:tc>
                <w:tcPr>
                  <w:tcW w:w="632" w:type="pct"/>
                  <w:shd w:val="clear" w:color="auto" w:fill="F2F2F2" w:themeFill="background1" w:themeFillShade="F2"/>
                </w:tcPr>
                <w:p w:rsidR="00FB7973" w:rsidRDefault="00FB7973" w:rsidP="00FB7973">
                  <w:pPr>
                    <w:pStyle w:val="TableBodyText"/>
                    <w:ind w:right="28"/>
                  </w:pPr>
                  <w:r w:rsidRPr="00EC4B4E">
                    <w:t>0.037</w:t>
                  </w:r>
                </w:p>
              </w:tc>
              <w:tc>
                <w:tcPr>
                  <w:tcW w:w="632" w:type="pct"/>
                  <w:shd w:val="clear" w:color="auto" w:fill="F2F2F2" w:themeFill="background1" w:themeFillShade="F2"/>
                </w:tcPr>
                <w:p w:rsidR="00FB7973" w:rsidRDefault="00FB7973" w:rsidP="00FB7973">
                  <w:pPr>
                    <w:pStyle w:val="TableBodyText"/>
                    <w:ind w:right="28"/>
                  </w:pPr>
                  <w:r w:rsidRPr="00EC4B4E">
                    <w:t>-0.043</w:t>
                  </w:r>
                </w:p>
              </w:tc>
              <w:tc>
                <w:tcPr>
                  <w:tcW w:w="632" w:type="pct"/>
                  <w:shd w:val="clear" w:color="auto" w:fill="F2F2F2" w:themeFill="background1" w:themeFillShade="F2"/>
                </w:tcPr>
                <w:p w:rsidR="00FB7973" w:rsidRDefault="00FB7973" w:rsidP="00FB7973">
                  <w:pPr>
                    <w:pStyle w:val="TableBodyText"/>
                    <w:ind w:right="28"/>
                  </w:pPr>
                  <w:r w:rsidRPr="00EC4B4E">
                    <w:t>0.032</w:t>
                  </w:r>
                </w:p>
              </w:tc>
              <w:tc>
                <w:tcPr>
                  <w:tcW w:w="630" w:type="pct"/>
                  <w:shd w:val="clear" w:color="auto" w:fill="F2F2F2" w:themeFill="background1" w:themeFillShade="F2"/>
                </w:tcPr>
                <w:p w:rsidR="00FB7973" w:rsidRDefault="00FB7973" w:rsidP="00FB7973">
                  <w:pPr>
                    <w:pStyle w:val="TableBodyText"/>
                    <w:ind w:right="28"/>
                  </w:pPr>
                  <w:r w:rsidRPr="00EC4B4E">
                    <w:t>0.103</w:t>
                  </w:r>
                </w:p>
              </w:tc>
            </w:tr>
            <w:tr w:rsidR="00FB7973" w:rsidTr="00FB7973">
              <w:tc>
                <w:tcPr>
                  <w:tcW w:w="1842" w:type="pct"/>
                  <w:shd w:val="clear" w:color="auto" w:fill="auto"/>
                  <w:vAlign w:val="bottom"/>
                </w:tcPr>
                <w:p w:rsidR="00FB7973" w:rsidRDefault="00FB7973" w:rsidP="00FB7973">
                  <w:pPr>
                    <w:pStyle w:val="TableBodyText"/>
                    <w:jc w:val="left"/>
                  </w:pPr>
                  <w:r w:rsidRPr="00C358C1">
                    <w:t>Post reporting change</w:t>
                  </w:r>
                </w:p>
              </w:tc>
              <w:tc>
                <w:tcPr>
                  <w:tcW w:w="632" w:type="pct"/>
                </w:tcPr>
                <w:p w:rsidR="00FB7973" w:rsidRDefault="00FB7973" w:rsidP="00FB7973">
                  <w:pPr>
                    <w:pStyle w:val="TableBodyText"/>
                    <w:ind w:right="28"/>
                  </w:pPr>
                  <w:r w:rsidRPr="00EC4B4E">
                    <w:t>0.206</w:t>
                  </w:r>
                </w:p>
              </w:tc>
              <w:tc>
                <w:tcPr>
                  <w:tcW w:w="632" w:type="pct"/>
                  <w:shd w:val="clear" w:color="auto" w:fill="auto"/>
                </w:tcPr>
                <w:p w:rsidR="00FB7973" w:rsidRDefault="00FB7973" w:rsidP="00FB7973">
                  <w:pPr>
                    <w:pStyle w:val="TableBodyText"/>
                    <w:ind w:right="28"/>
                  </w:pPr>
                  <w:r w:rsidRPr="00EC4B4E">
                    <w:t>0.045</w:t>
                  </w:r>
                </w:p>
              </w:tc>
              <w:tc>
                <w:tcPr>
                  <w:tcW w:w="632" w:type="pct"/>
                  <w:shd w:val="clear" w:color="auto" w:fill="auto"/>
                </w:tcPr>
                <w:p w:rsidR="00FB7973" w:rsidRDefault="00FB7973" w:rsidP="00FB7973">
                  <w:pPr>
                    <w:pStyle w:val="TableBodyText"/>
                    <w:ind w:right="28"/>
                  </w:pPr>
                  <w:r w:rsidRPr="00EC4B4E">
                    <w:t>0.121</w:t>
                  </w:r>
                </w:p>
              </w:tc>
              <w:tc>
                <w:tcPr>
                  <w:tcW w:w="632" w:type="pct"/>
                </w:tcPr>
                <w:p w:rsidR="00FB7973" w:rsidRDefault="00FB7973" w:rsidP="00FB7973">
                  <w:pPr>
                    <w:pStyle w:val="TableBodyText"/>
                    <w:ind w:right="28"/>
                  </w:pPr>
                  <w:r w:rsidRPr="00EC4B4E">
                    <w:t>0.207</w:t>
                  </w:r>
                </w:p>
              </w:tc>
              <w:tc>
                <w:tcPr>
                  <w:tcW w:w="630" w:type="pct"/>
                </w:tcPr>
                <w:p w:rsidR="00FB7973" w:rsidRDefault="00FB7973" w:rsidP="00FB7973">
                  <w:pPr>
                    <w:pStyle w:val="TableBodyText"/>
                    <w:ind w:right="28"/>
                  </w:pPr>
                  <w:r w:rsidRPr="00EC4B4E">
                    <w:t>0.293</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Industry</w:t>
                  </w:r>
                </w:p>
              </w:tc>
              <w:tc>
                <w:tcPr>
                  <w:tcW w:w="632" w:type="pct"/>
                  <w:shd w:val="clear" w:color="auto" w:fill="F2F2F2" w:themeFill="background1" w:themeFillShade="F2"/>
                </w:tcPr>
                <w:p w:rsidR="00FB7973" w:rsidRDefault="00FB7973" w:rsidP="00FB7973">
                  <w:pPr>
                    <w:pStyle w:val="TableBodyText"/>
                    <w:ind w:right="28"/>
                  </w:pPr>
                  <w:r w:rsidRPr="00EC4B4E">
                    <w:t>-0.483</w:t>
                  </w:r>
                </w:p>
              </w:tc>
              <w:tc>
                <w:tcPr>
                  <w:tcW w:w="632" w:type="pct"/>
                  <w:shd w:val="clear" w:color="auto" w:fill="F2F2F2" w:themeFill="background1" w:themeFillShade="F2"/>
                </w:tcPr>
                <w:p w:rsidR="00FB7973" w:rsidRDefault="00FB7973" w:rsidP="00FB7973">
                  <w:pPr>
                    <w:pStyle w:val="TableBodyText"/>
                    <w:ind w:right="28"/>
                  </w:pPr>
                  <w:r w:rsidRPr="00EC4B4E">
                    <w:t>0.275</w:t>
                  </w:r>
                </w:p>
              </w:tc>
              <w:tc>
                <w:tcPr>
                  <w:tcW w:w="632" w:type="pct"/>
                  <w:shd w:val="clear" w:color="auto" w:fill="F2F2F2" w:themeFill="background1" w:themeFillShade="F2"/>
                </w:tcPr>
                <w:p w:rsidR="00FB7973" w:rsidRDefault="00FB7973" w:rsidP="00FB7973">
                  <w:pPr>
                    <w:pStyle w:val="TableBodyText"/>
                    <w:ind w:right="28"/>
                  </w:pPr>
                  <w:r w:rsidRPr="00EC4B4E">
                    <w:t>-1.026</w:t>
                  </w:r>
                </w:p>
              </w:tc>
              <w:tc>
                <w:tcPr>
                  <w:tcW w:w="632" w:type="pct"/>
                  <w:shd w:val="clear" w:color="auto" w:fill="F2F2F2" w:themeFill="background1" w:themeFillShade="F2"/>
                </w:tcPr>
                <w:p w:rsidR="00FB7973" w:rsidRDefault="00FB7973" w:rsidP="00FB7973">
                  <w:pPr>
                    <w:pStyle w:val="TableBodyText"/>
                    <w:ind w:right="28"/>
                  </w:pPr>
                  <w:r w:rsidRPr="00EC4B4E">
                    <w:t>-0.483</w:t>
                  </w:r>
                </w:p>
              </w:tc>
              <w:tc>
                <w:tcPr>
                  <w:tcW w:w="630" w:type="pct"/>
                  <w:shd w:val="clear" w:color="auto" w:fill="F2F2F2" w:themeFill="background1" w:themeFillShade="F2"/>
                </w:tcPr>
                <w:p w:rsidR="00FB7973" w:rsidRDefault="00FB7973" w:rsidP="00FB7973">
                  <w:pPr>
                    <w:pStyle w:val="TableBodyText"/>
                    <w:ind w:right="28"/>
                  </w:pPr>
                  <w:r w:rsidRPr="00EC4B4E">
                    <w:t>0.069</w:t>
                  </w:r>
                </w:p>
              </w:tc>
            </w:tr>
            <w:tr w:rsidR="00FB7973" w:rsidTr="00FB7973">
              <w:tc>
                <w:tcPr>
                  <w:tcW w:w="1842" w:type="pct"/>
                  <w:shd w:val="clear" w:color="auto" w:fill="auto"/>
                  <w:vAlign w:val="bottom"/>
                </w:tcPr>
                <w:p w:rsidR="00FB7973" w:rsidRDefault="00FB7973" w:rsidP="00FB7973">
                  <w:pPr>
                    <w:pStyle w:val="TableBodyText"/>
                    <w:jc w:val="left"/>
                  </w:pPr>
                  <w:r w:rsidRPr="00C358C1">
                    <w:t>Public</w:t>
                  </w:r>
                </w:p>
              </w:tc>
              <w:tc>
                <w:tcPr>
                  <w:tcW w:w="632" w:type="pct"/>
                </w:tcPr>
                <w:p w:rsidR="00FB7973" w:rsidRDefault="00FB7973" w:rsidP="00FB7973">
                  <w:pPr>
                    <w:pStyle w:val="TableBodyText"/>
                    <w:ind w:right="28"/>
                  </w:pPr>
                  <w:r w:rsidRPr="00EC4B4E">
                    <w:t>0.155</w:t>
                  </w:r>
                </w:p>
              </w:tc>
              <w:tc>
                <w:tcPr>
                  <w:tcW w:w="632" w:type="pct"/>
                  <w:shd w:val="clear" w:color="auto" w:fill="auto"/>
                </w:tcPr>
                <w:p w:rsidR="00FB7973" w:rsidRDefault="00FB7973" w:rsidP="00FB7973">
                  <w:pPr>
                    <w:pStyle w:val="TableBodyText"/>
                    <w:ind w:right="28"/>
                  </w:pPr>
                  <w:r w:rsidRPr="00EC4B4E">
                    <w:t>0.378</w:t>
                  </w:r>
                </w:p>
              </w:tc>
              <w:tc>
                <w:tcPr>
                  <w:tcW w:w="632" w:type="pct"/>
                  <w:shd w:val="clear" w:color="auto" w:fill="auto"/>
                </w:tcPr>
                <w:p w:rsidR="00FB7973" w:rsidRDefault="00FB7973" w:rsidP="00FB7973">
                  <w:pPr>
                    <w:pStyle w:val="TableBodyText"/>
                    <w:ind w:right="28"/>
                  </w:pPr>
                  <w:r w:rsidRPr="00EC4B4E">
                    <w:t>-0.564</w:t>
                  </w:r>
                </w:p>
              </w:tc>
              <w:tc>
                <w:tcPr>
                  <w:tcW w:w="632" w:type="pct"/>
                </w:tcPr>
                <w:p w:rsidR="00FB7973" w:rsidRDefault="00FB7973" w:rsidP="00FB7973">
                  <w:pPr>
                    <w:pStyle w:val="TableBodyText"/>
                    <w:ind w:right="28"/>
                  </w:pPr>
                  <w:r w:rsidRPr="00EC4B4E">
                    <w:t>0.161</w:t>
                  </w:r>
                </w:p>
              </w:tc>
              <w:tc>
                <w:tcPr>
                  <w:tcW w:w="630" w:type="pct"/>
                </w:tcPr>
                <w:p w:rsidR="00FB7973" w:rsidRDefault="00FB7973" w:rsidP="00FB7973">
                  <w:pPr>
                    <w:pStyle w:val="TableBodyText"/>
                    <w:ind w:right="28"/>
                  </w:pPr>
                  <w:r w:rsidRPr="00EC4B4E">
                    <w:t>0.887</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Retail</w:t>
                  </w:r>
                </w:p>
              </w:tc>
              <w:tc>
                <w:tcPr>
                  <w:tcW w:w="632" w:type="pct"/>
                  <w:shd w:val="clear" w:color="auto" w:fill="F2F2F2" w:themeFill="background1" w:themeFillShade="F2"/>
                </w:tcPr>
                <w:p w:rsidR="00FB7973" w:rsidRDefault="00FB7973" w:rsidP="00FB7973">
                  <w:pPr>
                    <w:pStyle w:val="TableBodyText"/>
                    <w:ind w:right="28"/>
                  </w:pPr>
                  <w:r w:rsidRPr="00EC4B4E">
                    <w:t>-1.948</w:t>
                  </w:r>
                </w:p>
              </w:tc>
              <w:tc>
                <w:tcPr>
                  <w:tcW w:w="632" w:type="pct"/>
                  <w:shd w:val="clear" w:color="auto" w:fill="F2F2F2" w:themeFill="background1" w:themeFillShade="F2"/>
                </w:tcPr>
                <w:p w:rsidR="00FB7973" w:rsidRDefault="00FB7973" w:rsidP="00FB7973">
                  <w:pPr>
                    <w:pStyle w:val="TableBodyText"/>
                    <w:ind w:right="28"/>
                  </w:pPr>
                  <w:r w:rsidRPr="00EC4B4E">
                    <w:t>0.207</w:t>
                  </w:r>
                </w:p>
              </w:tc>
              <w:tc>
                <w:tcPr>
                  <w:tcW w:w="632" w:type="pct"/>
                  <w:shd w:val="clear" w:color="auto" w:fill="F2F2F2" w:themeFill="background1" w:themeFillShade="F2"/>
                </w:tcPr>
                <w:p w:rsidR="00FB7973" w:rsidRDefault="00FB7973" w:rsidP="00FB7973">
                  <w:pPr>
                    <w:pStyle w:val="TableBodyText"/>
                    <w:ind w:right="28"/>
                  </w:pPr>
                  <w:r w:rsidRPr="00EC4B4E">
                    <w:t>-2.329</w:t>
                  </w:r>
                </w:p>
              </w:tc>
              <w:tc>
                <w:tcPr>
                  <w:tcW w:w="632" w:type="pct"/>
                  <w:shd w:val="clear" w:color="auto" w:fill="F2F2F2" w:themeFill="background1" w:themeFillShade="F2"/>
                </w:tcPr>
                <w:p w:rsidR="00FB7973" w:rsidRDefault="00FB7973" w:rsidP="00FB7973">
                  <w:pPr>
                    <w:pStyle w:val="TableBodyText"/>
                    <w:ind w:right="28"/>
                  </w:pPr>
                  <w:r w:rsidRPr="00EC4B4E">
                    <w:t>-1.953</w:t>
                  </w:r>
                </w:p>
              </w:tc>
              <w:tc>
                <w:tcPr>
                  <w:tcW w:w="630" w:type="pct"/>
                  <w:shd w:val="clear" w:color="auto" w:fill="F2F2F2" w:themeFill="background1" w:themeFillShade="F2"/>
                </w:tcPr>
                <w:p w:rsidR="00FB7973" w:rsidRDefault="00FB7973" w:rsidP="00FB7973">
                  <w:pPr>
                    <w:pStyle w:val="TableBodyText"/>
                    <w:ind w:right="28"/>
                  </w:pPr>
                  <w:r w:rsidRPr="00EC4B4E">
                    <w:t>-1.546</w:t>
                  </w:r>
                </w:p>
              </w:tc>
            </w:tr>
            <w:tr w:rsidR="00FB7973" w:rsidTr="00FB7973">
              <w:tc>
                <w:tcPr>
                  <w:tcW w:w="1842" w:type="pct"/>
                  <w:shd w:val="clear" w:color="auto" w:fill="auto"/>
                  <w:vAlign w:val="bottom"/>
                </w:tcPr>
                <w:p w:rsidR="00FB7973" w:rsidRDefault="00FB7973" w:rsidP="00FB7973">
                  <w:pPr>
                    <w:pStyle w:val="TableBodyText"/>
                    <w:jc w:val="left"/>
                  </w:pPr>
                  <w:r w:rsidRPr="00C358C1">
                    <w:t>Industry x Assets</w:t>
                  </w:r>
                </w:p>
              </w:tc>
              <w:tc>
                <w:tcPr>
                  <w:tcW w:w="632" w:type="pct"/>
                </w:tcPr>
                <w:p w:rsidR="00FB7973" w:rsidRDefault="00FB7973" w:rsidP="00FB7973">
                  <w:pPr>
                    <w:pStyle w:val="TableBodyText"/>
                    <w:ind w:right="28"/>
                  </w:pPr>
                  <w:r w:rsidRPr="00EC4B4E">
                    <w:t>0.251</w:t>
                  </w:r>
                </w:p>
              </w:tc>
              <w:tc>
                <w:tcPr>
                  <w:tcW w:w="632" w:type="pct"/>
                  <w:shd w:val="clear" w:color="auto" w:fill="auto"/>
                </w:tcPr>
                <w:p w:rsidR="00FB7973" w:rsidRDefault="00FB7973" w:rsidP="00FB7973">
                  <w:pPr>
                    <w:pStyle w:val="TableBodyText"/>
                    <w:ind w:right="28"/>
                  </w:pPr>
                  <w:r w:rsidRPr="00EC4B4E">
                    <w:t>0.098</w:t>
                  </w:r>
                </w:p>
              </w:tc>
              <w:tc>
                <w:tcPr>
                  <w:tcW w:w="632" w:type="pct"/>
                  <w:shd w:val="clear" w:color="auto" w:fill="auto"/>
                </w:tcPr>
                <w:p w:rsidR="00FB7973" w:rsidRDefault="00FB7973" w:rsidP="00FB7973">
                  <w:pPr>
                    <w:pStyle w:val="TableBodyText"/>
                    <w:ind w:right="28"/>
                  </w:pPr>
                  <w:r w:rsidRPr="00EC4B4E">
                    <w:t>0.048</w:t>
                  </w:r>
                </w:p>
              </w:tc>
              <w:tc>
                <w:tcPr>
                  <w:tcW w:w="632" w:type="pct"/>
                </w:tcPr>
                <w:p w:rsidR="00FB7973" w:rsidRDefault="00FB7973" w:rsidP="00FB7973">
                  <w:pPr>
                    <w:pStyle w:val="TableBodyText"/>
                    <w:ind w:right="28"/>
                  </w:pPr>
                  <w:r w:rsidRPr="00EC4B4E">
                    <w:t>0.251</w:t>
                  </w:r>
                </w:p>
              </w:tc>
              <w:tc>
                <w:tcPr>
                  <w:tcW w:w="630" w:type="pct"/>
                </w:tcPr>
                <w:p w:rsidR="00FB7973" w:rsidRDefault="00FB7973" w:rsidP="00FB7973">
                  <w:pPr>
                    <w:pStyle w:val="TableBodyText"/>
                    <w:ind w:right="28"/>
                  </w:pPr>
                  <w:r w:rsidRPr="00EC4B4E">
                    <w:t>0.456</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Public x Assets</w:t>
                  </w:r>
                </w:p>
              </w:tc>
              <w:tc>
                <w:tcPr>
                  <w:tcW w:w="632" w:type="pct"/>
                  <w:shd w:val="clear" w:color="auto" w:fill="F2F2F2" w:themeFill="background1" w:themeFillShade="F2"/>
                </w:tcPr>
                <w:p w:rsidR="00FB7973" w:rsidRDefault="00FB7973" w:rsidP="00FB7973">
                  <w:pPr>
                    <w:pStyle w:val="TableBodyText"/>
                    <w:ind w:right="28"/>
                  </w:pPr>
                  <w:r w:rsidRPr="00EC4B4E">
                    <w:t>0.076</w:t>
                  </w:r>
                </w:p>
              </w:tc>
              <w:tc>
                <w:tcPr>
                  <w:tcW w:w="632" w:type="pct"/>
                  <w:shd w:val="clear" w:color="auto" w:fill="F2F2F2" w:themeFill="background1" w:themeFillShade="F2"/>
                </w:tcPr>
                <w:p w:rsidR="00FB7973" w:rsidRDefault="00FB7973" w:rsidP="00FB7973">
                  <w:pPr>
                    <w:pStyle w:val="TableBodyText"/>
                    <w:ind w:right="28"/>
                  </w:pPr>
                  <w:r w:rsidRPr="00EC4B4E">
                    <w:t>0.130</w:t>
                  </w:r>
                </w:p>
              </w:tc>
              <w:tc>
                <w:tcPr>
                  <w:tcW w:w="632" w:type="pct"/>
                  <w:shd w:val="clear" w:color="auto" w:fill="F2F2F2" w:themeFill="background1" w:themeFillShade="F2"/>
                </w:tcPr>
                <w:p w:rsidR="00FB7973" w:rsidRDefault="00FB7973" w:rsidP="00FB7973">
                  <w:pPr>
                    <w:pStyle w:val="TableBodyText"/>
                    <w:ind w:right="28"/>
                  </w:pPr>
                  <w:r w:rsidRPr="00EC4B4E">
                    <w:t>-0.189</w:t>
                  </w:r>
                </w:p>
              </w:tc>
              <w:tc>
                <w:tcPr>
                  <w:tcW w:w="632" w:type="pct"/>
                  <w:shd w:val="clear" w:color="auto" w:fill="F2F2F2" w:themeFill="background1" w:themeFillShade="F2"/>
                </w:tcPr>
                <w:p w:rsidR="00FB7973" w:rsidRDefault="00FB7973" w:rsidP="00FB7973">
                  <w:pPr>
                    <w:pStyle w:val="TableBodyText"/>
                    <w:ind w:right="28"/>
                  </w:pPr>
                  <w:r w:rsidRPr="00EC4B4E">
                    <w:t>0.071</w:t>
                  </w:r>
                </w:p>
              </w:tc>
              <w:tc>
                <w:tcPr>
                  <w:tcW w:w="630" w:type="pct"/>
                  <w:shd w:val="clear" w:color="auto" w:fill="F2F2F2" w:themeFill="background1" w:themeFillShade="F2"/>
                </w:tcPr>
                <w:p w:rsidR="00FB7973" w:rsidRDefault="00FB7973" w:rsidP="00FB7973">
                  <w:pPr>
                    <w:pStyle w:val="TableBodyText"/>
                    <w:ind w:right="28"/>
                  </w:pPr>
                  <w:r w:rsidRPr="00EC4B4E">
                    <w:t>0.336</w:t>
                  </w:r>
                </w:p>
              </w:tc>
            </w:tr>
            <w:tr w:rsidR="00FB7973" w:rsidTr="00FB7973">
              <w:tc>
                <w:tcPr>
                  <w:tcW w:w="1842" w:type="pct"/>
                  <w:shd w:val="clear" w:color="auto" w:fill="auto"/>
                  <w:vAlign w:val="bottom"/>
                </w:tcPr>
                <w:p w:rsidR="00FB7973" w:rsidRDefault="00FB7973" w:rsidP="00FB7973">
                  <w:pPr>
                    <w:pStyle w:val="TableBodyText"/>
                    <w:jc w:val="left"/>
                  </w:pPr>
                  <w:r w:rsidRPr="00C358C1">
                    <w:t>Retail x Assets</w:t>
                  </w:r>
                </w:p>
              </w:tc>
              <w:tc>
                <w:tcPr>
                  <w:tcW w:w="632" w:type="pct"/>
                </w:tcPr>
                <w:p w:rsidR="00FB7973" w:rsidRDefault="00FB7973" w:rsidP="00FB7973">
                  <w:pPr>
                    <w:pStyle w:val="TableBodyText"/>
                    <w:ind w:right="28"/>
                  </w:pPr>
                  <w:r w:rsidRPr="00EC4B4E">
                    <w:t>0.732</w:t>
                  </w:r>
                </w:p>
              </w:tc>
              <w:tc>
                <w:tcPr>
                  <w:tcW w:w="632" w:type="pct"/>
                  <w:shd w:val="clear" w:color="auto" w:fill="auto"/>
                </w:tcPr>
                <w:p w:rsidR="00FB7973" w:rsidRDefault="00FB7973" w:rsidP="00FB7973">
                  <w:pPr>
                    <w:pStyle w:val="TableBodyText"/>
                    <w:ind w:right="28"/>
                  </w:pPr>
                  <w:r w:rsidRPr="00EC4B4E">
                    <w:t>0.085</w:t>
                  </w:r>
                </w:p>
              </w:tc>
              <w:tc>
                <w:tcPr>
                  <w:tcW w:w="632" w:type="pct"/>
                  <w:shd w:val="clear" w:color="auto" w:fill="auto"/>
                </w:tcPr>
                <w:p w:rsidR="00FB7973" w:rsidRDefault="00FB7973" w:rsidP="00FB7973">
                  <w:pPr>
                    <w:pStyle w:val="TableBodyText"/>
                    <w:ind w:right="28"/>
                  </w:pPr>
                  <w:r w:rsidRPr="00EC4B4E">
                    <w:t>0.562</w:t>
                  </w:r>
                </w:p>
              </w:tc>
              <w:tc>
                <w:tcPr>
                  <w:tcW w:w="632" w:type="pct"/>
                </w:tcPr>
                <w:p w:rsidR="00FB7973" w:rsidRDefault="00FB7973" w:rsidP="00FB7973">
                  <w:pPr>
                    <w:pStyle w:val="TableBodyText"/>
                    <w:ind w:right="28"/>
                  </w:pPr>
                  <w:r w:rsidRPr="00EC4B4E">
                    <w:t>0.730</w:t>
                  </w:r>
                </w:p>
              </w:tc>
              <w:tc>
                <w:tcPr>
                  <w:tcW w:w="630" w:type="pct"/>
                </w:tcPr>
                <w:p w:rsidR="00FB7973" w:rsidRDefault="00FB7973" w:rsidP="00FB7973">
                  <w:pPr>
                    <w:pStyle w:val="TableBodyText"/>
                    <w:ind w:right="28"/>
                  </w:pPr>
                  <w:r w:rsidRPr="00EC4B4E">
                    <w:t>0.903</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Industry x Member accounts</w:t>
                  </w:r>
                </w:p>
              </w:tc>
              <w:tc>
                <w:tcPr>
                  <w:tcW w:w="632" w:type="pct"/>
                  <w:shd w:val="clear" w:color="auto" w:fill="F2F2F2" w:themeFill="background1" w:themeFillShade="F2"/>
                </w:tcPr>
                <w:p w:rsidR="00FB7973" w:rsidRDefault="00FB7973" w:rsidP="00FB7973">
                  <w:pPr>
                    <w:pStyle w:val="TableBodyText"/>
                    <w:ind w:right="28"/>
                  </w:pPr>
                  <w:r w:rsidRPr="00EC4B4E">
                    <w:t>-0.255</w:t>
                  </w:r>
                </w:p>
              </w:tc>
              <w:tc>
                <w:tcPr>
                  <w:tcW w:w="632" w:type="pct"/>
                  <w:shd w:val="clear" w:color="auto" w:fill="F2F2F2" w:themeFill="background1" w:themeFillShade="F2"/>
                </w:tcPr>
                <w:p w:rsidR="00FB7973" w:rsidRDefault="00FB7973" w:rsidP="00FB7973">
                  <w:pPr>
                    <w:pStyle w:val="TableBodyText"/>
                    <w:ind w:right="28"/>
                  </w:pPr>
                  <w:r w:rsidRPr="00EC4B4E">
                    <w:t>0.126</w:t>
                  </w:r>
                </w:p>
              </w:tc>
              <w:tc>
                <w:tcPr>
                  <w:tcW w:w="632" w:type="pct"/>
                  <w:shd w:val="clear" w:color="auto" w:fill="F2F2F2" w:themeFill="background1" w:themeFillShade="F2"/>
                </w:tcPr>
                <w:p w:rsidR="00FB7973" w:rsidRDefault="00FB7973" w:rsidP="00FB7973">
                  <w:pPr>
                    <w:pStyle w:val="TableBodyText"/>
                    <w:ind w:right="28"/>
                  </w:pPr>
                  <w:r w:rsidRPr="00EC4B4E">
                    <w:t>-0.507</w:t>
                  </w:r>
                </w:p>
              </w:tc>
              <w:tc>
                <w:tcPr>
                  <w:tcW w:w="632" w:type="pct"/>
                  <w:shd w:val="clear" w:color="auto" w:fill="F2F2F2" w:themeFill="background1" w:themeFillShade="F2"/>
                </w:tcPr>
                <w:p w:rsidR="00FB7973" w:rsidRDefault="00FB7973" w:rsidP="00FB7973">
                  <w:pPr>
                    <w:pStyle w:val="TableBodyText"/>
                    <w:ind w:right="28"/>
                  </w:pPr>
                  <w:r w:rsidRPr="00EC4B4E">
                    <w:t>-0.253</w:t>
                  </w:r>
                </w:p>
              </w:tc>
              <w:tc>
                <w:tcPr>
                  <w:tcW w:w="630" w:type="pct"/>
                  <w:shd w:val="clear" w:color="auto" w:fill="F2F2F2" w:themeFill="background1" w:themeFillShade="F2"/>
                </w:tcPr>
                <w:p w:rsidR="00FB7973" w:rsidRDefault="00FB7973" w:rsidP="00FB7973">
                  <w:pPr>
                    <w:pStyle w:val="TableBodyText"/>
                    <w:ind w:right="28"/>
                  </w:pPr>
                  <w:r w:rsidRPr="00EC4B4E">
                    <w:t>-0.010</w:t>
                  </w:r>
                </w:p>
              </w:tc>
            </w:tr>
            <w:tr w:rsidR="00FB7973" w:rsidTr="00FB7973">
              <w:tc>
                <w:tcPr>
                  <w:tcW w:w="1842" w:type="pct"/>
                  <w:shd w:val="clear" w:color="auto" w:fill="auto"/>
                  <w:vAlign w:val="bottom"/>
                </w:tcPr>
                <w:p w:rsidR="00FB7973" w:rsidRDefault="00FB7973" w:rsidP="00FB7973">
                  <w:pPr>
                    <w:pStyle w:val="TableBodyText"/>
                    <w:jc w:val="left"/>
                  </w:pPr>
                  <w:r w:rsidRPr="00C358C1">
                    <w:t>Public x Member accounts</w:t>
                  </w:r>
                </w:p>
              </w:tc>
              <w:tc>
                <w:tcPr>
                  <w:tcW w:w="632" w:type="pct"/>
                </w:tcPr>
                <w:p w:rsidR="00FB7973" w:rsidRDefault="00FB7973" w:rsidP="00FB7973">
                  <w:pPr>
                    <w:pStyle w:val="TableBodyText"/>
                    <w:ind w:right="28"/>
                  </w:pPr>
                  <w:r w:rsidRPr="00EC4B4E">
                    <w:t>-0.217</w:t>
                  </w:r>
                </w:p>
              </w:tc>
              <w:tc>
                <w:tcPr>
                  <w:tcW w:w="632" w:type="pct"/>
                  <w:shd w:val="clear" w:color="auto" w:fill="auto"/>
                </w:tcPr>
                <w:p w:rsidR="00FB7973" w:rsidRDefault="00FB7973" w:rsidP="00FB7973">
                  <w:pPr>
                    <w:pStyle w:val="TableBodyText"/>
                    <w:ind w:right="28"/>
                  </w:pPr>
                  <w:r w:rsidRPr="00EC4B4E">
                    <w:t>0.159</w:t>
                  </w:r>
                </w:p>
              </w:tc>
              <w:tc>
                <w:tcPr>
                  <w:tcW w:w="632" w:type="pct"/>
                  <w:shd w:val="clear" w:color="auto" w:fill="auto"/>
                </w:tcPr>
                <w:p w:rsidR="00FB7973" w:rsidRDefault="00FB7973" w:rsidP="00FB7973">
                  <w:pPr>
                    <w:pStyle w:val="TableBodyText"/>
                    <w:ind w:right="28"/>
                  </w:pPr>
                  <w:r w:rsidRPr="00EC4B4E">
                    <w:t>-0.529</w:t>
                  </w:r>
                </w:p>
              </w:tc>
              <w:tc>
                <w:tcPr>
                  <w:tcW w:w="632" w:type="pct"/>
                </w:tcPr>
                <w:p w:rsidR="00FB7973" w:rsidRDefault="00FB7973" w:rsidP="00FB7973">
                  <w:pPr>
                    <w:pStyle w:val="TableBodyText"/>
                    <w:ind w:right="28"/>
                  </w:pPr>
                  <w:r w:rsidRPr="00EC4B4E">
                    <w:t>-0.211</w:t>
                  </w:r>
                </w:p>
              </w:tc>
              <w:tc>
                <w:tcPr>
                  <w:tcW w:w="630" w:type="pct"/>
                </w:tcPr>
                <w:p w:rsidR="00FB7973" w:rsidRDefault="00FB7973" w:rsidP="00FB7973">
                  <w:pPr>
                    <w:pStyle w:val="TableBodyText"/>
                    <w:ind w:right="28"/>
                  </w:pPr>
                  <w:r w:rsidRPr="00EC4B4E">
                    <w:t>0.098</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Retail x Member accounts</w:t>
                  </w:r>
                </w:p>
              </w:tc>
              <w:tc>
                <w:tcPr>
                  <w:tcW w:w="632" w:type="pct"/>
                  <w:shd w:val="clear" w:color="auto" w:fill="F2F2F2" w:themeFill="background1" w:themeFillShade="F2"/>
                </w:tcPr>
                <w:p w:rsidR="00FB7973" w:rsidRDefault="00FB7973" w:rsidP="00FB7973">
                  <w:pPr>
                    <w:pStyle w:val="TableBodyText"/>
                    <w:ind w:right="28"/>
                  </w:pPr>
                  <w:r w:rsidRPr="00EC4B4E">
                    <w:t>-0.315</w:t>
                  </w:r>
                </w:p>
              </w:tc>
              <w:tc>
                <w:tcPr>
                  <w:tcW w:w="632" w:type="pct"/>
                  <w:shd w:val="clear" w:color="auto" w:fill="F2F2F2" w:themeFill="background1" w:themeFillShade="F2"/>
                </w:tcPr>
                <w:p w:rsidR="00FB7973" w:rsidRDefault="00FB7973" w:rsidP="00FB7973">
                  <w:pPr>
                    <w:pStyle w:val="TableBodyText"/>
                    <w:ind w:right="28"/>
                  </w:pPr>
                  <w:r w:rsidRPr="00EC4B4E">
                    <w:t>0.100</w:t>
                  </w:r>
                </w:p>
              </w:tc>
              <w:tc>
                <w:tcPr>
                  <w:tcW w:w="632" w:type="pct"/>
                  <w:shd w:val="clear" w:color="auto" w:fill="F2F2F2" w:themeFill="background1" w:themeFillShade="F2"/>
                </w:tcPr>
                <w:p w:rsidR="00FB7973" w:rsidRDefault="00FB7973" w:rsidP="00FB7973">
                  <w:pPr>
                    <w:pStyle w:val="TableBodyText"/>
                    <w:ind w:right="28"/>
                  </w:pPr>
                  <w:r w:rsidRPr="00EC4B4E">
                    <w:t>-0.514</w:t>
                  </w:r>
                </w:p>
              </w:tc>
              <w:tc>
                <w:tcPr>
                  <w:tcW w:w="632" w:type="pct"/>
                  <w:shd w:val="clear" w:color="auto" w:fill="F2F2F2" w:themeFill="background1" w:themeFillShade="F2"/>
                </w:tcPr>
                <w:p w:rsidR="00FB7973" w:rsidRDefault="00FB7973" w:rsidP="00FB7973">
                  <w:pPr>
                    <w:pStyle w:val="TableBodyText"/>
                    <w:ind w:right="28"/>
                  </w:pPr>
                  <w:r w:rsidRPr="00EC4B4E">
                    <w:t>-0.316</w:t>
                  </w:r>
                </w:p>
              </w:tc>
              <w:tc>
                <w:tcPr>
                  <w:tcW w:w="630" w:type="pct"/>
                  <w:shd w:val="clear" w:color="auto" w:fill="F2F2F2" w:themeFill="background1" w:themeFillShade="F2"/>
                </w:tcPr>
                <w:p w:rsidR="00FB7973" w:rsidRDefault="00FB7973" w:rsidP="00FB7973">
                  <w:pPr>
                    <w:pStyle w:val="TableBodyText"/>
                    <w:ind w:right="28"/>
                  </w:pPr>
                  <w:r w:rsidRPr="00EC4B4E">
                    <w:t>-0.110</w:t>
                  </w:r>
                </w:p>
              </w:tc>
            </w:tr>
            <w:tr w:rsidR="00FB7973" w:rsidTr="00FB7973">
              <w:tc>
                <w:tcPr>
                  <w:tcW w:w="1842" w:type="pct"/>
                  <w:shd w:val="clear" w:color="auto" w:fill="auto"/>
                  <w:vAlign w:val="bottom"/>
                </w:tcPr>
                <w:p w:rsidR="00FB7973" w:rsidRDefault="00FB7973" w:rsidP="00FB7973">
                  <w:pPr>
                    <w:pStyle w:val="TableBodyText"/>
                    <w:jc w:val="left"/>
                  </w:pPr>
                  <w:r w:rsidRPr="00C358C1">
                    <w:t>Intercept</w:t>
                  </w:r>
                </w:p>
              </w:tc>
              <w:tc>
                <w:tcPr>
                  <w:tcW w:w="632" w:type="pct"/>
                </w:tcPr>
                <w:p w:rsidR="00FB7973" w:rsidRDefault="00FB7973" w:rsidP="00FB7973">
                  <w:pPr>
                    <w:pStyle w:val="TableBodyText"/>
                    <w:ind w:right="28"/>
                  </w:pPr>
                  <w:r w:rsidRPr="00EC4B4E">
                    <w:t>-0.011</w:t>
                  </w:r>
                </w:p>
              </w:tc>
              <w:tc>
                <w:tcPr>
                  <w:tcW w:w="632" w:type="pct"/>
                  <w:shd w:val="clear" w:color="auto" w:fill="auto"/>
                </w:tcPr>
                <w:p w:rsidR="00FB7973" w:rsidRDefault="00FB7973" w:rsidP="00FB7973">
                  <w:pPr>
                    <w:pStyle w:val="TableBodyText"/>
                    <w:ind w:right="28"/>
                  </w:pPr>
                  <w:r w:rsidRPr="00EC4B4E">
                    <w:t>0.184</w:t>
                  </w:r>
                </w:p>
              </w:tc>
              <w:tc>
                <w:tcPr>
                  <w:tcW w:w="632" w:type="pct"/>
                  <w:shd w:val="clear" w:color="auto" w:fill="auto"/>
                </w:tcPr>
                <w:p w:rsidR="00FB7973" w:rsidRDefault="00FB7973" w:rsidP="00FB7973">
                  <w:pPr>
                    <w:pStyle w:val="TableBodyText"/>
                    <w:ind w:right="28"/>
                  </w:pPr>
                  <w:r w:rsidRPr="00EC4B4E">
                    <w:t>-0.379</w:t>
                  </w:r>
                </w:p>
              </w:tc>
              <w:tc>
                <w:tcPr>
                  <w:tcW w:w="632" w:type="pct"/>
                </w:tcPr>
                <w:p w:rsidR="00FB7973" w:rsidRDefault="00FB7973" w:rsidP="00FB7973">
                  <w:pPr>
                    <w:pStyle w:val="TableBodyText"/>
                    <w:ind w:right="28"/>
                  </w:pPr>
                  <w:r w:rsidRPr="00EC4B4E">
                    <w:t>-0.014</w:t>
                  </w:r>
                </w:p>
              </w:tc>
              <w:tc>
                <w:tcPr>
                  <w:tcW w:w="630" w:type="pct"/>
                </w:tcPr>
                <w:p w:rsidR="00FB7973" w:rsidRDefault="00FB7973" w:rsidP="00FB7973">
                  <w:pPr>
                    <w:pStyle w:val="TableBodyText"/>
                    <w:ind w:right="28"/>
                  </w:pPr>
                  <w:r w:rsidRPr="00EC4B4E">
                    <w:t>0.328</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SD of number of options</w:t>
                  </w:r>
                </w:p>
              </w:tc>
              <w:tc>
                <w:tcPr>
                  <w:tcW w:w="632" w:type="pct"/>
                  <w:shd w:val="clear" w:color="auto" w:fill="F2F2F2" w:themeFill="background1" w:themeFillShade="F2"/>
                </w:tcPr>
                <w:p w:rsidR="00FB7973" w:rsidRDefault="00FB7973" w:rsidP="00FB7973">
                  <w:pPr>
                    <w:pStyle w:val="TableBodyText"/>
                    <w:ind w:right="28"/>
                  </w:pPr>
                  <w:r w:rsidRPr="00EC4B4E">
                    <w:t>0.746</w:t>
                  </w:r>
                </w:p>
              </w:tc>
              <w:tc>
                <w:tcPr>
                  <w:tcW w:w="632" w:type="pct"/>
                  <w:shd w:val="clear" w:color="auto" w:fill="F2F2F2" w:themeFill="background1" w:themeFillShade="F2"/>
                </w:tcPr>
                <w:p w:rsidR="00FB7973" w:rsidRDefault="00FB7973" w:rsidP="00FB7973">
                  <w:pPr>
                    <w:pStyle w:val="TableBodyText"/>
                    <w:ind w:right="28"/>
                  </w:pPr>
                  <w:r w:rsidRPr="00EC4B4E">
                    <w:t>0.009</w:t>
                  </w:r>
                </w:p>
              </w:tc>
              <w:tc>
                <w:tcPr>
                  <w:tcW w:w="632" w:type="pct"/>
                  <w:shd w:val="clear" w:color="auto" w:fill="F2F2F2" w:themeFill="background1" w:themeFillShade="F2"/>
                </w:tcPr>
                <w:p w:rsidR="00FB7973" w:rsidRDefault="00FB7973" w:rsidP="00FB7973">
                  <w:pPr>
                    <w:pStyle w:val="TableBodyText"/>
                    <w:ind w:right="28"/>
                  </w:pPr>
                  <w:r w:rsidRPr="00EC4B4E">
                    <w:t>0.730</w:t>
                  </w:r>
                </w:p>
              </w:tc>
              <w:tc>
                <w:tcPr>
                  <w:tcW w:w="632" w:type="pct"/>
                  <w:shd w:val="clear" w:color="auto" w:fill="F2F2F2" w:themeFill="background1" w:themeFillShade="F2"/>
                </w:tcPr>
                <w:p w:rsidR="00FB7973" w:rsidRDefault="00FB7973" w:rsidP="00FB7973">
                  <w:pPr>
                    <w:pStyle w:val="TableBodyText"/>
                    <w:ind w:right="28"/>
                  </w:pPr>
                  <w:r w:rsidRPr="00EC4B4E">
                    <w:t>0.747</w:t>
                  </w:r>
                </w:p>
              </w:tc>
              <w:tc>
                <w:tcPr>
                  <w:tcW w:w="630" w:type="pct"/>
                  <w:shd w:val="clear" w:color="auto" w:fill="F2F2F2" w:themeFill="background1" w:themeFillShade="F2"/>
                </w:tcPr>
                <w:p w:rsidR="00FB7973" w:rsidRDefault="00FB7973" w:rsidP="00FB7973">
                  <w:pPr>
                    <w:pStyle w:val="TableBodyText"/>
                    <w:ind w:right="28"/>
                  </w:pPr>
                  <w:r w:rsidRPr="00EC4B4E">
                    <w:t>0.764</w:t>
                  </w:r>
                </w:p>
              </w:tc>
            </w:tr>
            <w:tr w:rsidR="00FB7973" w:rsidTr="00FB7973">
              <w:tc>
                <w:tcPr>
                  <w:tcW w:w="1842" w:type="pct"/>
                  <w:shd w:val="clear" w:color="auto" w:fill="auto"/>
                  <w:vAlign w:val="bottom"/>
                </w:tcPr>
                <w:p w:rsidR="00FB7973" w:rsidRDefault="00FB7973" w:rsidP="00FB7973">
                  <w:pPr>
                    <w:pStyle w:val="TableBodyText"/>
                    <w:jc w:val="left"/>
                  </w:pPr>
                </w:p>
              </w:tc>
              <w:tc>
                <w:tcPr>
                  <w:tcW w:w="632" w:type="pct"/>
                  <w:vAlign w:val="bottom"/>
                </w:tcPr>
                <w:p w:rsidR="00FB7973" w:rsidRDefault="00FB7973" w:rsidP="00FB7973">
                  <w:pPr>
                    <w:pStyle w:val="TableBodyText"/>
                    <w:ind w:right="28"/>
                  </w:pPr>
                </w:p>
              </w:tc>
              <w:tc>
                <w:tcPr>
                  <w:tcW w:w="632" w:type="pct"/>
                  <w:shd w:val="clear" w:color="auto" w:fill="auto"/>
                  <w:vAlign w:val="bottom"/>
                </w:tcPr>
                <w:p w:rsidR="00FB7973" w:rsidRDefault="00FB7973" w:rsidP="00FB7973">
                  <w:pPr>
                    <w:pStyle w:val="TableBodyText"/>
                    <w:ind w:right="28"/>
                  </w:pPr>
                </w:p>
              </w:tc>
              <w:tc>
                <w:tcPr>
                  <w:tcW w:w="632" w:type="pct"/>
                  <w:shd w:val="clear" w:color="auto" w:fill="auto"/>
                  <w:vAlign w:val="bottom"/>
                </w:tcPr>
                <w:p w:rsidR="00FB7973" w:rsidRDefault="00FB7973" w:rsidP="00FB7973">
                  <w:pPr>
                    <w:pStyle w:val="TableBodyText"/>
                    <w:ind w:right="28"/>
                  </w:pPr>
                </w:p>
              </w:tc>
              <w:tc>
                <w:tcPr>
                  <w:tcW w:w="632" w:type="pct"/>
                  <w:vAlign w:val="bottom"/>
                </w:tcPr>
                <w:p w:rsidR="00FB7973" w:rsidRDefault="00FB7973" w:rsidP="00FB7973">
                  <w:pPr>
                    <w:pStyle w:val="TableBodyText"/>
                    <w:ind w:right="28"/>
                  </w:pPr>
                </w:p>
              </w:tc>
              <w:tc>
                <w:tcPr>
                  <w:tcW w:w="630" w:type="pct"/>
                  <w:vAlign w:val="bottom"/>
                </w:tcPr>
                <w:p w:rsidR="00FB7973" w:rsidRDefault="00FB7973" w:rsidP="00FB7973">
                  <w:pPr>
                    <w:pStyle w:val="TableBodyText"/>
                    <w:ind w:right="28"/>
                  </w:pPr>
                </w:p>
              </w:tc>
            </w:tr>
            <w:tr w:rsidR="00FB7973" w:rsidTr="00FB7973">
              <w:tc>
                <w:tcPr>
                  <w:tcW w:w="1842" w:type="pct"/>
                  <w:shd w:val="clear" w:color="auto" w:fill="BFBFBF" w:themeFill="background1" w:themeFillShade="BF"/>
                  <w:vAlign w:val="bottom"/>
                </w:tcPr>
                <w:p w:rsidR="00FB7973" w:rsidRDefault="00FB7973" w:rsidP="00FB7973">
                  <w:pPr>
                    <w:pStyle w:val="TableBodyText"/>
                    <w:jc w:val="left"/>
                  </w:pPr>
                  <w:r w:rsidRPr="00C358C1">
                    <w:rPr>
                      <w:b/>
                    </w:rPr>
                    <w:t>Survival equation</w:t>
                  </w:r>
                </w:p>
              </w:tc>
              <w:tc>
                <w:tcPr>
                  <w:tcW w:w="632" w:type="pct"/>
                  <w:shd w:val="clear" w:color="auto" w:fill="BFBFBF" w:themeFill="background1" w:themeFillShade="BF"/>
                  <w:vAlign w:val="bottom"/>
                </w:tcPr>
                <w:p w:rsidR="00FB7973" w:rsidRDefault="00FB7973" w:rsidP="00FB7973">
                  <w:pPr>
                    <w:pStyle w:val="TableBodyText"/>
                    <w:ind w:right="28"/>
                  </w:pPr>
                </w:p>
              </w:tc>
              <w:tc>
                <w:tcPr>
                  <w:tcW w:w="632" w:type="pct"/>
                  <w:shd w:val="clear" w:color="auto" w:fill="BFBFBF" w:themeFill="background1" w:themeFillShade="BF"/>
                  <w:vAlign w:val="bottom"/>
                </w:tcPr>
                <w:p w:rsidR="00FB7973" w:rsidRDefault="00FB7973" w:rsidP="00FB7973">
                  <w:pPr>
                    <w:pStyle w:val="TableBodyText"/>
                    <w:ind w:right="28"/>
                  </w:pPr>
                </w:p>
              </w:tc>
              <w:tc>
                <w:tcPr>
                  <w:tcW w:w="632" w:type="pct"/>
                  <w:shd w:val="clear" w:color="auto" w:fill="BFBFBF" w:themeFill="background1" w:themeFillShade="BF"/>
                  <w:vAlign w:val="bottom"/>
                </w:tcPr>
                <w:p w:rsidR="00FB7973" w:rsidRDefault="00FB7973" w:rsidP="00FB7973">
                  <w:pPr>
                    <w:pStyle w:val="TableBodyText"/>
                    <w:ind w:right="28"/>
                  </w:pPr>
                </w:p>
              </w:tc>
              <w:tc>
                <w:tcPr>
                  <w:tcW w:w="632" w:type="pct"/>
                  <w:shd w:val="clear" w:color="auto" w:fill="BFBFBF" w:themeFill="background1" w:themeFillShade="BF"/>
                  <w:vAlign w:val="bottom"/>
                </w:tcPr>
                <w:p w:rsidR="00FB7973" w:rsidRDefault="00FB7973" w:rsidP="00FB7973">
                  <w:pPr>
                    <w:pStyle w:val="TableBodyText"/>
                    <w:ind w:right="28"/>
                  </w:pPr>
                </w:p>
              </w:tc>
              <w:tc>
                <w:tcPr>
                  <w:tcW w:w="630" w:type="pct"/>
                  <w:shd w:val="clear" w:color="auto" w:fill="BFBFBF" w:themeFill="background1" w:themeFillShade="BF"/>
                  <w:vAlign w:val="bottom"/>
                </w:tcPr>
                <w:p w:rsidR="00FB7973" w:rsidRDefault="00FB7973" w:rsidP="00FB7973">
                  <w:pPr>
                    <w:pStyle w:val="TableBodyText"/>
                    <w:ind w:right="28"/>
                  </w:pPr>
                </w:p>
              </w:tc>
            </w:tr>
            <w:tr w:rsidR="00FB7973" w:rsidTr="00FB7973">
              <w:tc>
                <w:tcPr>
                  <w:tcW w:w="1842" w:type="pct"/>
                  <w:shd w:val="clear" w:color="auto" w:fill="auto"/>
                  <w:vAlign w:val="bottom"/>
                </w:tcPr>
                <w:p w:rsidR="00FB7973" w:rsidRDefault="00FB7973" w:rsidP="00FB7973">
                  <w:pPr>
                    <w:pStyle w:val="TableBodyText"/>
                    <w:jc w:val="left"/>
                  </w:pPr>
                  <w:r w:rsidRPr="00C358C1">
                    <w:t>Assets</w:t>
                  </w:r>
                </w:p>
              </w:tc>
              <w:tc>
                <w:tcPr>
                  <w:tcW w:w="632" w:type="pct"/>
                </w:tcPr>
                <w:p w:rsidR="00FB7973" w:rsidRDefault="00FB7973" w:rsidP="00FB7973">
                  <w:pPr>
                    <w:pStyle w:val="TableBodyText"/>
                    <w:ind w:right="28"/>
                  </w:pPr>
                  <w:r w:rsidRPr="00244BE5">
                    <w:t>0.815</w:t>
                  </w:r>
                </w:p>
              </w:tc>
              <w:tc>
                <w:tcPr>
                  <w:tcW w:w="632" w:type="pct"/>
                  <w:shd w:val="clear" w:color="auto" w:fill="auto"/>
                </w:tcPr>
                <w:p w:rsidR="00FB7973" w:rsidRDefault="00FB7973" w:rsidP="00FB7973">
                  <w:pPr>
                    <w:pStyle w:val="TableBodyText"/>
                    <w:ind w:right="28"/>
                  </w:pPr>
                  <w:r w:rsidRPr="00244BE5">
                    <w:t>0.138</w:t>
                  </w:r>
                </w:p>
              </w:tc>
              <w:tc>
                <w:tcPr>
                  <w:tcW w:w="632" w:type="pct"/>
                  <w:shd w:val="clear" w:color="auto" w:fill="auto"/>
                </w:tcPr>
                <w:p w:rsidR="00FB7973" w:rsidRDefault="00FB7973" w:rsidP="00FB7973">
                  <w:pPr>
                    <w:pStyle w:val="TableBodyText"/>
                    <w:ind w:right="28"/>
                  </w:pPr>
                  <w:r w:rsidRPr="00244BE5">
                    <w:t>0.562</w:t>
                  </w:r>
                </w:p>
              </w:tc>
              <w:tc>
                <w:tcPr>
                  <w:tcW w:w="632" w:type="pct"/>
                </w:tcPr>
                <w:p w:rsidR="00FB7973" w:rsidRDefault="00FB7973" w:rsidP="00FB7973">
                  <w:pPr>
                    <w:pStyle w:val="TableBodyText"/>
                    <w:ind w:right="28"/>
                  </w:pPr>
                  <w:r w:rsidRPr="00244BE5">
                    <w:t>0.814</w:t>
                  </w:r>
                </w:p>
              </w:tc>
              <w:tc>
                <w:tcPr>
                  <w:tcW w:w="630" w:type="pct"/>
                </w:tcPr>
                <w:p w:rsidR="00FB7973" w:rsidRDefault="00FB7973" w:rsidP="00FB7973">
                  <w:pPr>
                    <w:pStyle w:val="TableBodyText"/>
                    <w:ind w:right="28"/>
                  </w:pPr>
                  <w:r w:rsidRPr="00244BE5">
                    <w:t>1.099</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Member accounts</w:t>
                  </w:r>
                </w:p>
              </w:tc>
              <w:tc>
                <w:tcPr>
                  <w:tcW w:w="632" w:type="pct"/>
                  <w:shd w:val="clear" w:color="auto" w:fill="F2F2F2" w:themeFill="background1" w:themeFillShade="F2"/>
                </w:tcPr>
                <w:p w:rsidR="00FB7973" w:rsidRDefault="00FB7973" w:rsidP="00FB7973">
                  <w:pPr>
                    <w:pStyle w:val="TableBodyText"/>
                    <w:ind w:right="28"/>
                  </w:pPr>
                  <w:r w:rsidRPr="00244BE5">
                    <w:t>-0.161</w:t>
                  </w:r>
                </w:p>
              </w:tc>
              <w:tc>
                <w:tcPr>
                  <w:tcW w:w="632" w:type="pct"/>
                  <w:shd w:val="clear" w:color="auto" w:fill="F2F2F2" w:themeFill="background1" w:themeFillShade="F2"/>
                </w:tcPr>
                <w:p w:rsidR="00FB7973" w:rsidRDefault="00FB7973" w:rsidP="00FB7973">
                  <w:pPr>
                    <w:pStyle w:val="TableBodyText"/>
                    <w:ind w:right="28"/>
                  </w:pPr>
                  <w:r w:rsidRPr="00244BE5">
                    <w:t>0.123</w:t>
                  </w:r>
                </w:p>
              </w:tc>
              <w:tc>
                <w:tcPr>
                  <w:tcW w:w="632" w:type="pct"/>
                  <w:shd w:val="clear" w:color="auto" w:fill="F2F2F2" w:themeFill="background1" w:themeFillShade="F2"/>
                </w:tcPr>
                <w:p w:rsidR="00FB7973" w:rsidRDefault="00FB7973" w:rsidP="00FB7973">
                  <w:pPr>
                    <w:pStyle w:val="TableBodyText"/>
                    <w:ind w:right="28"/>
                  </w:pPr>
                  <w:r w:rsidRPr="00244BE5">
                    <w:t>-0.416</w:t>
                  </w:r>
                </w:p>
              </w:tc>
              <w:tc>
                <w:tcPr>
                  <w:tcW w:w="632" w:type="pct"/>
                  <w:shd w:val="clear" w:color="auto" w:fill="F2F2F2" w:themeFill="background1" w:themeFillShade="F2"/>
                </w:tcPr>
                <w:p w:rsidR="00FB7973" w:rsidRDefault="00FB7973" w:rsidP="00FB7973">
                  <w:pPr>
                    <w:pStyle w:val="TableBodyText"/>
                    <w:ind w:right="28"/>
                  </w:pPr>
                  <w:r w:rsidRPr="00244BE5">
                    <w:t>-0.157</w:t>
                  </w:r>
                </w:p>
              </w:tc>
              <w:tc>
                <w:tcPr>
                  <w:tcW w:w="630" w:type="pct"/>
                  <w:shd w:val="clear" w:color="auto" w:fill="F2F2F2" w:themeFill="background1" w:themeFillShade="F2"/>
                </w:tcPr>
                <w:p w:rsidR="00FB7973" w:rsidRDefault="00FB7973" w:rsidP="00FB7973">
                  <w:pPr>
                    <w:pStyle w:val="TableBodyText"/>
                    <w:ind w:right="28"/>
                  </w:pPr>
                  <w:r w:rsidRPr="00244BE5">
                    <w:t>0.078</w:t>
                  </w:r>
                </w:p>
              </w:tc>
            </w:tr>
            <w:tr w:rsidR="00FB7973" w:rsidTr="00FB7973">
              <w:tc>
                <w:tcPr>
                  <w:tcW w:w="1842" w:type="pct"/>
                  <w:shd w:val="clear" w:color="auto" w:fill="auto"/>
                  <w:vAlign w:val="bottom"/>
                </w:tcPr>
                <w:p w:rsidR="00FB7973" w:rsidRDefault="00FB7973" w:rsidP="00FB7973">
                  <w:pPr>
                    <w:pStyle w:val="TableBodyText"/>
                    <w:jc w:val="left"/>
                  </w:pPr>
                  <w:r w:rsidRPr="00C358C1">
                    <w:t>Number of investment options</w:t>
                  </w:r>
                </w:p>
              </w:tc>
              <w:tc>
                <w:tcPr>
                  <w:tcW w:w="632" w:type="pct"/>
                </w:tcPr>
                <w:p w:rsidR="00FB7973" w:rsidRDefault="00FB7973" w:rsidP="00FB7973">
                  <w:pPr>
                    <w:pStyle w:val="TableBodyText"/>
                    <w:ind w:right="28"/>
                  </w:pPr>
                  <w:r w:rsidRPr="00244BE5">
                    <w:t>0.106</w:t>
                  </w:r>
                </w:p>
              </w:tc>
              <w:tc>
                <w:tcPr>
                  <w:tcW w:w="632" w:type="pct"/>
                  <w:shd w:val="clear" w:color="auto" w:fill="auto"/>
                </w:tcPr>
                <w:p w:rsidR="00FB7973" w:rsidRDefault="00FB7973" w:rsidP="00FB7973">
                  <w:pPr>
                    <w:pStyle w:val="TableBodyText"/>
                    <w:ind w:right="28"/>
                  </w:pPr>
                  <w:r w:rsidRPr="00244BE5">
                    <w:t>0.079</w:t>
                  </w:r>
                </w:p>
              </w:tc>
              <w:tc>
                <w:tcPr>
                  <w:tcW w:w="632" w:type="pct"/>
                  <w:shd w:val="clear" w:color="auto" w:fill="auto"/>
                </w:tcPr>
                <w:p w:rsidR="00FB7973" w:rsidRDefault="00FB7973" w:rsidP="00FB7973">
                  <w:pPr>
                    <w:pStyle w:val="TableBodyText"/>
                    <w:ind w:right="28"/>
                  </w:pPr>
                  <w:r w:rsidRPr="00244BE5">
                    <w:t>-0.049</w:t>
                  </w:r>
                </w:p>
              </w:tc>
              <w:tc>
                <w:tcPr>
                  <w:tcW w:w="632" w:type="pct"/>
                </w:tcPr>
                <w:p w:rsidR="00FB7973" w:rsidRDefault="00FB7973" w:rsidP="00FB7973">
                  <w:pPr>
                    <w:pStyle w:val="TableBodyText"/>
                    <w:ind w:right="28"/>
                  </w:pPr>
                  <w:r w:rsidRPr="00244BE5">
                    <w:t>0.103</w:t>
                  </w:r>
                </w:p>
              </w:tc>
              <w:tc>
                <w:tcPr>
                  <w:tcW w:w="630" w:type="pct"/>
                </w:tcPr>
                <w:p w:rsidR="00FB7973" w:rsidRDefault="00FB7973" w:rsidP="00FB7973">
                  <w:pPr>
                    <w:pStyle w:val="TableBodyText"/>
                    <w:ind w:right="28"/>
                  </w:pPr>
                  <w:r w:rsidRPr="00244BE5">
                    <w:t>0.270</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Net contributions</w:t>
                  </w:r>
                </w:p>
              </w:tc>
              <w:tc>
                <w:tcPr>
                  <w:tcW w:w="632" w:type="pct"/>
                  <w:shd w:val="clear" w:color="auto" w:fill="F2F2F2" w:themeFill="background1" w:themeFillShade="F2"/>
                </w:tcPr>
                <w:p w:rsidR="00FB7973" w:rsidRDefault="00FB7973" w:rsidP="00FB7973">
                  <w:pPr>
                    <w:pStyle w:val="TableBodyText"/>
                    <w:ind w:right="28"/>
                  </w:pPr>
                  <w:r w:rsidRPr="00244BE5">
                    <w:t>0.277</w:t>
                  </w:r>
                </w:p>
              </w:tc>
              <w:tc>
                <w:tcPr>
                  <w:tcW w:w="632" w:type="pct"/>
                  <w:shd w:val="clear" w:color="auto" w:fill="F2F2F2" w:themeFill="background1" w:themeFillShade="F2"/>
                </w:tcPr>
                <w:p w:rsidR="00FB7973" w:rsidRDefault="00FB7973" w:rsidP="00FB7973">
                  <w:pPr>
                    <w:pStyle w:val="TableBodyText"/>
                    <w:ind w:right="28"/>
                  </w:pPr>
                  <w:r w:rsidRPr="00244BE5">
                    <w:t>0.184</w:t>
                  </w:r>
                </w:p>
              </w:tc>
              <w:tc>
                <w:tcPr>
                  <w:tcW w:w="632" w:type="pct"/>
                  <w:shd w:val="clear" w:color="auto" w:fill="F2F2F2" w:themeFill="background1" w:themeFillShade="F2"/>
                </w:tcPr>
                <w:p w:rsidR="00FB7973" w:rsidRDefault="00FB7973" w:rsidP="00FB7973">
                  <w:pPr>
                    <w:pStyle w:val="TableBodyText"/>
                    <w:ind w:right="28"/>
                  </w:pPr>
                  <w:r w:rsidRPr="00244BE5">
                    <w:t>-0.054</w:t>
                  </w:r>
                </w:p>
              </w:tc>
              <w:tc>
                <w:tcPr>
                  <w:tcW w:w="632" w:type="pct"/>
                  <w:shd w:val="clear" w:color="auto" w:fill="F2F2F2" w:themeFill="background1" w:themeFillShade="F2"/>
                </w:tcPr>
                <w:p w:rsidR="00FB7973" w:rsidRDefault="00FB7973" w:rsidP="00FB7973">
                  <w:pPr>
                    <w:pStyle w:val="TableBodyText"/>
                    <w:ind w:right="28"/>
                  </w:pPr>
                  <w:r w:rsidRPr="00244BE5">
                    <w:t>0.269</w:t>
                  </w:r>
                </w:p>
              </w:tc>
              <w:tc>
                <w:tcPr>
                  <w:tcW w:w="630" w:type="pct"/>
                  <w:shd w:val="clear" w:color="auto" w:fill="F2F2F2" w:themeFill="background1" w:themeFillShade="F2"/>
                </w:tcPr>
                <w:p w:rsidR="00FB7973" w:rsidRDefault="00FB7973" w:rsidP="00FB7973">
                  <w:pPr>
                    <w:pStyle w:val="TableBodyText"/>
                    <w:ind w:right="28"/>
                  </w:pPr>
                  <w:r w:rsidRPr="00244BE5">
                    <w:t>0.676</w:t>
                  </w:r>
                </w:p>
              </w:tc>
            </w:tr>
            <w:tr w:rsidR="00FB7973" w:rsidTr="00FB7973">
              <w:tc>
                <w:tcPr>
                  <w:tcW w:w="1842" w:type="pct"/>
                  <w:shd w:val="clear" w:color="auto" w:fill="auto"/>
                  <w:vAlign w:val="bottom"/>
                </w:tcPr>
                <w:p w:rsidR="00FB7973" w:rsidRDefault="00FB7973" w:rsidP="00FB7973">
                  <w:pPr>
                    <w:pStyle w:val="TableBodyText"/>
                    <w:jc w:val="left"/>
                  </w:pPr>
                  <w:r w:rsidRPr="00C358C1">
                    <w:t>Net rollovers</w:t>
                  </w:r>
                </w:p>
              </w:tc>
              <w:tc>
                <w:tcPr>
                  <w:tcW w:w="632" w:type="pct"/>
                </w:tcPr>
                <w:p w:rsidR="00FB7973" w:rsidRDefault="00FB7973" w:rsidP="00FB7973">
                  <w:pPr>
                    <w:pStyle w:val="TableBodyText"/>
                    <w:ind w:right="28"/>
                  </w:pPr>
                  <w:r w:rsidRPr="00244BE5">
                    <w:t>0.254</w:t>
                  </w:r>
                </w:p>
              </w:tc>
              <w:tc>
                <w:tcPr>
                  <w:tcW w:w="632" w:type="pct"/>
                  <w:shd w:val="clear" w:color="auto" w:fill="auto"/>
                </w:tcPr>
                <w:p w:rsidR="00FB7973" w:rsidRDefault="00FB7973" w:rsidP="00FB7973">
                  <w:pPr>
                    <w:pStyle w:val="TableBodyText"/>
                    <w:ind w:right="28"/>
                  </w:pPr>
                  <w:r w:rsidRPr="00244BE5">
                    <w:t>0.167</w:t>
                  </w:r>
                </w:p>
              </w:tc>
              <w:tc>
                <w:tcPr>
                  <w:tcW w:w="632" w:type="pct"/>
                  <w:shd w:val="clear" w:color="auto" w:fill="auto"/>
                </w:tcPr>
                <w:p w:rsidR="00FB7973" w:rsidRDefault="00FB7973" w:rsidP="00FB7973">
                  <w:pPr>
                    <w:pStyle w:val="TableBodyText"/>
                    <w:ind w:right="28"/>
                  </w:pPr>
                  <w:r w:rsidRPr="00244BE5">
                    <w:t>0.021</w:t>
                  </w:r>
                </w:p>
              </w:tc>
              <w:tc>
                <w:tcPr>
                  <w:tcW w:w="632" w:type="pct"/>
                </w:tcPr>
                <w:p w:rsidR="00FB7973" w:rsidRDefault="00FB7973" w:rsidP="00FB7973">
                  <w:pPr>
                    <w:pStyle w:val="TableBodyText"/>
                    <w:ind w:right="28"/>
                  </w:pPr>
                  <w:r w:rsidRPr="00244BE5">
                    <w:t>0.193</w:t>
                  </w:r>
                </w:p>
              </w:tc>
              <w:tc>
                <w:tcPr>
                  <w:tcW w:w="630" w:type="pct"/>
                </w:tcPr>
                <w:p w:rsidR="00FB7973" w:rsidRDefault="00FB7973" w:rsidP="00FB7973">
                  <w:pPr>
                    <w:pStyle w:val="TableBodyText"/>
                    <w:ind w:right="28"/>
                  </w:pPr>
                  <w:r w:rsidRPr="00244BE5">
                    <w:t>0.582</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Annual net return</w:t>
                  </w:r>
                </w:p>
              </w:tc>
              <w:tc>
                <w:tcPr>
                  <w:tcW w:w="632" w:type="pct"/>
                  <w:shd w:val="clear" w:color="auto" w:fill="F2F2F2" w:themeFill="background1" w:themeFillShade="F2"/>
                </w:tcPr>
                <w:p w:rsidR="00FB7973" w:rsidRDefault="00FB7973" w:rsidP="00FB7973">
                  <w:pPr>
                    <w:pStyle w:val="TableBodyText"/>
                    <w:ind w:right="28"/>
                  </w:pPr>
                  <w:r w:rsidRPr="00244BE5">
                    <w:t>0.030</w:t>
                  </w:r>
                </w:p>
              </w:tc>
              <w:tc>
                <w:tcPr>
                  <w:tcW w:w="632" w:type="pct"/>
                  <w:shd w:val="clear" w:color="auto" w:fill="F2F2F2" w:themeFill="background1" w:themeFillShade="F2"/>
                </w:tcPr>
                <w:p w:rsidR="00FB7973" w:rsidRDefault="00FB7973" w:rsidP="00FB7973">
                  <w:pPr>
                    <w:pStyle w:val="TableBodyText"/>
                    <w:ind w:right="28"/>
                  </w:pPr>
                  <w:r w:rsidRPr="00244BE5">
                    <w:t>0.049</w:t>
                  </w:r>
                </w:p>
              </w:tc>
              <w:tc>
                <w:tcPr>
                  <w:tcW w:w="632" w:type="pct"/>
                  <w:shd w:val="clear" w:color="auto" w:fill="F2F2F2" w:themeFill="background1" w:themeFillShade="F2"/>
                </w:tcPr>
                <w:p w:rsidR="00FB7973" w:rsidRDefault="00FB7973" w:rsidP="00FB7973">
                  <w:pPr>
                    <w:pStyle w:val="TableBodyText"/>
                    <w:ind w:right="28"/>
                  </w:pPr>
                  <w:r w:rsidRPr="00244BE5">
                    <w:t>-0.055</w:t>
                  </w:r>
                </w:p>
              </w:tc>
              <w:tc>
                <w:tcPr>
                  <w:tcW w:w="632" w:type="pct"/>
                  <w:shd w:val="clear" w:color="auto" w:fill="F2F2F2" w:themeFill="background1" w:themeFillShade="F2"/>
                </w:tcPr>
                <w:p w:rsidR="00FB7973" w:rsidRDefault="00FB7973" w:rsidP="00FB7973">
                  <w:pPr>
                    <w:pStyle w:val="TableBodyText"/>
                    <w:ind w:right="28"/>
                  </w:pPr>
                  <w:r w:rsidRPr="00244BE5">
                    <w:t>0.028</w:t>
                  </w:r>
                </w:p>
              </w:tc>
              <w:tc>
                <w:tcPr>
                  <w:tcW w:w="630" w:type="pct"/>
                  <w:shd w:val="clear" w:color="auto" w:fill="F2F2F2" w:themeFill="background1" w:themeFillShade="F2"/>
                </w:tcPr>
                <w:p w:rsidR="00FB7973" w:rsidRDefault="00FB7973" w:rsidP="00FB7973">
                  <w:pPr>
                    <w:pStyle w:val="TableBodyText"/>
                    <w:ind w:right="28"/>
                  </w:pPr>
                  <w:r w:rsidRPr="00244BE5">
                    <w:t>0.128</w:t>
                  </w:r>
                </w:p>
              </w:tc>
            </w:tr>
            <w:tr w:rsidR="00FB7973" w:rsidTr="00FB7973">
              <w:tc>
                <w:tcPr>
                  <w:tcW w:w="1842" w:type="pct"/>
                  <w:shd w:val="clear" w:color="auto" w:fill="auto"/>
                  <w:vAlign w:val="bottom"/>
                </w:tcPr>
                <w:p w:rsidR="00FB7973" w:rsidRDefault="00FB7973" w:rsidP="00FB7973">
                  <w:pPr>
                    <w:pStyle w:val="TableBodyText"/>
                    <w:jc w:val="left"/>
                  </w:pPr>
                  <w:r w:rsidRPr="00C358C1">
                    <w:t>Stronger super</w:t>
                  </w:r>
                </w:p>
              </w:tc>
              <w:tc>
                <w:tcPr>
                  <w:tcW w:w="632" w:type="pct"/>
                </w:tcPr>
                <w:p w:rsidR="00FB7973" w:rsidRDefault="00FB7973" w:rsidP="00FB7973">
                  <w:pPr>
                    <w:pStyle w:val="TableBodyText"/>
                    <w:ind w:right="28"/>
                  </w:pPr>
                  <w:r w:rsidRPr="00244BE5">
                    <w:t>0.430</w:t>
                  </w:r>
                </w:p>
              </w:tc>
              <w:tc>
                <w:tcPr>
                  <w:tcW w:w="632" w:type="pct"/>
                  <w:shd w:val="clear" w:color="auto" w:fill="auto"/>
                </w:tcPr>
                <w:p w:rsidR="00FB7973" w:rsidRDefault="00FB7973" w:rsidP="00FB7973">
                  <w:pPr>
                    <w:pStyle w:val="TableBodyText"/>
                    <w:ind w:right="28"/>
                  </w:pPr>
                  <w:r w:rsidRPr="00244BE5">
                    <w:t>0.146</w:t>
                  </w:r>
                </w:p>
              </w:tc>
              <w:tc>
                <w:tcPr>
                  <w:tcW w:w="632" w:type="pct"/>
                  <w:shd w:val="clear" w:color="auto" w:fill="auto"/>
                </w:tcPr>
                <w:p w:rsidR="00FB7973" w:rsidRDefault="00FB7973" w:rsidP="00FB7973">
                  <w:pPr>
                    <w:pStyle w:val="TableBodyText"/>
                    <w:ind w:right="28"/>
                  </w:pPr>
                  <w:r w:rsidRPr="00244BE5">
                    <w:t>0.148</w:t>
                  </w:r>
                </w:p>
              </w:tc>
              <w:tc>
                <w:tcPr>
                  <w:tcW w:w="632" w:type="pct"/>
                </w:tcPr>
                <w:p w:rsidR="00FB7973" w:rsidRDefault="00FB7973" w:rsidP="00FB7973">
                  <w:pPr>
                    <w:pStyle w:val="TableBodyText"/>
                    <w:ind w:right="28"/>
                  </w:pPr>
                  <w:r w:rsidRPr="00244BE5">
                    <w:t>0.427</w:t>
                  </w:r>
                </w:p>
              </w:tc>
              <w:tc>
                <w:tcPr>
                  <w:tcW w:w="630" w:type="pct"/>
                </w:tcPr>
                <w:p w:rsidR="00FB7973" w:rsidRDefault="00FB7973" w:rsidP="00FB7973">
                  <w:pPr>
                    <w:pStyle w:val="TableBodyText"/>
                    <w:ind w:right="28"/>
                  </w:pPr>
                  <w:r w:rsidRPr="00244BE5">
                    <w:t>0.712</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Post reporting change</w:t>
                  </w:r>
                </w:p>
              </w:tc>
              <w:tc>
                <w:tcPr>
                  <w:tcW w:w="632" w:type="pct"/>
                  <w:shd w:val="clear" w:color="auto" w:fill="F2F2F2" w:themeFill="background1" w:themeFillShade="F2"/>
                </w:tcPr>
                <w:p w:rsidR="00FB7973" w:rsidRDefault="00FB7973" w:rsidP="00FB7973">
                  <w:pPr>
                    <w:pStyle w:val="TableBodyText"/>
                    <w:ind w:right="28"/>
                  </w:pPr>
                  <w:r w:rsidRPr="00244BE5">
                    <w:t>0.277</w:t>
                  </w:r>
                </w:p>
              </w:tc>
              <w:tc>
                <w:tcPr>
                  <w:tcW w:w="632" w:type="pct"/>
                  <w:shd w:val="clear" w:color="auto" w:fill="F2F2F2" w:themeFill="background1" w:themeFillShade="F2"/>
                </w:tcPr>
                <w:p w:rsidR="00FB7973" w:rsidRDefault="00FB7973" w:rsidP="00FB7973">
                  <w:pPr>
                    <w:pStyle w:val="TableBodyText"/>
                    <w:ind w:right="28"/>
                  </w:pPr>
                  <w:r w:rsidRPr="00244BE5">
                    <w:t>0.211</w:t>
                  </w:r>
                </w:p>
              </w:tc>
              <w:tc>
                <w:tcPr>
                  <w:tcW w:w="632" w:type="pct"/>
                  <w:shd w:val="clear" w:color="auto" w:fill="F2F2F2" w:themeFill="background1" w:themeFillShade="F2"/>
                </w:tcPr>
                <w:p w:rsidR="00FB7973" w:rsidRDefault="00FB7973" w:rsidP="00FB7973">
                  <w:pPr>
                    <w:pStyle w:val="TableBodyText"/>
                    <w:ind w:right="28"/>
                  </w:pPr>
                  <w:r w:rsidRPr="00244BE5">
                    <w:t>-0.111</w:t>
                  </w:r>
                </w:p>
              </w:tc>
              <w:tc>
                <w:tcPr>
                  <w:tcW w:w="632" w:type="pct"/>
                  <w:shd w:val="clear" w:color="auto" w:fill="F2F2F2" w:themeFill="background1" w:themeFillShade="F2"/>
                </w:tcPr>
                <w:p w:rsidR="00FB7973" w:rsidRDefault="00FB7973" w:rsidP="00FB7973">
                  <w:pPr>
                    <w:pStyle w:val="TableBodyText"/>
                    <w:ind w:right="28"/>
                  </w:pPr>
                  <w:r w:rsidRPr="00244BE5">
                    <w:t>0.273</w:t>
                  </w:r>
                </w:p>
              </w:tc>
              <w:tc>
                <w:tcPr>
                  <w:tcW w:w="630" w:type="pct"/>
                  <w:shd w:val="clear" w:color="auto" w:fill="F2F2F2" w:themeFill="background1" w:themeFillShade="F2"/>
                </w:tcPr>
                <w:p w:rsidR="00FB7973" w:rsidRDefault="00FB7973" w:rsidP="00FB7973">
                  <w:pPr>
                    <w:pStyle w:val="TableBodyText"/>
                    <w:ind w:right="28"/>
                  </w:pPr>
                  <w:r w:rsidRPr="00244BE5">
                    <w:t>0.699</w:t>
                  </w:r>
                </w:p>
              </w:tc>
            </w:tr>
            <w:tr w:rsidR="00FB7973" w:rsidTr="00FB7973">
              <w:tc>
                <w:tcPr>
                  <w:tcW w:w="1842" w:type="pct"/>
                  <w:shd w:val="clear" w:color="auto" w:fill="auto"/>
                  <w:vAlign w:val="bottom"/>
                </w:tcPr>
                <w:p w:rsidR="00FB7973" w:rsidRDefault="00FB7973" w:rsidP="00FB7973">
                  <w:pPr>
                    <w:pStyle w:val="TableBodyText"/>
                    <w:jc w:val="left"/>
                  </w:pPr>
                  <w:r w:rsidRPr="00C358C1">
                    <w:t>Sum of other fund’s assets in same period</w:t>
                  </w:r>
                </w:p>
              </w:tc>
              <w:tc>
                <w:tcPr>
                  <w:tcW w:w="632" w:type="pct"/>
                </w:tcPr>
                <w:p w:rsidR="00FB7973" w:rsidRDefault="00FB7973" w:rsidP="00FB7973">
                  <w:pPr>
                    <w:pStyle w:val="TableBodyText"/>
                    <w:ind w:right="28"/>
                  </w:pPr>
                  <w:r w:rsidRPr="00244BE5">
                    <w:t>-0.648</w:t>
                  </w:r>
                </w:p>
              </w:tc>
              <w:tc>
                <w:tcPr>
                  <w:tcW w:w="632" w:type="pct"/>
                  <w:shd w:val="clear" w:color="auto" w:fill="auto"/>
                </w:tcPr>
                <w:p w:rsidR="00FB7973" w:rsidRDefault="00FB7973" w:rsidP="00FB7973">
                  <w:pPr>
                    <w:pStyle w:val="TableBodyText"/>
                    <w:ind w:right="28"/>
                  </w:pPr>
                  <w:r w:rsidRPr="00244BE5">
                    <w:t>0.153</w:t>
                  </w:r>
                </w:p>
              </w:tc>
              <w:tc>
                <w:tcPr>
                  <w:tcW w:w="632" w:type="pct"/>
                  <w:shd w:val="clear" w:color="auto" w:fill="auto"/>
                </w:tcPr>
                <w:p w:rsidR="00FB7973" w:rsidRDefault="00FB7973" w:rsidP="00FB7973">
                  <w:pPr>
                    <w:pStyle w:val="TableBodyText"/>
                    <w:ind w:right="28"/>
                  </w:pPr>
                  <w:r w:rsidRPr="00244BE5">
                    <w:t>-0.953</w:t>
                  </w:r>
                </w:p>
              </w:tc>
              <w:tc>
                <w:tcPr>
                  <w:tcW w:w="632" w:type="pct"/>
                </w:tcPr>
                <w:p w:rsidR="00FB7973" w:rsidRDefault="00FB7973" w:rsidP="00FB7973">
                  <w:pPr>
                    <w:pStyle w:val="TableBodyText"/>
                    <w:ind w:right="28"/>
                  </w:pPr>
                  <w:r w:rsidRPr="00244BE5">
                    <w:t>-0.645</w:t>
                  </w:r>
                </w:p>
              </w:tc>
              <w:tc>
                <w:tcPr>
                  <w:tcW w:w="630" w:type="pct"/>
                </w:tcPr>
                <w:p w:rsidR="00FB7973" w:rsidRDefault="00FB7973" w:rsidP="00FB7973">
                  <w:pPr>
                    <w:pStyle w:val="TableBodyText"/>
                    <w:ind w:right="28"/>
                  </w:pPr>
                  <w:r w:rsidRPr="00244BE5">
                    <w:t>-0.356</w:t>
                  </w:r>
                </w:p>
              </w:tc>
            </w:tr>
            <w:tr w:rsidR="00FB7973" w:rsidTr="00FB7973">
              <w:tc>
                <w:tcPr>
                  <w:tcW w:w="1842" w:type="pct"/>
                  <w:shd w:val="clear" w:color="auto" w:fill="F2F2F2" w:themeFill="background1" w:themeFillShade="F2"/>
                  <w:vAlign w:val="bottom"/>
                </w:tcPr>
                <w:p w:rsidR="00FB7973" w:rsidRDefault="00FB7973" w:rsidP="00FB7973">
                  <w:pPr>
                    <w:pStyle w:val="TableBodyText"/>
                    <w:jc w:val="left"/>
                  </w:pPr>
                  <w:r w:rsidRPr="00C358C1">
                    <w:t>Sum of other fund’s member accounts in same period</w:t>
                  </w:r>
                </w:p>
              </w:tc>
              <w:tc>
                <w:tcPr>
                  <w:tcW w:w="632" w:type="pct"/>
                  <w:shd w:val="clear" w:color="auto" w:fill="F2F2F2" w:themeFill="background1" w:themeFillShade="F2"/>
                </w:tcPr>
                <w:p w:rsidR="00FB7973" w:rsidRDefault="00FB7973" w:rsidP="00FB7973">
                  <w:pPr>
                    <w:pStyle w:val="TableBodyText"/>
                    <w:ind w:right="28"/>
                  </w:pPr>
                  <w:r w:rsidRPr="00244BE5">
                    <w:t>-0.427</w:t>
                  </w:r>
                </w:p>
              </w:tc>
              <w:tc>
                <w:tcPr>
                  <w:tcW w:w="632" w:type="pct"/>
                  <w:shd w:val="clear" w:color="auto" w:fill="F2F2F2" w:themeFill="background1" w:themeFillShade="F2"/>
                </w:tcPr>
                <w:p w:rsidR="00FB7973" w:rsidRDefault="00FB7973" w:rsidP="00FB7973">
                  <w:pPr>
                    <w:pStyle w:val="TableBodyText"/>
                    <w:ind w:right="28"/>
                  </w:pPr>
                  <w:r w:rsidRPr="00244BE5">
                    <w:t>0.111</w:t>
                  </w:r>
                </w:p>
              </w:tc>
              <w:tc>
                <w:tcPr>
                  <w:tcW w:w="632" w:type="pct"/>
                  <w:shd w:val="clear" w:color="auto" w:fill="F2F2F2" w:themeFill="background1" w:themeFillShade="F2"/>
                </w:tcPr>
                <w:p w:rsidR="00FB7973" w:rsidRDefault="00FB7973" w:rsidP="00FB7973">
                  <w:pPr>
                    <w:pStyle w:val="TableBodyText"/>
                    <w:ind w:right="28"/>
                  </w:pPr>
                  <w:r w:rsidRPr="00244BE5">
                    <w:t>-0.643</w:t>
                  </w:r>
                </w:p>
              </w:tc>
              <w:tc>
                <w:tcPr>
                  <w:tcW w:w="632" w:type="pct"/>
                  <w:shd w:val="clear" w:color="auto" w:fill="F2F2F2" w:themeFill="background1" w:themeFillShade="F2"/>
                </w:tcPr>
                <w:p w:rsidR="00FB7973" w:rsidRDefault="00FB7973" w:rsidP="00FB7973">
                  <w:pPr>
                    <w:pStyle w:val="TableBodyText"/>
                    <w:ind w:right="28"/>
                  </w:pPr>
                  <w:r w:rsidRPr="00244BE5">
                    <w:t>-0.425</w:t>
                  </w:r>
                </w:p>
              </w:tc>
              <w:tc>
                <w:tcPr>
                  <w:tcW w:w="630" w:type="pct"/>
                  <w:shd w:val="clear" w:color="auto" w:fill="F2F2F2" w:themeFill="background1" w:themeFillShade="F2"/>
                </w:tcPr>
                <w:p w:rsidR="00FB7973" w:rsidRDefault="00FB7973" w:rsidP="00FB7973">
                  <w:pPr>
                    <w:pStyle w:val="TableBodyText"/>
                    <w:ind w:right="28"/>
                  </w:pPr>
                  <w:r w:rsidRPr="00244BE5">
                    <w:t>-0.217</w:t>
                  </w:r>
                </w:p>
              </w:tc>
            </w:tr>
            <w:tr w:rsidR="00FB7973" w:rsidTr="00FB7973">
              <w:tc>
                <w:tcPr>
                  <w:tcW w:w="1842" w:type="pct"/>
                  <w:shd w:val="clear" w:color="auto" w:fill="auto"/>
                  <w:vAlign w:val="bottom"/>
                </w:tcPr>
                <w:p w:rsidR="00FB7973" w:rsidRDefault="00FB7973" w:rsidP="00FB7973">
                  <w:pPr>
                    <w:pStyle w:val="TableBodyText"/>
                    <w:jc w:val="left"/>
                  </w:pPr>
                  <w:r w:rsidRPr="00C358C1">
                    <w:t>Sum of other fund’s annual net returns in same period</w:t>
                  </w:r>
                </w:p>
              </w:tc>
              <w:tc>
                <w:tcPr>
                  <w:tcW w:w="632" w:type="pct"/>
                </w:tcPr>
                <w:p w:rsidR="00FB7973" w:rsidRDefault="00FB7973" w:rsidP="00FB7973">
                  <w:pPr>
                    <w:pStyle w:val="TableBodyText"/>
                    <w:ind w:right="28"/>
                  </w:pPr>
                  <w:r w:rsidRPr="00244BE5">
                    <w:t>0.374</w:t>
                  </w:r>
                </w:p>
              </w:tc>
              <w:tc>
                <w:tcPr>
                  <w:tcW w:w="632" w:type="pct"/>
                  <w:shd w:val="clear" w:color="auto" w:fill="auto"/>
                </w:tcPr>
                <w:p w:rsidR="00FB7973" w:rsidRDefault="00FB7973" w:rsidP="00FB7973">
                  <w:pPr>
                    <w:pStyle w:val="TableBodyText"/>
                    <w:ind w:right="28"/>
                  </w:pPr>
                  <w:r w:rsidRPr="00244BE5">
                    <w:t>0.082</w:t>
                  </w:r>
                </w:p>
              </w:tc>
              <w:tc>
                <w:tcPr>
                  <w:tcW w:w="632" w:type="pct"/>
                  <w:shd w:val="clear" w:color="auto" w:fill="auto"/>
                </w:tcPr>
                <w:p w:rsidR="00FB7973" w:rsidRDefault="00FB7973" w:rsidP="00FB7973">
                  <w:pPr>
                    <w:pStyle w:val="TableBodyText"/>
                    <w:ind w:right="28"/>
                  </w:pPr>
                  <w:r w:rsidRPr="00244BE5">
                    <w:t>0.220</w:t>
                  </w:r>
                </w:p>
              </w:tc>
              <w:tc>
                <w:tcPr>
                  <w:tcW w:w="632" w:type="pct"/>
                </w:tcPr>
                <w:p w:rsidR="00FB7973" w:rsidRDefault="00FB7973" w:rsidP="00FB7973">
                  <w:pPr>
                    <w:pStyle w:val="TableBodyText"/>
                    <w:ind w:right="28"/>
                  </w:pPr>
                  <w:r w:rsidRPr="00244BE5">
                    <w:t>0.370</w:t>
                  </w:r>
                </w:p>
              </w:tc>
              <w:tc>
                <w:tcPr>
                  <w:tcW w:w="630" w:type="pct"/>
                </w:tcPr>
                <w:p w:rsidR="00FB7973" w:rsidRDefault="00FB7973" w:rsidP="00FB7973">
                  <w:pPr>
                    <w:pStyle w:val="TableBodyText"/>
                    <w:ind w:right="28"/>
                  </w:pPr>
                  <w:r w:rsidRPr="00244BE5">
                    <w:t>0.532</w:t>
                  </w:r>
                </w:p>
              </w:tc>
            </w:tr>
            <w:tr w:rsidR="00FB7973" w:rsidTr="00FB7973">
              <w:tc>
                <w:tcPr>
                  <w:tcW w:w="1842" w:type="pct"/>
                  <w:tcBorders>
                    <w:bottom w:val="single" w:sz="6" w:space="0" w:color="BFBFBF" w:themeColor="background1" w:themeShade="BF"/>
                  </w:tcBorders>
                  <w:shd w:val="clear" w:color="auto" w:fill="F2F2F2" w:themeFill="background1" w:themeFillShade="F2"/>
                  <w:vAlign w:val="bottom"/>
                </w:tcPr>
                <w:p w:rsidR="00FB7973" w:rsidRDefault="00FB7973" w:rsidP="00FB7973">
                  <w:pPr>
                    <w:pStyle w:val="TableBodyText"/>
                    <w:jc w:val="left"/>
                  </w:pPr>
                  <w:r w:rsidRPr="00C358C1">
                    <w:t>Intercept</w:t>
                  </w:r>
                </w:p>
              </w:tc>
              <w:tc>
                <w:tcPr>
                  <w:tcW w:w="632"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244BE5">
                    <w:t>127.521</w:t>
                  </w:r>
                </w:p>
              </w:tc>
              <w:tc>
                <w:tcPr>
                  <w:tcW w:w="632"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244BE5">
                    <w:t>21.607</w:t>
                  </w:r>
                </w:p>
              </w:tc>
              <w:tc>
                <w:tcPr>
                  <w:tcW w:w="632"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244BE5">
                    <w:t>87.913</w:t>
                  </w:r>
                </w:p>
              </w:tc>
              <w:tc>
                <w:tcPr>
                  <w:tcW w:w="632"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244BE5">
                    <w:t>127.473</w:t>
                  </w:r>
                </w:p>
              </w:tc>
              <w:tc>
                <w:tcPr>
                  <w:tcW w:w="630" w:type="pct"/>
                  <w:tcBorders>
                    <w:bottom w:val="single" w:sz="6" w:space="0" w:color="BFBFBF" w:themeColor="background1" w:themeShade="BF"/>
                  </w:tcBorders>
                  <w:shd w:val="clear" w:color="auto" w:fill="F2F2F2" w:themeFill="background1" w:themeFillShade="F2"/>
                </w:tcPr>
                <w:p w:rsidR="00FB7973" w:rsidRDefault="00FB7973" w:rsidP="00FB7973">
                  <w:pPr>
                    <w:pStyle w:val="TableBodyText"/>
                    <w:ind w:right="28"/>
                  </w:pPr>
                  <w:r w:rsidRPr="00244BE5">
                    <w:t>171.615</w:t>
                  </w:r>
                </w:p>
              </w:tc>
            </w:tr>
          </w:tbl>
          <w:p w:rsidR="00FB7973" w:rsidRDefault="00FB7973" w:rsidP="00FB7973">
            <w:pPr>
              <w:pStyle w:val="Box"/>
            </w:pPr>
          </w:p>
        </w:tc>
      </w:tr>
      <w:tr w:rsidR="00FB7973" w:rsidTr="00FB7973">
        <w:tc>
          <w:tcPr>
            <w:tcW w:w="5000" w:type="pct"/>
            <w:tcBorders>
              <w:top w:val="nil"/>
              <w:left w:val="nil"/>
              <w:bottom w:val="nil"/>
              <w:right w:val="nil"/>
            </w:tcBorders>
            <w:shd w:val="clear" w:color="auto" w:fill="auto"/>
          </w:tcPr>
          <w:p w:rsidR="00FB7973" w:rsidRDefault="00FB7973" w:rsidP="00FB7973">
            <w:pPr>
              <w:pStyle w:val="Continued"/>
            </w:pPr>
            <w:r>
              <w:t>(continued next page)</w:t>
            </w:r>
          </w:p>
        </w:tc>
      </w:tr>
      <w:tr w:rsidR="00FB7973" w:rsidTr="00FB7973">
        <w:tc>
          <w:tcPr>
            <w:tcW w:w="5000" w:type="pct"/>
            <w:tcBorders>
              <w:top w:val="nil"/>
              <w:left w:val="nil"/>
              <w:bottom w:val="single" w:sz="6" w:space="0" w:color="78A22F"/>
              <w:right w:val="nil"/>
            </w:tcBorders>
            <w:shd w:val="clear" w:color="auto" w:fill="auto"/>
          </w:tcPr>
          <w:p w:rsidR="00FB7973" w:rsidRDefault="00FB7973" w:rsidP="00FB7973">
            <w:pPr>
              <w:pStyle w:val="Box"/>
              <w:spacing w:before="0" w:line="120" w:lineRule="exact"/>
            </w:pPr>
          </w:p>
        </w:tc>
      </w:tr>
      <w:tr w:rsidR="00FB7973" w:rsidRPr="000863A5" w:rsidTr="00FB7973">
        <w:tc>
          <w:tcPr>
            <w:tcW w:w="5000" w:type="pct"/>
            <w:tcBorders>
              <w:top w:val="single" w:sz="6" w:space="0" w:color="78A22F"/>
              <w:left w:val="nil"/>
              <w:bottom w:val="nil"/>
              <w:right w:val="nil"/>
            </w:tcBorders>
          </w:tcPr>
          <w:p w:rsidR="00FB7973" w:rsidRPr="00626D32" w:rsidRDefault="00FB7973" w:rsidP="00FB7973">
            <w:pPr>
              <w:pStyle w:val="BoxSpaceBelow"/>
            </w:pPr>
          </w:p>
        </w:tc>
      </w:tr>
    </w:tbl>
    <w:p w:rsidR="00FB7973" w:rsidRDefault="00FB7973" w:rsidP="00FB7973">
      <w:pPr>
        <w:pStyle w:val="BodyText"/>
      </w:pPr>
    </w:p>
    <w:p w:rsidR="00FB7973" w:rsidRPr="00333D50" w:rsidRDefault="00FB7973" w:rsidP="00333D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B7973" w:rsidTr="00FB7973">
        <w:trPr>
          <w:tblHeader/>
        </w:trPr>
        <w:tc>
          <w:tcPr>
            <w:tcW w:w="5000" w:type="pct"/>
            <w:tcBorders>
              <w:top w:val="single" w:sz="6" w:space="0" w:color="78A22F"/>
              <w:left w:val="nil"/>
              <w:bottom w:val="nil"/>
              <w:right w:val="nil"/>
            </w:tcBorders>
            <w:shd w:val="clear" w:color="auto" w:fill="auto"/>
          </w:tcPr>
          <w:p w:rsidR="00FB7973" w:rsidRPr="00784A05" w:rsidRDefault="00FB7973" w:rsidP="00FB7973">
            <w:pPr>
              <w:pStyle w:val="TableTitle"/>
            </w:pPr>
            <w:r>
              <w:rPr>
                <w:b w:val="0"/>
              </w:rPr>
              <w:t>Table E.</w:t>
            </w:r>
            <w:r w:rsidR="004703C8">
              <w:rPr>
                <w:b w:val="0"/>
              </w:rPr>
              <w:t>2</w:t>
            </w:r>
            <w:r>
              <w:tab/>
            </w:r>
            <w:r w:rsidRPr="004B358B">
              <w:rPr>
                <w:b w:val="0"/>
                <w:sz w:val="18"/>
                <w:szCs w:val="18"/>
              </w:rPr>
              <w:t>(continued)</w:t>
            </w:r>
          </w:p>
        </w:tc>
      </w:tr>
      <w:tr w:rsidR="00FB7973" w:rsidTr="00FB7973">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3146"/>
              <w:gridCol w:w="1077"/>
              <w:gridCol w:w="1077"/>
              <w:gridCol w:w="1077"/>
              <w:gridCol w:w="1076"/>
              <w:gridCol w:w="1076"/>
            </w:tblGrid>
            <w:tr w:rsidR="00FB7973" w:rsidTr="00FB7973">
              <w:tc>
                <w:tcPr>
                  <w:tcW w:w="1844" w:type="pct"/>
                  <w:tcBorders>
                    <w:top w:val="single" w:sz="6" w:space="0" w:color="BFBFBF"/>
                    <w:bottom w:val="single" w:sz="6" w:space="0" w:color="BFBFBF"/>
                  </w:tcBorders>
                  <w:shd w:val="clear" w:color="auto" w:fill="auto"/>
                </w:tcPr>
                <w:p w:rsidR="00FB7973" w:rsidRDefault="00FB7973" w:rsidP="00FB7973">
                  <w:pPr>
                    <w:pStyle w:val="TableColumnHeading"/>
                    <w:jc w:val="left"/>
                    <w:rPr>
                      <w:b/>
                    </w:rPr>
                  </w:pPr>
                  <w:r>
                    <w:t>Parameter</w:t>
                  </w:r>
                </w:p>
              </w:tc>
              <w:tc>
                <w:tcPr>
                  <w:tcW w:w="631" w:type="pct"/>
                  <w:tcBorders>
                    <w:top w:val="single" w:sz="6" w:space="0" w:color="BFBFBF"/>
                    <w:bottom w:val="single" w:sz="6" w:space="0" w:color="BFBFBF"/>
                  </w:tcBorders>
                </w:tcPr>
                <w:p w:rsidR="00FB7973" w:rsidRDefault="00FB7973" w:rsidP="00FB7973">
                  <w:pPr>
                    <w:pStyle w:val="TableColumnHeading"/>
                  </w:pPr>
                  <w:r>
                    <w:t>Mean</w:t>
                  </w:r>
                </w:p>
              </w:tc>
              <w:tc>
                <w:tcPr>
                  <w:tcW w:w="631" w:type="pct"/>
                  <w:tcBorders>
                    <w:top w:val="single" w:sz="6" w:space="0" w:color="BFBFBF"/>
                    <w:bottom w:val="single" w:sz="6" w:space="0" w:color="BFBFBF"/>
                  </w:tcBorders>
                  <w:shd w:val="clear" w:color="auto" w:fill="auto"/>
                </w:tcPr>
                <w:p w:rsidR="00FB7973" w:rsidRDefault="00FB7973" w:rsidP="00FB7973">
                  <w:pPr>
                    <w:pStyle w:val="TableColumnHeading"/>
                  </w:pPr>
                  <w:r>
                    <w:t>Standard deviation</w:t>
                  </w:r>
                </w:p>
              </w:tc>
              <w:tc>
                <w:tcPr>
                  <w:tcW w:w="631" w:type="pct"/>
                  <w:tcBorders>
                    <w:top w:val="single" w:sz="6" w:space="0" w:color="BFBFBF"/>
                    <w:bottom w:val="single" w:sz="6" w:space="0" w:color="BFBFBF"/>
                  </w:tcBorders>
                  <w:shd w:val="clear" w:color="auto" w:fill="auto"/>
                </w:tcPr>
                <w:p w:rsidR="00FB7973" w:rsidRDefault="00FB7973" w:rsidP="00FB7973">
                  <w:pPr>
                    <w:pStyle w:val="TableColumnHeading"/>
                  </w:pPr>
                  <w:r>
                    <w:t>2.5 percentile</w:t>
                  </w:r>
                </w:p>
              </w:tc>
              <w:tc>
                <w:tcPr>
                  <w:tcW w:w="631" w:type="pct"/>
                  <w:tcBorders>
                    <w:top w:val="single" w:sz="6" w:space="0" w:color="BFBFBF"/>
                    <w:bottom w:val="single" w:sz="6" w:space="0" w:color="BFBFBF"/>
                  </w:tcBorders>
                </w:tcPr>
                <w:p w:rsidR="00FB7973" w:rsidRDefault="00FB7973" w:rsidP="00FB7973">
                  <w:pPr>
                    <w:pStyle w:val="TableColumnHeading"/>
                  </w:pPr>
                  <w:r>
                    <w:t>Median</w:t>
                  </w:r>
                </w:p>
              </w:tc>
              <w:tc>
                <w:tcPr>
                  <w:tcW w:w="631" w:type="pct"/>
                  <w:tcBorders>
                    <w:top w:val="single" w:sz="6" w:space="0" w:color="BFBFBF"/>
                    <w:bottom w:val="single" w:sz="6" w:space="0" w:color="BFBFBF"/>
                  </w:tcBorders>
                </w:tcPr>
                <w:p w:rsidR="00FB7973" w:rsidRDefault="00FB7973" w:rsidP="00FB7973">
                  <w:pPr>
                    <w:pStyle w:val="TableColumnHeading"/>
                  </w:pPr>
                  <w:r>
                    <w:t>97.5 percentile</w:t>
                  </w:r>
                </w:p>
              </w:tc>
            </w:tr>
            <w:tr w:rsidR="00FB7973" w:rsidTr="00FB7973">
              <w:tc>
                <w:tcPr>
                  <w:tcW w:w="1844" w:type="pct"/>
                  <w:tcBorders>
                    <w:top w:val="single" w:sz="6" w:space="0" w:color="BFBFBF"/>
                  </w:tcBorders>
                  <w:shd w:val="clear" w:color="auto" w:fill="BFBFBF" w:themeFill="background1" w:themeFillShade="BF"/>
                  <w:vAlign w:val="bottom"/>
                </w:tcPr>
                <w:p w:rsidR="00FB7973" w:rsidRPr="0099011F" w:rsidRDefault="00FB7973" w:rsidP="00FB7973">
                  <w:pPr>
                    <w:pStyle w:val="TableBodyText"/>
                    <w:jc w:val="left"/>
                    <w:rPr>
                      <w:b/>
                    </w:rPr>
                  </w:pPr>
                  <w:r w:rsidRPr="00C358C1">
                    <w:rPr>
                      <w:b/>
                    </w:rPr>
                    <w:t>Pass-through: Admin fees</w:t>
                  </w:r>
                </w:p>
              </w:tc>
              <w:tc>
                <w:tcPr>
                  <w:tcW w:w="631" w:type="pct"/>
                  <w:tcBorders>
                    <w:top w:val="single" w:sz="6" w:space="0" w:color="BFBFBF"/>
                  </w:tcBorders>
                  <w:shd w:val="clear" w:color="auto" w:fill="BFBFBF" w:themeFill="background1" w:themeFillShade="BF"/>
                  <w:vAlign w:val="bottom"/>
                </w:tcPr>
                <w:p w:rsidR="00FB7973" w:rsidRDefault="00FB7973" w:rsidP="00FB7973">
                  <w:pPr>
                    <w:pStyle w:val="TableBodyText"/>
                  </w:pPr>
                </w:p>
              </w:tc>
              <w:tc>
                <w:tcPr>
                  <w:tcW w:w="631" w:type="pct"/>
                  <w:tcBorders>
                    <w:top w:val="single" w:sz="6" w:space="0" w:color="BFBFBF"/>
                  </w:tcBorders>
                  <w:shd w:val="clear" w:color="auto" w:fill="BFBFBF" w:themeFill="background1" w:themeFillShade="BF"/>
                  <w:vAlign w:val="bottom"/>
                </w:tcPr>
                <w:p w:rsidR="00FB7973" w:rsidRDefault="00FB7973" w:rsidP="00FB7973">
                  <w:pPr>
                    <w:pStyle w:val="TableBodyText"/>
                  </w:pPr>
                </w:p>
              </w:tc>
              <w:tc>
                <w:tcPr>
                  <w:tcW w:w="631" w:type="pct"/>
                  <w:tcBorders>
                    <w:top w:val="single" w:sz="6" w:space="0" w:color="BFBFBF"/>
                  </w:tcBorders>
                  <w:shd w:val="clear" w:color="auto" w:fill="BFBFBF" w:themeFill="background1" w:themeFillShade="BF"/>
                  <w:vAlign w:val="bottom"/>
                </w:tcPr>
                <w:p w:rsidR="00FB7973" w:rsidRDefault="00FB7973" w:rsidP="00FB7973">
                  <w:pPr>
                    <w:pStyle w:val="TableBodyText"/>
                    <w:ind w:right="28"/>
                  </w:pPr>
                </w:p>
              </w:tc>
              <w:tc>
                <w:tcPr>
                  <w:tcW w:w="631" w:type="pct"/>
                  <w:tcBorders>
                    <w:top w:val="single" w:sz="6" w:space="0" w:color="BFBFBF"/>
                  </w:tcBorders>
                  <w:shd w:val="clear" w:color="auto" w:fill="BFBFBF" w:themeFill="background1" w:themeFillShade="BF"/>
                  <w:vAlign w:val="bottom"/>
                </w:tcPr>
                <w:p w:rsidR="00FB7973" w:rsidRDefault="00FB7973" w:rsidP="00FB7973">
                  <w:pPr>
                    <w:pStyle w:val="TableBodyText"/>
                    <w:ind w:right="28"/>
                  </w:pPr>
                </w:p>
              </w:tc>
              <w:tc>
                <w:tcPr>
                  <w:tcW w:w="631" w:type="pct"/>
                  <w:tcBorders>
                    <w:top w:val="single" w:sz="6" w:space="0" w:color="BFBFBF"/>
                  </w:tcBorders>
                  <w:shd w:val="clear" w:color="auto" w:fill="BFBFBF" w:themeFill="background1" w:themeFillShade="BF"/>
                  <w:vAlign w:val="bottom"/>
                </w:tcPr>
                <w:p w:rsidR="00FB7973" w:rsidRDefault="00FB7973" w:rsidP="00FB7973">
                  <w:pPr>
                    <w:pStyle w:val="TableBodyText"/>
                    <w:ind w:right="28"/>
                  </w:pPr>
                </w:p>
              </w:tc>
            </w:tr>
            <w:tr w:rsidR="00FB7973" w:rsidTr="00FB7973">
              <w:tc>
                <w:tcPr>
                  <w:tcW w:w="1844" w:type="pct"/>
                  <w:shd w:val="clear" w:color="auto" w:fill="auto"/>
                  <w:vAlign w:val="bottom"/>
                </w:tcPr>
                <w:p w:rsidR="00FB7973" w:rsidRDefault="00FB7973" w:rsidP="00FB7973">
                  <w:pPr>
                    <w:pStyle w:val="TableBodyText"/>
                    <w:jc w:val="left"/>
                  </w:pPr>
                  <w:r w:rsidRPr="00C358C1">
                    <w:t>Industry</w:t>
                  </w:r>
                </w:p>
              </w:tc>
              <w:tc>
                <w:tcPr>
                  <w:tcW w:w="631" w:type="pct"/>
                </w:tcPr>
                <w:p w:rsidR="00FB7973" w:rsidRDefault="00FB7973" w:rsidP="00FB7973">
                  <w:pPr>
                    <w:pStyle w:val="TableBodyText"/>
                    <w:ind w:right="28"/>
                  </w:pPr>
                  <w:r w:rsidRPr="00FE3419">
                    <w:t>0.023</w:t>
                  </w:r>
                </w:p>
              </w:tc>
              <w:tc>
                <w:tcPr>
                  <w:tcW w:w="631" w:type="pct"/>
                  <w:shd w:val="clear" w:color="auto" w:fill="auto"/>
                </w:tcPr>
                <w:p w:rsidR="00FB7973" w:rsidRDefault="00FB7973" w:rsidP="00FB7973">
                  <w:pPr>
                    <w:pStyle w:val="TableBodyText"/>
                    <w:ind w:right="28"/>
                  </w:pPr>
                  <w:r w:rsidRPr="00FE3419">
                    <w:t>0.026</w:t>
                  </w:r>
                </w:p>
              </w:tc>
              <w:tc>
                <w:tcPr>
                  <w:tcW w:w="631" w:type="pct"/>
                  <w:shd w:val="clear" w:color="auto" w:fill="auto"/>
                </w:tcPr>
                <w:p w:rsidR="00FB7973" w:rsidRDefault="00FB7973" w:rsidP="00FB7973">
                  <w:pPr>
                    <w:pStyle w:val="TableBodyText"/>
                    <w:ind w:right="28"/>
                  </w:pPr>
                  <w:r w:rsidRPr="00FE3419">
                    <w:t>-0.028</w:t>
                  </w:r>
                </w:p>
              </w:tc>
              <w:tc>
                <w:tcPr>
                  <w:tcW w:w="631" w:type="pct"/>
                </w:tcPr>
                <w:p w:rsidR="00FB7973" w:rsidRDefault="00FB7973" w:rsidP="00FB7973">
                  <w:pPr>
                    <w:pStyle w:val="TableBodyText"/>
                    <w:ind w:right="28"/>
                  </w:pPr>
                  <w:r w:rsidRPr="00FE3419">
                    <w:t>0.023</w:t>
                  </w:r>
                </w:p>
              </w:tc>
              <w:tc>
                <w:tcPr>
                  <w:tcW w:w="631" w:type="pct"/>
                </w:tcPr>
                <w:p w:rsidR="00FB7973" w:rsidRDefault="00FB7973" w:rsidP="00FB7973">
                  <w:pPr>
                    <w:pStyle w:val="TableBodyText"/>
                    <w:ind w:right="28"/>
                  </w:pPr>
                  <w:r w:rsidRPr="00FE3419">
                    <w:t>0.073</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Public</w:t>
                  </w:r>
                </w:p>
              </w:tc>
              <w:tc>
                <w:tcPr>
                  <w:tcW w:w="631" w:type="pct"/>
                  <w:shd w:val="clear" w:color="auto" w:fill="F2F2F2" w:themeFill="background1" w:themeFillShade="F2"/>
                </w:tcPr>
                <w:p w:rsidR="00FB7973" w:rsidRDefault="00FB7973" w:rsidP="00FB7973">
                  <w:pPr>
                    <w:pStyle w:val="TableBodyText"/>
                    <w:ind w:right="28"/>
                  </w:pPr>
                  <w:r w:rsidRPr="00FE3419">
                    <w:t>0.029</w:t>
                  </w:r>
                </w:p>
              </w:tc>
              <w:tc>
                <w:tcPr>
                  <w:tcW w:w="631" w:type="pct"/>
                  <w:shd w:val="clear" w:color="auto" w:fill="F2F2F2" w:themeFill="background1" w:themeFillShade="F2"/>
                </w:tcPr>
                <w:p w:rsidR="00FB7973" w:rsidRDefault="00FB7973" w:rsidP="00FB7973">
                  <w:pPr>
                    <w:pStyle w:val="TableBodyText"/>
                    <w:ind w:right="28"/>
                  </w:pPr>
                  <w:r w:rsidRPr="00FE3419">
                    <w:t>0.035</w:t>
                  </w:r>
                </w:p>
              </w:tc>
              <w:tc>
                <w:tcPr>
                  <w:tcW w:w="631" w:type="pct"/>
                  <w:shd w:val="clear" w:color="auto" w:fill="F2F2F2" w:themeFill="background1" w:themeFillShade="F2"/>
                </w:tcPr>
                <w:p w:rsidR="00FB7973" w:rsidRDefault="00FB7973" w:rsidP="00FB7973">
                  <w:pPr>
                    <w:pStyle w:val="TableBodyText"/>
                    <w:ind w:right="28"/>
                  </w:pPr>
                  <w:r w:rsidRPr="00FE3419">
                    <w:t>-0.041</w:t>
                  </w:r>
                </w:p>
              </w:tc>
              <w:tc>
                <w:tcPr>
                  <w:tcW w:w="631" w:type="pct"/>
                  <w:shd w:val="clear" w:color="auto" w:fill="F2F2F2" w:themeFill="background1" w:themeFillShade="F2"/>
                </w:tcPr>
                <w:p w:rsidR="00FB7973" w:rsidRDefault="00FB7973" w:rsidP="00FB7973">
                  <w:pPr>
                    <w:pStyle w:val="TableBodyText"/>
                    <w:ind w:right="28"/>
                  </w:pPr>
                  <w:r w:rsidRPr="00FE3419">
                    <w:t>0.030</w:t>
                  </w:r>
                </w:p>
              </w:tc>
              <w:tc>
                <w:tcPr>
                  <w:tcW w:w="631" w:type="pct"/>
                  <w:shd w:val="clear" w:color="auto" w:fill="F2F2F2" w:themeFill="background1" w:themeFillShade="F2"/>
                </w:tcPr>
                <w:p w:rsidR="00FB7973" w:rsidRDefault="00FB7973" w:rsidP="00FB7973">
                  <w:pPr>
                    <w:pStyle w:val="TableBodyText"/>
                    <w:ind w:right="28"/>
                  </w:pPr>
                  <w:r w:rsidRPr="00FE3419">
                    <w:t>0.094</w:t>
                  </w:r>
                </w:p>
              </w:tc>
            </w:tr>
            <w:tr w:rsidR="00FB7973" w:rsidTr="00FB7973">
              <w:tc>
                <w:tcPr>
                  <w:tcW w:w="1844" w:type="pct"/>
                  <w:shd w:val="clear" w:color="auto" w:fill="auto"/>
                  <w:vAlign w:val="bottom"/>
                </w:tcPr>
                <w:p w:rsidR="00FB7973" w:rsidRDefault="00FB7973" w:rsidP="00FB7973">
                  <w:pPr>
                    <w:pStyle w:val="TableBodyText"/>
                    <w:jc w:val="left"/>
                  </w:pPr>
                  <w:r w:rsidRPr="00C358C1">
                    <w:t>Retail</w:t>
                  </w:r>
                </w:p>
              </w:tc>
              <w:tc>
                <w:tcPr>
                  <w:tcW w:w="631" w:type="pct"/>
                </w:tcPr>
                <w:p w:rsidR="00FB7973" w:rsidRDefault="00FB7973" w:rsidP="00FB7973">
                  <w:pPr>
                    <w:pStyle w:val="TableBodyText"/>
                    <w:ind w:right="28"/>
                  </w:pPr>
                  <w:r w:rsidRPr="00FE3419">
                    <w:t>0.009</w:t>
                  </w:r>
                </w:p>
              </w:tc>
              <w:tc>
                <w:tcPr>
                  <w:tcW w:w="631" w:type="pct"/>
                  <w:shd w:val="clear" w:color="auto" w:fill="auto"/>
                </w:tcPr>
                <w:p w:rsidR="00FB7973" w:rsidRDefault="00FB7973" w:rsidP="00FB7973">
                  <w:pPr>
                    <w:pStyle w:val="TableBodyText"/>
                    <w:ind w:right="28"/>
                  </w:pPr>
                  <w:r w:rsidRPr="00FE3419">
                    <w:t>0.026</w:t>
                  </w:r>
                </w:p>
              </w:tc>
              <w:tc>
                <w:tcPr>
                  <w:tcW w:w="631" w:type="pct"/>
                  <w:shd w:val="clear" w:color="auto" w:fill="auto"/>
                </w:tcPr>
                <w:p w:rsidR="00FB7973" w:rsidRDefault="00FB7973" w:rsidP="00FB7973">
                  <w:pPr>
                    <w:pStyle w:val="TableBodyText"/>
                    <w:ind w:right="28"/>
                  </w:pPr>
                  <w:r w:rsidRPr="00FE3419">
                    <w:t>-0.041</w:t>
                  </w:r>
                </w:p>
              </w:tc>
              <w:tc>
                <w:tcPr>
                  <w:tcW w:w="631" w:type="pct"/>
                </w:tcPr>
                <w:p w:rsidR="00FB7973" w:rsidRDefault="00FB7973" w:rsidP="00FB7973">
                  <w:pPr>
                    <w:pStyle w:val="TableBodyText"/>
                    <w:ind w:right="28"/>
                  </w:pPr>
                  <w:r w:rsidRPr="00FE3419">
                    <w:t>0.009</w:t>
                  </w:r>
                </w:p>
              </w:tc>
              <w:tc>
                <w:tcPr>
                  <w:tcW w:w="631" w:type="pct"/>
                </w:tcPr>
                <w:p w:rsidR="00FB7973" w:rsidRDefault="00FB7973" w:rsidP="00FB7973">
                  <w:pPr>
                    <w:pStyle w:val="TableBodyText"/>
                    <w:ind w:right="28"/>
                  </w:pPr>
                  <w:r w:rsidRPr="00FE3419">
                    <w:t>0.060</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Change in admin expenses due to size</w:t>
                  </w:r>
                </w:p>
              </w:tc>
              <w:tc>
                <w:tcPr>
                  <w:tcW w:w="631" w:type="pct"/>
                  <w:shd w:val="clear" w:color="auto" w:fill="F2F2F2" w:themeFill="background1" w:themeFillShade="F2"/>
                </w:tcPr>
                <w:p w:rsidR="00FB7973" w:rsidRDefault="00FB7973" w:rsidP="00FB7973">
                  <w:pPr>
                    <w:pStyle w:val="TableBodyText"/>
                    <w:ind w:right="28"/>
                  </w:pPr>
                  <w:r w:rsidRPr="00FE3419">
                    <w:t>0.117</w:t>
                  </w:r>
                </w:p>
              </w:tc>
              <w:tc>
                <w:tcPr>
                  <w:tcW w:w="631" w:type="pct"/>
                  <w:shd w:val="clear" w:color="auto" w:fill="F2F2F2" w:themeFill="background1" w:themeFillShade="F2"/>
                </w:tcPr>
                <w:p w:rsidR="00FB7973" w:rsidRDefault="00FB7973" w:rsidP="00FB7973">
                  <w:pPr>
                    <w:pStyle w:val="TableBodyText"/>
                    <w:ind w:right="28"/>
                  </w:pPr>
                  <w:r w:rsidRPr="00FE3419">
                    <w:t>0.224</w:t>
                  </w:r>
                </w:p>
              </w:tc>
              <w:tc>
                <w:tcPr>
                  <w:tcW w:w="631" w:type="pct"/>
                  <w:shd w:val="clear" w:color="auto" w:fill="F2F2F2" w:themeFill="background1" w:themeFillShade="F2"/>
                </w:tcPr>
                <w:p w:rsidR="00FB7973" w:rsidRDefault="00FB7973" w:rsidP="00FB7973">
                  <w:pPr>
                    <w:pStyle w:val="TableBodyText"/>
                    <w:ind w:right="28"/>
                  </w:pPr>
                  <w:r w:rsidRPr="00FE3419">
                    <w:t>-0.343</w:t>
                  </w:r>
                </w:p>
              </w:tc>
              <w:tc>
                <w:tcPr>
                  <w:tcW w:w="631" w:type="pct"/>
                  <w:shd w:val="clear" w:color="auto" w:fill="F2F2F2" w:themeFill="background1" w:themeFillShade="F2"/>
                </w:tcPr>
                <w:p w:rsidR="00FB7973" w:rsidRDefault="00FB7973" w:rsidP="00FB7973">
                  <w:pPr>
                    <w:pStyle w:val="TableBodyText"/>
                    <w:ind w:right="28"/>
                  </w:pPr>
                  <w:r w:rsidRPr="00FE3419">
                    <w:t>0.116</w:t>
                  </w:r>
                </w:p>
              </w:tc>
              <w:tc>
                <w:tcPr>
                  <w:tcW w:w="631" w:type="pct"/>
                  <w:shd w:val="clear" w:color="auto" w:fill="F2F2F2" w:themeFill="background1" w:themeFillShade="F2"/>
                </w:tcPr>
                <w:p w:rsidR="00FB7973" w:rsidRDefault="00FB7973" w:rsidP="00FB7973">
                  <w:pPr>
                    <w:pStyle w:val="TableBodyText"/>
                    <w:ind w:right="28"/>
                  </w:pPr>
                  <w:r w:rsidRPr="00FE3419">
                    <w:t>0.521</w:t>
                  </w:r>
                </w:p>
              </w:tc>
            </w:tr>
            <w:tr w:rsidR="00FB7973" w:rsidTr="00FB7973">
              <w:tc>
                <w:tcPr>
                  <w:tcW w:w="1844" w:type="pct"/>
                  <w:shd w:val="clear" w:color="auto" w:fill="auto"/>
                  <w:vAlign w:val="bottom"/>
                </w:tcPr>
                <w:p w:rsidR="00FB7973" w:rsidRDefault="00FB7973" w:rsidP="00FB7973">
                  <w:pPr>
                    <w:pStyle w:val="TableBodyText"/>
                    <w:jc w:val="left"/>
                  </w:pPr>
                  <w:r w:rsidRPr="00C358C1">
                    <w:t>Industry x Change in admin expenses due to size</w:t>
                  </w:r>
                </w:p>
              </w:tc>
              <w:tc>
                <w:tcPr>
                  <w:tcW w:w="631" w:type="pct"/>
                </w:tcPr>
                <w:p w:rsidR="00FB7973" w:rsidRDefault="00FB7973" w:rsidP="00FB7973">
                  <w:pPr>
                    <w:pStyle w:val="TableBodyText"/>
                    <w:ind w:right="28"/>
                  </w:pPr>
                  <w:r w:rsidRPr="00FE3419">
                    <w:t>-0.129</w:t>
                  </w:r>
                </w:p>
              </w:tc>
              <w:tc>
                <w:tcPr>
                  <w:tcW w:w="631" w:type="pct"/>
                  <w:shd w:val="clear" w:color="auto" w:fill="auto"/>
                </w:tcPr>
                <w:p w:rsidR="00FB7973" w:rsidRDefault="00FB7973" w:rsidP="00FB7973">
                  <w:pPr>
                    <w:pStyle w:val="TableBodyText"/>
                    <w:ind w:right="28"/>
                  </w:pPr>
                  <w:r w:rsidRPr="00FE3419">
                    <w:t>0.242</w:t>
                  </w:r>
                </w:p>
              </w:tc>
              <w:tc>
                <w:tcPr>
                  <w:tcW w:w="631" w:type="pct"/>
                  <w:shd w:val="clear" w:color="auto" w:fill="auto"/>
                </w:tcPr>
                <w:p w:rsidR="00FB7973" w:rsidRDefault="00FB7973" w:rsidP="00FB7973">
                  <w:pPr>
                    <w:pStyle w:val="TableBodyText"/>
                    <w:ind w:right="28"/>
                  </w:pPr>
                  <w:r w:rsidRPr="00FE3419">
                    <w:t>-0.601</w:t>
                  </w:r>
                </w:p>
              </w:tc>
              <w:tc>
                <w:tcPr>
                  <w:tcW w:w="631" w:type="pct"/>
                </w:tcPr>
                <w:p w:rsidR="00FB7973" w:rsidRDefault="00FB7973" w:rsidP="00FB7973">
                  <w:pPr>
                    <w:pStyle w:val="TableBodyText"/>
                    <w:ind w:right="28"/>
                  </w:pPr>
                  <w:r w:rsidRPr="00FE3419">
                    <w:t>-0.126</w:t>
                  </w:r>
                </w:p>
              </w:tc>
              <w:tc>
                <w:tcPr>
                  <w:tcW w:w="631" w:type="pct"/>
                </w:tcPr>
                <w:p w:rsidR="00FB7973" w:rsidRDefault="00FB7973" w:rsidP="00FB7973">
                  <w:pPr>
                    <w:pStyle w:val="TableBodyText"/>
                    <w:ind w:right="28"/>
                  </w:pPr>
                  <w:r w:rsidRPr="00FE3419">
                    <w:t>0.356</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Public x Change in admin expenses due to size</w:t>
                  </w:r>
                </w:p>
              </w:tc>
              <w:tc>
                <w:tcPr>
                  <w:tcW w:w="631" w:type="pct"/>
                  <w:shd w:val="clear" w:color="auto" w:fill="F2F2F2" w:themeFill="background1" w:themeFillShade="F2"/>
                </w:tcPr>
                <w:p w:rsidR="00FB7973" w:rsidRDefault="00FB7973" w:rsidP="00FB7973">
                  <w:pPr>
                    <w:pStyle w:val="TableBodyText"/>
                    <w:ind w:right="28"/>
                  </w:pPr>
                  <w:r w:rsidRPr="00FE3419">
                    <w:t>-0.139</w:t>
                  </w:r>
                </w:p>
              </w:tc>
              <w:tc>
                <w:tcPr>
                  <w:tcW w:w="631" w:type="pct"/>
                  <w:shd w:val="clear" w:color="auto" w:fill="F2F2F2" w:themeFill="background1" w:themeFillShade="F2"/>
                </w:tcPr>
                <w:p w:rsidR="00FB7973" w:rsidRDefault="00FB7973" w:rsidP="00FB7973">
                  <w:pPr>
                    <w:pStyle w:val="TableBodyText"/>
                    <w:ind w:right="28"/>
                  </w:pPr>
                  <w:r w:rsidRPr="00FE3419">
                    <w:t>0.291</w:t>
                  </w:r>
                </w:p>
              </w:tc>
              <w:tc>
                <w:tcPr>
                  <w:tcW w:w="631" w:type="pct"/>
                  <w:shd w:val="clear" w:color="auto" w:fill="F2F2F2" w:themeFill="background1" w:themeFillShade="F2"/>
                </w:tcPr>
                <w:p w:rsidR="00FB7973" w:rsidRDefault="00FB7973" w:rsidP="00FB7973">
                  <w:pPr>
                    <w:pStyle w:val="TableBodyText"/>
                    <w:ind w:right="28"/>
                  </w:pPr>
                  <w:r w:rsidRPr="00FE3419">
                    <w:t>-0.690</w:t>
                  </w:r>
                </w:p>
              </w:tc>
              <w:tc>
                <w:tcPr>
                  <w:tcW w:w="631" w:type="pct"/>
                  <w:shd w:val="clear" w:color="auto" w:fill="F2F2F2" w:themeFill="background1" w:themeFillShade="F2"/>
                </w:tcPr>
                <w:p w:rsidR="00FB7973" w:rsidRDefault="00FB7973" w:rsidP="00FB7973">
                  <w:pPr>
                    <w:pStyle w:val="TableBodyText"/>
                    <w:ind w:right="28"/>
                  </w:pPr>
                  <w:r w:rsidRPr="00FE3419">
                    <w:t>-0.123</w:t>
                  </w:r>
                </w:p>
              </w:tc>
              <w:tc>
                <w:tcPr>
                  <w:tcW w:w="631" w:type="pct"/>
                  <w:shd w:val="clear" w:color="auto" w:fill="F2F2F2" w:themeFill="background1" w:themeFillShade="F2"/>
                </w:tcPr>
                <w:p w:rsidR="00FB7973" w:rsidRDefault="00FB7973" w:rsidP="00FB7973">
                  <w:pPr>
                    <w:pStyle w:val="TableBodyText"/>
                    <w:ind w:right="28"/>
                  </w:pPr>
                  <w:r w:rsidRPr="00FE3419">
                    <w:t>0.435</w:t>
                  </w:r>
                </w:p>
              </w:tc>
            </w:tr>
            <w:tr w:rsidR="00FB7973" w:rsidTr="00FB7973">
              <w:tc>
                <w:tcPr>
                  <w:tcW w:w="1844" w:type="pct"/>
                  <w:shd w:val="clear" w:color="auto" w:fill="auto"/>
                  <w:vAlign w:val="bottom"/>
                </w:tcPr>
                <w:p w:rsidR="00FB7973" w:rsidRDefault="00FB7973" w:rsidP="00FB7973">
                  <w:pPr>
                    <w:pStyle w:val="TableBodyText"/>
                    <w:jc w:val="left"/>
                  </w:pPr>
                  <w:r w:rsidRPr="00C358C1">
                    <w:t>Retail x Change in admin expenses due to size</w:t>
                  </w:r>
                </w:p>
              </w:tc>
              <w:tc>
                <w:tcPr>
                  <w:tcW w:w="631" w:type="pct"/>
                </w:tcPr>
                <w:p w:rsidR="00FB7973" w:rsidRDefault="00FB7973" w:rsidP="00FB7973">
                  <w:pPr>
                    <w:pStyle w:val="TableBodyText"/>
                    <w:ind w:right="28"/>
                  </w:pPr>
                  <w:r w:rsidRPr="00FE3419">
                    <w:t>-0.221</w:t>
                  </w:r>
                </w:p>
              </w:tc>
              <w:tc>
                <w:tcPr>
                  <w:tcW w:w="631" w:type="pct"/>
                  <w:shd w:val="clear" w:color="auto" w:fill="auto"/>
                </w:tcPr>
                <w:p w:rsidR="00FB7973" w:rsidRDefault="00FB7973" w:rsidP="00FB7973">
                  <w:pPr>
                    <w:pStyle w:val="TableBodyText"/>
                    <w:ind w:right="28"/>
                  </w:pPr>
                  <w:r w:rsidRPr="00FE3419">
                    <w:t>0.229</w:t>
                  </w:r>
                </w:p>
              </w:tc>
              <w:tc>
                <w:tcPr>
                  <w:tcW w:w="631" w:type="pct"/>
                  <w:shd w:val="clear" w:color="auto" w:fill="auto"/>
                </w:tcPr>
                <w:p w:rsidR="00FB7973" w:rsidRDefault="00FB7973" w:rsidP="00FB7973">
                  <w:pPr>
                    <w:pStyle w:val="TableBodyText"/>
                    <w:ind w:right="28"/>
                  </w:pPr>
                  <w:r w:rsidRPr="00FE3419">
                    <w:t>-0.645</w:t>
                  </w:r>
                </w:p>
              </w:tc>
              <w:tc>
                <w:tcPr>
                  <w:tcW w:w="631" w:type="pct"/>
                </w:tcPr>
                <w:p w:rsidR="00FB7973" w:rsidRDefault="00FB7973" w:rsidP="00FB7973">
                  <w:pPr>
                    <w:pStyle w:val="TableBodyText"/>
                    <w:ind w:right="28"/>
                  </w:pPr>
                  <w:r w:rsidRPr="00FE3419">
                    <w:t>-0.218</w:t>
                  </w:r>
                </w:p>
              </w:tc>
              <w:tc>
                <w:tcPr>
                  <w:tcW w:w="631" w:type="pct"/>
                </w:tcPr>
                <w:p w:rsidR="00FB7973" w:rsidRDefault="00FB7973" w:rsidP="00FB7973">
                  <w:pPr>
                    <w:pStyle w:val="TableBodyText"/>
                    <w:ind w:right="28"/>
                  </w:pPr>
                  <w:r w:rsidRPr="00FE3419">
                    <w:t>0.244</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Intercept</w:t>
                  </w:r>
                </w:p>
              </w:tc>
              <w:tc>
                <w:tcPr>
                  <w:tcW w:w="631" w:type="pct"/>
                  <w:shd w:val="clear" w:color="auto" w:fill="F2F2F2" w:themeFill="background1" w:themeFillShade="F2"/>
                </w:tcPr>
                <w:p w:rsidR="00FB7973" w:rsidRDefault="00FB7973" w:rsidP="00FB7973">
                  <w:pPr>
                    <w:pStyle w:val="TableBodyText"/>
                    <w:ind w:right="28"/>
                  </w:pPr>
                  <w:r w:rsidRPr="00FE3419">
                    <w:t>-0.014</w:t>
                  </w:r>
                </w:p>
              </w:tc>
              <w:tc>
                <w:tcPr>
                  <w:tcW w:w="631" w:type="pct"/>
                  <w:shd w:val="clear" w:color="auto" w:fill="F2F2F2" w:themeFill="background1" w:themeFillShade="F2"/>
                </w:tcPr>
                <w:p w:rsidR="00FB7973" w:rsidRDefault="00FB7973" w:rsidP="00FB7973">
                  <w:pPr>
                    <w:pStyle w:val="TableBodyText"/>
                    <w:ind w:right="28"/>
                  </w:pPr>
                  <w:r w:rsidRPr="00FE3419">
                    <w:t>0.024</w:t>
                  </w:r>
                </w:p>
              </w:tc>
              <w:tc>
                <w:tcPr>
                  <w:tcW w:w="631" w:type="pct"/>
                  <w:shd w:val="clear" w:color="auto" w:fill="F2F2F2" w:themeFill="background1" w:themeFillShade="F2"/>
                </w:tcPr>
                <w:p w:rsidR="00FB7973" w:rsidRDefault="00FB7973" w:rsidP="00FB7973">
                  <w:pPr>
                    <w:pStyle w:val="TableBodyText"/>
                    <w:ind w:right="28"/>
                  </w:pPr>
                  <w:r w:rsidRPr="00FE3419">
                    <w:t>-0.060</w:t>
                  </w:r>
                </w:p>
              </w:tc>
              <w:tc>
                <w:tcPr>
                  <w:tcW w:w="631" w:type="pct"/>
                  <w:shd w:val="clear" w:color="auto" w:fill="F2F2F2" w:themeFill="background1" w:themeFillShade="F2"/>
                </w:tcPr>
                <w:p w:rsidR="00FB7973" w:rsidRDefault="00FB7973" w:rsidP="00FB7973">
                  <w:pPr>
                    <w:pStyle w:val="TableBodyText"/>
                    <w:ind w:right="28"/>
                  </w:pPr>
                  <w:r w:rsidRPr="00FE3419">
                    <w:t>-0.013</w:t>
                  </w:r>
                </w:p>
              </w:tc>
              <w:tc>
                <w:tcPr>
                  <w:tcW w:w="631" w:type="pct"/>
                  <w:shd w:val="clear" w:color="auto" w:fill="F2F2F2" w:themeFill="background1" w:themeFillShade="F2"/>
                </w:tcPr>
                <w:p w:rsidR="00FB7973" w:rsidRDefault="00FB7973" w:rsidP="00FB7973">
                  <w:pPr>
                    <w:pStyle w:val="TableBodyText"/>
                    <w:ind w:right="28"/>
                  </w:pPr>
                  <w:r w:rsidRPr="00FE3419">
                    <w:t>0.034</w:t>
                  </w:r>
                </w:p>
              </w:tc>
            </w:tr>
            <w:tr w:rsidR="00FB7973" w:rsidTr="00FB7973">
              <w:tc>
                <w:tcPr>
                  <w:tcW w:w="1844" w:type="pct"/>
                  <w:shd w:val="clear" w:color="auto" w:fill="auto"/>
                  <w:vAlign w:val="bottom"/>
                </w:tcPr>
                <w:p w:rsidR="00FB7973" w:rsidRDefault="00FB7973" w:rsidP="00FB7973">
                  <w:pPr>
                    <w:pStyle w:val="TableBodyText"/>
                    <w:jc w:val="left"/>
                  </w:pPr>
                  <w:r w:rsidRPr="00C358C1">
                    <w:t>SD of admin pass-through</w:t>
                  </w:r>
                </w:p>
              </w:tc>
              <w:tc>
                <w:tcPr>
                  <w:tcW w:w="631" w:type="pct"/>
                </w:tcPr>
                <w:p w:rsidR="00FB7973" w:rsidRDefault="00FB7973" w:rsidP="00FB7973">
                  <w:pPr>
                    <w:pStyle w:val="TableBodyText"/>
                    <w:ind w:right="28"/>
                  </w:pPr>
                  <w:r w:rsidRPr="00FE3419">
                    <w:t>0.147</w:t>
                  </w:r>
                </w:p>
              </w:tc>
              <w:tc>
                <w:tcPr>
                  <w:tcW w:w="631" w:type="pct"/>
                  <w:shd w:val="clear" w:color="auto" w:fill="auto"/>
                </w:tcPr>
                <w:p w:rsidR="00FB7973" w:rsidRDefault="00FB7973" w:rsidP="00FB7973">
                  <w:pPr>
                    <w:pStyle w:val="TableBodyText"/>
                    <w:ind w:right="28"/>
                  </w:pPr>
                  <w:r w:rsidRPr="00FE3419">
                    <w:t>0.004</w:t>
                  </w:r>
                </w:p>
              </w:tc>
              <w:tc>
                <w:tcPr>
                  <w:tcW w:w="631" w:type="pct"/>
                  <w:shd w:val="clear" w:color="auto" w:fill="auto"/>
                </w:tcPr>
                <w:p w:rsidR="00FB7973" w:rsidRDefault="00FB7973" w:rsidP="00FB7973">
                  <w:pPr>
                    <w:pStyle w:val="TableBodyText"/>
                    <w:ind w:right="28"/>
                  </w:pPr>
                  <w:r w:rsidRPr="00FE3419">
                    <w:t>0.140</w:t>
                  </w:r>
                </w:p>
              </w:tc>
              <w:tc>
                <w:tcPr>
                  <w:tcW w:w="631" w:type="pct"/>
                </w:tcPr>
                <w:p w:rsidR="00FB7973" w:rsidRDefault="00FB7973" w:rsidP="00FB7973">
                  <w:pPr>
                    <w:pStyle w:val="TableBodyText"/>
                    <w:ind w:right="28"/>
                  </w:pPr>
                  <w:r w:rsidRPr="00FE3419">
                    <w:t>0.146</w:t>
                  </w:r>
                </w:p>
              </w:tc>
              <w:tc>
                <w:tcPr>
                  <w:tcW w:w="631" w:type="pct"/>
                </w:tcPr>
                <w:p w:rsidR="00FB7973" w:rsidRDefault="00FB7973" w:rsidP="00FB7973">
                  <w:pPr>
                    <w:pStyle w:val="TableBodyText"/>
                    <w:ind w:right="28"/>
                  </w:pPr>
                  <w:r w:rsidRPr="00FE3419">
                    <w:t>0.154</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SD of varying intercept</w:t>
                  </w:r>
                </w:p>
              </w:tc>
              <w:tc>
                <w:tcPr>
                  <w:tcW w:w="631" w:type="pct"/>
                  <w:shd w:val="clear" w:color="auto" w:fill="F2F2F2" w:themeFill="background1" w:themeFillShade="F2"/>
                </w:tcPr>
                <w:p w:rsidR="00FB7973" w:rsidRDefault="00FB7973" w:rsidP="00FB7973">
                  <w:pPr>
                    <w:pStyle w:val="TableBodyText"/>
                    <w:ind w:right="28"/>
                  </w:pPr>
                  <w:r w:rsidRPr="00FE3419">
                    <w:t>0.042</w:t>
                  </w:r>
                </w:p>
              </w:tc>
              <w:tc>
                <w:tcPr>
                  <w:tcW w:w="631" w:type="pct"/>
                  <w:shd w:val="clear" w:color="auto" w:fill="F2F2F2" w:themeFill="background1" w:themeFillShade="F2"/>
                </w:tcPr>
                <w:p w:rsidR="00FB7973" w:rsidRDefault="00FB7973" w:rsidP="00FB7973">
                  <w:pPr>
                    <w:pStyle w:val="TableBodyText"/>
                    <w:ind w:right="28"/>
                  </w:pPr>
                  <w:r w:rsidRPr="00FE3419">
                    <w:t>0.005</w:t>
                  </w:r>
                </w:p>
              </w:tc>
              <w:tc>
                <w:tcPr>
                  <w:tcW w:w="631" w:type="pct"/>
                  <w:shd w:val="clear" w:color="auto" w:fill="F2F2F2" w:themeFill="background1" w:themeFillShade="F2"/>
                </w:tcPr>
                <w:p w:rsidR="00FB7973" w:rsidRDefault="00FB7973" w:rsidP="00FB7973">
                  <w:pPr>
                    <w:pStyle w:val="TableBodyText"/>
                    <w:ind w:right="28"/>
                  </w:pPr>
                  <w:r w:rsidRPr="00FE3419">
                    <w:t>0.033</w:t>
                  </w:r>
                </w:p>
              </w:tc>
              <w:tc>
                <w:tcPr>
                  <w:tcW w:w="631" w:type="pct"/>
                  <w:shd w:val="clear" w:color="auto" w:fill="F2F2F2" w:themeFill="background1" w:themeFillShade="F2"/>
                </w:tcPr>
                <w:p w:rsidR="00FB7973" w:rsidRDefault="00FB7973" w:rsidP="00FB7973">
                  <w:pPr>
                    <w:pStyle w:val="TableBodyText"/>
                    <w:ind w:right="28"/>
                  </w:pPr>
                  <w:r w:rsidRPr="00FE3419">
                    <w:t>0.041</w:t>
                  </w:r>
                </w:p>
              </w:tc>
              <w:tc>
                <w:tcPr>
                  <w:tcW w:w="631" w:type="pct"/>
                  <w:shd w:val="clear" w:color="auto" w:fill="F2F2F2" w:themeFill="background1" w:themeFillShade="F2"/>
                </w:tcPr>
                <w:p w:rsidR="00FB7973" w:rsidRDefault="00FB7973" w:rsidP="00FB7973">
                  <w:pPr>
                    <w:pStyle w:val="TableBodyText"/>
                    <w:ind w:right="28"/>
                  </w:pPr>
                  <w:r w:rsidRPr="00FE3419">
                    <w:t>0.052</w:t>
                  </w:r>
                </w:p>
              </w:tc>
            </w:tr>
            <w:tr w:rsidR="00FB7973" w:rsidTr="00FB7973">
              <w:tc>
                <w:tcPr>
                  <w:tcW w:w="1844" w:type="pct"/>
                  <w:shd w:val="clear" w:color="auto" w:fill="auto"/>
                  <w:vAlign w:val="bottom"/>
                </w:tcPr>
                <w:p w:rsidR="00FB7973" w:rsidRDefault="00FB7973" w:rsidP="00FB7973">
                  <w:pPr>
                    <w:pStyle w:val="TableBodyText"/>
                    <w:jc w:val="left"/>
                  </w:pPr>
                  <w:r w:rsidRPr="00C358C1">
                    <w:t xml:space="preserve">SD of varying </w:t>
                  </w:r>
                  <w:r>
                    <w:t xml:space="preserve">slope: </w:t>
                  </w:r>
                  <w:r w:rsidRPr="00C358C1">
                    <w:t>Change in admin expenses due to size</w:t>
                  </w:r>
                </w:p>
              </w:tc>
              <w:tc>
                <w:tcPr>
                  <w:tcW w:w="631" w:type="pct"/>
                </w:tcPr>
                <w:p w:rsidR="00FB7973" w:rsidRDefault="00FB7973" w:rsidP="00FB7973">
                  <w:pPr>
                    <w:pStyle w:val="TableBodyText"/>
                    <w:ind w:right="28"/>
                  </w:pPr>
                  <w:r w:rsidRPr="00FE3419">
                    <w:t>0.262</w:t>
                  </w:r>
                </w:p>
              </w:tc>
              <w:tc>
                <w:tcPr>
                  <w:tcW w:w="631" w:type="pct"/>
                  <w:shd w:val="clear" w:color="auto" w:fill="auto"/>
                </w:tcPr>
                <w:p w:rsidR="00FB7973" w:rsidRDefault="00FB7973" w:rsidP="00FB7973">
                  <w:pPr>
                    <w:pStyle w:val="TableBodyText"/>
                    <w:ind w:right="28"/>
                  </w:pPr>
                  <w:r w:rsidRPr="00FE3419">
                    <w:t>0.077</w:t>
                  </w:r>
                </w:p>
              </w:tc>
              <w:tc>
                <w:tcPr>
                  <w:tcW w:w="631" w:type="pct"/>
                  <w:shd w:val="clear" w:color="auto" w:fill="auto"/>
                </w:tcPr>
                <w:p w:rsidR="00FB7973" w:rsidRDefault="00FB7973" w:rsidP="00FB7973">
                  <w:pPr>
                    <w:pStyle w:val="TableBodyText"/>
                    <w:ind w:right="28"/>
                  </w:pPr>
                  <w:r w:rsidRPr="00FE3419">
                    <w:t>0.125</w:t>
                  </w:r>
                </w:p>
              </w:tc>
              <w:tc>
                <w:tcPr>
                  <w:tcW w:w="631" w:type="pct"/>
                </w:tcPr>
                <w:p w:rsidR="00FB7973" w:rsidRDefault="00FB7973" w:rsidP="00FB7973">
                  <w:pPr>
                    <w:pStyle w:val="TableBodyText"/>
                    <w:ind w:right="28"/>
                  </w:pPr>
                  <w:r w:rsidRPr="00FE3419">
                    <w:t>0.259</w:t>
                  </w:r>
                </w:p>
              </w:tc>
              <w:tc>
                <w:tcPr>
                  <w:tcW w:w="631" w:type="pct"/>
                </w:tcPr>
                <w:p w:rsidR="00FB7973" w:rsidRDefault="00FB7973" w:rsidP="00FB7973">
                  <w:pPr>
                    <w:pStyle w:val="TableBodyText"/>
                    <w:ind w:right="28"/>
                  </w:pPr>
                  <w:r w:rsidRPr="00FE3419">
                    <w:t>0.412</w:t>
                  </w:r>
                </w:p>
              </w:tc>
            </w:tr>
            <w:tr w:rsidR="00FB7973" w:rsidTr="00FB7973">
              <w:tc>
                <w:tcPr>
                  <w:tcW w:w="1844" w:type="pct"/>
                  <w:shd w:val="clear" w:color="auto" w:fill="auto"/>
                  <w:vAlign w:val="bottom"/>
                </w:tcPr>
                <w:p w:rsidR="00FB7973" w:rsidRDefault="00FB7973" w:rsidP="00FB7973">
                  <w:pPr>
                    <w:pStyle w:val="TableBodyText"/>
                    <w:jc w:val="left"/>
                  </w:pPr>
                </w:p>
              </w:tc>
              <w:tc>
                <w:tcPr>
                  <w:tcW w:w="631" w:type="pct"/>
                  <w:vAlign w:val="bottom"/>
                </w:tcPr>
                <w:p w:rsidR="00FB7973" w:rsidRDefault="00FB7973" w:rsidP="00FB7973">
                  <w:pPr>
                    <w:pStyle w:val="TableBodyText"/>
                    <w:ind w:right="28"/>
                  </w:pPr>
                </w:p>
              </w:tc>
              <w:tc>
                <w:tcPr>
                  <w:tcW w:w="631" w:type="pct"/>
                  <w:shd w:val="clear" w:color="auto" w:fill="auto"/>
                  <w:vAlign w:val="bottom"/>
                </w:tcPr>
                <w:p w:rsidR="00FB7973" w:rsidRDefault="00FB7973" w:rsidP="00FB7973">
                  <w:pPr>
                    <w:pStyle w:val="TableBodyText"/>
                    <w:ind w:right="28"/>
                  </w:pPr>
                </w:p>
              </w:tc>
              <w:tc>
                <w:tcPr>
                  <w:tcW w:w="631" w:type="pct"/>
                  <w:shd w:val="clear" w:color="auto" w:fill="auto"/>
                  <w:vAlign w:val="bottom"/>
                </w:tcPr>
                <w:p w:rsidR="00FB7973" w:rsidRDefault="00FB7973" w:rsidP="00FB7973">
                  <w:pPr>
                    <w:pStyle w:val="TableBodyText"/>
                    <w:ind w:right="28"/>
                  </w:pPr>
                </w:p>
              </w:tc>
              <w:tc>
                <w:tcPr>
                  <w:tcW w:w="631" w:type="pct"/>
                  <w:vAlign w:val="bottom"/>
                </w:tcPr>
                <w:p w:rsidR="00FB7973" w:rsidRDefault="00FB7973" w:rsidP="00FB7973">
                  <w:pPr>
                    <w:pStyle w:val="TableBodyText"/>
                    <w:ind w:right="28"/>
                  </w:pPr>
                </w:p>
              </w:tc>
              <w:tc>
                <w:tcPr>
                  <w:tcW w:w="631" w:type="pct"/>
                  <w:vAlign w:val="bottom"/>
                </w:tcPr>
                <w:p w:rsidR="00FB7973" w:rsidRDefault="00FB7973" w:rsidP="00FB7973">
                  <w:pPr>
                    <w:pStyle w:val="TableBodyText"/>
                    <w:ind w:right="28"/>
                  </w:pPr>
                </w:p>
              </w:tc>
            </w:tr>
            <w:tr w:rsidR="00FB7973" w:rsidTr="00FB7973">
              <w:tc>
                <w:tcPr>
                  <w:tcW w:w="1844" w:type="pct"/>
                  <w:shd w:val="clear" w:color="auto" w:fill="BFBFBF" w:themeFill="background1" w:themeFillShade="BF"/>
                  <w:vAlign w:val="bottom"/>
                </w:tcPr>
                <w:p w:rsidR="00FB7973" w:rsidRDefault="00FB7973" w:rsidP="00FB7973">
                  <w:pPr>
                    <w:pStyle w:val="TableBodyText"/>
                    <w:jc w:val="left"/>
                  </w:pPr>
                  <w:r w:rsidRPr="00992D7E">
                    <w:rPr>
                      <w:b/>
                    </w:rPr>
                    <w:t>Pass-through: Investment fees</w:t>
                  </w:r>
                </w:p>
              </w:tc>
              <w:tc>
                <w:tcPr>
                  <w:tcW w:w="631" w:type="pct"/>
                  <w:shd w:val="clear" w:color="auto" w:fill="BFBFBF" w:themeFill="background1" w:themeFillShade="BF"/>
                  <w:vAlign w:val="bottom"/>
                </w:tcPr>
                <w:p w:rsidR="00FB7973" w:rsidRDefault="00FB7973" w:rsidP="00FB7973">
                  <w:pPr>
                    <w:pStyle w:val="TableBodyText"/>
                    <w:ind w:right="28"/>
                  </w:pPr>
                </w:p>
              </w:tc>
              <w:tc>
                <w:tcPr>
                  <w:tcW w:w="631" w:type="pct"/>
                  <w:shd w:val="clear" w:color="auto" w:fill="BFBFBF" w:themeFill="background1" w:themeFillShade="BF"/>
                  <w:vAlign w:val="bottom"/>
                </w:tcPr>
                <w:p w:rsidR="00FB7973" w:rsidRDefault="00FB7973" w:rsidP="00FB7973">
                  <w:pPr>
                    <w:pStyle w:val="TableBodyText"/>
                    <w:ind w:right="28"/>
                  </w:pPr>
                </w:p>
              </w:tc>
              <w:tc>
                <w:tcPr>
                  <w:tcW w:w="631" w:type="pct"/>
                  <w:shd w:val="clear" w:color="auto" w:fill="BFBFBF" w:themeFill="background1" w:themeFillShade="BF"/>
                  <w:vAlign w:val="bottom"/>
                </w:tcPr>
                <w:p w:rsidR="00FB7973" w:rsidRDefault="00FB7973" w:rsidP="00FB7973">
                  <w:pPr>
                    <w:pStyle w:val="TableBodyText"/>
                    <w:ind w:right="28"/>
                  </w:pPr>
                </w:p>
              </w:tc>
              <w:tc>
                <w:tcPr>
                  <w:tcW w:w="631" w:type="pct"/>
                  <w:shd w:val="clear" w:color="auto" w:fill="BFBFBF" w:themeFill="background1" w:themeFillShade="BF"/>
                  <w:vAlign w:val="bottom"/>
                </w:tcPr>
                <w:p w:rsidR="00FB7973" w:rsidRDefault="00FB7973" w:rsidP="00FB7973">
                  <w:pPr>
                    <w:pStyle w:val="TableBodyText"/>
                    <w:ind w:right="28"/>
                  </w:pPr>
                </w:p>
              </w:tc>
              <w:tc>
                <w:tcPr>
                  <w:tcW w:w="631" w:type="pct"/>
                  <w:shd w:val="clear" w:color="auto" w:fill="BFBFBF" w:themeFill="background1" w:themeFillShade="BF"/>
                  <w:vAlign w:val="bottom"/>
                </w:tcPr>
                <w:p w:rsidR="00FB7973" w:rsidRDefault="00FB7973" w:rsidP="00FB7973">
                  <w:pPr>
                    <w:pStyle w:val="TableBodyText"/>
                    <w:ind w:right="28"/>
                  </w:pPr>
                </w:p>
              </w:tc>
            </w:tr>
            <w:tr w:rsidR="00FB7973" w:rsidTr="00FB7973">
              <w:tc>
                <w:tcPr>
                  <w:tcW w:w="1844" w:type="pct"/>
                  <w:shd w:val="clear" w:color="auto" w:fill="auto"/>
                  <w:vAlign w:val="bottom"/>
                </w:tcPr>
                <w:p w:rsidR="00FB7973" w:rsidRDefault="00FB7973" w:rsidP="00FB7973">
                  <w:pPr>
                    <w:pStyle w:val="TableBodyText"/>
                    <w:jc w:val="left"/>
                  </w:pPr>
                  <w:r w:rsidRPr="00C358C1">
                    <w:t>Industry</w:t>
                  </w:r>
                </w:p>
              </w:tc>
              <w:tc>
                <w:tcPr>
                  <w:tcW w:w="631" w:type="pct"/>
                </w:tcPr>
                <w:p w:rsidR="00FB7973" w:rsidRDefault="00FB7973" w:rsidP="00FB7973">
                  <w:pPr>
                    <w:pStyle w:val="TableBodyText"/>
                    <w:ind w:right="28"/>
                  </w:pPr>
                  <w:r w:rsidRPr="00897BB8">
                    <w:t>-0.016</w:t>
                  </w:r>
                </w:p>
              </w:tc>
              <w:tc>
                <w:tcPr>
                  <w:tcW w:w="631" w:type="pct"/>
                  <w:shd w:val="clear" w:color="auto" w:fill="auto"/>
                </w:tcPr>
                <w:p w:rsidR="00FB7973" w:rsidRDefault="00FB7973" w:rsidP="00FB7973">
                  <w:pPr>
                    <w:pStyle w:val="TableBodyText"/>
                    <w:ind w:right="28"/>
                  </w:pPr>
                  <w:r w:rsidRPr="00897BB8">
                    <w:t>0.029</w:t>
                  </w:r>
                </w:p>
              </w:tc>
              <w:tc>
                <w:tcPr>
                  <w:tcW w:w="631" w:type="pct"/>
                  <w:shd w:val="clear" w:color="auto" w:fill="auto"/>
                </w:tcPr>
                <w:p w:rsidR="00FB7973" w:rsidRDefault="00FB7973" w:rsidP="00FB7973">
                  <w:pPr>
                    <w:pStyle w:val="TableBodyText"/>
                    <w:ind w:right="28"/>
                  </w:pPr>
                  <w:r w:rsidRPr="00897BB8">
                    <w:t>-0.072</w:t>
                  </w:r>
                </w:p>
              </w:tc>
              <w:tc>
                <w:tcPr>
                  <w:tcW w:w="631" w:type="pct"/>
                </w:tcPr>
                <w:p w:rsidR="00FB7973" w:rsidRDefault="00FB7973" w:rsidP="00FB7973">
                  <w:pPr>
                    <w:pStyle w:val="TableBodyText"/>
                    <w:ind w:right="28"/>
                  </w:pPr>
                  <w:r w:rsidRPr="00897BB8">
                    <w:t>-0.016</w:t>
                  </w:r>
                </w:p>
              </w:tc>
              <w:tc>
                <w:tcPr>
                  <w:tcW w:w="631" w:type="pct"/>
                </w:tcPr>
                <w:p w:rsidR="00FB7973" w:rsidRDefault="00FB7973" w:rsidP="00FB7973">
                  <w:pPr>
                    <w:pStyle w:val="TableBodyText"/>
                    <w:ind w:right="28"/>
                  </w:pPr>
                  <w:r w:rsidRPr="00897BB8">
                    <w:t>0.038</w:t>
                  </w:r>
                </w:p>
              </w:tc>
            </w:tr>
            <w:tr w:rsidR="00FB7973" w:rsidTr="00AB3A61">
              <w:tc>
                <w:tcPr>
                  <w:tcW w:w="1844" w:type="pct"/>
                  <w:shd w:val="clear" w:color="auto" w:fill="F2F2F2" w:themeFill="background1" w:themeFillShade="F2"/>
                  <w:vAlign w:val="bottom"/>
                </w:tcPr>
                <w:p w:rsidR="00FB7973" w:rsidRDefault="00FB7973" w:rsidP="00FB7973">
                  <w:pPr>
                    <w:pStyle w:val="TableBodyText"/>
                    <w:jc w:val="left"/>
                  </w:pPr>
                  <w:r w:rsidRPr="00C358C1">
                    <w:t>Public</w:t>
                  </w:r>
                </w:p>
              </w:tc>
              <w:tc>
                <w:tcPr>
                  <w:tcW w:w="631" w:type="pct"/>
                  <w:shd w:val="clear" w:color="auto" w:fill="F2F2F2" w:themeFill="background1" w:themeFillShade="F2"/>
                </w:tcPr>
                <w:p w:rsidR="00FB7973" w:rsidRDefault="00FB7973" w:rsidP="00FB7973">
                  <w:pPr>
                    <w:pStyle w:val="TableBodyText"/>
                    <w:ind w:right="28"/>
                  </w:pPr>
                  <w:r w:rsidRPr="00897BB8">
                    <w:t>0.006</w:t>
                  </w:r>
                </w:p>
              </w:tc>
              <w:tc>
                <w:tcPr>
                  <w:tcW w:w="631" w:type="pct"/>
                  <w:shd w:val="clear" w:color="auto" w:fill="F2F2F2" w:themeFill="background1" w:themeFillShade="F2"/>
                </w:tcPr>
                <w:p w:rsidR="00FB7973" w:rsidRDefault="00FB7973" w:rsidP="00FB7973">
                  <w:pPr>
                    <w:pStyle w:val="TableBodyText"/>
                    <w:ind w:right="28"/>
                  </w:pPr>
                  <w:r w:rsidRPr="00897BB8">
                    <w:t>0.036</w:t>
                  </w:r>
                </w:p>
              </w:tc>
              <w:tc>
                <w:tcPr>
                  <w:tcW w:w="631" w:type="pct"/>
                  <w:shd w:val="clear" w:color="auto" w:fill="F2F2F2" w:themeFill="background1" w:themeFillShade="F2"/>
                </w:tcPr>
                <w:p w:rsidR="00FB7973" w:rsidRDefault="00FB7973" w:rsidP="00FB7973">
                  <w:pPr>
                    <w:pStyle w:val="TableBodyText"/>
                    <w:ind w:right="28"/>
                  </w:pPr>
                  <w:r w:rsidRPr="00897BB8">
                    <w:t>-0.065</w:t>
                  </w:r>
                </w:p>
              </w:tc>
              <w:tc>
                <w:tcPr>
                  <w:tcW w:w="631" w:type="pct"/>
                  <w:shd w:val="clear" w:color="auto" w:fill="F2F2F2" w:themeFill="background1" w:themeFillShade="F2"/>
                </w:tcPr>
                <w:p w:rsidR="00FB7973" w:rsidRDefault="00FB7973" w:rsidP="00FB7973">
                  <w:pPr>
                    <w:pStyle w:val="TableBodyText"/>
                    <w:ind w:right="28"/>
                  </w:pPr>
                  <w:r w:rsidRPr="00897BB8">
                    <w:t>0.005</w:t>
                  </w:r>
                </w:p>
              </w:tc>
              <w:tc>
                <w:tcPr>
                  <w:tcW w:w="631" w:type="pct"/>
                  <w:shd w:val="clear" w:color="auto" w:fill="F2F2F2" w:themeFill="background1" w:themeFillShade="F2"/>
                </w:tcPr>
                <w:p w:rsidR="00FB7973" w:rsidRDefault="00FB7973" w:rsidP="00FB7973">
                  <w:pPr>
                    <w:pStyle w:val="TableBodyText"/>
                    <w:ind w:right="28"/>
                  </w:pPr>
                  <w:r w:rsidRPr="00897BB8">
                    <w:t>0.073</w:t>
                  </w:r>
                </w:p>
              </w:tc>
            </w:tr>
            <w:tr w:rsidR="00FB7973" w:rsidTr="00FB7973">
              <w:tc>
                <w:tcPr>
                  <w:tcW w:w="1844" w:type="pct"/>
                  <w:shd w:val="clear" w:color="auto" w:fill="auto"/>
                  <w:vAlign w:val="bottom"/>
                </w:tcPr>
                <w:p w:rsidR="00FB7973" w:rsidRDefault="00FB7973" w:rsidP="00FB7973">
                  <w:pPr>
                    <w:pStyle w:val="TableBodyText"/>
                    <w:jc w:val="left"/>
                  </w:pPr>
                  <w:r w:rsidRPr="00C358C1">
                    <w:t>Retail</w:t>
                  </w:r>
                </w:p>
              </w:tc>
              <w:tc>
                <w:tcPr>
                  <w:tcW w:w="631" w:type="pct"/>
                </w:tcPr>
                <w:p w:rsidR="00FB7973" w:rsidRDefault="00FB7973" w:rsidP="00FB7973">
                  <w:pPr>
                    <w:pStyle w:val="TableBodyText"/>
                    <w:ind w:right="28"/>
                  </w:pPr>
                  <w:r w:rsidRPr="00897BB8">
                    <w:t>-0.027</w:t>
                  </w:r>
                </w:p>
              </w:tc>
              <w:tc>
                <w:tcPr>
                  <w:tcW w:w="631" w:type="pct"/>
                  <w:shd w:val="clear" w:color="auto" w:fill="auto"/>
                </w:tcPr>
                <w:p w:rsidR="00FB7973" w:rsidRDefault="00FB7973" w:rsidP="00FB7973">
                  <w:pPr>
                    <w:pStyle w:val="TableBodyText"/>
                    <w:ind w:right="28"/>
                  </w:pPr>
                  <w:r w:rsidRPr="00897BB8">
                    <w:t>0.028</w:t>
                  </w:r>
                </w:p>
              </w:tc>
              <w:tc>
                <w:tcPr>
                  <w:tcW w:w="631" w:type="pct"/>
                  <w:shd w:val="clear" w:color="auto" w:fill="auto"/>
                </w:tcPr>
                <w:p w:rsidR="00FB7973" w:rsidRDefault="00FB7973" w:rsidP="00FB7973">
                  <w:pPr>
                    <w:pStyle w:val="TableBodyText"/>
                    <w:ind w:right="28"/>
                  </w:pPr>
                  <w:r w:rsidRPr="00897BB8">
                    <w:t>-0.084</w:t>
                  </w:r>
                </w:p>
              </w:tc>
              <w:tc>
                <w:tcPr>
                  <w:tcW w:w="631" w:type="pct"/>
                </w:tcPr>
                <w:p w:rsidR="00FB7973" w:rsidRDefault="00FB7973" w:rsidP="00FB7973">
                  <w:pPr>
                    <w:pStyle w:val="TableBodyText"/>
                    <w:ind w:right="28"/>
                  </w:pPr>
                  <w:r w:rsidRPr="00897BB8">
                    <w:t>-0.027</w:t>
                  </w:r>
                </w:p>
              </w:tc>
              <w:tc>
                <w:tcPr>
                  <w:tcW w:w="631" w:type="pct"/>
                </w:tcPr>
                <w:p w:rsidR="00FB7973" w:rsidRDefault="00FB7973" w:rsidP="00FB7973">
                  <w:pPr>
                    <w:pStyle w:val="TableBodyText"/>
                    <w:ind w:right="28"/>
                  </w:pPr>
                  <w:r w:rsidRPr="00897BB8">
                    <w:t>0.027</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Change in investment expenses due to size</w:t>
                  </w:r>
                </w:p>
              </w:tc>
              <w:tc>
                <w:tcPr>
                  <w:tcW w:w="631" w:type="pct"/>
                  <w:shd w:val="clear" w:color="auto" w:fill="F2F2F2" w:themeFill="background1" w:themeFillShade="F2"/>
                </w:tcPr>
                <w:p w:rsidR="00FB7973" w:rsidRDefault="00FB7973" w:rsidP="00FB7973">
                  <w:pPr>
                    <w:pStyle w:val="TableBodyText"/>
                    <w:ind w:right="28"/>
                  </w:pPr>
                  <w:r w:rsidRPr="00897BB8">
                    <w:t>-0.137</w:t>
                  </w:r>
                </w:p>
              </w:tc>
              <w:tc>
                <w:tcPr>
                  <w:tcW w:w="631" w:type="pct"/>
                  <w:shd w:val="clear" w:color="auto" w:fill="F2F2F2" w:themeFill="background1" w:themeFillShade="F2"/>
                </w:tcPr>
                <w:p w:rsidR="00FB7973" w:rsidRDefault="00FB7973" w:rsidP="00FB7973">
                  <w:pPr>
                    <w:pStyle w:val="TableBodyText"/>
                    <w:ind w:right="28"/>
                  </w:pPr>
                  <w:r w:rsidRPr="00897BB8">
                    <w:t>0.191</w:t>
                  </w:r>
                </w:p>
              </w:tc>
              <w:tc>
                <w:tcPr>
                  <w:tcW w:w="631" w:type="pct"/>
                  <w:shd w:val="clear" w:color="auto" w:fill="F2F2F2" w:themeFill="background1" w:themeFillShade="F2"/>
                </w:tcPr>
                <w:p w:rsidR="00FB7973" w:rsidRDefault="00FB7973" w:rsidP="00FB7973">
                  <w:pPr>
                    <w:pStyle w:val="TableBodyText"/>
                    <w:ind w:right="28"/>
                  </w:pPr>
                  <w:r w:rsidRPr="00897BB8">
                    <w:t>-0.480</w:t>
                  </w:r>
                </w:p>
              </w:tc>
              <w:tc>
                <w:tcPr>
                  <w:tcW w:w="631" w:type="pct"/>
                  <w:shd w:val="clear" w:color="auto" w:fill="F2F2F2" w:themeFill="background1" w:themeFillShade="F2"/>
                </w:tcPr>
                <w:p w:rsidR="00FB7973" w:rsidRDefault="00FB7973" w:rsidP="00FB7973">
                  <w:pPr>
                    <w:pStyle w:val="TableBodyText"/>
                    <w:ind w:right="28"/>
                  </w:pPr>
                  <w:r w:rsidRPr="00897BB8">
                    <w:t>-0.146</w:t>
                  </w:r>
                </w:p>
              </w:tc>
              <w:tc>
                <w:tcPr>
                  <w:tcW w:w="631" w:type="pct"/>
                  <w:shd w:val="clear" w:color="auto" w:fill="F2F2F2" w:themeFill="background1" w:themeFillShade="F2"/>
                </w:tcPr>
                <w:p w:rsidR="00FB7973" w:rsidRDefault="00FB7973" w:rsidP="00FB7973">
                  <w:pPr>
                    <w:pStyle w:val="TableBodyText"/>
                    <w:ind w:right="28"/>
                  </w:pPr>
                  <w:r w:rsidRPr="00897BB8">
                    <w:t>0.273</w:t>
                  </w:r>
                </w:p>
              </w:tc>
            </w:tr>
            <w:tr w:rsidR="00FB7973" w:rsidTr="00FB7973">
              <w:tc>
                <w:tcPr>
                  <w:tcW w:w="1844" w:type="pct"/>
                  <w:shd w:val="clear" w:color="auto" w:fill="auto"/>
                  <w:vAlign w:val="bottom"/>
                </w:tcPr>
                <w:p w:rsidR="00FB7973" w:rsidRDefault="00FB7973" w:rsidP="00FB7973">
                  <w:pPr>
                    <w:pStyle w:val="TableBodyText"/>
                    <w:jc w:val="left"/>
                  </w:pPr>
                  <w:r w:rsidRPr="00C358C1">
                    <w:t>Industry x Change in investment expenses due to size</w:t>
                  </w:r>
                </w:p>
              </w:tc>
              <w:tc>
                <w:tcPr>
                  <w:tcW w:w="631" w:type="pct"/>
                </w:tcPr>
                <w:p w:rsidR="00FB7973" w:rsidRDefault="00FB7973" w:rsidP="00FB7973">
                  <w:pPr>
                    <w:pStyle w:val="TableBodyText"/>
                    <w:ind w:right="28"/>
                  </w:pPr>
                  <w:r w:rsidRPr="00897BB8">
                    <w:t>0.063</w:t>
                  </w:r>
                </w:p>
              </w:tc>
              <w:tc>
                <w:tcPr>
                  <w:tcW w:w="631" w:type="pct"/>
                  <w:shd w:val="clear" w:color="auto" w:fill="auto"/>
                </w:tcPr>
                <w:p w:rsidR="00FB7973" w:rsidRDefault="00FB7973" w:rsidP="00FB7973">
                  <w:pPr>
                    <w:pStyle w:val="TableBodyText"/>
                    <w:ind w:right="28"/>
                  </w:pPr>
                  <w:r w:rsidRPr="00897BB8">
                    <w:t>0.206</w:t>
                  </w:r>
                </w:p>
              </w:tc>
              <w:tc>
                <w:tcPr>
                  <w:tcW w:w="631" w:type="pct"/>
                  <w:shd w:val="clear" w:color="auto" w:fill="auto"/>
                </w:tcPr>
                <w:p w:rsidR="00FB7973" w:rsidRDefault="00FB7973" w:rsidP="00FB7973">
                  <w:pPr>
                    <w:pStyle w:val="TableBodyText"/>
                    <w:ind w:right="28"/>
                  </w:pPr>
                  <w:r w:rsidRPr="00897BB8">
                    <w:t>-0.362</w:t>
                  </w:r>
                </w:p>
              </w:tc>
              <w:tc>
                <w:tcPr>
                  <w:tcW w:w="631" w:type="pct"/>
                </w:tcPr>
                <w:p w:rsidR="00FB7973" w:rsidRDefault="00FB7973" w:rsidP="00FB7973">
                  <w:pPr>
                    <w:pStyle w:val="TableBodyText"/>
                    <w:ind w:right="28"/>
                  </w:pPr>
                  <w:r w:rsidRPr="00897BB8">
                    <w:t>0.066</w:t>
                  </w:r>
                </w:p>
              </w:tc>
              <w:tc>
                <w:tcPr>
                  <w:tcW w:w="631" w:type="pct"/>
                </w:tcPr>
                <w:p w:rsidR="00FB7973" w:rsidRDefault="00FB7973" w:rsidP="00FB7973">
                  <w:pPr>
                    <w:pStyle w:val="TableBodyText"/>
                    <w:ind w:right="28"/>
                  </w:pPr>
                  <w:r w:rsidRPr="00897BB8">
                    <w:t>0.435</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Public x Change in investment expenses due to size</w:t>
                  </w:r>
                </w:p>
              </w:tc>
              <w:tc>
                <w:tcPr>
                  <w:tcW w:w="631" w:type="pct"/>
                  <w:shd w:val="clear" w:color="auto" w:fill="F2F2F2" w:themeFill="background1" w:themeFillShade="F2"/>
                </w:tcPr>
                <w:p w:rsidR="00FB7973" w:rsidRDefault="00FB7973" w:rsidP="00FB7973">
                  <w:pPr>
                    <w:pStyle w:val="TableBodyText"/>
                    <w:ind w:right="28"/>
                  </w:pPr>
                  <w:r w:rsidRPr="00897BB8">
                    <w:t>-0.079</w:t>
                  </w:r>
                </w:p>
              </w:tc>
              <w:tc>
                <w:tcPr>
                  <w:tcW w:w="631" w:type="pct"/>
                  <w:shd w:val="clear" w:color="auto" w:fill="F2F2F2" w:themeFill="background1" w:themeFillShade="F2"/>
                </w:tcPr>
                <w:p w:rsidR="00FB7973" w:rsidRDefault="00FB7973" w:rsidP="00FB7973">
                  <w:pPr>
                    <w:pStyle w:val="TableBodyText"/>
                    <w:ind w:right="28"/>
                  </w:pPr>
                  <w:r w:rsidRPr="00897BB8">
                    <w:t>0.243</w:t>
                  </w:r>
                </w:p>
              </w:tc>
              <w:tc>
                <w:tcPr>
                  <w:tcW w:w="631" w:type="pct"/>
                  <w:shd w:val="clear" w:color="auto" w:fill="F2F2F2" w:themeFill="background1" w:themeFillShade="F2"/>
                </w:tcPr>
                <w:p w:rsidR="00FB7973" w:rsidRDefault="00FB7973" w:rsidP="00FB7973">
                  <w:pPr>
                    <w:pStyle w:val="TableBodyText"/>
                    <w:ind w:right="28"/>
                  </w:pPr>
                  <w:r w:rsidRPr="00897BB8">
                    <w:t>-0.557</w:t>
                  </w:r>
                </w:p>
              </w:tc>
              <w:tc>
                <w:tcPr>
                  <w:tcW w:w="631" w:type="pct"/>
                  <w:shd w:val="clear" w:color="auto" w:fill="F2F2F2" w:themeFill="background1" w:themeFillShade="F2"/>
                </w:tcPr>
                <w:p w:rsidR="00FB7973" w:rsidRDefault="00FB7973" w:rsidP="00FB7973">
                  <w:pPr>
                    <w:pStyle w:val="TableBodyText"/>
                    <w:ind w:right="28"/>
                  </w:pPr>
                  <w:r w:rsidRPr="00897BB8">
                    <w:t>-0.075</w:t>
                  </w:r>
                </w:p>
              </w:tc>
              <w:tc>
                <w:tcPr>
                  <w:tcW w:w="631" w:type="pct"/>
                  <w:shd w:val="clear" w:color="auto" w:fill="F2F2F2" w:themeFill="background1" w:themeFillShade="F2"/>
                </w:tcPr>
                <w:p w:rsidR="00FB7973" w:rsidRDefault="00FB7973" w:rsidP="00FB7973">
                  <w:pPr>
                    <w:pStyle w:val="TableBodyText"/>
                    <w:ind w:right="28"/>
                  </w:pPr>
                  <w:r w:rsidRPr="00897BB8">
                    <w:t>0.357</w:t>
                  </w:r>
                </w:p>
              </w:tc>
            </w:tr>
            <w:tr w:rsidR="00FB7973" w:rsidTr="00FB7973">
              <w:tc>
                <w:tcPr>
                  <w:tcW w:w="1844" w:type="pct"/>
                  <w:shd w:val="clear" w:color="auto" w:fill="auto"/>
                  <w:vAlign w:val="bottom"/>
                </w:tcPr>
                <w:p w:rsidR="00FB7973" w:rsidRDefault="00FB7973" w:rsidP="00FB7973">
                  <w:pPr>
                    <w:pStyle w:val="TableBodyText"/>
                    <w:jc w:val="left"/>
                  </w:pPr>
                  <w:r w:rsidRPr="00C358C1">
                    <w:t>Retail x Change in investment expenses due to size</w:t>
                  </w:r>
                </w:p>
              </w:tc>
              <w:tc>
                <w:tcPr>
                  <w:tcW w:w="631" w:type="pct"/>
                </w:tcPr>
                <w:p w:rsidR="00FB7973" w:rsidRDefault="00FB7973" w:rsidP="00FB7973">
                  <w:pPr>
                    <w:pStyle w:val="TableBodyText"/>
                    <w:ind w:right="28"/>
                  </w:pPr>
                  <w:r w:rsidRPr="00897BB8">
                    <w:t>0.034</w:t>
                  </w:r>
                </w:p>
              </w:tc>
              <w:tc>
                <w:tcPr>
                  <w:tcW w:w="631" w:type="pct"/>
                  <w:shd w:val="clear" w:color="auto" w:fill="auto"/>
                </w:tcPr>
                <w:p w:rsidR="00FB7973" w:rsidRDefault="00FB7973" w:rsidP="00FB7973">
                  <w:pPr>
                    <w:pStyle w:val="TableBodyText"/>
                    <w:ind w:right="28"/>
                  </w:pPr>
                  <w:r w:rsidRPr="00897BB8">
                    <w:t>0.204</w:t>
                  </w:r>
                </w:p>
              </w:tc>
              <w:tc>
                <w:tcPr>
                  <w:tcW w:w="631" w:type="pct"/>
                  <w:shd w:val="clear" w:color="auto" w:fill="auto"/>
                </w:tcPr>
                <w:p w:rsidR="00FB7973" w:rsidRDefault="00FB7973" w:rsidP="00FB7973">
                  <w:pPr>
                    <w:pStyle w:val="TableBodyText"/>
                    <w:ind w:right="28"/>
                  </w:pPr>
                  <w:r w:rsidRPr="00897BB8">
                    <w:t>-0.377</w:t>
                  </w:r>
                </w:p>
              </w:tc>
              <w:tc>
                <w:tcPr>
                  <w:tcW w:w="631" w:type="pct"/>
                </w:tcPr>
                <w:p w:rsidR="00FB7973" w:rsidRDefault="00FB7973" w:rsidP="00FB7973">
                  <w:pPr>
                    <w:pStyle w:val="TableBodyText"/>
                    <w:ind w:right="28"/>
                  </w:pPr>
                  <w:r w:rsidRPr="00897BB8">
                    <w:t>0.037</w:t>
                  </w:r>
                </w:p>
              </w:tc>
              <w:tc>
                <w:tcPr>
                  <w:tcW w:w="631" w:type="pct"/>
                </w:tcPr>
                <w:p w:rsidR="00FB7973" w:rsidRDefault="00FB7973" w:rsidP="00FB7973">
                  <w:pPr>
                    <w:pStyle w:val="TableBodyText"/>
                    <w:ind w:right="28"/>
                  </w:pPr>
                  <w:r w:rsidRPr="00897BB8">
                    <w:t>0.406</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Intercept</w:t>
                  </w:r>
                </w:p>
              </w:tc>
              <w:tc>
                <w:tcPr>
                  <w:tcW w:w="631" w:type="pct"/>
                  <w:shd w:val="clear" w:color="auto" w:fill="F2F2F2" w:themeFill="background1" w:themeFillShade="F2"/>
                </w:tcPr>
                <w:p w:rsidR="00FB7973" w:rsidRDefault="00FB7973" w:rsidP="00FB7973">
                  <w:pPr>
                    <w:pStyle w:val="TableBodyText"/>
                    <w:ind w:right="28"/>
                  </w:pPr>
                  <w:r w:rsidRPr="00897BB8">
                    <w:t>0.027</w:t>
                  </w:r>
                </w:p>
              </w:tc>
              <w:tc>
                <w:tcPr>
                  <w:tcW w:w="631" w:type="pct"/>
                  <w:shd w:val="clear" w:color="auto" w:fill="F2F2F2" w:themeFill="background1" w:themeFillShade="F2"/>
                </w:tcPr>
                <w:p w:rsidR="00FB7973" w:rsidRDefault="00FB7973" w:rsidP="00FB7973">
                  <w:pPr>
                    <w:pStyle w:val="TableBodyText"/>
                    <w:ind w:right="28"/>
                  </w:pPr>
                  <w:r w:rsidRPr="00897BB8">
                    <w:t>0.026</w:t>
                  </w:r>
                </w:p>
              </w:tc>
              <w:tc>
                <w:tcPr>
                  <w:tcW w:w="631" w:type="pct"/>
                  <w:shd w:val="clear" w:color="auto" w:fill="F2F2F2" w:themeFill="background1" w:themeFillShade="F2"/>
                </w:tcPr>
                <w:p w:rsidR="00FB7973" w:rsidRDefault="00FB7973" w:rsidP="00FB7973">
                  <w:pPr>
                    <w:pStyle w:val="TableBodyText"/>
                    <w:ind w:right="28"/>
                  </w:pPr>
                  <w:r w:rsidRPr="00897BB8">
                    <w:t>-0.023</w:t>
                  </w:r>
                </w:p>
              </w:tc>
              <w:tc>
                <w:tcPr>
                  <w:tcW w:w="631" w:type="pct"/>
                  <w:shd w:val="clear" w:color="auto" w:fill="F2F2F2" w:themeFill="background1" w:themeFillShade="F2"/>
                </w:tcPr>
                <w:p w:rsidR="00FB7973" w:rsidRDefault="00FB7973" w:rsidP="00FB7973">
                  <w:pPr>
                    <w:pStyle w:val="TableBodyText"/>
                    <w:ind w:right="28"/>
                  </w:pPr>
                  <w:r w:rsidRPr="00897BB8">
                    <w:t>0.028</w:t>
                  </w:r>
                </w:p>
              </w:tc>
              <w:tc>
                <w:tcPr>
                  <w:tcW w:w="631" w:type="pct"/>
                  <w:shd w:val="clear" w:color="auto" w:fill="F2F2F2" w:themeFill="background1" w:themeFillShade="F2"/>
                </w:tcPr>
                <w:p w:rsidR="00FB7973" w:rsidRDefault="00FB7973" w:rsidP="00FB7973">
                  <w:pPr>
                    <w:pStyle w:val="TableBodyText"/>
                    <w:ind w:right="28"/>
                  </w:pPr>
                  <w:r w:rsidRPr="00897BB8">
                    <w:t>0.076</w:t>
                  </w:r>
                </w:p>
              </w:tc>
            </w:tr>
            <w:tr w:rsidR="00FB7973" w:rsidTr="00FB7973">
              <w:tc>
                <w:tcPr>
                  <w:tcW w:w="1844" w:type="pct"/>
                  <w:shd w:val="clear" w:color="auto" w:fill="auto"/>
                  <w:vAlign w:val="bottom"/>
                </w:tcPr>
                <w:p w:rsidR="00FB7973" w:rsidRDefault="00FB7973" w:rsidP="00FB7973">
                  <w:pPr>
                    <w:pStyle w:val="TableBodyText"/>
                    <w:jc w:val="left"/>
                  </w:pPr>
                  <w:r w:rsidRPr="00C358C1">
                    <w:t>SD of investment pass-through</w:t>
                  </w:r>
                </w:p>
              </w:tc>
              <w:tc>
                <w:tcPr>
                  <w:tcW w:w="631" w:type="pct"/>
                </w:tcPr>
                <w:p w:rsidR="00FB7973" w:rsidRDefault="00FB7973" w:rsidP="00FB7973">
                  <w:pPr>
                    <w:pStyle w:val="TableBodyText"/>
                    <w:ind w:right="28"/>
                  </w:pPr>
                  <w:r w:rsidRPr="00897BB8">
                    <w:t>0.166</w:t>
                  </w:r>
                </w:p>
              </w:tc>
              <w:tc>
                <w:tcPr>
                  <w:tcW w:w="631" w:type="pct"/>
                  <w:shd w:val="clear" w:color="auto" w:fill="auto"/>
                </w:tcPr>
                <w:p w:rsidR="00FB7973" w:rsidRDefault="00FB7973" w:rsidP="00FB7973">
                  <w:pPr>
                    <w:pStyle w:val="TableBodyText"/>
                    <w:ind w:right="28"/>
                  </w:pPr>
                  <w:r w:rsidRPr="00897BB8">
                    <w:t>0.004</w:t>
                  </w:r>
                </w:p>
              </w:tc>
              <w:tc>
                <w:tcPr>
                  <w:tcW w:w="631" w:type="pct"/>
                  <w:shd w:val="clear" w:color="auto" w:fill="auto"/>
                </w:tcPr>
                <w:p w:rsidR="00FB7973" w:rsidRDefault="00FB7973" w:rsidP="00FB7973">
                  <w:pPr>
                    <w:pStyle w:val="TableBodyText"/>
                    <w:ind w:right="28"/>
                  </w:pPr>
                  <w:r w:rsidRPr="00897BB8">
                    <w:t>0.159</w:t>
                  </w:r>
                </w:p>
              </w:tc>
              <w:tc>
                <w:tcPr>
                  <w:tcW w:w="631" w:type="pct"/>
                </w:tcPr>
                <w:p w:rsidR="00FB7973" w:rsidRDefault="00FB7973" w:rsidP="00FB7973">
                  <w:pPr>
                    <w:pStyle w:val="TableBodyText"/>
                    <w:ind w:right="28"/>
                  </w:pPr>
                  <w:r w:rsidRPr="00897BB8">
                    <w:t>0.166</w:t>
                  </w:r>
                </w:p>
              </w:tc>
              <w:tc>
                <w:tcPr>
                  <w:tcW w:w="631" w:type="pct"/>
                </w:tcPr>
                <w:p w:rsidR="00FB7973" w:rsidRDefault="00FB7973" w:rsidP="00FB7973">
                  <w:pPr>
                    <w:pStyle w:val="TableBodyText"/>
                    <w:ind w:right="28"/>
                  </w:pPr>
                  <w:r w:rsidRPr="00897BB8">
                    <w:t>0.174</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SD of varying intercept</w:t>
                  </w:r>
                </w:p>
              </w:tc>
              <w:tc>
                <w:tcPr>
                  <w:tcW w:w="631" w:type="pct"/>
                  <w:shd w:val="clear" w:color="auto" w:fill="F2F2F2" w:themeFill="background1" w:themeFillShade="F2"/>
                </w:tcPr>
                <w:p w:rsidR="00FB7973" w:rsidRDefault="00FB7973" w:rsidP="00FB7973">
                  <w:pPr>
                    <w:pStyle w:val="TableBodyText"/>
                    <w:ind w:right="28"/>
                  </w:pPr>
                  <w:r w:rsidRPr="00897BB8">
                    <w:t>0.043</w:t>
                  </w:r>
                </w:p>
              </w:tc>
              <w:tc>
                <w:tcPr>
                  <w:tcW w:w="631" w:type="pct"/>
                  <w:shd w:val="clear" w:color="auto" w:fill="F2F2F2" w:themeFill="background1" w:themeFillShade="F2"/>
                </w:tcPr>
                <w:p w:rsidR="00FB7973" w:rsidRDefault="00FB7973" w:rsidP="00FB7973">
                  <w:pPr>
                    <w:pStyle w:val="TableBodyText"/>
                    <w:ind w:right="28"/>
                  </w:pPr>
                  <w:r w:rsidRPr="00897BB8">
                    <w:t>0.005</w:t>
                  </w:r>
                </w:p>
              </w:tc>
              <w:tc>
                <w:tcPr>
                  <w:tcW w:w="631" w:type="pct"/>
                  <w:shd w:val="clear" w:color="auto" w:fill="F2F2F2" w:themeFill="background1" w:themeFillShade="F2"/>
                </w:tcPr>
                <w:p w:rsidR="00FB7973" w:rsidRDefault="00FB7973" w:rsidP="00FB7973">
                  <w:pPr>
                    <w:pStyle w:val="TableBodyText"/>
                    <w:ind w:right="28"/>
                  </w:pPr>
                  <w:r w:rsidRPr="00897BB8">
                    <w:t>0.033</w:t>
                  </w:r>
                </w:p>
              </w:tc>
              <w:tc>
                <w:tcPr>
                  <w:tcW w:w="631" w:type="pct"/>
                  <w:shd w:val="clear" w:color="auto" w:fill="F2F2F2" w:themeFill="background1" w:themeFillShade="F2"/>
                </w:tcPr>
                <w:p w:rsidR="00FB7973" w:rsidRDefault="00FB7973" w:rsidP="00FB7973">
                  <w:pPr>
                    <w:pStyle w:val="TableBodyText"/>
                    <w:ind w:right="28"/>
                  </w:pPr>
                  <w:r w:rsidRPr="00897BB8">
                    <w:t>0.042</w:t>
                  </w:r>
                </w:p>
              </w:tc>
              <w:tc>
                <w:tcPr>
                  <w:tcW w:w="631" w:type="pct"/>
                  <w:shd w:val="clear" w:color="auto" w:fill="F2F2F2" w:themeFill="background1" w:themeFillShade="F2"/>
                </w:tcPr>
                <w:p w:rsidR="00FB7973" w:rsidRDefault="00FB7973" w:rsidP="00FB7973">
                  <w:pPr>
                    <w:pStyle w:val="TableBodyText"/>
                    <w:ind w:right="28"/>
                  </w:pPr>
                  <w:r w:rsidRPr="00897BB8">
                    <w:t>0.054</w:t>
                  </w:r>
                </w:p>
              </w:tc>
            </w:tr>
            <w:tr w:rsidR="00FB7973" w:rsidTr="00FB7973">
              <w:tc>
                <w:tcPr>
                  <w:tcW w:w="1844" w:type="pct"/>
                  <w:tcBorders>
                    <w:bottom w:val="single" w:sz="6" w:space="0" w:color="BFBFBF" w:themeColor="background1" w:themeShade="BF"/>
                  </w:tcBorders>
                  <w:shd w:val="clear" w:color="auto" w:fill="auto"/>
                  <w:vAlign w:val="bottom"/>
                </w:tcPr>
                <w:p w:rsidR="00FB7973" w:rsidRDefault="00FB7973" w:rsidP="00FB7973">
                  <w:pPr>
                    <w:pStyle w:val="TableBodyText"/>
                    <w:jc w:val="left"/>
                  </w:pPr>
                  <w:r w:rsidRPr="00C358C1">
                    <w:t xml:space="preserve">SD of varying </w:t>
                  </w:r>
                  <w:r>
                    <w:t xml:space="preserve">slope: </w:t>
                  </w:r>
                  <w:r w:rsidRPr="00C358C1">
                    <w:t>Change in investment expenses due to size</w:t>
                  </w:r>
                </w:p>
              </w:tc>
              <w:tc>
                <w:tcPr>
                  <w:tcW w:w="631" w:type="pct"/>
                  <w:tcBorders>
                    <w:bottom w:val="single" w:sz="6" w:space="0" w:color="BFBFBF" w:themeColor="background1" w:themeShade="BF"/>
                  </w:tcBorders>
                </w:tcPr>
                <w:p w:rsidR="00FB7973" w:rsidRDefault="00FB7973" w:rsidP="00FB7973">
                  <w:pPr>
                    <w:pStyle w:val="TableBodyText"/>
                    <w:ind w:right="28"/>
                  </w:pPr>
                  <w:r w:rsidRPr="00897BB8">
                    <w:t>0.147</w:t>
                  </w:r>
                </w:p>
              </w:tc>
              <w:tc>
                <w:tcPr>
                  <w:tcW w:w="631" w:type="pct"/>
                  <w:tcBorders>
                    <w:bottom w:val="single" w:sz="6" w:space="0" w:color="BFBFBF" w:themeColor="background1" w:themeShade="BF"/>
                  </w:tcBorders>
                  <w:shd w:val="clear" w:color="auto" w:fill="auto"/>
                </w:tcPr>
                <w:p w:rsidR="00FB7973" w:rsidRDefault="00FB7973" w:rsidP="00FB7973">
                  <w:pPr>
                    <w:pStyle w:val="TableBodyText"/>
                    <w:ind w:right="28"/>
                  </w:pPr>
                  <w:r w:rsidRPr="00897BB8">
                    <w:t>0.035</w:t>
                  </w:r>
                </w:p>
              </w:tc>
              <w:tc>
                <w:tcPr>
                  <w:tcW w:w="631" w:type="pct"/>
                  <w:tcBorders>
                    <w:bottom w:val="single" w:sz="6" w:space="0" w:color="BFBFBF" w:themeColor="background1" w:themeShade="BF"/>
                  </w:tcBorders>
                  <w:shd w:val="clear" w:color="auto" w:fill="auto"/>
                </w:tcPr>
                <w:p w:rsidR="00FB7973" w:rsidRDefault="00FB7973" w:rsidP="00FB7973">
                  <w:pPr>
                    <w:pStyle w:val="TableBodyText"/>
                    <w:ind w:right="28"/>
                  </w:pPr>
                  <w:r w:rsidRPr="00897BB8">
                    <w:t>0.089</w:t>
                  </w:r>
                </w:p>
              </w:tc>
              <w:tc>
                <w:tcPr>
                  <w:tcW w:w="631" w:type="pct"/>
                  <w:tcBorders>
                    <w:bottom w:val="single" w:sz="6" w:space="0" w:color="BFBFBF" w:themeColor="background1" w:themeShade="BF"/>
                  </w:tcBorders>
                </w:tcPr>
                <w:p w:rsidR="00FB7973" w:rsidRDefault="00FB7973" w:rsidP="00FB7973">
                  <w:pPr>
                    <w:pStyle w:val="TableBodyText"/>
                    <w:ind w:right="28"/>
                  </w:pPr>
                  <w:r w:rsidRPr="00897BB8">
                    <w:t>0.143</w:t>
                  </w:r>
                </w:p>
              </w:tc>
              <w:tc>
                <w:tcPr>
                  <w:tcW w:w="631" w:type="pct"/>
                  <w:tcBorders>
                    <w:bottom w:val="single" w:sz="6" w:space="0" w:color="BFBFBF" w:themeColor="background1" w:themeShade="BF"/>
                  </w:tcBorders>
                </w:tcPr>
                <w:p w:rsidR="00FB7973" w:rsidRDefault="00FB7973" w:rsidP="00FB7973">
                  <w:pPr>
                    <w:pStyle w:val="TableBodyText"/>
                    <w:ind w:right="28"/>
                  </w:pPr>
                  <w:r w:rsidRPr="00897BB8">
                    <w:t>0.224</w:t>
                  </w:r>
                </w:p>
              </w:tc>
            </w:tr>
          </w:tbl>
          <w:p w:rsidR="00FB7973" w:rsidRDefault="00FB7973" w:rsidP="00FB7973">
            <w:pPr>
              <w:pStyle w:val="Box"/>
            </w:pPr>
          </w:p>
        </w:tc>
      </w:tr>
      <w:tr w:rsidR="00FB7973" w:rsidTr="00FB7973">
        <w:tc>
          <w:tcPr>
            <w:tcW w:w="5000" w:type="pct"/>
            <w:tcBorders>
              <w:top w:val="nil"/>
              <w:left w:val="nil"/>
              <w:bottom w:val="nil"/>
              <w:right w:val="nil"/>
            </w:tcBorders>
            <w:shd w:val="clear" w:color="auto" w:fill="auto"/>
          </w:tcPr>
          <w:p w:rsidR="00FB7973" w:rsidRDefault="00FB7973" w:rsidP="00FB7973">
            <w:pPr>
              <w:pStyle w:val="Continued"/>
            </w:pPr>
            <w:r>
              <w:t>(continued next page)</w:t>
            </w:r>
          </w:p>
        </w:tc>
      </w:tr>
      <w:tr w:rsidR="00FB7973" w:rsidTr="00FB7973">
        <w:tc>
          <w:tcPr>
            <w:tcW w:w="5000" w:type="pct"/>
            <w:tcBorders>
              <w:top w:val="nil"/>
              <w:left w:val="nil"/>
              <w:bottom w:val="single" w:sz="6" w:space="0" w:color="78A22F"/>
              <w:right w:val="nil"/>
            </w:tcBorders>
            <w:shd w:val="clear" w:color="auto" w:fill="auto"/>
          </w:tcPr>
          <w:p w:rsidR="00FB7973" w:rsidRDefault="00FB7973" w:rsidP="00FB7973">
            <w:pPr>
              <w:pStyle w:val="Box"/>
              <w:spacing w:before="0" w:line="120" w:lineRule="exact"/>
            </w:pPr>
          </w:p>
        </w:tc>
      </w:tr>
      <w:tr w:rsidR="00FB7973" w:rsidRPr="000863A5" w:rsidTr="00FB7973">
        <w:tc>
          <w:tcPr>
            <w:tcW w:w="5000" w:type="pct"/>
            <w:tcBorders>
              <w:top w:val="single" w:sz="6" w:space="0" w:color="78A22F"/>
              <w:left w:val="nil"/>
              <w:bottom w:val="nil"/>
              <w:right w:val="nil"/>
            </w:tcBorders>
          </w:tcPr>
          <w:p w:rsidR="00FB7973" w:rsidRPr="00626D32" w:rsidRDefault="00FB7973" w:rsidP="00FB7973">
            <w:pPr>
              <w:pStyle w:val="BoxSpaceBelow"/>
            </w:pPr>
          </w:p>
        </w:tc>
      </w:tr>
    </w:tbl>
    <w:p w:rsidR="00FB7973" w:rsidRDefault="00FB7973" w:rsidP="00FB7973">
      <w:pPr>
        <w:pStyle w:val="BodyText"/>
      </w:pPr>
    </w:p>
    <w:p w:rsidR="00FB7973" w:rsidRDefault="00FB7973" w:rsidP="00FB797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B7973" w:rsidRPr="00784A05" w:rsidTr="00FB7973">
        <w:trPr>
          <w:tblHeader/>
        </w:trPr>
        <w:tc>
          <w:tcPr>
            <w:tcW w:w="5000" w:type="pct"/>
            <w:tcBorders>
              <w:top w:val="single" w:sz="6" w:space="0" w:color="78A22F"/>
              <w:left w:val="nil"/>
              <w:bottom w:val="nil"/>
              <w:right w:val="nil"/>
            </w:tcBorders>
            <w:shd w:val="clear" w:color="auto" w:fill="auto"/>
          </w:tcPr>
          <w:p w:rsidR="00FB7973" w:rsidRPr="00784A05" w:rsidRDefault="00FB7973" w:rsidP="00FB7973">
            <w:pPr>
              <w:pStyle w:val="TableTitle"/>
            </w:pPr>
            <w:r>
              <w:rPr>
                <w:b w:val="0"/>
              </w:rPr>
              <w:t>Table E.</w:t>
            </w:r>
            <w:r w:rsidR="004703C8">
              <w:rPr>
                <w:b w:val="0"/>
              </w:rPr>
              <w:t>2</w:t>
            </w:r>
            <w:r>
              <w:tab/>
            </w:r>
            <w:r w:rsidRPr="004B358B">
              <w:rPr>
                <w:b w:val="0"/>
                <w:sz w:val="18"/>
                <w:szCs w:val="18"/>
              </w:rPr>
              <w:t>(continued)</w:t>
            </w:r>
          </w:p>
        </w:tc>
      </w:tr>
      <w:tr w:rsidR="00FB7973" w:rsidTr="00FB7973">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3146"/>
              <w:gridCol w:w="1077"/>
              <w:gridCol w:w="1077"/>
              <w:gridCol w:w="1077"/>
              <w:gridCol w:w="1076"/>
              <w:gridCol w:w="1076"/>
            </w:tblGrid>
            <w:tr w:rsidR="00FB7973" w:rsidTr="00FB7973">
              <w:tc>
                <w:tcPr>
                  <w:tcW w:w="1844" w:type="pct"/>
                  <w:tcBorders>
                    <w:top w:val="single" w:sz="6" w:space="0" w:color="BFBFBF" w:themeColor="background1" w:themeShade="BF"/>
                    <w:bottom w:val="single" w:sz="6" w:space="0" w:color="BFBFBF" w:themeColor="background1" w:themeShade="BF"/>
                  </w:tcBorders>
                  <w:shd w:val="clear" w:color="auto" w:fill="auto"/>
                </w:tcPr>
                <w:p w:rsidR="00FB7973" w:rsidRDefault="00FB7973" w:rsidP="00FB7973">
                  <w:pPr>
                    <w:pStyle w:val="TableColumnHeading"/>
                    <w:jc w:val="left"/>
                    <w:rPr>
                      <w:b/>
                    </w:rPr>
                  </w:pPr>
                  <w:r>
                    <w:t>Parameter</w:t>
                  </w:r>
                </w:p>
              </w:tc>
              <w:tc>
                <w:tcPr>
                  <w:tcW w:w="631" w:type="pct"/>
                  <w:tcBorders>
                    <w:top w:val="single" w:sz="6" w:space="0" w:color="BFBFBF" w:themeColor="background1" w:themeShade="BF"/>
                    <w:bottom w:val="single" w:sz="6" w:space="0" w:color="BFBFBF" w:themeColor="background1" w:themeShade="BF"/>
                  </w:tcBorders>
                </w:tcPr>
                <w:p w:rsidR="00FB7973" w:rsidRDefault="00FB7973" w:rsidP="00FB7973">
                  <w:pPr>
                    <w:pStyle w:val="TableColumnHeading"/>
                  </w:pPr>
                  <w:r>
                    <w:t>Mean</w:t>
                  </w:r>
                </w:p>
              </w:tc>
              <w:tc>
                <w:tcPr>
                  <w:tcW w:w="631" w:type="pct"/>
                  <w:tcBorders>
                    <w:top w:val="single" w:sz="6" w:space="0" w:color="BFBFBF" w:themeColor="background1" w:themeShade="BF"/>
                    <w:bottom w:val="single" w:sz="6" w:space="0" w:color="BFBFBF" w:themeColor="background1" w:themeShade="BF"/>
                  </w:tcBorders>
                  <w:shd w:val="clear" w:color="auto" w:fill="auto"/>
                </w:tcPr>
                <w:p w:rsidR="00FB7973" w:rsidRDefault="00FB7973" w:rsidP="00FB7973">
                  <w:pPr>
                    <w:pStyle w:val="TableColumnHeading"/>
                  </w:pPr>
                  <w:r>
                    <w:t>Standard deviation</w:t>
                  </w:r>
                </w:p>
              </w:tc>
              <w:tc>
                <w:tcPr>
                  <w:tcW w:w="631" w:type="pct"/>
                  <w:tcBorders>
                    <w:top w:val="single" w:sz="6" w:space="0" w:color="BFBFBF" w:themeColor="background1" w:themeShade="BF"/>
                    <w:bottom w:val="single" w:sz="6" w:space="0" w:color="BFBFBF" w:themeColor="background1" w:themeShade="BF"/>
                  </w:tcBorders>
                  <w:shd w:val="clear" w:color="auto" w:fill="auto"/>
                </w:tcPr>
                <w:p w:rsidR="00FB7973" w:rsidRDefault="00FB7973" w:rsidP="00FB7973">
                  <w:pPr>
                    <w:pStyle w:val="TableColumnHeading"/>
                  </w:pPr>
                  <w:r>
                    <w:t>2.5 percentile</w:t>
                  </w:r>
                </w:p>
              </w:tc>
              <w:tc>
                <w:tcPr>
                  <w:tcW w:w="631" w:type="pct"/>
                  <w:tcBorders>
                    <w:top w:val="single" w:sz="6" w:space="0" w:color="BFBFBF" w:themeColor="background1" w:themeShade="BF"/>
                    <w:bottom w:val="single" w:sz="6" w:space="0" w:color="BFBFBF" w:themeColor="background1" w:themeShade="BF"/>
                  </w:tcBorders>
                </w:tcPr>
                <w:p w:rsidR="00FB7973" w:rsidRDefault="00FB7973" w:rsidP="00FB7973">
                  <w:pPr>
                    <w:pStyle w:val="TableColumnHeading"/>
                  </w:pPr>
                  <w:r>
                    <w:t>Median</w:t>
                  </w:r>
                </w:p>
              </w:tc>
              <w:tc>
                <w:tcPr>
                  <w:tcW w:w="631" w:type="pct"/>
                  <w:tcBorders>
                    <w:top w:val="single" w:sz="6" w:space="0" w:color="BFBFBF" w:themeColor="background1" w:themeShade="BF"/>
                    <w:bottom w:val="single" w:sz="6" w:space="0" w:color="BFBFBF" w:themeColor="background1" w:themeShade="BF"/>
                  </w:tcBorders>
                </w:tcPr>
                <w:p w:rsidR="00FB7973" w:rsidRDefault="00FB7973" w:rsidP="00FB7973">
                  <w:pPr>
                    <w:pStyle w:val="TableColumnHeading"/>
                  </w:pPr>
                  <w:r>
                    <w:t>97.5 percentile</w:t>
                  </w:r>
                </w:p>
              </w:tc>
            </w:tr>
            <w:tr w:rsidR="00FB7973" w:rsidTr="00FB7973">
              <w:tc>
                <w:tcPr>
                  <w:tcW w:w="1844" w:type="pct"/>
                  <w:tcBorders>
                    <w:top w:val="single" w:sz="6" w:space="0" w:color="BFBFBF" w:themeColor="background1" w:themeShade="BF"/>
                  </w:tcBorders>
                  <w:shd w:val="clear" w:color="auto" w:fill="BFBFBF" w:themeFill="background1" w:themeFillShade="BF"/>
                  <w:vAlign w:val="bottom"/>
                </w:tcPr>
                <w:p w:rsidR="00FB7973" w:rsidRPr="0099011F" w:rsidRDefault="00FB7973" w:rsidP="00FB7973">
                  <w:pPr>
                    <w:pStyle w:val="TableBodyText"/>
                    <w:jc w:val="left"/>
                    <w:rPr>
                      <w:b/>
                    </w:rPr>
                  </w:pPr>
                  <w:r w:rsidRPr="009D752A">
                    <w:rPr>
                      <w:b/>
                    </w:rPr>
                    <w:t xml:space="preserve">Pass-through: </w:t>
                  </w:r>
                  <w:r>
                    <w:rPr>
                      <w:b/>
                    </w:rPr>
                    <w:t xml:space="preserve">total </w:t>
                  </w:r>
                  <w:r w:rsidRPr="009D752A">
                    <w:rPr>
                      <w:b/>
                    </w:rPr>
                    <w:t>fees</w:t>
                  </w:r>
                </w:p>
              </w:tc>
              <w:tc>
                <w:tcPr>
                  <w:tcW w:w="631" w:type="pct"/>
                  <w:tcBorders>
                    <w:top w:val="single" w:sz="6" w:space="0" w:color="BFBFBF" w:themeColor="background1" w:themeShade="BF"/>
                  </w:tcBorders>
                  <w:shd w:val="clear" w:color="auto" w:fill="BFBFBF" w:themeFill="background1" w:themeFillShade="BF"/>
                  <w:vAlign w:val="bottom"/>
                </w:tcPr>
                <w:p w:rsidR="00FB7973" w:rsidRDefault="00FB7973" w:rsidP="00FB7973">
                  <w:pPr>
                    <w:pStyle w:val="TableBodyText"/>
                  </w:pPr>
                </w:p>
              </w:tc>
              <w:tc>
                <w:tcPr>
                  <w:tcW w:w="631" w:type="pct"/>
                  <w:tcBorders>
                    <w:top w:val="single" w:sz="6" w:space="0" w:color="BFBFBF" w:themeColor="background1" w:themeShade="BF"/>
                  </w:tcBorders>
                  <w:shd w:val="clear" w:color="auto" w:fill="BFBFBF" w:themeFill="background1" w:themeFillShade="BF"/>
                  <w:vAlign w:val="bottom"/>
                </w:tcPr>
                <w:p w:rsidR="00FB7973" w:rsidRDefault="00FB7973" w:rsidP="00FB7973">
                  <w:pPr>
                    <w:pStyle w:val="TableBodyText"/>
                  </w:pPr>
                </w:p>
              </w:tc>
              <w:tc>
                <w:tcPr>
                  <w:tcW w:w="631" w:type="pct"/>
                  <w:tcBorders>
                    <w:top w:val="single" w:sz="6" w:space="0" w:color="BFBFBF" w:themeColor="background1" w:themeShade="BF"/>
                  </w:tcBorders>
                  <w:shd w:val="clear" w:color="auto" w:fill="BFBFBF" w:themeFill="background1" w:themeFillShade="BF"/>
                  <w:vAlign w:val="bottom"/>
                </w:tcPr>
                <w:p w:rsidR="00FB7973" w:rsidRDefault="00FB7973" w:rsidP="00FB7973">
                  <w:pPr>
                    <w:pStyle w:val="TableBodyText"/>
                    <w:ind w:right="28"/>
                  </w:pPr>
                </w:p>
              </w:tc>
              <w:tc>
                <w:tcPr>
                  <w:tcW w:w="631" w:type="pct"/>
                  <w:tcBorders>
                    <w:top w:val="single" w:sz="6" w:space="0" w:color="BFBFBF" w:themeColor="background1" w:themeShade="BF"/>
                  </w:tcBorders>
                  <w:shd w:val="clear" w:color="auto" w:fill="BFBFBF" w:themeFill="background1" w:themeFillShade="BF"/>
                  <w:vAlign w:val="bottom"/>
                </w:tcPr>
                <w:p w:rsidR="00FB7973" w:rsidRDefault="00FB7973" w:rsidP="00FB7973">
                  <w:pPr>
                    <w:pStyle w:val="TableBodyText"/>
                    <w:ind w:right="28"/>
                  </w:pPr>
                </w:p>
              </w:tc>
              <w:tc>
                <w:tcPr>
                  <w:tcW w:w="631" w:type="pct"/>
                  <w:tcBorders>
                    <w:top w:val="single" w:sz="6" w:space="0" w:color="BFBFBF" w:themeColor="background1" w:themeShade="BF"/>
                  </w:tcBorders>
                  <w:shd w:val="clear" w:color="auto" w:fill="BFBFBF" w:themeFill="background1" w:themeFillShade="BF"/>
                  <w:vAlign w:val="bottom"/>
                </w:tcPr>
                <w:p w:rsidR="00FB7973" w:rsidRDefault="00FB7973" w:rsidP="00FB7973">
                  <w:pPr>
                    <w:pStyle w:val="TableBodyText"/>
                    <w:ind w:right="28"/>
                  </w:pPr>
                </w:p>
              </w:tc>
            </w:tr>
            <w:tr w:rsidR="00FB7973" w:rsidTr="00FB7973">
              <w:tc>
                <w:tcPr>
                  <w:tcW w:w="1844" w:type="pct"/>
                  <w:shd w:val="clear" w:color="auto" w:fill="auto"/>
                  <w:vAlign w:val="bottom"/>
                </w:tcPr>
                <w:p w:rsidR="00FB7973" w:rsidRDefault="00FB7973" w:rsidP="00FB7973">
                  <w:pPr>
                    <w:pStyle w:val="TableBodyText"/>
                    <w:jc w:val="left"/>
                  </w:pPr>
                  <w:r w:rsidRPr="00C358C1">
                    <w:t>Industry</w:t>
                  </w:r>
                </w:p>
              </w:tc>
              <w:tc>
                <w:tcPr>
                  <w:tcW w:w="631" w:type="pct"/>
                </w:tcPr>
                <w:p w:rsidR="00FB7973" w:rsidRDefault="00FB7973" w:rsidP="00FB7973">
                  <w:pPr>
                    <w:pStyle w:val="TableBodyText"/>
                    <w:ind w:right="28"/>
                  </w:pPr>
                  <w:r w:rsidRPr="00056463">
                    <w:t>-0.005</w:t>
                  </w:r>
                </w:p>
              </w:tc>
              <w:tc>
                <w:tcPr>
                  <w:tcW w:w="631" w:type="pct"/>
                  <w:shd w:val="clear" w:color="auto" w:fill="auto"/>
                </w:tcPr>
                <w:p w:rsidR="00FB7973" w:rsidRDefault="00FB7973" w:rsidP="00FB7973">
                  <w:pPr>
                    <w:pStyle w:val="TableBodyText"/>
                    <w:ind w:right="28"/>
                  </w:pPr>
                  <w:r w:rsidRPr="00056463">
                    <w:t>0.034</w:t>
                  </w:r>
                </w:p>
              </w:tc>
              <w:tc>
                <w:tcPr>
                  <w:tcW w:w="631" w:type="pct"/>
                  <w:shd w:val="clear" w:color="auto" w:fill="auto"/>
                </w:tcPr>
                <w:p w:rsidR="00FB7973" w:rsidRDefault="00FB7973" w:rsidP="00FB7973">
                  <w:pPr>
                    <w:pStyle w:val="TableBodyText"/>
                    <w:ind w:right="28"/>
                  </w:pPr>
                  <w:r w:rsidRPr="00056463">
                    <w:t>-0.076</w:t>
                  </w:r>
                </w:p>
              </w:tc>
              <w:tc>
                <w:tcPr>
                  <w:tcW w:w="631" w:type="pct"/>
                </w:tcPr>
                <w:p w:rsidR="00FB7973" w:rsidRDefault="00FB7973" w:rsidP="00FB7973">
                  <w:pPr>
                    <w:pStyle w:val="TableBodyText"/>
                    <w:ind w:right="28"/>
                  </w:pPr>
                  <w:r w:rsidRPr="00056463">
                    <w:t>-0.005</w:t>
                  </w:r>
                </w:p>
              </w:tc>
              <w:tc>
                <w:tcPr>
                  <w:tcW w:w="631" w:type="pct"/>
                </w:tcPr>
                <w:p w:rsidR="00FB7973" w:rsidRDefault="00FB7973" w:rsidP="00FB7973">
                  <w:pPr>
                    <w:pStyle w:val="TableBodyText"/>
                    <w:ind w:right="28"/>
                  </w:pPr>
                  <w:r w:rsidRPr="00056463">
                    <w:t>0.058</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Public</w:t>
                  </w:r>
                </w:p>
              </w:tc>
              <w:tc>
                <w:tcPr>
                  <w:tcW w:w="631" w:type="pct"/>
                  <w:shd w:val="clear" w:color="auto" w:fill="F2F2F2" w:themeFill="background1" w:themeFillShade="F2"/>
                </w:tcPr>
                <w:p w:rsidR="00FB7973" w:rsidRDefault="00FB7973" w:rsidP="00FB7973">
                  <w:pPr>
                    <w:pStyle w:val="TableBodyText"/>
                    <w:ind w:right="28"/>
                  </w:pPr>
                  <w:r w:rsidRPr="00056463">
                    <w:t>0.034</w:t>
                  </w:r>
                </w:p>
              </w:tc>
              <w:tc>
                <w:tcPr>
                  <w:tcW w:w="631" w:type="pct"/>
                  <w:shd w:val="clear" w:color="auto" w:fill="F2F2F2" w:themeFill="background1" w:themeFillShade="F2"/>
                </w:tcPr>
                <w:p w:rsidR="00FB7973" w:rsidRDefault="00FB7973" w:rsidP="00FB7973">
                  <w:pPr>
                    <w:pStyle w:val="TableBodyText"/>
                    <w:ind w:right="28"/>
                  </w:pPr>
                  <w:r w:rsidRPr="00056463">
                    <w:t>0.048</w:t>
                  </w:r>
                </w:p>
              </w:tc>
              <w:tc>
                <w:tcPr>
                  <w:tcW w:w="631" w:type="pct"/>
                  <w:shd w:val="clear" w:color="auto" w:fill="F2F2F2" w:themeFill="background1" w:themeFillShade="F2"/>
                </w:tcPr>
                <w:p w:rsidR="00FB7973" w:rsidRDefault="00FB7973" w:rsidP="00FB7973">
                  <w:pPr>
                    <w:pStyle w:val="TableBodyText"/>
                    <w:ind w:right="28"/>
                  </w:pPr>
                  <w:r w:rsidRPr="00056463">
                    <w:t>-0.064</w:t>
                  </w:r>
                </w:p>
              </w:tc>
              <w:tc>
                <w:tcPr>
                  <w:tcW w:w="631" w:type="pct"/>
                  <w:shd w:val="clear" w:color="auto" w:fill="F2F2F2" w:themeFill="background1" w:themeFillShade="F2"/>
                </w:tcPr>
                <w:p w:rsidR="00FB7973" w:rsidRDefault="00FB7973" w:rsidP="00FB7973">
                  <w:pPr>
                    <w:pStyle w:val="TableBodyText"/>
                    <w:ind w:right="28"/>
                  </w:pPr>
                  <w:r w:rsidRPr="00056463">
                    <w:t>0.036</w:t>
                  </w:r>
                </w:p>
              </w:tc>
              <w:tc>
                <w:tcPr>
                  <w:tcW w:w="631" w:type="pct"/>
                  <w:shd w:val="clear" w:color="auto" w:fill="F2F2F2" w:themeFill="background1" w:themeFillShade="F2"/>
                </w:tcPr>
                <w:p w:rsidR="00FB7973" w:rsidRDefault="00FB7973" w:rsidP="00FB7973">
                  <w:pPr>
                    <w:pStyle w:val="TableBodyText"/>
                    <w:ind w:right="28"/>
                  </w:pPr>
                  <w:r w:rsidRPr="00056463">
                    <w:t>0.123</w:t>
                  </w:r>
                </w:p>
              </w:tc>
            </w:tr>
            <w:tr w:rsidR="00FB7973" w:rsidTr="00FB7973">
              <w:tc>
                <w:tcPr>
                  <w:tcW w:w="1844" w:type="pct"/>
                  <w:shd w:val="clear" w:color="auto" w:fill="auto"/>
                  <w:vAlign w:val="bottom"/>
                </w:tcPr>
                <w:p w:rsidR="00FB7973" w:rsidRDefault="00FB7973" w:rsidP="00FB7973">
                  <w:pPr>
                    <w:pStyle w:val="TableBodyText"/>
                    <w:jc w:val="left"/>
                  </w:pPr>
                  <w:r w:rsidRPr="00C358C1">
                    <w:t>Retail</w:t>
                  </w:r>
                </w:p>
              </w:tc>
              <w:tc>
                <w:tcPr>
                  <w:tcW w:w="631" w:type="pct"/>
                </w:tcPr>
                <w:p w:rsidR="00FB7973" w:rsidRDefault="00FB7973" w:rsidP="00FB7973">
                  <w:pPr>
                    <w:pStyle w:val="TableBodyText"/>
                    <w:ind w:right="28"/>
                  </w:pPr>
                  <w:r w:rsidRPr="00056463">
                    <w:t>-0.026</w:t>
                  </w:r>
                </w:p>
              </w:tc>
              <w:tc>
                <w:tcPr>
                  <w:tcW w:w="631" w:type="pct"/>
                  <w:shd w:val="clear" w:color="auto" w:fill="auto"/>
                </w:tcPr>
                <w:p w:rsidR="00FB7973" w:rsidRDefault="00FB7973" w:rsidP="00FB7973">
                  <w:pPr>
                    <w:pStyle w:val="TableBodyText"/>
                    <w:ind w:right="28"/>
                  </w:pPr>
                  <w:r w:rsidRPr="00056463">
                    <w:t>0.033</w:t>
                  </w:r>
                </w:p>
              </w:tc>
              <w:tc>
                <w:tcPr>
                  <w:tcW w:w="631" w:type="pct"/>
                  <w:shd w:val="clear" w:color="auto" w:fill="auto"/>
                </w:tcPr>
                <w:p w:rsidR="00FB7973" w:rsidRDefault="00FB7973" w:rsidP="00FB7973">
                  <w:pPr>
                    <w:pStyle w:val="TableBodyText"/>
                    <w:ind w:right="28"/>
                  </w:pPr>
                  <w:r w:rsidRPr="00056463">
                    <w:t>-0.092</w:t>
                  </w:r>
                </w:p>
              </w:tc>
              <w:tc>
                <w:tcPr>
                  <w:tcW w:w="631" w:type="pct"/>
                </w:tcPr>
                <w:p w:rsidR="00FB7973" w:rsidRDefault="00FB7973" w:rsidP="00FB7973">
                  <w:pPr>
                    <w:pStyle w:val="TableBodyText"/>
                    <w:ind w:right="28"/>
                  </w:pPr>
                  <w:r w:rsidRPr="00056463">
                    <w:t>-0.027</w:t>
                  </w:r>
                </w:p>
              </w:tc>
              <w:tc>
                <w:tcPr>
                  <w:tcW w:w="631" w:type="pct"/>
                </w:tcPr>
                <w:p w:rsidR="00FB7973" w:rsidRDefault="00FB7973" w:rsidP="00FB7973">
                  <w:pPr>
                    <w:pStyle w:val="TableBodyText"/>
                    <w:ind w:right="28"/>
                  </w:pPr>
                  <w:r w:rsidRPr="00056463">
                    <w:t>0.038</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Change in total expenses due to size</w:t>
                  </w:r>
                </w:p>
              </w:tc>
              <w:tc>
                <w:tcPr>
                  <w:tcW w:w="631" w:type="pct"/>
                  <w:shd w:val="clear" w:color="auto" w:fill="F2F2F2" w:themeFill="background1" w:themeFillShade="F2"/>
                </w:tcPr>
                <w:p w:rsidR="00FB7973" w:rsidRDefault="00FB7973" w:rsidP="00FB7973">
                  <w:pPr>
                    <w:pStyle w:val="TableBodyText"/>
                    <w:ind w:right="28"/>
                  </w:pPr>
                  <w:r w:rsidRPr="00056463">
                    <w:t>-0.034</w:t>
                  </w:r>
                </w:p>
              </w:tc>
              <w:tc>
                <w:tcPr>
                  <w:tcW w:w="631" w:type="pct"/>
                  <w:shd w:val="clear" w:color="auto" w:fill="F2F2F2" w:themeFill="background1" w:themeFillShade="F2"/>
                </w:tcPr>
                <w:p w:rsidR="00FB7973" w:rsidRDefault="00FB7973" w:rsidP="00FB7973">
                  <w:pPr>
                    <w:pStyle w:val="TableBodyText"/>
                    <w:ind w:right="28"/>
                  </w:pPr>
                  <w:r w:rsidRPr="00056463">
                    <w:t>0.224</w:t>
                  </w:r>
                </w:p>
              </w:tc>
              <w:tc>
                <w:tcPr>
                  <w:tcW w:w="631" w:type="pct"/>
                  <w:shd w:val="clear" w:color="auto" w:fill="F2F2F2" w:themeFill="background1" w:themeFillShade="F2"/>
                </w:tcPr>
                <w:p w:rsidR="00FB7973" w:rsidRDefault="00FB7973" w:rsidP="00FB7973">
                  <w:pPr>
                    <w:pStyle w:val="TableBodyText"/>
                    <w:ind w:right="28"/>
                  </w:pPr>
                  <w:r w:rsidRPr="00056463">
                    <w:t>-0.481</w:t>
                  </w:r>
                </w:p>
              </w:tc>
              <w:tc>
                <w:tcPr>
                  <w:tcW w:w="631" w:type="pct"/>
                  <w:shd w:val="clear" w:color="auto" w:fill="F2F2F2" w:themeFill="background1" w:themeFillShade="F2"/>
                </w:tcPr>
                <w:p w:rsidR="00FB7973" w:rsidRDefault="00FB7973" w:rsidP="00FB7973">
                  <w:pPr>
                    <w:pStyle w:val="TableBodyText"/>
                    <w:ind w:right="28"/>
                  </w:pPr>
                  <w:r w:rsidRPr="00056463">
                    <w:t>-0.034</w:t>
                  </w:r>
                </w:p>
              </w:tc>
              <w:tc>
                <w:tcPr>
                  <w:tcW w:w="631" w:type="pct"/>
                  <w:shd w:val="clear" w:color="auto" w:fill="F2F2F2" w:themeFill="background1" w:themeFillShade="F2"/>
                </w:tcPr>
                <w:p w:rsidR="00FB7973" w:rsidRDefault="00FB7973" w:rsidP="00FB7973">
                  <w:pPr>
                    <w:pStyle w:val="TableBodyText"/>
                    <w:ind w:right="28"/>
                  </w:pPr>
                  <w:r w:rsidRPr="00056463">
                    <w:t>0.391</w:t>
                  </w:r>
                </w:p>
              </w:tc>
            </w:tr>
            <w:tr w:rsidR="00FB7973" w:rsidTr="00FB7973">
              <w:tc>
                <w:tcPr>
                  <w:tcW w:w="1844" w:type="pct"/>
                  <w:shd w:val="clear" w:color="auto" w:fill="auto"/>
                  <w:vAlign w:val="bottom"/>
                </w:tcPr>
                <w:p w:rsidR="00FB7973" w:rsidRDefault="00FB7973" w:rsidP="00FB7973">
                  <w:pPr>
                    <w:pStyle w:val="TableBodyText"/>
                    <w:jc w:val="left"/>
                  </w:pPr>
                  <w:r w:rsidRPr="00C358C1">
                    <w:t>Industry x Change in total expenses due to size</w:t>
                  </w:r>
                </w:p>
              </w:tc>
              <w:tc>
                <w:tcPr>
                  <w:tcW w:w="631" w:type="pct"/>
                </w:tcPr>
                <w:p w:rsidR="00FB7973" w:rsidRDefault="00FB7973" w:rsidP="00FB7973">
                  <w:pPr>
                    <w:pStyle w:val="TableBodyText"/>
                    <w:ind w:right="28"/>
                  </w:pPr>
                  <w:r w:rsidRPr="00056463">
                    <w:t>0.006</w:t>
                  </w:r>
                </w:p>
              </w:tc>
              <w:tc>
                <w:tcPr>
                  <w:tcW w:w="631" w:type="pct"/>
                  <w:shd w:val="clear" w:color="auto" w:fill="auto"/>
                </w:tcPr>
                <w:p w:rsidR="00FB7973" w:rsidRDefault="00FB7973" w:rsidP="00FB7973">
                  <w:pPr>
                    <w:pStyle w:val="TableBodyText"/>
                    <w:ind w:right="28"/>
                  </w:pPr>
                  <w:r w:rsidRPr="00056463">
                    <w:t>0.243</w:t>
                  </w:r>
                </w:p>
              </w:tc>
              <w:tc>
                <w:tcPr>
                  <w:tcW w:w="631" w:type="pct"/>
                  <w:shd w:val="clear" w:color="auto" w:fill="auto"/>
                </w:tcPr>
                <w:p w:rsidR="00FB7973" w:rsidRDefault="00FB7973" w:rsidP="00FB7973">
                  <w:pPr>
                    <w:pStyle w:val="TableBodyText"/>
                    <w:ind w:right="28"/>
                  </w:pPr>
                  <w:r w:rsidRPr="00056463">
                    <w:t>-0.461</w:t>
                  </w:r>
                </w:p>
              </w:tc>
              <w:tc>
                <w:tcPr>
                  <w:tcW w:w="631" w:type="pct"/>
                </w:tcPr>
                <w:p w:rsidR="00FB7973" w:rsidRDefault="00FB7973" w:rsidP="00FB7973">
                  <w:pPr>
                    <w:pStyle w:val="TableBodyText"/>
                    <w:ind w:right="28"/>
                  </w:pPr>
                  <w:r w:rsidRPr="00056463">
                    <w:t>-0.005</w:t>
                  </w:r>
                </w:p>
              </w:tc>
              <w:tc>
                <w:tcPr>
                  <w:tcW w:w="631" w:type="pct"/>
                </w:tcPr>
                <w:p w:rsidR="00FB7973" w:rsidRDefault="00FB7973" w:rsidP="00FB7973">
                  <w:pPr>
                    <w:pStyle w:val="TableBodyText"/>
                    <w:ind w:right="28"/>
                  </w:pPr>
                  <w:r w:rsidRPr="00056463">
                    <w:t>0.516</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Public x Change in total expenses due to size</w:t>
                  </w:r>
                </w:p>
              </w:tc>
              <w:tc>
                <w:tcPr>
                  <w:tcW w:w="631" w:type="pct"/>
                  <w:shd w:val="clear" w:color="auto" w:fill="F2F2F2" w:themeFill="background1" w:themeFillShade="F2"/>
                </w:tcPr>
                <w:p w:rsidR="00FB7973" w:rsidRDefault="00FB7973" w:rsidP="00FB7973">
                  <w:pPr>
                    <w:pStyle w:val="TableBodyText"/>
                    <w:ind w:right="28"/>
                  </w:pPr>
                  <w:r w:rsidRPr="00056463">
                    <w:t>-0.213</w:t>
                  </w:r>
                </w:p>
              </w:tc>
              <w:tc>
                <w:tcPr>
                  <w:tcW w:w="631" w:type="pct"/>
                  <w:shd w:val="clear" w:color="auto" w:fill="F2F2F2" w:themeFill="background1" w:themeFillShade="F2"/>
                </w:tcPr>
                <w:p w:rsidR="00FB7973" w:rsidRDefault="00FB7973" w:rsidP="00FB7973">
                  <w:pPr>
                    <w:pStyle w:val="TableBodyText"/>
                    <w:ind w:right="28"/>
                  </w:pPr>
                  <w:r w:rsidRPr="00056463">
                    <w:t>0.319</w:t>
                  </w:r>
                </w:p>
              </w:tc>
              <w:tc>
                <w:tcPr>
                  <w:tcW w:w="631" w:type="pct"/>
                  <w:shd w:val="clear" w:color="auto" w:fill="F2F2F2" w:themeFill="background1" w:themeFillShade="F2"/>
                </w:tcPr>
                <w:p w:rsidR="00FB7973" w:rsidRDefault="00FB7973" w:rsidP="00FB7973">
                  <w:pPr>
                    <w:pStyle w:val="TableBodyText"/>
                    <w:ind w:right="28"/>
                  </w:pPr>
                  <w:r w:rsidRPr="00056463">
                    <w:t>-0.829</w:t>
                  </w:r>
                </w:p>
              </w:tc>
              <w:tc>
                <w:tcPr>
                  <w:tcW w:w="631" w:type="pct"/>
                  <w:shd w:val="clear" w:color="auto" w:fill="F2F2F2" w:themeFill="background1" w:themeFillShade="F2"/>
                </w:tcPr>
                <w:p w:rsidR="00FB7973" w:rsidRDefault="00FB7973" w:rsidP="00FB7973">
                  <w:pPr>
                    <w:pStyle w:val="TableBodyText"/>
                    <w:ind w:right="28"/>
                  </w:pPr>
                  <w:r w:rsidRPr="00056463">
                    <w:t>-0.213</w:t>
                  </w:r>
                </w:p>
              </w:tc>
              <w:tc>
                <w:tcPr>
                  <w:tcW w:w="631" w:type="pct"/>
                  <w:shd w:val="clear" w:color="auto" w:fill="F2F2F2" w:themeFill="background1" w:themeFillShade="F2"/>
                </w:tcPr>
                <w:p w:rsidR="00FB7973" w:rsidRDefault="00FB7973" w:rsidP="00FB7973">
                  <w:pPr>
                    <w:pStyle w:val="TableBodyText"/>
                    <w:ind w:right="28"/>
                  </w:pPr>
                  <w:r w:rsidRPr="00056463">
                    <w:t>0.374</w:t>
                  </w:r>
                </w:p>
              </w:tc>
            </w:tr>
            <w:tr w:rsidR="00FB7973" w:rsidTr="00FB7973">
              <w:tc>
                <w:tcPr>
                  <w:tcW w:w="1844" w:type="pct"/>
                  <w:shd w:val="clear" w:color="auto" w:fill="auto"/>
                  <w:vAlign w:val="bottom"/>
                </w:tcPr>
                <w:p w:rsidR="00FB7973" w:rsidRDefault="00FB7973" w:rsidP="00FB7973">
                  <w:pPr>
                    <w:pStyle w:val="TableBodyText"/>
                    <w:jc w:val="left"/>
                  </w:pPr>
                  <w:r w:rsidRPr="00C358C1">
                    <w:t>Retail x Change in total expenses due to size</w:t>
                  </w:r>
                </w:p>
              </w:tc>
              <w:tc>
                <w:tcPr>
                  <w:tcW w:w="631" w:type="pct"/>
                </w:tcPr>
                <w:p w:rsidR="00FB7973" w:rsidRDefault="00FB7973" w:rsidP="00FB7973">
                  <w:pPr>
                    <w:pStyle w:val="TableBodyText"/>
                    <w:ind w:right="28"/>
                  </w:pPr>
                  <w:r w:rsidRPr="00056463">
                    <w:t>-0.053</w:t>
                  </w:r>
                </w:p>
              </w:tc>
              <w:tc>
                <w:tcPr>
                  <w:tcW w:w="631" w:type="pct"/>
                  <w:shd w:val="clear" w:color="auto" w:fill="auto"/>
                </w:tcPr>
                <w:p w:rsidR="00FB7973" w:rsidRDefault="00FB7973" w:rsidP="00FB7973">
                  <w:pPr>
                    <w:pStyle w:val="TableBodyText"/>
                    <w:ind w:right="28"/>
                  </w:pPr>
                  <w:r w:rsidRPr="00056463">
                    <w:t>0.230</w:t>
                  </w:r>
                </w:p>
              </w:tc>
              <w:tc>
                <w:tcPr>
                  <w:tcW w:w="631" w:type="pct"/>
                  <w:shd w:val="clear" w:color="auto" w:fill="auto"/>
                </w:tcPr>
                <w:p w:rsidR="00FB7973" w:rsidRDefault="00FB7973" w:rsidP="00FB7973">
                  <w:pPr>
                    <w:pStyle w:val="TableBodyText"/>
                    <w:ind w:right="28"/>
                  </w:pPr>
                  <w:r w:rsidRPr="00056463">
                    <w:t>-0.484</w:t>
                  </w:r>
                </w:p>
              </w:tc>
              <w:tc>
                <w:tcPr>
                  <w:tcW w:w="631" w:type="pct"/>
                </w:tcPr>
                <w:p w:rsidR="00FB7973" w:rsidRDefault="00FB7973" w:rsidP="00FB7973">
                  <w:pPr>
                    <w:pStyle w:val="TableBodyText"/>
                    <w:ind w:right="28"/>
                  </w:pPr>
                  <w:r w:rsidRPr="00056463">
                    <w:t>-0.056</w:t>
                  </w:r>
                </w:p>
              </w:tc>
              <w:tc>
                <w:tcPr>
                  <w:tcW w:w="631" w:type="pct"/>
                </w:tcPr>
                <w:p w:rsidR="00FB7973" w:rsidRDefault="00FB7973" w:rsidP="00FB7973">
                  <w:pPr>
                    <w:pStyle w:val="TableBodyText"/>
                    <w:ind w:right="28"/>
                  </w:pPr>
                  <w:r w:rsidRPr="00056463">
                    <w:t>0.422</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Intercept</w:t>
                  </w:r>
                </w:p>
              </w:tc>
              <w:tc>
                <w:tcPr>
                  <w:tcW w:w="631" w:type="pct"/>
                  <w:shd w:val="clear" w:color="auto" w:fill="F2F2F2" w:themeFill="background1" w:themeFillShade="F2"/>
                </w:tcPr>
                <w:p w:rsidR="00FB7973" w:rsidRDefault="00FB7973" w:rsidP="00FB7973">
                  <w:pPr>
                    <w:pStyle w:val="TableBodyText"/>
                    <w:ind w:right="28"/>
                  </w:pPr>
                  <w:r w:rsidRPr="00056463">
                    <w:t>0.021</w:t>
                  </w:r>
                </w:p>
              </w:tc>
              <w:tc>
                <w:tcPr>
                  <w:tcW w:w="631" w:type="pct"/>
                  <w:shd w:val="clear" w:color="auto" w:fill="F2F2F2" w:themeFill="background1" w:themeFillShade="F2"/>
                </w:tcPr>
                <w:p w:rsidR="00FB7973" w:rsidRDefault="00FB7973" w:rsidP="00FB7973">
                  <w:pPr>
                    <w:pStyle w:val="TableBodyText"/>
                    <w:ind w:right="28"/>
                  </w:pPr>
                  <w:r w:rsidRPr="00056463">
                    <w:t>0.031</w:t>
                  </w:r>
                </w:p>
              </w:tc>
              <w:tc>
                <w:tcPr>
                  <w:tcW w:w="631" w:type="pct"/>
                  <w:shd w:val="clear" w:color="auto" w:fill="F2F2F2" w:themeFill="background1" w:themeFillShade="F2"/>
                </w:tcPr>
                <w:p w:rsidR="00FB7973" w:rsidRDefault="00FB7973" w:rsidP="00FB7973">
                  <w:pPr>
                    <w:pStyle w:val="TableBodyText"/>
                    <w:ind w:right="28"/>
                  </w:pPr>
                  <w:r w:rsidRPr="00056463">
                    <w:t>-0.037</w:t>
                  </w:r>
                </w:p>
              </w:tc>
              <w:tc>
                <w:tcPr>
                  <w:tcW w:w="631" w:type="pct"/>
                  <w:shd w:val="clear" w:color="auto" w:fill="F2F2F2" w:themeFill="background1" w:themeFillShade="F2"/>
                </w:tcPr>
                <w:p w:rsidR="00FB7973" w:rsidRDefault="00FB7973" w:rsidP="00FB7973">
                  <w:pPr>
                    <w:pStyle w:val="TableBodyText"/>
                    <w:ind w:right="28"/>
                  </w:pPr>
                  <w:r w:rsidRPr="00056463">
                    <w:t>0.021</w:t>
                  </w:r>
                </w:p>
              </w:tc>
              <w:tc>
                <w:tcPr>
                  <w:tcW w:w="631" w:type="pct"/>
                  <w:shd w:val="clear" w:color="auto" w:fill="F2F2F2" w:themeFill="background1" w:themeFillShade="F2"/>
                </w:tcPr>
                <w:p w:rsidR="00FB7973" w:rsidRDefault="00FB7973" w:rsidP="00FB7973">
                  <w:pPr>
                    <w:pStyle w:val="TableBodyText"/>
                    <w:ind w:right="28"/>
                  </w:pPr>
                  <w:r w:rsidRPr="00056463">
                    <w:t>0.083</w:t>
                  </w:r>
                </w:p>
              </w:tc>
            </w:tr>
            <w:tr w:rsidR="00FB7973" w:rsidTr="00FB7973">
              <w:tc>
                <w:tcPr>
                  <w:tcW w:w="1844" w:type="pct"/>
                  <w:shd w:val="clear" w:color="auto" w:fill="auto"/>
                  <w:vAlign w:val="bottom"/>
                </w:tcPr>
                <w:p w:rsidR="00FB7973" w:rsidRDefault="00FB7973" w:rsidP="00FB7973">
                  <w:pPr>
                    <w:pStyle w:val="TableBodyText"/>
                    <w:jc w:val="left"/>
                  </w:pPr>
                  <w:r w:rsidRPr="00C358C1">
                    <w:t>SD of total pass-through</w:t>
                  </w:r>
                </w:p>
              </w:tc>
              <w:tc>
                <w:tcPr>
                  <w:tcW w:w="631" w:type="pct"/>
                </w:tcPr>
                <w:p w:rsidR="00FB7973" w:rsidRDefault="00FB7973" w:rsidP="00FB7973">
                  <w:pPr>
                    <w:pStyle w:val="TableBodyText"/>
                    <w:ind w:right="28"/>
                  </w:pPr>
                  <w:r w:rsidRPr="00056463">
                    <w:t>0.226</w:t>
                  </w:r>
                </w:p>
              </w:tc>
              <w:tc>
                <w:tcPr>
                  <w:tcW w:w="631" w:type="pct"/>
                  <w:shd w:val="clear" w:color="auto" w:fill="auto"/>
                </w:tcPr>
                <w:p w:rsidR="00FB7973" w:rsidRDefault="00FB7973" w:rsidP="00FB7973">
                  <w:pPr>
                    <w:pStyle w:val="TableBodyText"/>
                    <w:ind w:right="28"/>
                  </w:pPr>
                  <w:r w:rsidRPr="00056463">
                    <w:t>0.005</w:t>
                  </w:r>
                </w:p>
              </w:tc>
              <w:tc>
                <w:tcPr>
                  <w:tcW w:w="631" w:type="pct"/>
                  <w:shd w:val="clear" w:color="auto" w:fill="auto"/>
                </w:tcPr>
                <w:p w:rsidR="00FB7973" w:rsidRDefault="00FB7973" w:rsidP="00FB7973">
                  <w:pPr>
                    <w:pStyle w:val="TableBodyText"/>
                    <w:ind w:right="28"/>
                  </w:pPr>
                  <w:r w:rsidRPr="00056463">
                    <w:t>0.217</w:t>
                  </w:r>
                </w:p>
              </w:tc>
              <w:tc>
                <w:tcPr>
                  <w:tcW w:w="631" w:type="pct"/>
                </w:tcPr>
                <w:p w:rsidR="00FB7973" w:rsidRDefault="00FB7973" w:rsidP="00FB7973">
                  <w:pPr>
                    <w:pStyle w:val="TableBodyText"/>
                    <w:ind w:right="28"/>
                  </w:pPr>
                  <w:r w:rsidRPr="00056463">
                    <w:t>0.226</w:t>
                  </w:r>
                </w:p>
              </w:tc>
              <w:tc>
                <w:tcPr>
                  <w:tcW w:w="631" w:type="pct"/>
                </w:tcPr>
                <w:p w:rsidR="00FB7973" w:rsidRDefault="00FB7973" w:rsidP="00FB7973">
                  <w:pPr>
                    <w:pStyle w:val="TableBodyText"/>
                    <w:ind w:right="28"/>
                  </w:pPr>
                  <w:r w:rsidRPr="00056463">
                    <w:t>0.237</w:t>
                  </w:r>
                </w:p>
              </w:tc>
            </w:tr>
            <w:tr w:rsidR="00FB7973" w:rsidTr="00FB7973">
              <w:tc>
                <w:tcPr>
                  <w:tcW w:w="1844" w:type="pct"/>
                  <w:shd w:val="clear" w:color="auto" w:fill="F2F2F2" w:themeFill="background1" w:themeFillShade="F2"/>
                  <w:vAlign w:val="bottom"/>
                </w:tcPr>
                <w:p w:rsidR="00FB7973" w:rsidRDefault="00FB7973" w:rsidP="00FB7973">
                  <w:pPr>
                    <w:pStyle w:val="TableBodyText"/>
                    <w:jc w:val="left"/>
                  </w:pPr>
                  <w:r w:rsidRPr="00C358C1">
                    <w:t>SD of varying intercept</w:t>
                  </w:r>
                </w:p>
              </w:tc>
              <w:tc>
                <w:tcPr>
                  <w:tcW w:w="631" w:type="pct"/>
                  <w:shd w:val="clear" w:color="auto" w:fill="F2F2F2" w:themeFill="background1" w:themeFillShade="F2"/>
                </w:tcPr>
                <w:p w:rsidR="00FB7973" w:rsidRDefault="00FB7973" w:rsidP="00FB7973">
                  <w:pPr>
                    <w:pStyle w:val="TableBodyText"/>
                    <w:ind w:right="28"/>
                  </w:pPr>
                  <w:r w:rsidRPr="00056463">
                    <w:t>0.044</w:t>
                  </w:r>
                </w:p>
              </w:tc>
              <w:tc>
                <w:tcPr>
                  <w:tcW w:w="631" w:type="pct"/>
                  <w:shd w:val="clear" w:color="auto" w:fill="F2F2F2" w:themeFill="background1" w:themeFillShade="F2"/>
                </w:tcPr>
                <w:p w:rsidR="00FB7973" w:rsidRDefault="00FB7973" w:rsidP="00FB7973">
                  <w:pPr>
                    <w:pStyle w:val="TableBodyText"/>
                    <w:ind w:right="28"/>
                  </w:pPr>
                  <w:r w:rsidRPr="00056463">
                    <w:t>0.006</w:t>
                  </w:r>
                </w:p>
              </w:tc>
              <w:tc>
                <w:tcPr>
                  <w:tcW w:w="631" w:type="pct"/>
                  <w:shd w:val="clear" w:color="auto" w:fill="F2F2F2" w:themeFill="background1" w:themeFillShade="F2"/>
                </w:tcPr>
                <w:p w:rsidR="00FB7973" w:rsidRDefault="00FB7973" w:rsidP="00FB7973">
                  <w:pPr>
                    <w:pStyle w:val="TableBodyText"/>
                    <w:ind w:right="28"/>
                  </w:pPr>
                  <w:r w:rsidRPr="00056463">
                    <w:t>0.034</w:t>
                  </w:r>
                </w:p>
              </w:tc>
              <w:tc>
                <w:tcPr>
                  <w:tcW w:w="631" w:type="pct"/>
                  <w:shd w:val="clear" w:color="auto" w:fill="F2F2F2" w:themeFill="background1" w:themeFillShade="F2"/>
                </w:tcPr>
                <w:p w:rsidR="00FB7973" w:rsidRDefault="00FB7973" w:rsidP="00FB7973">
                  <w:pPr>
                    <w:pStyle w:val="TableBodyText"/>
                    <w:ind w:right="28"/>
                  </w:pPr>
                  <w:r w:rsidRPr="00056463">
                    <w:t>0.044</w:t>
                  </w:r>
                </w:p>
              </w:tc>
              <w:tc>
                <w:tcPr>
                  <w:tcW w:w="631" w:type="pct"/>
                  <w:shd w:val="clear" w:color="auto" w:fill="F2F2F2" w:themeFill="background1" w:themeFillShade="F2"/>
                </w:tcPr>
                <w:p w:rsidR="00FB7973" w:rsidRDefault="00FB7973" w:rsidP="00FB7973">
                  <w:pPr>
                    <w:pStyle w:val="TableBodyText"/>
                    <w:ind w:right="28"/>
                  </w:pPr>
                  <w:r w:rsidRPr="00056463">
                    <w:t>0.058</w:t>
                  </w:r>
                </w:p>
              </w:tc>
            </w:tr>
            <w:tr w:rsidR="00FB7973" w:rsidTr="00FB7973">
              <w:tc>
                <w:tcPr>
                  <w:tcW w:w="1844" w:type="pct"/>
                  <w:tcBorders>
                    <w:bottom w:val="single" w:sz="6" w:space="0" w:color="BFBFBF" w:themeColor="background1" w:themeShade="BF"/>
                  </w:tcBorders>
                  <w:shd w:val="clear" w:color="auto" w:fill="auto"/>
                  <w:vAlign w:val="bottom"/>
                </w:tcPr>
                <w:p w:rsidR="00FB7973" w:rsidRDefault="00FB7973" w:rsidP="00FB7973">
                  <w:pPr>
                    <w:pStyle w:val="TableBodyText"/>
                    <w:jc w:val="left"/>
                  </w:pPr>
                  <w:r w:rsidRPr="00C358C1">
                    <w:t xml:space="preserve">SD of varying </w:t>
                  </w:r>
                  <w:r>
                    <w:t xml:space="preserve">slope: </w:t>
                  </w:r>
                  <w:r w:rsidRPr="00C358C1">
                    <w:t xml:space="preserve">Change in total expenses due to size </w:t>
                  </w:r>
                </w:p>
              </w:tc>
              <w:tc>
                <w:tcPr>
                  <w:tcW w:w="631" w:type="pct"/>
                  <w:tcBorders>
                    <w:bottom w:val="single" w:sz="6" w:space="0" w:color="BFBFBF" w:themeColor="background1" w:themeShade="BF"/>
                  </w:tcBorders>
                </w:tcPr>
                <w:p w:rsidR="00FB7973" w:rsidRDefault="00FB7973" w:rsidP="00FB7973">
                  <w:pPr>
                    <w:pStyle w:val="TableBodyText"/>
                    <w:ind w:right="28"/>
                  </w:pPr>
                  <w:r w:rsidRPr="00056463">
                    <w:t>0.161</w:t>
                  </w:r>
                </w:p>
              </w:tc>
              <w:tc>
                <w:tcPr>
                  <w:tcW w:w="631" w:type="pct"/>
                  <w:tcBorders>
                    <w:bottom w:val="single" w:sz="6" w:space="0" w:color="BFBFBF" w:themeColor="background1" w:themeShade="BF"/>
                  </w:tcBorders>
                  <w:shd w:val="clear" w:color="auto" w:fill="auto"/>
                </w:tcPr>
                <w:p w:rsidR="00FB7973" w:rsidRDefault="00FB7973" w:rsidP="00FB7973">
                  <w:pPr>
                    <w:pStyle w:val="TableBodyText"/>
                    <w:ind w:right="28"/>
                  </w:pPr>
                  <w:r w:rsidRPr="00056463">
                    <w:t>0.042</w:t>
                  </w:r>
                </w:p>
              </w:tc>
              <w:tc>
                <w:tcPr>
                  <w:tcW w:w="631" w:type="pct"/>
                  <w:tcBorders>
                    <w:bottom w:val="single" w:sz="6" w:space="0" w:color="BFBFBF" w:themeColor="background1" w:themeShade="BF"/>
                  </w:tcBorders>
                  <w:shd w:val="clear" w:color="auto" w:fill="auto"/>
                </w:tcPr>
                <w:p w:rsidR="00FB7973" w:rsidRDefault="00FB7973" w:rsidP="00FB7973">
                  <w:pPr>
                    <w:pStyle w:val="TableBodyText"/>
                    <w:ind w:right="28"/>
                  </w:pPr>
                  <w:r w:rsidRPr="00056463">
                    <w:t>0.094</w:t>
                  </w:r>
                </w:p>
              </w:tc>
              <w:tc>
                <w:tcPr>
                  <w:tcW w:w="631" w:type="pct"/>
                  <w:tcBorders>
                    <w:bottom w:val="single" w:sz="6" w:space="0" w:color="BFBFBF" w:themeColor="background1" w:themeShade="BF"/>
                  </w:tcBorders>
                </w:tcPr>
                <w:p w:rsidR="00FB7973" w:rsidRDefault="00FB7973" w:rsidP="00FB7973">
                  <w:pPr>
                    <w:pStyle w:val="TableBodyText"/>
                    <w:ind w:right="28"/>
                  </w:pPr>
                  <w:r w:rsidRPr="00056463">
                    <w:t>0.156</w:t>
                  </w:r>
                </w:p>
              </w:tc>
              <w:tc>
                <w:tcPr>
                  <w:tcW w:w="631" w:type="pct"/>
                  <w:tcBorders>
                    <w:bottom w:val="single" w:sz="6" w:space="0" w:color="BFBFBF" w:themeColor="background1" w:themeShade="BF"/>
                  </w:tcBorders>
                </w:tcPr>
                <w:p w:rsidR="00FB7973" w:rsidRDefault="00FB7973" w:rsidP="00FB7973">
                  <w:pPr>
                    <w:pStyle w:val="TableBodyText"/>
                    <w:ind w:right="28"/>
                  </w:pPr>
                  <w:r w:rsidRPr="00056463">
                    <w:t>0.261</w:t>
                  </w:r>
                </w:p>
              </w:tc>
            </w:tr>
          </w:tbl>
          <w:p w:rsidR="00FB7973" w:rsidRDefault="00FB7973" w:rsidP="00FB7973">
            <w:pPr>
              <w:pStyle w:val="Box"/>
            </w:pPr>
          </w:p>
        </w:tc>
      </w:tr>
      <w:tr w:rsidR="00FB7973" w:rsidTr="00FB7973">
        <w:tc>
          <w:tcPr>
            <w:tcW w:w="5000" w:type="pct"/>
            <w:tcBorders>
              <w:top w:val="nil"/>
              <w:left w:val="nil"/>
              <w:bottom w:val="single" w:sz="6" w:space="0" w:color="78A22F"/>
              <w:right w:val="nil"/>
            </w:tcBorders>
            <w:shd w:val="clear" w:color="auto" w:fill="auto"/>
          </w:tcPr>
          <w:p w:rsidR="00FB7973" w:rsidRDefault="00FB7973" w:rsidP="00FB7973">
            <w:pPr>
              <w:pStyle w:val="Box"/>
              <w:spacing w:before="0" w:line="120" w:lineRule="exact"/>
            </w:pPr>
          </w:p>
        </w:tc>
      </w:tr>
      <w:tr w:rsidR="00FB7973" w:rsidRPr="00626D32" w:rsidTr="00FB7973">
        <w:tc>
          <w:tcPr>
            <w:tcW w:w="5000" w:type="pct"/>
            <w:tcBorders>
              <w:top w:val="single" w:sz="6" w:space="0" w:color="78A22F"/>
              <w:left w:val="nil"/>
              <w:bottom w:val="nil"/>
              <w:right w:val="nil"/>
            </w:tcBorders>
          </w:tcPr>
          <w:p w:rsidR="00FB7973" w:rsidRPr="00626D32" w:rsidRDefault="00FB7973" w:rsidP="00FB7973">
            <w:pPr>
              <w:pStyle w:val="BoxSpaceBelow"/>
            </w:pPr>
          </w:p>
        </w:tc>
      </w:tr>
    </w:tbl>
    <w:p w:rsidR="00FB7973" w:rsidRDefault="00FB7973"/>
    <w:p w:rsidR="00D26E3B" w:rsidRPr="00F76FED" w:rsidRDefault="00D26E3B">
      <w:r>
        <w:br w:type="page"/>
      </w:r>
    </w:p>
    <w:p w:rsidR="007008FE" w:rsidRDefault="003A6CBF" w:rsidP="00726C6E">
      <w:pPr>
        <w:pStyle w:val="Heading2"/>
      </w:pPr>
      <w:bookmarkStart w:id="74" w:name="_Toc530748508"/>
      <w:r>
        <w:lastRenderedPageBreak/>
        <w:t xml:space="preserve">Appendix </w:t>
      </w:r>
      <w:r w:rsidR="00AD0D87" w:rsidDel="00D26E3B">
        <w:t>F</w:t>
      </w:r>
      <w:r w:rsidR="007008FE">
        <w:t>: Additional figures</w:t>
      </w:r>
      <w:bookmarkEnd w:id="74"/>
    </w:p>
    <w:p w:rsidR="009C39BA" w:rsidRPr="00203498" w:rsidRDefault="004C4BB2" w:rsidP="009C39BA">
      <w:pPr>
        <w:pStyle w:val="BodyText"/>
        <w:rPr>
          <w:spacing w:val="-2"/>
        </w:rPr>
      </w:pPr>
      <w:r>
        <w:t xml:space="preserve">As </w:t>
      </w:r>
      <w:r w:rsidR="004475D1">
        <w:t xml:space="preserve">previously </w:t>
      </w:r>
      <w:r>
        <w:t>discussed</w:t>
      </w:r>
      <w:r w:rsidR="004475D1">
        <w:t>,</w:t>
      </w:r>
      <w:r>
        <w:t xml:space="preserve"> </w:t>
      </w:r>
      <w:r w:rsidR="004475D1">
        <w:rPr>
          <w:spacing w:val="-2"/>
        </w:rPr>
        <w:t>i</w:t>
      </w:r>
      <w:r w:rsidR="009C39BA">
        <w:rPr>
          <w:spacing w:val="-2"/>
        </w:rPr>
        <w:t>nspection of the log transformations of the size and expenses variables data revealed linear relationships (figure </w:t>
      </w:r>
      <w:r w:rsidR="00F1457E">
        <w:rPr>
          <w:spacing w:val="-2"/>
        </w:rPr>
        <w:t>F</w:t>
      </w:r>
      <w:r w:rsidR="00D24323">
        <w:rPr>
          <w:spacing w:val="-2"/>
        </w:rPr>
        <w:t>.1</w:t>
      </w:r>
      <w:r w:rsidR="009C39BA">
        <w:rPr>
          <w:spacing w:val="-2"/>
        </w:rPr>
        <w:t>) — suggesting that a linear model is appropriate once logs are taken.</w:t>
      </w:r>
    </w:p>
    <w:p w:rsidR="009C39BA" w:rsidRDefault="009C39BA" w:rsidP="009C39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C39BA" w:rsidTr="00690BB2">
        <w:trPr>
          <w:tblHeader/>
        </w:trPr>
        <w:tc>
          <w:tcPr>
            <w:tcW w:w="5000" w:type="pct"/>
            <w:tcBorders>
              <w:top w:val="single" w:sz="6" w:space="0" w:color="78A22F"/>
              <w:left w:val="nil"/>
              <w:bottom w:val="nil"/>
              <w:right w:val="nil"/>
            </w:tcBorders>
            <w:shd w:val="clear" w:color="auto" w:fill="auto"/>
          </w:tcPr>
          <w:p w:rsidR="009C39BA" w:rsidRPr="00176D3F" w:rsidRDefault="009C39BA" w:rsidP="00D24323">
            <w:pPr>
              <w:pStyle w:val="FigureTitle"/>
            </w:pPr>
            <w:r w:rsidRPr="00784A05">
              <w:rPr>
                <w:b w:val="0"/>
              </w:rPr>
              <w:t xml:space="preserve">Figure </w:t>
            </w:r>
            <w:r w:rsidR="00F1457E">
              <w:rPr>
                <w:b w:val="0"/>
              </w:rPr>
              <w:t>F</w:t>
            </w:r>
            <w:r w:rsidR="00D24323">
              <w:rPr>
                <w:b w:val="0"/>
              </w:rPr>
              <w:t>.1</w:t>
            </w:r>
            <w:r>
              <w:tab/>
              <w:t>A linear model is appropriate</w:t>
            </w:r>
          </w:p>
        </w:tc>
      </w:tr>
      <w:tr w:rsidR="009C39BA" w:rsidTr="00690BB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C39BA" w:rsidRPr="00B1465D" w:rsidTr="00690BB2">
              <w:trPr>
                <w:tblHeader/>
                <w:jc w:val="center"/>
              </w:trPr>
              <w:tc>
                <w:tcPr>
                  <w:tcW w:w="5000" w:type="pct"/>
                  <w:tcBorders>
                    <w:top w:val="nil"/>
                    <w:bottom w:val="nil"/>
                  </w:tcBorders>
                </w:tcPr>
                <w:p w:rsidR="009C39BA" w:rsidRPr="00B1465D" w:rsidRDefault="009C39BA" w:rsidP="00690BB2">
                  <w:pPr>
                    <w:pStyle w:val="Figure"/>
                    <w:spacing w:before="60" w:after="60"/>
                    <w:rPr>
                      <w:rFonts w:ascii="Arial" w:hAnsi="Arial" w:cs="Arial"/>
                      <w:sz w:val="18"/>
                      <w:szCs w:val="18"/>
                    </w:rPr>
                  </w:pPr>
                  <w:r w:rsidRPr="00026124">
                    <w:rPr>
                      <w:rFonts w:ascii="Arial" w:hAnsi="Arial" w:cs="Arial"/>
                      <w:noProof/>
                      <w:sz w:val="18"/>
                      <w:szCs w:val="18"/>
                    </w:rPr>
                    <w:drawing>
                      <wp:inline distT="0" distB="0" distL="0" distR="0" wp14:anchorId="76981AEC" wp14:editId="444DD82E">
                        <wp:extent cx="5577840" cy="3131820"/>
                        <wp:effectExtent l="0" t="0" r="0" b="0"/>
                        <wp:docPr id="2" name="Picture 2" descr="A scatterplot of the log of total assets against the log of administration and investment expenses. The relationship appear to approximately linear in both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7840" cy="3131820"/>
                                </a:xfrm>
                                <a:prstGeom prst="rect">
                                  <a:avLst/>
                                </a:prstGeom>
                                <a:noFill/>
                                <a:ln>
                                  <a:noFill/>
                                </a:ln>
                              </pic:spPr>
                            </pic:pic>
                          </a:graphicData>
                        </a:graphic>
                      </wp:inline>
                    </w:drawing>
                  </w:r>
                </w:p>
              </w:tc>
            </w:tr>
          </w:tbl>
          <w:p w:rsidR="009C39BA" w:rsidRDefault="009C39BA" w:rsidP="00690BB2">
            <w:pPr>
              <w:pStyle w:val="Figure"/>
            </w:pPr>
          </w:p>
        </w:tc>
      </w:tr>
      <w:tr w:rsidR="009C39BA" w:rsidRPr="00176D3F" w:rsidTr="00690BB2">
        <w:tc>
          <w:tcPr>
            <w:tcW w:w="5000" w:type="pct"/>
            <w:tcBorders>
              <w:top w:val="nil"/>
              <w:left w:val="nil"/>
              <w:bottom w:val="nil"/>
              <w:right w:val="nil"/>
            </w:tcBorders>
            <w:shd w:val="clear" w:color="auto" w:fill="auto"/>
          </w:tcPr>
          <w:p w:rsidR="009C39BA" w:rsidRPr="00F1457E" w:rsidRDefault="000E6A4D" w:rsidP="00690BB2">
            <w:pPr>
              <w:pStyle w:val="Source"/>
            </w:pPr>
            <w:r w:rsidRPr="00F76FED">
              <w:rPr>
                <w:i/>
              </w:rPr>
              <w:t>Source</w:t>
            </w:r>
            <w:r w:rsidRPr="00F76FED">
              <w:t xml:space="preserve">: </w:t>
            </w:r>
            <w:r w:rsidRPr="0018371D">
              <w:rPr>
                <w:rFonts w:eastAsia="+mn-ea" w:cs="Arial"/>
                <w:color w:val="000000" w:themeColor="text1"/>
                <w:kern w:val="24"/>
                <w:szCs w:val="18"/>
              </w:rPr>
              <w:t>PC analysis of APRA data.</w:t>
            </w:r>
          </w:p>
        </w:tc>
      </w:tr>
      <w:tr w:rsidR="009C39BA" w:rsidTr="00690BB2">
        <w:tc>
          <w:tcPr>
            <w:tcW w:w="5000" w:type="pct"/>
            <w:tcBorders>
              <w:top w:val="nil"/>
              <w:left w:val="nil"/>
              <w:bottom w:val="single" w:sz="6" w:space="0" w:color="78A22F"/>
              <w:right w:val="nil"/>
            </w:tcBorders>
            <w:shd w:val="clear" w:color="auto" w:fill="auto"/>
          </w:tcPr>
          <w:p w:rsidR="009C39BA" w:rsidRDefault="009C39BA" w:rsidP="00690BB2">
            <w:pPr>
              <w:pStyle w:val="Figurespace"/>
            </w:pPr>
          </w:p>
        </w:tc>
      </w:tr>
      <w:tr w:rsidR="009C39BA" w:rsidRPr="000863A5" w:rsidTr="00690BB2">
        <w:tc>
          <w:tcPr>
            <w:tcW w:w="5000" w:type="pct"/>
            <w:tcBorders>
              <w:top w:val="single" w:sz="6" w:space="0" w:color="78A22F"/>
              <w:left w:val="nil"/>
              <w:bottom w:val="nil"/>
              <w:right w:val="nil"/>
            </w:tcBorders>
          </w:tcPr>
          <w:p w:rsidR="009C39BA" w:rsidRPr="00626D32" w:rsidRDefault="009C39BA" w:rsidP="00690BB2">
            <w:pPr>
              <w:pStyle w:val="BoxSpaceBelow"/>
            </w:pPr>
          </w:p>
        </w:tc>
      </w:tr>
    </w:tbl>
    <w:p w:rsidR="009C39BA" w:rsidRDefault="009C39BA" w:rsidP="009C39BA">
      <w:pPr>
        <w:pStyle w:val="BodyText"/>
      </w:pPr>
      <w:r>
        <w:t>The relationship between size and expenses varied markedly between funds, prompting the use of more flexible functional forms (figure </w:t>
      </w:r>
      <w:r w:rsidR="00F1457E">
        <w:t>F</w:t>
      </w:r>
      <w:r w:rsidR="00D24323">
        <w:t>.2</w:t>
      </w:r>
      <w:r>
        <w:t>).</w:t>
      </w:r>
    </w:p>
    <w:p w:rsidR="009C39BA" w:rsidRDefault="009C39BA" w:rsidP="009C39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C39BA" w:rsidTr="00690BB2">
        <w:trPr>
          <w:tblHeader/>
        </w:trPr>
        <w:tc>
          <w:tcPr>
            <w:tcW w:w="5000" w:type="pct"/>
            <w:tcBorders>
              <w:top w:val="single" w:sz="6" w:space="0" w:color="78A22F"/>
              <w:left w:val="nil"/>
              <w:bottom w:val="nil"/>
              <w:right w:val="nil"/>
            </w:tcBorders>
            <w:shd w:val="clear" w:color="auto" w:fill="auto"/>
          </w:tcPr>
          <w:p w:rsidR="009C39BA" w:rsidRPr="00176D3F" w:rsidRDefault="009C39BA" w:rsidP="00032515">
            <w:pPr>
              <w:pStyle w:val="FigureTitle"/>
            </w:pPr>
            <w:r w:rsidRPr="00784A05">
              <w:rPr>
                <w:b w:val="0"/>
              </w:rPr>
              <w:t xml:space="preserve">Figure </w:t>
            </w:r>
            <w:r w:rsidR="00F1457E">
              <w:rPr>
                <w:b w:val="0"/>
              </w:rPr>
              <w:t>F</w:t>
            </w:r>
            <w:r w:rsidR="00D24323">
              <w:rPr>
                <w:b w:val="0"/>
              </w:rPr>
              <w:t>.2</w:t>
            </w:r>
            <w:r>
              <w:tab/>
              <w:t>Heterogeneity supports</w:t>
            </w:r>
            <w:r w:rsidR="00D24323">
              <w:t xml:space="preserve"> </w:t>
            </w:r>
            <w:r w:rsidR="00752EB4">
              <w:t>multilevel modelling</w:t>
            </w:r>
            <w:r w:rsidR="00032515">
              <w:t xml:space="preserve"> approach</w:t>
            </w:r>
            <w:r w:rsidR="00A05224" w:rsidRPr="00333D50">
              <w:rPr>
                <w:rStyle w:val="NoteLabel"/>
                <w:b/>
                <w:position w:val="10"/>
              </w:rPr>
              <w:t>a,b</w:t>
            </w:r>
          </w:p>
        </w:tc>
      </w:tr>
      <w:tr w:rsidR="009C39BA" w:rsidTr="00690BB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C39BA" w:rsidRPr="00B1465D" w:rsidTr="00690BB2">
              <w:trPr>
                <w:tblHeader/>
                <w:jc w:val="center"/>
              </w:trPr>
              <w:tc>
                <w:tcPr>
                  <w:tcW w:w="5000" w:type="pct"/>
                  <w:tcBorders>
                    <w:top w:val="nil"/>
                    <w:bottom w:val="nil"/>
                  </w:tcBorders>
                </w:tcPr>
                <w:p w:rsidR="009C39BA" w:rsidRPr="00B1465D" w:rsidRDefault="009C39BA" w:rsidP="00690BB2">
                  <w:pPr>
                    <w:pStyle w:val="Figure"/>
                    <w:spacing w:before="60" w:after="60"/>
                    <w:rPr>
                      <w:rFonts w:ascii="Arial" w:hAnsi="Arial" w:cs="Arial"/>
                      <w:sz w:val="18"/>
                      <w:szCs w:val="18"/>
                    </w:rPr>
                  </w:pPr>
                  <w:r w:rsidRPr="009B57A6">
                    <w:rPr>
                      <w:rFonts w:ascii="Arial" w:hAnsi="Arial" w:cs="Arial"/>
                      <w:noProof/>
                      <w:sz w:val="18"/>
                      <w:szCs w:val="18"/>
                    </w:rPr>
                    <w:drawing>
                      <wp:inline distT="0" distB="0" distL="0" distR="0" wp14:anchorId="796B2DB5" wp14:editId="1FC56028">
                        <wp:extent cx="5402580" cy="2872740"/>
                        <wp:effectExtent l="0" t="0" r="0" b="0"/>
                        <wp:docPr id="3" name="Picture 3" descr="A plot of total assets against administration and investment expenses for selected funds, where the observations for each fund have been fitted with a cubic function. There are different shapes the cost function takes, suggesting heterogeneity in the cost structure of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rsidR="009C39BA" w:rsidRDefault="009C39BA" w:rsidP="00690BB2">
            <w:pPr>
              <w:pStyle w:val="Figure"/>
            </w:pPr>
          </w:p>
        </w:tc>
      </w:tr>
      <w:tr w:rsidR="009C39BA" w:rsidRPr="00176D3F" w:rsidTr="00690BB2">
        <w:tc>
          <w:tcPr>
            <w:tcW w:w="5000" w:type="pct"/>
            <w:tcBorders>
              <w:top w:val="nil"/>
              <w:left w:val="nil"/>
              <w:bottom w:val="nil"/>
              <w:right w:val="nil"/>
            </w:tcBorders>
            <w:shd w:val="clear" w:color="auto" w:fill="auto"/>
          </w:tcPr>
          <w:p w:rsidR="009C39BA" w:rsidRPr="00176D3F" w:rsidRDefault="009C39BA" w:rsidP="00E920F0">
            <w:pPr>
              <w:pStyle w:val="Note"/>
            </w:pPr>
            <w:r>
              <w:rPr>
                <w:rStyle w:val="NoteLabel"/>
              </w:rPr>
              <w:t>a</w:t>
            </w:r>
            <w:r>
              <w:t xml:space="preserve"> Each line represents a cubic spline curve (</w:t>
            </w:r>
            <w:r w:rsidR="00E920F0">
              <w:t>machine learning</w:t>
            </w:r>
            <w:r>
              <w:t xml:space="preserve"> technique) fitted to a fund’s expense and assets for a selection of medium to large funds. </w:t>
            </w:r>
            <w:r>
              <w:rPr>
                <w:rStyle w:val="NoteLabel"/>
              </w:rPr>
              <w:t>b</w:t>
            </w:r>
            <w:r>
              <w:t xml:space="preserve"> Shows </w:t>
            </w:r>
            <w:r w:rsidR="00A05224">
              <w:t xml:space="preserve">there is </w:t>
            </w:r>
            <w:r>
              <w:t>likely to be heterogeneity in slopes and to a lesser extent intercepts. Many curves look log-like.</w:t>
            </w:r>
          </w:p>
        </w:tc>
      </w:tr>
      <w:tr w:rsidR="009C39BA" w:rsidRPr="00176D3F" w:rsidTr="00690BB2">
        <w:tc>
          <w:tcPr>
            <w:tcW w:w="5000" w:type="pct"/>
            <w:tcBorders>
              <w:top w:val="nil"/>
              <w:left w:val="nil"/>
              <w:bottom w:val="nil"/>
              <w:right w:val="nil"/>
            </w:tcBorders>
            <w:shd w:val="clear" w:color="auto" w:fill="auto"/>
          </w:tcPr>
          <w:p w:rsidR="009C39BA" w:rsidRPr="00176D3F" w:rsidRDefault="000E6A4D" w:rsidP="00690BB2">
            <w:pPr>
              <w:pStyle w:val="Source"/>
            </w:pPr>
            <w:r w:rsidRPr="000020F3">
              <w:rPr>
                <w:i/>
              </w:rPr>
              <w:t>Source</w:t>
            </w:r>
            <w:r w:rsidRPr="000020F3">
              <w:t xml:space="preserve">: </w:t>
            </w:r>
            <w:r w:rsidRPr="000020F3">
              <w:rPr>
                <w:rFonts w:eastAsia="+mn-ea" w:cs="Arial"/>
                <w:color w:val="000000" w:themeColor="text1"/>
                <w:kern w:val="24"/>
                <w:szCs w:val="18"/>
              </w:rPr>
              <w:t>PC analysis of APRA data.</w:t>
            </w:r>
          </w:p>
        </w:tc>
      </w:tr>
      <w:tr w:rsidR="009C39BA" w:rsidTr="00690BB2">
        <w:tc>
          <w:tcPr>
            <w:tcW w:w="5000" w:type="pct"/>
            <w:tcBorders>
              <w:top w:val="nil"/>
              <w:left w:val="nil"/>
              <w:bottom w:val="single" w:sz="6" w:space="0" w:color="78A22F"/>
              <w:right w:val="nil"/>
            </w:tcBorders>
            <w:shd w:val="clear" w:color="auto" w:fill="auto"/>
          </w:tcPr>
          <w:p w:rsidR="009C39BA" w:rsidRDefault="009C39BA" w:rsidP="00690BB2">
            <w:pPr>
              <w:pStyle w:val="Figurespace"/>
            </w:pPr>
          </w:p>
        </w:tc>
      </w:tr>
      <w:tr w:rsidR="009C39BA" w:rsidRPr="000863A5" w:rsidTr="00690BB2">
        <w:tc>
          <w:tcPr>
            <w:tcW w:w="5000" w:type="pct"/>
            <w:tcBorders>
              <w:top w:val="single" w:sz="6" w:space="0" w:color="78A22F"/>
              <w:left w:val="nil"/>
              <w:bottom w:val="nil"/>
              <w:right w:val="nil"/>
            </w:tcBorders>
          </w:tcPr>
          <w:p w:rsidR="009C39BA" w:rsidRPr="00626D32" w:rsidRDefault="009C39BA" w:rsidP="00690BB2">
            <w:pPr>
              <w:pStyle w:val="BoxSpaceBelow"/>
            </w:pPr>
          </w:p>
        </w:tc>
      </w:tr>
    </w:tbl>
    <w:p w:rsidR="009A24C0" w:rsidRPr="007008FE" w:rsidRDefault="009A24C0" w:rsidP="009A24C0">
      <w:pPr>
        <w:pStyle w:val="Heading2"/>
      </w:pPr>
      <w:bookmarkStart w:id="75" w:name="_Toc530748509"/>
      <w:r>
        <w:lastRenderedPageBreak/>
        <w:t>Appendix G: Regression results</w:t>
      </w:r>
      <w:bookmarkEnd w:id="75"/>
    </w:p>
    <w:p w:rsidR="009A24C0" w:rsidRDefault="009A24C0" w:rsidP="009A24C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A24C0" w:rsidTr="009A24C0">
        <w:trPr>
          <w:tblHeader/>
        </w:trPr>
        <w:tc>
          <w:tcPr>
            <w:tcW w:w="5000" w:type="pct"/>
            <w:tcBorders>
              <w:top w:val="single" w:sz="6" w:space="0" w:color="78A22F"/>
              <w:left w:val="nil"/>
              <w:bottom w:val="nil"/>
              <w:right w:val="nil"/>
            </w:tcBorders>
            <w:shd w:val="clear" w:color="auto" w:fill="auto"/>
          </w:tcPr>
          <w:p w:rsidR="009A24C0" w:rsidRDefault="009A24C0" w:rsidP="009A24C0">
            <w:pPr>
              <w:pStyle w:val="TableTitle"/>
            </w:pPr>
            <w:r>
              <w:rPr>
                <w:b w:val="0"/>
              </w:rPr>
              <w:t>Table G.1</w:t>
            </w:r>
            <w:r>
              <w:tab/>
              <w:t xml:space="preserve">Mean regression: </w:t>
            </w:r>
            <w:r w:rsidR="00D52838">
              <w:t xml:space="preserve">average </w:t>
            </w:r>
            <w:r>
              <w:t>percentage of assets in unlisted asset classes</w:t>
            </w:r>
            <w:r w:rsidRPr="00333D50">
              <w:rPr>
                <w:rStyle w:val="NoteLabel"/>
                <w:b/>
                <w:position w:val="10"/>
              </w:rPr>
              <w:t>a</w:t>
            </w:r>
          </w:p>
          <w:p w:rsidR="009A24C0" w:rsidRPr="00784A05" w:rsidRDefault="009A24C0" w:rsidP="009A24C0">
            <w:pPr>
              <w:pStyle w:val="Subtitle"/>
            </w:pPr>
            <w:r>
              <w:t>2014 to 2017</w:t>
            </w:r>
          </w:p>
        </w:tc>
      </w:tr>
      <w:tr w:rsidR="009A24C0" w:rsidTr="009A24C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2"/>
              <w:gridCol w:w="1727"/>
              <w:gridCol w:w="1417"/>
              <w:gridCol w:w="1395"/>
              <w:gridCol w:w="1274"/>
            </w:tblGrid>
            <w:tr w:rsidR="009A24C0" w:rsidTr="009A24C0">
              <w:trPr>
                <w:tblHeader/>
              </w:trPr>
              <w:tc>
                <w:tcPr>
                  <w:tcW w:w="1583" w:type="pct"/>
                  <w:tcBorders>
                    <w:top w:val="single" w:sz="6" w:space="0" w:color="BFBFBF"/>
                    <w:bottom w:val="single" w:sz="6" w:space="0" w:color="BFBFBF"/>
                  </w:tcBorders>
                  <w:shd w:val="clear" w:color="auto" w:fill="auto"/>
                  <w:tcMar>
                    <w:top w:w="28" w:type="dxa"/>
                  </w:tcMar>
                </w:tcPr>
                <w:p w:rsidR="009A24C0" w:rsidRDefault="009A24C0" w:rsidP="009A24C0">
                  <w:pPr>
                    <w:pStyle w:val="TableColumnHeading"/>
                    <w:jc w:val="left"/>
                  </w:pPr>
                </w:p>
              </w:tc>
              <w:tc>
                <w:tcPr>
                  <w:tcW w:w="1015" w:type="pct"/>
                  <w:tcBorders>
                    <w:top w:val="single" w:sz="6" w:space="0" w:color="BFBFBF"/>
                    <w:bottom w:val="single" w:sz="6" w:space="0" w:color="BFBFBF"/>
                  </w:tcBorders>
                </w:tcPr>
                <w:p w:rsidR="009A24C0" w:rsidRDefault="009A24C0" w:rsidP="009A24C0">
                  <w:pPr>
                    <w:pStyle w:val="TableColumnHeading"/>
                  </w:pPr>
                  <w:r>
                    <w:t>Percentage in all unlisted asset classes</w:t>
                  </w:r>
                </w:p>
              </w:tc>
              <w:tc>
                <w:tcPr>
                  <w:tcW w:w="833" w:type="pct"/>
                  <w:tcBorders>
                    <w:top w:val="single" w:sz="6" w:space="0" w:color="BFBFBF"/>
                    <w:bottom w:val="single" w:sz="6" w:space="0" w:color="BFBFBF"/>
                  </w:tcBorders>
                </w:tcPr>
                <w:p w:rsidR="009A24C0" w:rsidRPr="00913E2B" w:rsidRDefault="009A24C0" w:rsidP="009A24C0">
                  <w:pPr>
                    <w:pStyle w:val="TableColumnHeading"/>
                  </w:pPr>
                  <w:r>
                    <w:t>Percentage in unlisted infrastructure</w:t>
                  </w:r>
                </w:p>
              </w:tc>
              <w:tc>
                <w:tcPr>
                  <w:tcW w:w="820" w:type="pct"/>
                  <w:tcBorders>
                    <w:top w:val="single" w:sz="6" w:space="0" w:color="BFBFBF"/>
                    <w:bottom w:val="single" w:sz="6" w:space="0" w:color="BFBFBF"/>
                  </w:tcBorders>
                  <w:shd w:val="clear" w:color="auto" w:fill="auto"/>
                  <w:tcMar>
                    <w:top w:w="28" w:type="dxa"/>
                  </w:tcMar>
                </w:tcPr>
                <w:p w:rsidR="009A24C0" w:rsidRDefault="009A24C0" w:rsidP="009A24C0">
                  <w:pPr>
                    <w:pStyle w:val="TableColumnHeading"/>
                  </w:pPr>
                  <w:r>
                    <w:t>Percentage in unlisted property</w:t>
                  </w:r>
                </w:p>
              </w:tc>
              <w:tc>
                <w:tcPr>
                  <w:tcW w:w="749" w:type="pct"/>
                  <w:tcBorders>
                    <w:top w:val="single" w:sz="6" w:space="0" w:color="BFBFBF"/>
                    <w:bottom w:val="single" w:sz="6" w:space="0" w:color="BFBFBF"/>
                  </w:tcBorders>
                  <w:shd w:val="clear" w:color="auto" w:fill="auto"/>
                  <w:tcMar>
                    <w:top w:w="28" w:type="dxa"/>
                  </w:tcMar>
                </w:tcPr>
                <w:p w:rsidR="009A24C0" w:rsidRDefault="009A24C0" w:rsidP="009A24C0">
                  <w:pPr>
                    <w:pStyle w:val="TableColumnHeading"/>
                    <w:ind w:right="28"/>
                  </w:pPr>
                  <w:r>
                    <w:t>Percentage in private equity</w:t>
                  </w:r>
                </w:p>
              </w:tc>
            </w:tr>
            <w:tr w:rsidR="009A24C0" w:rsidRPr="00913E2B" w:rsidTr="009A24C0">
              <w:tc>
                <w:tcPr>
                  <w:tcW w:w="1583" w:type="pct"/>
                  <w:tcBorders>
                    <w:top w:val="single" w:sz="6" w:space="0" w:color="BFBFBF"/>
                  </w:tcBorders>
                </w:tcPr>
                <w:p w:rsidR="009A24C0" w:rsidRPr="00913E2B" w:rsidRDefault="009A24C0" w:rsidP="009A24C0">
                  <w:pPr>
                    <w:pStyle w:val="TableUnitsRow"/>
                    <w:jc w:val="left"/>
                  </w:pPr>
                  <w:r>
                    <w:t>Net assets</w:t>
                  </w:r>
                </w:p>
              </w:tc>
              <w:tc>
                <w:tcPr>
                  <w:tcW w:w="1015" w:type="pct"/>
                  <w:vAlign w:val="center"/>
                </w:tcPr>
                <w:p w:rsidR="009A24C0" w:rsidRPr="00913E2B" w:rsidRDefault="009A24C0" w:rsidP="009A24C0">
                  <w:pPr>
                    <w:pStyle w:val="TableBodyText"/>
                  </w:pPr>
                  <w:r>
                    <w:t>0.907</w:t>
                  </w:r>
                </w:p>
              </w:tc>
              <w:tc>
                <w:tcPr>
                  <w:tcW w:w="833" w:type="pct"/>
                  <w:vAlign w:val="center"/>
                </w:tcPr>
                <w:p w:rsidR="009A24C0" w:rsidRDefault="009A24C0" w:rsidP="009A24C0">
                  <w:pPr>
                    <w:pStyle w:val="TableBodyText"/>
                  </w:pPr>
                  <w:r>
                    <w:t>0.557</w:t>
                  </w:r>
                  <w:r>
                    <w:rPr>
                      <w:vertAlign w:val="superscript"/>
                    </w:rPr>
                    <w:t>***</w:t>
                  </w:r>
                </w:p>
              </w:tc>
              <w:tc>
                <w:tcPr>
                  <w:tcW w:w="820" w:type="pct"/>
                  <w:vAlign w:val="center"/>
                </w:tcPr>
                <w:p w:rsidR="009A24C0" w:rsidRPr="00913E2B" w:rsidRDefault="009A24C0" w:rsidP="009A24C0">
                  <w:pPr>
                    <w:pStyle w:val="TableBodyText"/>
                  </w:pPr>
                  <w:r>
                    <w:t>-0.223</w:t>
                  </w:r>
                </w:p>
              </w:tc>
              <w:tc>
                <w:tcPr>
                  <w:tcW w:w="749" w:type="pct"/>
                  <w:vAlign w:val="center"/>
                </w:tcPr>
                <w:p w:rsidR="009A24C0" w:rsidRPr="00913E2B" w:rsidRDefault="009A24C0" w:rsidP="009A24C0">
                  <w:pPr>
                    <w:pStyle w:val="TableBodyText"/>
                    <w:ind w:right="28"/>
                  </w:pPr>
                  <w:r>
                    <w:t>0.573</w:t>
                  </w:r>
                </w:p>
              </w:tc>
            </w:tr>
            <w:tr w:rsidR="009A24C0" w:rsidRPr="00913E2B" w:rsidTr="009A24C0">
              <w:tc>
                <w:tcPr>
                  <w:tcW w:w="1583" w:type="pct"/>
                </w:tcPr>
                <w:p w:rsidR="009A24C0" w:rsidRPr="00913E2B" w:rsidRDefault="009A24C0" w:rsidP="009A24C0">
                  <w:pPr>
                    <w:pStyle w:val="TableBodyText"/>
                    <w:jc w:val="left"/>
                  </w:pPr>
                </w:p>
              </w:tc>
              <w:tc>
                <w:tcPr>
                  <w:tcW w:w="1015" w:type="pct"/>
                  <w:vAlign w:val="center"/>
                </w:tcPr>
                <w:p w:rsidR="009A24C0" w:rsidRPr="00913E2B" w:rsidRDefault="009A24C0" w:rsidP="009A24C0">
                  <w:pPr>
                    <w:pStyle w:val="TableBodyText"/>
                  </w:pPr>
                  <w:r>
                    <w:t>(0.838)</w:t>
                  </w:r>
                </w:p>
              </w:tc>
              <w:tc>
                <w:tcPr>
                  <w:tcW w:w="833" w:type="pct"/>
                  <w:vAlign w:val="center"/>
                </w:tcPr>
                <w:p w:rsidR="009A24C0" w:rsidRDefault="009A24C0" w:rsidP="009A24C0">
                  <w:pPr>
                    <w:pStyle w:val="TableBodyText"/>
                  </w:pPr>
                  <w:r>
                    <w:t>(0.200)</w:t>
                  </w:r>
                </w:p>
              </w:tc>
              <w:tc>
                <w:tcPr>
                  <w:tcW w:w="820" w:type="pct"/>
                  <w:vAlign w:val="center"/>
                </w:tcPr>
                <w:p w:rsidR="009A24C0" w:rsidRPr="00913E2B" w:rsidRDefault="009A24C0" w:rsidP="009A24C0">
                  <w:pPr>
                    <w:pStyle w:val="TableBodyText"/>
                  </w:pPr>
                  <w:r>
                    <w:t>(0.381)</w:t>
                  </w:r>
                </w:p>
              </w:tc>
              <w:tc>
                <w:tcPr>
                  <w:tcW w:w="749" w:type="pct"/>
                  <w:vAlign w:val="center"/>
                </w:tcPr>
                <w:p w:rsidR="009A24C0" w:rsidRPr="00913E2B" w:rsidRDefault="009A24C0" w:rsidP="009A24C0">
                  <w:pPr>
                    <w:pStyle w:val="TableBodyText"/>
                    <w:ind w:right="28"/>
                  </w:pPr>
                  <w:r>
                    <w:t>(0.651)</w:t>
                  </w:r>
                </w:p>
              </w:tc>
            </w:tr>
            <w:tr w:rsidR="009A24C0" w:rsidRPr="00913E2B" w:rsidTr="009A24C0">
              <w:tc>
                <w:tcPr>
                  <w:tcW w:w="1583" w:type="pct"/>
                  <w:shd w:val="clear" w:color="auto" w:fill="F2F2F2" w:themeFill="background1" w:themeFillShade="F2"/>
                  <w:vAlign w:val="center"/>
                </w:tcPr>
                <w:p w:rsidR="009A24C0" w:rsidRPr="004F3392" w:rsidRDefault="009A24C0" w:rsidP="009A24C0">
                  <w:pPr>
                    <w:pStyle w:val="TableUnitsRow"/>
                    <w:jc w:val="left"/>
                  </w:pPr>
                  <w:r>
                    <w:t>Industry</w:t>
                  </w:r>
                </w:p>
              </w:tc>
              <w:tc>
                <w:tcPr>
                  <w:tcW w:w="1015" w:type="pct"/>
                  <w:shd w:val="clear" w:color="auto" w:fill="F2F2F2" w:themeFill="background1" w:themeFillShade="F2"/>
                  <w:vAlign w:val="center"/>
                </w:tcPr>
                <w:p w:rsidR="009A24C0" w:rsidRPr="004F3392" w:rsidRDefault="009A24C0" w:rsidP="009A24C0">
                  <w:pPr>
                    <w:pStyle w:val="TableBodyText"/>
                  </w:pPr>
                  <w:r>
                    <w:t>21.901</w:t>
                  </w:r>
                </w:p>
              </w:tc>
              <w:tc>
                <w:tcPr>
                  <w:tcW w:w="833" w:type="pct"/>
                  <w:shd w:val="clear" w:color="auto" w:fill="F2F2F2" w:themeFill="background1" w:themeFillShade="F2"/>
                  <w:vAlign w:val="center"/>
                </w:tcPr>
                <w:p w:rsidR="009A24C0" w:rsidRPr="004F3392" w:rsidRDefault="009A24C0" w:rsidP="009A24C0">
                  <w:pPr>
                    <w:pStyle w:val="TableBodyText"/>
                  </w:pPr>
                  <w:r>
                    <w:t>4.319</w:t>
                  </w:r>
                </w:p>
              </w:tc>
              <w:tc>
                <w:tcPr>
                  <w:tcW w:w="820" w:type="pct"/>
                  <w:shd w:val="clear" w:color="auto" w:fill="F2F2F2" w:themeFill="background1" w:themeFillShade="F2"/>
                  <w:vAlign w:val="center"/>
                </w:tcPr>
                <w:p w:rsidR="009A24C0" w:rsidRPr="004F3392" w:rsidRDefault="009A24C0" w:rsidP="009A24C0">
                  <w:pPr>
                    <w:pStyle w:val="TableBodyText"/>
                  </w:pPr>
                  <w:r>
                    <w:t>0.156</w:t>
                  </w:r>
                </w:p>
              </w:tc>
              <w:tc>
                <w:tcPr>
                  <w:tcW w:w="749" w:type="pct"/>
                  <w:shd w:val="clear" w:color="auto" w:fill="F2F2F2" w:themeFill="background1" w:themeFillShade="F2"/>
                  <w:vAlign w:val="center"/>
                </w:tcPr>
                <w:p w:rsidR="009A24C0" w:rsidRPr="004F3392" w:rsidRDefault="009A24C0" w:rsidP="009A24C0">
                  <w:pPr>
                    <w:pStyle w:val="TableBodyText"/>
                    <w:ind w:right="28"/>
                  </w:pPr>
                  <w:r>
                    <w:t>17.425</w:t>
                  </w:r>
                </w:p>
              </w:tc>
            </w:tr>
            <w:tr w:rsidR="009A24C0" w:rsidRPr="00913E2B" w:rsidTr="009A24C0">
              <w:tc>
                <w:tcPr>
                  <w:tcW w:w="1583" w:type="pct"/>
                  <w:shd w:val="clear" w:color="auto" w:fill="F2F2F2" w:themeFill="background1" w:themeFillShade="F2"/>
                  <w:vAlign w:val="center"/>
                </w:tcPr>
                <w:p w:rsidR="009A24C0" w:rsidRPr="004F3392" w:rsidRDefault="009A24C0" w:rsidP="009A24C0">
                  <w:pPr>
                    <w:pStyle w:val="TableUnitsRow"/>
                    <w:jc w:val="left"/>
                  </w:pPr>
                </w:p>
              </w:tc>
              <w:tc>
                <w:tcPr>
                  <w:tcW w:w="1015" w:type="pct"/>
                  <w:shd w:val="clear" w:color="auto" w:fill="F2F2F2" w:themeFill="background1" w:themeFillShade="F2"/>
                  <w:vAlign w:val="center"/>
                </w:tcPr>
                <w:p w:rsidR="009A24C0" w:rsidRPr="004F3392" w:rsidRDefault="009A24C0" w:rsidP="009A24C0">
                  <w:pPr>
                    <w:pStyle w:val="TableBodyText"/>
                  </w:pPr>
                  <w:r>
                    <w:t>(18.898)</w:t>
                  </w:r>
                </w:p>
              </w:tc>
              <w:tc>
                <w:tcPr>
                  <w:tcW w:w="833" w:type="pct"/>
                  <w:shd w:val="clear" w:color="auto" w:fill="F2F2F2" w:themeFill="background1" w:themeFillShade="F2"/>
                  <w:vAlign w:val="center"/>
                </w:tcPr>
                <w:p w:rsidR="009A24C0" w:rsidRPr="004F3392" w:rsidRDefault="009A24C0" w:rsidP="009A24C0">
                  <w:pPr>
                    <w:pStyle w:val="TableBodyText"/>
                  </w:pPr>
                  <w:r>
                    <w:t>(4.516)</w:t>
                  </w:r>
                </w:p>
              </w:tc>
              <w:tc>
                <w:tcPr>
                  <w:tcW w:w="820" w:type="pct"/>
                  <w:shd w:val="clear" w:color="auto" w:fill="F2F2F2" w:themeFill="background1" w:themeFillShade="F2"/>
                  <w:vAlign w:val="center"/>
                </w:tcPr>
                <w:p w:rsidR="009A24C0" w:rsidRPr="004F3392" w:rsidRDefault="009A24C0" w:rsidP="009A24C0">
                  <w:pPr>
                    <w:pStyle w:val="TableBodyText"/>
                  </w:pPr>
                  <w:r>
                    <w:t>(8.595)</w:t>
                  </w:r>
                </w:p>
              </w:tc>
              <w:tc>
                <w:tcPr>
                  <w:tcW w:w="749" w:type="pct"/>
                  <w:shd w:val="clear" w:color="auto" w:fill="F2F2F2" w:themeFill="background1" w:themeFillShade="F2"/>
                  <w:vAlign w:val="center"/>
                </w:tcPr>
                <w:p w:rsidR="009A24C0" w:rsidRPr="004F3392" w:rsidRDefault="009A24C0" w:rsidP="009A24C0">
                  <w:pPr>
                    <w:pStyle w:val="TableBodyText"/>
                    <w:ind w:right="28"/>
                  </w:pPr>
                  <w:r>
                    <w:t>(14.686)</w:t>
                  </w:r>
                </w:p>
              </w:tc>
            </w:tr>
            <w:tr w:rsidR="009A24C0" w:rsidRPr="00913E2B" w:rsidTr="009A24C0">
              <w:tc>
                <w:tcPr>
                  <w:tcW w:w="1583" w:type="pct"/>
                  <w:vAlign w:val="center"/>
                </w:tcPr>
                <w:p w:rsidR="009A24C0" w:rsidRPr="00913E2B" w:rsidRDefault="009A24C0" w:rsidP="009A24C0">
                  <w:pPr>
                    <w:pStyle w:val="TableUnitsRow"/>
                    <w:jc w:val="left"/>
                  </w:pPr>
                  <w:r>
                    <w:t>Public sector</w:t>
                  </w:r>
                </w:p>
              </w:tc>
              <w:tc>
                <w:tcPr>
                  <w:tcW w:w="1015" w:type="pct"/>
                  <w:vAlign w:val="center"/>
                </w:tcPr>
                <w:p w:rsidR="009A24C0" w:rsidRPr="00913E2B" w:rsidRDefault="009A24C0" w:rsidP="009A24C0">
                  <w:pPr>
                    <w:pStyle w:val="TableBodyText"/>
                  </w:pPr>
                  <w:r>
                    <w:t>21.378</w:t>
                  </w:r>
                </w:p>
              </w:tc>
              <w:tc>
                <w:tcPr>
                  <w:tcW w:w="833" w:type="pct"/>
                  <w:vAlign w:val="center"/>
                </w:tcPr>
                <w:p w:rsidR="009A24C0" w:rsidRDefault="009A24C0" w:rsidP="009A24C0">
                  <w:pPr>
                    <w:pStyle w:val="TableBodyText"/>
                  </w:pPr>
                  <w:r>
                    <w:t>-0.209</w:t>
                  </w:r>
                </w:p>
              </w:tc>
              <w:tc>
                <w:tcPr>
                  <w:tcW w:w="820" w:type="pct"/>
                  <w:vAlign w:val="center"/>
                </w:tcPr>
                <w:p w:rsidR="009A24C0" w:rsidRPr="00913E2B" w:rsidRDefault="009A24C0" w:rsidP="009A24C0">
                  <w:pPr>
                    <w:pStyle w:val="TableBodyText"/>
                  </w:pPr>
                  <w:r>
                    <w:t>0.635</w:t>
                  </w:r>
                </w:p>
              </w:tc>
              <w:tc>
                <w:tcPr>
                  <w:tcW w:w="749" w:type="pct"/>
                  <w:vAlign w:val="center"/>
                </w:tcPr>
                <w:p w:rsidR="009A24C0" w:rsidRPr="00913E2B" w:rsidRDefault="009A24C0" w:rsidP="009A24C0">
                  <w:pPr>
                    <w:pStyle w:val="TableBodyText"/>
                    <w:ind w:right="28"/>
                  </w:pPr>
                  <w:r>
                    <w:t>20.952</w:t>
                  </w:r>
                </w:p>
              </w:tc>
            </w:tr>
            <w:tr w:rsidR="009A24C0" w:rsidRPr="00913E2B" w:rsidTr="009A24C0">
              <w:tc>
                <w:tcPr>
                  <w:tcW w:w="1583" w:type="pct"/>
                  <w:vAlign w:val="center"/>
                </w:tcPr>
                <w:p w:rsidR="009A24C0" w:rsidRPr="00913E2B" w:rsidRDefault="009A24C0" w:rsidP="009A24C0">
                  <w:pPr>
                    <w:pStyle w:val="TableUnitsRow"/>
                    <w:jc w:val="left"/>
                  </w:pPr>
                </w:p>
              </w:tc>
              <w:tc>
                <w:tcPr>
                  <w:tcW w:w="1015" w:type="pct"/>
                  <w:vAlign w:val="center"/>
                </w:tcPr>
                <w:p w:rsidR="009A24C0" w:rsidRPr="00913E2B" w:rsidRDefault="009A24C0" w:rsidP="009A24C0">
                  <w:pPr>
                    <w:pStyle w:val="TableBodyText"/>
                  </w:pPr>
                  <w:r>
                    <w:t>(29.976)</w:t>
                  </w:r>
                </w:p>
              </w:tc>
              <w:tc>
                <w:tcPr>
                  <w:tcW w:w="833" w:type="pct"/>
                  <w:vAlign w:val="center"/>
                </w:tcPr>
                <w:p w:rsidR="009A24C0" w:rsidRDefault="009A24C0" w:rsidP="009A24C0">
                  <w:pPr>
                    <w:pStyle w:val="TableBodyText"/>
                  </w:pPr>
                  <w:r>
                    <w:t>(7.163)</w:t>
                  </w:r>
                </w:p>
              </w:tc>
              <w:tc>
                <w:tcPr>
                  <w:tcW w:w="820" w:type="pct"/>
                  <w:vAlign w:val="center"/>
                </w:tcPr>
                <w:p w:rsidR="009A24C0" w:rsidRPr="00913E2B" w:rsidRDefault="009A24C0" w:rsidP="009A24C0">
                  <w:pPr>
                    <w:pStyle w:val="TableBodyText"/>
                  </w:pPr>
                  <w:r>
                    <w:t>(13.634)</w:t>
                  </w:r>
                </w:p>
              </w:tc>
              <w:tc>
                <w:tcPr>
                  <w:tcW w:w="749" w:type="pct"/>
                  <w:vAlign w:val="center"/>
                </w:tcPr>
                <w:p w:rsidR="009A24C0" w:rsidRPr="00913E2B" w:rsidRDefault="009A24C0" w:rsidP="009A24C0">
                  <w:pPr>
                    <w:pStyle w:val="TableBodyText"/>
                    <w:ind w:right="28"/>
                  </w:pPr>
                  <w:r>
                    <w:t>(23.295)</w:t>
                  </w:r>
                </w:p>
              </w:tc>
            </w:tr>
            <w:tr w:rsidR="009A24C0" w:rsidRPr="00913E2B" w:rsidTr="009A24C0">
              <w:tc>
                <w:tcPr>
                  <w:tcW w:w="1583" w:type="pct"/>
                  <w:shd w:val="clear" w:color="auto" w:fill="F2F2F2" w:themeFill="background1" w:themeFillShade="F2"/>
                  <w:vAlign w:val="center"/>
                </w:tcPr>
                <w:p w:rsidR="009A24C0" w:rsidRPr="00913E2B" w:rsidRDefault="009A24C0" w:rsidP="009A24C0">
                  <w:pPr>
                    <w:pStyle w:val="TableUnitsRow"/>
                    <w:jc w:val="left"/>
                  </w:pPr>
                  <w:r>
                    <w:t>Retail</w:t>
                  </w:r>
                </w:p>
              </w:tc>
              <w:tc>
                <w:tcPr>
                  <w:tcW w:w="1015" w:type="pct"/>
                  <w:shd w:val="clear" w:color="auto" w:fill="F2F2F2" w:themeFill="background1" w:themeFillShade="F2"/>
                  <w:vAlign w:val="center"/>
                </w:tcPr>
                <w:p w:rsidR="009A24C0" w:rsidRPr="00913E2B" w:rsidRDefault="009A24C0" w:rsidP="009A24C0">
                  <w:pPr>
                    <w:pStyle w:val="TableBodyText"/>
                  </w:pPr>
                  <w:r>
                    <w:t>-2.753</w:t>
                  </w:r>
                </w:p>
              </w:tc>
              <w:tc>
                <w:tcPr>
                  <w:tcW w:w="833" w:type="pct"/>
                  <w:shd w:val="clear" w:color="auto" w:fill="F2F2F2" w:themeFill="background1" w:themeFillShade="F2"/>
                  <w:vAlign w:val="center"/>
                </w:tcPr>
                <w:p w:rsidR="009A24C0" w:rsidRDefault="009A24C0" w:rsidP="009A24C0">
                  <w:pPr>
                    <w:pStyle w:val="TableBodyText"/>
                  </w:pPr>
                  <w:r>
                    <w:t>4.473</w:t>
                  </w:r>
                </w:p>
              </w:tc>
              <w:tc>
                <w:tcPr>
                  <w:tcW w:w="820" w:type="pct"/>
                  <w:shd w:val="clear" w:color="auto" w:fill="F2F2F2" w:themeFill="background1" w:themeFillShade="F2"/>
                  <w:vAlign w:val="center"/>
                </w:tcPr>
                <w:p w:rsidR="009A24C0" w:rsidRPr="00913E2B" w:rsidRDefault="009A24C0" w:rsidP="009A24C0">
                  <w:pPr>
                    <w:pStyle w:val="TableBodyText"/>
                  </w:pPr>
                  <w:r>
                    <w:t>-5.327</w:t>
                  </w:r>
                </w:p>
              </w:tc>
              <w:tc>
                <w:tcPr>
                  <w:tcW w:w="749" w:type="pct"/>
                  <w:shd w:val="clear" w:color="auto" w:fill="F2F2F2" w:themeFill="background1" w:themeFillShade="F2"/>
                  <w:vAlign w:val="center"/>
                </w:tcPr>
                <w:p w:rsidR="009A24C0" w:rsidRPr="00913E2B" w:rsidRDefault="009A24C0" w:rsidP="009A24C0">
                  <w:pPr>
                    <w:pStyle w:val="TableBodyText"/>
                    <w:ind w:right="28"/>
                  </w:pPr>
                  <w:r>
                    <w:t>-1.900</w:t>
                  </w:r>
                </w:p>
              </w:tc>
            </w:tr>
            <w:tr w:rsidR="009A24C0" w:rsidRPr="00913E2B" w:rsidTr="009A24C0">
              <w:tc>
                <w:tcPr>
                  <w:tcW w:w="1583" w:type="pct"/>
                  <w:shd w:val="clear" w:color="auto" w:fill="F2F2F2" w:themeFill="background1" w:themeFillShade="F2"/>
                  <w:vAlign w:val="center"/>
                </w:tcPr>
                <w:p w:rsidR="009A24C0" w:rsidRPr="00913E2B" w:rsidRDefault="009A24C0" w:rsidP="009A24C0">
                  <w:pPr>
                    <w:pStyle w:val="TableUnitsRow"/>
                    <w:jc w:val="left"/>
                  </w:pPr>
                </w:p>
              </w:tc>
              <w:tc>
                <w:tcPr>
                  <w:tcW w:w="1015" w:type="pct"/>
                  <w:shd w:val="clear" w:color="auto" w:fill="F2F2F2" w:themeFill="background1" w:themeFillShade="F2"/>
                  <w:vAlign w:val="center"/>
                </w:tcPr>
                <w:p w:rsidR="009A24C0" w:rsidRPr="00913E2B" w:rsidRDefault="009A24C0" w:rsidP="009A24C0">
                  <w:pPr>
                    <w:pStyle w:val="TableBodyText"/>
                  </w:pPr>
                  <w:r>
                    <w:t>(11.969)</w:t>
                  </w:r>
                </w:p>
              </w:tc>
              <w:tc>
                <w:tcPr>
                  <w:tcW w:w="833" w:type="pct"/>
                  <w:shd w:val="clear" w:color="auto" w:fill="F2F2F2" w:themeFill="background1" w:themeFillShade="F2"/>
                  <w:vAlign w:val="center"/>
                </w:tcPr>
                <w:p w:rsidR="009A24C0" w:rsidRDefault="009A24C0" w:rsidP="009A24C0">
                  <w:pPr>
                    <w:pStyle w:val="TableBodyText"/>
                  </w:pPr>
                  <w:r>
                    <w:t>(2.860)</w:t>
                  </w:r>
                </w:p>
              </w:tc>
              <w:tc>
                <w:tcPr>
                  <w:tcW w:w="820" w:type="pct"/>
                  <w:shd w:val="clear" w:color="auto" w:fill="F2F2F2" w:themeFill="background1" w:themeFillShade="F2"/>
                  <w:vAlign w:val="center"/>
                </w:tcPr>
                <w:p w:rsidR="009A24C0" w:rsidRPr="00913E2B" w:rsidRDefault="009A24C0" w:rsidP="009A24C0">
                  <w:pPr>
                    <w:pStyle w:val="TableBodyText"/>
                  </w:pPr>
                  <w:r>
                    <w:t>(5.444)</w:t>
                  </w:r>
                </w:p>
              </w:tc>
              <w:tc>
                <w:tcPr>
                  <w:tcW w:w="749" w:type="pct"/>
                  <w:shd w:val="clear" w:color="auto" w:fill="F2F2F2" w:themeFill="background1" w:themeFillShade="F2"/>
                  <w:vAlign w:val="center"/>
                </w:tcPr>
                <w:p w:rsidR="009A24C0" w:rsidRPr="00913E2B" w:rsidRDefault="009A24C0" w:rsidP="009A24C0">
                  <w:pPr>
                    <w:pStyle w:val="TableBodyText"/>
                    <w:ind w:right="28"/>
                  </w:pPr>
                  <w:r>
                    <w:t>(9.301)</w:t>
                  </w:r>
                </w:p>
              </w:tc>
            </w:tr>
            <w:tr w:rsidR="009A24C0" w:rsidRPr="00913E2B" w:rsidTr="009A24C0">
              <w:tc>
                <w:tcPr>
                  <w:tcW w:w="1583" w:type="pct"/>
                  <w:vAlign w:val="center"/>
                </w:tcPr>
                <w:p w:rsidR="009A24C0" w:rsidRPr="00913E2B" w:rsidRDefault="009A24C0" w:rsidP="009A24C0">
                  <w:pPr>
                    <w:pStyle w:val="TableUnitsRow"/>
                    <w:jc w:val="left"/>
                  </w:pPr>
                  <w:r>
                    <w:t>Net assets x Industry</w:t>
                  </w:r>
                </w:p>
              </w:tc>
              <w:tc>
                <w:tcPr>
                  <w:tcW w:w="1015" w:type="pct"/>
                  <w:vAlign w:val="center"/>
                </w:tcPr>
                <w:p w:rsidR="009A24C0" w:rsidRPr="00913E2B" w:rsidRDefault="009A24C0" w:rsidP="009A24C0">
                  <w:pPr>
                    <w:pStyle w:val="TableBodyText"/>
                  </w:pPr>
                  <w:r>
                    <w:t>-0.943</w:t>
                  </w:r>
                </w:p>
              </w:tc>
              <w:tc>
                <w:tcPr>
                  <w:tcW w:w="833" w:type="pct"/>
                  <w:vAlign w:val="center"/>
                </w:tcPr>
                <w:p w:rsidR="009A24C0" w:rsidRDefault="009A24C0" w:rsidP="009A24C0">
                  <w:pPr>
                    <w:pStyle w:val="TableBodyText"/>
                  </w:pPr>
                  <w:r>
                    <w:t>-0.130</w:t>
                  </w:r>
                </w:p>
              </w:tc>
              <w:tc>
                <w:tcPr>
                  <w:tcW w:w="820" w:type="pct"/>
                  <w:vAlign w:val="center"/>
                </w:tcPr>
                <w:p w:rsidR="009A24C0" w:rsidRPr="00913E2B" w:rsidRDefault="009A24C0" w:rsidP="009A24C0">
                  <w:pPr>
                    <w:pStyle w:val="TableBodyText"/>
                  </w:pPr>
                  <w:r>
                    <w:t>0.175</w:t>
                  </w:r>
                </w:p>
              </w:tc>
              <w:tc>
                <w:tcPr>
                  <w:tcW w:w="749" w:type="pct"/>
                  <w:vAlign w:val="center"/>
                </w:tcPr>
                <w:p w:rsidR="009A24C0" w:rsidRPr="00913E2B" w:rsidRDefault="009A24C0" w:rsidP="009A24C0">
                  <w:pPr>
                    <w:pStyle w:val="TableBodyText"/>
                    <w:ind w:right="28"/>
                  </w:pPr>
                  <w:r>
                    <w:t>-0.987</w:t>
                  </w:r>
                </w:p>
              </w:tc>
            </w:tr>
            <w:tr w:rsidR="009A24C0" w:rsidRPr="00913E2B" w:rsidTr="009A24C0">
              <w:tc>
                <w:tcPr>
                  <w:tcW w:w="1583" w:type="pct"/>
                  <w:vAlign w:val="center"/>
                </w:tcPr>
                <w:p w:rsidR="009A24C0" w:rsidRPr="00913E2B" w:rsidRDefault="009A24C0" w:rsidP="009A24C0">
                  <w:pPr>
                    <w:pStyle w:val="TableUnitsRow"/>
                    <w:jc w:val="left"/>
                  </w:pPr>
                </w:p>
              </w:tc>
              <w:tc>
                <w:tcPr>
                  <w:tcW w:w="1015" w:type="pct"/>
                  <w:vAlign w:val="center"/>
                </w:tcPr>
                <w:p w:rsidR="009A24C0" w:rsidRPr="00913E2B" w:rsidRDefault="009A24C0" w:rsidP="009A24C0">
                  <w:pPr>
                    <w:pStyle w:val="TableBodyText"/>
                  </w:pPr>
                  <w:r>
                    <w:t>(1.311)</w:t>
                  </w:r>
                </w:p>
              </w:tc>
              <w:tc>
                <w:tcPr>
                  <w:tcW w:w="833" w:type="pct"/>
                  <w:vAlign w:val="center"/>
                </w:tcPr>
                <w:p w:rsidR="009A24C0" w:rsidRDefault="009A24C0" w:rsidP="009A24C0">
                  <w:pPr>
                    <w:pStyle w:val="TableBodyText"/>
                  </w:pPr>
                  <w:r>
                    <w:t>(0.313)</w:t>
                  </w:r>
                </w:p>
              </w:tc>
              <w:tc>
                <w:tcPr>
                  <w:tcW w:w="820" w:type="pct"/>
                  <w:vAlign w:val="center"/>
                </w:tcPr>
                <w:p w:rsidR="009A24C0" w:rsidRPr="00913E2B" w:rsidRDefault="009A24C0" w:rsidP="009A24C0">
                  <w:pPr>
                    <w:pStyle w:val="TableBodyText"/>
                  </w:pPr>
                  <w:r>
                    <w:t>(0.596)</w:t>
                  </w:r>
                </w:p>
              </w:tc>
              <w:tc>
                <w:tcPr>
                  <w:tcW w:w="749" w:type="pct"/>
                  <w:vAlign w:val="center"/>
                </w:tcPr>
                <w:p w:rsidR="009A24C0" w:rsidRPr="00913E2B" w:rsidRDefault="009A24C0" w:rsidP="009A24C0">
                  <w:pPr>
                    <w:pStyle w:val="TableBodyText"/>
                    <w:ind w:right="28"/>
                  </w:pPr>
                  <w:r>
                    <w:t>(1.018)</w:t>
                  </w:r>
                </w:p>
              </w:tc>
            </w:tr>
            <w:tr w:rsidR="009A24C0" w:rsidRPr="00913E2B" w:rsidTr="009A24C0">
              <w:tc>
                <w:tcPr>
                  <w:tcW w:w="1583" w:type="pct"/>
                  <w:shd w:val="clear" w:color="auto" w:fill="F2F2F2" w:themeFill="background1" w:themeFillShade="F2"/>
                  <w:vAlign w:val="center"/>
                </w:tcPr>
                <w:p w:rsidR="009A24C0" w:rsidRPr="00913E2B" w:rsidRDefault="009A24C0" w:rsidP="009A24C0">
                  <w:pPr>
                    <w:pStyle w:val="TableUnitsRow"/>
                    <w:jc w:val="left"/>
                  </w:pPr>
                  <w:r>
                    <w:t>Net assets x Public sector</w:t>
                  </w:r>
                </w:p>
              </w:tc>
              <w:tc>
                <w:tcPr>
                  <w:tcW w:w="1015" w:type="pct"/>
                  <w:shd w:val="clear" w:color="auto" w:fill="F2F2F2" w:themeFill="background1" w:themeFillShade="F2"/>
                  <w:vAlign w:val="center"/>
                </w:tcPr>
                <w:p w:rsidR="009A24C0" w:rsidRPr="00913E2B" w:rsidRDefault="009A24C0" w:rsidP="009A24C0">
                  <w:pPr>
                    <w:pStyle w:val="TableBodyText"/>
                  </w:pPr>
                  <w:r>
                    <w:t>-1.008</w:t>
                  </w:r>
                </w:p>
              </w:tc>
              <w:tc>
                <w:tcPr>
                  <w:tcW w:w="833" w:type="pct"/>
                  <w:shd w:val="clear" w:color="auto" w:fill="F2F2F2" w:themeFill="background1" w:themeFillShade="F2"/>
                  <w:vAlign w:val="center"/>
                </w:tcPr>
                <w:p w:rsidR="009A24C0" w:rsidRDefault="009A24C0" w:rsidP="009A24C0">
                  <w:pPr>
                    <w:pStyle w:val="TableBodyText"/>
                  </w:pPr>
                  <w:r>
                    <w:t>-0.031</w:t>
                  </w:r>
                </w:p>
              </w:tc>
              <w:tc>
                <w:tcPr>
                  <w:tcW w:w="820" w:type="pct"/>
                  <w:shd w:val="clear" w:color="auto" w:fill="F2F2F2" w:themeFill="background1" w:themeFillShade="F2"/>
                  <w:vAlign w:val="center"/>
                </w:tcPr>
                <w:p w:rsidR="009A24C0" w:rsidRPr="00913E2B" w:rsidRDefault="009A24C0" w:rsidP="009A24C0">
                  <w:pPr>
                    <w:pStyle w:val="TableBodyText"/>
                  </w:pPr>
                  <w:r>
                    <w:t>0.112</w:t>
                  </w:r>
                </w:p>
              </w:tc>
              <w:tc>
                <w:tcPr>
                  <w:tcW w:w="749" w:type="pct"/>
                  <w:shd w:val="clear" w:color="auto" w:fill="F2F2F2" w:themeFill="background1" w:themeFillShade="F2"/>
                  <w:vAlign w:val="center"/>
                </w:tcPr>
                <w:p w:rsidR="009A24C0" w:rsidRPr="00913E2B" w:rsidRDefault="009A24C0" w:rsidP="009A24C0">
                  <w:pPr>
                    <w:pStyle w:val="TableBodyText"/>
                    <w:ind w:right="28"/>
                  </w:pPr>
                  <w:r>
                    <w:t>-1.088</w:t>
                  </w:r>
                </w:p>
              </w:tc>
            </w:tr>
            <w:tr w:rsidR="009A24C0" w:rsidRPr="00913E2B" w:rsidTr="009A24C0">
              <w:tc>
                <w:tcPr>
                  <w:tcW w:w="1583" w:type="pct"/>
                  <w:shd w:val="clear" w:color="auto" w:fill="F2F2F2" w:themeFill="background1" w:themeFillShade="F2"/>
                  <w:vAlign w:val="center"/>
                </w:tcPr>
                <w:p w:rsidR="009A24C0" w:rsidRPr="00913E2B" w:rsidRDefault="009A24C0" w:rsidP="009A24C0">
                  <w:pPr>
                    <w:pStyle w:val="TableUnitsRow"/>
                    <w:jc w:val="left"/>
                  </w:pPr>
                </w:p>
              </w:tc>
              <w:tc>
                <w:tcPr>
                  <w:tcW w:w="1015" w:type="pct"/>
                  <w:shd w:val="clear" w:color="auto" w:fill="F2F2F2" w:themeFill="background1" w:themeFillShade="F2"/>
                  <w:vAlign w:val="center"/>
                </w:tcPr>
                <w:p w:rsidR="009A24C0" w:rsidRPr="00913E2B" w:rsidRDefault="009A24C0" w:rsidP="009A24C0">
                  <w:pPr>
                    <w:pStyle w:val="TableBodyText"/>
                  </w:pPr>
                  <w:r>
                    <w:t>(1.941)</w:t>
                  </w:r>
                </w:p>
              </w:tc>
              <w:tc>
                <w:tcPr>
                  <w:tcW w:w="833" w:type="pct"/>
                  <w:shd w:val="clear" w:color="auto" w:fill="F2F2F2" w:themeFill="background1" w:themeFillShade="F2"/>
                  <w:vAlign w:val="center"/>
                </w:tcPr>
                <w:p w:rsidR="009A24C0" w:rsidRDefault="009A24C0" w:rsidP="009A24C0">
                  <w:pPr>
                    <w:pStyle w:val="TableBodyText"/>
                  </w:pPr>
                  <w:r>
                    <w:t>(0.464)</w:t>
                  </w:r>
                </w:p>
              </w:tc>
              <w:tc>
                <w:tcPr>
                  <w:tcW w:w="820" w:type="pct"/>
                  <w:shd w:val="clear" w:color="auto" w:fill="F2F2F2" w:themeFill="background1" w:themeFillShade="F2"/>
                  <w:vAlign w:val="center"/>
                </w:tcPr>
                <w:p w:rsidR="009A24C0" w:rsidRPr="00913E2B" w:rsidRDefault="009A24C0" w:rsidP="009A24C0">
                  <w:pPr>
                    <w:pStyle w:val="TableBodyText"/>
                  </w:pPr>
                  <w:r>
                    <w:t>(0.883)</w:t>
                  </w:r>
                </w:p>
              </w:tc>
              <w:tc>
                <w:tcPr>
                  <w:tcW w:w="749" w:type="pct"/>
                  <w:shd w:val="clear" w:color="auto" w:fill="F2F2F2" w:themeFill="background1" w:themeFillShade="F2"/>
                  <w:vAlign w:val="center"/>
                </w:tcPr>
                <w:p w:rsidR="009A24C0" w:rsidRPr="00913E2B" w:rsidRDefault="009A24C0" w:rsidP="009A24C0">
                  <w:pPr>
                    <w:pStyle w:val="TableBodyText"/>
                    <w:ind w:right="28"/>
                  </w:pPr>
                  <w:r>
                    <w:t>(1.508)</w:t>
                  </w:r>
                </w:p>
              </w:tc>
            </w:tr>
            <w:tr w:rsidR="009A24C0" w:rsidRPr="00913E2B" w:rsidTr="009A24C0">
              <w:tc>
                <w:tcPr>
                  <w:tcW w:w="1583" w:type="pct"/>
                  <w:vAlign w:val="center"/>
                </w:tcPr>
                <w:p w:rsidR="009A24C0" w:rsidRPr="004F3392" w:rsidRDefault="009A24C0" w:rsidP="009A24C0">
                  <w:pPr>
                    <w:pStyle w:val="TableUnitsRow"/>
                    <w:jc w:val="left"/>
                  </w:pPr>
                  <w:r>
                    <w:t>Net assets x Retail</w:t>
                  </w:r>
                </w:p>
              </w:tc>
              <w:tc>
                <w:tcPr>
                  <w:tcW w:w="1015" w:type="pct"/>
                  <w:vAlign w:val="center"/>
                </w:tcPr>
                <w:p w:rsidR="009A24C0" w:rsidRPr="00913E2B" w:rsidRDefault="009A24C0" w:rsidP="009A24C0">
                  <w:pPr>
                    <w:pStyle w:val="TableBodyText"/>
                  </w:pPr>
                  <w:r>
                    <w:t>-0.284</w:t>
                  </w:r>
                </w:p>
              </w:tc>
              <w:tc>
                <w:tcPr>
                  <w:tcW w:w="833" w:type="pct"/>
                  <w:vAlign w:val="center"/>
                </w:tcPr>
                <w:p w:rsidR="009A24C0" w:rsidRDefault="009A24C0" w:rsidP="009A24C0">
                  <w:pPr>
                    <w:pStyle w:val="TableBodyText"/>
                  </w:pPr>
                  <w:r>
                    <w:t>-0.450</w:t>
                  </w:r>
                  <w:r>
                    <w:rPr>
                      <w:vertAlign w:val="superscript"/>
                    </w:rPr>
                    <w:t>**</w:t>
                  </w:r>
                </w:p>
              </w:tc>
              <w:tc>
                <w:tcPr>
                  <w:tcW w:w="820" w:type="pct"/>
                  <w:vAlign w:val="center"/>
                </w:tcPr>
                <w:p w:rsidR="009A24C0" w:rsidRPr="00913E2B" w:rsidRDefault="009A24C0" w:rsidP="009A24C0">
                  <w:pPr>
                    <w:pStyle w:val="TableBodyText"/>
                  </w:pPr>
                  <w:r>
                    <w:t>0.119</w:t>
                  </w:r>
                </w:p>
              </w:tc>
              <w:tc>
                <w:tcPr>
                  <w:tcW w:w="749" w:type="pct"/>
                  <w:vAlign w:val="center"/>
                </w:tcPr>
                <w:p w:rsidR="009A24C0" w:rsidRPr="00913E2B" w:rsidRDefault="009A24C0" w:rsidP="009A24C0">
                  <w:pPr>
                    <w:pStyle w:val="TableBodyText"/>
                    <w:ind w:right="28"/>
                  </w:pPr>
                  <w:r>
                    <w:t>0.048</w:t>
                  </w:r>
                </w:p>
              </w:tc>
            </w:tr>
            <w:tr w:rsidR="009A24C0" w:rsidRPr="00913E2B" w:rsidTr="009A24C0">
              <w:tc>
                <w:tcPr>
                  <w:tcW w:w="1583" w:type="pct"/>
                  <w:vAlign w:val="center"/>
                </w:tcPr>
                <w:p w:rsidR="009A24C0" w:rsidRPr="00913E2B" w:rsidRDefault="009A24C0" w:rsidP="009A24C0">
                  <w:pPr>
                    <w:pStyle w:val="TableUnitsRow"/>
                    <w:jc w:val="left"/>
                  </w:pPr>
                </w:p>
              </w:tc>
              <w:tc>
                <w:tcPr>
                  <w:tcW w:w="1015" w:type="pct"/>
                  <w:vAlign w:val="center"/>
                </w:tcPr>
                <w:p w:rsidR="009A24C0" w:rsidRPr="00913E2B" w:rsidRDefault="009A24C0" w:rsidP="009A24C0">
                  <w:pPr>
                    <w:pStyle w:val="TableBodyText"/>
                  </w:pPr>
                  <w:r>
                    <w:t>(0.914)</w:t>
                  </w:r>
                </w:p>
              </w:tc>
              <w:tc>
                <w:tcPr>
                  <w:tcW w:w="833" w:type="pct"/>
                  <w:vAlign w:val="center"/>
                </w:tcPr>
                <w:p w:rsidR="009A24C0" w:rsidRDefault="009A24C0" w:rsidP="009A24C0">
                  <w:pPr>
                    <w:pStyle w:val="TableBodyText"/>
                  </w:pPr>
                  <w:r>
                    <w:t>(0.219)</w:t>
                  </w:r>
                </w:p>
              </w:tc>
              <w:tc>
                <w:tcPr>
                  <w:tcW w:w="820" w:type="pct"/>
                  <w:vAlign w:val="center"/>
                </w:tcPr>
                <w:p w:rsidR="009A24C0" w:rsidRPr="00913E2B" w:rsidRDefault="009A24C0" w:rsidP="009A24C0">
                  <w:pPr>
                    <w:pStyle w:val="TableBodyText"/>
                  </w:pPr>
                  <w:r>
                    <w:t>(0.416)</w:t>
                  </w:r>
                </w:p>
              </w:tc>
              <w:tc>
                <w:tcPr>
                  <w:tcW w:w="749" w:type="pct"/>
                  <w:vAlign w:val="center"/>
                </w:tcPr>
                <w:p w:rsidR="009A24C0" w:rsidRPr="00913E2B" w:rsidRDefault="009A24C0" w:rsidP="009A24C0">
                  <w:pPr>
                    <w:pStyle w:val="TableBodyText"/>
                    <w:ind w:right="28"/>
                  </w:pPr>
                  <w:r>
                    <w:t>(0.711)</w:t>
                  </w:r>
                </w:p>
              </w:tc>
            </w:tr>
            <w:tr w:rsidR="009A24C0" w:rsidRPr="00913E2B" w:rsidTr="009A24C0">
              <w:tc>
                <w:tcPr>
                  <w:tcW w:w="1583" w:type="pct"/>
                  <w:shd w:val="clear" w:color="auto" w:fill="F2F2F2" w:themeFill="background1" w:themeFillShade="F2"/>
                  <w:vAlign w:val="center"/>
                </w:tcPr>
                <w:p w:rsidR="009A24C0" w:rsidRPr="00913E2B" w:rsidRDefault="009A24C0" w:rsidP="009A24C0">
                  <w:pPr>
                    <w:pStyle w:val="TableUnitsRow"/>
                    <w:jc w:val="left"/>
                  </w:pPr>
                  <w:r>
                    <w:t>Intercept</w:t>
                  </w:r>
                </w:p>
              </w:tc>
              <w:tc>
                <w:tcPr>
                  <w:tcW w:w="1015" w:type="pct"/>
                  <w:shd w:val="clear" w:color="auto" w:fill="F2F2F2" w:themeFill="background1" w:themeFillShade="F2"/>
                  <w:vAlign w:val="center"/>
                </w:tcPr>
                <w:p w:rsidR="009A24C0" w:rsidRPr="00913E2B" w:rsidRDefault="009A24C0" w:rsidP="009A24C0">
                  <w:pPr>
                    <w:pStyle w:val="TableBodyText"/>
                  </w:pPr>
                  <w:r>
                    <w:t>-0.503</w:t>
                  </w:r>
                </w:p>
              </w:tc>
              <w:tc>
                <w:tcPr>
                  <w:tcW w:w="833" w:type="pct"/>
                  <w:shd w:val="clear" w:color="auto" w:fill="F2F2F2" w:themeFill="background1" w:themeFillShade="F2"/>
                  <w:vAlign w:val="center"/>
                </w:tcPr>
                <w:p w:rsidR="009A24C0" w:rsidRDefault="009A24C0" w:rsidP="009A24C0">
                  <w:pPr>
                    <w:pStyle w:val="TableBodyText"/>
                  </w:pPr>
                  <w:r>
                    <w:t>-5.414</w:t>
                  </w:r>
                  <w:r>
                    <w:rPr>
                      <w:vertAlign w:val="superscript"/>
                    </w:rPr>
                    <w:t>**</w:t>
                  </w:r>
                </w:p>
              </w:tc>
              <w:tc>
                <w:tcPr>
                  <w:tcW w:w="820" w:type="pct"/>
                  <w:shd w:val="clear" w:color="auto" w:fill="F2F2F2" w:themeFill="background1" w:themeFillShade="F2"/>
                  <w:vAlign w:val="center"/>
                </w:tcPr>
                <w:p w:rsidR="009A24C0" w:rsidRPr="00913E2B" w:rsidRDefault="009A24C0" w:rsidP="009A24C0">
                  <w:pPr>
                    <w:pStyle w:val="TableBodyText"/>
                  </w:pPr>
                  <w:r>
                    <w:t>8.484</w:t>
                  </w:r>
                  <w:r>
                    <w:rPr>
                      <w:vertAlign w:val="superscript"/>
                    </w:rPr>
                    <w:t>*</w:t>
                  </w:r>
                </w:p>
              </w:tc>
              <w:tc>
                <w:tcPr>
                  <w:tcW w:w="749" w:type="pct"/>
                  <w:shd w:val="clear" w:color="auto" w:fill="F2F2F2" w:themeFill="background1" w:themeFillShade="F2"/>
                  <w:vAlign w:val="center"/>
                </w:tcPr>
                <w:p w:rsidR="009A24C0" w:rsidRPr="00913E2B" w:rsidRDefault="009A24C0" w:rsidP="009A24C0">
                  <w:pPr>
                    <w:pStyle w:val="TableBodyText"/>
                    <w:ind w:right="28"/>
                  </w:pPr>
                  <w:r>
                    <w:t>-3.573</w:t>
                  </w:r>
                </w:p>
              </w:tc>
            </w:tr>
            <w:tr w:rsidR="009A24C0" w:rsidRPr="00913E2B" w:rsidTr="009A24C0">
              <w:tc>
                <w:tcPr>
                  <w:tcW w:w="1583" w:type="pct"/>
                  <w:shd w:val="clear" w:color="auto" w:fill="F2F2F2" w:themeFill="background1" w:themeFillShade="F2"/>
                  <w:vAlign w:val="center"/>
                </w:tcPr>
                <w:p w:rsidR="009A24C0" w:rsidRPr="00913E2B" w:rsidRDefault="009A24C0" w:rsidP="009A24C0">
                  <w:pPr>
                    <w:pStyle w:val="TableUnitsRow"/>
                    <w:jc w:val="left"/>
                  </w:pPr>
                </w:p>
              </w:tc>
              <w:tc>
                <w:tcPr>
                  <w:tcW w:w="1015" w:type="pct"/>
                  <w:shd w:val="clear" w:color="auto" w:fill="F2F2F2" w:themeFill="background1" w:themeFillShade="F2"/>
                  <w:vAlign w:val="center"/>
                </w:tcPr>
                <w:p w:rsidR="009A24C0" w:rsidRPr="00913E2B" w:rsidRDefault="009A24C0" w:rsidP="009A24C0">
                  <w:pPr>
                    <w:pStyle w:val="TableBodyText"/>
                  </w:pPr>
                  <w:r>
                    <w:t>(10.946)</w:t>
                  </w:r>
                </w:p>
              </w:tc>
              <w:tc>
                <w:tcPr>
                  <w:tcW w:w="833" w:type="pct"/>
                  <w:shd w:val="clear" w:color="auto" w:fill="F2F2F2" w:themeFill="background1" w:themeFillShade="F2"/>
                  <w:vAlign w:val="center"/>
                </w:tcPr>
                <w:p w:rsidR="009A24C0" w:rsidRDefault="009A24C0" w:rsidP="009A24C0">
                  <w:pPr>
                    <w:pStyle w:val="TableBodyText"/>
                  </w:pPr>
                  <w:r>
                    <w:t>(2.616)</w:t>
                  </w:r>
                </w:p>
              </w:tc>
              <w:tc>
                <w:tcPr>
                  <w:tcW w:w="820" w:type="pct"/>
                  <w:shd w:val="clear" w:color="auto" w:fill="F2F2F2" w:themeFill="background1" w:themeFillShade="F2"/>
                  <w:vAlign w:val="center"/>
                </w:tcPr>
                <w:p w:rsidR="009A24C0" w:rsidRPr="00913E2B" w:rsidRDefault="009A24C0" w:rsidP="009A24C0">
                  <w:pPr>
                    <w:pStyle w:val="TableBodyText"/>
                  </w:pPr>
                  <w:r>
                    <w:t>(4.979)</w:t>
                  </w:r>
                </w:p>
              </w:tc>
              <w:tc>
                <w:tcPr>
                  <w:tcW w:w="749" w:type="pct"/>
                  <w:shd w:val="clear" w:color="auto" w:fill="F2F2F2" w:themeFill="background1" w:themeFillShade="F2"/>
                  <w:vAlign w:val="center"/>
                </w:tcPr>
                <w:p w:rsidR="009A24C0" w:rsidRPr="00913E2B" w:rsidRDefault="009A24C0" w:rsidP="009A24C0">
                  <w:pPr>
                    <w:pStyle w:val="TableBodyText"/>
                    <w:ind w:right="28"/>
                  </w:pPr>
                  <w:r>
                    <w:t>(8.507)</w:t>
                  </w:r>
                </w:p>
              </w:tc>
            </w:tr>
            <w:tr w:rsidR="009A24C0" w:rsidRPr="00913E2B" w:rsidTr="009A24C0">
              <w:tc>
                <w:tcPr>
                  <w:tcW w:w="1583" w:type="pct"/>
                  <w:shd w:val="clear" w:color="auto" w:fill="auto"/>
                </w:tcPr>
                <w:p w:rsidR="009A24C0" w:rsidRPr="00913E2B" w:rsidRDefault="009A24C0" w:rsidP="009A24C0">
                  <w:pPr>
                    <w:pStyle w:val="TableUnitsRow"/>
                    <w:jc w:val="left"/>
                  </w:pPr>
                </w:p>
              </w:tc>
              <w:tc>
                <w:tcPr>
                  <w:tcW w:w="1015" w:type="pct"/>
                </w:tcPr>
                <w:p w:rsidR="009A24C0" w:rsidRPr="00913E2B" w:rsidRDefault="009A24C0" w:rsidP="009A24C0">
                  <w:pPr>
                    <w:pStyle w:val="TableBodyText"/>
                  </w:pPr>
                </w:p>
              </w:tc>
              <w:tc>
                <w:tcPr>
                  <w:tcW w:w="833" w:type="pct"/>
                </w:tcPr>
                <w:p w:rsidR="009A24C0" w:rsidRPr="00913E2B" w:rsidRDefault="009A24C0" w:rsidP="009A24C0">
                  <w:pPr>
                    <w:pStyle w:val="TableBodyText"/>
                  </w:pPr>
                </w:p>
              </w:tc>
              <w:tc>
                <w:tcPr>
                  <w:tcW w:w="820" w:type="pct"/>
                  <w:shd w:val="clear" w:color="auto" w:fill="auto"/>
                </w:tcPr>
                <w:p w:rsidR="009A24C0" w:rsidRPr="00913E2B" w:rsidRDefault="009A24C0" w:rsidP="009A24C0">
                  <w:pPr>
                    <w:pStyle w:val="TableBodyText"/>
                  </w:pPr>
                </w:p>
              </w:tc>
              <w:tc>
                <w:tcPr>
                  <w:tcW w:w="749" w:type="pct"/>
                  <w:shd w:val="clear" w:color="auto" w:fill="auto"/>
                </w:tcPr>
                <w:p w:rsidR="009A24C0" w:rsidRPr="00913E2B" w:rsidRDefault="009A24C0" w:rsidP="009A24C0">
                  <w:pPr>
                    <w:pStyle w:val="TableBodyText"/>
                    <w:ind w:right="28"/>
                  </w:pPr>
                </w:p>
              </w:tc>
            </w:tr>
            <w:tr w:rsidR="009A24C0" w:rsidRPr="00913E2B" w:rsidTr="009A24C0">
              <w:tc>
                <w:tcPr>
                  <w:tcW w:w="1583" w:type="pct"/>
                  <w:vAlign w:val="center"/>
                </w:tcPr>
                <w:p w:rsidR="009A24C0" w:rsidRPr="00913E2B" w:rsidRDefault="009A24C0" w:rsidP="009A24C0">
                  <w:pPr>
                    <w:pStyle w:val="TableUnitsRow"/>
                    <w:jc w:val="left"/>
                  </w:pPr>
                  <m:oMathPara>
                    <m:oMathParaPr>
                      <m:jc m:val="left"/>
                    </m:oMathParaPr>
                    <m:oMath>
                      <m:r>
                        <w:rPr>
                          <w:rFonts w:ascii="Cambria Math" w:hAnsi="Cambria Math"/>
                        </w:rPr>
                        <m:t>N</m:t>
                      </m:r>
                    </m:oMath>
                  </m:oMathPara>
                </w:p>
              </w:tc>
              <w:tc>
                <w:tcPr>
                  <w:tcW w:w="1015" w:type="pct"/>
                  <w:vAlign w:val="center"/>
                </w:tcPr>
                <w:p w:rsidR="009A24C0" w:rsidRPr="00913E2B" w:rsidRDefault="009A24C0" w:rsidP="009A24C0">
                  <w:pPr>
                    <w:pStyle w:val="TableBodyText"/>
                  </w:pPr>
                  <w:r>
                    <w:t>178</w:t>
                  </w:r>
                </w:p>
              </w:tc>
              <w:tc>
                <w:tcPr>
                  <w:tcW w:w="833" w:type="pct"/>
                  <w:vAlign w:val="center"/>
                </w:tcPr>
                <w:p w:rsidR="009A24C0" w:rsidRDefault="009A24C0" w:rsidP="009A24C0">
                  <w:pPr>
                    <w:pStyle w:val="TableBodyText"/>
                  </w:pPr>
                  <w:r>
                    <w:t>178</w:t>
                  </w:r>
                </w:p>
              </w:tc>
              <w:tc>
                <w:tcPr>
                  <w:tcW w:w="820" w:type="pct"/>
                  <w:vAlign w:val="center"/>
                </w:tcPr>
                <w:p w:rsidR="009A24C0" w:rsidRPr="00913E2B" w:rsidRDefault="009A24C0" w:rsidP="009A24C0">
                  <w:pPr>
                    <w:pStyle w:val="TableBodyText"/>
                  </w:pPr>
                  <w:r>
                    <w:t>178</w:t>
                  </w:r>
                </w:p>
              </w:tc>
              <w:tc>
                <w:tcPr>
                  <w:tcW w:w="749" w:type="pct"/>
                  <w:vAlign w:val="center"/>
                </w:tcPr>
                <w:p w:rsidR="009A24C0" w:rsidRPr="00913E2B" w:rsidRDefault="009A24C0" w:rsidP="009A24C0">
                  <w:pPr>
                    <w:pStyle w:val="TableBodyText"/>
                    <w:ind w:right="28"/>
                  </w:pPr>
                  <w:r>
                    <w:t>178</w:t>
                  </w:r>
                </w:p>
              </w:tc>
            </w:tr>
            <w:tr w:rsidR="009A24C0" w:rsidRPr="00913E2B" w:rsidTr="009A24C0">
              <w:tc>
                <w:tcPr>
                  <w:tcW w:w="1583" w:type="pct"/>
                  <w:vAlign w:val="center"/>
                </w:tcPr>
                <w:p w:rsidR="009A24C0" w:rsidRPr="00913E2B" w:rsidRDefault="001F492C" w:rsidP="009A24C0">
                  <w:pPr>
                    <w:pStyle w:val="TableUnitsRow"/>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1015" w:type="pct"/>
                  <w:vAlign w:val="center"/>
                </w:tcPr>
                <w:p w:rsidR="009A24C0" w:rsidRPr="00913E2B" w:rsidRDefault="009A24C0" w:rsidP="009A24C0">
                  <w:pPr>
                    <w:pStyle w:val="TableBodyText"/>
                  </w:pPr>
                  <w:r>
                    <w:t>0.409</w:t>
                  </w:r>
                </w:p>
              </w:tc>
              <w:tc>
                <w:tcPr>
                  <w:tcW w:w="833" w:type="pct"/>
                  <w:vAlign w:val="center"/>
                </w:tcPr>
                <w:p w:rsidR="009A24C0" w:rsidRDefault="009A24C0" w:rsidP="009A24C0">
                  <w:pPr>
                    <w:pStyle w:val="TableBodyText"/>
                  </w:pPr>
                  <w:r>
                    <w:t>0.509</w:t>
                  </w:r>
                </w:p>
              </w:tc>
              <w:tc>
                <w:tcPr>
                  <w:tcW w:w="820" w:type="pct"/>
                  <w:vAlign w:val="center"/>
                </w:tcPr>
                <w:p w:rsidR="009A24C0" w:rsidRPr="00913E2B" w:rsidRDefault="009A24C0" w:rsidP="009A24C0">
                  <w:pPr>
                    <w:pStyle w:val="TableBodyText"/>
                  </w:pPr>
                  <w:r>
                    <w:t>0.331</w:t>
                  </w:r>
                </w:p>
              </w:tc>
              <w:tc>
                <w:tcPr>
                  <w:tcW w:w="749" w:type="pct"/>
                  <w:vAlign w:val="center"/>
                </w:tcPr>
                <w:p w:rsidR="009A24C0" w:rsidRPr="00913E2B" w:rsidRDefault="009A24C0" w:rsidP="009A24C0">
                  <w:pPr>
                    <w:pStyle w:val="TableBodyText"/>
                    <w:ind w:right="28"/>
                  </w:pPr>
                  <w:r>
                    <w:t>0.148</w:t>
                  </w:r>
                </w:p>
              </w:tc>
            </w:tr>
            <w:tr w:rsidR="009A24C0" w:rsidTr="009A24C0">
              <w:tc>
                <w:tcPr>
                  <w:tcW w:w="1583" w:type="pct"/>
                  <w:shd w:val="clear" w:color="auto" w:fill="auto"/>
                </w:tcPr>
                <w:p w:rsidR="009A24C0" w:rsidRDefault="009A24C0" w:rsidP="009A24C0">
                  <w:pPr>
                    <w:pStyle w:val="TableBodyText"/>
                    <w:jc w:val="left"/>
                  </w:pPr>
                  <w:r>
                    <w:t xml:space="preserve">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1015" w:type="pct"/>
                  <w:vAlign w:val="center"/>
                </w:tcPr>
                <w:p w:rsidR="009A24C0" w:rsidRDefault="009A24C0" w:rsidP="009A24C0">
                  <w:pPr>
                    <w:pStyle w:val="TableBodyText"/>
                  </w:pPr>
                  <w:r>
                    <w:t>0.384</w:t>
                  </w:r>
                </w:p>
              </w:tc>
              <w:tc>
                <w:tcPr>
                  <w:tcW w:w="833" w:type="pct"/>
                  <w:vAlign w:val="center"/>
                </w:tcPr>
                <w:p w:rsidR="009A24C0" w:rsidRDefault="009A24C0" w:rsidP="009A24C0">
                  <w:pPr>
                    <w:pStyle w:val="TableBodyText"/>
                  </w:pPr>
                  <w:r>
                    <w:t>0.489</w:t>
                  </w:r>
                </w:p>
              </w:tc>
              <w:tc>
                <w:tcPr>
                  <w:tcW w:w="820" w:type="pct"/>
                  <w:shd w:val="clear" w:color="auto" w:fill="auto"/>
                  <w:vAlign w:val="center"/>
                </w:tcPr>
                <w:p w:rsidR="009A24C0" w:rsidRDefault="009A24C0" w:rsidP="009A24C0">
                  <w:pPr>
                    <w:pStyle w:val="TableBodyText"/>
                  </w:pPr>
                  <w:r>
                    <w:t>0.304</w:t>
                  </w:r>
                </w:p>
              </w:tc>
              <w:tc>
                <w:tcPr>
                  <w:tcW w:w="749" w:type="pct"/>
                  <w:shd w:val="clear" w:color="auto" w:fill="auto"/>
                  <w:vAlign w:val="center"/>
                </w:tcPr>
                <w:p w:rsidR="009A24C0" w:rsidRDefault="009A24C0" w:rsidP="009A24C0">
                  <w:pPr>
                    <w:pStyle w:val="TableBodyText"/>
                    <w:ind w:right="28"/>
                  </w:pPr>
                  <w:r>
                    <w:t>0.113</w:t>
                  </w:r>
                </w:p>
              </w:tc>
            </w:tr>
            <w:tr w:rsidR="009A24C0" w:rsidTr="009A24C0">
              <w:tc>
                <w:tcPr>
                  <w:tcW w:w="1583" w:type="pct"/>
                  <w:tcBorders>
                    <w:bottom w:val="single" w:sz="6" w:space="0" w:color="BFBFBF"/>
                  </w:tcBorders>
                  <w:shd w:val="clear" w:color="auto" w:fill="auto"/>
                </w:tcPr>
                <w:p w:rsidR="009A24C0" w:rsidRPr="00B13CEA" w:rsidRDefault="009A24C0" w:rsidP="009A24C0">
                  <w:pPr>
                    <w:pStyle w:val="TableBodyText"/>
                    <w:jc w:val="left"/>
                    <w:rPr>
                      <w:i/>
                    </w:rPr>
                  </w:pPr>
                  <w:r w:rsidRPr="00B13CEA">
                    <w:rPr>
                      <w:i/>
                    </w:rPr>
                    <w:t>F</w:t>
                  </w:r>
                </w:p>
              </w:tc>
              <w:tc>
                <w:tcPr>
                  <w:tcW w:w="1015" w:type="pct"/>
                  <w:tcBorders>
                    <w:bottom w:val="single" w:sz="6" w:space="0" w:color="BFBFBF"/>
                  </w:tcBorders>
                  <w:vAlign w:val="center"/>
                </w:tcPr>
                <w:p w:rsidR="009A24C0" w:rsidRPr="00494F61" w:rsidRDefault="009A24C0" w:rsidP="009A24C0">
                  <w:pPr>
                    <w:pStyle w:val="TableBodyText"/>
                    <w:rPr>
                      <w:szCs w:val="18"/>
                    </w:rPr>
                  </w:pPr>
                  <w:r>
                    <w:t>16.795</w:t>
                  </w:r>
                  <w:r>
                    <w:rPr>
                      <w:vertAlign w:val="superscript"/>
                    </w:rPr>
                    <w:t>***</w:t>
                  </w:r>
                </w:p>
              </w:tc>
              <w:tc>
                <w:tcPr>
                  <w:tcW w:w="833" w:type="pct"/>
                  <w:tcBorders>
                    <w:bottom w:val="single" w:sz="6" w:space="0" w:color="BFBFBF"/>
                  </w:tcBorders>
                  <w:vAlign w:val="center"/>
                </w:tcPr>
                <w:p w:rsidR="009A24C0" w:rsidRPr="00494F61" w:rsidRDefault="009A24C0" w:rsidP="009A24C0">
                  <w:pPr>
                    <w:pStyle w:val="TableBodyText"/>
                    <w:rPr>
                      <w:szCs w:val="18"/>
                    </w:rPr>
                  </w:pPr>
                  <w:r>
                    <w:t>25.203</w:t>
                  </w:r>
                  <w:r>
                    <w:rPr>
                      <w:vertAlign w:val="superscript"/>
                    </w:rPr>
                    <w:t>***</w:t>
                  </w:r>
                </w:p>
              </w:tc>
              <w:tc>
                <w:tcPr>
                  <w:tcW w:w="820" w:type="pct"/>
                  <w:tcBorders>
                    <w:bottom w:val="single" w:sz="6" w:space="0" w:color="BFBFBF"/>
                  </w:tcBorders>
                  <w:shd w:val="clear" w:color="auto" w:fill="auto"/>
                  <w:vAlign w:val="center"/>
                </w:tcPr>
                <w:p w:rsidR="009A24C0" w:rsidRPr="00494F61" w:rsidRDefault="009A24C0" w:rsidP="009A24C0">
                  <w:pPr>
                    <w:pStyle w:val="TableBodyText"/>
                    <w:rPr>
                      <w:szCs w:val="18"/>
                    </w:rPr>
                  </w:pPr>
                  <w:r>
                    <w:t>12.040</w:t>
                  </w:r>
                  <w:r>
                    <w:rPr>
                      <w:vertAlign w:val="superscript"/>
                    </w:rPr>
                    <w:t>***</w:t>
                  </w:r>
                </w:p>
              </w:tc>
              <w:tc>
                <w:tcPr>
                  <w:tcW w:w="749" w:type="pct"/>
                  <w:tcBorders>
                    <w:bottom w:val="single" w:sz="6" w:space="0" w:color="BFBFBF"/>
                  </w:tcBorders>
                  <w:shd w:val="clear" w:color="auto" w:fill="auto"/>
                  <w:vAlign w:val="center"/>
                </w:tcPr>
                <w:p w:rsidR="009A24C0" w:rsidRPr="00494F61" w:rsidRDefault="009A24C0" w:rsidP="009A24C0">
                  <w:pPr>
                    <w:pStyle w:val="TableBodyText"/>
                    <w:ind w:right="28"/>
                    <w:rPr>
                      <w:szCs w:val="18"/>
                    </w:rPr>
                  </w:pPr>
                  <w:r>
                    <w:t>4.225</w:t>
                  </w:r>
                  <w:r>
                    <w:rPr>
                      <w:vertAlign w:val="superscript"/>
                    </w:rPr>
                    <w:t>***</w:t>
                  </w:r>
                </w:p>
              </w:tc>
            </w:tr>
          </w:tbl>
          <w:p w:rsidR="009A24C0" w:rsidRDefault="009A24C0" w:rsidP="009A24C0">
            <w:pPr>
              <w:pStyle w:val="Box"/>
            </w:pPr>
          </w:p>
        </w:tc>
      </w:tr>
      <w:tr w:rsidR="009A24C0" w:rsidTr="009A24C0">
        <w:tc>
          <w:tcPr>
            <w:tcW w:w="5000" w:type="pct"/>
            <w:tcBorders>
              <w:top w:val="nil"/>
              <w:left w:val="nil"/>
              <w:bottom w:val="nil"/>
              <w:right w:val="nil"/>
            </w:tcBorders>
            <w:shd w:val="clear" w:color="auto" w:fill="auto"/>
          </w:tcPr>
          <w:p w:rsidR="009A24C0" w:rsidRDefault="009A24C0" w:rsidP="009A24C0">
            <w:pPr>
              <w:pStyle w:val="Note"/>
              <w:rPr>
                <w:i/>
              </w:rPr>
            </w:pPr>
            <w:r w:rsidRPr="008E77FE">
              <w:rPr>
                <w:rStyle w:val="NoteLabel"/>
              </w:rPr>
              <w:t>a</w:t>
            </w:r>
            <w:r>
              <w:t xml:space="preserve"> </w:t>
            </w:r>
            <w:r>
              <w:rPr>
                <w:szCs w:val="18"/>
              </w:rPr>
              <w:t xml:space="preserve">Net assets for each fund are averaged over the time period and logged. </w:t>
            </w:r>
            <w:r w:rsidRPr="00132196">
              <w:rPr>
                <w:szCs w:val="18"/>
              </w:rPr>
              <w:t xml:space="preserve">The reference fund type is </w:t>
            </w:r>
            <w:r w:rsidR="00F640C8">
              <w:rPr>
                <w:szCs w:val="18"/>
              </w:rPr>
              <w:t>‘</w:t>
            </w:r>
            <w:r w:rsidRPr="00132196">
              <w:rPr>
                <w:szCs w:val="18"/>
              </w:rPr>
              <w:t>Corporate</w:t>
            </w:r>
            <w:r w:rsidR="00F640C8">
              <w:rPr>
                <w:szCs w:val="18"/>
              </w:rPr>
              <w:t>’</w:t>
            </w:r>
            <w:r w:rsidRPr="00132196">
              <w:rPr>
                <w:szCs w:val="18"/>
              </w:rPr>
              <w:t>.</w:t>
            </w:r>
            <w:r>
              <w:rPr>
                <w:szCs w:val="18"/>
              </w:rPr>
              <w:t xml:space="preserve"> </w:t>
            </w:r>
            <w:r>
              <w:t xml:space="preserve">Standard errors in parentheses. </w:t>
            </w:r>
            <w:r w:rsidRPr="00132196">
              <w:rPr>
                <w:szCs w:val="18"/>
                <w:vertAlign w:val="superscript"/>
              </w:rPr>
              <w:t>***</w:t>
            </w:r>
            <w:r w:rsidRPr="00132196">
              <w:rPr>
                <w:szCs w:val="18"/>
              </w:rPr>
              <w:t xml:space="preserve">Significant at the 1 per cent level. </w:t>
            </w:r>
            <w:r w:rsidRPr="00132196">
              <w:rPr>
                <w:szCs w:val="18"/>
                <w:vertAlign w:val="superscript"/>
              </w:rPr>
              <w:t>**</w:t>
            </w:r>
            <w:r w:rsidRPr="00132196">
              <w:rPr>
                <w:szCs w:val="18"/>
              </w:rPr>
              <w:t xml:space="preserve">Significant at the 5 per cent level. </w:t>
            </w:r>
            <w:r w:rsidRPr="00132196">
              <w:rPr>
                <w:szCs w:val="18"/>
                <w:vertAlign w:val="superscript"/>
              </w:rPr>
              <w:t>*</w:t>
            </w:r>
            <w:r w:rsidRPr="00132196">
              <w:rPr>
                <w:szCs w:val="18"/>
              </w:rPr>
              <w:t>Significant at the 10 per cent level.</w:t>
            </w:r>
          </w:p>
        </w:tc>
      </w:tr>
      <w:tr w:rsidR="009A24C0" w:rsidTr="009A24C0">
        <w:tc>
          <w:tcPr>
            <w:tcW w:w="5000" w:type="pct"/>
            <w:tcBorders>
              <w:top w:val="nil"/>
              <w:left w:val="nil"/>
              <w:bottom w:val="nil"/>
              <w:right w:val="nil"/>
            </w:tcBorders>
            <w:shd w:val="clear" w:color="auto" w:fill="auto"/>
          </w:tcPr>
          <w:p w:rsidR="009A24C0" w:rsidRDefault="009A24C0" w:rsidP="009A24C0">
            <w:pPr>
              <w:pStyle w:val="Source"/>
            </w:pPr>
            <w:r w:rsidRPr="00F1457E">
              <w:rPr>
                <w:i/>
              </w:rPr>
              <w:t>Source</w:t>
            </w:r>
            <w:r w:rsidRPr="00F1457E">
              <w:t xml:space="preserve">: </w:t>
            </w:r>
            <w:r>
              <w:rPr>
                <w:rFonts w:eastAsia="+mn-ea" w:cs="Arial"/>
                <w:color w:val="000000" w:themeColor="text1"/>
                <w:kern w:val="24"/>
                <w:szCs w:val="18"/>
              </w:rPr>
              <w:t>PC analysis of APRA data (</w:t>
            </w:r>
            <w:r w:rsidRPr="00481B71">
              <w:rPr>
                <w:rFonts w:eastAsia="+mn-ea" w:cs="Arial"/>
                <w:color w:val="000000" w:themeColor="text1"/>
                <w:kern w:val="24"/>
                <w:szCs w:val="18"/>
              </w:rPr>
              <w:t>2014</w:t>
            </w:r>
            <w:r>
              <w:rPr>
                <w:rFonts w:eastAsia="+mn-ea" w:cs="Arial"/>
                <w:color w:val="000000" w:themeColor="text1"/>
                <w:kern w:val="24"/>
                <w:szCs w:val="18"/>
              </w:rPr>
              <w:t>–</w:t>
            </w:r>
            <w:r w:rsidRPr="00481B71">
              <w:rPr>
                <w:rFonts w:eastAsia="+mn-ea" w:cs="Arial"/>
                <w:color w:val="000000" w:themeColor="text1"/>
                <w:kern w:val="24"/>
                <w:szCs w:val="18"/>
              </w:rPr>
              <w:t>17</w:t>
            </w:r>
            <w:r>
              <w:rPr>
                <w:rFonts w:eastAsia="+mn-ea" w:cs="Arial"/>
                <w:color w:val="000000" w:themeColor="text1"/>
                <w:kern w:val="24"/>
                <w:szCs w:val="18"/>
              </w:rPr>
              <w:t>).</w:t>
            </w:r>
          </w:p>
        </w:tc>
      </w:tr>
      <w:tr w:rsidR="009A24C0" w:rsidTr="009A24C0">
        <w:tc>
          <w:tcPr>
            <w:tcW w:w="5000" w:type="pct"/>
            <w:tcBorders>
              <w:top w:val="nil"/>
              <w:left w:val="nil"/>
              <w:bottom w:val="single" w:sz="6" w:space="0" w:color="78A22F"/>
              <w:right w:val="nil"/>
            </w:tcBorders>
            <w:shd w:val="clear" w:color="auto" w:fill="auto"/>
          </w:tcPr>
          <w:p w:rsidR="009A24C0" w:rsidRDefault="009A24C0" w:rsidP="009A24C0">
            <w:pPr>
              <w:pStyle w:val="Box"/>
              <w:spacing w:before="0" w:line="120" w:lineRule="exact"/>
            </w:pPr>
          </w:p>
        </w:tc>
      </w:tr>
      <w:tr w:rsidR="009A24C0" w:rsidRPr="000863A5" w:rsidTr="009A24C0">
        <w:trPr>
          <w:trHeight w:val="53"/>
        </w:trPr>
        <w:tc>
          <w:tcPr>
            <w:tcW w:w="5000" w:type="pct"/>
            <w:tcBorders>
              <w:top w:val="single" w:sz="6" w:space="0" w:color="78A22F"/>
              <w:left w:val="nil"/>
              <w:bottom w:val="nil"/>
              <w:right w:val="nil"/>
            </w:tcBorders>
          </w:tcPr>
          <w:p w:rsidR="009A24C0" w:rsidRPr="00626D32" w:rsidRDefault="009A24C0" w:rsidP="009A24C0">
            <w:pPr>
              <w:pStyle w:val="BoxSpaceBelow"/>
            </w:pPr>
          </w:p>
        </w:tc>
      </w:tr>
    </w:tbl>
    <w:p w:rsidR="009A24C0" w:rsidRDefault="009A24C0" w:rsidP="009A24C0"/>
    <w:p w:rsidR="009A24C0" w:rsidRDefault="009A24C0" w:rsidP="009A24C0">
      <w:r>
        <w:br w:type="page"/>
      </w:r>
    </w:p>
    <w:p w:rsidR="009A24C0" w:rsidRDefault="009A24C0" w:rsidP="009A24C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A24C0" w:rsidTr="009A24C0">
        <w:trPr>
          <w:tblHeader/>
        </w:trPr>
        <w:tc>
          <w:tcPr>
            <w:tcW w:w="5000" w:type="pct"/>
            <w:tcBorders>
              <w:top w:val="single" w:sz="6" w:space="0" w:color="78A22F"/>
              <w:left w:val="nil"/>
              <w:bottom w:val="nil"/>
              <w:right w:val="nil"/>
            </w:tcBorders>
            <w:shd w:val="clear" w:color="auto" w:fill="auto"/>
          </w:tcPr>
          <w:p w:rsidR="009A24C0" w:rsidRPr="00F1457E" w:rsidRDefault="009A24C0" w:rsidP="009A24C0">
            <w:pPr>
              <w:pStyle w:val="TableTitle"/>
              <w:rPr>
                <w:spacing w:val="-2"/>
              </w:rPr>
            </w:pPr>
            <w:r>
              <w:rPr>
                <w:b w:val="0"/>
              </w:rPr>
              <w:t>Table G.2</w:t>
            </w:r>
            <w:r>
              <w:tab/>
            </w:r>
            <w:r w:rsidRPr="00F1457E">
              <w:rPr>
                <w:spacing w:val="-2"/>
              </w:rPr>
              <w:t xml:space="preserve">Mean regression: annualised net returns and </w:t>
            </w:r>
            <w:r w:rsidR="00D52838">
              <w:rPr>
                <w:spacing w:val="-2"/>
              </w:rPr>
              <w:t>annualised benchmark adjusted returns</w:t>
            </w:r>
            <w:r w:rsidRPr="00F1457E">
              <w:rPr>
                <w:rStyle w:val="NoteLabel"/>
                <w:b/>
                <w:spacing w:val="-2"/>
              </w:rPr>
              <w:t>a</w:t>
            </w:r>
          </w:p>
          <w:p w:rsidR="009A24C0" w:rsidRPr="00784A05" w:rsidRDefault="009A24C0" w:rsidP="009A24C0">
            <w:pPr>
              <w:pStyle w:val="Subtitle"/>
            </w:pPr>
            <w:r>
              <w:t>2014 to 2017</w:t>
            </w:r>
          </w:p>
        </w:tc>
      </w:tr>
      <w:tr w:rsidR="009A24C0" w:rsidTr="009A24C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02"/>
              <w:gridCol w:w="1471"/>
              <w:gridCol w:w="1866"/>
              <w:gridCol w:w="1866"/>
            </w:tblGrid>
            <w:tr w:rsidR="009A24C0" w:rsidTr="009A24C0">
              <w:trPr>
                <w:tblHeader/>
              </w:trPr>
              <w:tc>
                <w:tcPr>
                  <w:tcW w:w="1941" w:type="pct"/>
                  <w:tcBorders>
                    <w:top w:val="single" w:sz="6" w:space="0" w:color="BFBFBF"/>
                    <w:bottom w:val="single" w:sz="6" w:space="0" w:color="BFBFBF"/>
                  </w:tcBorders>
                  <w:shd w:val="clear" w:color="auto" w:fill="auto"/>
                  <w:tcMar>
                    <w:top w:w="28" w:type="dxa"/>
                  </w:tcMar>
                </w:tcPr>
                <w:p w:rsidR="009A24C0" w:rsidRDefault="009A24C0" w:rsidP="009A24C0">
                  <w:pPr>
                    <w:pStyle w:val="TableColumnHeading"/>
                    <w:jc w:val="left"/>
                  </w:pPr>
                </w:p>
              </w:tc>
              <w:tc>
                <w:tcPr>
                  <w:tcW w:w="1962" w:type="pct"/>
                  <w:gridSpan w:val="2"/>
                  <w:tcBorders>
                    <w:top w:val="single" w:sz="6" w:space="0" w:color="BFBFBF"/>
                    <w:bottom w:val="single" w:sz="6" w:space="0" w:color="BFBFBF"/>
                  </w:tcBorders>
                  <w:shd w:val="clear" w:color="auto" w:fill="auto"/>
                  <w:tcMar>
                    <w:top w:w="28" w:type="dxa"/>
                  </w:tcMar>
                </w:tcPr>
                <w:p w:rsidR="009A24C0" w:rsidRDefault="009A24C0" w:rsidP="009A24C0">
                  <w:pPr>
                    <w:pStyle w:val="TableColumnHeading"/>
                    <w:jc w:val="center"/>
                  </w:pPr>
                  <w:r>
                    <w:t>Annualised net return</w:t>
                  </w:r>
                </w:p>
                <w:p w:rsidR="009A24C0" w:rsidRDefault="009A24C0" w:rsidP="009A24C0">
                  <w:pPr>
                    <w:pStyle w:val="TableColumnHeading"/>
                    <w:ind w:right="28"/>
                    <w:jc w:val="center"/>
                  </w:pPr>
                </w:p>
              </w:tc>
              <w:tc>
                <w:tcPr>
                  <w:tcW w:w="1097" w:type="pct"/>
                  <w:tcBorders>
                    <w:top w:val="single" w:sz="6" w:space="0" w:color="BFBFBF"/>
                    <w:bottom w:val="single" w:sz="6" w:space="0" w:color="BFBFBF"/>
                  </w:tcBorders>
                </w:tcPr>
                <w:p w:rsidR="009A24C0" w:rsidRDefault="00D52838" w:rsidP="009A24C0">
                  <w:pPr>
                    <w:pStyle w:val="TableColumnHeading"/>
                    <w:ind w:right="28"/>
                  </w:pPr>
                  <w:r>
                    <w:t>Annualised benchmark adjusted return</w:t>
                  </w:r>
                </w:p>
              </w:tc>
            </w:tr>
            <w:tr w:rsidR="009A24C0" w:rsidRPr="00913E2B" w:rsidTr="009A24C0">
              <w:tc>
                <w:tcPr>
                  <w:tcW w:w="1941" w:type="pct"/>
                  <w:tcBorders>
                    <w:top w:val="single" w:sz="6" w:space="0" w:color="BFBFBF"/>
                  </w:tcBorders>
                </w:tcPr>
                <w:p w:rsidR="009A24C0" w:rsidRPr="00913E2B" w:rsidRDefault="009A24C0" w:rsidP="009A24C0">
                  <w:pPr>
                    <w:pStyle w:val="TableUnitsRow"/>
                    <w:jc w:val="left"/>
                  </w:pPr>
                  <w:r>
                    <w:t>Net assets</w:t>
                  </w:r>
                </w:p>
              </w:tc>
              <w:tc>
                <w:tcPr>
                  <w:tcW w:w="865" w:type="pct"/>
                  <w:vAlign w:val="center"/>
                </w:tcPr>
                <w:p w:rsidR="009A24C0" w:rsidRPr="00913E2B" w:rsidRDefault="009A24C0" w:rsidP="009A24C0">
                  <w:pPr>
                    <w:pStyle w:val="TableBodyText"/>
                  </w:pPr>
                  <w:r w:rsidRPr="00D837F4">
                    <w:t>0.</w:t>
                  </w:r>
                  <w:r>
                    <w:t>095</w:t>
                  </w:r>
                  <w:r>
                    <w:rPr>
                      <w:vertAlign w:val="superscript"/>
                    </w:rPr>
                    <w:t>**</w:t>
                  </w:r>
                </w:p>
              </w:tc>
              <w:tc>
                <w:tcPr>
                  <w:tcW w:w="1097" w:type="pct"/>
                  <w:vAlign w:val="center"/>
                </w:tcPr>
                <w:p w:rsidR="009A24C0" w:rsidRPr="00913E2B" w:rsidRDefault="009A24C0" w:rsidP="009A24C0">
                  <w:pPr>
                    <w:pStyle w:val="TableBodyText"/>
                    <w:ind w:right="28"/>
                  </w:pPr>
                  <w:r w:rsidRPr="00D837F4">
                    <w:t>0.</w:t>
                  </w:r>
                  <w:r>
                    <w:t>126</w:t>
                  </w:r>
                </w:p>
              </w:tc>
              <w:tc>
                <w:tcPr>
                  <w:tcW w:w="1097" w:type="pct"/>
                  <w:vAlign w:val="center"/>
                </w:tcPr>
                <w:p w:rsidR="009A24C0" w:rsidRDefault="009A24C0" w:rsidP="009A24C0">
                  <w:pPr>
                    <w:pStyle w:val="TableBodyText"/>
                    <w:ind w:right="28"/>
                  </w:pPr>
                  <w:r>
                    <w:t>0.268</w:t>
                  </w:r>
                  <w:r>
                    <w:rPr>
                      <w:vertAlign w:val="superscript"/>
                    </w:rPr>
                    <w:t>**</w:t>
                  </w:r>
                </w:p>
              </w:tc>
            </w:tr>
            <w:tr w:rsidR="009A24C0" w:rsidRPr="00913E2B" w:rsidTr="009A24C0">
              <w:tc>
                <w:tcPr>
                  <w:tcW w:w="1941" w:type="pct"/>
                </w:tcPr>
                <w:p w:rsidR="009A24C0" w:rsidRPr="00913E2B" w:rsidRDefault="009A24C0" w:rsidP="009A24C0">
                  <w:pPr>
                    <w:pStyle w:val="TableBodyText"/>
                    <w:jc w:val="left"/>
                  </w:pPr>
                </w:p>
              </w:tc>
              <w:tc>
                <w:tcPr>
                  <w:tcW w:w="865" w:type="pct"/>
                  <w:vAlign w:val="center"/>
                </w:tcPr>
                <w:p w:rsidR="009A24C0" w:rsidRPr="00913E2B" w:rsidRDefault="009A24C0" w:rsidP="009A24C0">
                  <w:pPr>
                    <w:pStyle w:val="TableBodyText"/>
                  </w:pPr>
                  <w:r w:rsidRPr="00D837F4">
                    <w:t>(0.</w:t>
                  </w:r>
                  <w:r>
                    <w:t>044</w:t>
                  </w:r>
                  <w:r w:rsidRPr="00D837F4">
                    <w:t>)</w:t>
                  </w:r>
                </w:p>
              </w:tc>
              <w:tc>
                <w:tcPr>
                  <w:tcW w:w="1097" w:type="pct"/>
                  <w:vAlign w:val="center"/>
                </w:tcPr>
                <w:p w:rsidR="009A24C0" w:rsidRPr="00913E2B" w:rsidRDefault="009A24C0" w:rsidP="009A24C0">
                  <w:pPr>
                    <w:pStyle w:val="TableBodyText"/>
                    <w:ind w:right="28"/>
                  </w:pPr>
                  <w:r w:rsidRPr="00D837F4">
                    <w:t>(0.</w:t>
                  </w:r>
                  <w:r>
                    <w:t>101</w:t>
                  </w:r>
                  <w:r w:rsidRPr="00D837F4">
                    <w:t>)</w:t>
                  </w:r>
                </w:p>
              </w:tc>
              <w:tc>
                <w:tcPr>
                  <w:tcW w:w="1097" w:type="pct"/>
                  <w:vAlign w:val="center"/>
                </w:tcPr>
                <w:p w:rsidR="009A24C0" w:rsidRDefault="009A24C0" w:rsidP="009A24C0">
                  <w:pPr>
                    <w:pStyle w:val="TableBodyText"/>
                    <w:ind w:right="28"/>
                  </w:pPr>
                  <w:r>
                    <w:t>(0.131)</w:t>
                  </w:r>
                </w:p>
              </w:tc>
            </w:tr>
            <w:tr w:rsidR="009A24C0" w:rsidRPr="00913E2B" w:rsidTr="009A24C0">
              <w:tc>
                <w:tcPr>
                  <w:tcW w:w="1941" w:type="pct"/>
                  <w:shd w:val="clear" w:color="auto" w:fill="F2F2F2" w:themeFill="background1" w:themeFillShade="F2"/>
                  <w:vAlign w:val="center"/>
                </w:tcPr>
                <w:p w:rsidR="009A24C0" w:rsidRPr="004F3392" w:rsidRDefault="009A24C0" w:rsidP="009A24C0">
                  <w:pPr>
                    <w:pStyle w:val="TableUnitsRow"/>
                    <w:jc w:val="left"/>
                  </w:pPr>
                  <w:r>
                    <w:t>Defensive assets (proportion)</w:t>
                  </w:r>
                </w:p>
              </w:tc>
              <w:tc>
                <w:tcPr>
                  <w:tcW w:w="865" w:type="pct"/>
                  <w:shd w:val="clear" w:color="auto" w:fill="F2F2F2" w:themeFill="background1" w:themeFillShade="F2"/>
                  <w:vAlign w:val="center"/>
                </w:tcPr>
                <w:p w:rsidR="009A24C0" w:rsidRPr="004F3392" w:rsidRDefault="009A24C0" w:rsidP="009A24C0">
                  <w:pPr>
                    <w:pStyle w:val="TableBodyText"/>
                  </w:pPr>
                  <w:r>
                    <w:t>-2.768</w:t>
                  </w:r>
                  <w:r>
                    <w:rPr>
                      <w:vertAlign w:val="superscript"/>
                    </w:rPr>
                    <w:t>***</w:t>
                  </w:r>
                </w:p>
              </w:tc>
              <w:tc>
                <w:tcPr>
                  <w:tcW w:w="1097" w:type="pct"/>
                  <w:shd w:val="clear" w:color="auto" w:fill="F2F2F2" w:themeFill="background1" w:themeFillShade="F2"/>
                  <w:vAlign w:val="center"/>
                </w:tcPr>
                <w:p w:rsidR="009A24C0" w:rsidRPr="004F3392" w:rsidRDefault="009A24C0" w:rsidP="009A24C0">
                  <w:pPr>
                    <w:pStyle w:val="TableBodyText"/>
                    <w:ind w:right="28"/>
                  </w:pPr>
                  <w:r>
                    <w:t>-2.421</w:t>
                  </w:r>
                  <w:r>
                    <w:rPr>
                      <w:vertAlign w:val="superscript"/>
                    </w:rPr>
                    <w:t>***</w:t>
                  </w:r>
                </w:p>
              </w:tc>
              <w:tc>
                <w:tcPr>
                  <w:tcW w:w="1097" w:type="pct"/>
                  <w:shd w:val="clear" w:color="auto" w:fill="F2F2F2" w:themeFill="background1" w:themeFillShade="F2"/>
                  <w:vAlign w:val="center"/>
                </w:tcPr>
                <w:p w:rsidR="009A24C0" w:rsidRPr="00D837F4" w:rsidRDefault="009A24C0" w:rsidP="009A24C0">
                  <w:pPr>
                    <w:pStyle w:val="TableBodyText"/>
                    <w:ind w:right="28"/>
                  </w:pPr>
                </w:p>
              </w:tc>
            </w:tr>
            <w:tr w:rsidR="009A24C0" w:rsidRPr="00913E2B" w:rsidTr="009A24C0">
              <w:tc>
                <w:tcPr>
                  <w:tcW w:w="1941" w:type="pct"/>
                  <w:shd w:val="clear" w:color="auto" w:fill="F2F2F2" w:themeFill="background1" w:themeFillShade="F2"/>
                  <w:vAlign w:val="center"/>
                </w:tcPr>
                <w:p w:rsidR="009A24C0" w:rsidRPr="004F3392" w:rsidRDefault="009A24C0" w:rsidP="009A24C0">
                  <w:pPr>
                    <w:pStyle w:val="TableUnitsRow"/>
                    <w:jc w:val="left"/>
                  </w:pPr>
                </w:p>
              </w:tc>
              <w:tc>
                <w:tcPr>
                  <w:tcW w:w="865" w:type="pct"/>
                  <w:shd w:val="clear" w:color="auto" w:fill="F2F2F2" w:themeFill="background1" w:themeFillShade="F2"/>
                  <w:vAlign w:val="center"/>
                </w:tcPr>
                <w:p w:rsidR="009A24C0" w:rsidRPr="004F3392" w:rsidRDefault="009A24C0" w:rsidP="009A24C0">
                  <w:pPr>
                    <w:pStyle w:val="TableBodyText"/>
                  </w:pPr>
                  <w:r w:rsidRPr="00D837F4">
                    <w:t>(</w:t>
                  </w:r>
                  <w:r>
                    <w:t>0.942</w:t>
                  </w:r>
                  <w:r w:rsidRPr="00D837F4">
                    <w:t>)</w:t>
                  </w:r>
                </w:p>
              </w:tc>
              <w:tc>
                <w:tcPr>
                  <w:tcW w:w="1097" w:type="pct"/>
                  <w:shd w:val="clear" w:color="auto" w:fill="F2F2F2" w:themeFill="background1" w:themeFillShade="F2"/>
                  <w:vAlign w:val="center"/>
                </w:tcPr>
                <w:p w:rsidR="009A24C0" w:rsidRPr="004F3392" w:rsidRDefault="009A24C0" w:rsidP="009A24C0">
                  <w:pPr>
                    <w:pStyle w:val="TableBodyText"/>
                    <w:ind w:right="28"/>
                  </w:pPr>
                  <w:r w:rsidRPr="00D837F4">
                    <w:t>(</w:t>
                  </w:r>
                  <w:r>
                    <w:t>0.841</w:t>
                  </w:r>
                  <w:r w:rsidRPr="00D837F4">
                    <w:t>)</w:t>
                  </w:r>
                </w:p>
              </w:tc>
              <w:tc>
                <w:tcPr>
                  <w:tcW w:w="1097" w:type="pct"/>
                  <w:shd w:val="clear" w:color="auto" w:fill="F2F2F2" w:themeFill="background1" w:themeFillShade="F2"/>
                  <w:vAlign w:val="center"/>
                </w:tcPr>
                <w:p w:rsidR="009A24C0" w:rsidRPr="00D837F4" w:rsidRDefault="009A24C0" w:rsidP="009A24C0">
                  <w:pPr>
                    <w:pStyle w:val="TableBodyText"/>
                    <w:ind w:right="28"/>
                  </w:pPr>
                </w:p>
              </w:tc>
            </w:tr>
            <w:tr w:rsidR="009A24C0" w:rsidRPr="00913E2B" w:rsidTr="009A24C0">
              <w:tc>
                <w:tcPr>
                  <w:tcW w:w="1941" w:type="pct"/>
                  <w:vAlign w:val="center"/>
                </w:tcPr>
                <w:p w:rsidR="009A24C0" w:rsidRPr="00913E2B" w:rsidRDefault="009A24C0" w:rsidP="009A24C0">
                  <w:pPr>
                    <w:pStyle w:val="TableUnitsRow"/>
                    <w:jc w:val="left"/>
                  </w:pPr>
                  <w:r>
                    <w:t>Unlisted infrastructure (proportion)</w:t>
                  </w:r>
                </w:p>
              </w:tc>
              <w:tc>
                <w:tcPr>
                  <w:tcW w:w="865" w:type="pct"/>
                  <w:vAlign w:val="center"/>
                </w:tcPr>
                <w:p w:rsidR="009A24C0" w:rsidRPr="00913E2B" w:rsidRDefault="009A24C0" w:rsidP="009A24C0">
                  <w:pPr>
                    <w:pStyle w:val="TableBodyText"/>
                  </w:pPr>
                  <w:r>
                    <w:t>11.456</w:t>
                  </w:r>
                  <w:r>
                    <w:rPr>
                      <w:vertAlign w:val="superscript"/>
                    </w:rPr>
                    <w:t>***</w:t>
                  </w:r>
                </w:p>
              </w:tc>
              <w:tc>
                <w:tcPr>
                  <w:tcW w:w="1097" w:type="pct"/>
                  <w:vAlign w:val="center"/>
                </w:tcPr>
                <w:p w:rsidR="009A24C0" w:rsidRPr="00913E2B" w:rsidRDefault="009A24C0" w:rsidP="009A24C0">
                  <w:pPr>
                    <w:pStyle w:val="TableBodyText"/>
                    <w:ind w:right="28"/>
                  </w:pPr>
                  <w:r>
                    <w:t>1.982</w:t>
                  </w:r>
                </w:p>
              </w:tc>
              <w:tc>
                <w:tcPr>
                  <w:tcW w:w="1097" w:type="pct"/>
                  <w:vAlign w:val="center"/>
                </w:tcPr>
                <w:p w:rsidR="009A24C0" w:rsidRPr="00D837F4" w:rsidRDefault="009A24C0" w:rsidP="009A24C0">
                  <w:pPr>
                    <w:pStyle w:val="TableBodyText"/>
                    <w:ind w:right="28"/>
                  </w:pP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r w:rsidRPr="00D837F4">
                    <w:t>(</w:t>
                  </w:r>
                  <w:r>
                    <w:t>3.744</w:t>
                  </w:r>
                  <w:r w:rsidRPr="00D837F4">
                    <w:t>)</w:t>
                  </w:r>
                </w:p>
              </w:tc>
              <w:tc>
                <w:tcPr>
                  <w:tcW w:w="1097" w:type="pct"/>
                  <w:vAlign w:val="center"/>
                </w:tcPr>
                <w:p w:rsidR="009A24C0" w:rsidRPr="00913E2B" w:rsidRDefault="009A24C0" w:rsidP="009A24C0">
                  <w:pPr>
                    <w:pStyle w:val="TableBodyText"/>
                    <w:ind w:right="28"/>
                  </w:pPr>
                  <w:r w:rsidRPr="00D837F4">
                    <w:t>(</w:t>
                  </w:r>
                  <w:r>
                    <w:t>3.836</w:t>
                  </w:r>
                  <w:r w:rsidRPr="00D837F4">
                    <w:t>)</w:t>
                  </w:r>
                </w:p>
              </w:tc>
              <w:tc>
                <w:tcPr>
                  <w:tcW w:w="1097" w:type="pct"/>
                  <w:vAlign w:val="center"/>
                </w:tcPr>
                <w:p w:rsidR="009A24C0" w:rsidRPr="00D837F4" w:rsidRDefault="009A24C0" w:rsidP="009A24C0">
                  <w:pPr>
                    <w:pStyle w:val="TableBodyText"/>
                    <w:ind w:right="28"/>
                  </w:pP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Unlisted property (proportion</w:t>
                  </w:r>
                  <w:r w:rsidR="00AC602E">
                    <w:t>)</w:t>
                  </w:r>
                </w:p>
              </w:tc>
              <w:tc>
                <w:tcPr>
                  <w:tcW w:w="865" w:type="pct"/>
                  <w:shd w:val="clear" w:color="auto" w:fill="F2F2F2" w:themeFill="background1" w:themeFillShade="F2"/>
                  <w:vAlign w:val="center"/>
                </w:tcPr>
                <w:p w:rsidR="009A24C0" w:rsidRPr="00913E2B" w:rsidRDefault="009A24C0" w:rsidP="009A24C0">
                  <w:pPr>
                    <w:pStyle w:val="TableBodyText"/>
                  </w:pPr>
                  <w:r>
                    <w:t>5.451</w:t>
                  </w:r>
                  <w:r>
                    <w:rPr>
                      <w:vertAlign w:val="superscript"/>
                    </w:rPr>
                    <w:t>**</w:t>
                  </w:r>
                </w:p>
              </w:tc>
              <w:tc>
                <w:tcPr>
                  <w:tcW w:w="1097" w:type="pct"/>
                  <w:shd w:val="clear" w:color="auto" w:fill="F2F2F2" w:themeFill="background1" w:themeFillShade="F2"/>
                  <w:vAlign w:val="center"/>
                </w:tcPr>
                <w:p w:rsidR="009A24C0" w:rsidRPr="00913E2B" w:rsidRDefault="009A24C0" w:rsidP="009A24C0">
                  <w:pPr>
                    <w:pStyle w:val="TableBodyText"/>
                    <w:ind w:right="28"/>
                  </w:pPr>
                  <w:r>
                    <w:t>-0.722</w:t>
                  </w:r>
                </w:p>
              </w:tc>
              <w:tc>
                <w:tcPr>
                  <w:tcW w:w="1097" w:type="pct"/>
                  <w:shd w:val="clear" w:color="auto" w:fill="F2F2F2" w:themeFill="background1" w:themeFillShade="F2"/>
                  <w:vAlign w:val="center"/>
                </w:tcPr>
                <w:p w:rsidR="009A24C0" w:rsidRPr="00D837F4" w:rsidRDefault="009A24C0" w:rsidP="009A24C0">
                  <w:pPr>
                    <w:pStyle w:val="TableBodyText"/>
                    <w:ind w:right="28"/>
                  </w:pP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r w:rsidRPr="00D837F4">
                    <w:t>(</w:t>
                  </w:r>
                  <w:r>
                    <w:t>2.408</w:t>
                  </w:r>
                  <w:r w:rsidRPr="00D837F4">
                    <w:t>)</w:t>
                  </w:r>
                </w:p>
              </w:tc>
              <w:tc>
                <w:tcPr>
                  <w:tcW w:w="1097" w:type="pct"/>
                  <w:shd w:val="clear" w:color="auto" w:fill="F2F2F2" w:themeFill="background1" w:themeFillShade="F2"/>
                  <w:vAlign w:val="center"/>
                </w:tcPr>
                <w:p w:rsidR="009A24C0" w:rsidRPr="00913E2B" w:rsidRDefault="009A24C0" w:rsidP="009A24C0">
                  <w:pPr>
                    <w:pStyle w:val="TableBodyText"/>
                    <w:ind w:right="28"/>
                  </w:pPr>
                  <w:r w:rsidRPr="00D837F4">
                    <w:t>(2.</w:t>
                  </w:r>
                  <w:r>
                    <w:t>372</w:t>
                  </w:r>
                  <w:r w:rsidRPr="00D837F4">
                    <w:t>)</w:t>
                  </w:r>
                </w:p>
              </w:tc>
              <w:tc>
                <w:tcPr>
                  <w:tcW w:w="1097" w:type="pct"/>
                  <w:shd w:val="clear" w:color="auto" w:fill="F2F2F2" w:themeFill="background1" w:themeFillShade="F2"/>
                  <w:vAlign w:val="center"/>
                </w:tcPr>
                <w:p w:rsidR="009A24C0" w:rsidRPr="00D837F4" w:rsidRDefault="009A24C0" w:rsidP="009A24C0">
                  <w:pPr>
                    <w:pStyle w:val="TableBodyText"/>
                    <w:ind w:right="28"/>
                  </w:pPr>
                </w:p>
              </w:tc>
            </w:tr>
            <w:tr w:rsidR="009A24C0" w:rsidRPr="00913E2B" w:rsidTr="009A24C0">
              <w:tc>
                <w:tcPr>
                  <w:tcW w:w="1941" w:type="pct"/>
                  <w:vAlign w:val="center"/>
                </w:tcPr>
                <w:p w:rsidR="009A24C0" w:rsidRPr="00913E2B" w:rsidRDefault="009A24C0" w:rsidP="009A24C0">
                  <w:pPr>
                    <w:pStyle w:val="TableUnitsRow"/>
                    <w:jc w:val="left"/>
                  </w:pPr>
                  <w:r>
                    <w:t>Private equity (proportion)</w:t>
                  </w:r>
                </w:p>
              </w:tc>
              <w:tc>
                <w:tcPr>
                  <w:tcW w:w="865" w:type="pct"/>
                  <w:vAlign w:val="center"/>
                </w:tcPr>
                <w:p w:rsidR="009A24C0" w:rsidRPr="00913E2B" w:rsidRDefault="009A24C0" w:rsidP="009A24C0">
                  <w:pPr>
                    <w:pStyle w:val="TableBodyText"/>
                  </w:pPr>
                  <w:r>
                    <w:t>-</w:t>
                  </w:r>
                  <w:r w:rsidRPr="00D837F4">
                    <w:t>0.</w:t>
                  </w:r>
                  <w:r>
                    <w:t>194</w:t>
                  </w:r>
                </w:p>
              </w:tc>
              <w:tc>
                <w:tcPr>
                  <w:tcW w:w="1097" w:type="pct"/>
                  <w:vAlign w:val="center"/>
                </w:tcPr>
                <w:p w:rsidR="009A24C0" w:rsidRPr="00913E2B" w:rsidRDefault="009A24C0" w:rsidP="009A24C0">
                  <w:pPr>
                    <w:pStyle w:val="TableBodyText"/>
                    <w:ind w:right="28"/>
                  </w:pPr>
                  <w:r>
                    <w:t>-</w:t>
                  </w:r>
                  <w:r w:rsidRPr="00D837F4">
                    <w:t>0.</w:t>
                  </w:r>
                  <w:r>
                    <w:t>309</w:t>
                  </w:r>
                </w:p>
              </w:tc>
              <w:tc>
                <w:tcPr>
                  <w:tcW w:w="1097" w:type="pct"/>
                  <w:vAlign w:val="center"/>
                </w:tcPr>
                <w:p w:rsidR="009A24C0" w:rsidRPr="00D837F4" w:rsidRDefault="009A24C0" w:rsidP="009A24C0">
                  <w:pPr>
                    <w:pStyle w:val="TableBodyText"/>
                    <w:ind w:right="28"/>
                  </w:pP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r w:rsidRPr="00D837F4">
                    <w:t>(</w:t>
                  </w:r>
                  <w:r>
                    <w:t>1.296</w:t>
                  </w:r>
                  <w:r w:rsidRPr="00D837F4">
                    <w:t>)</w:t>
                  </w:r>
                </w:p>
              </w:tc>
              <w:tc>
                <w:tcPr>
                  <w:tcW w:w="1097" w:type="pct"/>
                  <w:vAlign w:val="center"/>
                </w:tcPr>
                <w:p w:rsidR="009A24C0" w:rsidRPr="00913E2B" w:rsidRDefault="009A24C0" w:rsidP="009A24C0">
                  <w:pPr>
                    <w:pStyle w:val="TableBodyText"/>
                    <w:ind w:right="28"/>
                  </w:pPr>
                  <w:r w:rsidRPr="00D837F4">
                    <w:t>(</w:t>
                  </w:r>
                  <w:r>
                    <w:t>1.158</w:t>
                  </w:r>
                  <w:r w:rsidRPr="00D837F4">
                    <w:t>)</w:t>
                  </w:r>
                </w:p>
              </w:tc>
              <w:tc>
                <w:tcPr>
                  <w:tcW w:w="1097" w:type="pct"/>
                  <w:vAlign w:val="center"/>
                </w:tcPr>
                <w:p w:rsidR="009A24C0" w:rsidRPr="00D837F4" w:rsidRDefault="009A24C0" w:rsidP="009A24C0">
                  <w:pPr>
                    <w:pStyle w:val="TableBodyText"/>
                    <w:ind w:right="28"/>
                  </w:pP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Industry</w:t>
                  </w: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-2.725</w:t>
                  </w:r>
                </w:p>
              </w:tc>
              <w:tc>
                <w:tcPr>
                  <w:tcW w:w="1097" w:type="pct"/>
                  <w:shd w:val="clear" w:color="auto" w:fill="F2F2F2" w:themeFill="background1" w:themeFillShade="F2"/>
                  <w:vAlign w:val="center"/>
                </w:tcPr>
                <w:p w:rsidR="009A24C0" w:rsidRDefault="009A24C0" w:rsidP="009A24C0">
                  <w:pPr>
                    <w:pStyle w:val="TableBodyText"/>
                    <w:ind w:right="28"/>
                  </w:pPr>
                  <w:r>
                    <w:t>-0.312</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rsidRPr="00D837F4">
                    <w:t>(</w:t>
                  </w:r>
                  <w:r>
                    <w:t>2.216</w:t>
                  </w:r>
                  <w:r w:rsidRPr="00D837F4">
                    <w:t>)</w:t>
                  </w:r>
                </w:p>
              </w:tc>
              <w:tc>
                <w:tcPr>
                  <w:tcW w:w="1097" w:type="pct"/>
                  <w:shd w:val="clear" w:color="auto" w:fill="F2F2F2" w:themeFill="background1" w:themeFillShade="F2"/>
                  <w:vAlign w:val="center"/>
                </w:tcPr>
                <w:p w:rsidR="009A24C0" w:rsidRDefault="009A24C0" w:rsidP="009A24C0">
                  <w:pPr>
                    <w:pStyle w:val="TableBodyText"/>
                    <w:ind w:right="28"/>
                  </w:pPr>
                  <w:r>
                    <w:t>(2.824)</w:t>
                  </w:r>
                </w:p>
              </w:tc>
            </w:tr>
            <w:tr w:rsidR="009A24C0" w:rsidRPr="00913E2B" w:rsidTr="009A24C0">
              <w:tc>
                <w:tcPr>
                  <w:tcW w:w="1941" w:type="pct"/>
                  <w:vAlign w:val="center"/>
                </w:tcPr>
                <w:p w:rsidR="009A24C0" w:rsidRPr="004F3392" w:rsidRDefault="009A24C0" w:rsidP="009A24C0">
                  <w:pPr>
                    <w:pStyle w:val="TableUnitsRow"/>
                    <w:jc w:val="left"/>
                  </w:pPr>
                  <w:r>
                    <w:t>Public sector</w:t>
                  </w: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-5.178</w:t>
                  </w:r>
                </w:p>
              </w:tc>
              <w:tc>
                <w:tcPr>
                  <w:tcW w:w="1097" w:type="pct"/>
                  <w:vAlign w:val="center"/>
                </w:tcPr>
                <w:p w:rsidR="009A24C0" w:rsidRDefault="009A24C0" w:rsidP="009A24C0">
                  <w:pPr>
                    <w:pStyle w:val="TableBodyText"/>
                    <w:ind w:right="28"/>
                  </w:pPr>
                  <w:r>
                    <w:t>-2.036</w:t>
                  </w: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rsidRPr="00D837F4">
                    <w:t>(</w:t>
                  </w:r>
                  <w:r>
                    <w:t>3.501</w:t>
                  </w:r>
                  <w:r w:rsidRPr="00D837F4">
                    <w:t>)</w:t>
                  </w:r>
                </w:p>
              </w:tc>
              <w:tc>
                <w:tcPr>
                  <w:tcW w:w="1097" w:type="pct"/>
                  <w:vAlign w:val="center"/>
                </w:tcPr>
                <w:p w:rsidR="009A24C0" w:rsidRDefault="009A24C0" w:rsidP="009A24C0">
                  <w:pPr>
                    <w:pStyle w:val="TableBodyText"/>
                    <w:ind w:right="28"/>
                  </w:pPr>
                  <w:r>
                    <w:t>(4.393)</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Retail</w:t>
                  </w: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-0.316</w:t>
                  </w:r>
                </w:p>
              </w:tc>
              <w:tc>
                <w:tcPr>
                  <w:tcW w:w="1097" w:type="pct"/>
                  <w:shd w:val="clear" w:color="auto" w:fill="F2F2F2" w:themeFill="background1" w:themeFillShade="F2"/>
                  <w:vAlign w:val="center"/>
                </w:tcPr>
                <w:p w:rsidR="009A24C0" w:rsidRDefault="009A24C0" w:rsidP="009A24C0">
                  <w:pPr>
                    <w:pStyle w:val="TableBodyText"/>
                    <w:ind w:right="28"/>
                  </w:pPr>
                  <w:r>
                    <w:t>1.995</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(1.449)</w:t>
                  </w:r>
                </w:p>
              </w:tc>
              <w:tc>
                <w:tcPr>
                  <w:tcW w:w="1097" w:type="pct"/>
                  <w:shd w:val="clear" w:color="auto" w:fill="F2F2F2" w:themeFill="background1" w:themeFillShade="F2"/>
                  <w:vAlign w:val="center"/>
                </w:tcPr>
                <w:p w:rsidR="009A24C0" w:rsidRDefault="009A24C0" w:rsidP="009A24C0">
                  <w:pPr>
                    <w:pStyle w:val="TableBodyText"/>
                    <w:ind w:right="28"/>
                  </w:pPr>
                  <w:r>
                    <w:t>(1.886)</w:t>
                  </w:r>
                </w:p>
              </w:tc>
            </w:tr>
            <w:tr w:rsidR="009A24C0" w:rsidRPr="00913E2B" w:rsidTr="009A24C0">
              <w:tc>
                <w:tcPr>
                  <w:tcW w:w="1941" w:type="pct"/>
                  <w:vAlign w:val="center"/>
                </w:tcPr>
                <w:p w:rsidR="009A24C0" w:rsidRPr="00913E2B" w:rsidRDefault="009A24C0" w:rsidP="009A24C0">
                  <w:pPr>
                    <w:pStyle w:val="TableUnitsRow"/>
                    <w:jc w:val="left"/>
                  </w:pPr>
                  <w:r>
                    <w:t>Net assets x Industry</w:t>
                  </w: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0.172</w:t>
                  </w:r>
                </w:p>
              </w:tc>
              <w:tc>
                <w:tcPr>
                  <w:tcW w:w="1097" w:type="pct"/>
                  <w:vAlign w:val="center"/>
                </w:tcPr>
                <w:p w:rsidR="009A24C0" w:rsidRDefault="009A24C0" w:rsidP="009A24C0">
                  <w:pPr>
                    <w:pStyle w:val="TableBodyText"/>
                    <w:ind w:right="28"/>
                  </w:pPr>
                  <w:r>
                    <w:t>0.003</w:t>
                  </w: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(0.153)</w:t>
                  </w:r>
                </w:p>
              </w:tc>
              <w:tc>
                <w:tcPr>
                  <w:tcW w:w="1097" w:type="pct"/>
                  <w:vAlign w:val="center"/>
                </w:tcPr>
                <w:p w:rsidR="009A24C0" w:rsidRDefault="009A24C0" w:rsidP="009A24C0">
                  <w:pPr>
                    <w:pStyle w:val="TableBodyText"/>
                    <w:ind w:right="28"/>
                  </w:pPr>
                  <w:r>
                    <w:t>(0.196)</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Net assets x Public sector</w:t>
                  </w: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0.288</w:t>
                  </w:r>
                </w:p>
              </w:tc>
              <w:tc>
                <w:tcPr>
                  <w:tcW w:w="1097" w:type="pct"/>
                  <w:shd w:val="clear" w:color="auto" w:fill="F2F2F2" w:themeFill="background1" w:themeFillShade="F2"/>
                  <w:vAlign w:val="center"/>
                </w:tcPr>
                <w:p w:rsidR="009A24C0" w:rsidRDefault="009A24C0" w:rsidP="009A24C0">
                  <w:pPr>
                    <w:pStyle w:val="TableBodyText"/>
                    <w:ind w:right="28"/>
                  </w:pPr>
                  <w:r>
                    <w:t>0.094</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(0.226)</w:t>
                  </w:r>
                </w:p>
              </w:tc>
              <w:tc>
                <w:tcPr>
                  <w:tcW w:w="1097" w:type="pct"/>
                  <w:shd w:val="clear" w:color="auto" w:fill="F2F2F2" w:themeFill="background1" w:themeFillShade="F2"/>
                  <w:vAlign w:val="center"/>
                </w:tcPr>
                <w:p w:rsidR="009A24C0" w:rsidRDefault="009A24C0" w:rsidP="009A24C0">
                  <w:pPr>
                    <w:pStyle w:val="TableBodyText"/>
                    <w:ind w:right="28"/>
                  </w:pPr>
                  <w:r>
                    <w:t>(0.285)</w:t>
                  </w:r>
                </w:p>
              </w:tc>
            </w:tr>
            <w:tr w:rsidR="009A24C0" w:rsidRPr="00913E2B" w:rsidTr="009A24C0">
              <w:tc>
                <w:tcPr>
                  <w:tcW w:w="1941" w:type="pct"/>
                  <w:vAlign w:val="center"/>
                </w:tcPr>
                <w:p w:rsidR="009A24C0" w:rsidRPr="00913E2B" w:rsidRDefault="009A24C0" w:rsidP="009A24C0">
                  <w:pPr>
                    <w:pStyle w:val="TableUnitsRow"/>
                    <w:jc w:val="left"/>
                  </w:pPr>
                  <w:r>
                    <w:t>Net assets x Retail</w:t>
                  </w: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-0.094</w:t>
                  </w:r>
                </w:p>
              </w:tc>
              <w:tc>
                <w:tcPr>
                  <w:tcW w:w="1097" w:type="pct"/>
                  <w:vAlign w:val="center"/>
                </w:tcPr>
                <w:p w:rsidR="009A24C0" w:rsidRDefault="009A24C0" w:rsidP="009A24C0">
                  <w:pPr>
                    <w:pStyle w:val="TableBodyText"/>
                    <w:ind w:right="28"/>
                  </w:pPr>
                  <w:r>
                    <w:t>-0.249</w:t>
                  </w:r>
                  <w:r>
                    <w:rPr>
                      <w:vertAlign w:val="superscript"/>
                    </w:rPr>
                    <w:t>*</w:t>
                  </w: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(0.110)</w:t>
                  </w:r>
                </w:p>
              </w:tc>
              <w:tc>
                <w:tcPr>
                  <w:tcW w:w="1097" w:type="pct"/>
                  <w:vAlign w:val="center"/>
                </w:tcPr>
                <w:p w:rsidR="009A24C0" w:rsidRDefault="009A24C0" w:rsidP="009A24C0">
                  <w:pPr>
                    <w:pStyle w:val="TableBodyText"/>
                    <w:ind w:right="28"/>
                  </w:pPr>
                  <w:r>
                    <w:t>(0.143)</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Intercept</w:t>
                  </w:r>
                </w:p>
              </w:tc>
              <w:tc>
                <w:tcPr>
                  <w:tcW w:w="865" w:type="pct"/>
                  <w:shd w:val="clear" w:color="auto" w:fill="F2F2F2" w:themeFill="background1" w:themeFillShade="F2"/>
                  <w:vAlign w:val="center"/>
                </w:tcPr>
                <w:p w:rsidR="009A24C0" w:rsidRPr="00913E2B" w:rsidRDefault="009A24C0" w:rsidP="009A24C0">
                  <w:pPr>
                    <w:pStyle w:val="TableBodyText"/>
                  </w:pPr>
                  <w:r>
                    <w:t>6.540</w:t>
                  </w:r>
                  <w:r>
                    <w:rPr>
                      <w:vertAlign w:val="superscript"/>
                    </w:rPr>
                    <w:t>***</w:t>
                  </w:r>
                </w:p>
              </w:tc>
              <w:tc>
                <w:tcPr>
                  <w:tcW w:w="1097" w:type="pct"/>
                  <w:shd w:val="clear" w:color="auto" w:fill="F2F2F2" w:themeFill="background1" w:themeFillShade="F2"/>
                  <w:vAlign w:val="center"/>
                </w:tcPr>
                <w:p w:rsidR="009A24C0" w:rsidRPr="00913E2B" w:rsidRDefault="009A24C0" w:rsidP="009A24C0">
                  <w:pPr>
                    <w:pStyle w:val="TableBodyText"/>
                    <w:ind w:right="28"/>
                  </w:pPr>
                  <w:r>
                    <w:t>7.364</w:t>
                  </w:r>
                  <w:r>
                    <w:rPr>
                      <w:vertAlign w:val="superscript"/>
                    </w:rPr>
                    <w:t>***</w:t>
                  </w:r>
                </w:p>
              </w:tc>
              <w:tc>
                <w:tcPr>
                  <w:tcW w:w="1097" w:type="pct"/>
                  <w:shd w:val="clear" w:color="auto" w:fill="F2F2F2" w:themeFill="background1" w:themeFillShade="F2"/>
                  <w:vAlign w:val="center"/>
                </w:tcPr>
                <w:p w:rsidR="009A24C0" w:rsidRDefault="009A24C0" w:rsidP="009A24C0">
                  <w:pPr>
                    <w:pStyle w:val="TableBodyText"/>
                    <w:ind w:right="28"/>
                  </w:pPr>
                  <w:r>
                    <w:t>-3.898</w:t>
                  </w:r>
                  <w:r>
                    <w:rPr>
                      <w:vertAlign w:val="superscript"/>
                    </w:rPr>
                    <w:t>**</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r w:rsidRPr="00D837F4">
                    <w:t>(0.</w:t>
                  </w:r>
                  <w:r>
                    <w:t>724</w:t>
                  </w:r>
                  <w:r w:rsidRPr="00D837F4">
                    <w:t>)</w:t>
                  </w:r>
                </w:p>
              </w:tc>
              <w:tc>
                <w:tcPr>
                  <w:tcW w:w="1097" w:type="pct"/>
                  <w:shd w:val="clear" w:color="auto" w:fill="F2F2F2" w:themeFill="background1" w:themeFillShade="F2"/>
                  <w:vAlign w:val="center"/>
                </w:tcPr>
                <w:p w:rsidR="009A24C0" w:rsidRPr="00913E2B" w:rsidRDefault="009A24C0" w:rsidP="009A24C0">
                  <w:pPr>
                    <w:pStyle w:val="TableBodyText"/>
                    <w:ind w:right="28"/>
                  </w:pPr>
                  <w:r>
                    <w:t>(1.375)</w:t>
                  </w:r>
                </w:p>
              </w:tc>
              <w:tc>
                <w:tcPr>
                  <w:tcW w:w="1097" w:type="pct"/>
                  <w:shd w:val="clear" w:color="auto" w:fill="F2F2F2" w:themeFill="background1" w:themeFillShade="F2"/>
                  <w:vAlign w:val="center"/>
                </w:tcPr>
                <w:p w:rsidR="009A24C0" w:rsidRDefault="009A24C0" w:rsidP="009A24C0">
                  <w:pPr>
                    <w:pStyle w:val="TableBodyText"/>
                    <w:ind w:right="28"/>
                  </w:pPr>
                  <w:r>
                    <w:t>(1.735)</w:t>
                  </w:r>
                </w:p>
              </w:tc>
            </w:tr>
            <w:tr w:rsidR="009A24C0" w:rsidRPr="00913E2B" w:rsidTr="009A24C0">
              <w:tc>
                <w:tcPr>
                  <w:tcW w:w="1941" w:type="pct"/>
                  <w:shd w:val="clear" w:color="auto" w:fill="auto"/>
                </w:tcPr>
                <w:p w:rsidR="009A24C0" w:rsidRPr="00913E2B" w:rsidRDefault="009A24C0" w:rsidP="009A24C0">
                  <w:pPr>
                    <w:pStyle w:val="TableUnitsRow"/>
                    <w:jc w:val="left"/>
                  </w:pPr>
                </w:p>
              </w:tc>
              <w:tc>
                <w:tcPr>
                  <w:tcW w:w="865" w:type="pct"/>
                  <w:shd w:val="clear" w:color="auto" w:fill="auto"/>
                </w:tcPr>
                <w:p w:rsidR="009A24C0" w:rsidRPr="00913E2B" w:rsidRDefault="009A24C0" w:rsidP="009A24C0">
                  <w:pPr>
                    <w:pStyle w:val="TableBodyText"/>
                  </w:pPr>
                </w:p>
              </w:tc>
              <w:tc>
                <w:tcPr>
                  <w:tcW w:w="1097" w:type="pct"/>
                  <w:shd w:val="clear" w:color="auto" w:fill="auto"/>
                </w:tcPr>
                <w:p w:rsidR="009A24C0" w:rsidRPr="00913E2B" w:rsidRDefault="009A24C0" w:rsidP="009A24C0">
                  <w:pPr>
                    <w:pStyle w:val="TableBodyText"/>
                    <w:ind w:right="28"/>
                  </w:pPr>
                </w:p>
              </w:tc>
              <w:tc>
                <w:tcPr>
                  <w:tcW w:w="1097" w:type="pct"/>
                </w:tcPr>
                <w:p w:rsidR="009A24C0" w:rsidRPr="00913E2B" w:rsidRDefault="009A24C0" w:rsidP="009A24C0">
                  <w:pPr>
                    <w:pStyle w:val="TableBodyText"/>
                    <w:ind w:right="28"/>
                  </w:pPr>
                </w:p>
              </w:tc>
            </w:tr>
            <w:tr w:rsidR="009A24C0" w:rsidRPr="00913E2B" w:rsidTr="009A24C0">
              <w:tc>
                <w:tcPr>
                  <w:tcW w:w="1941" w:type="pct"/>
                  <w:vAlign w:val="center"/>
                </w:tcPr>
                <w:p w:rsidR="009A24C0" w:rsidRPr="00913E2B" w:rsidRDefault="009A24C0" w:rsidP="009A24C0">
                  <w:pPr>
                    <w:pStyle w:val="TableUnitsRow"/>
                    <w:jc w:val="left"/>
                  </w:pPr>
                  <m:oMathPara>
                    <m:oMathParaPr>
                      <m:jc m:val="left"/>
                    </m:oMathParaPr>
                    <m:oMath>
                      <m:r>
                        <w:rPr>
                          <w:rFonts w:ascii="Cambria Math" w:hAnsi="Cambria Math"/>
                        </w:rPr>
                        <m:t>N</m:t>
                      </m:r>
                    </m:oMath>
                  </m:oMathPara>
                </w:p>
              </w:tc>
              <w:tc>
                <w:tcPr>
                  <w:tcW w:w="865" w:type="pct"/>
                </w:tcPr>
                <w:p w:rsidR="009A24C0" w:rsidRPr="00913E2B" w:rsidRDefault="009A24C0" w:rsidP="009A24C0">
                  <w:pPr>
                    <w:pStyle w:val="TableBodyText"/>
                  </w:pPr>
                  <w:r w:rsidRPr="0004117D">
                    <w:t>168</w:t>
                  </w:r>
                </w:p>
              </w:tc>
              <w:tc>
                <w:tcPr>
                  <w:tcW w:w="1097" w:type="pct"/>
                </w:tcPr>
                <w:p w:rsidR="009A24C0" w:rsidRPr="00913E2B" w:rsidRDefault="009A24C0" w:rsidP="009A24C0">
                  <w:pPr>
                    <w:pStyle w:val="TableBodyText"/>
                    <w:ind w:right="28"/>
                  </w:pPr>
                  <w:r w:rsidRPr="0004117D">
                    <w:t>168</w:t>
                  </w:r>
                </w:p>
              </w:tc>
              <w:tc>
                <w:tcPr>
                  <w:tcW w:w="1097" w:type="pct"/>
                </w:tcPr>
                <w:p w:rsidR="009A24C0" w:rsidRPr="0004117D" w:rsidRDefault="009A24C0" w:rsidP="009A24C0">
                  <w:pPr>
                    <w:pStyle w:val="TableBodyText"/>
                    <w:ind w:right="28"/>
                  </w:pPr>
                  <w:r w:rsidRPr="0004117D">
                    <w:t>174</w:t>
                  </w:r>
                </w:p>
              </w:tc>
            </w:tr>
            <w:tr w:rsidR="009A24C0" w:rsidRPr="00913E2B" w:rsidTr="009A24C0">
              <w:tc>
                <w:tcPr>
                  <w:tcW w:w="1941" w:type="pct"/>
                  <w:vAlign w:val="center"/>
                </w:tcPr>
                <w:p w:rsidR="009A24C0" w:rsidRPr="00913E2B" w:rsidRDefault="001F492C" w:rsidP="009A24C0">
                  <w:pPr>
                    <w:pStyle w:val="TableUnitsRow"/>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865" w:type="pct"/>
                </w:tcPr>
                <w:p w:rsidR="009A24C0" w:rsidRPr="00913E2B" w:rsidRDefault="009A24C0" w:rsidP="009A24C0">
                  <w:pPr>
                    <w:pStyle w:val="TableBodyText"/>
                  </w:pPr>
                  <w:r w:rsidRPr="00D837F4">
                    <w:t>0.</w:t>
                  </w:r>
                  <w:r w:rsidRPr="0004117D">
                    <w:t>312</w:t>
                  </w:r>
                </w:p>
              </w:tc>
              <w:tc>
                <w:tcPr>
                  <w:tcW w:w="1097" w:type="pct"/>
                </w:tcPr>
                <w:p w:rsidR="009A24C0" w:rsidRPr="00913E2B" w:rsidRDefault="009A24C0" w:rsidP="009A24C0">
                  <w:pPr>
                    <w:pStyle w:val="TableBodyText"/>
                    <w:ind w:right="28"/>
                  </w:pPr>
                  <w:r w:rsidRPr="00D837F4">
                    <w:t>0.</w:t>
                  </w:r>
                  <w:r w:rsidRPr="0004117D">
                    <w:t>488</w:t>
                  </w:r>
                </w:p>
              </w:tc>
              <w:tc>
                <w:tcPr>
                  <w:tcW w:w="1097" w:type="pct"/>
                </w:tcPr>
                <w:p w:rsidR="009A24C0" w:rsidRPr="0004117D" w:rsidRDefault="009A24C0" w:rsidP="009A24C0">
                  <w:pPr>
                    <w:pStyle w:val="TableBodyText"/>
                    <w:ind w:right="28"/>
                  </w:pPr>
                  <w:r w:rsidRPr="0004117D">
                    <w:t>0.291</w:t>
                  </w:r>
                </w:p>
              </w:tc>
            </w:tr>
            <w:tr w:rsidR="009A24C0" w:rsidTr="009A24C0">
              <w:tc>
                <w:tcPr>
                  <w:tcW w:w="1941" w:type="pct"/>
                  <w:shd w:val="clear" w:color="auto" w:fill="auto"/>
                </w:tcPr>
                <w:p w:rsidR="009A24C0" w:rsidRDefault="009A24C0" w:rsidP="009A24C0">
                  <w:pPr>
                    <w:pStyle w:val="TableBodyText"/>
                    <w:jc w:val="left"/>
                  </w:pPr>
                  <w:r>
                    <w:t xml:space="preserve">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865" w:type="pct"/>
                  <w:shd w:val="clear" w:color="auto" w:fill="auto"/>
                </w:tcPr>
                <w:p w:rsidR="009A24C0" w:rsidRDefault="009A24C0" w:rsidP="009A24C0">
                  <w:pPr>
                    <w:pStyle w:val="TableBodyText"/>
                  </w:pPr>
                  <w:r w:rsidRPr="00D837F4">
                    <w:t>0.</w:t>
                  </w:r>
                  <w:r w:rsidRPr="0004117D">
                    <w:t>291</w:t>
                  </w:r>
                </w:p>
              </w:tc>
              <w:tc>
                <w:tcPr>
                  <w:tcW w:w="1097" w:type="pct"/>
                  <w:shd w:val="clear" w:color="auto" w:fill="auto"/>
                </w:tcPr>
                <w:p w:rsidR="009A24C0" w:rsidRDefault="009A24C0" w:rsidP="009A24C0">
                  <w:pPr>
                    <w:pStyle w:val="TableBodyText"/>
                    <w:ind w:right="28"/>
                  </w:pPr>
                  <w:r w:rsidRPr="00D837F4">
                    <w:t>0.</w:t>
                  </w:r>
                  <w:r w:rsidRPr="0004117D">
                    <w:t>452</w:t>
                  </w:r>
                </w:p>
              </w:tc>
              <w:tc>
                <w:tcPr>
                  <w:tcW w:w="1097" w:type="pct"/>
                </w:tcPr>
                <w:p w:rsidR="009A24C0" w:rsidRPr="0004117D" w:rsidRDefault="009A24C0" w:rsidP="009A24C0">
                  <w:pPr>
                    <w:pStyle w:val="TableBodyText"/>
                    <w:ind w:right="28"/>
                  </w:pPr>
                  <w:r w:rsidRPr="0004117D">
                    <w:t>0.261</w:t>
                  </w:r>
                </w:p>
              </w:tc>
            </w:tr>
            <w:tr w:rsidR="009A24C0" w:rsidTr="009A24C0">
              <w:tc>
                <w:tcPr>
                  <w:tcW w:w="1941" w:type="pct"/>
                  <w:tcBorders>
                    <w:bottom w:val="single" w:sz="6" w:space="0" w:color="BFBFBF"/>
                  </w:tcBorders>
                  <w:shd w:val="clear" w:color="auto" w:fill="auto"/>
                </w:tcPr>
                <w:p w:rsidR="009A24C0" w:rsidRPr="002803B7" w:rsidRDefault="009A24C0" w:rsidP="009A24C0">
                  <w:pPr>
                    <w:pStyle w:val="TableBodyText"/>
                    <w:jc w:val="left"/>
                    <w:rPr>
                      <w:i/>
                    </w:rPr>
                  </w:pPr>
                  <w:r w:rsidRPr="002803B7">
                    <w:rPr>
                      <w:i/>
                    </w:rPr>
                    <w:t>F</w:t>
                  </w:r>
                </w:p>
              </w:tc>
              <w:tc>
                <w:tcPr>
                  <w:tcW w:w="865" w:type="pct"/>
                  <w:tcBorders>
                    <w:bottom w:val="single" w:sz="6" w:space="0" w:color="BFBFBF"/>
                  </w:tcBorders>
                  <w:shd w:val="clear" w:color="auto" w:fill="auto"/>
                </w:tcPr>
                <w:p w:rsidR="009A24C0" w:rsidRPr="00D837F4" w:rsidRDefault="009A24C0" w:rsidP="009A24C0">
                  <w:pPr>
                    <w:pStyle w:val="TableBodyText"/>
                  </w:pPr>
                  <w:r w:rsidRPr="0004117D">
                    <w:t>14.692***</w:t>
                  </w:r>
                </w:p>
              </w:tc>
              <w:tc>
                <w:tcPr>
                  <w:tcW w:w="1097" w:type="pct"/>
                  <w:tcBorders>
                    <w:bottom w:val="single" w:sz="6" w:space="0" w:color="BFBFBF"/>
                  </w:tcBorders>
                  <w:shd w:val="clear" w:color="auto" w:fill="auto"/>
                </w:tcPr>
                <w:p w:rsidR="009A24C0" w:rsidRPr="00D837F4" w:rsidRDefault="009A24C0" w:rsidP="009A24C0">
                  <w:pPr>
                    <w:pStyle w:val="TableBodyText"/>
                    <w:ind w:right="28"/>
                  </w:pPr>
                  <w:r w:rsidRPr="0004117D">
                    <w:t>13.520***</w:t>
                  </w:r>
                </w:p>
              </w:tc>
              <w:tc>
                <w:tcPr>
                  <w:tcW w:w="1097" w:type="pct"/>
                  <w:tcBorders>
                    <w:bottom w:val="single" w:sz="6" w:space="0" w:color="BFBFBF"/>
                  </w:tcBorders>
                </w:tcPr>
                <w:p w:rsidR="009A24C0" w:rsidRDefault="009A24C0" w:rsidP="009A24C0">
                  <w:pPr>
                    <w:pStyle w:val="TableBodyText"/>
                    <w:ind w:right="28"/>
                  </w:pPr>
                  <w:r w:rsidRPr="0004117D">
                    <w:t>9.735***</w:t>
                  </w:r>
                </w:p>
              </w:tc>
            </w:tr>
          </w:tbl>
          <w:p w:rsidR="009A24C0" w:rsidRDefault="009A24C0" w:rsidP="009A24C0">
            <w:pPr>
              <w:pStyle w:val="Box"/>
            </w:pPr>
          </w:p>
        </w:tc>
      </w:tr>
      <w:tr w:rsidR="009A24C0" w:rsidTr="009A24C0">
        <w:tc>
          <w:tcPr>
            <w:tcW w:w="5000" w:type="pct"/>
            <w:tcBorders>
              <w:top w:val="nil"/>
              <w:left w:val="nil"/>
              <w:bottom w:val="nil"/>
              <w:right w:val="nil"/>
            </w:tcBorders>
            <w:shd w:val="clear" w:color="auto" w:fill="auto"/>
          </w:tcPr>
          <w:p w:rsidR="009A24C0" w:rsidRDefault="009A24C0" w:rsidP="009A24C0">
            <w:pPr>
              <w:pStyle w:val="Note"/>
              <w:rPr>
                <w:i/>
              </w:rPr>
            </w:pPr>
            <w:r w:rsidRPr="008E77FE">
              <w:rPr>
                <w:rStyle w:val="NoteLabel"/>
              </w:rPr>
              <w:t>a</w:t>
            </w:r>
            <w:r>
              <w:t xml:space="preserve"> </w:t>
            </w:r>
            <w:r>
              <w:rPr>
                <w:szCs w:val="18"/>
              </w:rPr>
              <w:t xml:space="preserve">Net assets for each fund are averaged over the time period and logged. </w:t>
            </w:r>
            <w:r w:rsidRPr="00132196">
              <w:rPr>
                <w:szCs w:val="18"/>
              </w:rPr>
              <w:t xml:space="preserve">The reference fund type is </w:t>
            </w:r>
            <w:r w:rsidR="00F640C8">
              <w:rPr>
                <w:szCs w:val="18"/>
              </w:rPr>
              <w:t>‘</w:t>
            </w:r>
            <w:r w:rsidRPr="00132196">
              <w:rPr>
                <w:szCs w:val="18"/>
              </w:rPr>
              <w:t>Corporate</w:t>
            </w:r>
            <w:r w:rsidR="00F640C8">
              <w:rPr>
                <w:szCs w:val="18"/>
              </w:rPr>
              <w:t>’</w:t>
            </w:r>
            <w:r w:rsidRPr="00132196">
              <w:rPr>
                <w:szCs w:val="18"/>
              </w:rPr>
              <w:t>.</w:t>
            </w:r>
            <w:r>
              <w:t xml:space="preserve"> </w:t>
            </w:r>
            <w:r>
              <w:rPr>
                <w:szCs w:val="18"/>
              </w:rPr>
              <w:t>Defensive assets include cash and fixed interest. Outlier observations have been excluded from this analysis (where outliers are defined to be at least 2 standard deviations away from the mean).</w:t>
            </w:r>
            <w:r>
              <w:t xml:space="preserve"> Standard errors in parentheses. </w:t>
            </w:r>
            <w:r w:rsidRPr="00132196">
              <w:rPr>
                <w:szCs w:val="18"/>
                <w:vertAlign w:val="superscript"/>
              </w:rPr>
              <w:t>***</w:t>
            </w:r>
            <w:r w:rsidRPr="00132196">
              <w:rPr>
                <w:szCs w:val="18"/>
              </w:rPr>
              <w:t xml:space="preserve">Significant at the 1 per cent level. </w:t>
            </w:r>
            <w:r w:rsidRPr="00132196">
              <w:rPr>
                <w:szCs w:val="18"/>
                <w:vertAlign w:val="superscript"/>
              </w:rPr>
              <w:t>**</w:t>
            </w:r>
            <w:r w:rsidRPr="00132196">
              <w:rPr>
                <w:szCs w:val="18"/>
              </w:rPr>
              <w:t xml:space="preserve">Significant at the 5 per cent level. </w:t>
            </w:r>
            <w:r w:rsidRPr="00132196">
              <w:rPr>
                <w:szCs w:val="18"/>
                <w:vertAlign w:val="superscript"/>
              </w:rPr>
              <w:t>*</w:t>
            </w:r>
            <w:r w:rsidRPr="00132196">
              <w:rPr>
                <w:szCs w:val="18"/>
              </w:rPr>
              <w:t>Significant at the 10 per cent level.</w:t>
            </w:r>
          </w:p>
        </w:tc>
      </w:tr>
      <w:tr w:rsidR="009A24C0" w:rsidTr="009A24C0">
        <w:tc>
          <w:tcPr>
            <w:tcW w:w="5000" w:type="pct"/>
            <w:tcBorders>
              <w:top w:val="nil"/>
              <w:left w:val="nil"/>
              <w:bottom w:val="nil"/>
              <w:right w:val="nil"/>
            </w:tcBorders>
            <w:shd w:val="clear" w:color="auto" w:fill="auto"/>
          </w:tcPr>
          <w:p w:rsidR="009A24C0" w:rsidRDefault="009A24C0" w:rsidP="009A24C0">
            <w:pPr>
              <w:pStyle w:val="Source"/>
            </w:pPr>
            <w:r w:rsidRPr="00F1457E">
              <w:rPr>
                <w:i/>
              </w:rPr>
              <w:t>Source</w:t>
            </w:r>
            <w:r w:rsidRPr="00F1457E">
              <w:t xml:space="preserve">: </w:t>
            </w:r>
            <w:r>
              <w:rPr>
                <w:rFonts w:eastAsia="+mn-ea" w:cs="Arial"/>
                <w:color w:val="000000" w:themeColor="text1"/>
                <w:kern w:val="24"/>
                <w:szCs w:val="18"/>
              </w:rPr>
              <w:t>PC analysis of APRA data (</w:t>
            </w:r>
            <w:r w:rsidRPr="00481B71">
              <w:rPr>
                <w:rFonts w:eastAsia="+mn-ea" w:cs="Arial"/>
                <w:color w:val="000000" w:themeColor="text1"/>
                <w:kern w:val="24"/>
                <w:szCs w:val="18"/>
              </w:rPr>
              <w:t>2014</w:t>
            </w:r>
            <w:r>
              <w:rPr>
                <w:rFonts w:eastAsia="+mn-ea" w:cs="Arial"/>
                <w:color w:val="000000" w:themeColor="text1"/>
                <w:kern w:val="24"/>
                <w:szCs w:val="18"/>
              </w:rPr>
              <w:t>–</w:t>
            </w:r>
            <w:r w:rsidRPr="00481B71">
              <w:rPr>
                <w:rFonts w:eastAsia="+mn-ea" w:cs="Arial"/>
                <w:color w:val="000000" w:themeColor="text1"/>
                <w:kern w:val="24"/>
                <w:szCs w:val="18"/>
              </w:rPr>
              <w:t>17</w:t>
            </w:r>
            <w:r>
              <w:rPr>
                <w:rFonts w:eastAsia="+mn-ea" w:cs="Arial"/>
                <w:color w:val="000000" w:themeColor="text1"/>
                <w:kern w:val="24"/>
                <w:szCs w:val="18"/>
              </w:rPr>
              <w:t>).</w:t>
            </w:r>
          </w:p>
        </w:tc>
      </w:tr>
      <w:tr w:rsidR="009A24C0" w:rsidTr="009A24C0">
        <w:tc>
          <w:tcPr>
            <w:tcW w:w="5000" w:type="pct"/>
            <w:tcBorders>
              <w:top w:val="nil"/>
              <w:left w:val="nil"/>
              <w:bottom w:val="single" w:sz="6" w:space="0" w:color="78A22F"/>
              <w:right w:val="nil"/>
            </w:tcBorders>
            <w:shd w:val="clear" w:color="auto" w:fill="auto"/>
          </w:tcPr>
          <w:p w:rsidR="009A24C0" w:rsidRDefault="009A24C0" w:rsidP="009A24C0">
            <w:pPr>
              <w:pStyle w:val="Box"/>
              <w:spacing w:before="0" w:line="120" w:lineRule="exact"/>
            </w:pPr>
          </w:p>
        </w:tc>
      </w:tr>
      <w:tr w:rsidR="009A24C0" w:rsidRPr="000863A5" w:rsidTr="009A24C0">
        <w:trPr>
          <w:trHeight w:val="53"/>
        </w:trPr>
        <w:tc>
          <w:tcPr>
            <w:tcW w:w="5000" w:type="pct"/>
            <w:tcBorders>
              <w:top w:val="single" w:sz="6" w:space="0" w:color="78A22F"/>
              <w:left w:val="nil"/>
              <w:bottom w:val="nil"/>
              <w:right w:val="nil"/>
            </w:tcBorders>
          </w:tcPr>
          <w:p w:rsidR="009A24C0" w:rsidRPr="00626D32" w:rsidRDefault="009A24C0" w:rsidP="009A24C0">
            <w:pPr>
              <w:pStyle w:val="BoxSpaceBelow"/>
            </w:pPr>
          </w:p>
        </w:tc>
      </w:tr>
    </w:tbl>
    <w:p w:rsidR="009A24C0" w:rsidRPr="00583A62" w:rsidRDefault="009A24C0" w:rsidP="009A24C0">
      <w:pPr>
        <w:pStyle w:val="BodyText"/>
      </w:pPr>
    </w:p>
    <w:p w:rsidR="009A24C0" w:rsidRDefault="009A24C0" w:rsidP="009A24C0">
      <w:pPr>
        <w:rPr>
          <w:szCs w:val="20"/>
        </w:rPr>
      </w:pPr>
      <w:r>
        <w:br w:type="page"/>
      </w:r>
    </w:p>
    <w:p w:rsidR="009A24C0" w:rsidRDefault="009A24C0" w:rsidP="009A24C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A24C0" w:rsidTr="009A24C0">
        <w:trPr>
          <w:tblHeader/>
        </w:trPr>
        <w:tc>
          <w:tcPr>
            <w:tcW w:w="5000" w:type="pct"/>
            <w:tcBorders>
              <w:top w:val="single" w:sz="6" w:space="0" w:color="78A22F"/>
              <w:left w:val="nil"/>
              <w:bottom w:val="nil"/>
              <w:right w:val="nil"/>
            </w:tcBorders>
            <w:shd w:val="clear" w:color="auto" w:fill="auto"/>
          </w:tcPr>
          <w:p w:rsidR="009A24C0" w:rsidRDefault="009A24C0" w:rsidP="009A24C0">
            <w:pPr>
              <w:pStyle w:val="TableTitle"/>
            </w:pPr>
            <w:r>
              <w:rPr>
                <w:b w:val="0"/>
              </w:rPr>
              <w:t>Table G.3</w:t>
            </w:r>
            <w:r>
              <w:tab/>
              <w:t>Panel regression: percentage of assets in unlisted asset classes</w:t>
            </w:r>
            <w:r w:rsidRPr="00F1457E">
              <w:rPr>
                <w:rStyle w:val="NoteLabel"/>
                <w:b/>
              </w:rPr>
              <w:t>a</w:t>
            </w:r>
          </w:p>
          <w:p w:rsidR="009A24C0" w:rsidRPr="00784A05" w:rsidRDefault="009A24C0" w:rsidP="009A24C0">
            <w:pPr>
              <w:pStyle w:val="Subtitle"/>
            </w:pPr>
            <w:r>
              <w:t>2014 to 2017</w:t>
            </w:r>
          </w:p>
        </w:tc>
      </w:tr>
      <w:tr w:rsidR="009A24C0" w:rsidTr="009A24C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39"/>
              <w:gridCol w:w="1670"/>
              <w:gridCol w:w="1363"/>
              <w:gridCol w:w="1459"/>
              <w:gridCol w:w="1374"/>
            </w:tblGrid>
            <w:tr w:rsidR="009A24C0" w:rsidTr="008F55DC">
              <w:trPr>
                <w:tblHeader/>
              </w:trPr>
              <w:tc>
                <w:tcPr>
                  <w:tcW w:w="1551" w:type="pct"/>
                  <w:tcBorders>
                    <w:top w:val="single" w:sz="6" w:space="0" w:color="BFBFBF"/>
                    <w:bottom w:val="single" w:sz="6" w:space="0" w:color="BFBFBF"/>
                  </w:tcBorders>
                  <w:shd w:val="clear" w:color="auto" w:fill="auto"/>
                  <w:tcMar>
                    <w:top w:w="28" w:type="dxa"/>
                  </w:tcMar>
                </w:tcPr>
                <w:p w:rsidR="009A24C0" w:rsidRDefault="009A24C0" w:rsidP="009A24C0">
                  <w:pPr>
                    <w:pStyle w:val="TableColumnHeading"/>
                    <w:jc w:val="left"/>
                  </w:pPr>
                </w:p>
              </w:tc>
              <w:tc>
                <w:tcPr>
                  <w:tcW w:w="982" w:type="pct"/>
                  <w:tcBorders>
                    <w:top w:val="single" w:sz="6" w:space="0" w:color="BFBFBF"/>
                    <w:bottom w:val="single" w:sz="6" w:space="0" w:color="BFBFBF"/>
                  </w:tcBorders>
                </w:tcPr>
                <w:p w:rsidR="009A24C0" w:rsidRDefault="009A24C0" w:rsidP="009A24C0">
                  <w:pPr>
                    <w:pStyle w:val="TableColumnHeading"/>
                  </w:pPr>
                  <w:r>
                    <w:t>Percentage in all unlisted asset classes</w:t>
                  </w:r>
                </w:p>
              </w:tc>
              <w:tc>
                <w:tcPr>
                  <w:tcW w:w="801" w:type="pct"/>
                  <w:tcBorders>
                    <w:top w:val="single" w:sz="6" w:space="0" w:color="BFBFBF"/>
                    <w:bottom w:val="single" w:sz="6" w:space="0" w:color="BFBFBF"/>
                  </w:tcBorders>
                </w:tcPr>
                <w:p w:rsidR="009A24C0" w:rsidRPr="00913E2B" w:rsidRDefault="009A24C0" w:rsidP="009A24C0">
                  <w:pPr>
                    <w:pStyle w:val="TableColumnHeading"/>
                  </w:pPr>
                  <w:r>
                    <w:t>Percentage in unlisted infrastructure</w:t>
                  </w:r>
                </w:p>
              </w:tc>
              <w:tc>
                <w:tcPr>
                  <w:tcW w:w="858" w:type="pct"/>
                  <w:tcBorders>
                    <w:top w:val="single" w:sz="6" w:space="0" w:color="BFBFBF"/>
                    <w:bottom w:val="single" w:sz="6" w:space="0" w:color="BFBFBF"/>
                  </w:tcBorders>
                  <w:shd w:val="clear" w:color="auto" w:fill="auto"/>
                  <w:tcMar>
                    <w:top w:w="28" w:type="dxa"/>
                  </w:tcMar>
                </w:tcPr>
                <w:p w:rsidR="009A24C0" w:rsidRDefault="009A24C0" w:rsidP="009A24C0">
                  <w:pPr>
                    <w:pStyle w:val="TableColumnHeading"/>
                  </w:pPr>
                  <w:r>
                    <w:t>Percentage in unlisted property</w:t>
                  </w:r>
                </w:p>
              </w:tc>
              <w:tc>
                <w:tcPr>
                  <w:tcW w:w="808" w:type="pct"/>
                  <w:tcBorders>
                    <w:top w:val="single" w:sz="6" w:space="0" w:color="BFBFBF"/>
                    <w:bottom w:val="single" w:sz="6" w:space="0" w:color="BFBFBF"/>
                  </w:tcBorders>
                  <w:shd w:val="clear" w:color="auto" w:fill="auto"/>
                  <w:tcMar>
                    <w:top w:w="28" w:type="dxa"/>
                  </w:tcMar>
                </w:tcPr>
                <w:p w:rsidR="009A24C0" w:rsidRDefault="009A24C0" w:rsidP="009A24C0">
                  <w:pPr>
                    <w:pStyle w:val="TableColumnHeading"/>
                    <w:ind w:right="28"/>
                  </w:pPr>
                  <w:r>
                    <w:t>Percentage in private equity</w:t>
                  </w:r>
                </w:p>
              </w:tc>
            </w:tr>
            <w:tr w:rsidR="009A24C0" w:rsidRPr="00913E2B" w:rsidTr="008F55DC">
              <w:tc>
                <w:tcPr>
                  <w:tcW w:w="1551" w:type="pct"/>
                  <w:tcBorders>
                    <w:top w:val="single" w:sz="6" w:space="0" w:color="BFBFBF"/>
                  </w:tcBorders>
                </w:tcPr>
                <w:p w:rsidR="009A24C0" w:rsidRPr="00913E2B" w:rsidRDefault="009A24C0" w:rsidP="009A24C0">
                  <w:pPr>
                    <w:pStyle w:val="TableUnitsRow"/>
                    <w:jc w:val="left"/>
                  </w:pPr>
                  <w:r>
                    <w:t>Net assets</w:t>
                  </w:r>
                </w:p>
              </w:tc>
              <w:tc>
                <w:tcPr>
                  <w:tcW w:w="982" w:type="pct"/>
                  <w:vAlign w:val="center"/>
                </w:tcPr>
                <w:p w:rsidR="009A24C0" w:rsidRPr="00913E2B" w:rsidRDefault="009A24C0" w:rsidP="009A24C0">
                  <w:pPr>
                    <w:pStyle w:val="TableBodyText"/>
                  </w:pPr>
                  <w:r>
                    <w:t>0.931</w:t>
                  </w:r>
                </w:p>
              </w:tc>
              <w:tc>
                <w:tcPr>
                  <w:tcW w:w="801" w:type="pct"/>
                  <w:vAlign w:val="center"/>
                </w:tcPr>
                <w:p w:rsidR="009A24C0" w:rsidRDefault="009A24C0" w:rsidP="009A24C0">
                  <w:pPr>
                    <w:pStyle w:val="TableBodyText"/>
                  </w:pPr>
                  <w:r>
                    <w:t>0.598</w:t>
                  </w:r>
                  <w:r>
                    <w:rPr>
                      <w:vertAlign w:val="superscript"/>
                    </w:rPr>
                    <w:t>***</w:t>
                  </w:r>
                </w:p>
              </w:tc>
              <w:tc>
                <w:tcPr>
                  <w:tcW w:w="858" w:type="pct"/>
                  <w:vAlign w:val="center"/>
                </w:tcPr>
                <w:p w:rsidR="009A24C0" w:rsidRPr="00913E2B" w:rsidRDefault="009A24C0" w:rsidP="009A24C0">
                  <w:pPr>
                    <w:pStyle w:val="TableBodyText"/>
                  </w:pPr>
                  <w:r>
                    <w:t>-0.197</w:t>
                  </w:r>
                </w:p>
              </w:tc>
              <w:tc>
                <w:tcPr>
                  <w:tcW w:w="808" w:type="pct"/>
                  <w:vAlign w:val="center"/>
                </w:tcPr>
                <w:p w:rsidR="009A24C0" w:rsidRPr="00913E2B" w:rsidRDefault="009A24C0" w:rsidP="009A24C0">
                  <w:pPr>
                    <w:pStyle w:val="TableBodyText"/>
                    <w:ind w:right="28"/>
                  </w:pPr>
                  <w:r>
                    <w:t>0.530</w:t>
                  </w:r>
                </w:p>
              </w:tc>
            </w:tr>
            <w:tr w:rsidR="009A24C0" w:rsidRPr="00913E2B" w:rsidTr="008F55DC">
              <w:tc>
                <w:tcPr>
                  <w:tcW w:w="1551" w:type="pct"/>
                </w:tcPr>
                <w:p w:rsidR="009A24C0" w:rsidRPr="00913E2B" w:rsidRDefault="009A24C0" w:rsidP="009A24C0">
                  <w:pPr>
                    <w:pStyle w:val="TableBodyText"/>
                    <w:jc w:val="left"/>
                  </w:pPr>
                </w:p>
              </w:tc>
              <w:tc>
                <w:tcPr>
                  <w:tcW w:w="982" w:type="pct"/>
                  <w:vAlign w:val="center"/>
                </w:tcPr>
                <w:p w:rsidR="009A24C0" w:rsidRPr="00913E2B" w:rsidRDefault="009A24C0" w:rsidP="009A24C0">
                  <w:pPr>
                    <w:pStyle w:val="TableBodyText"/>
                  </w:pPr>
                  <w:r>
                    <w:t>(0.855)</w:t>
                  </w:r>
                </w:p>
              </w:tc>
              <w:tc>
                <w:tcPr>
                  <w:tcW w:w="801" w:type="pct"/>
                  <w:vAlign w:val="center"/>
                </w:tcPr>
                <w:p w:rsidR="009A24C0" w:rsidRDefault="009A24C0" w:rsidP="009A24C0">
                  <w:pPr>
                    <w:pStyle w:val="TableBodyText"/>
                  </w:pPr>
                  <w:r>
                    <w:t>(0.143)</w:t>
                  </w:r>
                </w:p>
              </w:tc>
              <w:tc>
                <w:tcPr>
                  <w:tcW w:w="858" w:type="pct"/>
                  <w:vAlign w:val="center"/>
                </w:tcPr>
                <w:p w:rsidR="009A24C0" w:rsidRPr="00913E2B" w:rsidRDefault="009A24C0" w:rsidP="009A24C0">
                  <w:pPr>
                    <w:pStyle w:val="TableBodyText"/>
                  </w:pPr>
                  <w:r>
                    <w:t>(0.669)</w:t>
                  </w:r>
                </w:p>
              </w:tc>
              <w:tc>
                <w:tcPr>
                  <w:tcW w:w="808" w:type="pct"/>
                  <w:vAlign w:val="center"/>
                </w:tcPr>
                <w:p w:rsidR="009A24C0" w:rsidRPr="00913E2B" w:rsidRDefault="009A24C0" w:rsidP="009A24C0">
                  <w:pPr>
                    <w:pStyle w:val="TableBodyText"/>
                    <w:ind w:right="28"/>
                  </w:pPr>
                  <w:r>
                    <w:t>(0.467)</w:t>
                  </w:r>
                </w:p>
              </w:tc>
            </w:tr>
            <w:tr w:rsidR="009A24C0" w:rsidRPr="00913E2B" w:rsidTr="008F55DC">
              <w:tc>
                <w:tcPr>
                  <w:tcW w:w="1551" w:type="pct"/>
                  <w:shd w:val="clear" w:color="auto" w:fill="F2F2F2" w:themeFill="background1" w:themeFillShade="F2"/>
                  <w:vAlign w:val="center"/>
                </w:tcPr>
                <w:p w:rsidR="009A24C0" w:rsidRPr="004F3392" w:rsidRDefault="009A24C0" w:rsidP="009A24C0">
                  <w:pPr>
                    <w:pStyle w:val="TableUnitsRow"/>
                    <w:jc w:val="left"/>
                  </w:pPr>
                  <w:r>
                    <w:t>Industry</w:t>
                  </w:r>
                </w:p>
              </w:tc>
              <w:tc>
                <w:tcPr>
                  <w:tcW w:w="982" w:type="pct"/>
                  <w:shd w:val="clear" w:color="auto" w:fill="F2F2F2" w:themeFill="background1" w:themeFillShade="F2"/>
                  <w:vAlign w:val="center"/>
                </w:tcPr>
                <w:p w:rsidR="009A24C0" w:rsidRPr="004F3392" w:rsidRDefault="009A24C0" w:rsidP="009A24C0">
                  <w:pPr>
                    <w:pStyle w:val="TableBodyText"/>
                  </w:pPr>
                  <w:r>
                    <w:t>26.655</w:t>
                  </w:r>
                </w:p>
              </w:tc>
              <w:tc>
                <w:tcPr>
                  <w:tcW w:w="801" w:type="pct"/>
                  <w:shd w:val="clear" w:color="auto" w:fill="F2F2F2" w:themeFill="background1" w:themeFillShade="F2"/>
                  <w:vAlign w:val="center"/>
                </w:tcPr>
                <w:p w:rsidR="009A24C0" w:rsidRPr="004F3392" w:rsidRDefault="009A24C0" w:rsidP="009A24C0">
                  <w:pPr>
                    <w:pStyle w:val="TableBodyText"/>
                  </w:pPr>
                  <w:r>
                    <w:t>3.911</w:t>
                  </w:r>
                </w:p>
              </w:tc>
              <w:tc>
                <w:tcPr>
                  <w:tcW w:w="858" w:type="pct"/>
                  <w:shd w:val="clear" w:color="auto" w:fill="F2F2F2" w:themeFill="background1" w:themeFillShade="F2"/>
                  <w:vAlign w:val="center"/>
                </w:tcPr>
                <w:p w:rsidR="009A24C0" w:rsidRPr="004F3392" w:rsidRDefault="009A24C0" w:rsidP="009A24C0">
                  <w:pPr>
                    <w:pStyle w:val="TableBodyText"/>
                  </w:pPr>
                  <w:r>
                    <w:t>1.513</w:t>
                  </w:r>
                </w:p>
              </w:tc>
              <w:tc>
                <w:tcPr>
                  <w:tcW w:w="808" w:type="pct"/>
                  <w:shd w:val="clear" w:color="auto" w:fill="F2F2F2" w:themeFill="background1" w:themeFillShade="F2"/>
                  <w:vAlign w:val="center"/>
                </w:tcPr>
                <w:p w:rsidR="009A24C0" w:rsidRPr="004F3392" w:rsidRDefault="009A24C0" w:rsidP="009A24C0">
                  <w:pPr>
                    <w:pStyle w:val="TableBodyText"/>
                    <w:ind w:right="28"/>
                  </w:pPr>
                  <w:r>
                    <w:t>21.232</w:t>
                  </w:r>
                </w:p>
              </w:tc>
            </w:tr>
            <w:tr w:rsidR="009A24C0" w:rsidRPr="00913E2B" w:rsidTr="008F55DC">
              <w:tc>
                <w:tcPr>
                  <w:tcW w:w="1551" w:type="pct"/>
                  <w:shd w:val="clear" w:color="auto" w:fill="F2F2F2" w:themeFill="background1" w:themeFillShade="F2"/>
                  <w:vAlign w:val="center"/>
                </w:tcPr>
                <w:p w:rsidR="009A24C0" w:rsidRPr="004F3392" w:rsidRDefault="009A24C0" w:rsidP="009A24C0">
                  <w:pPr>
                    <w:pStyle w:val="TableUnitsRow"/>
                    <w:jc w:val="left"/>
                  </w:pPr>
                </w:p>
              </w:tc>
              <w:tc>
                <w:tcPr>
                  <w:tcW w:w="982" w:type="pct"/>
                  <w:shd w:val="clear" w:color="auto" w:fill="F2F2F2" w:themeFill="background1" w:themeFillShade="F2"/>
                  <w:vAlign w:val="center"/>
                </w:tcPr>
                <w:p w:rsidR="009A24C0" w:rsidRPr="004F3392" w:rsidRDefault="009A24C0" w:rsidP="009A24C0">
                  <w:pPr>
                    <w:pStyle w:val="TableBodyText"/>
                  </w:pPr>
                  <w:r>
                    <w:t>(18.386)</w:t>
                  </w:r>
                </w:p>
              </w:tc>
              <w:tc>
                <w:tcPr>
                  <w:tcW w:w="801" w:type="pct"/>
                  <w:shd w:val="clear" w:color="auto" w:fill="F2F2F2" w:themeFill="background1" w:themeFillShade="F2"/>
                  <w:vAlign w:val="center"/>
                </w:tcPr>
                <w:p w:rsidR="009A24C0" w:rsidRPr="004F3392" w:rsidRDefault="009A24C0" w:rsidP="009A24C0">
                  <w:pPr>
                    <w:pStyle w:val="TableBodyText"/>
                  </w:pPr>
                  <w:r>
                    <w:t>(5.334)</w:t>
                  </w:r>
                </w:p>
              </w:tc>
              <w:tc>
                <w:tcPr>
                  <w:tcW w:w="858" w:type="pct"/>
                  <w:shd w:val="clear" w:color="auto" w:fill="F2F2F2" w:themeFill="background1" w:themeFillShade="F2"/>
                  <w:vAlign w:val="center"/>
                </w:tcPr>
                <w:p w:rsidR="009A24C0" w:rsidRPr="004F3392" w:rsidRDefault="009A24C0" w:rsidP="009A24C0">
                  <w:pPr>
                    <w:pStyle w:val="TableBodyText"/>
                  </w:pPr>
                  <w:r>
                    <w:t>(10.793)</w:t>
                  </w:r>
                </w:p>
              </w:tc>
              <w:tc>
                <w:tcPr>
                  <w:tcW w:w="808" w:type="pct"/>
                  <w:shd w:val="clear" w:color="auto" w:fill="F2F2F2" w:themeFill="background1" w:themeFillShade="F2"/>
                  <w:vAlign w:val="center"/>
                </w:tcPr>
                <w:p w:rsidR="009A24C0" w:rsidRPr="004F3392" w:rsidRDefault="009A24C0" w:rsidP="009A24C0">
                  <w:pPr>
                    <w:pStyle w:val="TableBodyText"/>
                    <w:ind w:right="28"/>
                  </w:pPr>
                  <w:r>
                    <w:t>(13.400)</w:t>
                  </w:r>
                </w:p>
              </w:tc>
            </w:tr>
            <w:tr w:rsidR="009A24C0" w:rsidRPr="00913E2B" w:rsidTr="008F55DC">
              <w:tc>
                <w:tcPr>
                  <w:tcW w:w="1551" w:type="pct"/>
                  <w:vAlign w:val="center"/>
                </w:tcPr>
                <w:p w:rsidR="009A24C0" w:rsidRPr="00913E2B" w:rsidRDefault="009A24C0" w:rsidP="009A24C0">
                  <w:pPr>
                    <w:pStyle w:val="TableUnitsRow"/>
                    <w:jc w:val="left"/>
                  </w:pPr>
                  <w:r>
                    <w:t>Public sector</w:t>
                  </w:r>
                </w:p>
              </w:tc>
              <w:tc>
                <w:tcPr>
                  <w:tcW w:w="982" w:type="pct"/>
                  <w:vAlign w:val="center"/>
                </w:tcPr>
                <w:p w:rsidR="009A24C0" w:rsidRPr="00913E2B" w:rsidRDefault="009A24C0" w:rsidP="009A24C0">
                  <w:pPr>
                    <w:pStyle w:val="TableBodyText"/>
                  </w:pPr>
                  <w:r>
                    <w:t>24.111</w:t>
                  </w:r>
                </w:p>
              </w:tc>
              <w:tc>
                <w:tcPr>
                  <w:tcW w:w="801" w:type="pct"/>
                  <w:vAlign w:val="center"/>
                </w:tcPr>
                <w:p w:rsidR="009A24C0" w:rsidRDefault="009A24C0" w:rsidP="009A24C0">
                  <w:pPr>
                    <w:pStyle w:val="TableBodyText"/>
                  </w:pPr>
                  <w:r>
                    <w:t>-1.972</w:t>
                  </w:r>
                </w:p>
              </w:tc>
              <w:tc>
                <w:tcPr>
                  <w:tcW w:w="858" w:type="pct"/>
                  <w:vAlign w:val="center"/>
                </w:tcPr>
                <w:p w:rsidR="009A24C0" w:rsidRPr="00913E2B" w:rsidRDefault="009A24C0" w:rsidP="009A24C0">
                  <w:pPr>
                    <w:pStyle w:val="TableBodyText"/>
                  </w:pPr>
                  <w:r>
                    <w:t>4.777</w:t>
                  </w:r>
                </w:p>
              </w:tc>
              <w:tc>
                <w:tcPr>
                  <w:tcW w:w="808" w:type="pct"/>
                  <w:vAlign w:val="center"/>
                </w:tcPr>
                <w:p w:rsidR="009A24C0" w:rsidRPr="00913E2B" w:rsidRDefault="009A24C0" w:rsidP="009A24C0">
                  <w:pPr>
                    <w:pStyle w:val="TableBodyText"/>
                    <w:ind w:right="28"/>
                  </w:pPr>
                  <w:r>
                    <w:t>21.306</w:t>
                  </w:r>
                </w:p>
              </w:tc>
            </w:tr>
            <w:tr w:rsidR="009A24C0" w:rsidRPr="00913E2B" w:rsidTr="008F55DC">
              <w:tc>
                <w:tcPr>
                  <w:tcW w:w="1551" w:type="pct"/>
                  <w:vAlign w:val="center"/>
                </w:tcPr>
                <w:p w:rsidR="009A24C0" w:rsidRPr="00913E2B" w:rsidRDefault="009A24C0" w:rsidP="009A24C0">
                  <w:pPr>
                    <w:pStyle w:val="TableUnitsRow"/>
                    <w:jc w:val="left"/>
                  </w:pPr>
                </w:p>
              </w:tc>
              <w:tc>
                <w:tcPr>
                  <w:tcW w:w="982" w:type="pct"/>
                  <w:vAlign w:val="center"/>
                </w:tcPr>
                <w:p w:rsidR="009A24C0" w:rsidRPr="00913E2B" w:rsidRDefault="009A24C0" w:rsidP="009A24C0">
                  <w:pPr>
                    <w:pStyle w:val="TableBodyText"/>
                  </w:pPr>
                  <w:r>
                    <w:t>(33.876)</w:t>
                  </w:r>
                </w:p>
              </w:tc>
              <w:tc>
                <w:tcPr>
                  <w:tcW w:w="801" w:type="pct"/>
                  <w:vAlign w:val="center"/>
                </w:tcPr>
                <w:p w:rsidR="009A24C0" w:rsidRDefault="009A24C0" w:rsidP="009A24C0">
                  <w:pPr>
                    <w:pStyle w:val="TableBodyText"/>
                  </w:pPr>
                  <w:r>
                    <w:t>(8.981)</w:t>
                  </w:r>
                </w:p>
              </w:tc>
              <w:tc>
                <w:tcPr>
                  <w:tcW w:w="858" w:type="pct"/>
                  <w:vAlign w:val="center"/>
                </w:tcPr>
                <w:p w:rsidR="009A24C0" w:rsidRPr="00913E2B" w:rsidRDefault="009A24C0" w:rsidP="009A24C0">
                  <w:pPr>
                    <w:pStyle w:val="TableBodyText"/>
                  </w:pPr>
                  <w:r>
                    <w:t>(15.111)</w:t>
                  </w:r>
                </w:p>
              </w:tc>
              <w:tc>
                <w:tcPr>
                  <w:tcW w:w="808" w:type="pct"/>
                  <w:vAlign w:val="center"/>
                </w:tcPr>
                <w:p w:rsidR="009A24C0" w:rsidRPr="00913E2B" w:rsidRDefault="009A24C0" w:rsidP="009A24C0">
                  <w:pPr>
                    <w:pStyle w:val="TableBodyText"/>
                    <w:ind w:right="28"/>
                  </w:pPr>
                  <w:r>
                    <w:t>(29.665)</w:t>
                  </w:r>
                </w:p>
              </w:tc>
            </w:tr>
            <w:tr w:rsidR="009A24C0" w:rsidRPr="00913E2B" w:rsidTr="008F55DC">
              <w:tc>
                <w:tcPr>
                  <w:tcW w:w="1551" w:type="pct"/>
                  <w:shd w:val="clear" w:color="auto" w:fill="F2F2F2" w:themeFill="background1" w:themeFillShade="F2"/>
                  <w:vAlign w:val="center"/>
                </w:tcPr>
                <w:p w:rsidR="009A24C0" w:rsidRPr="00913E2B" w:rsidRDefault="009A24C0" w:rsidP="009A24C0">
                  <w:pPr>
                    <w:pStyle w:val="TableUnitsRow"/>
                    <w:jc w:val="left"/>
                  </w:pPr>
                  <w:r>
                    <w:t>Retail</w:t>
                  </w:r>
                </w:p>
              </w:tc>
              <w:tc>
                <w:tcPr>
                  <w:tcW w:w="982" w:type="pct"/>
                  <w:shd w:val="clear" w:color="auto" w:fill="F2F2F2" w:themeFill="background1" w:themeFillShade="F2"/>
                  <w:vAlign w:val="center"/>
                </w:tcPr>
                <w:p w:rsidR="009A24C0" w:rsidRPr="00913E2B" w:rsidRDefault="009A24C0" w:rsidP="009A24C0">
                  <w:pPr>
                    <w:pStyle w:val="TableBodyText"/>
                  </w:pPr>
                  <w:r>
                    <w:t>0.386</w:t>
                  </w:r>
                </w:p>
              </w:tc>
              <w:tc>
                <w:tcPr>
                  <w:tcW w:w="801" w:type="pct"/>
                  <w:shd w:val="clear" w:color="auto" w:fill="F2F2F2" w:themeFill="background1" w:themeFillShade="F2"/>
                  <w:vAlign w:val="center"/>
                </w:tcPr>
                <w:p w:rsidR="009A24C0" w:rsidRDefault="009A24C0" w:rsidP="009A24C0">
                  <w:pPr>
                    <w:pStyle w:val="TableBodyText"/>
                  </w:pPr>
                  <w:r>
                    <w:t>4.732</w:t>
                  </w:r>
                  <w:r>
                    <w:rPr>
                      <w:vertAlign w:val="superscript"/>
                    </w:rPr>
                    <w:t>***</w:t>
                  </w:r>
                </w:p>
              </w:tc>
              <w:tc>
                <w:tcPr>
                  <w:tcW w:w="858" w:type="pct"/>
                  <w:shd w:val="clear" w:color="auto" w:fill="F2F2F2" w:themeFill="background1" w:themeFillShade="F2"/>
                  <w:vAlign w:val="center"/>
                </w:tcPr>
                <w:p w:rsidR="009A24C0" w:rsidRPr="00913E2B" w:rsidRDefault="009A24C0" w:rsidP="009A24C0">
                  <w:pPr>
                    <w:pStyle w:val="TableBodyText"/>
                  </w:pPr>
                  <w:r>
                    <w:t>-3.993</w:t>
                  </w:r>
                </w:p>
              </w:tc>
              <w:tc>
                <w:tcPr>
                  <w:tcW w:w="808" w:type="pct"/>
                  <w:shd w:val="clear" w:color="auto" w:fill="F2F2F2" w:themeFill="background1" w:themeFillShade="F2"/>
                  <w:vAlign w:val="center"/>
                </w:tcPr>
                <w:p w:rsidR="009A24C0" w:rsidRPr="00913E2B" w:rsidRDefault="009A24C0" w:rsidP="009A24C0">
                  <w:pPr>
                    <w:pStyle w:val="TableBodyText"/>
                    <w:ind w:right="28"/>
                  </w:pPr>
                  <w:r>
                    <w:t>-0.353</w:t>
                  </w:r>
                </w:p>
              </w:tc>
            </w:tr>
            <w:tr w:rsidR="009A24C0" w:rsidRPr="00913E2B" w:rsidTr="008F55DC">
              <w:tc>
                <w:tcPr>
                  <w:tcW w:w="1551" w:type="pct"/>
                  <w:shd w:val="clear" w:color="auto" w:fill="F2F2F2" w:themeFill="background1" w:themeFillShade="F2"/>
                  <w:vAlign w:val="center"/>
                </w:tcPr>
                <w:p w:rsidR="009A24C0" w:rsidRPr="00913E2B" w:rsidRDefault="009A24C0" w:rsidP="009A24C0">
                  <w:pPr>
                    <w:pStyle w:val="TableUnitsRow"/>
                    <w:jc w:val="left"/>
                  </w:pPr>
                </w:p>
              </w:tc>
              <w:tc>
                <w:tcPr>
                  <w:tcW w:w="982" w:type="pct"/>
                  <w:shd w:val="clear" w:color="auto" w:fill="F2F2F2" w:themeFill="background1" w:themeFillShade="F2"/>
                  <w:vAlign w:val="center"/>
                </w:tcPr>
                <w:p w:rsidR="009A24C0" w:rsidRPr="00913E2B" w:rsidRDefault="009A24C0" w:rsidP="009A24C0">
                  <w:pPr>
                    <w:pStyle w:val="TableBodyText"/>
                  </w:pPr>
                  <w:r>
                    <w:t>(11.460)</w:t>
                  </w:r>
                </w:p>
              </w:tc>
              <w:tc>
                <w:tcPr>
                  <w:tcW w:w="801" w:type="pct"/>
                  <w:shd w:val="clear" w:color="auto" w:fill="F2F2F2" w:themeFill="background1" w:themeFillShade="F2"/>
                  <w:vAlign w:val="center"/>
                </w:tcPr>
                <w:p w:rsidR="009A24C0" w:rsidRDefault="009A24C0" w:rsidP="009A24C0">
                  <w:pPr>
                    <w:pStyle w:val="TableBodyText"/>
                  </w:pPr>
                  <w:r>
                    <w:t>(1.506)</w:t>
                  </w:r>
                </w:p>
              </w:tc>
              <w:tc>
                <w:tcPr>
                  <w:tcW w:w="858" w:type="pct"/>
                  <w:shd w:val="clear" w:color="auto" w:fill="F2F2F2" w:themeFill="background1" w:themeFillShade="F2"/>
                  <w:vAlign w:val="center"/>
                </w:tcPr>
                <w:p w:rsidR="009A24C0" w:rsidRPr="00913E2B" w:rsidRDefault="009A24C0" w:rsidP="009A24C0">
                  <w:pPr>
                    <w:pStyle w:val="TableBodyText"/>
                  </w:pPr>
                  <w:r>
                    <w:t>(9.616)</w:t>
                  </w:r>
                </w:p>
              </w:tc>
              <w:tc>
                <w:tcPr>
                  <w:tcW w:w="808" w:type="pct"/>
                  <w:shd w:val="clear" w:color="auto" w:fill="F2F2F2" w:themeFill="background1" w:themeFillShade="F2"/>
                  <w:vAlign w:val="center"/>
                </w:tcPr>
                <w:p w:rsidR="009A24C0" w:rsidRPr="00913E2B" w:rsidRDefault="009A24C0" w:rsidP="009A24C0">
                  <w:pPr>
                    <w:pStyle w:val="TableBodyText"/>
                    <w:ind w:right="28"/>
                  </w:pPr>
                  <w:r>
                    <w:t>(5.295)</w:t>
                  </w:r>
                </w:p>
              </w:tc>
            </w:tr>
            <w:tr w:rsidR="009A24C0" w:rsidRPr="00913E2B" w:rsidTr="008F55DC">
              <w:tc>
                <w:tcPr>
                  <w:tcW w:w="1551" w:type="pct"/>
                  <w:vAlign w:val="center"/>
                </w:tcPr>
                <w:p w:rsidR="009A24C0" w:rsidRPr="00913E2B" w:rsidRDefault="009A24C0" w:rsidP="009A24C0">
                  <w:pPr>
                    <w:pStyle w:val="TableUnitsRow"/>
                    <w:jc w:val="left"/>
                  </w:pPr>
                  <w:r>
                    <w:t>Net assets x Industry</w:t>
                  </w:r>
                </w:p>
              </w:tc>
              <w:tc>
                <w:tcPr>
                  <w:tcW w:w="982" w:type="pct"/>
                  <w:vAlign w:val="center"/>
                </w:tcPr>
                <w:p w:rsidR="009A24C0" w:rsidRPr="00913E2B" w:rsidRDefault="009A24C0" w:rsidP="009A24C0">
                  <w:pPr>
                    <w:pStyle w:val="TableBodyText"/>
                  </w:pPr>
                  <w:r>
                    <w:t>-1.259</w:t>
                  </w:r>
                </w:p>
              </w:tc>
              <w:tc>
                <w:tcPr>
                  <w:tcW w:w="801" w:type="pct"/>
                  <w:vAlign w:val="center"/>
                </w:tcPr>
                <w:p w:rsidR="009A24C0" w:rsidRDefault="009A24C0" w:rsidP="009A24C0">
                  <w:pPr>
                    <w:pStyle w:val="TableBodyText"/>
                  </w:pPr>
                  <w:r>
                    <w:t>-0.103</w:t>
                  </w:r>
                </w:p>
              </w:tc>
              <w:tc>
                <w:tcPr>
                  <w:tcW w:w="858" w:type="pct"/>
                  <w:vAlign w:val="center"/>
                </w:tcPr>
                <w:p w:rsidR="009A24C0" w:rsidRPr="00913E2B" w:rsidRDefault="009A24C0" w:rsidP="009A24C0">
                  <w:pPr>
                    <w:pStyle w:val="TableBodyText"/>
                  </w:pPr>
                  <w:r>
                    <w:t>0.089</w:t>
                  </w:r>
                </w:p>
              </w:tc>
              <w:tc>
                <w:tcPr>
                  <w:tcW w:w="808" w:type="pct"/>
                  <w:vAlign w:val="center"/>
                </w:tcPr>
                <w:p w:rsidR="009A24C0" w:rsidRPr="00913E2B" w:rsidRDefault="009A24C0" w:rsidP="009A24C0">
                  <w:pPr>
                    <w:pStyle w:val="TableBodyText"/>
                    <w:ind w:right="28"/>
                  </w:pPr>
                  <w:r>
                    <w:t>-1.244</w:t>
                  </w:r>
                </w:p>
              </w:tc>
            </w:tr>
            <w:tr w:rsidR="009A24C0" w:rsidRPr="00913E2B" w:rsidTr="008F55DC">
              <w:tc>
                <w:tcPr>
                  <w:tcW w:w="1551" w:type="pct"/>
                  <w:vAlign w:val="center"/>
                </w:tcPr>
                <w:p w:rsidR="009A24C0" w:rsidRPr="00913E2B" w:rsidRDefault="009A24C0" w:rsidP="009A24C0">
                  <w:pPr>
                    <w:pStyle w:val="TableUnitsRow"/>
                    <w:jc w:val="left"/>
                  </w:pPr>
                </w:p>
              </w:tc>
              <w:tc>
                <w:tcPr>
                  <w:tcW w:w="982" w:type="pct"/>
                  <w:vAlign w:val="center"/>
                </w:tcPr>
                <w:p w:rsidR="009A24C0" w:rsidRPr="00913E2B" w:rsidRDefault="009A24C0" w:rsidP="009A24C0">
                  <w:pPr>
                    <w:pStyle w:val="TableBodyText"/>
                  </w:pPr>
                  <w:r>
                    <w:t>(1.222)</w:t>
                  </w:r>
                </w:p>
              </w:tc>
              <w:tc>
                <w:tcPr>
                  <w:tcW w:w="801" w:type="pct"/>
                  <w:vAlign w:val="center"/>
                </w:tcPr>
                <w:p w:rsidR="009A24C0" w:rsidRDefault="009A24C0" w:rsidP="009A24C0">
                  <w:pPr>
                    <w:pStyle w:val="TableBodyText"/>
                  </w:pPr>
                  <w:r>
                    <w:t>(0.358)</w:t>
                  </w:r>
                </w:p>
              </w:tc>
              <w:tc>
                <w:tcPr>
                  <w:tcW w:w="858" w:type="pct"/>
                  <w:vAlign w:val="center"/>
                </w:tcPr>
                <w:p w:rsidR="009A24C0" w:rsidRPr="00913E2B" w:rsidRDefault="009A24C0" w:rsidP="009A24C0">
                  <w:pPr>
                    <w:pStyle w:val="TableBodyText"/>
                  </w:pPr>
                  <w:r>
                    <w:t>(0.732)</w:t>
                  </w:r>
                </w:p>
              </w:tc>
              <w:tc>
                <w:tcPr>
                  <w:tcW w:w="808" w:type="pct"/>
                  <w:vAlign w:val="center"/>
                </w:tcPr>
                <w:p w:rsidR="009A24C0" w:rsidRPr="00913E2B" w:rsidRDefault="009A24C0" w:rsidP="009A24C0">
                  <w:pPr>
                    <w:pStyle w:val="TableBodyText"/>
                    <w:ind w:right="28"/>
                  </w:pPr>
                  <w:r>
                    <w:t>(0.873)</w:t>
                  </w:r>
                </w:p>
              </w:tc>
            </w:tr>
            <w:tr w:rsidR="009A24C0" w:rsidRPr="00913E2B" w:rsidTr="008F55DC">
              <w:tc>
                <w:tcPr>
                  <w:tcW w:w="1551" w:type="pct"/>
                  <w:shd w:val="clear" w:color="auto" w:fill="F2F2F2" w:themeFill="background1" w:themeFillShade="F2"/>
                  <w:vAlign w:val="center"/>
                </w:tcPr>
                <w:p w:rsidR="009A24C0" w:rsidRPr="00913E2B" w:rsidRDefault="009A24C0" w:rsidP="009A24C0">
                  <w:pPr>
                    <w:pStyle w:val="TableUnitsRow"/>
                    <w:jc w:val="left"/>
                  </w:pPr>
                  <w:r>
                    <w:t>Net assets x Public sector</w:t>
                  </w:r>
                </w:p>
              </w:tc>
              <w:tc>
                <w:tcPr>
                  <w:tcW w:w="982" w:type="pct"/>
                  <w:shd w:val="clear" w:color="auto" w:fill="F2F2F2" w:themeFill="background1" w:themeFillShade="F2"/>
                  <w:vAlign w:val="center"/>
                </w:tcPr>
                <w:p w:rsidR="009A24C0" w:rsidRPr="00913E2B" w:rsidRDefault="009A24C0" w:rsidP="009A24C0">
                  <w:pPr>
                    <w:pStyle w:val="TableBodyText"/>
                  </w:pPr>
                  <w:r>
                    <w:t>-1.197</w:t>
                  </w:r>
                </w:p>
              </w:tc>
              <w:tc>
                <w:tcPr>
                  <w:tcW w:w="801" w:type="pct"/>
                  <w:shd w:val="clear" w:color="auto" w:fill="F2F2F2" w:themeFill="background1" w:themeFillShade="F2"/>
                  <w:vAlign w:val="center"/>
                </w:tcPr>
                <w:p w:rsidR="009A24C0" w:rsidRDefault="009A24C0" w:rsidP="009A24C0">
                  <w:pPr>
                    <w:pStyle w:val="TableBodyText"/>
                  </w:pPr>
                  <w:r>
                    <w:t>0.084</w:t>
                  </w:r>
                </w:p>
              </w:tc>
              <w:tc>
                <w:tcPr>
                  <w:tcW w:w="858" w:type="pct"/>
                  <w:shd w:val="clear" w:color="auto" w:fill="F2F2F2" w:themeFill="background1" w:themeFillShade="F2"/>
                  <w:vAlign w:val="center"/>
                </w:tcPr>
                <w:p w:rsidR="009A24C0" w:rsidRPr="00913E2B" w:rsidRDefault="009A24C0" w:rsidP="009A24C0">
                  <w:pPr>
                    <w:pStyle w:val="TableBodyText"/>
                  </w:pPr>
                  <w:r>
                    <w:t>-0.153</w:t>
                  </w:r>
                </w:p>
              </w:tc>
              <w:tc>
                <w:tcPr>
                  <w:tcW w:w="808" w:type="pct"/>
                  <w:shd w:val="clear" w:color="auto" w:fill="F2F2F2" w:themeFill="background1" w:themeFillShade="F2"/>
                  <w:vAlign w:val="center"/>
                </w:tcPr>
                <w:p w:rsidR="009A24C0" w:rsidRPr="00913E2B" w:rsidRDefault="009A24C0" w:rsidP="009A24C0">
                  <w:pPr>
                    <w:pStyle w:val="TableBodyText"/>
                    <w:ind w:right="28"/>
                  </w:pPr>
                  <w:r>
                    <w:t>-1.128</w:t>
                  </w:r>
                </w:p>
              </w:tc>
            </w:tr>
            <w:tr w:rsidR="009A24C0" w:rsidRPr="00913E2B" w:rsidTr="008F55DC">
              <w:tc>
                <w:tcPr>
                  <w:tcW w:w="1551" w:type="pct"/>
                  <w:shd w:val="clear" w:color="auto" w:fill="F2F2F2" w:themeFill="background1" w:themeFillShade="F2"/>
                  <w:vAlign w:val="center"/>
                </w:tcPr>
                <w:p w:rsidR="009A24C0" w:rsidRPr="00913E2B" w:rsidRDefault="009A24C0" w:rsidP="009A24C0">
                  <w:pPr>
                    <w:pStyle w:val="TableUnitsRow"/>
                    <w:jc w:val="left"/>
                  </w:pPr>
                </w:p>
              </w:tc>
              <w:tc>
                <w:tcPr>
                  <w:tcW w:w="982" w:type="pct"/>
                  <w:shd w:val="clear" w:color="auto" w:fill="F2F2F2" w:themeFill="background1" w:themeFillShade="F2"/>
                  <w:vAlign w:val="center"/>
                </w:tcPr>
                <w:p w:rsidR="009A24C0" w:rsidRPr="00913E2B" w:rsidRDefault="009A24C0" w:rsidP="009A24C0">
                  <w:pPr>
                    <w:pStyle w:val="TableBodyText"/>
                  </w:pPr>
                  <w:r>
                    <w:t>(2.040)</w:t>
                  </w:r>
                </w:p>
              </w:tc>
              <w:tc>
                <w:tcPr>
                  <w:tcW w:w="801" w:type="pct"/>
                  <w:shd w:val="clear" w:color="auto" w:fill="F2F2F2" w:themeFill="background1" w:themeFillShade="F2"/>
                  <w:vAlign w:val="center"/>
                </w:tcPr>
                <w:p w:rsidR="009A24C0" w:rsidRDefault="009A24C0" w:rsidP="009A24C0">
                  <w:pPr>
                    <w:pStyle w:val="TableBodyText"/>
                  </w:pPr>
                  <w:r>
                    <w:t>(0.587)</w:t>
                  </w:r>
                </w:p>
              </w:tc>
              <w:tc>
                <w:tcPr>
                  <w:tcW w:w="858" w:type="pct"/>
                  <w:shd w:val="clear" w:color="auto" w:fill="F2F2F2" w:themeFill="background1" w:themeFillShade="F2"/>
                  <w:vAlign w:val="center"/>
                </w:tcPr>
                <w:p w:rsidR="009A24C0" w:rsidRPr="00913E2B" w:rsidRDefault="009A24C0" w:rsidP="009A24C0">
                  <w:pPr>
                    <w:pStyle w:val="TableBodyText"/>
                  </w:pPr>
                  <w:r>
                    <w:t>(0.978)</w:t>
                  </w:r>
                </w:p>
              </w:tc>
              <w:tc>
                <w:tcPr>
                  <w:tcW w:w="808" w:type="pct"/>
                  <w:shd w:val="clear" w:color="auto" w:fill="F2F2F2" w:themeFill="background1" w:themeFillShade="F2"/>
                  <w:vAlign w:val="center"/>
                </w:tcPr>
                <w:p w:rsidR="009A24C0" w:rsidRPr="00913E2B" w:rsidRDefault="009A24C0" w:rsidP="009A24C0">
                  <w:pPr>
                    <w:pStyle w:val="TableBodyText"/>
                    <w:ind w:right="28"/>
                  </w:pPr>
                  <w:r>
                    <w:t>(1.771)</w:t>
                  </w:r>
                </w:p>
              </w:tc>
            </w:tr>
            <w:tr w:rsidR="009A24C0" w:rsidRPr="00913E2B" w:rsidTr="008F55DC">
              <w:tc>
                <w:tcPr>
                  <w:tcW w:w="1551" w:type="pct"/>
                  <w:vAlign w:val="center"/>
                </w:tcPr>
                <w:p w:rsidR="009A24C0" w:rsidRPr="004F3392" w:rsidRDefault="009A24C0" w:rsidP="009A24C0">
                  <w:pPr>
                    <w:pStyle w:val="TableUnitsRow"/>
                    <w:jc w:val="left"/>
                  </w:pPr>
                  <w:r>
                    <w:t>Net assets x Retail</w:t>
                  </w:r>
                </w:p>
              </w:tc>
              <w:tc>
                <w:tcPr>
                  <w:tcW w:w="982" w:type="pct"/>
                  <w:vAlign w:val="center"/>
                </w:tcPr>
                <w:p w:rsidR="009A24C0" w:rsidRPr="00913E2B" w:rsidRDefault="009A24C0" w:rsidP="009A24C0">
                  <w:pPr>
                    <w:pStyle w:val="TableBodyText"/>
                  </w:pPr>
                  <w:r>
                    <w:t>-0.488</w:t>
                  </w:r>
                </w:p>
              </w:tc>
              <w:tc>
                <w:tcPr>
                  <w:tcW w:w="801" w:type="pct"/>
                  <w:vAlign w:val="center"/>
                </w:tcPr>
                <w:p w:rsidR="009A24C0" w:rsidRDefault="009A24C0" w:rsidP="009A24C0">
                  <w:pPr>
                    <w:pStyle w:val="TableBodyText"/>
                  </w:pPr>
                  <w:r>
                    <w:t>-0.467</w:t>
                  </w:r>
                  <w:r>
                    <w:rPr>
                      <w:vertAlign w:val="superscript"/>
                    </w:rPr>
                    <w:t>***</w:t>
                  </w:r>
                </w:p>
              </w:tc>
              <w:tc>
                <w:tcPr>
                  <w:tcW w:w="858" w:type="pct"/>
                  <w:vAlign w:val="center"/>
                </w:tcPr>
                <w:p w:rsidR="009A24C0" w:rsidRPr="00913E2B" w:rsidRDefault="009A24C0" w:rsidP="009A24C0">
                  <w:pPr>
                    <w:pStyle w:val="TableBodyText"/>
                  </w:pPr>
                  <w:r>
                    <w:t>0.034</w:t>
                  </w:r>
                </w:p>
              </w:tc>
              <w:tc>
                <w:tcPr>
                  <w:tcW w:w="808" w:type="pct"/>
                  <w:vAlign w:val="center"/>
                </w:tcPr>
                <w:p w:rsidR="009A24C0" w:rsidRPr="00913E2B" w:rsidRDefault="009A24C0" w:rsidP="009A24C0">
                  <w:pPr>
                    <w:pStyle w:val="TableBodyText"/>
                    <w:ind w:right="28"/>
                  </w:pPr>
                  <w:r>
                    <w:t>-0.055</w:t>
                  </w:r>
                </w:p>
              </w:tc>
            </w:tr>
            <w:tr w:rsidR="009A24C0" w:rsidRPr="00913E2B" w:rsidTr="008F55DC">
              <w:tc>
                <w:tcPr>
                  <w:tcW w:w="1551" w:type="pct"/>
                  <w:vAlign w:val="center"/>
                </w:tcPr>
                <w:p w:rsidR="009A24C0" w:rsidRPr="00913E2B" w:rsidRDefault="009A24C0" w:rsidP="009A24C0">
                  <w:pPr>
                    <w:pStyle w:val="TableUnitsRow"/>
                    <w:jc w:val="left"/>
                  </w:pPr>
                </w:p>
              </w:tc>
              <w:tc>
                <w:tcPr>
                  <w:tcW w:w="982" w:type="pct"/>
                  <w:vAlign w:val="center"/>
                </w:tcPr>
                <w:p w:rsidR="009A24C0" w:rsidRPr="00913E2B" w:rsidRDefault="009A24C0" w:rsidP="009A24C0">
                  <w:pPr>
                    <w:pStyle w:val="TableBodyText"/>
                  </w:pPr>
                  <w:r>
                    <w:t>(0.847)</w:t>
                  </w:r>
                </w:p>
              </w:tc>
              <w:tc>
                <w:tcPr>
                  <w:tcW w:w="801" w:type="pct"/>
                  <w:vAlign w:val="center"/>
                </w:tcPr>
                <w:p w:rsidR="009A24C0" w:rsidRDefault="009A24C0" w:rsidP="009A24C0">
                  <w:pPr>
                    <w:pStyle w:val="TableBodyText"/>
                  </w:pPr>
                  <w:r>
                    <w:t>(0.140)</w:t>
                  </w:r>
                </w:p>
              </w:tc>
              <w:tc>
                <w:tcPr>
                  <w:tcW w:w="858" w:type="pct"/>
                  <w:vAlign w:val="center"/>
                </w:tcPr>
                <w:p w:rsidR="009A24C0" w:rsidRPr="00913E2B" w:rsidRDefault="009A24C0" w:rsidP="009A24C0">
                  <w:pPr>
                    <w:pStyle w:val="TableBodyText"/>
                  </w:pPr>
                  <w:r>
                    <w:t>(0.676)</w:t>
                  </w:r>
                </w:p>
              </w:tc>
              <w:tc>
                <w:tcPr>
                  <w:tcW w:w="808" w:type="pct"/>
                  <w:vAlign w:val="center"/>
                </w:tcPr>
                <w:p w:rsidR="009A24C0" w:rsidRPr="00913E2B" w:rsidRDefault="009A24C0" w:rsidP="009A24C0">
                  <w:pPr>
                    <w:pStyle w:val="TableBodyText"/>
                    <w:ind w:right="28"/>
                  </w:pPr>
                  <w:r>
                    <w:t>(0.455)</w:t>
                  </w:r>
                </w:p>
              </w:tc>
            </w:tr>
            <w:tr w:rsidR="009A24C0" w:rsidRPr="00913E2B" w:rsidTr="008F55DC">
              <w:tc>
                <w:tcPr>
                  <w:tcW w:w="1551" w:type="pct"/>
                  <w:shd w:val="clear" w:color="auto" w:fill="F2F2F2" w:themeFill="background1" w:themeFillShade="F2"/>
                  <w:vAlign w:val="center"/>
                </w:tcPr>
                <w:p w:rsidR="009A24C0" w:rsidRPr="00913E2B" w:rsidRDefault="009A24C0" w:rsidP="009A24C0">
                  <w:pPr>
                    <w:pStyle w:val="TableUnitsRow"/>
                    <w:jc w:val="left"/>
                  </w:pPr>
                  <w:r>
                    <w:t>Lambda</w:t>
                  </w:r>
                </w:p>
              </w:tc>
              <w:tc>
                <w:tcPr>
                  <w:tcW w:w="982" w:type="pct"/>
                  <w:shd w:val="clear" w:color="auto" w:fill="F2F2F2" w:themeFill="background1" w:themeFillShade="F2"/>
                  <w:vAlign w:val="center"/>
                </w:tcPr>
                <w:p w:rsidR="009A24C0" w:rsidRPr="00913E2B" w:rsidRDefault="008F55DC" w:rsidP="009A24C0">
                  <w:pPr>
                    <w:pStyle w:val="TableBodyText"/>
                  </w:pPr>
                  <w:r>
                    <w:t>-8.591</w:t>
                  </w:r>
                </w:p>
              </w:tc>
              <w:tc>
                <w:tcPr>
                  <w:tcW w:w="801" w:type="pct"/>
                  <w:shd w:val="clear" w:color="auto" w:fill="F2F2F2" w:themeFill="background1" w:themeFillShade="F2"/>
                  <w:vAlign w:val="center"/>
                </w:tcPr>
                <w:p w:rsidR="009A24C0" w:rsidRDefault="008F55DC" w:rsidP="009A24C0">
                  <w:pPr>
                    <w:pStyle w:val="TableBodyText"/>
                  </w:pPr>
                  <w:r>
                    <w:t>1.269</w:t>
                  </w:r>
                </w:p>
              </w:tc>
              <w:tc>
                <w:tcPr>
                  <w:tcW w:w="858" w:type="pct"/>
                  <w:shd w:val="clear" w:color="auto" w:fill="F2F2F2" w:themeFill="background1" w:themeFillShade="F2"/>
                  <w:vAlign w:val="center"/>
                </w:tcPr>
                <w:p w:rsidR="009A24C0" w:rsidRPr="00913E2B" w:rsidRDefault="009A24C0" w:rsidP="009A24C0">
                  <w:pPr>
                    <w:pStyle w:val="TableBodyText"/>
                  </w:pPr>
                  <w:r>
                    <w:t>-2.</w:t>
                  </w:r>
                  <w:r w:rsidR="008F55DC">
                    <w:t>498</w:t>
                  </w:r>
                </w:p>
              </w:tc>
              <w:tc>
                <w:tcPr>
                  <w:tcW w:w="808" w:type="pct"/>
                  <w:shd w:val="clear" w:color="auto" w:fill="F2F2F2" w:themeFill="background1" w:themeFillShade="F2"/>
                  <w:vAlign w:val="center"/>
                </w:tcPr>
                <w:p w:rsidR="009A24C0" w:rsidRPr="00913E2B" w:rsidRDefault="009A24C0" w:rsidP="009A24C0">
                  <w:pPr>
                    <w:pStyle w:val="TableBodyText"/>
                    <w:ind w:right="28"/>
                  </w:pPr>
                  <w:r>
                    <w:t>-7.</w:t>
                  </w:r>
                  <w:r w:rsidR="008F55DC">
                    <w:t>362</w:t>
                  </w:r>
                </w:p>
              </w:tc>
            </w:tr>
            <w:tr w:rsidR="009A24C0" w:rsidRPr="00913E2B" w:rsidTr="008F55DC">
              <w:tc>
                <w:tcPr>
                  <w:tcW w:w="1551" w:type="pct"/>
                  <w:shd w:val="clear" w:color="auto" w:fill="F2F2F2" w:themeFill="background1" w:themeFillShade="F2"/>
                  <w:vAlign w:val="center"/>
                </w:tcPr>
                <w:p w:rsidR="009A24C0" w:rsidRPr="00913E2B" w:rsidRDefault="009A24C0" w:rsidP="009A24C0">
                  <w:pPr>
                    <w:pStyle w:val="TableUnitsRow"/>
                    <w:jc w:val="left"/>
                  </w:pPr>
                </w:p>
              </w:tc>
              <w:tc>
                <w:tcPr>
                  <w:tcW w:w="982" w:type="pct"/>
                  <w:shd w:val="clear" w:color="auto" w:fill="F2F2F2" w:themeFill="background1" w:themeFillShade="F2"/>
                  <w:vAlign w:val="center"/>
                </w:tcPr>
                <w:p w:rsidR="009A24C0" w:rsidRPr="00913E2B" w:rsidRDefault="009A24C0" w:rsidP="009A24C0">
                  <w:pPr>
                    <w:pStyle w:val="TableBodyText"/>
                  </w:pPr>
                  <w:r>
                    <w:t>(12.</w:t>
                  </w:r>
                  <w:r w:rsidR="008F55DC">
                    <w:t>127</w:t>
                  </w:r>
                  <w:r>
                    <w:t>)</w:t>
                  </w:r>
                </w:p>
              </w:tc>
              <w:tc>
                <w:tcPr>
                  <w:tcW w:w="801" w:type="pct"/>
                  <w:shd w:val="clear" w:color="auto" w:fill="F2F2F2" w:themeFill="background1" w:themeFillShade="F2"/>
                  <w:vAlign w:val="center"/>
                </w:tcPr>
                <w:p w:rsidR="009A24C0" w:rsidRDefault="009A24C0" w:rsidP="009A24C0">
                  <w:pPr>
                    <w:pStyle w:val="TableBodyText"/>
                  </w:pPr>
                  <w:r>
                    <w:t>(1.</w:t>
                  </w:r>
                  <w:r w:rsidR="008F55DC">
                    <w:t>576</w:t>
                  </w:r>
                  <w:r>
                    <w:t>)</w:t>
                  </w:r>
                </w:p>
              </w:tc>
              <w:tc>
                <w:tcPr>
                  <w:tcW w:w="858" w:type="pct"/>
                  <w:shd w:val="clear" w:color="auto" w:fill="F2F2F2" w:themeFill="background1" w:themeFillShade="F2"/>
                  <w:vAlign w:val="center"/>
                </w:tcPr>
                <w:p w:rsidR="009A24C0" w:rsidRPr="00913E2B" w:rsidRDefault="009A24C0" w:rsidP="009A24C0">
                  <w:pPr>
                    <w:pStyle w:val="TableBodyText"/>
                  </w:pPr>
                  <w:r>
                    <w:t>(3.</w:t>
                  </w:r>
                  <w:r w:rsidR="008F55DC">
                    <w:t>609</w:t>
                  </w:r>
                  <w:r>
                    <w:t>)</w:t>
                  </w:r>
                </w:p>
              </w:tc>
              <w:tc>
                <w:tcPr>
                  <w:tcW w:w="808" w:type="pct"/>
                  <w:shd w:val="clear" w:color="auto" w:fill="F2F2F2" w:themeFill="background1" w:themeFillShade="F2"/>
                  <w:vAlign w:val="center"/>
                </w:tcPr>
                <w:p w:rsidR="009A24C0" w:rsidRPr="00913E2B" w:rsidRDefault="009A24C0" w:rsidP="009A24C0">
                  <w:pPr>
                    <w:pStyle w:val="TableBodyText"/>
                    <w:ind w:right="28"/>
                  </w:pPr>
                  <w:r>
                    <w:t>(11.</w:t>
                  </w:r>
                  <w:r w:rsidR="008F55DC">
                    <w:t>171</w:t>
                  </w:r>
                  <w:r>
                    <w:t>)</w:t>
                  </w:r>
                </w:p>
              </w:tc>
            </w:tr>
            <w:tr w:rsidR="009A24C0" w:rsidRPr="00913E2B" w:rsidTr="008F55DC">
              <w:tc>
                <w:tcPr>
                  <w:tcW w:w="1551" w:type="pct"/>
                  <w:shd w:val="clear" w:color="auto" w:fill="auto"/>
                </w:tcPr>
                <w:p w:rsidR="009A24C0" w:rsidRPr="00913E2B" w:rsidRDefault="009A24C0" w:rsidP="009A24C0">
                  <w:pPr>
                    <w:pStyle w:val="TableUnitsRow"/>
                    <w:jc w:val="left"/>
                  </w:pPr>
                </w:p>
              </w:tc>
              <w:tc>
                <w:tcPr>
                  <w:tcW w:w="982" w:type="pct"/>
                </w:tcPr>
                <w:p w:rsidR="009A24C0" w:rsidRPr="00913E2B" w:rsidRDefault="009A24C0" w:rsidP="009A24C0">
                  <w:pPr>
                    <w:pStyle w:val="TableBodyText"/>
                  </w:pPr>
                </w:p>
              </w:tc>
              <w:tc>
                <w:tcPr>
                  <w:tcW w:w="801" w:type="pct"/>
                </w:tcPr>
                <w:p w:rsidR="009A24C0" w:rsidRPr="00913E2B" w:rsidRDefault="009A24C0" w:rsidP="009A24C0">
                  <w:pPr>
                    <w:pStyle w:val="TableBodyText"/>
                  </w:pPr>
                </w:p>
              </w:tc>
              <w:tc>
                <w:tcPr>
                  <w:tcW w:w="858" w:type="pct"/>
                  <w:shd w:val="clear" w:color="auto" w:fill="auto"/>
                </w:tcPr>
                <w:p w:rsidR="009A24C0" w:rsidRPr="00913E2B" w:rsidRDefault="009A24C0" w:rsidP="009A24C0">
                  <w:pPr>
                    <w:pStyle w:val="TableBodyText"/>
                  </w:pPr>
                </w:p>
              </w:tc>
              <w:tc>
                <w:tcPr>
                  <w:tcW w:w="808" w:type="pct"/>
                  <w:shd w:val="clear" w:color="auto" w:fill="auto"/>
                </w:tcPr>
                <w:p w:rsidR="009A24C0" w:rsidRPr="00913E2B" w:rsidRDefault="009A24C0" w:rsidP="009A24C0">
                  <w:pPr>
                    <w:pStyle w:val="TableBodyText"/>
                    <w:ind w:right="28"/>
                  </w:pPr>
                </w:p>
              </w:tc>
            </w:tr>
            <w:tr w:rsidR="009A24C0" w:rsidRPr="00913E2B" w:rsidTr="008F55DC">
              <w:tc>
                <w:tcPr>
                  <w:tcW w:w="1551" w:type="pct"/>
                  <w:vAlign w:val="center"/>
                </w:tcPr>
                <w:p w:rsidR="009A24C0" w:rsidRPr="00913E2B" w:rsidRDefault="009A24C0" w:rsidP="009A24C0">
                  <w:pPr>
                    <w:pStyle w:val="TableUnitsRow"/>
                    <w:jc w:val="left"/>
                  </w:pPr>
                  <m:oMathPara>
                    <m:oMathParaPr>
                      <m:jc m:val="left"/>
                    </m:oMathParaPr>
                    <m:oMath>
                      <m:r>
                        <w:rPr>
                          <w:rFonts w:ascii="Cambria Math" w:hAnsi="Cambria Math"/>
                        </w:rPr>
                        <m:t>N</m:t>
                      </m:r>
                    </m:oMath>
                  </m:oMathPara>
                </w:p>
              </w:tc>
              <w:tc>
                <w:tcPr>
                  <w:tcW w:w="982" w:type="pct"/>
                  <w:vAlign w:val="center"/>
                </w:tcPr>
                <w:p w:rsidR="009A24C0" w:rsidRPr="00913E2B" w:rsidRDefault="009A24C0" w:rsidP="009A24C0">
                  <w:pPr>
                    <w:pStyle w:val="TableBodyText"/>
                  </w:pPr>
                  <w:r>
                    <w:t>712</w:t>
                  </w:r>
                </w:p>
              </w:tc>
              <w:tc>
                <w:tcPr>
                  <w:tcW w:w="801" w:type="pct"/>
                  <w:vAlign w:val="center"/>
                </w:tcPr>
                <w:p w:rsidR="009A24C0" w:rsidRDefault="009A24C0" w:rsidP="009A24C0">
                  <w:pPr>
                    <w:pStyle w:val="TableBodyText"/>
                  </w:pPr>
                  <w:r>
                    <w:t>712</w:t>
                  </w:r>
                </w:p>
              </w:tc>
              <w:tc>
                <w:tcPr>
                  <w:tcW w:w="858" w:type="pct"/>
                  <w:vAlign w:val="center"/>
                </w:tcPr>
                <w:p w:rsidR="009A24C0" w:rsidRPr="00913E2B" w:rsidRDefault="009A24C0" w:rsidP="009A24C0">
                  <w:pPr>
                    <w:pStyle w:val="TableBodyText"/>
                  </w:pPr>
                  <w:r>
                    <w:t>712</w:t>
                  </w:r>
                </w:p>
              </w:tc>
              <w:tc>
                <w:tcPr>
                  <w:tcW w:w="808" w:type="pct"/>
                  <w:vAlign w:val="center"/>
                </w:tcPr>
                <w:p w:rsidR="009A24C0" w:rsidRPr="00913E2B" w:rsidRDefault="009A24C0" w:rsidP="009A24C0">
                  <w:pPr>
                    <w:pStyle w:val="TableBodyText"/>
                    <w:ind w:right="28"/>
                  </w:pPr>
                  <w:r>
                    <w:t>712</w:t>
                  </w:r>
                </w:p>
              </w:tc>
            </w:tr>
            <w:tr w:rsidR="009A24C0" w:rsidRPr="00913E2B" w:rsidTr="008F55DC">
              <w:tc>
                <w:tcPr>
                  <w:tcW w:w="1551" w:type="pct"/>
                  <w:vAlign w:val="center"/>
                </w:tcPr>
                <w:p w:rsidR="009A24C0" w:rsidRPr="00913E2B" w:rsidRDefault="001F492C" w:rsidP="009A24C0">
                  <w:pPr>
                    <w:pStyle w:val="TableUnitsRow"/>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982" w:type="pct"/>
                  <w:vAlign w:val="center"/>
                </w:tcPr>
                <w:p w:rsidR="009A24C0" w:rsidRPr="00913E2B" w:rsidRDefault="009A24C0" w:rsidP="009A24C0">
                  <w:pPr>
                    <w:pStyle w:val="TableBodyText"/>
                  </w:pPr>
                  <w:r>
                    <w:t>0.303</w:t>
                  </w:r>
                </w:p>
              </w:tc>
              <w:tc>
                <w:tcPr>
                  <w:tcW w:w="801" w:type="pct"/>
                  <w:vAlign w:val="center"/>
                </w:tcPr>
                <w:p w:rsidR="009A24C0" w:rsidRDefault="009A24C0" w:rsidP="009A24C0">
                  <w:pPr>
                    <w:pStyle w:val="TableBodyText"/>
                  </w:pPr>
                  <w:r>
                    <w:t>0.</w:t>
                  </w:r>
                  <w:r w:rsidR="008F55DC">
                    <w:t>461</w:t>
                  </w:r>
                </w:p>
              </w:tc>
              <w:tc>
                <w:tcPr>
                  <w:tcW w:w="858" w:type="pct"/>
                  <w:vAlign w:val="center"/>
                </w:tcPr>
                <w:p w:rsidR="009A24C0" w:rsidRPr="00913E2B" w:rsidRDefault="009A24C0" w:rsidP="009A24C0">
                  <w:pPr>
                    <w:pStyle w:val="TableBodyText"/>
                  </w:pPr>
                  <w:r>
                    <w:t>0.273</w:t>
                  </w:r>
                </w:p>
              </w:tc>
              <w:tc>
                <w:tcPr>
                  <w:tcW w:w="808" w:type="pct"/>
                  <w:vAlign w:val="center"/>
                </w:tcPr>
                <w:p w:rsidR="009A24C0" w:rsidRPr="00913E2B" w:rsidRDefault="009A24C0" w:rsidP="009A24C0">
                  <w:pPr>
                    <w:pStyle w:val="TableBodyText"/>
                    <w:ind w:right="28"/>
                  </w:pPr>
                  <w:r>
                    <w:t>0.090</w:t>
                  </w:r>
                </w:p>
              </w:tc>
            </w:tr>
            <w:tr w:rsidR="009A24C0" w:rsidTr="008F55DC">
              <w:tc>
                <w:tcPr>
                  <w:tcW w:w="1551" w:type="pct"/>
                  <w:shd w:val="clear" w:color="auto" w:fill="auto"/>
                </w:tcPr>
                <w:p w:rsidR="009A24C0" w:rsidRDefault="009A24C0" w:rsidP="009A24C0">
                  <w:pPr>
                    <w:pStyle w:val="TableBodyText"/>
                    <w:jc w:val="left"/>
                  </w:pPr>
                  <w:r>
                    <w:t xml:space="preserve">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982" w:type="pct"/>
                  <w:vAlign w:val="center"/>
                </w:tcPr>
                <w:p w:rsidR="009A24C0" w:rsidRDefault="009A24C0" w:rsidP="009A24C0">
                  <w:pPr>
                    <w:pStyle w:val="TableBodyText"/>
                  </w:pPr>
                  <w:r>
                    <w:t>0.</w:t>
                  </w:r>
                  <w:r w:rsidR="008F55DC">
                    <w:t>292</w:t>
                  </w:r>
                </w:p>
              </w:tc>
              <w:tc>
                <w:tcPr>
                  <w:tcW w:w="801" w:type="pct"/>
                  <w:vAlign w:val="center"/>
                </w:tcPr>
                <w:p w:rsidR="009A24C0" w:rsidRDefault="009A24C0" w:rsidP="009A24C0">
                  <w:pPr>
                    <w:pStyle w:val="TableBodyText"/>
                  </w:pPr>
                  <w:r>
                    <w:t>0.</w:t>
                  </w:r>
                  <w:r w:rsidR="008F55DC">
                    <w:t>453</w:t>
                  </w:r>
                </w:p>
              </w:tc>
              <w:tc>
                <w:tcPr>
                  <w:tcW w:w="858" w:type="pct"/>
                  <w:shd w:val="clear" w:color="auto" w:fill="auto"/>
                  <w:vAlign w:val="center"/>
                </w:tcPr>
                <w:p w:rsidR="009A24C0" w:rsidRDefault="009A24C0" w:rsidP="009A24C0">
                  <w:pPr>
                    <w:pStyle w:val="TableBodyText"/>
                  </w:pPr>
                  <w:r>
                    <w:t>0.</w:t>
                  </w:r>
                  <w:r w:rsidR="008F55DC">
                    <w:t>261</w:t>
                  </w:r>
                </w:p>
              </w:tc>
              <w:tc>
                <w:tcPr>
                  <w:tcW w:w="808" w:type="pct"/>
                  <w:shd w:val="clear" w:color="auto" w:fill="auto"/>
                  <w:vAlign w:val="center"/>
                </w:tcPr>
                <w:p w:rsidR="009A24C0" w:rsidRDefault="009A24C0" w:rsidP="009A24C0">
                  <w:pPr>
                    <w:pStyle w:val="TableBodyText"/>
                    <w:ind w:right="28"/>
                  </w:pPr>
                  <w:r>
                    <w:t>0.</w:t>
                  </w:r>
                  <w:r w:rsidR="008F55DC">
                    <w:t>075</w:t>
                  </w:r>
                </w:p>
              </w:tc>
            </w:tr>
            <w:tr w:rsidR="009A24C0" w:rsidTr="008F55DC">
              <w:tc>
                <w:tcPr>
                  <w:tcW w:w="1551" w:type="pct"/>
                  <w:tcBorders>
                    <w:bottom w:val="single" w:sz="6" w:space="0" w:color="BFBFBF"/>
                  </w:tcBorders>
                  <w:shd w:val="clear" w:color="auto" w:fill="auto"/>
                </w:tcPr>
                <w:p w:rsidR="009A24C0" w:rsidRPr="009630EE" w:rsidRDefault="009A24C0" w:rsidP="009A24C0">
                  <w:pPr>
                    <w:pStyle w:val="TableBodyText"/>
                    <w:jc w:val="left"/>
                    <w:rPr>
                      <w:i/>
                    </w:rPr>
                  </w:pPr>
                  <w:r w:rsidRPr="009630EE">
                    <w:rPr>
                      <w:i/>
                    </w:rPr>
                    <w:t>F</w:t>
                  </w:r>
                </w:p>
              </w:tc>
              <w:tc>
                <w:tcPr>
                  <w:tcW w:w="982" w:type="pct"/>
                  <w:tcBorders>
                    <w:bottom w:val="single" w:sz="6" w:space="0" w:color="BFBFBF"/>
                  </w:tcBorders>
                  <w:vAlign w:val="center"/>
                </w:tcPr>
                <w:p w:rsidR="009A24C0" w:rsidRDefault="009A24C0" w:rsidP="009A24C0">
                  <w:pPr>
                    <w:pStyle w:val="TableBodyText"/>
                  </w:pPr>
                  <w:r>
                    <w:t>19.686***</w:t>
                  </w:r>
                </w:p>
              </w:tc>
              <w:tc>
                <w:tcPr>
                  <w:tcW w:w="801" w:type="pct"/>
                  <w:tcBorders>
                    <w:bottom w:val="single" w:sz="6" w:space="0" w:color="BFBFBF"/>
                  </w:tcBorders>
                  <w:vAlign w:val="center"/>
                </w:tcPr>
                <w:p w:rsidR="009A24C0" w:rsidRDefault="009A24C0" w:rsidP="009A24C0">
                  <w:pPr>
                    <w:pStyle w:val="TableBodyText"/>
                  </w:pPr>
                  <w:r>
                    <w:t>20.587***</w:t>
                  </w:r>
                </w:p>
              </w:tc>
              <w:tc>
                <w:tcPr>
                  <w:tcW w:w="858" w:type="pct"/>
                  <w:tcBorders>
                    <w:bottom w:val="single" w:sz="6" w:space="0" w:color="BFBFBF"/>
                  </w:tcBorders>
                  <w:shd w:val="clear" w:color="auto" w:fill="auto"/>
                  <w:vAlign w:val="center"/>
                </w:tcPr>
                <w:p w:rsidR="009A24C0" w:rsidRDefault="009A24C0" w:rsidP="009A24C0">
                  <w:pPr>
                    <w:pStyle w:val="TableBodyText"/>
                  </w:pPr>
                  <w:r>
                    <w:t>24.36***</w:t>
                  </w:r>
                </w:p>
              </w:tc>
              <w:tc>
                <w:tcPr>
                  <w:tcW w:w="808" w:type="pct"/>
                  <w:tcBorders>
                    <w:bottom w:val="single" w:sz="6" w:space="0" w:color="BFBFBF"/>
                  </w:tcBorders>
                  <w:shd w:val="clear" w:color="auto" w:fill="auto"/>
                  <w:vAlign w:val="center"/>
                </w:tcPr>
                <w:p w:rsidR="009A24C0" w:rsidRDefault="009A24C0" w:rsidP="009A24C0">
                  <w:pPr>
                    <w:pStyle w:val="TableBodyText"/>
                    <w:ind w:right="28"/>
                  </w:pPr>
                  <w:r>
                    <w:t>8.1861***</w:t>
                  </w:r>
                </w:p>
              </w:tc>
            </w:tr>
          </w:tbl>
          <w:p w:rsidR="009A24C0" w:rsidRDefault="009A24C0" w:rsidP="009A24C0">
            <w:pPr>
              <w:pStyle w:val="Box"/>
            </w:pPr>
          </w:p>
        </w:tc>
      </w:tr>
      <w:tr w:rsidR="009A24C0" w:rsidTr="009A24C0">
        <w:tc>
          <w:tcPr>
            <w:tcW w:w="5000" w:type="pct"/>
            <w:tcBorders>
              <w:top w:val="nil"/>
              <w:left w:val="nil"/>
              <w:bottom w:val="nil"/>
              <w:right w:val="nil"/>
            </w:tcBorders>
            <w:shd w:val="clear" w:color="auto" w:fill="auto"/>
          </w:tcPr>
          <w:p w:rsidR="009A24C0" w:rsidRDefault="009A24C0" w:rsidP="009A24C0">
            <w:pPr>
              <w:pStyle w:val="Note"/>
              <w:rPr>
                <w:i/>
              </w:rPr>
            </w:pPr>
            <w:r w:rsidRPr="008E77FE">
              <w:rPr>
                <w:rStyle w:val="NoteLabel"/>
              </w:rPr>
              <w:t>a</w:t>
            </w:r>
            <w:r>
              <w:t xml:space="preserve"> Time fixed effects</w:t>
            </w:r>
            <w:r>
              <w:rPr>
                <w:szCs w:val="18"/>
              </w:rPr>
              <w:t xml:space="preserve"> </w:t>
            </w:r>
            <w:r>
              <w:t>are used and standard errors are clustered by fund.</w:t>
            </w:r>
            <w:r>
              <w:rPr>
                <w:szCs w:val="18"/>
              </w:rPr>
              <w:t xml:space="preserve"> </w:t>
            </w:r>
            <w:r w:rsidRPr="00132196">
              <w:rPr>
                <w:szCs w:val="18"/>
              </w:rPr>
              <w:t xml:space="preserve">The reference fund type is </w:t>
            </w:r>
            <w:r w:rsidR="00F640C8">
              <w:rPr>
                <w:szCs w:val="18"/>
              </w:rPr>
              <w:t>‘</w:t>
            </w:r>
            <w:r w:rsidRPr="00132196">
              <w:rPr>
                <w:szCs w:val="18"/>
              </w:rPr>
              <w:t>Corporate</w:t>
            </w:r>
            <w:r w:rsidR="00F640C8">
              <w:rPr>
                <w:szCs w:val="18"/>
              </w:rPr>
              <w:t>’</w:t>
            </w:r>
            <w:r w:rsidRPr="00132196">
              <w:rPr>
                <w:szCs w:val="18"/>
              </w:rPr>
              <w:t>.</w:t>
            </w:r>
            <w:r>
              <w:t xml:space="preserve"> Lambda is the coefficient for the survival correction term. Standard errors in parentheses. </w:t>
            </w:r>
            <w:r w:rsidRPr="00132196">
              <w:rPr>
                <w:szCs w:val="18"/>
                <w:vertAlign w:val="superscript"/>
              </w:rPr>
              <w:t>***</w:t>
            </w:r>
            <w:r w:rsidRPr="00132196">
              <w:rPr>
                <w:szCs w:val="18"/>
              </w:rPr>
              <w:t xml:space="preserve">Significant at the 1 per cent level. </w:t>
            </w:r>
            <w:r w:rsidRPr="00132196">
              <w:rPr>
                <w:szCs w:val="18"/>
                <w:vertAlign w:val="superscript"/>
              </w:rPr>
              <w:t>**</w:t>
            </w:r>
            <w:r w:rsidRPr="00132196">
              <w:rPr>
                <w:szCs w:val="18"/>
              </w:rPr>
              <w:t xml:space="preserve">Significant at the 5 per cent level. </w:t>
            </w:r>
            <w:r w:rsidRPr="00132196">
              <w:rPr>
                <w:szCs w:val="18"/>
                <w:vertAlign w:val="superscript"/>
              </w:rPr>
              <w:t>*</w:t>
            </w:r>
            <w:r w:rsidRPr="00132196">
              <w:rPr>
                <w:szCs w:val="18"/>
              </w:rPr>
              <w:t>Significant at the 10 per cent level.</w:t>
            </w:r>
          </w:p>
        </w:tc>
      </w:tr>
      <w:tr w:rsidR="009A24C0" w:rsidTr="009A24C0">
        <w:tc>
          <w:tcPr>
            <w:tcW w:w="5000" w:type="pct"/>
            <w:tcBorders>
              <w:top w:val="nil"/>
              <w:left w:val="nil"/>
              <w:bottom w:val="nil"/>
              <w:right w:val="nil"/>
            </w:tcBorders>
            <w:shd w:val="clear" w:color="auto" w:fill="auto"/>
          </w:tcPr>
          <w:p w:rsidR="009A24C0" w:rsidRDefault="009A24C0" w:rsidP="009A24C0">
            <w:pPr>
              <w:pStyle w:val="Source"/>
            </w:pPr>
            <w:r w:rsidRPr="00F1457E">
              <w:rPr>
                <w:i/>
              </w:rPr>
              <w:t>Source</w:t>
            </w:r>
            <w:r w:rsidRPr="00F1457E">
              <w:t xml:space="preserve">: </w:t>
            </w:r>
            <w:r>
              <w:rPr>
                <w:rFonts w:eastAsia="+mn-ea" w:cs="Arial"/>
                <w:color w:val="000000" w:themeColor="text1"/>
                <w:kern w:val="24"/>
                <w:szCs w:val="18"/>
              </w:rPr>
              <w:t>PC analysis of APRA privacy-unmasked data (</w:t>
            </w:r>
            <w:r w:rsidRPr="00481B71">
              <w:rPr>
                <w:rFonts w:eastAsia="+mn-ea" w:cs="Arial"/>
                <w:color w:val="000000" w:themeColor="text1"/>
                <w:kern w:val="24"/>
                <w:szCs w:val="18"/>
              </w:rPr>
              <w:t>2014</w:t>
            </w:r>
            <w:r w:rsidRPr="00F1457E">
              <w:rPr>
                <w:rFonts w:eastAsia="+mn-ea" w:cs="Arial"/>
                <w:color w:val="000000" w:themeColor="text1"/>
                <w:kern w:val="24"/>
                <w:szCs w:val="18"/>
              </w:rPr>
              <w:t>–17)</w:t>
            </w:r>
            <w:r>
              <w:rPr>
                <w:rFonts w:eastAsia="+mn-ea" w:cs="Arial"/>
                <w:color w:val="000000" w:themeColor="text1"/>
                <w:kern w:val="24"/>
                <w:szCs w:val="18"/>
              </w:rPr>
              <w:t>.</w:t>
            </w:r>
          </w:p>
        </w:tc>
      </w:tr>
      <w:tr w:rsidR="009A24C0" w:rsidTr="009A24C0">
        <w:tc>
          <w:tcPr>
            <w:tcW w:w="5000" w:type="pct"/>
            <w:tcBorders>
              <w:top w:val="nil"/>
              <w:left w:val="nil"/>
              <w:bottom w:val="single" w:sz="6" w:space="0" w:color="78A22F"/>
              <w:right w:val="nil"/>
            </w:tcBorders>
            <w:shd w:val="clear" w:color="auto" w:fill="auto"/>
          </w:tcPr>
          <w:p w:rsidR="009A24C0" w:rsidRDefault="009A24C0" w:rsidP="009A24C0">
            <w:pPr>
              <w:pStyle w:val="Box"/>
              <w:spacing w:before="0" w:line="120" w:lineRule="exact"/>
            </w:pPr>
          </w:p>
        </w:tc>
      </w:tr>
      <w:tr w:rsidR="009A24C0" w:rsidRPr="000863A5" w:rsidTr="009A24C0">
        <w:trPr>
          <w:trHeight w:val="53"/>
        </w:trPr>
        <w:tc>
          <w:tcPr>
            <w:tcW w:w="5000" w:type="pct"/>
            <w:tcBorders>
              <w:top w:val="single" w:sz="6" w:space="0" w:color="78A22F"/>
              <w:left w:val="nil"/>
              <w:bottom w:val="nil"/>
              <w:right w:val="nil"/>
            </w:tcBorders>
          </w:tcPr>
          <w:p w:rsidR="009A24C0" w:rsidRPr="00626D32" w:rsidRDefault="009A24C0" w:rsidP="009A24C0">
            <w:pPr>
              <w:pStyle w:val="BoxSpaceBelow"/>
            </w:pPr>
          </w:p>
        </w:tc>
      </w:tr>
    </w:tbl>
    <w:p w:rsidR="009A24C0" w:rsidRDefault="009A24C0" w:rsidP="009A24C0">
      <w:pPr>
        <w:rPr>
          <w:szCs w:val="20"/>
        </w:rPr>
      </w:pPr>
    </w:p>
    <w:p w:rsidR="009A24C0" w:rsidRDefault="009A24C0" w:rsidP="009A24C0">
      <w:pPr>
        <w:rPr>
          <w:szCs w:val="20"/>
        </w:rPr>
      </w:pPr>
      <w:r>
        <w:rPr>
          <w:szCs w:val="20"/>
        </w:rPr>
        <w:br w:type="page"/>
      </w:r>
    </w:p>
    <w:p w:rsidR="009A24C0" w:rsidRDefault="009A24C0" w:rsidP="009A24C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A24C0" w:rsidTr="009A24C0">
        <w:trPr>
          <w:tblHeader/>
        </w:trPr>
        <w:tc>
          <w:tcPr>
            <w:tcW w:w="5000" w:type="pct"/>
            <w:tcBorders>
              <w:top w:val="single" w:sz="6" w:space="0" w:color="78A22F"/>
              <w:left w:val="nil"/>
              <w:bottom w:val="nil"/>
              <w:right w:val="nil"/>
            </w:tcBorders>
            <w:shd w:val="clear" w:color="auto" w:fill="auto"/>
          </w:tcPr>
          <w:p w:rsidR="009A24C0" w:rsidRPr="00F1457E" w:rsidRDefault="009A24C0" w:rsidP="009A24C0">
            <w:pPr>
              <w:pStyle w:val="TableTitle"/>
              <w:rPr>
                <w:spacing w:val="-2"/>
              </w:rPr>
            </w:pPr>
            <w:r>
              <w:rPr>
                <w:b w:val="0"/>
              </w:rPr>
              <w:t>Table G.4</w:t>
            </w:r>
            <w:r>
              <w:tab/>
            </w:r>
            <w:r>
              <w:rPr>
                <w:spacing w:val="-2"/>
              </w:rPr>
              <w:t>Panel</w:t>
            </w:r>
            <w:r w:rsidRPr="00F1457E">
              <w:rPr>
                <w:spacing w:val="-2"/>
              </w:rPr>
              <w:t xml:space="preserve"> regression: </w:t>
            </w:r>
            <w:r w:rsidR="00D52838">
              <w:rPr>
                <w:spacing w:val="-2"/>
              </w:rPr>
              <w:t>annual</w:t>
            </w:r>
            <w:r w:rsidRPr="00F1457E">
              <w:rPr>
                <w:spacing w:val="-2"/>
              </w:rPr>
              <w:t xml:space="preserve"> net returns and </w:t>
            </w:r>
            <w:r w:rsidR="00D52838">
              <w:t>benchmark adjusted returns</w:t>
            </w:r>
          </w:p>
          <w:p w:rsidR="009A24C0" w:rsidRPr="00784A05" w:rsidRDefault="009A24C0" w:rsidP="009A24C0">
            <w:pPr>
              <w:pStyle w:val="Subtitle"/>
            </w:pPr>
            <w:r>
              <w:t>2014 to 2017</w:t>
            </w:r>
          </w:p>
        </w:tc>
      </w:tr>
      <w:tr w:rsidR="009A24C0" w:rsidTr="009A24C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02"/>
              <w:gridCol w:w="1471"/>
              <w:gridCol w:w="1866"/>
              <w:gridCol w:w="1866"/>
            </w:tblGrid>
            <w:tr w:rsidR="009A24C0" w:rsidTr="009A24C0">
              <w:trPr>
                <w:tblHeader/>
              </w:trPr>
              <w:tc>
                <w:tcPr>
                  <w:tcW w:w="1941" w:type="pct"/>
                  <w:tcBorders>
                    <w:top w:val="single" w:sz="6" w:space="0" w:color="BFBFBF"/>
                    <w:bottom w:val="single" w:sz="6" w:space="0" w:color="BFBFBF"/>
                  </w:tcBorders>
                  <w:shd w:val="clear" w:color="auto" w:fill="auto"/>
                  <w:tcMar>
                    <w:top w:w="28" w:type="dxa"/>
                  </w:tcMar>
                </w:tcPr>
                <w:p w:rsidR="009A24C0" w:rsidRDefault="009A24C0" w:rsidP="009A24C0">
                  <w:pPr>
                    <w:pStyle w:val="TableColumnHeading"/>
                    <w:jc w:val="left"/>
                  </w:pPr>
                </w:p>
              </w:tc>
              <w:tc>
                <w:tcPr>
                  <w:tcW w:w="1962" w:type="pct"/>
                  <w:gridSpan w:val="2"/>
                  <w:tcBorders>
                    <w:top w:val="single" w:sz="6" w:space="0" w:color="BFBFBF"/>
                    <w:bottom w:val="single" w:sz="6" w:space="0" w:color="BFBFBF"/>
                  </w:tcBorders>
                  <w:shd w:val="clear" w:color="auto" w:fill="auto"/>
                  <w:tcMar>
                    <w:top w:w="28" w:type="dxa"/>
                  </w:tcMar>
                </w:tcPr>
                <w:p w:rsidR="009A24C0" w:rsidRDefault="00333D50" w:rsidP="00333D50">
                  <w:pPr>
                    <w:pStyle w:val="TableColumnHeading"/>
                    <w:jc w:val="center"/>
                  </w:pPr>
                  <w:r>
                    <w:t>Annual net return</w:t>
                  </w:r>
                </w:p>
              </w:tc>
              <w:tc>
                <w:tcPr>
                  <w:tcW w:w="1097" w:type="pct"/>
                  <w:tcBorders>
                    <w:top w:val="single" w:sz="6" w:space="0" w:color="BFBFBF"/>
                    <w:bottom w:val="single" w:sz="6" w:space="0" w:color="BFBFBF"/>
                  </w:tcBorders>
                </w:tcPr>
                <w:p w:rsidR="009A24C0" w:rsidRDefault="00D52838" w:rsidP="009A24C0">
                  <w:pPr>
                    <w:pStyle w:val="TableColumnHeading"/>
                    <w:ind w:right="28"/>
                  </w:pPr>
                  <w:r>
                    <w:t>Benchmark adjusted return</w:t>
                  </w:r>
                </w:p>
              </w:tc>
            </w:tr>
            <w:tr w:rsidR="009A24C0" w:rsidRPr="00913E2B" w:rsidTr="009A24C0">
              <w:tc>
                <w:tcPr>
                  <w:tcW w:w="1941" w:type="pct"/>
                  <w:tcBorders>
                    <w:top w:val="single" w:sz="6" w:space="0" w:color="BFBFBF"/>
                  </w:tcBorders>
                </w:tcPr>
                <w:p w:rsidR="009A24C0" w:rsidRPr="00913E2B" w:rsidRDefault="009A24C0" w:rsidP="009A24C0">
                  <w:pPr>
                    <w:pStyle w:val="TableUnitsRow"/>
                    <w:jc w:val="left"/>
                  </w:pPr>
                  <w:r>
                    <w:t>Net assets</w:t>
                  </w:r>
                </w:p>
              </w:tc>
              <w:tc>
                <w:tcPr>
                  <w:tcW w:w="865" w:type="pct"/>
                  <w:vAlign w:val="center"/>
                </w:tcPr>
                <w:p w:rsidR="009A24C0" w:rsidRPr="00913E2B" w:rsidRDefault="009A24C0" w:rsidP="009A24C0">
                  <w:pPr>
                    <w:pStyle w:val="TableBodyText"/>
                  </w:pPr>
                  <w:r>
                    <w:t>0.200</w:t>
                  </w:r>
                  <w:r>
                    <w:rPr>
                      <w:vertAlign w:val="superscript"/>
                    </w:rPr>
                    <w:t>**</w:t>
                  </w:r>
                </w:p>
              </w:tc>
              <w:tc>
                <w:tcPr>
                  <w:tcW w:w="1097" w:type="pct"/>
                  <w:vAlign w:val="center"/>
                </w:tcPr>
                <w:p w:rsidR="009A24C0" w:rsidRPr="00913E2B" w:rsidRDefault="009A24C0" w:rsidP="009A24C0">
                  <w:pPr>
                    <w:pStyle w:val="TableBodyText"/>
                    <w:ind w:right="28"/>
                  </w:pPr>
                  <w:r>
                    <w:t>0.071</w:t>
                  </w:r>
                </w:p>
              </w:tc>
              <w:tc>
                <w:tcPr>
                  <w:tcW w:w="1097" w:type="pct"/>
                  <w:vAlign w:val="center"/>
                </w:tcPr>
                <w:p w:rsidR="009A24C0" w:rsidRPr="00D837F4" w:rsidRDefault="009A24C0" w:rsidP="009A24C0">
                  <w:pPr>
                    <w:pStyle w:val="TableBodyText"/>
                    <w:ind w:right="28"/>
                  </w:pPr>
                  <w:r>
                    <w:t>0.062</w:t>
                  </w:r>
                </w:p>
              </w:tc>
            </w:tr>
            <w:tr w:rsidR="009A24C0" w:rsidRPr="00913E2B" w:rsidTr="009A24C0">
              <w:tc>
                <w:tcPr>
                  <w:tcW w:w="1941" w:type="pct"/>
                </w:tcPr>
                <w:p w:rsidR="009A24C0" w:rsidRPr="00913E2B" w:rsidRDefault="009A24C0" w:rsidP="009A24C0">
                  <w:pPr>
                    <w:pStyle w:val="TableBodyText"/>
                    <w:jc w:val="left"/>
                  </w:pPr>
                </w:p>
              </w:tc>
              <w:tc>
                <w:tcPr>
                  <w:tcW w:w="865" w:type="pct"/>
                  <w:vAlign w:val="center"/>
                </w:tcPr>
                <w:p w:rsidR="009A24C0" w:rsidRPr="00913E2B" w:rsidRDefault="009A24C0" w:rsidP="009A24C0">
                  <w:pPr>
                    <w:pStyle w:val="TableBodyText"/>
                  </w:pPr>
                  <w:r>
                    <w:t>(0.084)</w:t>
                  </w:r>
                </w:p>
              </w:tc>
              <w:tc>
                <w:tcPr>
                  <w:tcW w:w="1097" w:type="pct"/>
                  <w:vAlign w:val="center"/>
                </w:tcPr>
                <w:p w:rsidR="009A24C0" w:rsidRPr="00913E2B" w:rsidRDefault="009A24C0" w:rsidP="009A24C0">
                  <w:pPr>
                    <w:pStyle w:val="TableBodyText"/>
                    <w:ind w:right="28"/>
                  </w:pPr>
                  <w:r>
                    <w:t>(0.170)</w:t>
                  </w:r>
                </w:p>
              </w:tc>
              <w:tc>
                <w:tcPr>
                  <w:tcW w:w="1097" w:type="pct"/>
                  <w:vAlign w:val="center"/>
                </w:tcPr>
                <w:p w:rsidR="009A24C0" w:rsidRPr="00D837F4" w:rsidRDefault="009A24C0" w:rsidP="009A24C0">
                  <w:pPr>
                    <w:pStyle w:val="TableBodyText"/>
                    <w:ind w:right="28"/>
                  </w:pPr>
                  <w:r>
                    <w:t>(0.299)</w:t>
                  </w:r>
                </w:p>
              </w:tc>
            </w:tr>
            <w:tr w:rsidR="009A24C0" w:rsidRPr="00913E2B" w:rsidTr="009A24C0">
              <w:tc>
                <w:tcPr>
                  <w:tcW w:w="1941" w:type="pct"/>
                  <w:shd w:val="clear" w:color="auto" w:fill="F2F2F2" w:themeFill="background1" w:themeFillShade="F2"/>
                  <w:vAlign w:val="center"/>
                </w:tcPr>
                <w:p w:rsidR="009A24C0" w:rsidRPr="004F3392" w:rsidRDefault="009A24C0" w:rsidP="009A24C0">
                  <w:pPr>
                    <w:pStyle w:val="TableUnitsRow"/>
                    <w:jc w:val="left"/>
                  </w:pPr>
                  <w:r>
                    <w:t>Defensive assets (proportion)</w:t>
                  </w:r>
                </w:p>
              </w:tc>
              <w:tc>
                <w:tcPr>
                  <w:tcW w:w="865" w:type="pct"/>
                  <w:shd w:val="clear" w:color="auto" w:fill="F2F2F2" w:themeFill="background1" w:themeFillShade="F2"/>
                  <w:vAlign w:val="center"/>
                </w:tcPr>
                <w:p w:rsidR="009A24C0" w:rsidRPr="004F3392" w:rsidRDefault="009A24C0" w:rsidP="009A24C0">
                  <w:pPr>
                    <w:pStyle w:val="TableBodyText"/>
                  </w:pPr>
                  <w:r>
                    <w:t>-6.345</w:t>
                  </w:r>
                  <w:r>
                    <w:rPr>
                      <w:vertAlign w:val="superscript"/>
                    </w:rPr>
                    <w:t>***</w:t>
                  </w:r>
                </w:p>
              </w:tc>
              <w:tc>
                <w:tcPr>
                  <w:tcW w:w="1097" w:type="pct"/>
                  <w:shd w:val="clear" w:color="auto" w:fill="F2F2F2" w:themeFill="background1" w:themeFillShade="F2"/>
                  <w:vAlign w:val="center"/>
                </w:tcPr>
                <w:p w:rsidR="009A24C0" w:rsidRPr="004F3392" w:rsidRDefault="009A24C0" w:rsidP="009A24C0">
                  <w:pPr>
                    <w:pStyle w:val="TableBodyText"/>
                    <w:ind w:right="28"/>
                  </w:pPr>
                  <w:r>
                    <w:t>-5.883</w:t>
                  </w:r>
                  <w:r>
                    <w:rPr>
                      <w:vertAlign w:val="superscript"/>
                    </w:rPr>
                    <w:t>***</w:t>
                  </w:r>
                </w:p>
              </w:tc>
              <w:tc>
                <w:tcPr>
                  <w:tcW w:w="1097" w:type="pct"/>
                  <w:shd w:val="clear" w:color="auto" w:fill="F2F2F2" w:themeFill="background1" w:themeFillShade="F2"/>
                  <w:vAlign w:val="center"/>
                </w:tcPr>
                <w:p w:rsidR="009A24C0" w:rsidRPr="00D837F4" w:rsidRDefault="009A24C0" w:rsidP="009A24C0">
                  <w:pPr>
                    <w:pStyle w:val="TableBodyText"/>
                    <w:ind w:right="28"/>
                  </w:pPr>
                </w:p>
              </w:tc>
            </w:tr>
            <w:tr w:rsidR="009A24C0" w:rsidRPr="00913E2B" w:rsidTr="009A24C0">
              <w:tc>
                <w:tcPr>
                  <w:tcW w:w="1941" w:type="pct"/>
                  <w:shd w:val="clear" w:color="auto" w:fill="F2F2F2" w:themeFill="background1" w:themeFillShade="F2"/>
                  <w:vAlign w:val="center"/>
                </w:tcPr>
                <w:p w:rsidR="009A24C0" w:rsidRPr="004F3392" w:rsidRDefault="009A24C0" w:rsidP="009A24C0">
                  <w:pPr>
                    <w:pStyle w:val="TableUnitsRow"/>
                    <w:jc w:val="left"/>
                  </w:pPr>
                </w:p>
              </w:tc>
              <w:tc>
                <w:tcPr>
                  <w:tcW w:w="865" w:type="pct"/>
                  <w:shd w:val="clear" w:color="auto" w:fill="F2F2F2" w:themeFill="background1" w:themeFillShade="F2"/>
                  <w:vAlign w:val="center"/>
                </w:tcPr>
                <w:p w:rsidR="009A24C0" w:rsidRPr="004F3392" w:rsidRDefault="009A24C0" w:rsidP="009A24C0">
                  <w:pPr>
                    <w:pStyle w:val="TableBodyText"/>
                  </w:pPr>
                  <w:r>
                    <w:t>(1.089)</w:t>
                  </w:r>
                </w:p>
              </w:tc>
              <w:tc>
                <w:tcPr>
                  <w:tcW w:w="1097" w:type="pct"/>
                  <w:shd w:val="clear" w:color="auto" w:fill="F2F2F2" w:themeFill="background1" w:themeFillShade="F2"/>
                  <w:vAlign w:val="center"/>
                </w:tcPr>
                <w:p w:rsidR="009A24C0" w:rsidRPr="004F3392" w:rsidRDefault="009A24C0" w:rsidP="009A24C0">
                  <w:pPr>
                    <w:pStyle w:val="TableBodyText"/>
                    <w:ind w:right="28"/>
                  </w:pPr>
                  <w:r>
                    <w:t>(0.990)</w:t>
                  </w:r>
                </w:p>
              </w:tc>
              <w:tc>
                <w:tcPr>
                  <w:tcW w:w="1097" w:type="pct"/>
                  <w:shd w:val="clear" w:color="auto" w:fill="F2F2F2" w:themeFill="background1" w:themeFillShade="F2"/>
                  <w:vAlign w:val="center"/>
                </w:tcPr>
                <w:p w:rsidR="009A24C0" w:rsidRPr="00D837F4" w:rsidRDefault="009A24C0" w:rsidP="009A24C0">
                  <w:pPr>
                    <w:pStyle w:val="TableBodyText"/>
                    <w:ind w:right="28"/>
                  </w:pPr>
                </w:p>
              </w:tc>
            </w:tr>
            <w:tr w:rsidR="009A24C0" w:rsidRPr="00913E2B" w:rsidTr="009A24C0">
              <w:tc>
                <w:tcPr>
                  <w:tcW w:w="1941" w:type="pct"/>
                  <w:vAlign w:val="center"/>
                </w:tcPr>
                <w:p w:rsidR="009A24C0" w:rsidRPr="00913E2B" w:rsidRDefault="009A24C0" w:rsidP="009A24C0">
                  <w:pPr>
                    <w:pStyle w:val="TableUnitsRow"/>
                    <w:jc w:val="left"/>
                  </w:pPr>
                  <w:r>
                    <w:t>Unlisted infrastructure (proportion)</w:t>
                  </w:r>
                </w:p>
              </w:tc>
              <w:tc>
                <w:tcPr>
                  <w:tcW w:w="865" w:type="pct"/>
                  <w:vAlign w:val="center"/>
                </w:tcPr>
                <w:p w:rsidR="009A24C0" w:rsidRPr="00913E2B" w:rsidRDefault="009A24C0" w:rsidP="009A24C0">
                  <w:pPr>
                    <w:pStyle w:val="TableBodyText"/>
                  </w:pPr>
                  <w:r>
                    <w:t>12.069</w:t>
                  </w:r>
                  <w:r>
                    <w:rPr>
                      <w:vertAlign w:val="superscript"/>
                    </w:rPr>
                    <w:t>***</w:t>
                  </w:r>
                </w:p>
              </w:tc>
              <w:tc>
                <w:tcPr>
                  <w:tcW w:w="1097" w:type="pct"/>
                  <w:vAlign w:val="center"/>
                </w:tcPr>
                <w:p w:rsidR="009A24C0" w:rsidRPr="00913E2B" w:rsidRDefault="009A24C0" w:rsidP="009A24C0">
                  <w:pPr>
                    <w:pStyle w:val="TableBodyText"/>
                    <w:ind w:right="28"/>
                  </w:pPr>
                  <w:r>
                    <w:t>4.082</w:t>
                  </w:r>
                  <w:r>
                    <w:rPr>
                      <w:vertAlign w:val="superscript"/>
                    </w:rPr>
                    <w:t>*</w:t>
                  </w:r>
                </w:p>
              </w:tc>
              <w:tc>
                <w:tcPr>
                  <w:tcW w:w="1097" w:type="pct"/>
                  <w:vAlign w:val="center"/>
                </w:tcPr>
                <w:p w:rsidR="009A24C0" w:rsidRPr="00D837F4" w:rsidRDefault="009A24C0" w:rsidP="009A24C0">
                  <w:pPr>
                    <w:pStyle w:val="TableBodyText"/>
                    <w:ind w:right="28"/>
                  </w:pP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r>
                    <w:t>(3.462)</w:t>
                  </w:r>
                </w:p>
              </w:tc>
              <w:tc>
                <w:tcPr>
                  <w:tcW w:w="1097" w:type="pct"/>
                  <w:vAlign w:val="center"/>
                </w:tcPr>
                <w:p w:rsidR="009A24C0" w:rsidRPr="00913E2B" w:rsidRDefault="009A24C0" w:rsidP="009A24C0">
                  <w:pPr>
                    <w:pStyle w:val="TableBodyText"/>
                    <w:ind w:right="28"/>
                  </w:pPr>
                  <w:r>
                    <w:t>(2.390)</w:t>
                  </w:r>
                </w:p>
              </w:tc>
              <w:tc>
                <w:tcPr>
                  <w:tcW w:w="1097" w:type="pct"/>
                  <w:vAlign w:val="center"/>
                </w:tcPr>
                <w:p w:rsidR="009A24C0" w:rsidRPr="00D837F4" w:rsidRDefault="009A24C0" w:rsidP="009A24C0">
                  <w:pPr>
                    <w:pStyle w:val="TableBodyText"/>
                    <w:ind w:right="28"/>
                  </w:pP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Unlisted property (proportion</w:t>
                  </w:r>
                  <w:r w:rsidR="00AC602E">
                    <w:t>)</w:t>
                  </w:r>
                </w:p>
              </w:tc>
              <w:tc>
                <w:tcPr>
                  <w:tcW w:w="865" w:type="pct"/>
                  <w:shd w:val="clear" w:color="auto" w:fill="F2F2F2" w:themeFill="background1" w:themeFillShade="F2"/>
                  <w:vAlign w:val="center"/>
                </w:tcPr>
                <w:p w:rsidR="009A24C0" w:rsidRPr="00913E2B" w:rsidRDefault="009A24C0" w:rsidP="009A24C0">
                  <w:pPr>
                    <w:pStyle w:val="TableBodyText"/>
                  </w:pPr>
                  <w:r>
                    <w:t>-0.889</w:t>
                  </w:r>
                </w:p>
              </w:tc>
              <w:tc>
                <w:tcPr>
                  <w:tcW w:w="1097" w:type="pct"/>
                  <w:shd w:val="clear" w:color="auto" w:fill="F2F2F2" w:themeFill="background1" w:themeFillShade="F2"/>
                  <w:vAlign w:val="center"/>
                </w:tcPr>
                <w:p w:rsidR="009A24C0" w:rsidRPr="00913E2B" w:rsidRDefault="009A24C0" w:rsidP="009A24C0">
                  <w:pPr>
                    <w:pStyle w:val="TableBodyText"/>
                    <w:ind w:right="28"/>
                  </w:pPr>
                  <w:r>
                    <w:t>-5.538</w:t>
                  </w:r>
                </w:p>
              </w:tc>
              <w:tc>
                <w:tcPr>
                  <w:tcW w:w="1097" w:type="pct"/>
                  <w:shd w:val="clear" w:color="auto" w:fill="F2F2F2" w:themeFill="background1" w:themeFillShade="F2"/>
                  <w:vAlign w:val="center"/>
                </w:tcPr>
                <w:p w:rsidR="009A24C0" w:rsidRPr="00D837F4" w:rsidRDefault="009A24C0" w:rsidP="009A24C0">
                  <w:pPr>
                    <w:pStyle w:val="TableBodyText"/>
                    <w:ind w:right="28"/>
                  </w:pP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r>
                    <w:t>(4.152)</w:t>
                  </w:r>
                </w:p>
              </w:tc>
              <w:tc>
                <w:tcPr>
                  <w:tcW w:w="1097" w:type="pct"/>
                  <w:shd w:val="clear" w:color="auto" w:fill="F2F2F2" w:themeFill="background1" w:themeFillShade="F2"/>
                  <w:vAlign w:val="center"/>
                </w:tcPr>
                <w:p w:rsidR="009A24C0" w:rsidRPr="00913E2B" w:rsidRDefault="009A24C0" w:rsidP="009A24C0">
                  <w:pPr>
                    <w:pStyle w:val="TableBodyText"/>
                    <w:ind w:right="28"/>
                  </w:pPr>
                  <w:r>
                    <w:t>(3.392)</w:t>
                  </w:r>
                </w:p>
              </w:tc>
              <w:tc>
                <w:tcPr>
                  <w:tcW w:w="1097" w:type="pct"/>
                  <w:shd w:val="clear" w:color="auto" w:fill="F2F2F2" w:themeFill="background1" w:themeFillShade="F2"/>
                  <w:vAlign w:val="center"/>
                </w:tcPr>
                <w:p w:rsidR="009A24C0" w:rsidRPr="00D837F4" w:rsidRDefault="009A24C0" w:rsidP="009A24C0">
                  <w:pPr>
                    <w:pStyle w:val="TableBodyText"/>
                    <w:ind w:right="28"/>
                  </w:pPr>
                </w:p>
              </w:tc>
            </w:tr>
            <w:tr w:rsidR="009A24C0" w:rsidRPr="00913E2B" w:rsidTr="009A24C0">
              <w:tc>
                <w:tcPr>
                  <w:tcW w:w="1941" w:type="pct"/>
                  <w:vAlign w:val="center"/>
                </w:tcPr>
                <w:p w:rsidR="009A24C0" w:rsidRPr="00913E2B" w:rsidRDefault="009A24C0" w:rsidP="009A24C0">
                  <w:pPr>
                    <w:pStyle w:val="TableUnitsRow"/>
                    <w:jc w:val="left"/>
                  </w:pPr>
                  <w:r>
                    <w:t>Private equity (proportion)</w:t>
                  </w:r>
                </w:p>
              </w:tc>
              <w:tc>
                <w:tcPr>
                  <w:tcW w:w="865" w:type="pct"/>
                  <w:vAlign w:val="center"/>
                </w:tcPr>
                <w:p w:rsidR="009A24C0" w:rsidRPr="00913E2B" w:rsidRDefault="009A24C0" w:rsidP="009A24C0">
                  <w:pPr>
                    <w:pStyle w:val="TableBodyText"/>
                  </w:pPr>
                  <w:r>
                    <w:t>0.669</w:t>
                  </w:r>
                </w:p>
              </w:tc>
              <w:tc>
                <w:tcPr>
                  <w:tcW w:w="1097" w:type="pct"/>
                  <w:vAlign w:val="center"/>
                </w:tcPr>
                <w:p w:rsidR="009A24C0" w:rsidRPr="00913E2B" w:rsidRDefault="009A24C0" w:rsidP="009A24C0">
                  <w:pPr>
                    <w:pStyle w:val="TableBodyText"/>
                    <w:ind w:right="28"/>
                  </w:pPr>
                  <w:r>
                    <w:t>0.534</w:t>
                  </w:r>
                </w:p>
              </w:tc>
              <w:tc>
                <w:tcPr>
                  <w:tcW w:w="1097" w:type="pct"/>
                  <w:vAlign w:val="center"/>
                </w:tcPr>
                <w:p w:rsidR="009A24C0" w:rsidRPr="00D837F4" w:rsidRDefault="009A24C0" w:rsidP="009A24C0">
                  <w:pPr>
                    <w:pStyle w:val="TableBodyText"/>
                    <w:ind w:right="28"/>
                  </w:pP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r>
                    <w:t>(1.091)</w:t>
                  </w:r>
                </w:p>
              </w:tc>
              <w:tc>
                <w:tcPr>
                  <w:tcW w:w="1097" w:type="pct"/>
                  <w:vAlign w:val="center"/>
                </w:tcPr>
                <w:p w:rsidR="009A24C0" w:rsidRPr="00913E2B" w:rsidRDefault="009A24C0" w:rsidP="009A24C0">
                  <w:pPr>
                    <w:pStyle w:val="TableBodyText"/>
                    <w:ind w:right="28"/>
                  </w:pPr>
                  <w:r>
                    <w:t>(1.171)</w:t>
                  </w:r>
                </w:p>
              </w:tc>
              <w:tc>
                <w:tcPr>
                  <w:tcW w:w="1097" w:type="pct"/>
                  <w:vAlign w:val="center"/>
                </w:tcPr>
                <w:p w:rsidR="009A24C0" w:rsidRPr="00D837F4" w:rsidRDefault="009A24C0" w:rsidP="009A24C0">
                  <w:pPr>
                    <w:pStyle w:val="TableBodyText"/>
                    <w:ind w:right="28"/>
                  </w:pP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Industry</w:t>
                  </w: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-4.578</w:t>
                  </w:r>
                  <w:r>
                    <w:rPr>
                      <w:vertAlign w:val="superscript"/>
                    </w:rPr>
                    <w:t>**</w:t>
                  </w:r>
                </w:p>
              </w:tc>
              <w:tc>
                <w:tcPr>
                  <w:tcW w:w="1097" w:type="pct"/>
                  <w:shd w:val="clear" w:color="auto" w:fill="F2F2F2" w:themeFill="background1" w:themeFillShade="F2"/>
                  <w:vAlign w:val="center"/>
                </w:tcPr>
                <w:p w:rsidR="009A24C0" w:rsidRPr="00D837F4" w:rsidRDefault="009A24C0" w:rsidP="009A24C0">
                  <w:pPr>
                    <w:pStyle w:val="TableBodyText"/>
                    <w:ind w:right="28"/>
                  </w:pPr>
                  <w:r>
                    <w:t>-6.170</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(2.279)</w:t>
                  </w:r>
                </w:p>
              </w:tc>
              <w:tc>
                <w:tcPr>
                  <w:tcW w:w="1097" w:type="pct"/>
                  <w:shd w:val="clear" w:color="auto" w:fill="F2F2F2" w:themeFill="background1" w:themeFillShade="F2"/>
                  <w:vAlign w:val="center"/>
                </w:tcPr>
                <w:p w:rsidR="009A24C0" w:rsidRPr="00D837F4" w:rsidRDefault="009A24C0" w:rsidP="009A24C0">
                  <w:pPr>
                    <w:pStyle w:val="TableBodyText"/>
                    <w:ind w:right="28"/>
                  </w:pPr>
                  <w:r>
                    <w:t>(3.861)</w:t>
                  </w:r>
                </w:p>
              </w:tc>
            </w:tr>
            <w:tr w:rsidR="009A24C0" w:rsidRPr="00913E2B" w:rsidTr="009A24C0">
              <w:tc>
                <w:tcPr>
                  <w:tcW w:w="1941" w:type="pct"/>
                  <w:vAlign w:val="center"/>
                </w:tcPr>
                <w:p w:rsidR="009A24C0" w:rsidRPr="004F3392" w:rsidRDefault="009A24C0" w:rsidP="009A24C0">
                  <w:pPr>
                    <w:pStyle w:val="TableUnitsRow"/>
                    <w:jc w:val="left"/>
                  </w:pPr>
                  <w:r>
                    <w:t>Public sector</w:t>
                  </w: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-5.039</w:t>
                  </w:r>
                  <w:r>
                    <w:rPr>
                      <w:vertAlign w:val="superscript"/>
                    </w:rPr>
                    <w:t>**</w:t>
                  </w:r>
                </w:p>
              </w:tc>
              <w:tc>
                <w:tcPr>
                  <w:tcW w:w="1097" w:type="pct"/>
                  <w:vAlign w:val="center"/>
                </w:tcPr>
                <w:p w:rsidR="009A24C0" w:rsidRPr="00D837F4" w:rsidRDefault="009A24C0" w:rsidP="009A24C0">
                  <w:pPr>
                    <w:pStyle w:val="TableBodyText"/>
                    <w:ind w:right="28"/>
                  </w:pPr>
                  <w:r>
                    <w:t>-6.161</w:t>
                  </w: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(2.494)</w:t>
                  </w:r>
                </w:p>
              </w:tc>
              <w:tc>
                <w:tcPr>
                  <w:tcW w:w="1097" w:type="pct"/>
                  <w:vAlign w:val="center"/>
                </w:tcPr>
                <w:p w:rsidR="009A24C0" w:rsidRPr="00D837F4" w:rsidRDefault="009A24C0" w:rsidP="009A24C0">
                  <w:pPr>
                    <w:pStyle w:val="TableBodyText"/>
                    <w:ind w:right="28"/>
                  </w:pPr>
                  <w:r>
                    <w:t>(4.207)</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Retail</w:t>
                  </w: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-3.583</w:t>
                  </w:r>
                </w:p>
              </w:tc>
              <w:tc>
                <w:tcPr>
                  <w:tcW w:w="1097" w:type="pct"/>
                  <w:shd w:val="clear" w:color="auto" w:fill="F2F2F2" w:themeFill="background1" w:themeFillShade="F2"/>
                  <w:vAlign w:val="center"/>
                </w:tcPr>
                <w:p w:rsidR="009A24C0" w:rsidRPr="00913E2B" w:rsidRDefault="009A24C0" w:rsidP="009A24C0">
                  <w:pPr>
                    <w:pStyle w:val="TableBodyText"/>
                    <w:ind w:right="28"/>
                  </w:pPr>
                  <w:r>
                    <w:t>-6.019</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(2.483)</w:t>
                  </w:r>
                </w:p>
              </w:tc>
              <w:tc>
                <w:tcPr>
                  <w:tcW w:w="1097" w:type="pct"/>
                  <w:shd w:val="clear" w:color="auto" w:fill="F2F2F2" w:themeFill="background1" w:themeFillShade="F2"/>
                  <w:vAlign w:val="center"/>
                </w:tcPr>
                <w:p w:rsidR="009A24C0" w:rsidRPr="00913E2B" w:rsidRDefault="009A24C0" w:rsidP="009A24C0">
                  <w:pPr>
                    <w:pStyle w:val="TableBodyText"/>
                    <w:ind w:right="28"/>
                  </w:pPr>
                  <w:r>
                    <w:t>(4.319)</w:t>
                  </w:r>
                </w:p>
              </w:tc>
            </w:tr>
            <w:tr w:rsidR="009A24C0" w:rsidRPr="00913E2B" w:rsidTr="009A24C0">
              <w:tc>
                <w:tcPr>
                  <w:tcW w:w="1941" w:type="pct"/>
                  <w:vAlign w:val="center"/>
                </w:tcPr>
                <w:p w:rsidR="009A24C0" w:rsidRPr="00913E2B" w:rsidRDefault="009A24C0" w:rsidP="009A24C0">
                  <w:pPr>
                    <w:pStyle w:val="TableUnitsRow"/>
                    <w:jc w:val="left"/>
                  </w:pPr>
                  <w:r>
                    <w:t>Net assets x Industry</w:t>
                  </w: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0.286</w:t>
                  </w:r>
                  <w:r>
                    <w:rPr>
                      <w:vertAlign w:val="superscript"/>
                    </w:rPr>
                    <w:t>*</w:t>
                  </w:r>
                </w:p>
              </w:tc>
              <w:tc>
                <w:tcPr>
                  <w:tcW w:w="1097" w:type="pct"/>
                  <w:vAlign w:val="center"/>
                </w:tcPr>
                <w:p w:rsidR="009A24C0" w:rsidRPr="00913E2B" w:rsidRDefault="009A24C0" w:rsidP="009A24C0">
                  <w:pPr>
                    <w:pStyle w:val="TableBodyText"/>
                    <w:ind w:right="28"/>
                  </w:pPr>
                  <w:r>
                    <w:t>0.412</w:t>
                  </w: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(0.163)</w:t>
                  </w:r>
                </w:p>
              </w:tc>
              <w:tc>
                <w:tcPr>
                  <w:tcW w:w="1097" w:type="pct"/>
                  <w:vAlign w:val="center"/>
                </w:tcPr>
                <w:p w:rsidR="009A24C0" w:rsidRPr="00913E2B" w:rsidRDefault="009A24C0" w:rsidP="009A24C0">
                  <w:pPr>
                    <w:pStyle w:val="TableBodyText"/>
                    <w:ind w:right="28"/>
                  </w:pPr>
                  <w:r>
                    <w:t>(0.275)</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Net assets x Public sector</w:t>
                  </w: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0.292</w:t>
                  </w:r>
                  <w:r>
                    <w:rPr>
                      <w:vertAlign w:val="superscript"/>
                    </w:rPr>
                    <w:t>*</w:t>
                  </w:r>
                </w:p>
              </w:tc>
              <w:tc>
                <w:tcPr>
                  <w:tcW w:w="1097" w:type="pct"/>
                  <w:shd w:val="clear" w:color="auto" w:fill="F2F2F2" w:themeFill="background1" w:themeFillShade="F2"/>
                  <w:vAlign w:val="center"/>
                </w:tcPr>
                <w:p w:rsidR="009A24C0" w:rsidRPr="00913E2B" w:rsidRDefault="009A24C0" w:rsidP="009A24C0">
                  <w:pPr>
                    <w:pStyle w:val="TableBodyText"/>
                    <w:ind w:right="28"/>
                  </w:pPr>
                  <w:r>
                    <w:t>0.394</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p>
              </w:tc>
              <w:tc>
                <w:tcPr>
                  <w:tcW w:w="1097" w:type="pct"/>
                  <w:shd w:val="clear" w:color="auto" w:fill="F2F2F2" w:themeFill="background1" w:themeFillShade="F2"/>
                  <w:vAlign w:val="center"/>
                </w:tcPr>
                <w:p w:rsidR="009A24C0" w:rsidRPr="00913E2B" w:rsidRDefault="009A24C0" w:rsidP="009A24C0">
                  <w:pPr>
                    <w:pStyle w:val="TableBodyText"/>
                    <w:ind w:right="28"/>
                  </w:pPr>
                  <w:r>
                    <w:t>(0.173)</w:t>
                  </w:r>
                </w:p>
              </w:tc>
              <w:tc>
                <w:tcPr>
                  <w:tcW w:w="1097" w:type="pct"/>
                  <w:shd w:val="clear" w:color="auto" w:fill="F2F2F2" w:themeFill="background1" w:themeFillShade="F2"/>
                  <w:vAlign w:val="center"/>
                </w:tcPr>
                <w:p w:rsidR="009A24C0" w:rsidRPr="00913E2B" w:rsidRDefault="009A24C0" w:rsidP="009A24C0">
                  <w:pPr>
                    <w:pStyle w:val="TableBodyText"/>
                    <w:ind w:right="28"/>
                  </w:pPr>
                  <w:r>
                    <w:t>(0.295)</w:t>
                  </w:r>
                </w:p>
              </w:tc>
            </w:tr>
            <w:tr w:rsidR="009A24C0" w:rsidRPr="00913E2B" w:rsidTr="009A24C0">
              <w:tc>
                <w:tcPr>
                  <w:tcW w:w="1941" w:type="pct"/>
                  <w:vAlign w:val="center"/>
                </w:tcPr>
                <w:p w:rsidR="009A24C0" w:rsidRPr="00913E2B" w:rsidRDefault="009A24C0" w:rsidP="009A24C0">
                  <w:pPr>
                    <w:pStyle w:val="TableUnitsRow"/>
                    <w:jc w:val="left"/>
                  </w:pPr>
                  <w:r>
                    <w:t>Net assets x Retail</w:t>
                  </w: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0.122</w:t>
                  </w:r>
                </w:p>
              </w:tc>
              <w:tc>
                <w:tcPr>
                  <w:tcW w:w="1097" w:type="pct"/>
                  <w:vAlign w:val="center"/>
                </w:tcPr>
                <w:p w:rsidR="009A24C0" w:rsidRPr="00913E2B" w:rsidRDefault="009A24C0" w:rsidP="009A24C0">
                  <w:pPr>
                    <w:pStyle w:val="TableBodyText"/>
                    <w:ind w:right="28"/>
                  </w:pPr>
                  <w:r>
                    <w:t>0.311</w:t>
                  </w:r>
                </w:p>
              </w:tc>
            </w:tr>
            <w:tr w:rsidR="009A24C0" w:rsidRPr="00913E2B" w:rsidTr="009A24C0">
              <w:tc>
                <w:tcPr>
                  <w:tcW w:w="1941" w:type="pct"/>
                  <w:vAlign w:val="center"/>
                </w:tcPr>
                <w:p w:rsidR="009A24C0" w:rsidRPr="00913E2B" w:rsidRDefault="009A24C0" w:rsidP="009A24C0">
                  <w:pPr>
                    <w:pStyle w:val="TableUnitsRow"/>
                    <w:jc w:val="left"/>
                  </w:pPr>
                </w:p>
              </w:tc>
              <w:tc>
                <w:tcPr>
                  <w:tcW w:w="865" w:type="pct"/>
                  <w:vAlign w:val="center"/>
                </w:tcPr>
                <w:p w:rsidR="009A24C0" w:rsidRPr="00913E2B" w:rsidRDefault="009A24C0" w:rsidP="009A24C0">
                  <w:pPr>
                    <w:pStyle w:val="TableBodyText"/>
                  </w:pPr>
                </w:p>
              </w:tc>
              <w:tc>
                <w:tcPr>
                  <w:tcW w:w="1097" w:type="pct"/>
                  <w:vAlign w:val="center"/>
                </w:tcPr>
                <w:p w:rsidR="009A24C0" w:rsidRPr="00913E2B" w:rsidRDefault="009A24C0" w:rsidP="009A24C0">
                  <w:pPr>
                    <w:pStyle w:val="TableBodyText"/>
                    <w:ind w:right="28"/>
                  </w:pPr>
                  <w:r>
                    <w:t>(0.175)</w:t>
                  </w:r>
                </w:p>
              </w:tc>
              <w:tc>
                <w:tcPr>
                  <w:tcW w:w="1097" w:type="pct"/>
                  <w:vAlign w:val="center"/>
                </w:tcPr>
                <w:p w:rsidR="009A24C0" w:rsidRPr="00913E2B" w:rsidRDefault="009A24C0" w:rsidP="009A24C0">
                  <w:pPr>
                    <w:pStyle w:val="TableBodyText"/>
                    <w:ind w:right="28"/>
                  </w:pPr>
                  <w:r>
                    <w:t>(0.307)</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r>
                    <w:t>Lambda</w:t>
                  </w:r>
                </w:p>
              </w:tc>
              <w:tc>
                <w:tcPr>
                  <w:tcW w:w="865" w:type="pct"/>
                  <w:shd w:val="clear" w:color="auto" w:fill="F2F2F2" w:themeFill="background1" w:themeFillShade="F2"/>
                  <w:vAlign w:val="center"/>
                </w:tcPr>
                <w:p w:rsidR="009A24C0" w:rsidRPr="00913E2B" w:rsidRDefault="009A24C0" w:rsidP="009A24C0">
                  <w:pPr>
                    <w:pStyle w:val="TableBodyText"/>
                  </w:pPr>
                  <w:r>
                    <w:t>1.449</w:t>
                  </w:r>
                </w:p>
              </w:tc>
              <w:tc>
                <w:tcPr>
                  <w:tcW w:w="1097" w:type="pct"/>
                  <w:shd w:val="clear" w:color="auto" w:fill="F2F2F2" w:themeFill="background1" w:themeFillShade="F2"/>
                  <w:vAlign w:val="center"/>
                </w:tcPr>
                <w:p w:rsidR="009A24C0" w:rsidRPr="00913E2B" w:rsidRDefault="009A24C0" w:rsidP="009A24C0">
                  <w:pPr>
                    <w:pStyle w:val="TableBodyText"/>
                    <w:ind w:right="28"/>
                  </w:pPr>
                  <w:r>
                    <w:t>1.931</w:t>
                  </w:r>
                </w:p>
              </w:tc>
              <w:tc>
                <w:tcPr>
                  <w:tcW w:w="1097" w:type="pct"/>
                  <w:shd w:val="clear" w:color="auto" w:fill="F2F2F2" w:themeFill="background1" w:themeFillShade="F2"/>
                  <w:vAlign w:val="center"/>
                </w:tcPr>
                <w:p w:rsidR="009A24C0" w:rsidRPr="00913E2B" w:rsidRDefault="009A24C0" w:rsidP="009A24C0">
                  <w:pPr>
                    <w:pStyle w:val="TableBodyText"/>
                    <w:ind w:right="28"/>
                  </w:pPr>
                  <w:r>
                    <w:t>5.260</w:t>
                  </w:r>
                  <w:r>
                    <w:rPr>
                      <w:vertAlign w:val="superscript"/>
                    </w:rPr>
                    <w:t>*</w:t>
                  </w:r>
                </w:p>
              </w:tc>
            </w:tr>
            <w:tr w:rsidR="009A24C0" w:rsidRPr="00913E2B" w:rsidTr="009A24C0">
              <w:tc>
                <w:tcPr>
                  <w:tcW w:w="1941" w:type="pct"/>
                  <w:shd w:val="clear" w:color="auto" w:fill="F2F2F2" w:themeFill="background1" w:themeFillShade="F2"/>
                  <w:vAlign w:val="center"/>
                </w:tcPr>
                <w:p w:rsidR="009A24C0" w:rsidRPr="00913E2B" w:rsidRDefault="009A24C0" w:rsidP="009A24C0">
                  <w:pPr>
                    <w:pStyle w:val="TableUnitsRow"/>
                    <w:jc w:val="left"/>
                  </w:pPr>
                </w:p>
              </w:tc>
              <w:tc>
                <w:tcPr>
                  <w:tcW w:w="865" w:type="pct"/>
                  <w:shd w:val="clear" w:color="auto" w:fill="F2F2F2" w:themeFill="background1" w:themeFillShade="F2"/>
                  <w:vAlign w:val="center"/>
                </w:tcPr>
                <w:p w:rsidR="009A24C0" w:rsidRPr="00913E2B" w:rsidRDefault="009A24C0" w:rsidP="009A24C0">
                  <w:pPr>
                    <w:pStyle w:val="TableBodyText"/>
                  </w:pPr>
                  <w:r>
                    <w:t>(1.962)</w:t>
                  </w:r>
                </w:p>
              </w:tc>
              <w:tc>
                <w:tcPr>
                  <w:tcW w:w="1097" w:type="pct"/>
                  <w:shd w:val="clear" w:color="auto" w:fill="F2F2F2" w:themeFill="background1" w:themeFillShade="F2"/>
                  <w:vAlign w:val="center"/>
                </w:tcPr>
                <w:p w:rsidR="009A24C0" w:rsidRPr="00913E2B" w:rsidRDefault="009A24C0" w:rsidP="009A24C0">
                  <w:pPr>
                    <w:pStyle w:val="TableBodyText"/>
                    <w:ind w:right="28"/>
                  </w:pPr>
                  <w:r>
                    <w:t>(1.703)</w:t>
                  </w:r>
                </w:p>
              </w:tc>
              <w:tc>
                <w:tcPr>
                  <w:tcW w:w="1097" w:type="pct"/>
                  <w:shd w:val="clear" w:color="auto" w:fill="F2F2F2" w:themeFill="background1" w:themeFillShade="F2"/>
                  <w:vAlign w:val="center"/>
                </w:tcPr>
                <w:p w:rsidR="009A24C0" w:rsidRPr="00913E2B" w:rsidRDefault="009A24C0" w:rsidP="009A24C0">
                  <w:pPr>
                    <w:pStyle w:val="TableBodyText"/>
                    <w:ind w:right="28"/>
                  </w:pPr>
                  <w:r>
                    <w:t>(2.901)</w:t>
                  </w:r>
                </w:p>
              </w:tc>
            </w:tr>
            <w:tr w:rsidR="009A24C0" w:rsidRPr="00913E2B" w:rsidTr="009A24C0">
              <w:tc>
                <w:tcPr>
                  <w:tcW w:w="1941" w:type="pct"/>
                  <w:shd w:val="clear" w:color="auto" w:fill="auto"/>
                </w:tcPr>
                <w:p w:rsidR="009A24C0" w:rsidRPr="00913E2B" w:rsidRDefault="009A24C0" w:rsidP="009A24C0">
                  <w:pPr>
                    <w:pStyle w:val="TableUnitsRow"/>
                    <w:jc w:val="left"/>
                  </w:pPr>
                </w:p>
              </w:tc>
              <w:tc>
                <w:tcPr>
                  <w:tcW w:w="865" w:type="pct"/>
                  <w:shd w:val="clear" w:color="auto" w:fill="auto"/>
                </w:tcPr>
                <w:p w:rsidR="009A24C0" w:rsidRPr="00913E2B" w:rsidRDefault="009A24C0" w:rsidP="009A24C0">
                  <w:pPr>
                    <w:pStyle w:val="TableBodyText"/>
                  </w:pPr>
                </w:p>
              </w:tc>
              <w:tc>
                <w:tcPr>
                  <w:tcW w:w="1097" w:type="pct"/>
                  <w:shd w:val="clear" w:color="auto" w:fill="auto"/>
                </w:tcPr>
                <w:p w:rsidR="009A24C0" w:rsidRPr="00913E2B" w:rsidRDefault="009A24C0" w:rsidP="009A24C0">
                  <w:pPr>
                    <w:pStyle w:val="TableBodyText"/>
                    <w:ind w:right="28"/>
                  </w:pPr>
                </w:p>
              </w:tc>
              <w:tc>
                <w:tcPr>
                  <w:tcW w:w="1097" w:type="pct"/>
                </w:tcPr>
                <w:p w:rsidR="009A24C0" w:rsidRPr="00913E2B" w:rsidRDefault="009A24C0" w:rsidP="009A24C0">
                  <w:pPr>
                    <w:pStyle w:val="TableBodyText"/>
                    <w:ind w:right="28"/>
                  </w:pPr>
                </w:p>
              </w:tc>
            </w:tr>
            <w:tr w:rsidR="009A24C0" w:rsidRPr="00913E2B" w:rsidTr="008F55DC">
              <w:tc>
                <w:tcPr>
                  <w:tcW w:w="1941" w:type="pct"/>
                  <w:vAlign w:val="center"/>
                </w:tcPr>
                <w:p w:rsidR="009A24C0" w:rsidRPr="00913E2B" w:rsidRDefault="009A24C0" w:rsidP="009A24C0">
                  <w:pPr>
                    <w:pStyle w:val="TableUnitsRow"/>
                    <w:jc w:val="left"/>
                  </w:pPr>
                  <m:oMathPara>
                    <m:oMathParaPr>
                      <m:jc m:val="left"/>
                    </m:oMathParaPr>
                    <m:oMath>
                      <m:r>
                        <w:rPr>
                          <w:rFonts w:ascii="Cambria Math" w:hAnsi="Cambria Math"/>
                        </w:rPr>
                        <m:t>N</m:t>
                      </m:r>
                    </m:oMath>
                  </m:oMathPara>
                </w:p>
              </w:tc>
              <w:tc>
                <w:tcPr>
                  <w:tcW w:w="865" w:type="pct"/>
                  <w:vAlign w:val="center"/>
                </w:tcPr>
                <w:p w:rsidR="009A24C0" w:rsidRPr="00913E2B" w:rsidRDefault="008F55DC" w:rsidP="009A24C0">
                  <w:pPr>
                    <w:pStyle w:val="TableBodyText"/>
                  </w:pPr>
                  <w:r>
                    <w:t>712</w:t>
                  </w:r>
                </w:p>
              </w:tc>
              <w:tc>
                <w:tcPr>
                  <w:tcW w:w="1097" w:type="pct"/>
                  <w:vAlign w:val="center"/>
                </w:tcPr>
                <w:p w:rsidR="009A24C0" w:rsidRPr="00913E2B" w:rsidRDefault="008F55DC" w:rsidP="009A24C0">
                  <w:pPr>
                    <w:pStyle w:val="TableBodyText"/>
                    <w:ind w:right="28"/>
                  </w:pPr>
                  <w:r>
                    <w:t>712</w:t>
                  </w:r>
                </w:p>
              </w:tc>
              <w:tc>
                <w:tcPr>
                  <w:tcW w:w="1097" w:type="pct"/>
                  <w:vAlign w:val="center"/>
                </w:tcPr>
                <w:p w:rsidR="009A24C0" w:rsidRPr="00D837F4" w:rsidRDefault="008F55DC" w:rsidP="009A24C0">
                  <w:pPr>
                    <w:pStyle w:val="TableBodyText"/>
                    <w:ind w:right="28"/>
                  </w:pPr>
                  <w:r>
                    <w:t>712</w:t>
                  </w:r>
                </w:p>
              </w:tc>
            </w:tr>
            <w:tr w:rsidR="009A24C0" w:rsidRPr="00913E2B" w:rsidTr="008F55DC">
              <w:tc>
                <w:tcPr>
                  <w:tcW w:w="1941" w:type="pct"/>
                  <w:vAlign w:val="center"/>
                </w:tcPr>
                <w:p w:rsidR="009A24C0" w:rsidRPr="00913E2B" w:rsidRDefault="001F492C" w:rsidP="009A24C0">
                  <w:pPr>
                    <w:pStyle w:val="TableUnitsRow"/>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865" w:type="pct"/>
                  <w:vAlign w:val="center"/>
                </w:tcPr>
                <w:p w:rsidR="009A24C0" w:rsidRPr="00913E2B" w:rsidRDefault="009A24C0" w:rsidP="009A24C0">
                  <w:pPr>
                    <w:pStyle w:val="TableBodyText"/>
                  </w:pPr>
                  <w:r w:rsidRPr="0004117D">
                    <w:t>0.</w:t>
                  </w:r>
                  <w:r w:rsidR="008F55DC">
                    <w:t>257</w:t>
                  </w:r>
                </w:p>
              </w:tc>
              <w:tc>
                <w:tcPr>
                  <w:tcW w:w="1097" w:type="pct"/>
                  <w:vAlign w:val="center"/>
                </w:tcPr>
                <w:p w:rsidR="009A24C0" w:rsidRPr="00913E2B" w:rsidRDefault="009A24C0" w:rsidP="009A24C0">
                  <w:pPr>
                    <w:pStyle w:val="TableBodyText"/>
                    <w:ind w:right="28"/>
                  </w:pPr>
                  <w:r w:rsidRPr="0004117D">
                    <w:t>0.</w:t>
                  </w:r>
                  <w:r w:rsidR="008F55DC">
                    <w:t>322</w:t>
                  </w:r>
                </w:p>
              </w:tc>
              <w:tc>
                <w:tcPr>
                  <w:tcW w:w="1097" w:type="pct"/>
                  <w:vAlign w:val="center"/>
                </w:tcPr>
                <w:p w:rsidR="009A24C0" w:rsidRPr="00D837F4" w:rsidRDefault="009A24C0" w:rsidP="009A24C0">
                  <w:pPr>
                    <w:pStyle w:val="TableBodyText"/>
                    <w:ind w:right="28"/>
                  </w:pPr>
                  <w:r w:rsidRPr="0004117D">
                    <w:t>0.</w:t>
                  </w:r>
                  <w:r w:rsidR="008F55DC">
                    <w:t>078</w:t>
                  </w:r>
                </w:p>
              </w:tc>
            </w:tr>
            <w:tr w:rsidR="009A24C0" w:rsidTr="008F55DC">
              <w:tc>
                <w:tcPr>
                  <w:tcW w:w="1941" w:type="pct"/>
                  <w:shd w:val="clear" w:color="auto" w:fill="auto"/>
                </w:tcPr>
                <w:p w:rsidR="009A24C0" w:rsidRDefault="009A24C0" w:rsidP="009A24C0">
                  <w:pPr>
                    <w:pStyle w:val="TableBodyText"/>
                    <w:jc w:val="left"/>
                  </w:pPr>
                  <w:r>
                    <w:t xml:space="preserve">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865" w:type="pct"/>
                  <w:shd w:val="clear" w:color="auto" w:fill="auto"/>
                  <w:vAlign w:val="center"/>
                </w:tcPr>
                <w:p w:rsidR="009A24C0" w:rsidRDefault="009A24C0" w:rsidP="009A24C0">
                  <w:pPr>
                    <w:pStyle w:val="TableBodyText"/>
                  </w:pPr>
                  <w:r w:rsidRPr="0004117D">
                    <w:t>0.</w:t>
                  </w:r>
                  <w:r w:rsidR="008F55DC">
                    <w:t>247</w:t>
                  </w:r>
                </w:p>
              </w:tc>
              <w:tc>
                <w:tcPr>
                  <w:tcW w:w="1097" w:type="pct"/>
                  <w:shd w:val="clear" w:color="auto" w:fill="auto"/>
                  <w:vAlign w:val="center"/>
                </w:tcPr>
                <w:p w:rsidR="009A24C0" w:rsidRDefault="009A24C0" w:rsidP="009A24C0">
                  <w:pPr>
                    <w:pStyle w:val="TableBodyText"/>
                    <w:ind w:right="28"/>
                  </w:pPr>
                  <w:r w:rsidRPr="0004117D">
                    <w:t>0.</w:t>
                  </w:r>
                  <w:r w:rsidR="008F55DC">
                    <w:t>307</w:t>
                  </w:r>
                </w:p>
              </w:tc>
              <w:tc>
                <w:tcPr>
                  <w:tcW w:w="1097" w:type="pct"/>
                  <w:vAlign w:val="center"/>
                </w:tcPr>
                <w:p w:rsidR="009A24C0" w:rsidRPr="00D837F4" w:rsidRDefault="009A24C0" w:rsidP="009A24C0">
                  <w:pPr>
                    <w:pStyle w:val="TableBodyText"/>
                    <w:ind w:right="28"/>
                  </w:pPr>
                  <w:r w:rsidRPr="0004117D">
                    <w:t>0.</w:t>
                  </w:r>
                  <w:r w:rsidR="008F55DC">
                    <w:t>064</w:t>
                  </w:r>
                </w:p>
              </w:tc>
            </w:tr>
            <w:tr w:rsidR="009A24C0" w:rsidTr="009A24C0">
              <w:tc>
                <w:tcPr>
                  <w:tcW w:w="1941" w:type="pct"/>
                  <w:tcBorders>
                    <w:bottom w:val="single" w:sz="6" w:space="0" w:color="BFBFBF"/>
                  </w:tcBorders>
                  <w:shd w:val="clear" w:color="auto" w:fill="auto"/>
                </w:tcPr>
                <w:p w:rsidR="009A24C0" w:rsidRPr="002803B7" w:rsidRDefault="009A24C0" w:rsidP="009A24C0">
                  <w:pPr>
                    <w:pStyle w:val="TableBodyText"/>
                    <w:jc w:val="left"/>
                    <w:rPr>
                      <w:i/>
                    </w:rPr>
                  </w:pPr>
                  <w:r w:rsidRPr="002803B7">
                    <w:rPr>
                      <w:i/>
                    </w:rPr>
                    <w:t>F</w:t>
                  </w:r>
                </w:p>
              </w:tc>
              <w:tc>
                <w:tcPr>
                  <w:tcW w:w="865" w:type="pct"/>
                  <w:tcBorders>
                    <w:bottom w:val="single" w:sz="6" w:space="0" w:color="BFBFBF"/>
                  </w:tcBorders>
                  <w:shd w:val="clear" w:color="auto" w:fill="auto"/>
                </w:tcPr>
                <w:p w:rsidR="009A24C0" w:rsidRPr="00D837F4" w:rsidRDefault="009A24C0" w:rsidP="009A24C0">
                  <w:pPr>
                    <w:pStyle w:val="TableBodyText"/>
                  </w:pPr>
                  <w:r>
                    <w:t>27.135</w:t>
                  </w:r>
                  <w:r w:rsidRPr="0004117D">
                    <w:t>***</w:t>
                  </w:r>
                </w:p>
              </w:tc>
              <w:tc>
                <w:tcPr>
                  <w:tcW w:w="1097" w:type="pct"/>
                  <w:tcBorders>
                    <w:bottom w:val="single" w:sz="6" w:space="0" w:color="BFBFBF"/>
                  </w:tcBorders>
                  <w:shd w:val="clear" w:color="auto" w:fill="auto"/>
                </w:tcPr>
                <w:p w:rsidR="009A24C0" w:rsidRPr="00D837F4" w:rsidRDefault="009A24C0" w:rsidP="009A24C0">
                  <w:pPr>
                    <w:pStyle w:val="TableBodyText"/>
                    <w:ind w:right="28"/>
                  </w:pPr>
                  <w:r>
                    <w:t>36.700</w:t>
                  </w:r>
                  <w:r w:rsidRPr="0004117D">
                    <w:t>***</w:t>
                  </w:r>
                </w:p>
              </w:tc>
              <w:tc>
                <w:tcPr>
                  <w:tcW w:w="1097" w:type="pct"/>
                  <w:tcBorders>
                    <w:bottom w:val="single" w:sz="6" w:space="0" w:color="BFBFBF"/>
                  </w:tcBorders>
                </w:tcPr>
                <w:p w:rsidR="009A24C0" w:rsidRDefault="009A24C0" w:rsidP="009A24C0">
                  <w:pPr>
                    <w:pStyle w:val="TableBodyText"/>
                    <w:ind w:right="28"/>
                  </w:pPr>
                  <w:r>
                    <w:t>13.995</w:t>
                  </w:r>
                  <w:r w:rsidRPr="0004117D">
                    <w:t>***</w:t>
                  </w:r>
                </w:p>
              </w:tc>
            </w:tr>
          </w:tbl>
          <w:p w:rsidR="009A24C0" w:rsidRDefault="009A24C0" w:rsidP="009A24C0">
            <w:pPr>
              <w:pStyle w:val="Box"/>
            </w:pPr>
          </w:p>
        </w:tc>
      </w:tr>
      <w:tr w:rsidR="009A24C0" w:rsidTr="009A24C0">
        <w:tc>
          <w:tcPr>
            <w:tcW w:w="5000" w:type="pct"/>
            <w:tcBorders>
              <w:top w:val="nil"/>
              <w:left w:val="nil"/>
              <w:bottom w:val="nil"/>
              <w:right w:val="nil"/>
            </w:tcBorders>
            <w:shd w:val="clear" w:color="auto" w:fill="auto"/>
          </w:tcPr>
          <w:p w:rsidR="009A24C0" w:rsidRDefault="009A24C0" w:rsidP="009A24C0">
            <w:pPr>
              <w:pStyle w:val="Note"/>
              <w:rPr>
                <w:i/>
              </w:rPr>
            </w:pPr>
            <w:r w:rsidRPr="008E77FE">
              <w:rPr>
                <w:rStyle w:val="NoteLabel"/>
              </w:rPr>
              <w:t>a</w:t>
            </w:r>
            <w:r>
              <w:t xml:space="preserve"> Time fixed effects</w:t>
            </w:r>
            <w:r>
              <w:rPr>
                <w:szCs w:val="18"/>
              </w:rPr>
              <w:t xml:space="preserve"> are </w:t>
            </w:r>
            <w:r>
              <w:t>used</w:t>
            </w:r>
            <w:r>
              <w:rPr>
                <w:szCs w:val="18"/>
              </w:rPr>
              <w:t xml:space="preserve"> and </w:t>
            </w:r>
            <w:r>
              <w:t>standard errors are clustered by fund.</w:t>
            </w:r>
            <w:r>
              <w:rPr>
                <w:szCs w:val="18"/>
              </w:rPr>
              <w:t xml:space="preserve"> </w:t>
            </w:r>
            <w:r w:rsidRPr="00132196">
              <w:rPr>
                <w:szCs w:val="18"/>
              </w:rPr>
              <w:t xml:space="preserve">The reference fund type is </w:t>
            </w:r>
            <w:r w:rsidR="00F640C8">
              <w:rPr>
                <w:szCs w:val="18"/>
              </w:rPr>
              <w:t>‘</w:t>
            </w:r>
            <w:r w:rsidRPr="00132196">
              <w:rPr>
                <w:szCs w:val="18"/>
              </w:rPr>
              <w:t>Corporate</w:t>
            </w:r>
            <w:r w:rsidR="00F640C8">
              <w:rPr>
                <w:szCs w:val="18"/>
              </w:rPr>
              <w:t>’</w:t>
            </w:r>
            <w:r w:rsidRPr="00132196">
              <w:rPr>
                <w:szCs w:val="18"/>
              </w:rPr>
              <w:t>.</w:t>
            </w:r>
            <w:r>
              <w:t xml:space="preserve"> Defensive assets include cash and fixed interest. Standard errors in parentheses. Lambda is the coefficient for the survival correction term. </w:t>
            </w:r>
            <w:r w:rsidRPr="00132196">
              <w:rPr>
                <w:szCs w:val="18"/>
                <w:vertAlign w:val="superscript"/>
              </w:rPr>
              <w:t>***</w:t>
            </w:r>
            <w:r w:rsidRPr="00132196">
              <w:rPr>
                <w:szCs w:val="18"/>
              </w:rPr>
              <w:t xml:space="preserve">Significant at the 1 per cent level. </w:t>
            </w:r>
            <w:r w:rsidRPr="00132196">
              <w:rPr>
                <w:szCs w:val="18"/>
                <w:vertAlign w:val="superscript"/>
              </w:rPr>
              <w:t>**</w:t>
            </w:r>
            <w:r w:rsidRPr="00132196">
              <w:rPr>
                <w:szCs w:val="18"/>
              </w:rPr>
              <w:t xml:space="preserve">Significant at the 5 per cent level. </w:t>
            </w:r>
            <w:r w:rsidRPr="00132196">
              <w:rPr>
                <w:szCs w:val="18"/>
                <w:vertAlign w:val="superscript"/>
              </w:rPr>
              <w:t>*</w:t>
            </w:r>
            <w:r w:rsidRPr="00132196">
              <w:rPr>
                <w:szCs w:val="18"/>
              </w:rPr>
              <w:t>Significant at the 10 per cent level.</w:t>
            </w:r>
          </w:p>
        </w:tc>
      </w:tr>
      <w:tr w:rsidR="009A24C0" w:rsidTr="009A24C0">
        <w:tc>
          <w:tcPr>
            <w:tcW w:w="5000" w:type="pct"/>
            <w:tcBorders>
              <w:top w:val="nil"/>
              <w:left w:val="nil"/>
              <w:bottom w:val="nil"/>
              <w:right w:val="nil"/>
            </w:tcBorders>
            <w:shd w:val="clear" w:color="auto" w:fill="auto"/>
          </w:tcPr>
          <w:p w:rsidR="009A24C0" w:rsidRDefault="009A24C0" w:rsidP="009A24C0">
            <w:pPr>
              <w:pStyle w:val="Source"/>
            </w:pPr>
            <w:r w:rsidRPr="00F1457E">
              <w:rPr>
                <w:i/>
              </w:rPr>
              <w:t>Source</w:t>
            </w:r>
            <w:r w:rsidRPr="00F1457E">
              <w:t xml:space="preserve">: </w:t>
            </w:r>
            <w:r>
              <w:rPr>
                <w:rFonts w:eastAsia="+mn-ea" w:cs="Arial"/>
                <w:color w:val="000000" w:themeColor="text1"/>
                <w:kern w:val="24"/>
                <w:szCs w:val="18"/>
              </w:rPr>
              <w:t>PC analysis of APRA data (</w:t>
            </w:r>
            <w:r w:rsidRPr="00481B71">
              <w:rPr>
                <w:rFonts w:eastAsia="+mn-ea" w:cs="Arial"/>
                <w:color w:val="000000" w:themeColor="text1"/>
                <w:kern w:val="24"/>
                <w:szCs w:val="18"/>
              </w:rPr>
              <w:t>2014</w:t>
            </w:r>
            <w:r>
              <w:rPr>
                <w:rFonts w:eastAsia="+mn-ea" w:cs="Arial"/>
                <w:color w:val="000000" w:themeColor="text1"/>
                <w:kern w:val="24"/>
                <w:szCs w:val="18"/>
              </w:rPr>
              <w:t>–</w:t>
            </w:r>
            <w:r w:rsidRPr="00481B71">
              <w:rPr>
                <w:rFonts w:eastAsia="+mn-ea" w:cs="Arial"/>
                <w:color w:val="000000" w:themeColor="text1"/>
                <w:kern w:val="24"/>
                <w:szCs w:val="18"/>
              </w:rPr>
              <w:t>17</w:t>
            </w:r>
            <w:r>
              <w:rPr>
                <w:rFonts w:eastAsia="+mn-ea" w:cs="Arial"/>
                <w:color w:val="000000" w:themeColor="text1"/>
                <w:kern w:val="24"/>
                <w:szCs w:val="18"/>
              </w:rPr>
              <w:t>).</w:t>
            </w:r>
          </w:p>
        </w:tc>
      </w:tr>
      <w:tr w:rsidR="009A24C0" w:rsidTr="009A24C0">
        <w:tc>
          <w:tcPr>
            <w:tcW w:w="5000" w:type="pct"/>
            <w:tcBorders>
              <w:top w:val="nil"/>
              <w:left w:val="nil"/>
              <w:bottom w:val="single" w:sz="6" w:space="0" w:color="78A22F"/>
              <w:right w:val="nil"/>
            </w:tcBorders>
            <w:shd w:val="clear" w:color="auto" w:fill="auto"/>
          </w:tcPr>
          <w:p w:rsidR="009A24C0" w:rsidRDefault="009A24C0" w:rsidP="009A24C0">
            <w:pPr>
              <w:pStyle w:val="Box"/>
              <w:spacing w:before="0" w:line="120" w:lineRule="exact"/>
            </w:pPr>
          </w:p>
        </w:tc>
      </w:tr>
      <w:tr w:rsidR="009A24C0" w:rsidRPr="000863A5" w:rsidTr="009A24C0">
        <w:trPr>
          <w:trHeight w:val="53"/>
        </w:trPr>
        <w:tc>
          <w:tcPr>
            <w:tcW w:w="5000" w:type="pct"/>
            <w:tcBorders>
              <w:top w:val="single" w:sz="6" w:space="0" w:color="78A22F"/>
              <w:left w:val="nil"/>
              <w:bottom w:val="nil"/>
              <w:right w:val="nil"/>
            </w:tcBorders>
          </w:tcPr>
          <w:p w:rsidR="009A24C0" w:rsidRPr="00626D32" w:rsidRDefault="009A24C0" w:rsidP="009A24C0">
            <w:pPr>
              <w:pStyle w:val="BoxSpaceBelow"/>
            </w:pPr>
          </w:p>
        </w:tc>
      </w:tr>
    </w:tbl>
    <w:p w:rsidR="00B54A30" w:rsidRDefault="00B54A30">
      <w:pPr>
        <w:rPr>
          <w:szCs w:val="20"/>
        </w:rPr>
      </w:pPr>
      <w:r>
        <w:rPr>
          <w:szCs w:val="20"/>
        </w:rPr>
        <w:br w:type="page"/>
      </w:r>
    </w:p>
    <w:p w:rsidR="003B5B00" w:rsidRDefault="005159A8" w:rsidP="00F1457E">
      <w:pPr>
        <w:pStyle w:val="Heading2"/>
        <w:spacing w:after="240"/>
      </w:pPr>
      <w:bookmarkStart w:id="76" w:name="_Toc530748510"/>
      <w:r>
        <w:lastRenderedPageBreak/>
        <w:t>References</w:t>
      </w:r>
      <w:bookmarkEnd w:id="76"/>
    </w:p>
    <w:p w:rsidR="004C2AA0" w:rsidRPr="004C2AA0" w:rsidRDefault="004C2AA0" w:rsidP="00333D50">
      <w:pPr>
        <w:pStyle w:val="Reference"/>
      </w:pPr>
      <w:r w:rsidRPr="004C2AA0">
        <w:t xml:space="preserve">APRA (Australian Prudential Regulation Authority) 2018, </w:t>
      </w:r>
      <w:r w:rsidRPr="00333D50">
        <w:rPr>
          <w:i/>
        </w:rPr>
        <w:t>Annual Fund-level Superannuation Statistics 2017 (privacy unmasked edition)</w:t>
      </w:r>
      <w:r w:rsidRPr="004C2AA0">
        <w:t>, APRA, Sydney.</w:t>
      </w:r>
    </w:p>
    <w:p w:rsidR="004C2AA0" w:rsidRPr="004C2AA0" w:rsidRDefault="004C2AA0" w:rsidP="00333D50">
      <w:pPr>
        <w:pStyle w:val="Reference"/>
      </w:pPr>
      <w:r w:rsidRPr="004C2AA0">
        <w:t xml:space="preserve">Carpenter, B., Andrew Gelman, Hoffman, M., Lee, D. and Goodrich 2017, ‘Stan: A probabilistic programming language’, </w:t>
      </w:r>
      <w:r w:rsidRPr="004C2AA0">
        <w:rPr>
          <w:i/>
          <w:iCs/>
        </w:rPr>
        <w:t>Journal of Statistical Software</w:t>
      </w:r>
      <w:r w:rsidRPr="004C2AA0">
        <w:t>, vol. 76, no. 1, pp. 1–32.</w:t>
      </w:r>
    </w:p>
    <w:p w:rsidR="004C2AA0" w:rsidRPr="004C2AA0" w:rsidRDefault="004C2AA0" w:rsidP="00333D50">
      <w:pPr>
        <w:pStyle w:val="Reference"/>
      </w:pPr>
      <w:r w:rsidRPr="004C2AA0">
        <w:t xml:space="preserve">Cummings, J.R. 2016, ‘Effect of fund size on the performance of Australian superannuation funds’, </w:t>
      </w:r>
      <w:r w:rsidRPr="004C2AA0">
        <w:rPr>
          <w:i/>
          <w:iCs/>
        </w:rPr>
        <w:t>Accounting and Finance</w:t>
      </w:r>
      <w:r w:rsidRPr="004C2AA0">
        <w:t>, no. 56, pp. 695–725.</w:t>
      </w:r>
    </w:p>
    <w:p w:rsidR="004C2AA0" w:rsidRPr="004C2AA0" w:rsidRDefault="004C2AA0" w:rsidP="00333D50">
      <w:pPr>
        <w:pStyle w:val="Reference"/>
      </w:pPr>
      <w:r w:rsidRPr="004C2AA0">
        <w:t xml:space="preserve">Evans, R., Moore, A. and Rees, D. 2018, ‘The cyclical behaviour of labour force participation’, </w:t>
      </w:r>
      <w:r w:rsidRPr="004C2AA0">
        <w:rPr>
          <w:i/>
          <w:iCs/>
        </w:rPr>
        <w:t>Reserve Bank of Australia Bulletin</w:t>
      </w:r>
      <w:r w:rsidRPr="004C2AA0">
        <w:t>, September 2018.</w:t>
      </w:r>
    </w:p>
    <w:p w:rsidR="004C2AA0" w:rsidRPr="00333D50" w:rsidRDefault="004C2AA0" w:rsidP="00333D50">
      <w:pPr>
        <w:pStyle w:val="Reference"/>
        <w:rPr>
          <w:spacing w:val="-4"/>
        </w:rPr>
      </w:pPr>
      <w:r w:rsidRPr="00333D50">
        <w:rPr>
          <w:spacing w:val="-4"/>
        </w:rPr>
        <w:t xml:space="preserve">Gelman, Andrew 2016, </w:t>
      </w:r>
      <w:r w:rsidRPr="00333D50">
        <w:rPr>
          <w:i/>
          <w:iCs/>
          <w:spacing w:val="-4"/>
        </w:rPr>
        <w:t>Bayesian statistics: What’s it all about?</w:t>
      </w:r>
      <w:r w:rsidRPr="00333D50">
        <w:rPr>
          <w:spacing w:val="-4"/>
        </w:rPr>
        <w:t>, https://andrewgelman.com/</w:t>
      </w:r>
      <w:r w:rsidR="00333D50">
        <w:rPr>
          <w:spacing w:val="-4"/>
        </w:rPr>
        <w:br/>
      </w:r>
      <w:r w:rsidRPr="00333D50">
        <w:rPr>
          <w:spacing w:val="-4"/>
        </w:rPr>
        <w:t>2016/12/13/bayesian-statistics-whats/ (accessed 19</w:t>
      </w:r>
      <w:r w:rsidR="00F640C8" w:rsidRPr="00333D50">
        <w:rPr>
          <w:spacing w:val="-4"/>
        </w:rPr>
        <w:t> </w:t>
      </w:r>
      <w:r w:rsidRPr="00333D50">
        <w:rPr>
          <w:spacing w:val="-4"/>
        </w:rPr>
        <w:t>October 2018).</w:t>
      </w:r>
    </w:p>
    <w:p w:rsidR="004C2AA0" w:rsidRPr="003779D8" w:rsidRDefault="004C2AA0" w:rsidP="00333D50">
      <w:pPr>
        <w:pStyle w:val="Reference"/>
        <w:rPr>
          <w:spacing w:val="-4"/>
        </w:rPr>
      </w:pPr>
      <w:r w:rsidRPr="003779D8">
        <w:rPr>
          <w:spacing w:val="-4"/>
        </w:rPr>
        <w:t xml:space="preserve">Goldstein, H., Browne, W.J. and Charlton, C. 2018, ‘A Bayesian model for measurement and misclassification errors alongside missing data, with an application to higher education participation in Australia’, </w:t>
      </w:r>
      <w:r w:rsidRPr="003779D8">
        <w:rPr>
          <w:i/>
          <w:iCs/>
          <w:spacing w:val="-4"/>
        </w:rPr>
        <w:t>Journal of Applied Statistics</w:t>
      </w:r>
      <w:r w:rsidRPr="003779D8">
        <w:rPr>
          <w:spacing w:val="-4"/>
        </w:rPr>
        <w:t>, vol. 45, no. 5, pp. 918–931.</w:t>
      </w:r>
    </w:p>
    <w:p w:rsidR="004C2AA0" w:rsidRPr="004C2AA0" w:rsidRDefault="004C2AA0" w:rsidP="00333D50">
      <w:pPr>
        <w:pStyle w:val="Reference"/>
      </w:pPr>
      <w:r w:rsidRPr="004C2AA0">
        <w:t xml:space="preserve">Heckman, J.J. 1979, ‘Sample selection bias as a specification error’, </w:t>
      </w:r>
      <w:r w:rsidRPr="004C2AA0">
        <w:rPr>
          <w:i/>
          <w:iCs/>
        </w:rPr>
        <w:t>Econometrica</w:t>
      </w:r>
      <w:r w:rsidRPr="004C2AA0">
        <w:t>, vol. 47, no. 1, pp. 153–161.</w:t>
      </w:r>
    </w:p>
    <w:p w:rsidR="004C2AA0" w:rsidRPr="004C2AA0" w:rsidRDefault="004C2AA0" w:rsidP="00333D50">
      <w:pPr>
        <w:pStyle w:val="Reference"/>
      </w:pPr>
      <w:r w:rsidRPr="004C2AA0">
        <w:t xml:space="preserve">Higgs, H. and Worthington, A. 2012, ‘Economies of scale and scope in Australian superannuation (pension) funds’, </w:t>
      </w:r>
      <w:r w:rsidRPr="004C2AA0">
        <w:rPr>
          <w:i/>
          <w:iCs/>
        </w:rPr>
        <w:t>Pensions</w:t>
      </w:r>
      <w:r w:rsidRPr="004C2AA0">
        <w:t>, vol. 17, no. 4, pp. 252–259.</w:t>
      </w:r>
    </w:p>
    <w:p w:rsidR="004C2AA0" w:rsidRPr="004C2AA0" w:rsidRDefault="004C2AA0" w:rsidP="00333D50">
      <w:pPr>
        <w:pStyle w:val="Reference"/>
      </w:pPr>
      <w:r w:rsidRPr="004C2AA0">
        <w:t xml:space="preserve">Lewandowksi, D., Kurowicka, D. and Joe, H. 2009, ‘Generating random correlation matrices based on vines and extended onion method’, </w:t>
      </w:r>
      <w:r w:rsidRPr="004C2AA0">
        <w:rPr>
          <w:i/>
          <w:iCs/>
        </w:rPr>
        <w:t>Journal of Multivariate Analysis</w:t>
      </w:r>
      <w:r w:rsidRPr="004C2AA0">
        <w:t>, vol. 100, no. 9, pp. 1989–2001.</w:t>
      </w:r>
    </w:p>
    <w:p w:rsidR="004C2AA0" w:rsidRPr="004C2AA0" w:rsidRDefault="004C2AA0" w:rsidP="00333D50">
      <w:pPr>
        <w:pStyle w:val="Reference"/>
      </w:pPr>
      <w:r w:rsidRPr="004C2AA0">
        <w:t xml:space="preserve">McCririck, R. and Rees, D. 2017, ‘The neutral interest rate’, </w:t>
      </w:r>
      <w:r w:rsidRPr="004C2AA0">
        <w:rPr>
          <w:i/>
          <w:iCs/>
        </w:rPr>
        <w:t>Reserve Bank of Australia Bulletin</w:t>
      </w:r>
      <w:r w:rsidRPr="004C2AA0">
        <w:t>, September 2017.</w:t>
      </w:r>
    </w:p>
    <w:p w:rsidR="004C2AA0" w:rsidRPr="004C2AA0" w:rsidRDefault="004C2AA0" w:rsidP="00333D50">
      <w:pPr>
        <w:pStyle w:val="Reference"/>
      </w:pPr>
      <w:r w:rsidRPr="004C2AA0">
        <w:t xml:space="preserve">Meager, R. forthcoming, ‘Understanding the average impact of microcredit expansions: A Bayesian hierarchical analysis of seven randomized experiments’, </w:t>
      </w:r>
      <w:r w:rsidRPr="004C2AA0">
        <w:rPr>
          <w:i/>
          <w:iCs/>
        </w:rPr>
        <w:t>American Economic Journal: Applied Economics</w:t>
      </w:r>
      <w:r w:rsidRPr="004C2AA0">
        <w:t>, https://sites.google.com/view/rachaelmeager (accessed 12</w:t>
      </w:r>
      <w:r w:rsidR="00F640C8">
        <w:t> </w:t>
      </w:r>
      <w:r w:rsidRPr="004C2AA0">
        <w:t>November 2018).</w:t>
      </w:r>
    </w:p>
    <w:p w:rsidR="004C2AA0" w:rsidRPr="004C2AA0" w:rsidRDefault="004C2AA0" w:rsidP="00333D50">
      <w:pPr>
        <w:pStyle w:val="Reference"/>
      </w:pPr>
      <w:r w:rsidRPr="004C2AA0">
        <w:t xml:space="preserve">Minifie, J., Cameron, T. and Savage, J. 2014, </w:t>
      </w:r>
      <w:r w:rsidRPr="004C2AA0">
        <w:rPr>
          <w:i/>
          <w:iCs/>
        </w:rPr>
        <w:t>Super Sting: How to Stop Australians Paying Too Much for Superannuation</w:t>
      </w:r>
      <w:r w:rsidRPr="004C2AA0">
        <w:t>, Grattan Institute, Melbourne.</w:t>
      </w:r>
    </w:p>
    <w:p w:rsidR="004C2AA0" w:rsidRPr="004C2AA0" w:rsidRDefault="004C2AA0" w:rsidP="00333D50">
      <w:pPr>
        <w:pStyle w:val="Reference"/>
      </w:pPr>
      <w:r w:rsidRPr="004C2AA0">
        <w:t xml:space="preserve">——, —— and —— 2015, </w:t>
      </w:r>
      <w:r w:rsidRPr="004C2AA0">
        <w:rPr>
          <w:i/>
          <w:iCs/>
        </w:rPr>
        <w:t>Super Savings</w:t>
      </w:r>
      <w:r w:rsidRPr="004C2AA0">
        <w:t>, Grattan Institute, Melbourne.</w:t>
      </w:r>
    </w:p>
    <w:p w:rsidR="004C2AA0" w:rsidRPr="004C2AA0" w:rsidRDefault="004C2AA0" w:rsidP="00333D50">
      <w:pPr>
        <w:pStyle w:val="Reference"/>
      </w:pPr>
      <w:r w:rsidRPr="004C2AA0">
        <w:t xml:space="preserve">PC (Productivity Commission) 2016, </w:t>
      </w:r>
      <w:r w:rsidRPr="004C2AA0">
        <w:rPr>
          <w:i/>
          <w:iCs/>
        </w:rPr>
        <w:t>How to Assess the Competitiveness and Efficiency of the Superannuation System</w:t>
      </w:r>
      <w:r w:rsidRPr="004C2AA0">
        <w:t>, Research Report, Canberra.</w:t>
      </w:r>
    </w:p>
    <w:p w:rsidR="004C2AA0" w:rsidRPr="004C2AA0" w:rsidRDefault="004C2AA0" w:rsidP="00333D50">
      <w:pPr>
        <w:pStyle w:val="Reference"/>
      </w:pPr>
      <w:r w:rsidRPr="004C2AA0">
        <w:t xml:space="preserve">Rice Warner 2014, </w:t>
      </w:r>
      <w:r w:rsidRPr="004C2AA0">
        <w:rPr>
          <w:i/>
          <w:iCs/>
        </w:rPr>
        <w:t>Superannuation Fees: Financial System Inquiry</w:t>
      </w:r>
      <w:r w:rsidRPr="004C2AA0">
        <w:t>, Sydney.</w:t>
      </w:r>
    </w:p>
    <w:p w:rsidR="004C2AA0" w:rsidRPr="00333D50" w:rsidRDefault="004C2AA0" w:rsidP="00333D50">
      <w:pPr>
        <w:pStyle w:val="Reference"/>
        <w:rPr>
          <w:spacing w:val="-4"/>
        </w:rPr>
      </w:pPr>
      <w:r w:rsidRPr="00333D50">
        <w:rPr>
          <w:spacing w:val="-4"/>
        </w:rPr>
        <w:t xml:space="preserve">Stockspot 2018, </w:t>
      </w:r>
      <w:r w:rsidRPr="00333D50">
        <w:rPr>
          <w:i/>
          <w:iCs/>
          <w:spacing w:val="-4"/>
        </w:rPr>
        <w:t>ETFs Compared</w:t>
      </w:r>
      <w:r w:rsidRPr="00333D50">
        <w:rPr>
          <w:spacing w:val="-4"/>
        </w:rPr>
        <w:t>, https://www.stockspot.com.au/ (accessed 9</w:t>
      </w:r>
      <w:r w:rsidR="00F640C8" w:rsidRPr="00333D50">
        <w:rPr>
          <w:spacing w:val="-4"/>
        </w:rPr>
        <w:t> </w:t>
      </w:r>
      <w:r w:rsidRPr="00333D50">
        <w:rPr>
          <w:spacing w:val="-4"/>
        </w:rPr>
        <w:t>November 2018).</w:t>
      </w:r>
    </w:p>
    <w:p w:rsidR="006A6C16" w:rsidRPr="003B11F0" w:rsidRDefault="004C2AA0" w:rsidP="00333D50">
      <w:pPr>
        <w:pStyle w:val="Reference"/>
      </w:pPr>
      <w:r w:rsidRPr="004C2AA0">
        <w:t xml:space="preserve">Sy, W. 2012, </w:t>
      </w:r>
      <w:r w:rsidRPr="004C2AA0">
        <w:rPr>
          <w:i/>
          <w:iCs/>
        </w:rPr>
        <w:t>Scale and competition in Australian superannuation</w:t>
      </w:r>
      <w:r w:rsidRPr="004C2AA0">
        <w:t>, SSRN Scholarl</w:t>
      </w:r>
      <w:r w:rsidR="003B11F0">
        <w:t>y Paper ID 2374930, 2 November.</w:t>
      </w:r>
    </w:p>
    <w:sectPr w:rsidR="006A6C16" w:rsidRPr="003B11F0" w:rsidSect="008A57F3">
      <w:headerReference w:type="default" r:id="rId56"/>
      <w:footerReference w:type="even" r:id="rId57"/>
      <w:footerReference w:type="default" r:id="rId58"/>
      <w:pgSz w:w="11907" w:h="16840" w:code="9"/>
      <w:pgMar w:top="1985" w:right="1304" w:bottom="1247" w:left="1814" w:header="1701" w:footer="397" w:gutter="0"/>
      <w:pgNumType w:start="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D0D" w:rsidRDefault="000F0D0D">
      <w:r>
        <w:separator/>
      </w:r>
    </w:p>
  </w:endnote>
  <w:endnote w:type="continuationSeparator" w:id="0">
    <w:p w:rsidR="000F0D0D" w:rsidRDefault="000F0D0D">
      <w:r>
        <w:continuationSeparator/>
      </w:r>
    </w:p>
  </w:endnote>
  <w:endnote w:type="continuationNotice" w:id="1">
    <w:p w:rsidR="000F0D0D" w:rsidRDefault="000F0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0D0D" w:rsidTr="005F48ED">
      <w:trPr>
        <w:trHeight w:hRule="exact" w:val="567"/>
      </w:trPr>
      <w:tc>
        <w:tcPr>
          <w:tcW w:w="510" w:type="dxa"/>
        </w:tcPr>
        <w:p w:rsidR="000F0D0D" w:rsidRDefault="000F0D0D">
          <w:pPr>
            <w:pStyle w:val="Footer"/>
            <w:ind w:right="360" w:firstLine="360"/>
          </w:pPr>
        </w:p>
      </w:tc>
      <w:tc>
        <w:tcPr>
          <w:tcW w:w="7767" w:type="dxa"/>
        </w:tcPr>
        <w:p w:rsidR="000F0D0D" w:rsidRPr="00BA5B14" w:rsidRDefault="000F0D0D" w:rsidP="0013739A">
          <w:pPr>
            <w:pStyle w:val="Footer"/>
            <w:jc w:val="right"/>
            <w:rPr>
              <w:rFonts w:cs="Arial"/>
            </w:rPr>
          </w:pPr>
          <w:r w:rsidRPr="00BA5B14">
            <w:rPr>
              <w:rFonts w:cs="Arial"/>
            </w:rPr>
            <w:fldChar w:fldCharType="begin"/>
          </w:r>
          <w:r w:rsidRPr="00BA5B14">
            <w:rPr>
              <w:rFonts w:cs="Arial"/>
            </w:rPr>
            <w:instrText xml:space="preserve"> TITLE  \* MERGEFORMAT </w:instrText>
          </w:r>
          <w:r w:rsidRPr="00BA5B14">
            <w:rPr>
              <w:rFonts w:cs="Arial"/>
            </w:rPr>
            <w:fldChar w:fldCharType="separate"/>
          </w:r>
          <w:r w:rsidR="002E7372">
            <w:rPr>
              <w:rFonts w:cs="Arial"/>
            </w:rPr>
            <w:t>Economies of scale</w:t>
          </w:r>
          <w:r w:rsidRPr="00BA5B14">
            <w:rPr>
              <w:rFonts w:cs="Arial"/>
            </w:rPr>
            <w:fldChar w:fldCharType="end"/>
          </w:r>
          <w:bookmarkStart w:id="2" w:name="DraftReportOdd"/>
          <w:bookmarkEnd w:id="2"/>
        </w:p>
      </w:tc>
      <w:tc>
        <w:tcPr>
          <w:tcW w:w="510" w:type="dxa"/>
        </w:tcPr>
        <w:p w:rsidR="000F0D0D" w:rsidRPr="00A24443" w:rsidRDefault="000F0D0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F492C">
            <w:rPr>
              <w:rStyle w:val="PageNumber"/>
              <w:caps w:val="0"/>
              <w:noProof/>
            </w:rPr>
            <w:t>1</w:t>
          </w:r>
          <w:r w:rsidRPr="00A24443">
            <w:rPr>
              <w:rStyle w:val="PageNumber"/>
              <w:caps w:val="0"/>
            </w:rPr>
            <w:fldChar w:fldCharType="end"/>
          </w:r>
        </w:p>
      </w:tc>
    </w:tr>
  </w:tbl>
  <w:p w:rsidR="000F0D0D" w:rsidRDefault="000F0D0D">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0D0D" w:rsidTr="001B2793">
      <w:trPr>
        <w:trHeight w:hRule="exact" w:val="567"/>
      </w:trPr>
      <w:tc>
        <w:tcPr>
          <w:tcW w:w="510" w:type="dxa"/>
        </w:tcPr>
        <w:p w:rsidR="000F0D0D" w:rsidRPr="00A24443" w:rsidRDefault="000F0D0D" w:rsidP="00D47354">
          <w:pPr>
            <w:pStyle w:val="Footer"/>
            <w:tabs>
              <w:tab w:val="left" w:pos="0"/>
            </w:tabs>
            <w:ind w:right="0"/>
            <w:rPr>
              <w:rStyle w:val="PageNumber"/>
              <w:caps w:val="0"/>
            </w:rPr>
          </w:pPr>
          <w:r w:rsidRPr="00704EC5">
            <w:rPr>
              <w:rStyle w:val="PageNumber"/>
              <w:caps w:val="0"/>
            </w:rPr>
            <w:fldChar w:fldCharType="begin"/>
          </w:r>
          <w:r w:rsidRPr="00704EC5">
            <w:rPr>
              <w:rStyle w:val="PageNumber"/>
              <w:caps w:val="0"/>
            </w:rPr>
            <w:instrText xml:space="preserve"> PAGE   \* MERGEFORMAT </w:instrText>
          </w:r>
          <w:r w:rsidRPr="00704EC5">
            <w:rPr>
              <w:rStyle w:val="PageNumber"/>
              <w:caps w:val="0"/>
            </w:rPr>
            <w:fldChar w:fldCharType="separate"/>
          </w:r>
          <w:r w:rsidR="001F492C">
            <w:rPr>
              <w:rStyle w:val="PageNumber"/>
              <w:caps w:val="0"/>
              <w:noProof/>
            </w:rPr>
            <w:t>iv</w:t>
          </w:r>
          <w:r w:rsidRPr="00704EC5">
            <w:rPr>
              <w:rStyle w:val="PageNumber"/>
              <w:caps w:val="0"/>
              <w:noProof/>
            </w:rPr>
            <w:fldChar w:fldCharType="end"/>
          </w:r>
        </w:p>
      </w:tc>
      <w:tc>
        <w:tcPr>
          <w:tcW w:w="7767" w:type="dxa"/>
        </w:tcPr>
        <w:p w:rsidR="000F0D0D" w:rsidRPr="0013739A" w:rsidRDefault="000F0D0D" w:rsidP="00D47354">
          <w:pPr>
            <w:pStyle w:val="Footer"/>
            <w:rPr>
              <w:rFonts w:cs="Arial"/>
            </w:rPr>
          </w:pPr>
          <w:r w:rsidRPr="00D3203C">
            <w:t>Superannuation: Efficiency and Competitiveness</w:t>
          </w:r>
        </w:p>
      </w:tc>
      <w:tc>
        <w:tcPr>
          <w:tcW w:w="510" w:type="dxa"/>
        </w:tcPr>
        <w:p w:rsidR="000F0D0D" w:rsidRDefault="000F0D0D" w:rsidP="00D47354">
          <w:pPr>
            <w:pStyle w:val="Footer"/>
          </w:pPr>
        </w:p>
      </w:tc>
    </w:tr>
  </w:tbl>
  <w:p w:rsidR="000F0D0D" w:rsidRPr="0052692F" w:rsidRDefault="000F0D0D" w:rsidP="0052692F">
    <w:pPr>
      <w:pStyle w:val="Footer"/>
      <w:spacing w:before="0" w:line="20" w:lineRule="exact"/>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0D0D" w:rsidTr="005F48ED">
      <w:trPr>
        <w:trHeight w:hRule="exact" w:val="567"/>
      </w:trPr>
      <w:tc>
        <w:tcPr>
          <w:tcW w:w="510" w:type="dxa"/>
        </w:tcPr>
        <w:p w:rsidR="000F0D0D" w:rsidRDefault="000F0D0D">
          <w:pPr>
            <w:pStyle w:val="Footer"/>
            <w:ind w:right="360" w:firstLine="360"/>
          </w:pPr>
        </w:p>
      </w:tc>
      <w:tc>
        <w:tcPr>
          <w:tcW w:w="7767" w:type="dxa"/>
        </w:tcPr>
        <w:p w:rsidR="000F0D0D" w:rsidRPr="00BA5B14" w:rsidRDefault="000F0D0D" w:rsidP="0013739A">
          <w:pPr>
            <w:pStyle w:val="Footer"/>
            <w:jc w:val="right"/>
            <w:rPr>
              <w:rFonts w:cs="Arial"/>
            </w:rPr>
          </w:pPr>
          <w:r w:rsidRPr="00BA5B14">
            <w:rPr>
              <w:rFonts w:cs="Arial"/>
            </w:rPr>
            <w:fldChar w:fldCharType="begin"/>
          </w:r>
          <w:r w:rsidRPr="00BA5B14">
            <w:rPr>
              <w:rFonts w:cs="Arial"/>
            </w:rPr>
            <w:instrText xml:space="preserve"> TITLE  \* MERGEFORMAT </w:instrText>
          </w:r>
          <w:r w:rsidRPr="00BA5B14">
            <w:rPr>
              <w:rFonts w:cs="Arial"/>
            </w:rPr>
            <w:fldChar w:fldCharType="separate"/>
          </w:r>
          <w:r w:rsidR="002E7372">
            <w:rPr>
              <w:rFonts w:cs="Arial"/>
            </w:rPr>
            <w:t>Economies of scale</w:t>
          </w:r>
          <w:r w:rsidRPr="00BA5B14">
            <w:rPr>
              <w:rFonts w:cs="Arial"/>
            </w:rPr>
            <w:fldChar w:fldCharType="end"/>
          </w:r>
        </w:p>
      </w:tc>
      <w:tc>
        <w:tcPr>
          <w:tcW w:w="510" w:type="dxa"/>
        </w:tcPr>
        <w:p w:rsidR="000F0D0D" w:rsidRPr="00A24443" w:rsidRDefault="000F0D0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F492C">
            <w:rPr>
              <w:rStyle w:val="PageNumber"/>
              <w:caps w:val="0"/>
              <w:noProof/>
            </w:rPr>
            <w:t>iii</w:t>
          </w:r>
          <w:r w:rsidRPr="00A24443">
            <w:rPr>
              <w:rStyle w:val="PageNumber"/>
              <w:caps w:val="0"/>
            </w:rPr>
            <w:fldChar w:fldCharType="end"/>
          </w:r>
        </w:p>
      </w:tc>
    </w:tr>
  </w:tbl>
  <w:p w:rsidR="000F0D0D" w:rsidRDefault="000F0D0D">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0D0D" w:rsidTr="003B11F0">
      <w:trPr>
        <w:trHeight w:hRule="exact" w:val="567"/>
      </w:trPr>
      <w:tc>
        <w:tcPr>
          <w:tcW w:w="510" w:type="dxa"/>
        </w:tcPr>
        <w:p w:rsidR="000F0D0D" w:rsidRPr="00A24443" w:rsidRDefault="000F0D0D" w:rsidP="0052692F">
          <w:pPr>
            <w:pStyle w:val="Footer"/>
            <w:tabs>
              <w:tab w:val="left" w:pos="0"/>
            </w:tabs>
            <w:ind w:right="0"/>
            <w:rPr>
              <w:rStyle w:val="PageNumber"/>
              <w:caps w:val="0"/>
            </w:rPr>
          </w:pPr>
          <w:r w:rsidRPr="00704EC5">
            <w:rPr>
              <w:rStyle w:val="PageNumber"/>
              <w:caps w:val="0"/>
            </w:rPr>
            <w:fldChar w:fldCharType="begin"/>
          </w:r>
          <w:r w:rsidRPr="00704EC5">
            <w:rPr>
              <w:rStyle w:val="PageNumber"/>
              <w:caps w:val="0"/>
            </w:rPr>
            <w:instrText xml:space="preserve"> PAGE   \* MERGEFORMAT </w:instrText>
          </w:r>
          <w:r w:rsidRPr="00704EC5">
            <w:rPr>
              <w:rStyle w:val="PageNumber"/>
              <w:caps w:val="0"/>
            </w:rPr>
            <w:fldChar w:fldCharType="separate"/>
          </w:r>
          <w:r w:rsidR="001F492C">
            <w:rPr>
              <w:rStyle w:val="PageNumber"/>
              <w:caps w:val="0"/>
              <w:noProof/>
            </w:rPr>
            <w:t>2</w:t>
          </w:r>
          <w:r w:rsidRPr="00704EC5">
            <w:rPr>
              <w:rStyle w:val="PageNumber"/>
              <w:caps w:val="0"/>
              <w:noProof/>
            </w:rPr>
            <w:fldChar w:fldCharType="end"/>
          </w:r>
        </w:p>
      </w:tc>
      <w:tc>
        <w:tcPr>
          <w:tcW w:w="7767" w:type="dxa"/>
        </w:tcPr>
        <w:p w:rsidR="000F0D0D" w:rsidRPr="0013739A" w:rsidRDefault="000F0D0D" w:rsidP="0052692F">
          <w:pPr>
            <w:pStyle w:val="Footer"/>
            <w:rPr>
              <w:rFonts w:cs="Arial"/>
            </w:rPr>
          </w:pPr>
          <w:r w:rsidRPr="00D3203C">
            <w:t>Superannuation: Efficiency and Competitiveness</w:t>
          </w:r>
        </w:p>
      </w:tc>
      <w:tc>
        <w:tcPr>
          <w:tcW w:w="510" w:type="dxa"/>
        </w:tcPr>
        <w:p w:rsidR="000F0D0D" w:rsidRDefault="000F0D0D" w:rsidP="0052692F">
          <w:pPr>
            <w:pStyle w:val="Footer"/>
          </w:pPr>
        </w:p>
      </w:tc>
    </w:tr>
  </w:tbl>
  <w:p w:rsidR="000F0D0D" w:rsidRPr="0052692F" w:rsidRDefault="000F0D0D" w:rsidP="0052692F">
    <w:pPr>
      <w:pStyle w:val="Footer"/>
      <w:spacing w:before="0" w:line="20" w:lineRule="exact"/>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0D0D" w:rsidTr="005F48ED">
      <w:trPr>
        <w:trHeight w:hRule="exact" w:val="567"/>
      </w:trPr>
      <w:tc>
        <w:tcPr>
          <w:tcW w:w="510" w:type="dxa"/>
        </w:tcPr>
        <w:p w:rsidR="000F0D0D" w:rsidRDefault="000F0D0D">
          <w:pPr>
            <w:pStyle w:val="Footer"/>
            <w:ind w:right="360" w:firstLine="360"/>
          </w:pPr>
        </w:p>
      </w:tc>
      <w:tc>
        <w:tcPr>
          <w:tcW w:w="7767" w:type="dxa"/>
        </w:tcPr>
        <w:p w:rsidR="000F0D0D" w:rsidRPr="00BA5B14" w:rsidRDefault="000F0D0D" w:rsidP="0013739A">
          <w:pPr>
            <w:pStyle w:val="Footer"/>
            <w:jc w:val="right"/>
            <w:rPr>
              <w:rFonts w:cs="Arial"/>
            </w:rPr>
          </w:pPr>
          <w:r w:rsidRPr="00BA5B14">
            <w:rPr>
              <w:rFonts w:cs="Arial"/>
            </w:rPr>
            <w:fldChar w:fldCharType="begin"/>
          </w:r>
          <w:r w:rsidRPr="00BA5B14">
            <w:rPr>
              <w:rFonts w:cs="Arial"/>
            </w:rPr>
            <w:instrText xml:space="preserve"> TITLE  \* MERGEFORMAT </w:instrText>
          </w:r>
          <w:r w:rsidRPr="00BA5B14">
            <w:rPr>
              <w:rFonts w:cs="Arial"/>
            </w:rPr>
            <w:fldChar w:fldCharType="separate"/>
          </w:r>
          <w:r w:rsidR="002E7372">
            <w:rPr>
              <w:rFonts w:cs="Arial"/>
            </w:rPr>
            <w:t>Economies of scale</w:t>
          </w:r>
          <w:r w:rsidRPr="00BA5B14">
            <w:rPr>
              <w:rFonts w:cs="Arial"/>
            </w:rPr>
            <w:fldChar w:fldCharType="end"/>
          </w:r>
        </w:p>
      </w:tc>
      <w:tc>
        <w:tcPr>
          <w:tcW w:w="510" w:type="dxa"/>
        </w:tcPr>
        <w:p w:rsidR="000F0D0D" w:rsidRPr="00A24443" w:rsidRDefault="000F0D0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F492C">
            <w:rPr>
              <w:rStyle w:val="PageNumber"/>
              <w:caps w:val="0"/>
              <w:noProof/>
            </w:rPr>
            <w:t>3</w:t>
          </w:r>
          <w:r w:rsidRPr="00A24443">
            <w:rPr>
              <w:rStyle w:val="PageNumber"/>
              <w:caps w:val="0"/>
            </w:rPr>
            <w:fldChar w:fldCharType="end"/>
          </w:r>
        </w:p>
      </w:tc>
    </w:tr>
  </w:tbl>
  <w:p w:rsidR="000F0D0D" w:rsidRDefault="000F0D0D">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D0D" w:rsidRDefault="000F0D0D">
      <w:r>
        <w:separator/>
      </w:r>
    </w:p>
  </w:footnote>
  <w:footnote w:type="continuationSeparator" w:id="0">
    <w:p w:rsidR="000F0D0D" w:rsidRDefault="000F0D0D">
      <w:r>
        <w:continuationSeparator/>
      </w:r>
    </w:p>
  </w:footnote>
  <w:footnote w:type="continuationNotice" w:id="1">
    <w:p w:rsidR="000F0D0D" w:rsidRDefault="000F0D0D"/>
  </w:footnote>
  <w:footnote w:id="2">
    <w:p w:rsidR="000F0D0D" w:rsidRDefault="000F0D0D">
      <w:pPr>
        <w:pStyle w:val="FootnoteText"/>
      </w:pPr>
      <w:r>
        <w:rPr>
          <w:rStyle w:val="FootnoteReference"/>
        </w:rPr>
        <w:footnoteRef/>
      </w:r>
      <w:r>
        <w:tab/>
        <w:t>Large APRA</w:t>
      </w:r>
      <w:r>
        <w:noBreakHyphen/>
        <w:t>regulated funds include funds with more than four members. Small APRA</w:t>
      </w:r>
      <w:r>
        <w:noBreakHyphen/>
        <w:t>regulated funds have less than five members.</w:t>
      </w:r>
    </w:p>
  </w:footnote>
  <w:footnote w:id="3">
    <w:p w:rsidR="000F0D0D" w:rsidRDefault="000F0D0D">
      <w:pPr>
        <w:pStyle w:val="FootnoteText"/>
      </w:pPr>
      <w:r w:rsidRPr="006007B3">
        <w:rPr>
          <w:rStyle w:val="FootnoteReference"/>
        </w:rPr>
        <w:footnoteRef/>
      </w:r>
      <w:r>
        <w:tab/>
        <w:t>Liana Jacobi is an Associate Professor of economics at the University of Melbourne. Her research interests are in Bayesian econometrics and their applications to health and labour economics. She also co-chairs the Bayesian analysis and modelling research group.</w:t>
      </w:r>
    </w:p>
  </w:footnote>
  <w:footnote w:id="4">
    <w:p w:rsidR="000F0D0D" w:rsidRPr="00CA3FA7" w:rsidRDefault="000F0D0D" w:rsidP="00D937B6">
      <w:pPr>
        <w:pStyle w:val="FootnoteText"/>
        <w:rPr>
          <w:rStyle w:val="Hyperlink"/>
          <w:color w:val="auto"/>
          <w:u w:val="none"/>
        </w:rPr>
      </w:pPr>
      <w:r w:rsidRPr="006007B3">
        <w:rPr>
          <w:rStyle w:val="FootnoteReference"/>
        </w:rPr>
        <w:footnoteRef/>
      </w:r>
      <w:r>
        <w:tab/>
        <w:t xml:space="preserve">Jim Savage is Head of Data Science at </w:t>
      </w:r>
      <w:hyperlink r:id="rId1" w:history="1">
        <w:r w:rsidRPr="0000036A">
          <w:rPr>
            <w:rStyle w:val="Hyperlink"/>
            <w:u w:val="none"/>
          </w:rPr>
          <w:t>Lendable</w:t>
        </w:r>
      </w:hyperlink>
      <w:r>
        <w:t xml:space="preserve"> Inc., based in the United States, and previously worked at the </w:t>
      </w:r>
      <w:r w:rsidRPr="00CA3FA7">
        <w:rPr>
          <w:rStyle w:val="Hyperlink"/>
          <w:u w:val="none"/>
        </w:rPr>
        <w:t>Grattan Institute, where he contributed to papers on superannuation</w:t>
      </w:r>
      <w:r w:rsidRPr="00CA3FA7" w:rsidDel="00B80D61">
        <w:rPr>
          <w:rStyle w:val="Hyperlink"/>
          <w:u w:val="none"/>
        </w:rPr>
        <w:t xml:space="preserve"> </w:t>
      </w:r>
      <w:r w:rsidRPr="00CA3FA7">
        <w:rPr>
          <w:rStyle w:val="Hyperlink"/>
          <w:u w:val="none"/>
        </w:rPr>
        <w:fldChar w:fldCharType="begin"/>
      </w:r>
      <w:r>
        <w:rPr>
          <w:rStyle w:val="Hyperlink"/>
          <w:u w:val="none"/>
        </w:rPr>
        <w:instrText xml:space="preserve"> ADDIN ZOTERO_ITEM CSL_CITATION {"citationID":"HbIiUCEW","properties":{"formattedCitation":"(Minifie, Cameron and Savage\\uc0\\u160{}2014, 2015)","plainCitation":"(Minifie, Cameron and Savage 2014, 2015)","noteIndex":3},"citationItems":[{"id":2488,"uris":["http://zotero.org/groups/447740/items/GSHBN8RB"],"uri":["http://zotero.org/groups/447740/items/GSHBN8RB"],"itemData":{"id":2488,"type":"report","title":"Super Sting: How to Stop Australians Paying Too Much for Superannuation","publisher":"Grattan Institute","publisher-place":"Melbourne","event-place":"Melbourne","author":[{"family":"Minifie","given":"J."},{"family":"Cameron","given":"T."},{"family":"Savage","given":"J."}],"issued":{"date-parts":[["2014"]]}},"label":"page"},{"id":2489,"uris":["http://zotero.org/groups/447740/items/U4WMHMBF"],"uri":["http://zotero.org/groups/447740/items/U4WMHMBF"],"itemData":{"id":2489,"type":"report","title":"Super Savings","publisher":"Grattan Institute","publisher-place":"Melbourne","event-place":"Melbourne","author":[{"family":"Minifie","given":"J."},{"family":"Cameron","given":"T."},{"family":"Savage","given":"J."}],"issued":{"date-parts":[["2015"]]}},"label":"page"}],"schema":"https://github.com/citation-style-language/schema/raw/master/csl-citation.json"} </w:instrText>
      </w:r>
      <w:r w:rsidRPr="00CA3FA7">
        <w:rPr>
          <w:rStyle w:val="Hyperlink"/>
          <w:u w:val="none"/>
        </w:rPr>
        <w:fldChar w:fldCharType="separate"/>
      </w:r>
      <w:r w:rsidRPr="00CA3FA7">
        <w:rPr>
          <w:rStyle w:val="Hyperlink"/>
          <w:u w:val="none"/>
        </w:rPr>
        <w:t>(Minifie, Cameron and Savage 2014, 2015)</w:t>
      </w:r>
      <w:r w:rsidRPr="00CA3FA7">
        <w:rPr>
          <w:rStyle w:val="Hyperlink"/>
          <w:u w:val="none"/>
        </w:rPr>
        <w:fldChar w:fldCharType="end"/>
      </w:r>
      <w:r w:rsidRPr="00CA3FA7">
        <w:rPr>
          <w:rStyle w:val="Hyperlink"/>
          <w:u w:val="none"/>
        </w:rPr>
        <w:t>.</w:t>
      </w:r>
    </w:p>
  </w:footnote>
  <w:footnote w:id="5">
    <w:p w:rsidR="000F0D0D" w:rsidRDefault="000F0D0D">
      <w:pPr>
        <w:pStyle w:val="FootnoteText"/>
      </w:pPr>
      <w:r>
        <w:rPr>
          <w:rStyle w:val="FootnoteReference"/>
        </w:rPr>
        <w:footnoteRef/>
      </w:r>
      <w:r>
        <w:tab/>
      </w:r>
      <w:r>
        <w:rPr>
          <w:rStyle w:val="Hyperlink"/>
          <w:u w:val="none"/>
        </w:rPr>
        <w:t>The Commission held a by-invitation technical workshop to present and discuss this further analysis in October 2018.</w:t>
      </w:r>
    </w:p>
  </w:footnote>
  <w:footnote w:id="6">
    <w:p w:rsidR="000F0D0D" w:rsidRDefault="000F0D0D">
      <w:pPr>
        <w:pStyle w:val="FootnoteText"/>
      </w:pPr>
      <w:r w:rsidRPr="006007B3">
        <w:rPr>
          <w:rStyle w:val="FootnoteReference"/>
        </w:rPr>
        <w:footnoteRef/>
      </w:r>
      <w:r>
        <w:tab/>
        <w:t>Data were drawn from a</w:t>
      </w:r>
      <w:r>
        <w:rPr>
          <w:color w:val="000000"/>
        </w:rPr>
        <w:t>nnual fund-</w:t>
      </w:r>
      <w:r w:rsidRPr="0000036A">
        <w:t xml:space="preserve">level statistics </w:t>
      </w:r>
      <w:r>
        <w:t>in which</w:t>
      </w:r>
      <w:r w:rsidRPr="00055BE4">
        <w:t xml:space="preserve"> data for small funds were unmasked</w:t>
      </w:r>
      <w:r w:rsidRPr="0000036A">
        <w:t>.</w:t>
      </w:r>
    </w:p>
  </w:footnote>
  <w:footnote w:id="7">
    <w:p w:rsidR="000F0D0D" w:rsidRDefault="000F0D0D" w:rsidP="00C21D11">
      <w:pPr>
        <w:pStyle w:val="FootnoteText"/>
      </w:pPr>
      <w:r w:rsidRPr="006007B3">
        <w:rPr>
          <w:rStyle w:val="FootnoteReference"/>
        </w:rPr>
        <w:footnoteRef/>
      </w:r>
      <w:r>
        <w:tab/>
      </w:r>
      <w:r w:rsidDel="007D179D">
        <w:t>While these data</w:t>
      </w:r>
      <w:r>
        <w:t xml:space="preserve"> could have been imputed</w:t>
      </w:r>
      <w:r w:rsidDel="007D179D">
        <w:t xml:space="preserve">, </w:t>
      </w:r>
      <w:r>
        <w:t xml:space="preserve">fund–year observations with this characteristic were immaterial, suggesting that excluding them has little </w:t>
      </w:r>
      <w:r w:rsidDel="007D179D">
        <w:t xml:space="preserve">impact on the </w:t>
      </w:r>
      <w:r>
        <w:t>results</w:t>
      </w:r>
      <w:r w:rsidDel="007D179D">
        <w:t xml:space="preserve">. </w:t>
      </w:r>
      <w:r>
        <w:t xml:space="preserve">Further, this imputation exercise would have </w:t>
      </w:r>
      <w:r w:rsidDel="007D179D">
        <w:t xml:space="preserve">significantly </w:t>
      </w:r>
      <w:r>
        <w:t>reduced</w:t>
      </w:r>
      <w:r w:rsidDel="007D179D">
        <w:t xml:space="preserve"> the tractability of the model.</w:t>
      </w:r>
    </w:p>
  </w:footnote>
  <w:footnote w:id="8">
    <w:p w:rsidR="000F0D0D" w:rsidRDefault="000F0D0D">
      <w:pPr>
        <w:pStyle w:val="FootnoteText"/>
      </w:pPr>
      <w:r>
        <w:rPr>
          <w:rStyle w:val="FootnoteReference"/>
        </w:rPr>
        <w:footnoteRef/>
      </w:r>
      <w:r>
        <w:tab/>
        <w:t>The method used for imputation is described below (box 3).</w:t>
      </w:r>
    </w:p>
  </w:footnote>
  <w:footnote w:id="9">
    <w:p w:rsidR="000F0D0D" w:rsidRDefault="000F0D0D">
      <w:pPr>
        <w:pStyle w:val="FootnoteText"/>
      </w:pPr>
      <w:r>
        <w:rPr>
          <w:rStyle w:val="FootnoteReference"/>
        </w:rPr>
        <w:footnoteRef/>
      </w:r>
      <w:r>
        <w:tab/>
        <w:t>The sensitivity of the results to imputation of implausibly low administration and investment expenses was tested but the resulting estimates were not preferred (appendix C).</w:t>
      </w:r>
    </w:p>
  </w:footnote>
  <w:footnote w:id="10">
    <w:p w:rsidR="000F0D0D" w:rsidRPr="00EC78FA" w:rsidRDefault="000F0D0D" w:rsidP="00AF2242">
      <w:pPr>
        <w:pStyle w:val="FootnoteText"/>
        <w:rPr>
          <w:spacing w:val="-2"/>
        </w:rPr>
      </w:pPr>
      <w:r w:rsidRPr="00EC78FA">
        <w:rPr>
          <w:rStyle w:val="FootnoteReference"/>
          <w:spacing w:val="-2"/>
        </w:rPr>
        <w:footnoteRef/>
      </w:r>
      <w:r w:rsidRPr="00EC78FA">
        <w:rPr>
          <w:spacing w:val="-2"/>
        </w:rPr>
        <w:tab/>
        <w:t xml:space="preserve">Fees were aggregated from product level data to fund level by taking the average of fees for products available for a fund in the dataset. </w:t>
      </w:r>
      <w:r>
        <w:rPr>
          <w:spacing w:val="-2"/>
        </w:rPr>
        <w:t xml:space="preserve">See appendix C for further details. </w:t>
      </w:r>
    </w:p>
  </w:footnote>
  <w:footnote w:id="11">
    <w:p w:rsidR="000F0D0D" w:rsidRDefault="000F0D0D" w:rsidP="00DC082A">
      <w:pPr>
        <w:pStyle w:val="FootnoteText"/>
      </w:pPr>
      <w:r>
        <w:rPr>
          <w:rStyle w:val="FootnoteReference"/>
        </w:rPr>
        <w:footnoteRef/>
      </w:r>
      <w:r>
        <w:tab/>
      </w:r>
      <w:r>
        <w:rPr>
          <w:spacing w:val="-2"/>
        </w:rPr>
        <w:t>Use of a Bayesian framework was suggested</w:t>
      </w:r>
      <w:r w:rsidRPr="00E97CFD">
        <w:rPr>
          <w:spacing w:val="-2"/>
        </w:rPr>
        <w:t xml:space="preserve"> by </w:t>
      </w:r>
      <w:r>
        <w:rPr>
          <w:spacing w:val="-2"/>
        </w:rPr>
        <w:t>the</w:t>
      </w:r>
      <w:r w:rsidRPr="00E97CFD">
        <w:rPr>
          <w:spacing w:val="-2"/>
        </w:rPr>
        <w:t xml:space="preserve"> consultant</w:t>
      </w:r>
      <w:r>
        <w:rPr>
          <w:spacing w:val="-2"/>
        </w:rPr>
        <w:t xml:space="preserve"> to the analysis</w:t>
      </w:r>
      <w:r w:rsidRPr="00E97CFD">
        <w:rPr>
          <w:spacing w:val="-2"/>
        </w:rPr>
        <w:t>, Jim Savage</w:t>
      </w:r>
      <w:r>
        <w:rPr>
          <w:spacing w:val="-2"/>
        </w:rPr>
        <w:t>, and confirmed by Liana Jacobi in her technical peer review.</w:t>
      </w:r>
    </w:p>
  </w:footnote>
  <w:footnote w:id="12">
    <w:p w:rsidR="000F0D0D" w:rsidRPr="003C382E" w:rsidRDefault="000F0D0D" w:rsidP="003C382E">
      <w:pPr>
        <w:pStyle w:val="FootnoteText"/>
      </w:pPr>
      <w:r>
        <w:rPr>
          <w:rStyle w:val="FootnoteReference"/>
        </w:rPr>
        <w:footnoteRef/>
      </w:r>
      <w:r>
        <w:tab/>
        <w:t>Participants suggested that t</w:t>
      </w:r>
      <w:r w:rsidRPr="00CF1A0E">
        <w:t xml:space="preserve">he result for corporate funds </w:t>
      </w:r>
      <w:r>
        <w:t>might reflect</w:t>
      </w:r>
      <w:r w:rsidRPr="00CF1A0E">
        <w:t xml:space="preserve"> economies stemming from companies’ use of </w:t>
      </w:r>
      <w:r>
        <w:t xml:space="preserve">their own </w:t>
      </w:r>
      <w:r w:rsidRPr="00CF1A0E">
        <w:t xml:space="preserve">human resources and payroll </w:t>
      </w:r>
      <w:r>
        <w:t>systems</w:t>
      </w:r>
      <w:r w:rsidRPr="00CF1A0E">
        <w:t xml:space="preserve"> to administer super.</w:t>
      </w:r>
    </w:p>
  </w:footnote>
  <w:footnote w:id="13">
    <w:p w:rsidR="000F0D0D" w:rsidRDefault="000F0D0D">
      <w:pPr>
        <w:pStyle w:val="FootnoteText"/>
      </w:pPr>
      <w:r>
        <w:rPr>
          <w:rStyle w:val="FootnoteReference"/>
        </w:rPr>
        <w:footnoteRef/>
      </w:r>
      <w:r>
        <w:tab/>
        <w:t>Averaging the fund</w:t>
      </w:r>
      <w:r>
        <w:noBreakHyphen/>
        <w:t>specific effects derived from the multi</w:t>
      </w:r>
      <w:r>
        <w:noBreakHyphen/>
        <w:t>level modelling (box 3) and the impacts of other variables produces a figure that can be hard to interpret.</w:t>
      </w:r>
    </w:p>
  </w:footnote>
  <w:footnote w:id="14">
    <w:p w:rsidR="000F0D0D" w:rsidRDefault="000F0D0D">
      <w:pPr>
        <w:pStyle w:val="FootnoteText"/>
      </w:pPr>
      <w:r>
        <w:rPr>
          <w:rStyle w:val="FootnoteReference"/>
        </w:rPr>
        <w:footnoteRef/>
      </w:r>
      <w:r>
        <w:tab/>
        <w:t>Strictly speaking, the power coefficient measures the degree of concavity in the relationship. This could be loosely interpreted as ‘strength’ in the sense that it implies economies of scale are more quickly realised.</w:t>
      </w:r>
    </w:p>
  </w:footnote>
  <w:footnote w:id="15">
    <w:p w:rsidR="000F0D0D" w:rsidRPr="000D2DE1" w:rsidRDefault="000F0D0D">
      <w:pPr>
        <w:pStyle w:val="FootnoteText"/>
        <w:rPr>
          <w:spacing w:val="-2"/>
        </w:rPr>
      </w:pPr>
      <w:r w:rsidRPr="000D2DE1">
        <w:rPr>
          <w:rStyle w:val="FootnoteReference"/>
          <w:spacing w:val="-2"/>
        </w:rPr>
        <w:footnoteRef/>
      </w:r>
      <w:r w:rsidRPr="000D2DE1">
        <w:rPr>
          <w:spacing w:val="-2"/>
        </w:rPr>
        <w:tab/>
        <w:t>And reaches a value of one at the 50</w:t>
      </w:r>
      <w:r w:rsidRPr="000D2DE1">
        <w:rPr>
          <w:spacing w:val="-2"/>
          <w:vertAlign w:val="superscript"/>
        </w:rPr>
        <w:t>th</w:t>
      </w:r>
      <w:r w:rsidRPr="000D2DE1">
        <w:rPr>
          <w:spacing w:val="-2"/>
        </w:rPr>
        <w:t xml:space="preserve"> percentile in results generated as part of sensitivity testing of the model.</w:t>
      </w:r>
    </w:p>
  </w:footnote>
  <w:footnote w:id="16">
    <w:p w:rsidR="000F0D0D" w:rsidRDefault="000F0D0D" w:rsidP="00B75A96">
      <w:pPr>
        <w:pStyle w:val="FootnoteText"/>
      </w:pPr>
      <w:r>
        <w:rPr>
          <w:rStyle w:val="FootnoteReference"/>
        </w:rPr>
        <w:footnoteRef/>
      </w:r>
      <w:r>
        <w:tab/>
        <w:t>The system level estimate is calculated from draws from the model’s posterior distribution — an output of Bayesian estimated models (appendix A).</w:t>
      </w:r>
    </w:p>
  </w:footnote>
  <w:footnote w:id="17">
    <w:p w:rsidR="000F0D0D" w:rsidRDefault="000F0D0D">
      <w:pPr>
        <w:pStyle w:val="FootnoteText"/>
      </w:pPr>
      <w:r>
        <w:rPr>
          <w:rStyle w:val="FootnoteReference"/>
        </w:rPr>
        <w:footnoteRef/>
      </w:r>
      <w:r>
        <w:tab/>
        <w:t>A ‘basis point’ equals one one</w:t>
      </w:r>
      <w:r>
        <w:noBreakHyphen/>
        <w:t>hundredth of one percentage point. So 50 basis points is equivalent to 0.5 per cent, or half of one per cent.</w:t>
      </w:r>
    </w:p>
  </w:footnote>
  <w:footnote w:id="18">
    <w:p w:rsidR="000F0D0D" w:rsidRDefault="000F0D0D">
      <w:pPr>
        <w:pStyle w:val="FootnoteText"/>
      </w:pPr>
      <w:r>
        <w:rPr>
          <w:rStyle w:val="FootnoteReference"/>
        </w:rPr>
        <w:footnoteRef/>
      </w:r>
      <w:r>
        <w:tab/>
        <w:t>Calculating a weighted mean for funds in the sample for different time periods would have been challenging given the large increases in size experienced by some funds.</w:t>
      </w:r>
    </w:p>
  </w:footnote>
  <w:footnote w:id="19">
    <w:p w:rsidR="000F0D0D" w:rsidRDefault="000F0D0D" w:rsidP="00F54129">
      <w:pPr>
        <w:pStyle w:val="FootnoteText"/>
      </w:pPr>
      <w:r>
        <w:rPr>
          <w:rStyle w:val="FootnoteReference"/>
        </w:rPr>
        <w:footnoteRef/>
      </w:r>
      <w:r>
        <w:tab/>
        <w:t>This is calculated as the median gap from figure 11. While the sample is over 2004-2017, funds may have entered after 2004 and left before 2017. Funds with imputed expenses are excluded from this calculation.</w:t>
      </w:r>
    </w:p>
  </w:footnote>
  <w:footnote w:id="20">
    <w:p w:rsidR="000F0D0D" w:rsidRDefault="000F0D0D" w:rsidP="00F54129">
      <w:pPr>
        <w:pStyle w:val="FootnoteText"/>
      </w:pPr>
      <w:r>
        <w:rPr>
          <w:rStyle w:val="FootnoteReference"/>
        </w:rPr>
        <w:footnoteRef/>
      </w:r>
      <w:r>
        <w:tab/>
        <w:t>This is calculated as the median gap from figure 12. While the sample is over 2004-2017, funds may have entered after 2004 and left before 2017. Funds with imputed expenses are excluded from this calculation. The estimated gains from scale in investment expenses are much lower than the gains in administration expenses for two reasons: 1) the power coefficient for industry funds is much larger when estimating investment costs, which reduces the gains available to industry funds and 2) reported investment expenses are typically lower than administration expenses and subject to significant underreporting, which reduces the scope for gains (as shown in figure 12).</w:t>
      </w:r>
    </w:p>
  </w:footnote>
  <w:footnote w:id="21">
    <w:p w:rsidR="000F0D0D" w:rsidRDefault="000F0D0D">
      <w:pPr>
        <w:pStyle w:val="FootnoteText"/>
      </w:pPr>
      <w:r>
        <w:rPr>
          <w:rStyle w:val="FootnoteReference"/>
        </w:rPr>
        <w:footnoteRef/>
      </w:r>
      <w:r>
        <w:tab/>
      </w:r>
      <w:r w:rsidRPr="006007B3">
        <w:rPr>
          <w:spacing w:val="-2"/>
        </w:rPr>
        <w:t>Cost savings were calculated for a range of scenarios, each with progressively more funds being assumed to exit. Funds were assumed to merge with the 10 lowest cost funds with total average costs greater than 45 basis points (to avoid allocating assets to funds with underreported expenses).</w:t>
      </w:r>
      <w:r>
        <w:rPr>
          <w:spacing w:val="-2"/>
        </w:rPr>
        <w:t xml:space="preserve"> The mergers were conducted at random, but in proportion such that the lowest cost fund received more of the in</w:t>
      </w:r>
      <w:r w:rsidR="00F71DF5">
        <w:rPr>
          <w:spacing w:val="-2"/>
        </w:rPr>
        <w:t>coming assets than other funds.</w:t>
      </w:r>
    </w:p>
  </w:footnote>
  <w:footnote w:id="22">
    <w:p w:rsidR="000F0D0D" w:rsidRDefault="000F0D0D">
      <w:pPr>
        <w:pStyle w:val="FootnoteText"/>
      </w:pPr>
      <w:r w:rsidRPr="006007B3">
        <w:rPr>
          <w:rStyle w:val="FootnoteReference"/>
        </w:rPr>
        <w:footnoteRef/>
      </w:r>
      <w:r>
        <w:tab/>
        <w:t>These estimates do not take into account transition costs, nor potential strategic responses by funds or changes in member behaviour — for example, increasing contributions to a lower cost fund.</w:t>
      </w:r>
    </w:p>
  </w:footnote>
  <w:footnote w:id="23">
    <w:p w:rsidR="000F0D0D" w:rsidRDefault="000F0D0D">
      <w:pPr>
        <w:pStyle w:val="FootnoteText"/>
      </w:pPr>
      <w:r>
        <w:rPr>
          <w:rStyle w:val="FootnoteReference"/>
        </w:rPr>
        <w:footnoteRef/>
      </w:r>
      <w:r>
        <w:tab/>
      </w:r>
      <w:r>
        <w:rPr>
          <w:spacing w:val="-2"/>
        </w:rPr>
        <w:t>This could occur if the model struggles to account for increased costs from asset allocation as funds get larger due to data limitations.</w:t>
      </w:r>
    </w:p>
  </w:footnote>
  <w:footnote w:id="24">
    <w:p w:rsidR="000F0D0D" w:rsidRDefault="000F0D0D" w:rsidP="00E51961">
      <w:pPr>
        <w:pStyle w:val="FootnoteText"/>
      </w:pPr>
      <w:r>
        <w:rPr>
          <w:rStyle w:val="FootnoteReference"/>
        </w:rPr>
        <w:footnoteRef/>
      </w:r>
      <w:r>
        <w:tab/>
        <w:t>The Commission’s supplementary paper on investment performance analysed survey data from funds and found that unlisted asset classes had higher net returns, but lower returns relative to benchmarks, between 2008–2017.</w:t>
      </w:r>
    </w:p>
  </w:footnote>
  <w:footnote w:id="25">
    <w:p w:rsidR="000F0D0D" w:rsidRDefault="000F0D0D">
      <w:pPr>
        <w:pStyle w:val="FootnoteText"/>
      </w:pPr>
      <w:r>
        <w:rPr>
          <w:rStyle w:val="FootnoteReference"/>
        </w:rPr>
        <w:footnoteRef/>
      </w:r>
      <w:r>
        <w:tab/>
        <w:t>In addition to analysing annualised/average data, the Commission also conducted a panel analysis with similar findings. The results are presented in Appendix G.</w:t>
      </w:r>
    </w:p>
  </w:footnote>
  <w:footnote w:id="26">
    <w:p w:rsidR="000F0D0D" w:rsidRDefault="000F0D0D">
      <w:pPr>
        <w:pStyle w:val="FootnoteText"/>
      </w:pPr>
      <w:r>
        <w:rPr>
          <w:rStyle w:val="FootnoteReference"/>
        </w:rPr>
        <w:footnoteRef/>
      </w:r>
      <w:r>
        <w:tab/>
        <w:t>A similar relationship is found using data from 2004 to 2017.</w:t>
      </w:r>
    </w:p>
  </w:footnote>
  <w:footnote w:id="27">
    <w:p w:rsidR="000F0D0D" w:rsidRDefault="000F0D0D">
      <w:pPr>
        <w:pStyle w:val="FootnoteText"/>
      </w:pPr>
      <w:r>
        <w:rPr>
          <w:rStyle w:val="FootnoteReference"/>
        </w:rPr>
        <w:footnoteRef/>
      </w:r>
      <w:r>
        <w:tab/>
      </w:r>
      <w:r w:rsidRPr="00D33127">
        <w:t xml:space="preserve">For example, </w:t>
      </w:r>
      <w:r>
        <w:t xml:space="preserve">(as noted above) </w:t>
      </w:r>
      <w:r w:rsidRPr="00D33127">
        <w:t xml:space="preserve">the estimated cost model suggests that an industry fund that increased </w:t>
      </w:r>
      <w:r>
        <w:t xml:space="preserve">in scale </w:t>
      </w:r>
      <w:r w:rsidRPr="00D33127">
        <w:t>from $500</w:t>
      </w:r>
      <w:r>
        <w:t> </w:t>
      </w:r>
      <w:r w:rsidRPr="00D33127">
        <w:t>m</w:t>
      </w:r>
      <w:r>
        <w:t>illion of assets</w:t>
      </w:r>
      <w:r w:rsidRPr="00D33127">
        <w:t xml:space="preserve"> to $1</w:t>
      </w:r>
      <w:r>
        <w:t> </w:t>
      </w:r>
      <w:r w:rsidRPr="00D33127">
        <w:t>b</w:t>
      </w:r>
      <w:r>
        <w:t>illion</w:t>
      </w:r>
      <w:r w:rsidRPr="00D33127">
        <w:t xml:space="preserve"> would</w:t>
      </w:r>
      <w:r>
        <w:t>,</w:t>
      </w:r>
      <w:r w:rsidRPr="00D33127">
        <w:t xml:space="preserve"> </w:t>
      </w:r>
      <w:r>
        <w:t xml:space="preserve">on </w:t>
      </w:r>
      <w:r w:rsidRPr="00D33127">
        <w:t>average</w:t>
      </w:r>
      <w:r>
        <w:t>,</w:t>
      </w:r>
      <w:r w:rsidRPr="00D33127">
        <w:t xml:space="preserve"> </w:t>
      </w:r>
      <w:r>
        <w:t xml:space="preserve">reduce its expenses by 18 basis points in total. For the same increase in size, the estimated returns relationship implies an increase in net returns of 22 basis points. </w:t>
      </w:r>
    </w:p>
  </w:footnote>
  <w:footnote w:id="28">
    <w:p w:rsidR="000F0D0D" w:rsidRDefault="000F0D0D">
      <w:pPr>
        <w:pStyle w:val="FootnoteText"/>
      </w:pPr>
      <w:r>
        <w:rPr>
          <w:rStyle w:val="FootnoteReference"/>
        </w:rPr>
        <w:footnoteRef/>
      </w:r>
      <w:r>
        <w:tab/>
        <w:t xml:space="preserve">The strong positive correlation between net returns and the proportion of assets held in </w:t>
      </w:r>
      <w:r>
        <w:rPr>
          <w:spacing w:val="-2"/>
        </w:rPr>
        <w:t xml:space="preserve">unlisted assets is unsurprising because unlisted infrastructure has performed very well over recent years, as shown in the Commission’s supplementary paper on investment performance. </w:t>
      </w:r>
      <w:r>
        <w:t>The proportion of funds in defensive asset classes is negatively correlated with net returns. There is no statistically significant correlation between net returns and the proportion of private equity. Results are presented in Appendix G.</w:t>
      </w:r>
    </w:p>
  </w:footnote>
  <w:footnote w:id="29">
    <w:p w:rsidR="000F0D0D" w:rsidRDefault="000F0D0D">
      <w:pPr>
        <w:pStyle w:val="FootnoteText"/>
      </w:pPr>
      <w:r>
        <w:rPr>
          <w:rStyle w:val="FootnoteReference"/>
        </w:rPr>
        <w:footnoteRef/>
      </w:r>
      <w:r>
        <w:tab/>
        <w:t xml:space="preserve">Fund-specific benchmarks were </w:t>
      </w:r>
      <w:r w:rsidRPr="003330A2">
        <w:rPr>
          <w:spacing w:val="-2"/>
        </w:rPr>
        <w:t>calculated using asset allocation data and asset class</w:t>
      </w:r>
      <w:r w:rsidRPr="003330A2">
        <w:rPr>
          <w:spacing w:val="-2"/>
        </w:rPr>
        <w:noBreakHyphen/>
        <w:t>specific benchmark returns following the</w:t>
      </w:r>
      <w:r>
        <w:rPr>
          <w:spacing w:val="-2"/>
        </w:rPr>
        <w:t xml:space="preserve"> updated</w:t>
      </w:r>
      <w:r w:rsidRPr="003330A2">
        <w:rPr>
          <w:spacing w:val="-2"/>
        </w:rPr>
        <w:t xml:space="preserve"> assumptions detailed in </w:t>
      </w:r>
      <w:r>
        <w:rPr>
          <w:spacing w:val="-2"/>
        </w:rPr>
        <w:t>the supplementary paper on investment performance.</w:t>
      </w:r>
    </w:p>
  </w:footnote>
  <w:footnote w:id="30">
    <w:p w:rsidR="000F0D0D" w:rsidRDefault="000F0D0D" w:rsidP="0043279E">
      <w:pPr>
        <w:pStyle w:val="FootnoteText"/>
      </w:pPr>
      <w:r w:rsidRPr="006007B3">
        <w:rPr>
          <w:rStyle w:val="FootnoteReference"/>
        </w:rPr>
        <w:footnoteRef/>
      </w:r>
      <w:r>
        <w:tab/>
        <w:t>The regularisation of fund-specific parameters is particularly effective in a Bayesian framework as the priors for fund-specific parameters can be determined endogenously from information from the full set of funds. This helps the regularisation to be more targeted.</w:t>
      </w:r>
    </w:p>
  </w:footnote>
  <w:footnote w:id="31">
    <w:p w:rsidR="000F0D0D" w:rsidRDefault="000F0D0D" w:rsidP="00FA1493">
      <w:pPr>
        <w:pStyle w:val="FootnoteText"/>
      </w:pPr>
      <w:r w:rsidRPr="006007B3">
        <w:rPr>
          <w:rStyle w:val="FootnoteReference"/>
        </w:rPr>
        <w:footnoteRef/>
      </w:r>
      <w:r>
        <w:tab/>
        <w:t xml:space="preserve">Note that the LKJ distribution is named after the initials of the authors of the paper that derived the distribution </w:t>
      </w:r>
      <w:r w:rsidRPr="00F104E0">
        <w:fldChar w:fldCharType="begin"/>
      </w:r>
      <w:r>
        <w:instrText xml:space="preserve"> ADDIN ZOTERO_ITEM CSL_CITATION {"citationID":"zLA4nlrF","properties":{"formattedCitation":"(Lewandowksi, Kurowicka and Joe\\uc0\\u160{}2009)","plainCitation":"(Lewandowksi, Kurowicka and Joe 2009)","noteIndex":29},"citationItems":[{"id":4022,"uris":["http://zotero.org/groups/447740/items/AEE39ARD"],"uri":["http://zotero.org/groups/447740/items/AEE39ARD"],"itemData":{"id":4022,"type":"article-journal","title":"Generating random correlation matrices based on vines and extended onion method","container-title":"Journal of Multivariate Analysis","page":"1989-2001","volume":"100","issue":"9","source":"www.sciencedirect.com","abstract":"We extend and improve two existing methods of generating random correlation matrices, the onion method of Ghosh and Henderson [S. Ghosh, S.G. Henderso…","DOI":"10.1016/j.jmva.2009.04.008","ISSN":"0047-259X","language":"en","author":[{"family":"Lewandowksi","given":"D"},{"family":"Kurowicka","given":"D."},{"family":"Joe","given":"H."}],"issued":{"date-parts":[["2009",10,1]]}}}],"schema":"https://github.com/citation-style-language/schema/raw/master/csl-citation.json"} </w:instrText>
      </w:r>
      <w:r w:rsidRPr="00F104E0">
        <w:fldChar w:fldCharType="separate"/>
      </w:r>
      <w:r w:rsidRPr="004C2AA0">
        <w:rPr>
          <w:szCs w:val="24"/>
        </w:rPr>
        <w:t>(Lewandowksi, Kurowicka and Joe 2009)</w:t>
      </w:r>
      <w:r w:rsidRPr="00F104E0">
        <w:fldChar w:fldCharType="end"/>
      </w:r>
      <w:r>
        <w:t>.</w:t>
      </w:r>
    </w:p>
  </w:footnote>
  <w:footnote w:id="32">
    <w:p w:rsidR="000F0D0D" w:rsidRDefault="000F0D0D">
      <w:pPr>
        <w:pStyle w:val="FootnoteText"/>
      </w:pPr>
      <w:r w:rsidRPr="006007B3">
        <w:rPr>
          <w:rStyle w:val="FootnoteReference"/>
        </w:rPr>
        <w:footnoteRef/>
      </w:r>
      <w:r>
        <w:tab/>
        <w:t xml:space="preserve">Including yearly fixed effects would require a significant change to the analysis, which uses predictions for 2017. Refer to the footnotes in box 3.  </w:t>
      </w:r>
    </w:p>
  </w:footnote>
  <w:footnote w:id="33">
    <w:p w:rsidR="000F0D0D" w:rsidRDefault="000F0D0D">
      <w:pPr>
        <w:pStyle w:val="FootnoteText"/>
      </w:pPr>
      <w:r w:rsidRPr="006007B3">
        <w:rPr>
          <w:rStyle w:val="FootnoteReference"/>
        </w:rPr>
        <w:footnoteRef/>
      </w:r>
      <w:r>
        <w:tab/>
        <w:t xml:space="preserve">A large number of fund-year observations – 1852 of 4138 fell into this bucket.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F0D0D" w:rsidTr="001C6FC4">
      <w:tc>
        <w:tcPr>
          <w:tcW w:w="2155" w:type="dxa"/>
          <w:tcBorders>
            <w:top w:val="single" w:sz="24" w:space="0" w:color="auto"/>
          </w:tcBorders>
        </w:tcPr>
        <w:p w:rsidR="000F0D0D" w:rsidRDefault="000F0D0D" w:rsidP="001C6FC4">
          <w:pPr>
            <w:pStyle w:val="HeaderEven"/>
          </w:pPr>
        </w:p>
      </w:tc>
      <w:tc>
        <w:tcPr>
          <w:tcW w:w="6634" w:type="dxa"/>
          <w:tcBorders>
            <w:top w:val="single" w:sz="6" w:space="0" w:color="auto"/>
          </w:tcBorders>
        </w:tcPr>
        <w:p w:rsidR="000F0D0D" w:rsidRDefault="000F0D0D" w:rsidP="001C6FC4">
          <w:pPr>
            <w:pStyle w:val="HeaderEven"/>
          </w:pPr>
        </w:p>
      </w:tc>
    </w:tr>
  </w:tbl>
  <w:p w:rsidR="000F0D0D" w:rsidRDefault="000F0D0D" w:rsidP="00E669E2">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8789"/>
    </w:tblGrid>
    <w:tr w:rsidR="000F0D0D" w:rsidTr="003B5E8C">
      <w:tc>
        <w:tcPr>
          <w:tcW w:w="8789" w:type="dxa"/>
        </w:tcPr>
        <w:tbl>
          <w:tblPr>
            <w:tblW w:w="0" w:type="auto"/>
            <w:tblLayout w:type="fixed"/>
            <w:tblCellMar>
              <w:left w:w="0" w:type="dxa"/>
              <w:right w:w="0" w:type="dxa"/>
            </w:tblCellMar>
            <w:tblLook w:val="0000" w:firstRow="0" w:lastRow="0" w:firstColumn="0" w:lastColumn="0" w:noHBand="0" w:noVBand="0"/>
          </w:tblPr>
          <w:tblGrid>
            <w:gridCol w:w="2155"/>
            <w:gridCol w:w="6634"/>
          </w:tblGrid>
          <w:tr w:rsidR="000F0D0D" w:rsidTr="003B11F0">
            <w:tc>
              <w:tcPr>
                <w:tcW w:w="2155" w:type="dxa"/>
                <w:tcBorders>
                  <w:top w:val="single" w:sz="24" w:space="0" w:color="auto"/>
                </w:tcBorders>
              </w:tcPr>
              <w:p w:rsidR="000F0D0D" w:rsidRDefault="000F0D0D" w:rsidP="0052692F">
                <w:pPr>
                  <w:pStyle w:val="HeaderEven"/>
                </w:pPr>
              </w:p>
            </w:tc>
            <w:tc>
              <w:tcPr>
                <w:tcW w:w="6634" w:type="dxa"/>
                <w:tcBorders>
                  <w:top w:val="single" w:sz="6" w:space="0" w:color="auto"/>
                </w:tcBorders>
              </w:tcPr>
              <w:p w:rsidR="000F0D0D" w:rsidRDefault="000F0D0D" w:rsidP="0052692F">
                <w:pPr>
                  <w:pStyle w:val="HeaderEven"/>
                </w:pPr>
              </w:p>
            </w:tc>
          </w:tr>
        </w:tbl>
        <w:p w:rsidR="000F0D0D" w:rsidRPr="003B5E8C" w:rsidRDefault="000F0D0D" w:rsidP="003B5E8C">
          <w:pPr>
            <w:pStyle w:val="HeaderOdd"/>
            <w:rPr>
              <w:sz w:val="18"/>
              <w:szCs w:val="18"/>
            </w:rPr>
          </w:pPr>
        </w:p>
      </w:tc>
    </w:tr>
  </w:tbl>
  <w:p w:rsidR="000F0D0D" w:rsidRDefault="000F0D0D" w:rsidP="0019293B">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F0D0D" w:rsidTr="001B2793">
      <w:tc>
        <w:tcPr>
          <w:tcW w:w="6634" w:type="dxa"/>
          <w:tcBorders>
            <w:top w:val="single" w:sz="6" w:space="0" w:color="auto"/>
          </w:tcBorders>
        </w:tcPr>
        <w:p w:rsidR="000F0D0D" w:rsidRDefault="000F0D0D" w:rsidP="00D47354">
          <w:pPr>
            <w:pStyle w:val="HeaderOdd"/>
          </w:pPr>
        </w:p>
      </w:tc>
      <w:tc>
        <w:tcPr>
          <w:tcW w:w="2155" w:type="dxa"/>
          <w:tcBorders>
            <w:top w:val="single" w:sz="24" w:space="0" w:color="auto"/>
          </w:tcBorders>
        </w:tcPr>
        <w:p w:rsidR="000F0D0D" w:rsidRDefault="000F0D0D" w:rsidP="00D47354">
          <w:pPr>
            <w:pStyle w:val="HeaderOdd"/>
          </w:pPr>
        </w:p>
      </w:tc>
    </w:tr>
  </w:tbl>
  <w:p w:rsidR="000F0D0D" w:rsidRDefault="000F0D0D" w:rsidP="00E669E2">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F0D0D" w:rsidTr="003B11F0">
      <w:tc>
        <w:tcPr>
          <w:tcW w:w="6634" w:type="dxa"/>
          <w:tcBorders>
            <w:top w:val="single" w:sz="6" w:space="0" w:color="auto"/>
          </w:tcBorders>
        </w:tcPr>
        <w:p w:rsidR="000F0D0D" w:rsidRDefault="000F0D0D" w:rsidP="0052692F">
          <w:pPr>
            <w:pStyle w:val="HeaderOdd"/>
          </w:pPr>
        </w:p>
      </w:tc>
      <w:tc>
        <w:tcPr>
          <w:tcW w:w="2155" w:type="dxa"/>
          <w:tcBorders>
            <w:top w:val="single" w:sz="24" w:space="0" w:color="auto"/>
          </w:tcBorders>
        </w:tcPr>
        <w:p w:rsidR="000F0D0D" w:rsidRDefault="000F0D0D" w:rsidP="0052692F">
          <w:pPr>
            <w:pStyle w:val="HeaderOdd"/>
          </w:pPr>
        </w:p>
      </w:tc>
    </w:tr>
  </w:tbl>
  <w:p w:rsidR="000F0D0D" w:rsidRDefault="000F0D0D"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BA738D8"/>
    <w:multiLevelType w:val="hybridMultilevel"/>
    <w:tmpl w:val="25F0AB44"/>
    <w:lvl w:ilvl="0" w:tplc="6F5E0AF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23B5DB0"/>
    <w:multiLevelType w:val="hybridMultilevel"/>
    <w:tmpl w:val="AD32EF5A"/>
    <w:lvl w:ilvl="0" w:tplc="7C70323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37515AA9"/>
    <w:multiLevelType w:val="hybridMultilevel"/>
    <w:tmpl w:val="AB649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2" w15:restartNumberingAfterBreak="0">
    <w:nsid w:val="67D35CE8"/>
    <w:multiLevelType w:val="hybridMultilevel"/>
    <w:tmpl w:val="497EF2C8"/>
    <w:lvl w:ilvl="0" w:tplc="37A03CE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B9A084D"/>
    <w:multiLevelType w:val="hybridMultilevel"/>
    <w:tmpl w:val="B77EE64E"/>
    <w:lvl w:ilvl="0" w:tplc="4D6A694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2"/>
  </w:num>
  <w:num w:numId="3">
    <w:abstractNumId w:val="16"/>
  </w:num>
  <w:num w:numId="4">
    <w:abstractNumId w:val="3"/>
  </w:num>
  <w:num w:numId="5">
    <w:abstractNumId w:val="21"/>
  </w:num>
  <w:num w:numId="6">
    <w:abstractNumId w:val="18"/>
  </w:num>
  <w:num w:numId="7">
    <w:abstractNumId w:val="8"/>
  </w:num>
  <w:num w:numId="8">
    <w:abstractNumId w:val="17"/>
  </w:num>
  <w:num w:numId="9">
    <w:abstractNumId w:val="7"/>
  </w:num>
  <w:num w:numId="10">
    <w:abstractNumId w:val="6"/>
  </w:num>
  <w:num w:numId="11">
    <w:abstractNumId w:val="11"/>
  </w:num>
  <w:num w:numId="12">
    <w:abstractNumId w:val="12"/>
  </w:num>
  <w:num w:numId="13">
    <w:abstractNumId w:val="4"/>
  </w:num>
  <w:num w:numId="14">
    <w:abstractNumId w:val="19"/>
  </w:num>
  <w:num w:numId="15">
    <w:abstractNumId w:val="23"/>
  </w:num>
  <w:num w:numId="16">
    <w:abstractNumId w:val="15"/>
  </w:num>
  <w:num w:numId="17">
    <w:abstractNumId w:val="25"/>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0"/>
  </w:num>
  <w:num w:numId="21">
    <w:abstractNumId w:val="9"/>
  </w:num>
  <w:num w:numId="22">
    <w:abstractNumId w:val="17"/>
  </w:num>
  <w:num w:numId="23">
    <w:abstractNumId w:val="17"/>
  </w:num>
  <w:num w:numId="24">
    <w:abstractNumId w:val="17"/>
  </w:num>
  <w:num w:numId="25">
    <w:abstractNumId w:val="16"/>
  </w:num>
  <w:num w:numId="26">
    <w:abstractNumId w:val="17"/>
  </w:num>
  <w:num w:numId="27">
    <w:abstractNumId w:val="17"/>
  </w:num>
  <w:num w:numId="28">
    <w:abstractNumId w:val="5"/>
  </w:num>
  <w:num w:numId="29">
    <w:abstractNumId w:val="24"/>
  </w:num>
  <w:num w:numId="30">
    <w:abstractNumId w:val="14"/>
  </w:num>
  <w:num w:numId="31">
    <w:abstractNumId w:val="22"/>
  </w:num>
  <w:num w:numId="32">
    <w:abstractNumId w:val="10"/>
  </w:num>
  <w:num w:numId="33">
    <w:abstractNumId w:val="4"/>
  </w:num>
  <w:num w:numId="34">
    <w:abstractNumId w:val="13"/>
  </w:num>
  <w:num w:numId="35">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mirrorMargins/>
  <w:hideSpellingErrors/>
  <w:hideGrammatical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xNumber" w:val="8"/>
    <w:docVar w:name="FindingOptions" w:val="1"/>
    <w:docVar w:name="RecOptions" w:val="111"/>
    <w:docVar w:name="ShortChapterTitle" w:val="Technical supplement: economies of scale"/>
    <w:docVar w:name="ShortReportTitle" w:val="Superannuation: Efficiency and Competitiveness"/>
  </w:docVars>
  <w:rsids>
    <w:rsidRoot w:val="007E156D"/>
    <w:rsid w:val="0000036A"/>
    <w:rsid w:val="0000039C"/>
    <w:rsid w:val="00000687"/>
    <w:rsid w:val="0000130C"/>
    <w:rsid w:val="000018FF"/>
    <w:rsid w:val="00001D57"/>
    <w:rsid w:val="000025BB"/>
    <w:rsid w:val="00002A76"/>
    <w:rsid w:val="00002B78"/>
    <w:rsid w:val="00002C30"/>
    <w:rsid w:val="00002D48"/>
    <w:rsid w:val="00002EE8"/>
    <w:rsid w:val="00003164"/>
    <w:rsid w:val="00003890"/>
    <w:rsid w:val="000045B8"/>
    <w:rsid w:val="00004815"/>
    <w:rsid w:val="00004FE1"/>
    <w:rsid w:val="000050F7"/>
    <w:rsid w:val="00005692"/>
    <w:rsid w:val="000062DE"/>
    <w:rsid w:val="000068BC"/>
    <w:rsid w:val="000101CF"/>
    <w:rsid w:val="00010BF4"/>
    <w:rsid w:val="00010C23"/>
    <w:rsid w:val="0001104D"/>
    <w:rsid w:val="000113B0"/>
    <w:rsid w:val="0001199C"/>
    <w:rsid w:val="00011C4B"/>
    <w:rsid w:val="000120A7"/>
    <w:rsid w:val="000121AB"/>
    <w:rsid w:val="000121EA"/>
    <w:rsid w:val="00012204"/>
    <w:rsid w:val="000124D4"/>
    <w:rsid w:val="00012A63"/>
    <w:rsid w:val="00012A6D"/>
    <w:rsid w:val="00012C4A"/>
    <w:rsid w:val="000132EC"/>
    <w:rsid w:val="00013BBB"/>
    <w:rsid w:val="00013C58"/>
    <w:rsid w:val="00013CC9"/>
    <w:rsid w:val="00014394"/>
    <w:rsid w:val="00015386"/>
    <w:rsid w:val="000156F3"/>
    <w:rsid w:val="00015AC6"/>
    <w:rsid w:val="000161F2"/>
    <w:rsid w:val="00016325"/>
    <w:rsid w:val="00016C5B"/>
    <w:rsid w:val="000173BA"/>
    <w:rsid w:val="0001774C"/>
    <w:rsid w:val="00017A69"/>
    <w:rsid w:val="00017B40"/>
    <w:rsid w:val="00017B87"/>
    <w:rsid w:val="000209FC"/>
    <w:rsid w:val="00020C80"/>
    <w:rsid w:val="00020CE4"/>
    <w:rsid w:val="00021360"/>
    <w:rsid w:val="000224F1"/>
    <w:rsid w:val="000227D5"/>
    <w:rsid w:val="00022851"/>
    <w:rsid w:val="00022957"/>
    <w:rsid w:val="00022C39"/>
    <w:rsid w:val="0002415A"/>
    <w:rsid w:val="00024261"/>
    <w:rsid w:val="000245AA"/>
    <w:rsid w:val="00024694"/>
    <w:rsid w:val="00025A06"/>
    <w:rsid w:val="00025A2A"/>
    <w:rsid w:val="00026596"/>
    <w:rsid w:val="000269A4"/>
    <w:rsid w:val="00026B59"/>
    <w:rsid w:val="000271C1"/>
    <w:rsid w:val="00027488"/>
    <w:rsid w:val="00027852"/>
    <w:rsid w:val="00027A9E"/>
    <w:rsid w:val="00030112"/>
    <w:rsid w:val="0003013C"/>
    <w:rsid w:val="00030442"/>
    <w:rsid w:val="0003046D"/>
    <w:rsid w:val="000308EA"/>
    <w:rsid w:val="00030C0E"/>
    <w:rsid w:val="00030C49"/>
    <w:rsid w:val="00032515"/>
    <w:rsid w:val="000327D1"/>
    <w:rsid w:val="000328BF"/>
    <w:rsid w:val="00032DF6"/>
    <w:rsid w:val="00032F58"/>
    <w:rsid w:val="000333B2"/>
    <w:rsid w:val="00034530"/>
    <w:rsid w:val="000357F9"/>
    <w:rsid w:val="00035D0C"/>
    <w:rsid w:val="00035D65"/>
    <w:rsid w:val="0003609F"/>
    <w:rsid w:val="0003636F"/>
    <w:rsid w:val="0003664B"/>
    <w:rsid w:val="000369B3"/>
    <w:rsid w:val="00036CAF"/>
    <w:rsid w:val="0003724E"/>
    <w:rsid w:val="000372C1"/>
    <w:rsid w:val="000373B8"/>
    <w:rsid w:val="000373FF"/>
    <w:rsid w:val="00037CAF"/>
    <w:rsid w:val="0004050F"/>
    <w:rsid w:val="00040BA2"/>
    <w:rsid w:val="0004111F"/>
    <w:rsid w:val="00041249"/>
    <w:rsid w:val="000417DD"/>
    <w:rsid w:val="00041C2D"/>
    <w:rsid w:val="00041F99"/>
    <w:rsid w:val="0004261B"/>
    <w:rsid w:val="00042F06"/>
    <w:rsid w:val="00043690"/>
    <w:rsid w:val="00043B23"/>
    <w:rsid w:val="00043B8E"/>
    <w:rsid w:val="00043D8E"/>
    <w:rsid w:val="00044280"/>
    <w:rsid w:val="00044648"/>
    <w:rsid w:val="00044D6A"/>
    <w:rsid w:val="000453BB"/>
    <w:rsid w:val="00045447"/>
    <w:rsid w:val="0004676A"/>
    <w:rsid w:val="00046933"/>
    <w:rsid w:val="00046B46"/>
    <w:rsid w:val="00046B5F"/>
    <w:rsid w:val="000472E7"/>
    <w:rsid w:val="00047B1D"/>
    <w:rsid w:val="00047E52"/>
    <w:rsid w:val="000500AA"/>
    <w:rsid w:val="000504F1"/>
    <w:rsid w:val="000505EA"/>
    <w:rsid w:val="00050BBF"/>
    <w:rsid w:val="000515FE"/>
    <w:rsid w:val="0005176F"/>
    <w:rsid w:val="00051939"/>
    <w:rsid w:val="00051FEB"/>
    <w:rsid w:val="00052D57"/>
    <w:rsid w:val="00052ECC"/>
    <w:rsid w:val="000534A6"/>
    <w:rsid w:val="000540E1"/>
    <w:rsid w:val="0005491B"/>
    <w:rsid w:val="00055077"/>
    <w:rsid w:val="00055BE4"/>
    <w:rsid w:val="000565B3"/>
    <w:rsid w:val="00056943"/>
    <w:rsid w:val="00056F2A"/>
    <w:rsid w:val="00057171"/>
    <w:rsid w:val="00057754"/>
    <w:rsid w:val="000605DA"/>
    <w:rsid w:val="00060827"/>
    <w:rsid w:val="00060A1D"/>
    <w:rsid w:val="00061A1F"/>
    <w:rsid w:val="00061AF8"/>
    <w:rsid w:val="00061AFC"/>
    <w:rsid w:val="00061CC0"/>
    <w:rsid w:val="00062239"/>
    <w:rsid w:val="00062BFF"/>
    <w:rsid w:val="00062F70"/>
    <w:rsid w:val="00063426"/>
    <w:rsid w:val="0006368B"/>
    <w:rsid w:val="000645E1"/>
    <w:rsid w:val="0006467D"/>
    <w:rsid w:val="000650EB"/>
    <w:rsid w:val="00065BBB"/>
    <w:rsid w:val="000664CB"/>
    <w:rsid w:val="00066597"/>
    <w:rsid w:val="0006712E"/>
    <w:rsid w:val="000679E8"/>
    <w:rsid w:val="00067A9A"/>
    <w:rsid w:val="00067A9E"/>
    <w:rsid w:val="0007001E"/>
    <w:rsid w:val="0007150B"/>
    <w:rsid w:val="0007170C"/>
    <w:rsid w:val="00071A07"/>
    <w:rsid w:val="00071D13"/>
    <w:rsid w:val="0007261B"/>
    <w:rsid w:val="00073732"/>
    <w:rsid w:val="00073BEA"/>
    <w:rsid w:val="000741A3"/>
    <w:rsid w:val="0007431D"/>
    <w:rsid w:val="00074331"/>
    <w:rsid w:val="000746BF"/>
    <w:rsid w:val="00074730"/>
    <w:rsid w:val="00074A70"/>
    <w:rsid w:val="00074B7E"/>
    <w:rsid w:val="00075633"/>
    <w:rsid w:val="00075CD1"/>
    <w:rsid w:val="00075F00"/>
    <w:rsid w:val="000770DA"/>
    <w:rsid w:val="00077240"/>
    <w:rsid w:val="00077661"/>
    <w:rsid w:val="0007771E"/>
    <w:rsid w:val="00077E93"/>
    <w:rsid w:val="00077F36"/>
    <w:rsid w:val="00077FF9"/>
    <w:rsid w:val="000804A6"/>
    <w:rsid w:val="0008063E"/>
    <w:rsid w:val="00080BE2"/>
    <w:rsid w:val="00080C04"/>
    <w:rsid w:val="00080EA9"/>
    <w:rsid w:val="00082715"/>
    <w:rsid w:val="000828D5"/>
    <w:rsid w:val="00082E3E"/>
    <w:rsid w:val="00082EBC"/>
    <w:rsid w:val="000837E2"/>
    <w:rsid w:val="000843AE"/>
    <w:rsid w:val="00084667"/>
    <w:rsid w:val="00084D81"/>
    <w:rsid w:val="00085BC6"/>
    <w:rsid w:val="00085EF8"/>
    <w:rsid w:val="00086A5B"/>
    <w:rsid w:val="000875D8"/>
    <w:rsid w:val="00087604"/>
    <w:rsid w:val="00090345"/>
    <w:rsid w:val="00090716"/>
    <w:rsid w:val="00090BA1"/>
    <w:rsid w:val="00090C8E"/>
    <w:rsid w:val="00090CB2"/>
    <w:rsid w:val="00091025"/>
    <w:rsid w:val="00092647"/>
    <w:rsid w:val="00092C5B"/>
    <w:rsid w:val="000934FD"/>
    <w:rsid w:val="0009387F"/>
    <w:rsid w:val="000938F5"/>
    <w:rsid w:val="00094B97"/>
    <w:rsid w:val="00095151"/>
    <w:rsid w:val="00095663"/>
    <w:rsid w:val="00095FFA"/>
    <w:rsid w:val="00096E55"/>
    <w:rsid w:val="00097231"/>
    <w:rsid w:val="00097707"/>
    <w:rsid w:val="0009777A"/>
    <w:rsid w:val="0009783E"/>
    <w:rsid w:val="00097A4E"/>
    <w:rsid w:val="00097A6B"/>
    <w:rsid w:val="00097B98"/>
    <w:rsid w:val="00097C4C"/>
    <w:rsid w:val="00097C7D"/>
    <w:rsid w:val="00097E5D"/>
    <w:rsid w:val="000A00E2"/>
    <w:rsid w:val="000A01B7"/>
    <w:rsid w:val="000A07B0"/>
    <w:rsid w:val="000A0CDE"/>
    <w:rsid w:val="000A2015"/>
    <w:rsid w:val="000A22AF"/>
    <w:rsid w:val="000A2421"/>
    <w:rsid w:val="000A264B"/>
    <w:rsid w:val="000A2BC1"/>
    <w:rsid w:val="000A3482"/>
    <w:rsid w:val="000A3EF3"/>
    <w:rsid w:val="000A41DB"/>
    <w:rsid w:val="000A4B5C"/>
    <w:rsid w:val="000A5777"/>
    <w:rsid w:val="000A5FB6"/>
    <w:rsid w:val="000A62A6"/>
    <w:rsid w:val="000A6E63"/>
    <w:rsid w:val="000A74E1"/>
    <w:rsid w:val="000A77AD"/>
    <w:rsid w:val="000A77B9"/>
    <w:rsid w:val="000A793F"/>
    <w:rsid w:val="000A7C75"/>
    <w:rsid w:val="000A7F4F"/>
    <w:rsid w:val="000B0016"/>
    <w:rsid w:val="000B02BB"/>
    <w:rsid w:val="000B030C"/>
    <w:rsid w:val="000B0322"/>
    <w:rsid w:val="000B08A2"/>
    <w:rsid w:val="000B0F1A"/>
    <w:rsid w:val="000B1022"/>
    <w:rsid w:val="000B1CF0"/>
    <w:rsid w:val="000B20B1"/>
    <w:rsid w:val="000B22EC"/>
    <w:rsid w:val="000B2473"/>
    <w:rsid w:val="000B2E81"/>
    <w:rsid w:val="000B316C"/>
    <w:rsid w:val="000B350D"/>
    <w:rsid w:val="000B3DDE"/>
    <w:rsid w:val="000B4461"/>
    <w:rsid w:val="000B44F5"/>
    <w:rsid w:val="000B5B51"/>
    <w:rsid w:val="000B601B"/>
    <w:rsid w:val="000B61E8"/>
    <w:rsid w:val="000B744F"/>
    <w:rsid w:val="000B7544"/>
    <w:rsid w:val="000B76A8"/>
    <w:rsid w:val="000B76AD"/>
    <w:rsid w:val="000B7821"/>
    <w:rsid w:val="000C012E"/>
    <w:rsid w:val="000C091D"/>
    <w:rsid w:val="000C0F3F"/>
    <w:rsid w:val="000C132D"/>
    <w:rsid w:val="000C207E"/>
    <w:rsid w:val="000C248A"/>
    <w:rsid w:val="000C2764"/>
    <w:rsid w:val="000C2A38"/>
    <w:rsid w:val="000C2CFC"/>
    <w:rsid w:val="000C38F9"/>
    <w:rsid w:val="000C3BBB"/>
    <w:rsid w:val="000C3E97"/>
    <w:rsid w:val="000C43A9"/>
    <w:rsid w:val="000C473A"/>
    <w:rsid w:val="000C4A2C"/>
    <w:rsid w:val="000C5147"/>
    <w:rsid w:val="000C5768"/>
    <w:rsid w:val="000C5A0B"/>
    <w:rsid w:val="000C5A19"/>
    <w:rsid w:val="000C707D"/>
    <w:rsid w:val="000C7F0F"/>
    <w:rsid w:val="000C7FA5"/>
    <w:rsid w:val="000D04E4"/>
    <w:rsid w:val="000D055D"/>
    <w:rsid w:val="000D05C9"/>
    <w:rsid w:val="000D062F"/>
    <w:rsid w:val="000D0AB7"/>
    <w:rsid w:val="000D0B0A"/>
    <w:rsid w:val="000D10BC"/>
    <w:rsid w:val="000D131B"/>
    <w:rsid w:val="000D146E"/>
    <w:rsid w:val="000D1A6C"/>
    <w:rsid w:val="000D1CCD"/>
    <w:rsid w:val="000D2A85"/>
    <w:rsid w:val="000D2DE1"/>
    <w:rsid w:val="000D369D"/>
    <w:rsid w:val="000D3995"/>
    <w:rsid w:val="000D3A9D"/>
    <w:rsid w:val="000D3AFB"/>
    <w:rsid w:val="000D3B17"/>
    <w:rsid w:val="000D3D99"/>
    <w:rsid w:val="000D41E9"/>
    <w:rsid w:val="000D4817"/>
    <w:rsid w:val="000D4C74"/>
    <w:rsid w:val="000D5235"/>
    <w:rsid w:val="000D5461"/>
    <w:rsid w:val="000D584C"/>
    <w:rsid w:val="000D5D98"/>
    <w:rsid w:val="000D642C"/>
    <w:rsid w:val="000D7149"/>
    <w:rsid w:val="000D722C"/>
    <w:rsid w:val="000D74DF"/>
    <w:rsid w:val="000D74F1"/>
    <w:rsid w:val="000D7CA5"/>
    <w:rsid w:val="000E0131"/>
    <w:rsid w:val="000E0154"/>
    <w:rsid w:val="000E05D7"/>
    <w:rsid w:val="000E0AE9"/>
    <w:rsid w:val="000E1BB4"/>
    <w:rsid w:val="000E1E47"/>
    <w:rsid w:val="000E2019"/>
    <w:rsid w:val="000E23C9"/>
    <w:rsid w:val="000E242E"/>
    <w:rsid w:val="000E2764"/>
    <w:rsid w:val="000E3202"/>
    <w:rsid w:val="000E3BCC"/>
    <w:rsid w:val="000E3CF3"/>
    <w:rsid w:val="000E3F25"/>
    <w:rsid w:val="000E45B5"/>
    <w:rsid w:val="000E46B5"/>
    <w:rsid w:val="000E4CA3"/>
    <w:rsid w:val="000E5822"/>
    <w:rsid w:val="000E5AB9"/>
    <w:rsid w:val="000E5C4C"/>
    <w:rsid w:val="000E62EA"/>
    <w:rsid w:val="000E695B"/>
    <w:rsid w:val="000E6A4D"/>
    <w:rsid w:val="000E73F3"/>
    <w:rsid w:val="000E7EA1"/>
    <w:rsid w:val="000F0035"/>
    <w:rsid w:val="000F04E7"/>
    <w:rsid w:val="000F060A"/>
    <w:rsid w:val="000F0D0D"/>
    <w:rsid w:val="000F1C4C"/>
    <w:rsid w:val="000F1D07"/>
    <w:rsid w:val="000F22BA"/>
    <w:rsid w:val="000F24A6"/>
    <w:rsid w:val="000F2B85"/>
    <w:rsid w:val="000F2C83"/>
    <w:rsid w:val="000F2F53"/>
    <w:rsid w:val="000F2FD3"/>
    <w:rsid w:val="000F3882"/>
    <w:rsid w:val="000F3B47"/>
    <w:rsid w:val="000F3BDC"/>
    <w:rsid w:val="000F420B"/>
    <w:rsid w:val="000F4BEF"/>
    <w:rsid w:val="000F4EC2"/>
    <w:rsid w:val="000F519B"/>
    <w:rsid w:val="000F530E"/>
    <w:rsid w:val="000F539C"/>
    <w:rsid w:val="000F56D8"/>
    <w:rsid w:val="000F5C80"/>
    <w:rsid w:val="000F5FD5"/>
    <w:rsid w:val="000F69AC"/>
    <w:rsid w:val="000F7045"/>
    <w:rsid w:val="000F74FF"/>
    <w:rsid w:val="000F7EB8"/>
    <w:rsid w:val="001006DA"/>
    <w:rsid w:val="00100EDA"/>
    <w:rsid w:val="00101374"/>
    <w:rsid w:val="00101415"/>
    <w:rsid w:val="00101942"/>
    <w:rsid w:val="0010223F"/>
    <w:rsid w:val="001025B9"/>
    <w:rsid w:val="001028B4"/>
    <w:rsid w:val="00102C0B"/>
    <w:rsid w:val="00102F84"/>
    <w:rsid w:val="001032F5"/>
    <w:rsid w:val="0010336F"/>
    <w:rsid w:val="00103706"/>
    <w:rsid w:val="00103710"/>
    <w:rsid w:val="001040D0"/>
    <w:rsid w:val="001047C5"/>
    <w:rsid w:val="00104E0E"/>
    <w:rsid w:val="00105901"/>
    <w:rsid w:val="001065C6"/>
    <w:rsid w:val="00106871"/>
    <w:rsid w:val="001069BB"/>
    <w:rsid w:val="00106FB8"/>
    <w:rsid w:val="0010704A"/>
    <w:rsid w:val="001078A2"/>
    <w:rsid w:val="00110116"/>
    <w:rsid w:val="0011038B"/>
    <w:rsid w:val="00110C72"/>
    <w:rsid w:val="00111FFA"/>
    <w:rsid w:val="00112096"/>
    <w:rsid w:val="001123D6"/>
    <w:rsid w:val="00112438"/>
    <w:rsid w:val="00112F4A"/>
    <w:rsid w:val="001137B4"/>
    <w:rsid w:val="001149AC"/>
    <w:rsid w:val="00115D2D"/>
    <w:rsid w:val="00116229"/>
    <w:rsid w:val="00116FA3"/>
    <w:rsid w:val="0011726F"/>
    <w:rsid w:val="0011775E"/>
    <w:rsid w:val="00117CE2"/>
    <w:rsid w:val="00120072"/>
    <w:rsid w:val="0012034A"/>
    <w:rsid w:val="001205B7"/>
    <w:rsid w:val="00120763"/>
    <w:rsid w:val="001208D8"/>
    <w:rsid w:val="00120C25"/>
    <w:rsid w:val="00121398"/>
    <w:rsid w:val="00121A5B"/>
    <w:rsid w:val="00121E24"/>
    <w:rsid w:val="00122C09"/>
    <w:rsid w:val="00122EF5"/>
    <w:rsid w:val="00123129"/>
    <w:rsid w:val="00123427"/>
    <w:rsid w:val="0012346F"/>
    <w:rsid w:val="00123633"/>
    <w:rsid w:val="0012365E"/>
    <w:rsid w:val="00123F93"/>
    <w:rsid w:val="001245AE"/>
    <w:rsid w:val="00125106"/>
    <w:rsid w:val="001263A4"/>
    <w:rsid w:val="0012676E"/>
    <w:rsid w:val="001269D3"/>
    <w:rsid w:val="00126EB8"/>
    <w:rsid w:val="001270BB"/>
    <w:rsid w:val="001274D4"/>
    <w:rsid w:val="00127627"/>
    <w:rsid w:val="00127B01"/>
    <w:rsid w:val="00127C5B"/>
    <w:rsid w:val="0013215E"/>
    <w:rsid w:val="0013270A"/>
    <w:rsid w:val="00132985"/>
    <w:rsid w:val="00132E9B"/>
    <w:rsid w:val="00132F7B"/>
    <w:rsid w:val="00133372"/>
    <w:rsid w:val="001333F3"/>
    <w:rsid w:val="00133610"/>
    <w:rsid w:val="00133875"/>
    <w:rsid w:val="00133ECE"/>
    <w:rsid w:val="00133F4A"/>
    <w:rsid w:val="00134881"/>
    <w:rsid w:val="0013531A"/>
    <w:rsid w:val="00135498"/>
    <w:rsid w:val="001363AA"/>
    <w:rsid w:val="00136DD0"/>
    <w:rsid w:val="0013739A"/>
    <w:rsid w:val="00137687"/>
    <w:rsid w:val="00137EEB"/>
    <w:rsid w:val="00140888"/>
    <w:rsid w:val="00140EA1"/>
    <w:rsid w:val="001415BD"/>
    <w:rsid w:val="00141637"/>
    <w:rsid w:val="001420FB"/>
    <w:rsid w:val="00142165"/>
    <w:rsid w:val="00142C04"/>
    <w:rsid w:val="00142E9E"/>
    <w:rsid w:val="001432C7"/>
    <w:rsid w:val="0014338A"/>
    <w:rsid w:val="001433D4"/>
    <w:rsid w:val="00143608"/>
    <w:rsid w:val="0014389C"/>
    <w:rsid w:val="001440DF"/>
    <w:rsid w:val="00144317"/>
    <w:rsid w:val="001445AC"/>
    <w:rsid w:val="00144849"/>
    <w:rsid w:val="00144916"/>
    <w:rsid w:val="0014501F"/>
    <w:rsid w:val="001462D9"/>
    <w:rsid w:val="001463CC"/>
    <w:rsid w:val="0014739B"/>
    <w:rsid w:val="001503C2"/>
    <w:rsid w:val="00151AD5"/>
    <w:rsid w:val="00151E55"/>
    <w:rsid w:val="00152058"/>
    <w:rsid w:val="00152153"/>
    <w:rsid w:val="00152208"/>
    <w:rsid w:val="00152B3A"/>
    <w:rsid w:val="00153E48"/>
    <w:rsid w:val="00154658"/>
    <w:rsid w:val="0015663B"/>
    <w:rsid w:val="00156901"/>
    <w:rsid w:val="0016001C"/>
    <w:rsid w:val="00160021"/>
    <w:rsid w:val="00160F07"/>
    <w:rsid w:val="001614DE"/>
    <w:rsid w:val="00161677"/>
    <w:rsid w:val="0016198A"/>
    <w:rsid w:val="001619D0"/>
    <w:rsid w:val="00162434"/>
    <w:rsid w:val="0016275C"/>
    <w:rsid w:val="00162B56"/>
    <w:rsid w:val="00162D3E"/>
    <w:rsid w:val="00162E59"/>
    <w:rsid w:val="00163800"/>
    <w:rsid w:val="0016411E"/>
    <w:rsid w:val="00164671"/>
    <w:rsid w:val="00164D81"/>
    <w:rsid w:val="001650F5"/>
    <w:rsid w:val="00165C33"/>
    <w:rsid w:val="00166A80"/>
    <w:rsid w:val="00167004"/>
    <w:rsid w:val="00167104"/>
    <w:rsid w:val="001672A1"/>
    <w:rsid w:val="001673E9"/>
    <w:rsid w:val="0016766D"/>
    <w:rsid w:val="00167687"/>
    <w:rsid w:val="001702A8"/>
    <w:rsid w:val="00170333"/>
    <w:rsid w:val="001703AF"/>
    <w:rsid w:val="0017074F"/>
    <w:rsid w:val="00170A0A"/>
    <w:rsid w:val="00170B34"/>
    <w:rsid w:val="0017233E"/>
    <w:rsid w:val="0017277E"/>
    <w:rsid w:val="00172F90"/>
    <w:rsid w:val="001730EB"/>
    <w:rsid w:val="00173257"/>
    <w:rsid w:val="00173EA7"/>
    <w:rsid w:val="00173F70"/>
    <w:rsid w:val="0017562E"/>
    <w:rsid w:val="001759D0"/>
    <w:rsid w:val="00175AFD"/>
    <w:rsid w:val="001769EA"/>
    <w:rsid w:val="00177ED8"/>
    <w:rsid w:val="00180137"/>
    <w:rsid w:val="0018023D"/>
    <w:rsid w:val="001803B9"/>
    <w:rsid w:val="001806E7"/>
    <w:rsid w:val="00181323"/>
    <w:rsid w:val="00181A27"/>
    <w:rsid w:val="00181AF3"/>
    <w:rsid w:val="00181C0F"/>
    <w:rsid w:val="00181ECF"/>
    <w:rsid w:val="00182E2F"/>
    <w:rsid w:val="0018371D"/>
    <w:rsid w:val="00183C05"/>
    <w:rsid w:val="00183E82"/>
    <w:rsid w:val="00184059"/>
    <w:rsid w:val="00184189"/>
    <w:rsid w:val="001853BF"/>
    <w:rsid w:val="0018557C"/>
    <w:rsid w:val="001856A3"/>
    <w:rsid w:val="00185852"/>
    <w:rsid w:val="00185957"/>
    <w:rsid w:val="00185B84"/>
    <w:rsid w:val="00185DFE"/>
    <w:rsid w:val="00186552"/>
    <w:rsid w:val="00186C92"/>
    <w:rsid w:val="001871D9"/>
    <w:rsid w:val="001878BB"/>
    <w:rsid w:val="00187E3F"/>
    <w:rsid w:val="00190114"/>
    <w:rsid w:val="00190744"/>
    <w:rsid w:val="0019130E"/>
    <w:rsid w:val="0019136C"/>
    <w:rsid w:val="001913FC"/>
    <w:rsid w:val="001915F2"/>
    <w:rsid w:val="001916D3"/>
    <w:rsid w:val="00191A0E"/>
    <w:rsid w:val="00191A38"/>
    <w:rsid w:val="00191AE0"/>
    <w:rsid w:val="00192537"/>
    <w:rsid w:val="001926D6"/>
    <w:rsid w:val="00192842"/>
    <w:rsid w:val="0019293B"/>
    <w:rsid w:val="00192A8C"/>
    <w:rsid w:val="00192C17"/>
    <w:rsid w:val="001936CA"/>
    <w:rsid w:val="00193BA7"/>
    <w:rsid w:val="00193DC6"/>
    <w:rsid w:val="0019402A"/>
    <w:rsid w:val="0019426B"/>
    <w:rsid w:val="001951AB"/>
    <w:rsid w:val="001959C6"/>
    <w:rsid w:val="00196161"/>
    <w:rsid w:val="001965BF"/>
    <w:rsid w:val="001967C5"/>
    <w:rsid w:val="00196ECA"/>
    <w:rsid w:val="001974A7"/>
    <w:rsid w:val="00197896"/>
    <w:rsid w:val="00197B9F"/>
    <w:rsid w:val="00197F60"/>
    <w:rsid w:val="001A0269"/>
    <w:rsid w:val="001A0B4F"/>
    <w:rsid w:val="001A0BD9"/>
    <w:rsid w:val="001A0DAA"/>
    <w:rsid w:val="001A0E18"/>
    <w:rsid w:val="001A1018"/>
    <w:rsid w:val="001A1C0B"/>
    <w:rsid w:val="001A1CC0"/>
    <w:rsid w:val="001A241C"/>
    <w:rsid w:val="001A28C6"/>
    <w:rsid w:val="001A28F2"/>
    <w:rsid w:val="001A2A06"/>
    <w:rsid w:val="001A3784"/>
    <w:rsid w:val="001A39A0"/>
    <w:rsid w:val="001A39F1"/>
    <w:rsid w:val="001A3A78"/>
    <w:rsid w:val="001A4E3F"/>
    <w:rsid w:val="001A569E"/>
    <w:rsid w:val="001A58D0"/>
    <w:rsid w:val="001A5E4D"/>
    <w:rsid w:val="001A61D7"/>
    <w:rsid w:val="001A69AA"/>
    <w:rsid w:val="001A6A4B"/>
    <w:rsid w:val="001A775D"/>
    <w:rsid w:val="001A7A3A"/>
    <w:rsid w:val="001B0528"/>
    <w:rsid w:val="001B075C"/>
    <w:rsid w:val="001B094D"/>
    <w:rsid w:val="001B0A62"/>
    <w:rsid w:val="001B0BBC"/>
    <w:rsid w:val="001B0F9D"/>
    <w:rsid w:val="001B1039"/>
    <w:rsid w:val="001B12F1"/>
    <w:rsid w:val="001B14F8"/>
    <w:rsid w:val="001B1DE5"/>
    <w:rsid w:val="001B2693"/>
    <w:rsid w:val="001B2793"/>
    <w:rsid w:val="001B2E61"/>
    <w:rsid w:val="001B3005"/>
    <w:rsid w:val="001B32C5"/>
    <w:rsid w:val="001B3A20"/>
    <w:rsid w:val="001B3D63"/>
    <w:rsid w:val="001B406E"/>
    <w:rsid w:val="001B467D"/>
    <w:rsid w:val="001B4D42"/>
    <w:rsid w:val="001B4FD6"/>
    <w:rsid w:val="001B59AA"/>
    <w:rsid w:val="001B5D7E"/>
    <w:rsid w:val="001B658C"/>
    <w:rsid w:val="001B71E9"/>
    <w:rsid w:val="001B7253"/>
    <w:rsid w:val="001B78FA"/>
    <w:rsid w:val="001B7F91"/>
    <w:rsid w:val="001C002A"/>
    <w:rsid w:val="001C06FD"/>
    <w:rsid w:val="001C0865"/>
    <w:rsid w:val="001C0AED"/>
    <w:rsid w:val="001C13CC"/>
    <w:rsid w:val="001C1D37"/>
    <w:rsid w:val="001C2534"/>
    <w:rsid w:val="001C283B"/>
    <w:rsid w:val="001C2DB3"/>
    <w:rsid w:val="001C2F35"/>
    <w:rsid w:val="001C37AF"/>
    <w:rsid w:val="001C3993"/>
    <w:rsid w:val="001C3ABA"/>
    <w:rsid w:val="001C3E82"/>
    <w:rsid w:val="001C46B6"/>
    <w:rsid w:val="001C4F69"/>
    <w:rsid w:val="001C5111"/>
    <w:rsid w:val="001C5206"/>
    <w:rsid w:val="001C56D3"/>
    <w:rsid w:val="001C583A"/>
    <w:rsid w:val="001C5BAF"/>
    <w:rsid w:val="001C6FC4"/>
    <w:rsid w:val="001C7593"/>
    <w:rsid w:val="001C774E"/>
    <w:rsid w:val="001C798B"/>
    <w:rsid w:val="001C7C1C"/>
    <w:rsid w:val="001D010F"/>
    <w:rsid w:val="001D02AD"/>
    <w:rsid w:val="001D064F"/>
    <w:rsid w:val="001D13D7"/>
    <w:rsid w:val="001D2565"/>
    <w:rsid w:val="001D2570"/>
    <w:rsid w:val="001D3389"/>
    <w:rsid w:val="001D3932"/>
    <w:rsid w:val="001D3FB0"/>
    <w:rsid w:val="001D4358"/>
    <w:rsid w:val="001D465A"/>
    <w:rsid w:val="001D4CC8"/>
    <w:rsid w:val="001D4FB0"/>
    <w:rsid w:val="001D5C9D"/>
    <w:rsid w:val="001D5E9C"/>
    <w:rsid w:val="001D7058"/>
    <w:rsid w:val="001D7639"/>
    <w:rsid w:val="001E0064"/>
    <w:rsid w:val="001E02D5"/>
    <w:rsid w:val="001E19AC"/>
    <w:rsid w:val="001E1B88"/>
    <w:rsid w:val="001E1FBA"/>
    <w:rsid w:val="001E2088"/>
    <w:rsid w:val="001E2A35"/>
    <w:rsid w:val="001E3030"/>
    <w:rsid w:val="001E321A"/>
    <w:rsid w:val="001E3E5D"/>
    <w:rsid w:val="001E40F5"/>
    <w:rsid w:val="001E4660"/>
    <w:rsid w:val="001E486C"/>
    <w:rsid w:val="001E5CF3"/>
    <w:rsid w:val="001E6824"/>
    <w:rsid w:val="001E6893"/>
    <w:rsid w:val="001E68EE"/>
    <w:rsid w:val="001E6DC0"/>
    <w:rsid w:val="001E7383"/>
    <w:rsid w:val="001E74AB"/>
    <w:rsid w:val="001E7BE8"/>
    <w:rsid w:val="001F00D8"/>
    <w:rsid w:val="001F0248"/>
    <w:rsid w:val="001F04B2"/>
    <w:rsid w:val="001F06D0"/>
    <w:rsid w:val="001F0B46"/>
    <w:rsid w:val="001F0D26"/>
    <w:rsid w:val="001F0DC0"/>
    <w:rsid w:val="001F1BE8"/>
    <w:rsid w:val="001F30D1"/>
    <w:rsid w:val="001F3252"/>
    <w:rsid w:val="001F364A"/>
    <w:rsid w:val="001F3AED"/>
    <w:rsid w:val="001F3EB3"/>
    <w:rsid w:val="001F446D"/>
    <w:rsid w:val="001F492C"/>
    <w:rsid w:val="001F4E5D"/>
    <w:rsid w:val="001F4F86"/>
    <w:rsid w:val="001F59B1"/>
    <w:rsid w:val="001F59BB"/>
    <w:rsid w:val="001F60F8"/>
    <w:rsid w:val="001F636E"/>
    <w:rsid w:val="001F65FA"/>
    <w:rsid w:val="001F76A3"/>
    <w:rsid w:val="001F7996"/>
    <w:rsid w:val="001F7FA1"/>
    <w:rsid w:val="002009B4"/>
    <w:rsid w:val="00200B1E"/>
    <w:rsid w:val="00200CE2"/>
    <w:rsid w:val="0020172D"/>
    <w:rsid w:val="002017C5"/>
    <w:rsid w:val="00201B64"/>
    <w:rsid w:val="002028A2"/>
    <w:rsid w:val="00202C2C"/>
    <w:rsid w:val="00202C8C"/>
    <w:rsid w:val="00202F77"/>
    <w:rsid w:val="00203050"/>
    <w:rsid w:val="002033FD"/>
    <w:rsid w:val="0020357F"/>
    <w:rsid w:val="002035AC"/>
    <w:rsid w:val="002036CB"/>
    <w:rsid w:val="00203B7F"/>
    <w:rsid w:val="00203E7E"/>
    <w:rsid w:val="00204A00"/>
    <w:rsid w:val="00205954"/>
    <w:rsid w:val="002059ED"/>
    <w:rsid w:val="0020617B"/>
    <w:rsid w:val="002062D0"/>
    <w:rsid w:val="00206706"/>
    <w:rsid w:val="002069DC"/>
    <w:rsid w:val="00206DED"/>
    <w:rsid w:val="0020716F"/>
    <w:rsid w:val="00207C85"/>
    <w:rsid w:val="0021080C"/>
    <w:rsid w:val="00211A3A"/>
    <w:rsid w:val="00211F8A"/>
    <w:rsid w:val="0021262E"/>
    <w:rsid w:val="002127E1"/>
    <w:rsid w:val="00212D3A"/>
    <w:rsid w:val="00212F1D"/>
    <w:rsid w:val="00213092"/>
    <w:rsid w:val="00213394"/>
    <w:rsid w:val="002135AB"/>
    <w:rsid w:val="00213765"/>
    <w:rsid w:val="00213B55"/>
    <w:rsid w:val="00213C03"/>
    <w:rsid w:val="00213FAE"/>
    <w:rsid w:val="0021424B"/>
    <w:rsid w:val="002144BE"/>
    <w:rsid w:val="00214DEC"/>
    <w:rsid w:val="00215235"/>
    <w:rsid w:val="00215D12"/>
    <w:rsid w:val="00215F27"/>
    <w:rsid w:val="00215FEA"/>
    <w:rsid w:val="00216CDC"/>
    <w:rsid w:val="0021747B"/>
    <w:rsid w:val="0021782A"/>
    <w:rsid w:val="0021784E"/>
    <w:rsid w:val="00217C8C"/>
    <w:rsid w:val="00217F82"/>
    <w:rsid w:val="0022031F"/>
    <w:rsid w:val="0022037E"/>
    <w:rsid w:val="002204CD"/>
    <w:rsid w:val="002208D6"/>
    <w:rsid w:val="00220CBC"/>
    <w:rsid w:val="00220E30"/>
    <w:rsid w:val="00220E68"/>
    <w:rsid w:val="002211C9"/>
    <w:rsid w:val="00221D97"/>
    <w:rsid w:val="0022214C"/>
    <w:rsid w:val="0022228E"/>
    <w:rsid w:val="00222892"/>
    <w:rsid w:val="00222BF6"/>
    <w:rsid w:val="00224671"/>
    <w:rsid w:val="002248A8"/>
    <w:rsid w:val="00225474"/>
    <w:rsid w:val="00225965"/>
    <w:rsid w:val="00225AD5"/>
    <w:rsid w:val="00225B10"/>
    <w:rsid w:val="00226A4F"/>
    <w:rsid w:val="00226DF4"/>
    <w:rsid w:val="002275DF"/>
    <w:rsid w:val="0023022C"/>
    <w:rsid w:val="002303C6"/>
    <w:rsid w:val="00230807"/>
    <w:rsid w:val="0023130F"/>
    <w:rsid w:val="00231344"/>
    <w:rsid w:val="002313D6"/>
    <w:rsid w:val="00231CA7"/>
    <w:rsid w:val="00231DD6"/>
    <w:rsid w:val="00231EFC"/>
    <w:rsid w:val="002320B8"/>
    <w:rsid w:val="0023244E"/>
    <w:rsid w:val="002334F1"/>
    <w:rsid w:val="00234580"/>
    <w:rsid w:val="002351FE"/>
    <w:rsid w:val="0023522F"/>
    <w:rsid w:val="002353B3"/>
    <w:rsid w:val="00235485"/>
    <w:rsid w:val="0023557E"/>
    <w:rsid w:val="00235AFE"/>
    <w:rsid w:val="00235C76"/>
    <w:rsid w:val="00235F42"/>
    <w:rsid w:val="0023608F"/>
    <w:rsid w:val="00236366"/>
    <w:rsid w:val="002364EF"/>
    <w:rsid w:val="002365FA"/>
    <w:rsid w:val="0023699D"/>
    <w:rsid w:val="00236F73"/>
    <w:rsid w:val="002372C3"/>
    <w:rsid w:val="00240418"/>
    <w:rsid w:val="00240468"/>
    <w:rsid w:val="00240963"/>
    <w:rsid w:val="00240FBF"/>
    <w:rsid w:val="002413F3"/>
    <w:rsid w:val="0024143C"/>
    <w:rsid w:val="002416E5"/>
    <w:rsid w:val="00242279"/>
    <w:rsid w:val="00242432"/>
    <w:rsid w:val="00242549"/>
    <w:rsid w:val="002429B0"/>
    <w:rsid w:val="00242A26"/>
    <w:rsid w:val="00243019"/>
    <w:rsid w:val="0024312D"/>
    <w:rsid w:val="002431AD"/>
    <w:rsid w:val="00243332"/>
    <w:rsid w:val="00243997"/>
    <w:rsid w:val="002439B1"/>
    <w:rsid w:val="00243A8E"/>
    <w:rsid w:val="00244E61"/>
    <w:rsid w:val="0024516C"/>
    <w:rsid w:val="00245187"/>
    <w:rsid w:val="002451FB"/>
    <w:rsid w:val="002455E7"/>
    <w:rsid w:val="00245625"/>
    <w:rsid w:val="00245700"/>
    <w:rsid w:val="00245718"/>
    <w:rsid w:val="00245C82"/>
    <w:rsid w:val="002466F2"/>
    <w:rsid w:val="0024689F"/>
    <w:rsid w:val="00250337"/>
    <w:rsid w:val="0025037E"/>
    <w:rsid w:val="00251236"/>
    <w:rsid w:val="00251B94"/>
    <w:rsid w:val="00253EA0"/>
    <w:rsid w:val="0025404F"/>
    <w:rsid w:val="00254093"/>
    <w:rsid w:val="00254663"/>
    <w:rsid w:val="00254D8C"/>
    <w:rsid w:val="00255605"/>
    <w:rsid w:val="00255988"/>
    <w:rsid w:val="002564B8"/>
    <w:rsid w:val="00256699"/>
    <w:rsid w:val="00256E91"/>
    <w:rsid w:val="0025729F"/>
    <w:rsid w:val="00257653"/>
    <w:rsid w:val="00257A08"/>
    <w:rsid w:val="00260218"/>
    <w:rsid w:val="002610C6"/>
    <w:rsid w:val="00261706"/>
    <w:rsid w:val="002617AD"/>
    <w:rsid w:val="00261BAB"/>
    <w:rsid w:val="00262154"/>
    <w:rsid w:val="00262403"/>
    <w:rsid w:val="00262666"/>
    <w:rsid w:val="00262B2C"/>
    <w:rsid w:val="00262B34"/>
    <w:rsid w:val="00262E3E"/>
    <w:rsid w:val="00263148"/>
    <w:rsid w:val="00263377"/>
    <w:rsid w:val="00263AE8"/>
    <w:rsid w:val="00263BAB"/>
    <w:rsid w:val="002640CD"/>
    <w:rsid w:val="00264B93"/>
    <w:rsid w:val="00265501"/>
    <w:rsid w:val="002661BE"/>
    <w:rsid w:val="0026695B"/>
    <w:rsid w:val="00266FDE"/>
    <w:rsid w:val="0026722B"/>
    <w:rsid w:val="00267B1C"/>
    <w:rsid w:val="00267F43"/>
    <w:rsid w:val="0027064B"/>
    <w:rsid w:val="00270C57"/>
    <w:rsid w:val="00271864"/>
    <w:rsid w:val="0027187F"/>
    <w:rsid w:val="002720CD"/>
    <w:rsid w:val="0027235F"/>
    <w:rsid w:val="002724BA"/>
    <w:rsid w:val="002725E5"/>
    <w:rsid w:val="002728D3"/>
    <w:rsid w:val="00272C45"/>
    <w:rsid w:val="0027351C"/>
    <w:rsid w:val="00273A45"/>
    <w:rsid w:val="00273EBC"/>
    <w:rsid w:val="00273F94"/>
    <w:rsid w:val="00275CD9"/>
    <w:rsid w:val="002764B2"/>
    <w:rsid w:val="00276E4C"/>
    <w:rsid w:val="00277807"/>
    <w:rsid w:val="00277978"/>
    <w:rsid w:val="00277AB1"/>
    <w:rsid w:val="00277C01"/>
    <w:rsid w:val="00280136"/>
    <w:rsid w:val="002803B7"/>
    <w:rsid w:val="0028129E"/>
    <w:rsid w:val="00281A0B"/>
    <w:rsid w:val="002822C1"/>
    <w:rsid w:val="00282725"/>
    <w:rsid w:val="00282D1B"/>
    <w:rsid w:val="002832BC"/>
    <w:rsid w:val="00283404"/>
    <w:rsid w:val="0028443E"/>
    <w:rsid w:val="0028517F"/>
    <w:rsid w:val="0028615E"/>
    <w:rsid w:val="0028623C"/>
    <w:rsid w:val="00287DD6"/>
    <w:rsid w:val="0029129E"/>
    <w:rsid w:val="002916DB"/>
    <w:rsid w:val="00291B40"/>
    <w:rsid w:val="002929C8"/>
    <w:rsid w:val="00292A60"/>
    <w:rsid w:val="00292B23"/>
    <w:rsid w:val="00292DB2"/>
    <w:rsid w:val="0029313E"/>
    <w:rsid w:val="002948B9"/>
    <w:rsid w:val="00295C22"/>
    <w:rsid w:val="0029628E"/>
    <w:rsid w:val="002963A2"/>
    <w:rsid w:val="00296465"/>
    <w:rsid w:val="0029684C"/>
    <w:rsid w:val="00296EBB"/>
    <w:rsid w:val="0029759B"/>
    <w:rsid w:val="00297B3B"/>
    <w:rsid w:val="00297BB7"/>
    <w:rsid w:val="002A0193"/>
    <w:rsid w:val="002A082E"/>
    <w:rsid w:val="002A0B1A"/>
    <w:rsid w:val="002A0E6F"/>
    <w:rsid w:val="002A181C"/>
    <w:rsid w:val="002A18F8"/>
    <w:rsid w:val="002A1F46"/>
    <w:rsid w:val="002A28CE"/>
    <w:rsid w:val="002A2FF3"/>
    <w:rsid w:val="002A3076"/>
    <w:rsid w:val="002A3329"/>
    <w:rsid w:val="002A35D8"/>
    <w:rsid w:val="002A3ABB"/>
    <w:rsid w:val="002A4768"/>
    <w:rsid w:val="002A4C09"/>
    <w:rsid w:val="002A4DF3"/>
    <w:rsid w:val="002A5F4D"/>
    <w:rsid w:val="002A6846"/>
    <w:rsid w:val="002A68A7"/>
    <w:rsid w:val="002A6AE4"/>
    <w:rsid w:val="002A6FA5"/>
    <w:rsid w:val="002A710C"/>
    <w:rsid w:val="002A7259"/>
    <w:rsid w:val="002A7446"/>
    <w:rsid w:val="002A7A78"/>
    <w:rsid w:val="002B0293"/>
    <w:rsid w:val="002B03D1"/>
    <w:rsid w:val="002B05E6"/>
    <w:rsid w:val="002B0A7D"/>
    <w:rsid w:val="002B1579"/>
    <w:rsid w:val="002B1F34"/>
    <w:rsid w:val="002B1F9A"/>
    <w:rsid w:val="002B1FD1"/>
    <w:rsid w:val="002B26BD"/>
    <w:rsid w:val="002B29BD"/>
    <w:rsid w:val="002B2B42"/>
    <w:rsid w:val="002B2B58"/>
    <w:rsid w:val="002B373A"/>
    <w:rsid w:val="002B3FF3"/>
    <w:rsid w:val="002B4008"/>
    <w:rsid w:val="002B4312"/>
    <w:rsid w:val="002B44EC"/>
    <w:rsid w:val="002B4690"/>
    <w:rsid w:val="002B4A90"/>
    <w:rsid w:val="002B50D5"/>
    <w:rsid w:val="002B5282"/>
    <w:rsid w:val="002B53BD"/>
    <w:rsid w:val="002B5B31"/>
    <w:rsid w:val="002B6980"/>
    <w:rsid w:val="002B78A0"/>
    <w:rsid w:val="002B78FB"/>
    <w:rsid w:val="002B7D32"/>
    <w:rsid w:val="002B7E7D"/>
    <w:rsid w:val="002B7FB1"/>
    <w:rsid w:val="002C0349"/>
    <w:rsid w:val="002C0676"/>
    <w:rsid w:val="002C0FAA"/>
    <w:rsid w:val="002C13A8"/>
    <w:rsid w:val="002C2B85"/>
    <w:rsid w:val="002C32AA"/>
    <w:rsid w:val="002C3AF9"/>
    <w:rsid w:val="002C3BB2"/>
    <w:rsid w:val="002C3D74"/>
    <w:rsid w:val="002C3DD9"/>
    <w:rsid w:val="002C419A"/>
    <w:rsid w:val="002C439F"/>
    <w:rsid w:val="002C502B"/>
    <w:rsid w:val="002C5288"/>
    <w:rsid w:val="002C52BC"/>
    <w:rsid w:val="002C5A8C"/>
    <w:rsid w:val="002C5EE3"/>
    <w:rsid w:val="002C6601"/>
    <w:rsid w:val="002C68D7"/>
    <w:rsid w:val="002C6BBC"/>
    <w:rsid w:val="002C6FBE"/>
    <w:rsid w:val="002C7078"/>
    <w:rsid w:val="002D0C42"/>
    <w:rsid w:val="002D0E8E"/>
    <w:rsid w:val="002D1010"/>
    <w:rsid w:val="002D147C"/>
    <w:rsid w:val="002D18B8"/>
    <w:rsid w:val="002D2AEA"/>
    <w:rsid w:val="002D2B55"/>
    <w:rsid w:val="002D39B0"/>
    <w:rsid w:val="002D3E9A"/>
    <w:rsid w:val="002D49E6"/>
    <w:rsid w:val="002D4C67"/>
    <w:rsid w:val="002D5734"/>
    <w:rsid w:val="002D595F"/>
    <w:rsid w:val="002D631F"/>
    <w:rsid w:val="002D64E3"/>
    <w:rsid w:val="002D69F0"/>
    <w:rsid w:val="002D7EE3"/>
    <w:rsid w:val="002E037F"/>
    <w:rsid w:val="002E0B98"/>
    <w:rsid w:val="002E1080"/>
    <w:rsid w:val="002E1269"/>
    <w:rsid w:val="002E14BD"/>
    <w:rsid w:val="002E16B6"/>
    <w:rsid w:val="002E1A8B"/>
    <w:rsid w:val="002E20F3"/>
    <w:rsid w:val="002E242E"/>
    <w:rsid w:val="002E24F7"/>
    <w:rsid w:val="002E2DBD"/>
    <w:rsid w:val="002E3862"/>
    <w:rsid w:val="002E3A67"/>
    <w:rsid w:val="002E3E04"/>
    <w:rsid w:val="002E4544"/>
    <w:rsid w:val="002E5088"/>
    <w:rsid w:val="002E52DC"/>
    <w:rsid w:val="002E609B"/>
    <w:rsid w:val="002E635A"/>
    <w:rsid w:val="002E7372"/>
    <w:rsid w:val="002E7CC4"/>
    <w:rsid w:val="002E7D94"/>
    <w:rsid w:val="002E7E54"/>
    <w:rsid w:val="002F007A"/>
    <w:rsid w:val="002F01CE"/>
    <w:rsid w:val="002F0401"/>
    <w:rsid w:val="002F0486"/>
    <w:rsid w:val="002F05B0"/>
    <w:rsid w:val="002F06FD"/>
    <w:rsid w:val="002F0A80"/>
    <w:rsid w:val="002F13B6"/>
    <w:rsid w:val="002F14F0"/>
    <w:rsid w:val="002F1558"/>
    <w:rsid w:val="002F29D5"/>
    <w:rsid w:val="002F2AE7"/>
    <w:rsid w:val="002F35BE"/>
    <w:rsid w:val="002F36B9"/>
    <w:rsid w:val="002F3C39"/>
    <w:rsid w:val="002F3CA0"/>
    <w:rsid w:val="002F406A"/>
    <w:rsid w:val="002F4788"/>
    <w:rsid w:val="002F4D68"/>
    <w:rsid w:val="002F4E0E"/>
    <w:rsid w:val="002F4F09"/>
    <w:rsid w:val="002F504E"/>
    <w:rsid w:val="002F5715"/>
    <w:rsid w:val="002F5B56"/>
    <w:rsid w:val="002F6BC1"/>
    <w:rsid w:val="002F6FFE"/>
    <w:rsid w:val="002F7AC9"/>
    <w:rsid w:val="002F7E8C"/>
    <w:rsid w:val="00300147"/>
    <w:rsid w:val="0030017D"/>
    <w:rsid w:val="00300203"/>
    <w:rsid w:val="003002D3"/>
    <w:rsid w:val="00301189"/>
    <w:rsid w:val="003011DC"/>
    <w:rsid w:val="003015A8"/>
    <w:rsid w:val="00301E4A"/>
    <w:rsid w:val="00302312"/>
    <w:rsid w:val="0030235F"/>
    <w:rsid w:val="003028F1"/>
    <w:rsid w:val="00302F10"/>
    <w:rsid w:val="00303114"/>
    <w:rsid w:val="00303195"/>
    <w:rsid w:val="003036D5"/>
    <w:rsid w:val="00303B29"/>
    <w:rsid w:val="00303EBC"/>
    <w:rsid w:val="003049E4"/>
    <w:rsid w:val="003052C3"/>
    <w:rsid w:val="00305801"/>
    <w:rsid w:val="00306936"/>
    <w:rsid w:val="00306E27"/>
    <w:rsid w:val="00306FDF"/>
    <w:rsid w:val="00307727"/>
    <w:rsid w:val="003106C3"/>
    <w:rsid w:val="00310B6D"/>
    <w:rsid w:val="00310C83"/>
    <w:rsid w:val="00310DE4"/>
    <w:rsid w:val="0031183C"/>
    <w:rsid w:val="00311A73"/>
    <w:rsid w:val="003121D9"/>
    <w:rsid w:val="00312A3E"/>
    <w:rsid w:val="00312F63"/>
    <w:rsid w:val="003134F9"/>
    <w:rsid w:val="00313790"/>
    <w:rsid w:val="003140BB"/>
    <w:rsid w:val="003144E4"/>
    <w:rsid w:val="00314A6A"/>
    <w:rsid w:val="00314DDB"/>
    <w:rsid w:val="003162D2"/>
    <w:rsid w:val="003168B8"/>
    <w:rsid w:val="00316A34"/>
    <w:rsid w:val="003177D6"/>
    <w:rsid w:val="003177EA"/>
    <w:rsid w:val="00320596"/>
    <w:rsid w:val="00320666"/>
    <w:rsid w:val="00320788"/>
    <w:rsid w:val="00320BBB"/>
    <w:rsid w:val="003211AF"/>
    <w:rsid w:val="00322D64"/>
    <w:rsid w:val="00322E2D"/>
    <w:rsid w:val="003231AD"/>
    <w:rsid w:val="00323558"/>
    <w:rsid w:val="00323699"/>
    <w:rsid w:val="00323B04"/>
    <w:rsid w:val="00323BE9"/>
    <w:rsid w:val="00323C19"/>
    <w:rsid w:val="00323C65"/>
    <w:rsid w:val="00323E09"/>
    <w:rsid w:val="0032426D"/>
    <w:rsid w:val="003248FA"/>
    <w:rsid w:val="003251E3"/>
    <w:rsid w:val="00325D61"/>
    <w:rsid w:val="00326025"/>
    <w:rsid w:val="003260F5"/>
    <w:rsid w:val="0032656F"/>
    <w:rsid w:val="0032660E"/>
    <w:rsid w:val="00326BAB"/>
    <w:rsid w:val="00327114"/>
    <w:rsid w:val="00327818"/>
    <w:rsid w:val="00327B85"/>
    <w:rsid w:val="00327F5F"/>
    <w:rsid w:val="00330BBA"/>
    <w:rsid w:val="003310D8"/>
    <w:rsid w:val="003312BD"/>
    <w:rsid w:val="003318B2"/>
    <w:rsid w:val="00331E3D"/>
    <w:rsid w:val="00332386"/>
    <w:rsid w:val="0033277A"/>
    <w:rsid w:val="003327E7"/>
    <w:rsid w:val="0033288F"/>
    <w:rsid w:val="003330A2"/>
    <w:rsid w:val="00333502"/>
    <w:rsid w:val="0033357A"/>
    <w:rsid w:val="003336B6"/>
    <w:rsid w:val="00333932"/>
    <w:rsid w:val="00333AA7"/>
    <w:rsid w:val="00333D50"/>
    <w:rsid w:val="003342E8"/>
    <w:rsid w:val="00334702"/>
    <w:rsid w:val="00334C4E"/>
    <w:rsid w:val="00334F60"/>
    <w:rsid w:val="00335218"/>
    <w:rsid w:val="00336443"/>
    <w:rsid w:val="003367E7"/>
    <w:rsid w:val="00336BCA"/>
    <w:rsid w:val="0033739C"/>
    <w:rsid w:val="003379A8"/>
    <w:rsid w:val="00337DA9"/>
    <w:rsid w:val="0034009C"/>
    <w:rsid w:val="00340C69"/>
    <w:rsid w:val="00340C6E"/>
    <w:rsid w:val="003417D0"/>
    <w:rsid w:val="003422EE"/>
    <w:rsid w:val="00342E90"/>
    <w:rsid w:val="00343205"/>
    <w:rsid w:val="00343D9F"/>
    <w:rsid w:val="0034408B"/>
    <w:rsid w:val="00344611"/>
    <w:rsid w:val="00344B03"/>
    <w:rsid w:val="00344B6B"/>
    <w:rsid w:val="00344D6D"/>
    <w:rsid w:val="0034540B"/>
    <w:rsid w:val="00345AC5"/>
    <w:rsid w:val="00345B87"/>
    <w:rsid w:val="00345C96"/>
    <w:rsid w:val="003461B1"/>
    <w:rsid w:val="00347281"/>
    <w:rsid w:val="003478A7"/>
    <w:rsid w:val="003502BF"/>
    <w:rsid w:val="003507F3"/>
    <w:rsid w:val="00350A64"/>
    <w:rsid w:val="00350AF7"/>
    <w:rsid w:val="00350D67"/>
    <w:rsid w:val="00350EAA"/>
    <w:rsid w:val="00351496"/>
    <w:rsid w:val="003518AA"/>
    <w:rsid w:val="00351C01"/>
    <w:rsid w:val="00351DF4"/>
    <w:rsid w:val="00352165"/>
    <w:rsid w:val="003525C6"/>
    <w:rsid w:val="003526EA"/>
    <w:rsid w:val="00353029"/>
    <w:rsid w:val="003530D5"/>
    <w:rsid w:val="00353182"/>
    <w:rsid w:val="003534F1"/>
    <w:rsid w:val="00353F9A"/>
    <w:rsid w:val="003540DF"/>
    <w:rsid w:val="0035454A"/>
    <w:rsid w:val="00354760"/>
    <w:rsid w:val="003549C5"/>
    <w:rsid w:val="00354DCF"/>
    <w:rsid w:val="0035511F"/>
    <w:rsid w:val="003562B3"/>
    <w:rsid w:val="003564B9"/>
    <w:rsid w:val="003565D9"/>
    <w:rsid w:val="003565ED"/>
    <w:rsid w:val="00356B33"/>
    <w:rsid w:val="00356D4B"/>
    <w:rsid w:val="003573A3"/>
    <w:rsid w:val="00357420"/>
    <w:rsid w:val="0035759D"/>
    <w:rsid w:val="0035799C"/>
    <w:rsid w:val="003602E1"/>
    <w:rsid w:val="00360BE2"/>
    <w:rsid w:val="00360C02"/>
    <w:rsid w:val="00360DC8"/>
    <w:rsid w:val="00361ABE"/>
    <w:rsid w:val="00361D14"/>
    <w:rsid w:val="00361D52"/>
    <w:rsid w:val="00361F62"/>
    <w:rsid w:val="0036279F"/>
    <w:rsid w:val="00362E1C"/>
    <w:rsid w:val="003630CD"/>
    <w:rsid w:val="00363135"/>
    <w:rsid w:val="003637D9"/>
    <w:rsid w:val="003639FD"/>
    <w:rsid w:val="00363B3D"/>
    <w:rsid w:val="00363B4A"/>
    <w:rsid w:val="00364E55"/>
    <w:rsid w:val="00364F91"/>
    <w:rsid w:val="00365340"/>
    <w:rsid w:val="003655D7"/>
    <w:rsid w:val="00366753"/>
    <w:rsid w:val="003674AE"/>
    <w:rsid w:val="00367B07"/>
    <w:rsid w:val="00367BDD"/>
    <w:rsid w:val="00367CE8"/>
    <w:rsid w:val="00370008"/>
    <w:rsid w:val="0037005B"/>
    <w:rsid w:val="003700C6"/>
    <w:rsid w:val="00370243"/>
    <w:rsid w:val="0037026F"/>
    <w:rsid w:val="00370449"/>
    <w:rsid w:val="00371240"/>
    <w:rsid w:val="00371409"/>
    <w:rsid w:val="0037140A"/>
    <w:rsid w:val="00371C9B"/>
    <w:rsid w:val="00371F57"/>
    <w:rsid w:val="003721C4"/>
    <w:rsid w:val="00372867"/>
    <w:rsid w:val="003732EB"/>
    <w:rsid w:val="00373426"/>
    <w:rsid w:val="00373691"/>
    <w:rsid w:val="003739C0"/>
    <w:rsid w:val="00373FA1"/>
    <w:rsid w:val="003744C5"/>
    <w:rsid w:val="00374731"/>
    <w:rsid w:val="00374C36"/>
    <w:rsid w:val="0037512C"/>
    <w:rsid w:val="003757A4"/>
    <w:rsid w:val="00375828"/>
    <w:rsid w:val="00375B72"/>
    <w:rsid w:val="00375E12"/>
    <w:rsid w:val="00375F42"/>
    <w:rsid w:val="0037693A"/>
    <w:rsid w:val="00376A96"/>
    <w:rsid w:val="00376E59"/>
    <w:rsid w:val="003779D8"/>
    <w:rsid w:val="00377ADE"/>
    <w:rsid w:val="00377BAA"/>
    <w:rsid w:val="00377EC1"/>
    <w:rsid w:val="003801BB"/>
    <w:rsid w:val="00380340"/>
    <w:rsid w:val="0038039B"/>
    <w:rsid w:val="0038046C"/>
    <w:rsid w:val="00381382"/>
    <w:rsid w:val="00381A3B"/>
    <w:rsid w:val="00381F52"/>
    <w:rsid w:val="003820DC"/>
    <w:rsid w:val="0038244C"/>
    <w:rsid w:val="00382ABD"/>
    <w:rsid w:val="00382BEB"/>
    <w:rsid w:val="0038340D"/>
    <w:rsid w:val="003838CF"/>
    <w:rsid w:val="003839FA"/>
    <w:rsid w:val="00383A64"/>
    <w:rsid w:val="00383BA5"/>
    <w:rsid w:val="0038426A"/>
    <w:rsid w:val="003842EA"/>
    <w:rsid w:val="00384EDF"/>
    <w:rsid w:val="003857C2"/>
    <w:rsid w:val="00385B52"/>
    <w:rsid w:val="003864B8"/>
    <w:rsid w:val="00386836"/>
    <w:rsid w:val="003876B2"/>
    <w:rsid w:val="00390FFE"/>
    <w:rsid w:val="003919F9"/>
    <w:rsid w:val="00391A01"/>
    <w:rsid w:val="00391B63"/>
    <w:rsid w:val="003920CF"/>
    <w:rsid w:val="00392980"/>
    <w:rsid w:val="00392C2C"/>
    <w:rsid w:val="00393481"/>
    <w:rsid w:val="00393C46"/>
    <w:rsid w:val="00394BAA"/>
    <w:rsid w:val="00396861"/>
    <w:rsid w:val="00396C68"/>
    <w:rsid w:val="00397249"/>
    <w:rsid w:val="003972B0"/>
    <w:rsid w:val="0039759C"/>
    <w:rsid w:val="00397A5D"/>
    <w:rsid w:val="00397AAD"/>
    <w:rsid w:val="00397E36"/>
    <w:rsid w:val="00397FA3"/>
    <w:rsid w:val="003A0573"/>
    <w:rsid w:val="003A0946"/>
    <w:rsid w:val="003A0E4D"/>
    <w:rsid w:val="003A13C6"/>
    <w:rsid w:val="003A247F"/>
    <w:rsid w:val="003A27CB"/>
    <w:rsid w:val="003A33F3"/>
    <w:rsid w:val="003A3773"/>
    <w:rsid w:val="003A39D9"/>
    <w:rsid w:val="003A4596"/>
    <w:rsid w:val="003A4649"/>
    <w:rsid w:val="003A4B10"/>
    <w:rsid w:val="003A4DED"/>
    <w:rsid w:val="003A4F5F"/>
    <w:rsid w:val="003A6CBF"/>
    <w:rsid w:val="003A6D4D"/>
    <w:rsid w:val="003A730C"/>
    <w:rsid w:val="003A7CE9"/>
    <w:rsid w:val="003A7D35"/>
    <w:rsid w:val="003A7DA9"/>
    <w:rsid w:val="003B051A"/>
    <w:rsid w:val="003B0ACA"/>
    <w:rsid w:val="003B11F0"/>
    <w:rsid w:val="003B133C"/>
    <w:rsid w:val="003B17E8"/>
    <w:rsid w:val="003B1F86"/>
    <w:rsid w:val="003B23C2"/>
    <w:rsid w:val="003B25B9"/>
    <w:rsid w:val="003B3086"/>
    <w:rsid w:val="003B31F4"/>
    <w:rsid w:val="003B3967"/>
    <w:rsid w:val="003B3EFA"/>
    <w:rsid w:val="003B3FF5"/>
    <w:rsid w:val="003B40C0"/>
    <w:rsid w:val="003B4E97"/>
    <w:rsid w:val="003B5680"/>
    <w:rsid w:val="003B5925"/>
    <w:rsid w:val="003B5B00"/>
    <w:rsid w:val="003B5E8C"/>
    <w:rsid w:val="003B67C1"/>
    <w:rsid w:val="003B6F7A"/>
    <w:rsid w:val="003B784A"/>
    <w:rsid w:val="003B7954"/>
    <w:rsid w:val="003B7962"/>
    <w:rsid w:val="003B7BFA"/>
    <w:rsid w:val="003B7D44"/>
    <w:rsid w:val="003C02B0"/>
    <w:rsid w:val="003C05AA"/>
    <w:rsid w:val="003C08F5"/>
    <w:rsid w:val="003C0C7E"/>
    <w:rsid w:val="003C1245"/>
    <w:rsid w:val="003C1533"/>
    <w:rsid w:val="003C1F1E"/>
    <w:rsid w:val="003C21E7"/>
    <w:rsid w:val="003C382E"/>
    <w:rsid w:val="003C38B5"/>
    <w:rsid w:val="003C475A"/>
    <w:rsid w:val="003C4E33"/>
    <w:rsid w:val="003C5392"/>
    <w:rsid w:val="003C55A1"/>
    <w:rsid w:val="003C5D99"/>
    <w:rsid w:val="003C66EE"/>
    <w:rsid w:val="003C6C18"/>
    <w:rsid w:val="003C6D44"/>
    <w:rsid w:val="003C78B3"/>
    <w:rsid w:val="003C7CB4"/>
    <w:rsid w:val="003D004D"/>
    <w:rsid w:val="003D0ED4"/>
    <w:rsid w:val="003D1087"/>
    <w:rsid w:val="003D10AD"/>
    <w:rsid w:val="003D31C2"/>
    <w:rsid w:val="003D32C2"/>
    <w:rsid w:val="003D3505"/>
    <w:rsid w:val="003D391C"/>
    <w:rsid w:val="003D3EE9"/>
    <w:rsid w:val="003D47EE"/>
    <w:rsid w:val="003D4DE6"/>
    <w:rsid w:val="003D5406"/>
    <w:rsid w:val="003D5458"/>
    <w:rsid w:val="003D5779"/>
    <w:rsid w:val="003D5969"/>
    <w:rsid w:val="003D5D43"/>
    <w:rsid w:val="003D5D4D"/>
    <w:rsid w:val="003D5D69"/>
    <w:rsid w:val="003D6CA5"/>
    <w:rsid w:val="003D6EF8"/>
    <w:rsid w:val="003D7CFD"/>
    <w:rsid w:val="003D7D1A"/>
    <w:rsid w:val="003E0BE7"/>
    <w:rsid w:val="003E0FD0"/>
    <w:rsid w:val="003E0FE4"/>
    <w:rsid w:val="003E129B"/>
    <w:rsid w:val="003E14B7"/>
    <w:rsid w:val="003E1510"/>
    <w:rsid w:val="003E1AEA"/>
    <w:rsid w:val="003E1D05"/>
    <w:rsid w:val="003E1FB6"/>
    <w:rsid w:val="003E27FE"/>
    <w:rsid w:val="003E2F59"/>
    <w:rsid w:val="003E2F83"/>
    <w:rsid w:val="003E31AF"/>
    <w:rsid w:val="003E3262"/>
    <w:rsid w:val="003E39D7"/>
    <w:rsid w:val="003E3B13"/>
    <w:rsid w:val="003E46B2"/>
    <w:rsid w:val="003E517B"/>
    <w:rsid w:val="003E5219"/>
    <w:rsid w:val="003E55F5"/>
    <w:rsid w:val="003E5B24"/>
    <w:rsid w:val="003E5B90"/>
    <w:rsid w:val="003E5D3F"/>
    <w:rsid w:val="003E61C0"/>
    <w:rsid w:val="003E6718"/>
    <w:rsid w:val="003E686A"/>
    <w:rsid w:val="003E68B4"/>
    <w:rsid w:val="003E6F00"/>
    <w:rsid w:val="003E7033"/>
    <w:rsid w:val="003E730B"/>
    <w:rsid w:val="003E746B"/>
    <w:rsid w:val="003E74BA"/>
    <w:rsid w:val="003E7A7F"/>
    <w:rsid w:val="003F0263"/>
    <w:rsid w:val="003F044C"/>
    <w:rsid w:val="003F0789"/>
    <w:rsid w:val="003F07E9"/>
    <w:rsid w:val="003F1618"/>
    <w:rsid w:val="003F25F1"/>
    <w:rsid w:val="003F27E2"/>
    <w:rsid w:val="003F2ADD"/>
    <w:rsid w:val="003F2B15"/>
    <w:rsid w:val="003F2B73"/>
    <w:rsid w:val="003F2B9B"/>
    <w:rsid w:val="003F3451"/>
    <w:rsid w:val="003F34A5"/>
    <w:rsid w:val="003F3659"/>
    <w:rsid w:val="003F3932"/>
    <w:rsid w:val="003F3A40"/>
    <w:rsid w:val="003F3BD6"/>
    <w:rsid w:val="003F3D68"/>
    <w:rsid w:val="003F4323"/>
    <w:rsid w:val="003F463D"/>
    <w:rsid w:val="003F48DD"/>
    <w:rsid w:val="003F4A14"/>
    <w:rsid w:val="003F4C72"/>
    <w:rsid w:val="003F55E0"/>
    <w:rsid w:val="003F64F0"/>
    <w:rsid w:val="003F65E8"/>
    <w:rsid w:val="003F67E3"/>
    <w:rsid w:val="003F69CF"/>
    <w:rsid w:val="003F6A0F"/>
    <w:rsid w:val="003F6D90"/>
    <w:rsid w:val="003F6DBE"/>
    <w:rsid w:val="003F6E8E"/>
    <w:rsid w:val="003F7D30"/>
    <w:rsid w:val="003F7D82"/>
    <w:rsid w:val="00400E8F"/>
    <w:rsid w:val="00401693"/>
    <w:rsid w:val="00401882"/>
    <w:rsid w:val="00402205"/>
    <w:rsid w:val="00402FFA"/>
    <w:rsid w:val="00403075"/>
    <w:rsid w:val="00403164"/>
    <w:rsid w:val="004032C1"/>
    <w:rsid w:val="004034E6"/>
    <w:rsid w:val="00403AF7"/>
    <w:rsid w:val="0040406A"/>
    <w:rsid w:val="00404216"/>
    <w:rsid w:val="0040428F"/>
    <w:rsid w:val="00404508"/>
    <w:rsid w:val="00404A53"/>
    <w:rsid w:val="00404BCF"/>
    <w:rsid w:val="004054BD"/>
    <w:rsid w:val="00405508"/>
    <w:rsid w:val="0040558C"/>
    <w:rsid w:val="00406514"/>
    <w:rsid w:val="0040665D"/>
    <w:rsid w:val="004066F4"/>
    <w:rsid w:val="00406940"/>
    <w:rsid w:val="00406C40"/>
    <w:rsid w:val="00407532"/>
    <w:rsid w:val="0040753E"/>
    <w:rsid w:val="00407B62"/>
    <w:rsid w:val="00407C23"/>
    <w:rsid w:val="004100C8"/>
    <w:rsid w:val="00410299"/>
    <w:rsid w:val="004102C5"/>
    <w:rsid w:val="0041071F"/>
    <w:rsid w:val="00411C94"/>
    <w:rsid w:val="00411DBD"/>
    <w:rsid w:val="004124E3"/>
    <w:rsid w:val="004125E2"/>
    <w:rsid w:val="00412799"/>
    <w:rsid w:val="00412ACE"/>
    <w:rsid w:val="00413DE6"/>
    <w:rsid w:val="00413F9B"/>
    <w:rsid w:val="0041418B"/>
    <w:rsid w:val="004145D2"/>
    <w:rsid w:val="0041479A"/>
    <w:rsid w:val="00414E79"/>
    <w:rsid w:val="00414EED"/>
    <w:rsid w:val="004158E6"/>
    <w:rsid w:val="004159E6"/>
    <w:rsid w:val="00415B37"/>
    <w:rsid w:val="00415BB2"/>
    <w:rsid w:val="00416504"/>
    <w:rsid w:val="0041673A"/>
    <w:rsid w:val="00416AE1"/>
    <w:rsid w:val="00417599"/>
    <w:rsid w:val="00417CD9"/>
    <w:rsid w:val="0042048B"/>
    <w:rsid w:val="00420A07"/>
    <w:rsid w:val="00420D00"/>
    <w:rsid w:val="00420EA0"/>
    <w:rsid w:val="00421083"/>
    <w:rsid w:val="004215BE"/>
    <w:rsid w:val="004215EC"/>
    <w:rsid w:val="0042288E"/>
    <w:rsid w:val="004228F8"/>
    <w:rsid w:val="00422AB4"/>
    <w:rsid w:val="00422B93"/>
    <w:rsid w:val="0042324B"/>
    <w:rsid w:val="004234BB"/>
    <w:rsid w:val="00423F1E"/>
    <w:rsid w:val="0042480F"/>
    <w:rsid w:val="00424E44"/>
    <w:rsid w:val="00425128"/>
    <w:rsid w:val="00425793"/>
    <w:rsid w:val="00426CB4"/>
    <w:rsid w:val="00427054"/>
    <w:rsid w:val="00427146"/>
    <w:rsid w:val="004278A8"/>
    <w:rsid w:val="00427CB3"/>
    <w:rsid w:val="0043025E"/>
    <w:rsid w:val="00430272"/>
    <w:rsid w:val="004304B7"/>
    <w:rsid w:val="00430C92"/>
    <w:rsid w:val="00431037"/>
    <w:rsid w:val="00431249"/>
    <w:rsid w:val="004315F8"/>
    <w:rsid w:val="00431A58"/>
    <w:rsid w:val="00432256"/>
    <w:rsid w:val="00432268"/>
    <w:rsid w:val="004325AA"/>
    <w:rsid w:val="00432713"/>
    <w:rsid w:val="0043279E"/>
    <w:rsid w:val="00432805"/>
    <w:rsid w:val="00432902"/>
    <w:rsid w:val="00432C12"/>
    <w:rsid w:val="00433CF4"/>
    <w:rsid w:val="00433DC3"/>
    <w:rsid w:val="00434090"/>
    <w:rsid w:val="00434489"/>
    <w:rsid w:val="0043481B"/>
    <w:rsid w:val="00434C19"/>
    <w:rsid w:val="00434F31"/>
    <w:rsid w:val="00434FD9"/>
    <w:rsid w:val="0043512C"/>
    <w:rsid w:val="00435314"/>
    <w:rsid w:val="00436091"/>
    <w:rsid w:val="00436691"/>
    <w:rsid w:val="00436C46"/>
    <w:rsid w:val="00437A0F"/>
    <w:rsid w:val="00437A59"/>
    <w:rsid w:val="0044039D"/>
    <w:rsid w:val="00442040"/>
    <w:rsid w:val="004422C1"/>
    <w:rsid w:val="00442723"/>
    <w:rsid w:val="00442E3F"/>
    <w:rsid w:val="00443397"/>
    <w:rsid w:val="004439BC"/>
    <w:rsid w:val="00443BC9"/>
    <w:rsid w:val="004443E9"/>
    <w:rsid w:val="004446C4"/>
    <w:rsid w:val="0044473A"/>
    <w:rsid w:val="00444D59"/>
    <w:rsid w:val="00444DD7"/>
    <w:rsid w:val="00446281"/>
    <w:rsid w:val="00446B25"/>
    <w:rsid w:val="00446C70"/>
    <w:rsid w:val="00446F6F"/>
    <w:rsid w:val="004471A6"/>
    <w:rsid w:val="004475D1"/>
    <w:rsid w:val="00447F65"/>
    <w:rsid w:val="00450498"/>
    <w:rsid w:val="00450716"/>
    <w:rsid w:val="00450810"/>
    <w:rsid w:val="00450DA3"/>
    <w:rsid w:val="004521AB"/>
    <w:rsid w:val="00452380"/>
    <w:rsid w:val="0045379C"/>
    <w:rsid w:val="00454128"/>
    <w:rsid w:val="004545D6"/>
    <w:rsid w:val="00454803"/>
    <w:rsid w:val="00454CD7"/>
    <w:rsid w:val="00455200"/>
    <w:rsid w:val="0045553D"/>
    <w:rsid w:val="0045572D"/>
    <w:rsid w:val="00455A39"/>
    <w:rsid w:val="004560C8"/>
    <w:rsid w:val="0045631A"/>
    <w:rsid w:val="00457D55"/>
    <w:rsid w:val="004602D8"/>
    <w:rsid w:val="00460F20"/>
    <w:rsid w:val="0046147B"/>
    <w:rsid w:val="004616FC"/>
    <w:rsid w:val="00461778"/>
    <w:rsid w:val="00461962"/>
    <w:rsid w:val="0046198B"/>
    <w:rsid w:val="00461BA2"/>
    <w:rsid w:val="00462724"/>
    <w:rsid w:val="00462C59"/>
    <w:rsid w:val="0046367A"/>
    <w:rsid w:val="00463D9C"/>
    <w:rsid w:val="004646DA"/>
    <w:rsid w:val="00464F03"/>
    <w:rsid w:val="00465251"/>
    <w:rsid w:val="00465873"/>
    <w:rsid w:val="004660B8"/>
    <w:rsid w:val="0046642C"/>
    <w:rsid w:val="00466541"/>
    <w:rsid w:val="00466B1D"/>
    <w:rsid w:val="004678DE"/>
    <w:rsid w:val="004703C8"/>
    <w:rsid w:val="004705B6"/>
    <w:rsid w:val="00470737"/>
    <w:rsid w:val="00470A04"/>
    <w:rsid w:val="004716DF"/>
    <w:rsid w:val="0047187D"/>
    <w:rsid w:val="0047199E"/>
    <w:rsid w:val="00471BED"/>
    <w:rsid w:val="00471FC3"/>
    <w:rsid w:val="00471FE5"/>
    <w:rsid w:val="004726C7"/>
    <w:rsid w:val="0047349B"/>
    <w:rsid w:val="00474572"/>
    <w:rsid w:val="00474AA3"/>
    <w:rsid w:val="00474B71"/>
    <w:rsid w:val="00474E3A"/>
    <w:rsid w:val="004753E0"/>
    <w:rsid w:val="00475659"/>
    <w:rsid w:val="004756C7"/>
    <w:rsid w:val="004759DE"/>
    <w:rsid w:val="00475C5B"/>
    <w:rsid w:val="004761AB"/>
    <w:rsid w:val="00476296"/>
    <w:rsid w:val="004763AE"/>
    <w:rsid w:val="004768FE"/>
    <w:rsid w:val="00476FC0"/>
    <w:rsid w:val="00477008"/>
    <w:rsid w:val="00477144"/>
    <w:rsid w:val="004771A8"/>
    <w:rsid w:val="00477216"/>
    <w:rsid w:val="00477C7A"/>
    <w:rsid w:val="00480320"/>
    <w:rsid w:val="004808EC"/>
    <w:rsid w:val="00480C56"/>
    <w:rsid w:val="00480CCA"/>
    <w:rsid w:val="004813D6"/>
    <w:rsid w:val="00482018"/>
    <w:rsid w:val="004822F8"/>
    <w:rsid w:val="00482458"/>
    <w:rsid w:val="00483223"/>
    <w:rsid w:val="00483A25"/>
    <w:rsid w:val="004843AE"/>
    <w:rsid w:val="00484698"/>
    <w:rsid w:val="00484A76"/>
    <w:rsid w:val="00485175"/>
    <w:rsid w:val="00486380"/>
    <w:rsid w:val="00487FA9"/>
    <w:rsid w:val="00490982"/>
    <w:rsid w:val="00490C42"/>
    <w:rsid w:val="00491380"/>
    <w:rsid w:val="00491680"/>
    <w:rsid w:val="00491BF3"/>
    <w:rsid w:val="00491E16"/>
    <w:rsid w:val="00492225"/>
    <w:rsid w:val="00492D2C"/>
    <w:rsid w:val="0049332F"/>
    <w:rsid w:val="0049360C"/>
    <w:rsid w:val="004937B5"/>
    <w:rsid w:val="00493A42"/>
    <w:rsid w:val="0049459F"/>
    <w:rsid w:val="00494825"/>
    <w:rsid w:val="00494F1F"/>
    <w:rsid w:val="004953C6"/>
    <w:rsid w:val="00495EEC"/>
    <w:rsid w:val="00496485"/>
    <w:rsid w:val="00496696"/>
    <w:rsid w:val="004975AF"/>
    <w:rsid w:val="004977FA"/>
    <w:rsid w:val="0049797D"/>
    <w:rsid w:val="004A019A"/>
    <w:rsid w:val="004A0633"/>
    <w:rsid w:val="004A0994"/>
    <w:rsid w:val="004A0AF2"/>
    <w:rsid w:val="004A0B06"/>
    <w:rsid w:val="004A16A8"/>
    <w:rsid w:val="004A175C"/>
    <w:rsid w:val="004A1768"/>
    <w:rsid w:val="004A1A78"/>
    <w:rsid w:val="004A1ED3"/>
    <w:rsid w:val="004A2380"/>
    <w:rsid w:val="004A2401"/>
    <w:rsid w:val="004A2B05"/>
    <w:rsid w:val="004A31EF"/>
    <w:rsid w:val="004A38DD"/>
    <w:rsid w:val="004A491A"/>
    <w:rsid w:val="004A5126"/>
    <w:rsid w:val="004A68B0"/>
    <w:rsid w:val="004A6BD8"/>
    <w:rsid w:val="004A6BFE"/>
    <w:rsid w:val="004A72D5"/>
    <w:rsid w:val="004A7D22"/>
    <w:rsid w:val="004B0CED"/>
    <w:rsid w:val="004B1195"/>
    <w:rsid w:val="004B1B58"/>
    <w:rsid w:val="004B1E6B"/>
    <w:rsid w:val="004B24FB"/>
    <w:rsid w:val="004B25C5"/>
    <w:rsid w:val="004B2A1D"/>
    <w:rsid w:val="004B2AF3"/>
    <w:rsid w:val="004B30BB"/>
    <w:rsid w:val="004B30CB"/>
    <w:rsid w:val="004B43AE"/>
    <w:rsid w:val="004B505D"/>
    <w:rsid w:val="004B6030"/>
    <w:rsid w:val="004B68A5"/>
    <w:rsid w:val="004B73C3"/>
    <w:rsid w:val="004B7DEE"/>
    <w:rsid w:val="004C02A2"/>
    <w:rsid w:val="004C0C09"/>
    <w:rsid w:val="004C1AD6"/>
    <w:rsid w:val="004C1B38"/>
    <w:rsid w:val="004C2AA0"/>
    <w:rsid w:val="004C2C42"/>
    <w:rsid w:val="004C30ED"/>
    <w:rsid w:val="004C3732"/>
    <w:rsid w:val="004C37E2"/>
    <w:rsid w:val="004C3CC2"/>
    <w:rsid w:val="004C3FE3"/>
    <w:rsid w:val="004C4003"/>
    <w:rsid w:val="004C40C6"/>
    <w:rsid w:val="004C4BB2"/>
    <w:rsid w:val="004C4E78"/>
    <w:rsid w:val="004C5478"/>
    <w:rsid w:val="004C54CB"/>
    <w:rsid w:val="004C5A30"/>
    <w:rsid w:val="004C5F0C"/>
    <w:rsid w:val="004C5FBE"/>
    <w:rsid w:val="004C6CF8"/>
    <w:rsid w:val="004C7851"/>
    <w:rsid w:val="004D03D7"/>
    <w:rsid w:val="004D0FBB"/>
    <w:rsid w:val="004D1881"/>
    <w:rsid w:val="004D1FE3"/>
    <w:rsid w:val="004D217B"/>
    <w:rsid w:val="004D2D62"/>
    <w:rsid w:val="004D2E7C"/>
    <w:rsid w:val="004D2E8A"/>
    <w:rsid w:val="004D2FEE"/>
    <w:rsid w:val="004D36BA"/>
    <w:rsid w:val="004D3DA7"/>
    <w:rsid w:val="004D3DB9"/>
    <w:rsid w:val="004D3DCB"/>
    <w:rsid w:val="004D4361"/>
    <w:rsid w:val="004D44EF"/>
    <w:rsid w:val="004D46F9"/>
    <w:rsid w:val="004D55BC"/>
    <w:rsid w:val="004D5675"/>
    <w:rsid w:val="004D5ABD"/>
    <w:rsid w:val="004D60F5"/>
    <w:rsid w:val="004D68D4"/>
    <w:rsid w:val="004D6FE0"/>
    <w:rsid w:val="004D7060"/>
    <w:rsid w:val="004D73CE"/>
    <w:rsid w:val="004E030D"/>
    <w:rsid w:val="004E06BF"/>
    <w:rsid w:val="004E0893"/>
    <w:rsid w:val="004E1438"/>
    <w:rsid w:val="004E1F9E"/>
    <w:rsid w:val="004E2C29"/>
    <w:rsid w:val="004E2D22"/>
    <w:rsid w:val="004E3279"/>
    <w:rsid w:val="004E358A"/>
    <w:rsid w:val="004E369D"/>
    <w:rsid w:val="004E37E2"/>
    <w:rsid w:val="004E424E"/>
    <w:rsid w:val="004E42AC"/>
    <w:rsid w:val="004E48C3"/>
    <w:rsid w:val="004E49AA"/>
    <w:rsid w:val="004E58BF"/>
    <w:rsid w:val="004E6CF3"/>
    <w:rsid w:val="004E73B7"/>
    <w:rsid w:val="004E762A"/>
    <w:rsid w:val="004E78C3"/>
    <w:rsid w:val="004E79AD"/>
    <w:rsid w:val="004E7A11"/>
    <w:rsid w:val="004F0640"/>
    <w:rsid w:val="004F0EDB"/>
    <w:rsid w:val="004F15D9"/>
    <w:rsid w:val="004F1ADB"/>
    <w:rsid w:val="004F1B71"/>
    <w:rsid w:val="004F1CDA"/>
    <w:rsid w:val="004F1DC6"/>
    <w:rsid w:val="004F1F43"/>
    <w:rsid w:val="004F1F45"/>
    <w:rsid w:val="004F1F58"/>
    <w:rsid w:val="004F1F94"/>
    <w:rsid w:val="004F2C0B"/>
    <w:rsid w:val="004F3271"/>
    <w:rsid w:val="004F3F66"/>
    <w:rsid w:val="004F448D"/>
    <w:rsid w:val="004F5660"/>
    <w:rsid w:val="004F5743"/>
    <w:rsid w:val="004F58F3"/>
    <w:rsid w:val="004F5F46"/>
    <w:rsid w:val="004F6001"/>
    <w:rsid w:val="004F62A9"/>
    <w:rsid w:val="004F6310"/>
    <w:rsid w:val="004F6AC9"/>
    <w:rsid w:val="004F70BB"/>
    <w:rsid w:val="004F73F1"/>
    <w:rsid w:val="004F7A8C"/>
    <w:rsid w:val="005001E2"/>
    <w:rsid w:val="0050022D"/>
    <w:rsid w:val="00500A31"/>
    <w:rsid w:val="005010B9"/>
    <w:rsid w:val="00501B6B"/>
    <w:rsid w:val="00501E45"/>
    <w:rsid w:val="00502439"/>
    <w:rsid w:val="005026D5"/>
    <w:rsid w:val="00502942"/>
    <w:rsid w:val="00502C33"/>
    <w:rsid w:val="00503173"/>
    <w:rsid w:val="00503667"/>
    <w:rsid w:val="00504832"/>
    <w:rsid w:val="00504B04"/>
    <w:rsid w:val="0050565F"/>
    <w:rsid w:val="005056F6"/>
    <w:rsid w:val="00505CE6"/>
    <w:rsid w:val="0050743B"/>
    <w:rsid w:val="005075DF"/>
    <w:rsid w:val="0050784B"/>
    <w:rsid w:val="005104F2"/>
    <w:rsid w:val="00510623"/>
    <w:rsid w:val="00510918"/>
    <w:rsid w:val="005109F8"/>
    <w:rsid w:val="00510AF3"/>
    <w:rsid w:val="00510BE4"/>
    <w:rsid w:val="00510C3C"/>
    <w:rsid w:val="00510D3B"/>
    <w:rsid w:val="00511024"/>
    <w:rsid w:val="005110BA"/>
    <w:rsid w:val="00511168"/>
    <w:rsid w:val="00511D7D"/>
    <w:rsid w:val="005128EC"/>
    <w:rsid w:val="0051306E"/>
    <w:rsid w:val="0051329D"/>
    <w:rsid w:val="00513411"/>
    <w:rsid w:val="005138B2"/>
    <w:rsid w:val="00513BF9"/>
    <w:rsid w:val="00513FCA"/>
    <w:rsid w:val="00514443"/>
    <w:rsid w:val="0051461D"/>
    <w:rsid w:val="005159A8"/>
    <w:rsid w:val="00516281"/>
    <w:rsid w:val="00516FAF"/>
    <w:rsid w:val="00517266"/>
    <w:rsid w:val="00517323"/>
    <w:rsid w:val="005174FA"/>
    <w:rsid w:val="00517795"/>
    <w:rsid w:val="005178BD"/>
    <w:rsid w:val="00517F2A"/>
    <w:rsid w:val="005201A3"/>
    <w:rsid w:val="005213AA"/>
    <w:rsid w:val="005218B0"/>
    <w:rsid w:val="00521A14"/>
    <w:rsid w:val="0052230B"/>
    <w:rsid w:val="00522329"/>
    <w:rsid w:val="005229BE"/>
    <w:rsid w:val="0052307C"/>
    <w:rsid w:val="00523639"/>
    <w:rsid w:val="0052370E"/>
    <w:rsid w:val="0052382E"/>
    <w:rsid w:val="005239CD"/>
    <w:rsid w:val="00523BFF"/>
    <w:rsid w:val="005242ED"/>
    <w:rsid w:val="005245C6"/>
    <w:rsid w:val="00524755"/>
    <w:rsid w:val="0052570F"/>
    <w:rsid w:val="00526204"/>
    <w:rsid w:val="00526787"/>
    <w:rsid w:val="0052692F"/>
    <w:rsid w:val="00526AE3"/>
    <w:rsid w:val="00526EDD"/>
    <w:rsid w:val="00527ABC"/>
    <w:rsid w:val="00527AE4"/>
    <w:rsid w:val="00527BFE"/>
    <w:rsid w:val="00527C10"/>
    <w:rsid w:val="00527DCD"/>
    <w:rsid w:val="00530F91"/>
    <w:rsid w:val="0053157D"/>
    <w:rsid w:val="00531920"/>
    <w:rsid w:val="00531A0F"/>
    <w:rsid w:val="00531A4E"/>
    <w:rsid w:val="00531FE5"/>
    <w:rsid w:val="005325E9"/>
    <w:rsid w:val="00532AD8"/>
    <w:rsid w:val="00532CF6"/>
    <w:rsid w:val="00532D77"/>
    <w:rsid w:val="00532E47"/>
    <w:rsid w:val="0053311F"/>
    <w:rsid w:val="0053351D"/>
    <w:rsid w:val="005338AF"/>
    <w:rsid w:val="00533ADF"/>
    <w:rsid w:val="00533F30"/>
    <w:rsid w:val="00533F3F"/>
    <w:rsid w:val="00533FE3"/>
    <w:rsid w:val="00534532"/>
    <w:rsid w:val="00534E73"/>
    <w:rsid w:val="00534F00"/>
    <w:rsid w:val="005354D3"/>
    <w:rsid w:val="00535C7D"/>
    <w:rsid w:val="00536181"/>
    <w:rsid w:val="0053650F"/>
    <w:rsid w:val="00536629"/>
    <w:rsid w:val="00536B9B"/>
    <w:rsid w:val="00536D10"/>
    <w:rsid w:val="00537527"/>
    <w:rsid w:val="0053787A"/>
    <w:rsid w:val="00537EA8"/>
    <w:rsid w:val="005401FF"/>
    <w:rsid w:val="005402A2"/>
    <w:rsid w:val="005402FA"/>
    <w:rsid w:val="0054049E"/>
    <w:rsid w:val="005407EF"/>
    <w:rsid w:val="0054133B"/>
    <w:rsid w:val="005418F8"/>
    <w:rsid w:val="00541E1A"/>
    <w:rsid w:val="00541E88"/>
    <w:rsid w:val="005428A6"/>
    <w:rsid w:val="00542B90"/>
    <w:rsid w:val="00542D67"/>
    <w:rsid w:val="005434F4"/>
    <w:rsid w:val="00543616"/>
    <w:rsid w:val="00545FC3"/>
    <w:rsid w:val="005467B3"/>
    <w:rsid w:val="00546B59"/>
    <w:rsid w:val="005472B5"/>
    <w:rsid w:val="00550AC7"/>
    <w:rsid w:val="0055141C"/>
    <w:rsid w:val="00551485"/>
    <w:rsid w:val="005516C5"/>
    <w:rsid w:val="00551AF3"/>
    <w:rsid w:val="0055298C"/>
    <w:rsid w:val="00552A71"/>
    <w:rsid w:val="0055370A"/>
    <w:rsid w:val="00553810"/>
    <w:rsid w:val="0055434E"/>
    <w:rsid w:val="00554DA9"/>
    <w:rsid w:val="00554F3F"/>
    <w:rsid w:val="0055574C"/>
    <w:rsid w:val="0055673F"/>
    <w:rsid w:val="00556C1A"/>
    <w:rsid w:val="00557194"/>
    <w:rsid w:val="005573D8"/>
    <w:rsid w:val="005600E9"/>
    <w:rsid w:val="00560F27"/>
    <w:rsid w:val="0056112A"/>
    <w:rsid w:val="00562083"/>
    <w:rsid w:val="0056213F"/>
    <w:rsid w:val="0056260E"/>
    <w:rsid w:val="0056276D"/>
    <w:rsid w:val="005634F0"/>
    <w:rsid w:val="00563C0C"/>
    <w:rsid w:val="00563F0A"/>
    <w:rsid w:val="0056473E"/>
    <w:rsid w:val="00564814"/>
    <w:rsid w:val="00564BE4"/>
    <w:rsid w:val="0056568C"/>
    <w:rsid w:val="00565DD3"/>
    <w:rsid w:val="0056615E"/>
    <w:rsid w:val="00566A74"/>
    <w:rsid w:val="00567797"/>
    <w:rsid w:val="00567D05"/>
    <w:rsid w:val="00567D1F"/>
    <w:rsid w:val="005706AA"/>
    <w:rsid w:val="0057078C"/>
    <w:rsid w:val="00570A38"/>
    <w:rsid w:val="00571234"/>
    <w:rsid w:val="005717E8"/>
    <w:rsid w:val="005719C2"/>
    <w:rsid w:val="00571A40"/>
    <w:rsid w:val="00571F25"/>
    <w:rsid w:val="00571F8A"/>
    <w:rsid w:val="005729BD"/>
    <w:rsid w:val="00572A90"/>
    <w:rsid w:val="00572E2C"/>
    <w:rsid w:val="00573437"/>
    <w:rsid w:val="00573776"/>
    <w:rsid w:val="0057394D"/>
    <w:rsid w:val="00573BE3"/>
    <w:rsid w:val="0057411A"/>
    <w:rsid w:val="00575016"/>
    <w:rsid w:val="00575184"/>
    <w:rsid w:val="00575472"/>
    <w:rsid w:val="00575894"/>
    <w:rsid w:val="005761C8"/>
    <w:rsid w:val="005767B1"/>
    <w:rsid w:val="00576BFA"/>
    <w:rsid w:val="0057713D"/>
    <w:rsid w:val="00577249"/>
    <w:rsid w:val="005776C8"/>
    <w:rsid w:val="005777DC"/>
    <w:rsid w:val="0058012F"/>
    <w:rsid w:val="00580154"/>
    <w:rsid w:val="00580558"/>
    <w:rsid w:val="0058097A"/>
    <w:rsid w:val="005811C5"/>
    <w:rsid w:val="00581288"/>
    <w:rsid w:val="00581A67"/>
    <w:rsid w:val="00581BCA"/>
    <w:rsid w:val="00581FE2"/>
    <w:rsid w:val="005821D9"/>
    <w:rsid w:val="00582465"/>
    <w:rsid w:val="0058330B"/>
    <w:rsid w:val="0058346C"/>
    <w:rsid w:val="00583616"/>
    <w:rsid w:val="00583A62"/>
    <w:rsid w:val="00583C39"/>
    <w:rsid w:val="00583D86"/>
    <w:rsid w:val="00583F33"/>
    <w:rsid w:val="00584082"/>
    <w:rsid w:val="00584159"/>
    <w:rsid w:val="005855C4"/>
    <w:rsid w:val="00586384"/>
    <w:rsid w:val="0058699F"/>
    <w:rsid w:val="00586A90"/>
    <w:rsid w:val="00586BAC"/>
    <w:rsid w:val="00586EE3"/>
    <w:rsid w:val="00587B4F"/>
    <w:rsid w:val="00587F28"/>
    <w:rsid w:val="0059086D"/>
    <w:rsid w:val="00590970"/>
    <w:rsid w:val="005909CF"/>
    <w:rsid w:val="00590C01"/>
    <w:rsid w:val="00590D48"/>
    <w:rsid w:val="00590EFD"/>
    <w:rsid w:val="0059109F"/>
    <w:rsid w:val="0059193C"/>
    <w:rsid w:val="00591E71"/>
    <w:rsid w:val="00592B8A"/>
    <w:rsid w:val="0059326C"/>
    <w:rsid w:val="005942F8"/>
    <w:rsid w:val="005948F7"/>
    <w:rsid w:val="0059528B"/>
    <w:rsid w:val="005953EB"/>
    <w:rsid w:val="005966FC"/>
    <w:rsid w:val="0059679C"/>
    <w:rsid w:val="00597001"/>
    <w:rsid w:val="005972F2"/>
    <w:rsid w:val="00597D27"/>
    <w:rsid w:val="005A0D41"/>
    <w:rsid w:val="005A0F9D"/>
    <w:rsid w:val="005A132B"/>
    <w:rsid w:val="005A1D36"/>
    <w:rsid w:val="005A2074"/>
    <w:rsid w:val="005A23EF"/>
    <w:rsid w:val="005A2898"/>
    <w:rsid w:val="005A28D6"/>
    <w:rsid w:val="005A28F1"/>
    <w:rsid w:val="005A4246"/>
    <w:rsid w:val="005A459B"/>
    <w:rsid w:val="005A489D"/>
    <w:rsid w:val="005A59E2"/>
    <w:rsid w:val="005A66C3"/>
    <w:rsid w:val="005A6A4F"/>
    <w:rsid w:val="005A6A62"/>
    <w:rsid w:val="005A6D97"/>
    <w:rsid w:val="005A75A0"/>
    <w:rsid w:val="005A76A6"/>
    <w:rsid w:val="005A7725"/>
    <w:rsid w:val="005B06BB"/>
    <w:rsid w:val="005B0EE2"/>
    <w:rsid w:val="005B107F"/>
    <w:rsid w:val="005B1D1B"/>
    <w:rsid w:val="005B2929"/>
    <w:rsid w:val="005B2DDD"/>
    <w:rsid w:val="005B3823"/>
    <w:rsid w:val="005B6652"/>
    <w:rsid w:val="005B6984"/>
    <w:rsid w:val="005B6BC6"/>
    <w:rsid w:val="005B71C7"/>
    <w:rsid w:val="005B752D"/>
    <w:rsid w:val="005B75DC"/>
    <w:rsid w:val="005B7892"/>
    <w:rsid w:val="005B78BC"/>
    <w:rsid w:val="005B7A6D"/>
    <w:rsid w:val="005B7EC2"/>
    <w:rsid w:val="005C10B7"/>
    <w:rsid w:val="005C17A6"/>
    <w:rsid w:val="005C1FC0"/>
    <w:rsid w:val="005C2634"/>
    <w:rsid w:val="005C2677"/>
    <w:rsid w:val="005C2688"/>
    <w:rsid w:val="005C2B5A"/>
    <w:rsid w:val="005C33D9"/>
    <w:rsid w:val="005C45F6"/>
    <w:rsid w:val="005C482D"/>
    <w:rsid w:val="005C509A"/>
    <w:rsid w:val="005C514B"/>
    <w:rsid w:val="005C51E1"/>
    <w:rsid w:val="005C5416"/>
    <w:rsid w:val="005C5954"/>
    <w:rsid w:val="005C63E8"/>
    <w:rsid w:val="005C641F"/>
    <w:rsid w:val="005C65C6"/>
    <w:rsid w:val="005C675F"/>
    <w:rsid w:val="005C693D"/>
    <w:rsid w:val="005C6B34"/>
    <w:rsid w:val="005C6E0E"/>
    <w:rsid w:val="005C7279"/>
    <w:rsid w:val="005C74E3"/>
    <w:rsid w:val="005C7CD2"/>
    <w:rsid w:val="005C7DD9"/>
    <w:rsid w:val="005D04CD"/>
    <w:rsid w:val="005D0585"/>
    <w:rsid w:val="005D1083"/>
    <w:rsid w:val="005D1564"/>
    <w:rsid w:val="005D190B"/>
    <w:rsid w:val="005D1928"/>
    <w:rsid w:val="005D2024"/>
    <w:rsid w:val="005D234B"/>
    <w:rsid w:val="005D24AD"/>
    <w:rsid w:val="005D329F"/>
    <w:rsid w:val="005D3D29"/>
    <w:rsid w:val="005D42D1"/>
    <w:rsid w:val="005D448A"/>
    <w:rsid w:val="005D4632"/>
    <w:rsid w:val="005D4BC3"/>
    <w:rsid w:val="005D5265"/>
    <w:rsid w:val="005D531B"/>
    <w:rsid w:val="005D6D3E"/>
    <w:rsid w:val="005D6DFE"/>
    <w:rsid w:val="005D6F32"/>
    <w:rsid w:val="005D7291"/>
    <w:rsid w:val="005D7A01"/>
    <w:rsid w:val="005D7A97"/>
    <w:rsid w:val="005D7DD7"/>
    <w:rsid w:val="005D7E98"/>
    <w:rsid w:val="005E0631"/>
    <w:rsid w:val="005E095B"/>
    <w:rsid w:val="005E0A94"/>
    <w:rsid w:val="005E0C9D"/>
    <w:rsid w:val="005E0CCE"/>
    <w:rsid w:val="005E0E60"/>
    <w:rsid w:val="005E0F13"/>
    <w:rsid w:val="005E117F"/>
    <w:rsid w:val="005E180F"/>
    <w:rsid w:val="005E271D"/>
    <w:rsid w:val="005E2DC0"/>
    <w:rsid w:val="005E2E14"/>
    <w:rsid w:val="005E33A9"/>
    <w:rsid w:val="005E3757"/>
    <w:rsid w:val="005E3FB7"/>
    <w:rsid w:val="005E4CC7"/>
    <w:rsid w:val="005E4D0F"/>
    <w:rsid w:val="005E5445"/>
    <w:rsid w:val="005E6133"/>
    <w:rsid w:val="005E70CD"/>
    <w:rsid w:val="005E75A9"/>
    <w:rsid w:val="005F07E2"/>
    <w:rsid w:val="005F0DF5"/>
    <w:rsid w:val="005F13AD"/>
    <w:rsid w:val="005F18BA"/>
    <w:rsid w:val="005F2E9A"/>
    <w:rsid w:val="005F30FA"/>
    <w:rsid w:val="005F3FA6"/>
    <w:rsid w:val="005F44C4"/>
    <w:rsid w:val="005F48ED"/>
    <w:rsid w:val="005F5E32"/>
    <w:rsid w:val="005F6385"/>
    <w:rsid w:val="005F64A4"/>
    <w:rsid w:val="005F68C0"/>
    <w:rsid w:val="005F6A83"/>
    <w:rsid w:val="005F7329"/>
    <w:rsid w:val="0060019A"/>
    <w:rsid w:val="006007B3"/>
    <w:rsid w:val="006012A7"/>
    <w:rsid w:val="00601546"/>
    <w:rsid w:val="00601821"/>
    <w:rsid w:val="00601E0B"/>
    <w:rsid w:val="00601EBB"/>
    <w:rsid w:val="00602434"/>
    <w:rsid w:val="0060284A"/>
    <w:rsid w:val="0060317E"/>
    <w:rsid w:val="0060385A"/>
    <w:rsid w:val="00603E56"/>
    <w:rsid w:val="00604401"/>
    <w:rsid w:val="00604584"/>
    <w:rsid w:val="006048C7"/>
    <w:rsid w:val="00605121"/>
    <w:rsid w:val="006055C5"/>
    <w:rsid w:val="00605EE8"/>
    <w:rsid w:val="00606718"/>
    <w:rsid w:val="00606E78"/>
    <w:rsid w:val="00607BF1"/>
    <w:rsid w:val="00607E7B"/>
    <w:rsid w:val="00610248"/>
    <w:rsid w:val="0061036D"/>
    <w:rsid w:val="00610818"/>
    <w:rsid w:val="00610CBF"/>
    <w:rsid w:val="00610D79"/>
    <w:rsid w:val="0061195D"/>
    <w:rsid w:val="00611B2E"/>
    <w:rsid w:val="0061265B"/>
    <w:rsid w:val="006128E5"/>
    <w:rsid w:val="00612DF2"/>
    <w:rsid w:val="00612EEB"/>
    <w:rsid w:val="00613D01"/>
    <w:rsid w:val="00613FBC"/>
    <w:rsid w:val="00614D75"/>
    <w:rsid w:val="00615049"/>
    <w:rsid w:val="0061542B"/>
    <w:rsid w:val="006156DE"/>
    <w:rsid w:val="00615C8A"/>
    <w:rsid w:val="0061681A"/>
    <w:rsid w:val="006168EB"/>
    <w:rsid w:val="006175C6"/>
    <w:rsid w:val="0061763F"/>
    <w:rsid w:val="006177D4"/>
    <w:rsid w:val="00617AEE"/>
    <w:rsid w:val="00617E85"/>
    <w:rsid w:val="00620642"/>
    <w:rsid w:val="00620936"/>
    <w:rsid w:val="00621DEE"/>
    <w:rsid w:val="006228CD"/>
    <w:rsid w:val="00622C1C"/>
    <w:rsid w:val="0062359E"/>
    <w:rsid w:val="006235CC"/>
    <w:rsid w:val="006238FD"/>
    <w:rsid w:val="00623F9E"/>
    <w:rsid w:val="0062404E"/>
    <w:rsid w:val="00624863"/>
    <w:rsid w:val="00624D35"/>
    <w:rsid w:val="00625568"/>
    <w:rsid w:val="00625A4C"/>
    <w:rsid w:val="00626784"/>
    <w:rsid w:val="00626849"/>
    <w:rsid w:val="006279C3"/>
    <w:rsid w:val="00630D4D"/>
    <w:rsid w:val="006310E3"/>
    <w:rsid w:val="006315BF"/>
    <w:rsid w:val="00631650"/>
    <w:rsid w:val="0063181F"/>
    <w:rsid w:val="0063190B"/>
    <w:rsid w:val="0063208E"/>
    <w:rsid w:val="00632391"/>
    <w:rsid w:val="006323A1"/>
    <w:rsid w:val="00632A74"/>
    <w:rsid w:val="00632DE9"/>
    <w:rsid w:val="00632F65"/>
    <w:rsid w:val="006334AD"/>
    <w:rsid w:val="00633745"/>
    <w:rsid w:val="00633D23"/>
    <w:rsid w:val="006345D9"/>
    <w:rsid w:val="0063461D"/>
    <w:rsid w:val="006346F9"/>
    <w:rsid w:val="00634E16"/>
    <w:rsid w:val="00634E4B"/>
    <w:rsid w:val="00635177"/>
    <w:rsid w:val="006352D9"/>
    <w:rsid w:val="006357D5"/>
    <w:rsid w:val="00636E98"/>
    <w:rsid w:val="006374B4"/>
    <w:rsid w:val="00637A9D"/>
    <w:rsid w:val="00637BBA"/>
    <w:rsid w:val="00640475"/>
    <w:rsid w:val="006404BB"/>
    <w:rsid w:val="0064066E"/>
    <w:rsid w:val="00641AE7"/>
    <w:rsid w:val="00641F6E"/>
    <w:rsid w:val="00642256"/>
    <w:rsid w:val="00642A74"/>
    <w:rsid w:val="00642BDF"/>
    <w:rsid w:val="00642D54"/>
    <w:rsid w:val="00644935"/>
    <w:rsid w:val="00644EE4"/>
    <w:rsid w:val="00645113"/>
    <w:rsid w:val="006454B5"/>
    <w:rsid w:val="006457DE"/>
    <w:rsid w:val="006457FC"/>
    <w:rsid w:val="00645EC0"/>
    <w:rsid w:val="00646637"/>
    <w:rsid w:val="00646721"/>
    <w:rsid w:val="006472F5"/>
    <w:rsid w:val="006475C8"/>
    <w:rsid w:val="00647A72"/>
    <w:rsid w:val="00647DBC"/>
    <w:rsid w:val="006505EC"/>
    <w:rsid w:val="006509B3"/>
    <w:rsid w:val="00650E10"/>
    <w:rsid w:val="0065149C"/>
    <w:rsid w:val="006525E5"/>
    <w:rsid w:val="0065285C"/>
    <w:rsid w:val="00652992"/>
    <w:rsid w:val="00652AF0"/>
    <w:rsid w:val="006530B9"/>
    <w:rsid w:val="0065331C"/>
    <w:rsid w:val="00653AC9"/>
    <w:rsid w:val="00653EDD"/>
    <w:rsid w:val="00653FCB"/>
    <w:rsid w:val="006541AD"/>
    <w:rsid w:val="006549CE"/>
    <w:rsid w:val="00654D42"/>
    <w:rsid w:val="00654FB4"/>
    <w:rsid w:val="0065508B"/>
    <w:rsid w:val="00655238"/>
    <w:rsid w:val="006556A3"/>
    <w:rsid w:val="00655794"/>
    <w:rsid w:val="00655B6B"/>
    <w:rsid w:val="00656195"/>
    <w:rsid w:val="006561F4"/>
    <w:rsid w:val="00656471"/>
    <w:rsid w:val="00656A4B"/>
    <w:rsid w:val="00656AE8"/>
    <w:rsid w:val="00656C44"/>
    <w:rsid w:val="00656D8B"/>
    <w:rsid w:val="00657937"/>
    <w:rsid w:val="006579CD"/>
    <w:rsid w:val="0066086A"/>
    <w:rsid w:val="00660D89"/>
    <w:rsid w:val="00661347"/>
    <w:rsid w:val="00661575"/>
    <w:rsid w:val="006618E5"/>
    <w:rsid w:val="00662BF6"/>
    <w:rsid w:val="00662FD4"/>
    <w:rsid w:val="00663456"/>
    <w:rsid w:val="0066396F"/>
    <w:rsid w:val="00664234"/>
    <w:rsid w:val="0066463E"/>
    <w:rsid w:val="00664706"/>
    <w:rsid w:val="00664A2A"/>
    <w:rsid w:val="00664F8B"/>
    <w:rsid w:val="00665B66"/>
    <w:rsid w:val="00665BC2"/>
    <w:rsid w:val="00665CD0"/>
    <w:rsid w:val="006663EA"/>
    <w:rsid w:val="00666476"/>
    <w:rsid w:val="0066682A"/>
    <w:rsid w:val="00666A18"/>
    <w:rsid w:val="00666E02"/>
    <w:rsid w:val="006674A9"/>
    <w:rsid w:val="0067092A"/>
    <w:rsid w:val="006723C0"/>
    <w:rsid w:val="006723CF"/>
    <w:rsid w:val="00673223"/>
    <w:rsid w:val="006734EF"/>
    <w:rsid w:val="00673695"/>
    <w:rsid w:val="00674169"/>
    <w:rsid w:val="00674414"/>
    <w:rsid w:val="006744A2"/>
    <w:rsid w:val="00674712"/>
    <w:rsid w:val="006747E7"/>
    <w:rsid w:val="00674AA0"/>
    <w:rsid w:val="006755E3"/>
    <w:rsid w:val="00675FDD"/>
    <w:rsid w:val="00676213"/>
    <w:rsid w:val="00676534"/>
    <w:rsid w:val="00676E06"/>
    <w:rsid w:val="00677989"/>
    <w:rsid w:val="00677DC7"/>
    <w:rsid w:val="006805C1"/>
    <w:rsid w:val="00680614"/>
    <w:rsid w:val="006807E7"/>
    <w:rsid w:val="0068172C"/>
    <w:rsid w:val="00681CBE"/>
    <w:rsid w:val="00681ED3"/>
    <w:rsid w:val="00682970"/>
    <w:rsid w:val="00682B1B"/>
    <w:rsid w:val="00682E35"/>
    <w:rsid w:val="00683108"/>
    <w:rsid w:val="006832FC"/>
    <w:rsid w:val="00683FBF"/>
    <w:rsid w:val="006844B4"/>
    <w:rsid w:val="00684B9D"/>
    <w:rsid w:val="00685135"/>
    <w:rsid w:val="00686636"/>
    <w:rsid w:val="006866FE"/>
    <w:rsid w:val="00686F7D"/>
    <w:rsid w:val="00686F88"/>
    <w:rsid w:val="006875D6"/>
    <w:rsid w:val="006876EC"/>
    <w:rsid w:val="00687982"/>
    <w:rsid w:val="00687E17"/>
    <w:rsid w:val="00687F26"/>
    <w:rsid w:val="0069066E"/>
    <w:rsid w:val="006907E2"/>
    <w:rsid w:val="00690BB2"/>
    <w:rsid w:val="00690E47"/>
    <w:rsid w:val="00690F09"/>
    <w:rsid w:val="00691CAA"/>
    <w:rsid w:val="00692844"/>
    <w:rsid w:val="00692B18"/>
    <w:rsid w:val="00692B70"/>
    <w:rsid w:val="00692F21"/>
    <w:rsid w:val="00693074"/>
    <w:rsid w:val="006933D4"/>
    <w:rsid w:val="00693D5C"/>
    <w:rsid w:val="00694757"/>
    <w:rsid w:val="00694A59"/>
    <w:rsid w:val="00694BE1"/>
    <w:rsid w:val="00694C50"/>
    <w:rsid w:val="006951FA"/>
    <w:rsid w:val="006959E1"/>
    <w:rsid w:val="00695B11"/>
    <w:rsid w:val="00696902"/>
    <w:rsid w:val="00696EDB"/>
    <w:rsid w:val="00697933"/>
    <w:rsid w:val="00697BD0"/>
    <w:rsid w:val="006A18F5"/>
    <w:rsid w:val="006A1ED4"/>
    <w:rsid w:val="006A2166"/>
    <w:rsid w:val="006A2621"/>
    <w:rsid w:val="006A26C3"/>
    <w:rsid w:val="006A3648"/>
    <w:rsid w:val="006A380D"/>
    <w:rsid w:val="006A398D"/>
    <w:rsid w:val="006A3A95"/>
    <w:rsid w:val="006A3C49"/>
    <w:rsid w:val="006A45A9"/>
    <w:rsid w:val="006A45C5"/>
    <w:rsid w:val="006A45EA"/>
    <w:rsid w:val="006A4655"/>
    <w:rsid w:val="006A46BE"/>
    <w:rsid w:val="006A46FB"/>
    <w:rsid w:val="006A478F"/>
    <w:rsid w:val="006A4AAB"/>
    <w:rsid w:val="006A52D9"/>
    <w:rsid w:val="006A5389"/>
    <w:rsid w:val="006A53D1"/>
    <w:rsid w:val="006A5B81"/>
    <w:rsid w:val="006A5FF4"/>
    <w:rsid w:val="006A6081"/>
    <w:rsid w:val="006A6C16"/>
    <w:rsid w:val="006A729A"/>
    <w:rsid w:val="006A7411"/>
    <w:rsid w:val="006A778C"/>
    <w:rsid w:val="006B0E20"/>
    <w:rsid w:val="006B11AA"/>
    <w:rsid w:val="006B1379"/>
    <w:rsid w:val="006B141D"/>
    <w:rsid w:val="006B23D8"/>
    <w:rsid w:val="006B2507"/>
    <w:rsid w:val="006B26B6"/>
    <w:rsid w:val="006B2715"/>
    <w:rsid w:val="006B29FB"/>
    <w:rsid w:val="006B2AA3"/>
    <w:rsid w:val="006B2AF6"/>
    <w:rsid w:val="006B2B3C"/>
    <w:rsid w:val="006B2DCB"/>
    <w:rsid w:val="006B3405"/>
    <w:rsid w:val="006B372F"/>
    <w:rsid w:val="006B3C09"/>
    <w:rsid w:val="006B3CC2"/>
    <w:rsid w:val="006B4518"/>
    <w:rsid w:val="006B47AD"/>
    <w:rsid w:val="006B494D"/>
    <w:rsid w:val="006B4B10"/>
    <w:rsid w:val="006B4C5E"/>
    <w:rsid w:val="006B4F62"/>
    <w:rsid w:val="006B520E"/>
    <w:rsid w:val="006B584C"/>
    <w:rsid w:val="006B61D4"/>
    <w:rsid w:val="006B6ADD"/>
    <w:rsid w:val="006B6FC2"/>
    <w:rsid w:val="006B746A"/>
    <w:rsid w:val="006B75F9"/>
    <w:rsid w:val="006B7687"/>
    <w:rsid w:val="006B7A1F"/>
    <w:rsid w:val="006B7B45"/>
    <w:rsid w:val="006B7C5A"/>
    <w:rsid w:val="006C02EB"/>
    <w:rsid w:val="006C1063"/>
    <w:rsid w:val="006C111B"/>
    <w:rsid w:val="006C19C5"/>
    <w:rsid w:val="006C1D81"/>
    <w:rsid w:val="006C1FD7"/>
    <w:rsid w:val="006C29A9"/>
    <w:rsid w:val="006C32E1"/>
    <w:rsid w:val="006C365A"/>
    <w:rsid w:val="006C36A5"/>
    <w:rsid w:val="006C4146"/>
    <w:rsid w:val="006C423F"/>
    <w:rsid w:val="006C4320"/>
    <w:rsid w:val="006C4523"/>
    <w:rsid w:val="006C4FDF"/>
    <w:rsid w:val="006C4FF5"/>
    <w:rsid w:val="006C562D"/>
    <w:rsid w:val="006C5DC2"/>
    <w:rsid w:val="006C6512"/>
    <w:rsid w:val="006C6770"/>
    <w:rsid w:val="006C68C4"/>
    <w:rsid w:val="006C6E10"/>
    <w:rsid w:val="006C7038"/>
    <w:rsid w:val="006C7D5E"/>
    <w:rsid w:val="006C7E01"/>
    <w:rsid w:val="006D0096"/>
    <w:rsid w:val="006D072C"/>
    <w:rsid w:val="006D0979"/>
    <w:rsid w:val="006D0AAC"/>
    <w:rsid w:val="006D10F3"/>
    <w:rsid w:val="006D1864"/>
    <w:rsid w:val="006D1E5A"/>
    <w:rsid w:val="006D3245"/>
    <w:rsid w:val="006D3441"/>
    <w:rsid w:val="006D3757"/>
    <w:rsid w:val="006D3AFF"/>
    <w:rsid w:val="006D4322"/>
    <w:rsid w:val="006D4776"/>
    <w:rsid w:val="006D47CE"/>
    <w:rsid w:val="006D47E0"/>
    <w:rsid w:val="006D4CEF"/>
    <w:rsid w:val="006D4D18"/>
    <w:rsid w:val="006D4F31"/>
    <w:rsid w:val="006D5046"/>
    <w:rsid w:val="006D51D2"/>
    <w:rsid w:val="006D5B55"/>
    <w:rsid w:val="006D5BFD"/>
    <w:rsid w:val="006D6242"/>
    <w:rsid w:val="006D7A41"/>
    <w:rsid w:val="006D7E22"/>
    <w:rsid w:val="006E02B7"/>
    <w:rsid w:val="006E041D"/>
    <w:rsid w:val="006E067D"/>
    <w:rsid w:val="006E079A"/>
    <w:rsid w:val="006E07E5"/>
    <w:rsid w:val="006E10F4"/>
    <w:rsid w:val="006E1138"/>
    <w:rsid w:val="006E1806"/>
    <w:rsid w:val="006E199C"/>
    <w:rsid w:val="006E1D8F"/>
    <w:rsid w:val="006E227B"/>
    <w:rsid w:val="006E33FB"/>
    <w:rsid w:val="006E3A45"/>
    <w:rsid w:val="006E44FC"/>
    <w:rsid w:val="006E467A"/>
    <w:rsid w:val="006E48D0"/>
    <w:rsid w:val="006E5096"/>
    <w:rsid w:val="006E5315"/>
    <w:rsid w:val="006E6307"/>
    <w:rsid w:val="006E66C8"/>
    <w:rsid w:val="006E6733"/>
    <w:rsid w:val="006E68D7"/>
    <w:rsid w:val="006E6BD1"/>
    <w:rsid w:val="006E6F6E"/>
    <w:rsid w:val="006E7218"/>
    <w:rsid w:val="006E73EF"/>
    <w:rsid w:val="006E7B49"/>
    <w:rsid w:val="006F057C"/>
    <w:rsid w:val="006F073F"/>
    <w:rsid w:val="006F0F3C"/>
    <w:rsid w:val="006F1A2E"/>
    <w:rsid w:val="006F1ADD"/>
    <w:rsid w:val="006F3366"/>
    <w:rsid w:val="006F50F9"/>
    <w:rsid w:val="006F5C1F"/>
    <w:rsid w:val="006F5C9A"/>
    <w:rsid w:val="006F5D21"/>
    <w:rsid w:val="006F5E7E"/>
    <w:rsid w:val="006F67E4"/>
    <w:rsid w:val="006F6C28"/>
    <w:rsid w:val="006F717A"/>
    <w:rsid w:val="006F7873"/>
    <w:rsid w:val="006F79E8"/>
    <w:rsid w:val="006F7B6E"/>
    <w:rsid w:val="006F7E22"/>
    <w:rsid w:val="00700065"/>
    <w:rsid w:val="007003D6"/>
    <w:rsid w:val="007008FE"/>
    <w:rsid w:val="00701371"/>
    <w:rsid w:val="00701788"/>
    <w:rsid w:val="007019C7"/>
    <w:rsid w:val="00701ECB"/>
    <w:rsid w:val="007028F9"/>
    <w:rsid w:val="00703621"/>
    <w:rsid w:val="00703733"/>
    <w:rsid w:val="00703EAE"/>
    <w:rsid w:val="0070471C"/>
    <w:rsid w:val="00704A06"/>
    <w:rsid w:val="00705428"/>
    <w:rsid w:val="007061FF"/>
    <w:rsid w:val="00706F54"/>
    <w:rsid w:val="00707146"/>
    <w:rsid w:val="00707177"/>
    <w:rsid w:val="007072E2"/>
    <w:rsid w:val="007075AD"/>
    <w:rsid w:val="007079C9"/>
    <w:rsid w:val="007079D3"/>
    <w:rsid w:val="00707CCE"/>
    <w:rsid w:val="00707DC6"/>
    <w:rsid w:val="00710087"/>
    <w:rsid w:val="007100AC"/>
    <w:rsid w:val="0071010E"/>
    <w:rsid w:val="00710919"/>
    <w:rsid w:val="00710AD3"/>
    <w:rsid w:val="00712AEA"/>
    <w:rsid w:val="00712DED"/>
    <w:rsid w:val="00713129"/>
    <w:rsid w:val="00713817"/>
    <w:rsid w:val="00714D4D"/>
    <w:rsid w:val="00715950"/>
    <w:rsid w:val="00716280"/>
    <w:rsid w:val="007173B5"/>
    <w:rsid w:val="00717871"/>
    <w:rsid w:val="0072001E"/>
    <w:rsid w:val="007202DC"/>
    <w:rsid w:val="00720755"/>
    <w:rsid w:val="00720F78"/>
    <w:rsid w:val="00721053"/>
    <w:rsid w:val="00721243"/>
    <w:rsid w:val="00721427"/>
    <w:rsid w:val="00721448"/>
    <w:rsid w:val="00721A2A"/>
    <w:rsid w:val="007223E2"/>
    <w:rsid w:val="00722FAB"/>
    <w:rsid w:val="00723BD3"/>
    <w:rsid w:val="00723EBC"/>
    <w:rsid w:val="007246FA"/>
    <w:rsid w:val="00724795"/>
    <w:rsid w:val="00724955"/>
    <w:rsid w:val="00724D87"/>
    <w:rsid w:val="007253A3"/>
    <w:rsid w:val="007258E7"/>
    <w:rsid w:val="007266D3"/>
    <w:rsid w:val="0072682D"/>
    <w:rsid w:val="00726C6E"/>
    <w:rsid w:val="007276E0"/>
    <w:rsid w:val="00727D8F"/>
    <w:rsid w:val="007300E3"/>
    <w:rsid w:val="007301E9"/>
    <w:rsid w:val="007302B8"/>
    <w:rsid w:val="007303D9"/>
    <w:rsid w:val="007315BA"/>
    <w:rsid w:val="00731F27"/>
    <w:rsid w:val="00732029"/>
    <w:rsid w:val="007329C1"/>
    <w:rsid w:val="00733150"/>
    <w:rsid w:val="007357A5"/>
    <w:rsid w:val="00736369"/>
    <w:rsid w:val="007369F9"/>
    <w:rsid w:val="00736D0C"/>
    <w:rsid w:val="00736E21"/>
    <w:rsid w:val="00736FB6"/>
    <w:rsid w:val="00737296"/>
    <w:rsid w:val="007378D8"/>
    <w:rsid w:val="00737A2D"/>
    <w:rsid w:val="00737B9B"/>
    <w:rsid w:val="00740339"/>
    <w:rsid w:val="00740A5F"/>
    <w:rsid w:val="00741299"/>
    <w:rsid w:val="00741AEE"/>
    <w:rsid w:val="0074255E"/>
    <w:rsid w:val="00742999"/>
    <w:rsid w:val="00742C34"/>
    <w:rsid w:val="007438E4"/>
    <w:rsid w:val="00743A9F"/>
    <w:rsid w:val="00743F28"/>
    <w:rsid w:val="00744475"/>
    <w:rsid w:val="00746278"/>
    <w:rsid w:val="0074642E"/>
    <w:rsid w:val="0074653C"/>
    <w:rsid w:val="007465A4"/>
    <w:rsid w:val="007470F9"/>
    <w:rsid w:val="0074727F"/>
    <w:rsid w:val="0075080B"/>
    <w:rsid w:val="007512E7"/>
    <w:rsid w:val="007516E5"/>
    <w:rsid w:val="00752848"/>
    <w:rsid w:val="00752EB4"/>
    <w:rsid w:val="007533C3"/>
    <w:rsid w:val="00753AA3"/>
    <w:rsid w:val="0075490B"/>
    <w:rsid w:val="007549AC"/>
    <w:rsid w:val="00754F12"/>
    <w:rsid w:val="00755396"/>
    <w:rsid w:val="00756194"/>
    <w:rsid w:val="00756660"/>
    <w:rsid w:val="00756893"/>
    <w:rsid w:val="00757034"/>
    <w:rsid w:val="00757154"/>
    <w:rsid w:val="0075737F"/>
    <w:rsid w:val="00757BEC"/>
    <w:rsid w:val="00760117"/>
    <w:rsid w:val="007604BB"/>
    <w:rsid w:val="0076058E"/>
    <w:rsid w:val="007606CA"/>
    <w:rsid w:val="007608B4"/>
    <w:rsid w:val="00760A14"/>
    <w:rsid w:val="0076112C"/>
    <w:rsid w:val="00762D4B"/>
    <w:rsid w:val="00762E7A"/>
    <w:rsid w:val="007630E9"/>
    <w:rsid w:val="0076335B"/>
    <w:rsid w:val="0076387E"/>
    <w:rsid w:val="007638F3"/>
    <w:rsid w:val="007639CA"/>
    <w:rsid w:val="00763DB8"/>
    <w:rsid w:val="00764D1A"/>
    <w:rsid w:val="0076528F"/>
    <w:rsid w:val="007655F7"/>
    <w:rsid w:val="00765A0B"/>
    <w:rsid w:val="00765CC2"/>
    <w:rsid w:val="0076647F"/>
    <w:rsid w:val="00766B57"/>
    <w:rsid w:val="00766C45"/>
    <w:rsid w:val="007672B8"/>
    <w:rsid w:val="007701DB"/>
    <w:rsid w:val="007708EB"/>
    <w:rsid w:val="00770AF9"/>
    <w:rsid w:val="007710D2"/>
    <w:rsid w:val="00771235"/>
    <w:rsid w:val="00771478"/>
    <w:rsid w:val="00771D12"/>
    <w:rsid w:val="0077222D"/>
    <w:rsid w:val="00772268"/>
    <w:rsid w:val="00772576"/>
    <w:rsid w:val="00772909"/>
    <w:rsid w:val="0077392D"/>
    <w:rsid w:val="007746BB"/>
    <w:rsid w:val="00774A18"/>
    <w:rsid w:val="00774BB9"/>
    <w:rsid w:val="00774CFF"/>
    <w:rsid w:val="00775D6F"/>
    <w:rsid w:val="00775F10"/>
    <w:rsid w:val="00775F21"/>
    <w:rsid w:val="00777318"/>
    <w:rsid w:val="00777971"/>
    <w:rsid w:val="007801F8"/>
    <w:rsid w:val="007807CD"/>
    <w:rsid w:val="00780D08"/>
    <w:rsid w:val="00780E6F"/>
    <w:rsid w:val="00781151"/>
    <w:rsid w:val="007812A5"/>
    <w:rsid w:val="00781472"/>
    <w:rsid w:val="00781474"/>
    <w:rsid w:val="00781529"/>
    <w:rsid w:val="00782BAF"/>
    <w:rsid w:val="00782DFB"/>
    <w:rsid w:val="00784645"/>
    <w:rsid w:val="007850F2"/>
    <w:rsid w:val="00785232"/>
    <w:rsid w:val="00785B12"/>
    <w:rsid w:val="007865FB"/>
    <w:rsid w:val="00786B38"/>
    <w:rsid w:val="00786C9B"/>
    <w:rsid w:val="0078710C"/>
    <w:rsid w:val="00787484"/>
    <w:rsid w:val="00787E6E"/>
    <w:rsid w:val="00787F18"/>
    <w:rsid w:val="0079020E"/>
    <w:rsid w:val="007909A7"/>
    <w:rsid w:val="0079166D"/>
    <w:rsid w:val="00791743"/>
    <w:rsid w:val="00791E80"/>
    <w:rsid w:val="00792044"/>
    <w:rsid w:val="0079252E"/>
    <w:rsid w:val="00792913"/>
    <w:rsid w:val="00792C36"/>
    <w:rsid w:val="00792C4F"/>
    <w:rsid w:val="00792CEC"/>
    <w:rsid w:val="007930C2"/>
    <w:rsid w:val="00793A1D"/>
    <w:rsid w:val="007948E8"/>
    <w:rsid w:val="007953DA"/>
    <w:rsid w:val="007955B8"/>
    <w:rsid w:val="00795904"/>
    <w:rsid w:val="00795CDB"/>
    <w:rsid w:val="00796D81"/>
    <w:rsid w:val="00796DE3"/>
    <w:rsid w:val="00796E8F"/>
    <w:rsid w:val="00796F48"/>
    <w:rsid w:val="0079701E"/>
    <w:rsid w:val="00797256"/>
    <w:rsid w:val="007973C5"/>
    <w:rsid w:val="0079747B"/>
    <w:rsid w:val="00797E97"/>
    <w:rsid w:val="00797E9C"/>
    <w:rsid w:val="00797F5B"/>
    <w:rsid w:val="007A0723"/>
    <w:rsid w:val="007A0C93"/>
    <w:rsid w:val="007A1994"/>
    <w:rsid w:val="007A21EB"/>
    <w:rsid w:val="007A24A7"/>
    <w:rsid w:val="007A393E"/>
    <w:rsid w:val="007A3BCA"/>
    <w:rsid w:val="007A4207"/>
    <w:rsid w:val="007A43FE"/>
    <w:rsid w:val="007A4CFA"/>
    <w:rsid w:val="007A5640"/>
    <w:rsid w:val="007A5943"/>
    <w:rsid w:val="007A59AA"/>
    <w:rsid w:val="007A6A61"/>
    <w:rsid w:val="007A6D59"/>
    <w:rsid w:val="007A7DC0"/>
    <w:rsid w:val="007B1A93"/>
    <w:rsid w:val="007B2236"/>
    <w:rsid w:val="007B25EC"/>
    <w:rsid w:val="007B29AE"/>
    <w:rsid w:val="007B320B"/>
    <w:rsid w:val="007B3252"/>
    <w:rsid w:val="007B3548"/>
    <w:rsid w:val="007B3DF0"/>
    <w:rsid w:val="007B42AF"/>
    <w:rsid w:val="007B4754"/>
    <w:rsid w:val="007B4886"/>
    <w:rsid w:val="007B4F68"/>
    <w:rsid w:val="007B5C9C"/>
    <w:rsid w:val="007B5CB7"/>
    <w:rsid w:val="007B5FB2"/>
    <w:rsid w:val="007B61D1"/>
    <w:rsid w:val="007B6918"/>
    <w:rsid w:val="007B6BF0"/>
    <w:rsid w:val="007B6C2A"/>
    <w:rsid w:val="007B6C8E"/>
    <w:rsid w:val="007B7CB4"/>
    <w:rsid w:val="007C0FEF"/>
    <w:rsid w:val="007C1368"/>
    <w:rsid w:val="007C1A1A"/>
    <w:rsid w:val="007C1CB3"/>
    <w:rsid w:val="007C2790"/>
    <w:rsid w:val="007C28B0"/>
    <w:rsid w:val="007C29BE"/>
    <w:rsid w:val="007C2C3D"/>
    <w:rsid w:val="007C31F0"/>
    <w:rsid w:val="007C3609"/>
    <w:rsid w:val="007C36C9"/>
    <w:rsid w:val="007C3BEE"/>
    <w:rsid w:val="007C3F81"/>
    <w:rsid w:val="007C4160"/>
    <w:rsid w:val="007C43C2"/>
    <w:rsid w:val="007C461F"/>
    <w:rsid w:val="007C473D"/>
    <w:rsid w:val="007C643E"/>
    <w:rsid w:val="007C69DE"/>
    <w:rsid w:val="007C74C2"/>
    <w:rsid w:val="007C7A65"/>
    <w:rsid w:val="007C7F1E"/>
    <w:rsid w:val="007C7F23"/>
    <w:rsid w:val="007D095C"/>
    <w:rsid w:val="007D0AED"/>
    <w:rsid w:val="007D179D"/>
    <w:rsid w:val="007D1ACA"/>
    <w:rsid w:val="007D220B"/>
    <w:rsid w:val="007D2A48"/>
    <w:rsid w:val="007D2AD0"/>
    <w:rsid w:val="007D35DA"/>
    <w:rsid w:val="007D369C"/>
    <w:rsid w:val="007D38B5"/>
    <w:rsid w:val="007D39C7"/>
    <w:rsid w:val="007D3D17"/>
    <w:rsid w:val="007D3D1E"/>
    <w:rsid w:val="007D48F6"/>
    <w:rsid w:val="007D49CB"/>
    <w:rsid w:val="007D4EDB"/>
    <w:rsid w:val="007D517D"/>
    <w:rsid w:val="007D581A"/>
    <w:rsid w:val="007D58C7"/>
    <w:rsid w:val="007D6364"/>
    <w:rsid w:val="007D6401"/>
    <w:rsid w:val="007D64DB"/>
    <w:rsid w:val="007D7374"/>
    <w:rsid w:val="007D747D"/>
    <w:rsid w:val="007D7B9B"/>
    <w:rsid w:val="007E0066"/>
    <w:rsid w:val="007E0131"/>
    <w:rsid w:val="007E01E4"/>
    <w:rsid w:val="007E05D5"/>
    <w:rsid w:val="007E0E33"/>
    <w:rsid w:val="007E156D"/>
    <w:rsid w:val="007E1BAE"/>
    <w:rsid w:val="007E23A8"/>
    <w:rsid w:val="007E3874"/>
    <w:rsid w:val="007E3E0C"/>
    <w:rsid w:val="007E419F"/>
    <w:rsid w:val="007E50E7"/>
    <w:rsid w:val="007E56F1"/>
    <w:rsid w:val="007E572F"/>
    <w:rsid w:val="007E633B"/>
    <w:rsid w:val="007E66C9"/>
    <w:rsid w:val="007E69EE"/>
    <w:rsid w:val="007E71F1"/>
    <w:rsid w:val="007E792D"/>
    <w:rsid w:val="007E7A12"/>
    <w:rsid w:val="007E7B80"/>
    <w:rsid w:val="007F0632"/>
    <w:rsid w:val="007F0DC5"/>
    <w:rsid w:val="007F0DEC"/>
    <w:rsid w:val="007F2810"/>
    <w:rsid w:val="007F2B96"/>
    <w:rsid w:val="007F3262"/>
    <w:rsid w:val="007F4175"/>
    <w:rsid w:val="007F4C27"/>
    <w:rsid w:val="007F4F93"/>
    <w:rsid w:val="007F5161"/>
    <w:rsid w:val="007F532E"/>
    <w:rsid w:val="007F5E6A"/>
    <w:rsid w:val="007F5EB9"/>
    <w:rsid w:val="007F5EBB"/>
    <w:rsid w:val="007F5F7B"/>
    <w:rsid w:val="007F628F"/>
    <w:rsid w:val="007F6532"/>
    <w:rsid w:val="007F673D"/>
    <w:rsid w:val="007F695C"/>
    <w:rsid w:val="007F7107"/>
    <w:rsid w:val="007F739B"/>
    <w:rsid w:val="007F7B91"/>
    <w:rsid w:val="0080027F"/>
    <w:rsid w:val="00800D4C"/>
    <w:rsid w:val="00800E19"/>
    <w:rsid w:val="00800F5D"/>
    <w:rsid w:val="00801036"/>
    <w:rsid w:val="008011E1"/>
    <w:rsid w:val="00801338"/>
    <w:rsid w:val="00802458"/>
    <w:rsid w:val="00802597"/>
    <w:rsid w:val="00802A37"/>
    <w:rsid w:val="00802C63"/>
    <w:rsid w:val="00802CEC"/>
    <w:rsid w:val="00803C30"/>
    <w:rsid w:val="00804269"/>
    <w:rsid w:val="00804574"/>
    <w:rsid w:val="008045D7"/>
    <w:rsid w:val="00804ED4"/>
    <w:rsid w:val="00805657"/>
    <w:rsid w:val="0080672F"/>
    <w:rsid w:val="008068AE"/>
    <w:rsid w:val="00806A5A"/>
    <w:rsid w:val="00806C4C"/>
    <w:rsid w:val="00806CCC"/>
    <w:rsid w:val="00806DBC"/>
    <w:rsid w:val="0080714A"/>
    <w:rsid w:val="00807506"/>
    <w:rsid w:val="00807F0F"/>
    <w:rsid w:val="0081030F"/>
    <w:rsid w:val="008103CC"/>
    <w:rsid w:val="00810894"/>
    <w:rsid w:val="00810ADB"/>
    <w:rsid w:val="00810F5C"/>
    <w:rsid w:val="00811047"/>
    <w:rsid w:val="00811493"/>
    <w:rsid w:val="008127B9"/>
    <w:rsid w:val="00812C77"/>
    <w:rsid w:val="00812F24"/>
    <w:rsid w:val="00812F4A"/>
    <w:rsid w:val="00812F7A"/>
    <w:rsid w:val="00813511"/>
    <w:rsid w:val="008135AA"/>
    <w:rsid w:val="008148F1"/>
    <w:rsid w:val="00815F1B"/>
    <w:rsid w:val="008166C7"/>
    <w:rsid w:val="00816927"/>
    <w:rsid w:val="00816B15"/>
    <w:rsid w:val="00816DFC"/>
    <w:rsid w:val="00817D18"/>
    <w:rsid w:val="008200EE"/>
    <w:rsid w:val="00820258"/>
    <w:rsid w:val="0082087D"/>
    <w:rsid w:val="00820AD7"/>
    <w:rsid w:val="00821F49"/>
    <w:rsid w:val="00822CD6"/>
    <w:rsid w:val="00823966"/>
    <w:rsid w:val="008239F2"/>
    <w:rsid w:val="00823D06"/>
    <w:rsid w:val="00824C94"/>
    <w:rsid w:val="00824E1F"/>
    <w:rsid w:val="008251FD"/>
    <w:rsid w:val="0082540F"/>
    <w:rsid w:val="00825905"/>
    <w:rsid w:val="008266FC"/>
    <w:rsid w:val="00826834"/>
    <w:rsid w:val="008270AD"/>
    <w:rsid w:val="008273AC"/>
    <w:rsid w:val="00827A7C"/>
    <w:rsid w:val="00830077"/>
    <w:rsid w:val="0083083B"/>
    <w:rsid w:val="00830D1E"/>
    <w:rsid w:val="00831900"/>
    <w:rsid w:val="008322A1"/>
    <w:rsid w:val="0083230E"/>
    <w:rsid w:val="008324B2"/>
    <w:rsid w:val="00832F6A"/>
    <w:rsid w:val="00833149"/>
    <w:rsid w:val="00833DA3"/>
    <w:rsid w:val="008344C6"/>
    <w:rsid w:val="008344E5"/>
    <w:rsid w:val="0083450C"/>
    <w:rsid w:val="00835771"/>
    <w:rsid w:val="00835F83"/>
    <w:rsid w:val="00836315"/>
    <w:rsid w:val="008363C3"/>
    <w:rsid w:val="00836767"/>
    <w:rsid w:val="00836786"/>
    <w:rsid w:val="00836985"/>
    <w:rsid w:val="008369EB"/>
    <w:rsid w:val="00837033"/>
    <w:rsid w:val="008404C1"/>
    <w:rsid w:val="008406CC"/>
    <w:rsid w:val="0084091F"/>
    <w:rsid w:val="00840DF3"/>
    <w:rsid w:val="0084104E"/>
    <w:rsid w:val="0084197E"/>
    <w:rsid w:val="00842485"/>
    <w:rsid w:val="00842933"/>
    <w:rsid w:val="008432AB"/>
    <w:rsid w:val="00843C10"/>
    <w:rsid w:val="00843E3C"/>
    <w:rsid w:val="00843F8D"/>
    <w:rsid w:val="0084418D"/>
    <w:rsid w:val="00844E2A"/>
    <w:rsid w:val="00845146"/>
    <w:rsid w:val="00845651"/>
    <w:rsid w:val="00846095"/>
    <w:rsid w:val="008461BB"/>
    <w:rsid w:val="008462DA"/>
    <w:rsid w:val="00846EC3"/>
    <w:rsid w:val="00847380"/>
    <w:rsid w:val="008473E9"/>
    <w:rsid w:val="00847776"/>
    <w:rsid w:val="00851068"/>
    <w:rsid w:val="0085172D"/>
    <w:rsid w:val="00851A44"/>
    <w:rsid w:val="00851B62"/>
    <w:rsid w:val="00851C6F"/>
    <w:rsid w:val="00851E24"/>
    <w:rsid w:val="0085216C"/>
    <w:rsid w:val="008525A6"/>
    <w:rsid w:val="008529B6"/>
    <w:rsid w:val="00852CB0"/>
    <w:rsid w:val="0085322C"/>
    <w:rsid w:val="008534C4"/>
    <w:rsid w:val="00853796"/>
    <w:rsid w:val="00853D29"/>
    <w:rsid w:val="008546FA"/>
    <w:rsid w:val="008548B7"/>
    <w:rsid w:val="00854FEF"/>
    <w:rsid w:val="008554CE"/>
    <w:rsid w:val="00855B99"/>
    <w:rsid w:val="008560BE"/>
    <w:rsid w:val="008560EF"/>
    <w:rsid w:val="008575D2"/>
    <w:rsid w:val="00857763"/>
    <w:rsid w:val="00857FB7"/>
    <w:rsid w:val="008602FE"/>
    <w:rsid w:val="00860344"/>
    <w:rsid w:val="0086082C"/>
    <w:rsid w:val="00860CD2"/>
    <w:rsid w:val="00860CFF"/>
    <w:rsid w:val="00860ED8"/>
    <w:rsid w:val="0086104E"/>
    <w:rsid w:val="00861542"/>
    <w:rsid w:val="00861568"/>
    <w:rsid w:val="00861D46"/>
    <w:rsid w:val="00862385"/>
    <w:rsid w:val="008629AD"/>
    <w:rsid w:val="00862AEA"/>
    <w:rsid w:val="008630F0"/>
    <w:rsid w:val="0086341E"/>
    <w:rsid w:val="008638CB"/>
    <w:rsid w:val="00864ADC"/>
    <w:rsid w:val="00864CA6"/>
    <w:rsid w:val="00864FB2"/>
    <w:rsid w:val="00865501"/>
    <w:rsid w:val="008659A8"/>
    <w:rsid w:val="00865F6F"/>
    <w:rsid w:val="008660A1"/>
    <w:rsid w:val="00866276"/>
    <w:rsid w:val="008662EF"/>
    <w:rsid w:val="008667C4"/>
    <w:rsid w:val="008669EA"/>
    <w:rsid w:val="008674A1"/>
    <w:rsid w:val="008679F3"/>
    <w:rsid w:val="008701AB"/>
    <w:rsid w:val="00870901"/>
    <w:rsid w:val="00870BBB"/>
    <w:rsid w:val="00870DD3"/>
    <w:rsid w:val="00870FF2"/>
    <w:rsid w:val="008718BC"/>
    <w:rsid w:val="00871A55"/>
    <w:rsid w:val="00871EC4"/>
    <w:rsid w:val="00872455"/>
    <w:rsid w:val="00872755"/>
    <w:rsid w:val="00872B1A"/>
    <w:rsid w:val="00872C81"/>
    <w:rsid w:val="008733FF"/>
    <w:rsid w:val="0087362A"/>
    <w:rsid w:val="00873B91"/>
    <w:rsid w:val="0087461C"/>
    <w:rsid w:val="00874854"/>
    <w:rsid w:val="008748B7"/>
    <w:rsid w:val="00875785"/>
    <w:rsid w:val="00875AA7"/>
    <w:rsid w:val="00875B4A"/>
    <w:rsid w:val="00875CDD"/>
    <w:rsid w:val="00875E29"/>
    <w:rsid w:val="00876290"/>
    <w:rsid w:val="0087649E"/>
    <w:rsid w:val="00876796"/>
    <w:rsid w:val="00876902"/>
    <w:rsid w:val="00876A75"/>
    <w:rsid w:val="00876BEE"/>
    <w:rsid w:val="00877AD8"/>
    <w:rsid w:val="008800D2"/>
    <w:rsid w:val="00880153"/>
    <w:rsid w:val="0088045F"/>
    <w:rsid w:val="00880528"/>
    <w:rsid w:val="00880AC3"/>
    <w:rsid w:val="00880CE5"/>
    <w:rsid w:val="00880D72"/>
    <w:rsid w:val="00880F97"/>
    <w:rsid w:val="008810C3"/>
    <w:rsid w:val="008812A8"/>
    <w:rsid w:val="0088133A"/>
    <w:rsid w:val="00881A60"/>
    <w:rsid w:val="00882254"/>
    <w:rsid w:val="008829AC"/>
    <w:rsid w:val="00882A75"/>
    <w:rsid w:val="00882AF2"/>
    <w:rsid w:val="00883030"/>
    <w:rsid w:val="00883397"/>
    <w:rsid w:val="00884021"/>
    <w:rsid w:val="0088408D"/>
    <w:rsid w:val="00884391"/>
    <w:rsid w:val="00885078"/>
    <w:rsid w:val="0088530A"/>
    <w:rsid w:val="00885E38"/>
    <w:rsid w:val="008863BA"/>
    <w:rsid w:val="00886C58"/>
    <w:rsid w:val="00887565"/>
    <w:rsid w:val="00890156"/>
    <w:rsid w:val="00890B82"/>
    <w:rsid w:val="00890C70"/>
    <w:rsid w:val="00890F47"/>
    <w:rsid w:val="00891374"/>
    <w:rsid w:val="008918AC"/>
    <w:rsid w:val="00891BEF"/>
    <w:rsid w:val="008923B4"/>
    <w:rsid w:val="008924EA"/>
    <w:rsid w:val="00892663"/>
    <w:rsid w:val="0089285E"/>
    <w:rsid w:val="00892989"/>
    <w:rsid w:val="008937A1"/>
    <w:rsid w:val="0089389B"/>
    <w:rsid w:val="00893A63"/>
    <w:rsid w:val="00893E40"/>
    <w:rsid w:val="00894242"/>
    <w:rsid w:val="0089436C"/>
    <w:rsid w:val="00894541"/>
    <w:rsid w:val="00894643"/>
    <w:rsid w:val="00894A23"/>
    <w:rsid w:val="00894C6A"/>
    <w:rsid w:val="00894F29"/>
    <w:rsid w:val="008951C0"/>
    <w:rsid w:val="008953CE"/>
    <w:rsid w:val="00895B47"/>
    <w:rsid w:val="0089672F"/>
    <w:rsid w:val="008969A8"/>
    <w:rsid w:val="0089730D"/>
    <w:rsid w:val="00897D41"/>
    <w:rsid w:val="00897E12"/>
    <w:rsid w:val="008A039B"/>
    <w:rsid w:val="008A1F79"/>
    <w:rsid w:val="008A2730"/>
    <w:rsid w:val="008A2BD6"/>
    <w:rsid w:val="008A3B05"/>
    <w:rsid w:val="008A405A"/>
    <w:rsid w:val="008A463C"/>
    <w:rsid w:val="008A4657"/>
    <w:rsid w:val="008A46F6"/>
    <w:rsid w:val="008A472D"/>
    <w:rsid w:val="008A530E"/>
    <w:rsid w:val="008A57F3"/>
    <w:rsid w:val="008A5ED6"/>
    <w:rsid w:val="008A62EF"/>
    <w:rsid w:val="008A6720"/>
    <w:rsid w:val="008A6C01"/>
    <w:rsid w:val="008A6FD8"/>
    <w:rsid w:val="008A718F"/>
    <w:rsid w:val="008A7193"/>
    <w:rsid w:val="008A78B7"/>
    <w:rsid w:val="008A7A0F"/>
    <w:rsid w:val="008B02E5"/>
    <w:rsid w:val="008B046E"/>
    <w:rsid w:val="008B1955"/>
    <w:rsid w:val="008B1C43"/>
    <w:rsid w:val="008B1C5A"/>
    <w:rsid w:val="008B220C"/>
    <w:rsid w:val="008B2ABA"/>
    <w:rsid w:val="008B2E55"/>
    <w:rsid w:val="008B31E9"/>
    <w:rsid w:val="008B32FE"/>
    <w:rsid w:val="008B528D"/>
    <w:rsid w:val="008B59F5"/>
    <w:rsid w:val="008B5BAB"/>
    <w:rsid w:val="008B675B"/>
    <w:rsid w:val="008B7066"/>
    <w:rsid w:val="008B71FC"/>
    <w:rsid w:val="008B7A3D"/>
    <w:rsid w:val="008B7C77"/>
    <w:rsid w:val="008C04CB"/>
    <w:rsid w:val="008C0735"/>
    <w:rsid w:val="008C1885"/>
    <w:rsid w:val="008C1D09"/>
    <w:rsid w:val="008C1F65"/>
    <w:rsid w:val="008C21AE"/>
    <w:rsid w:val="008C22A6"/>
    <w:rsid w:val="008C2330"/>
    <w:rsid w:val="008C3B08"/>
    <w:rsid w:val="008C3CDA"/>
    <w:rsid w:val="008C3DED"/>
    <w:rsid w:val="008C3F84"/>
    <w:rsid w:val="008C443C"/>
    <w:rsid w:val="008C4D49"/>
    <w:rsid w:val="008C4D8F"/>
    <w:rsid w:val="008C4E18"/>
    <w:rsid w:val="008C549D"/>
    <w:rsid w:val="008C5783"/>
    <w:rsid w:val="008C6416"/>
    <w:rsid w:val="008C6606"/>
    <w:rsid w:val="008C6980"/>
    <w:rsid w:val="008C7EAB"/>
    <w:rsid w:val="008D0565"/>
    <w:rsid w:val="008D0F0A"/>
    <w:rsid w:val="008D0F56"/>
    <w:rsid w:val="008D2631"/>
    <w:rsid w:val="008D26F9"/>
    <w:rsid w:val="008D2B60"/>
    <w:rsid w:val="008D2ED5"/>
    <w:rsid w:val="008D365C"/>
    <w:rsid w:val="008D3CB6"/>
    <w:rsid w:val="008D4B9C"/>
    <w:rsid w:val="008D4C04"/>
    <w:rsid w:val="008D4F55"/>
    <w:rsid w:val="008D4FE4"/>
    <w:rsid w:val="008D5244"/>
    <w:rsid w:val="008D6DDB"/>
    <w:rsid w:val="008D706F"/>
    <w:rsid w:val="008D7469"/>
    <w:rsid w:val="008D7622"/>
    <w:rsid w:val="008D7A15"/>
    <w:rsid w:val="008D7A6F"/>
    <w:rsid w:val="008E08F5"/>
    <w:rsid w:val="008E0D49"/>
    <w:rsid w:val="008E0DFE"/>
    <w:rsid w:val="008E175D"/>
    <w:rsid w:val="008E1B6E"/>
    <w:rsid w:val="008E3729"/>
    <w:rsid w:val="008E37F0"/>
    <w:rsid w:val="008E38FA"/>
    <w:rsid w:val="008E49D8"/>
    <w:rsid w:val="008E59E3"/>
    <w:rsid w:val="008E626C"/>
    <w:rsid w:val="008E720B"/>
    <w:rsid w:val="008F0252"/>
    <w:rsid w:val="008F111F"/>
    <w:rsid w:val="008F172C"/>
    <w:rsid w:val="008F2C20"/>
    <w:rsid w:val="008F4146"/>
    <w:rsid w:val="008F41F1"/>
    <w:rsid w:val="008F4841"/>
    <w:rsid w:val="008F4E9B"/>
    <w:rsid w:val="008F4EA9"/>
    <w:rsid w:val="008F5114"/>
    <w:rsid w:val="008F55DC"/>
    <w:rsid w:val="008F5B7A"/>
    <w:rsid w:val="008F6009"/>
    <w:rsid w:val="008F6A77"/>
    <w:rsid w:val="008F6EA3"/>
    <w:rsid w:val="008F7673"/>
    <w:rsid w:val="008F7D20"/>
    <w:rsid w:val="0090007D"/>
    <w:rsid w:val="009004B4"/>
    <w:rsid w:val="00901199"/>
    <w:rsid w:val="009017E6"/>
    <w:rsid w:val="00901849"/>
    <w:rsid w:val="00901CDC"/>
    <w:rsid w:val="00901CF2"/>
    <w:rsid w:val="00901F7D"/>
    <w:rsid w:val="009021A6"/>
    <w:rsid w:val="0090271C"/>
    <w:rsid w:val="00902E4A"/>
    <w:rsid w:val="009030BF"/>
    <w:rsid w:val="009038BD"/>
    <w:rsid w:val="009039A8"/>
    <w:rsid w:val="00903B52"/>
    <w:rsid w:val="00904861"/>
    <w:rsid w:val="009059DD"/>
    <w:rsid w:val="00905A8B"/>
    <w:rsid w:val="00905BC5"/>
    <w:rsid w:val="00905E9A"/>
    <w:rsid w:val="00906126"/>
    <w:rsid w:val="009068E0"/>
    <w:rsid w:val="00906A15"/>
    <w:rsid w:val="00906BE3"/>
    <w:rsid w:val="00906FE2"/>
    <w:rsid w:val="00907B07"/>
    <w:rsid w:val="0091032F"/>
    <w:rsid w:val="009103C1"/>
    <w:rsid w:val="009104CF"/>
    <w:rsid w:val="00910A43"/>
    <w:rsid w:val="00910BE6"/>
    <w:rsid w:val="00910CA9"/>
    <w:rsid w:val="0091102E"/>
    <w:rsid w:val="00912510"/>
    <w:rsid w:val="0091271A"/>
    <w:rsid w:val="009128F5"/>
    <w:rsid w:val="00912D13"/>
    <w:rsid w:val="00912F40"/>
    <w:rsid w:val="009134FE"/>
    <w:rsid w:val="00913947"/>
    <w:rsid w:val="00914368"/>
    <w:rsid w:val="00914780"/>
    <w:rsid w:val="00914FED"/>
    <w:rsid w:val="009150D7"/>
    <w:rsid w:val="009151BE"/>
    <w:rsid w:val="0091524D"/>
    <w:rsid w:val="00915746"/>
    <w:rsid w:val="00915888"/>
    <w:rsid w:val="00915B76"/>
    <w:rsid w:val="00916067"/>
    <w:rsid w:val="00916505"/>
    <w:rsid w:val="0091668F"/>
    <w:rsid w:val="00916716"/>
    <w:rsid w:val="009178B7"/>
    <w:rsid w:val="00917970"/>
    <w:rsid w:val="00917A59"/>
    <w:rsid w:val="00917F62"/>
    <w:rsid w:val="00917F86"/>
    <w:rsid w:val="00920732"/>
    <w:rsid w:val="00920E3F"/>
    <w:rsid w:val="00920EFB"/>
    <w:rsid w:val="00920F38"/>
    <w:rsid w:val="00921184"/>
    <w:rsid w:val="00922649"/>
    <w:rsid w:val="00922A8B"/>
    <w:rsid w:val="009231BF"/>
    <w:rsid w:val="009236AA"/>
    <w:rsid w:val="00923AC1"/>
    <w:rsid w:val="00923FFA"/>
    <w:rsid w:val="009245D9"/>
    <w:rsid w:val="00924EC0"/>
    <w:rsid w:val="009258FA"/>
    <w:rsid w:val="009261EC"/>
    <w:rsid w:val="00926FD7"/>
    <w:rsid w:val="009276BE"/>
    <w:rsid w:val="009279FE"/>
    <w:rsid w:val="00930358"/>
    <w:rsid w:val="00930950"/>
    <w:rsid w:val="00930FFD"/>
    <w:rsid w:val="00931076"/>
    <w:rsid w:val="009310B0"/>
    <w:rsid w:val="009312A7"/>
    <w:rsid w:val="00931379"/>
    <w:rsid w:val="00931920"/>
    <w:rsid w:val="00931A30"/>
    <w:rsid w:val="00931A33"/>
    <w:rsid w:val="00931DD5"/>
    <w:rsid w:val="0093206C"/>
    <w:rsid w:val="00932AC6"/>
    <w:rsid w:val="009333F2"/>
    <w:rsid w:val="00933971"/>
    <w:rsid w:val="00934097"/>
    <w:rsid w:val="0093427C"/>
    <w:rsid w:val="009345D9"/>
    <w:rsid w:val="00934B15"/>
    <w:rsid w:val="0093572F"/>
    <w:rsid w:val="00935AD9"/>
    <w:rsid w:val="00935BA1"/>
    <w:rsid w:val="00935C16"/>
    <w:rsid w:val="0094098F"/>
    <w:rsid w:val="00940B81"/>
    <w:rsid w:val="00940C87"/>
    <w:rsid w:val="0094135F"/>
    <w:rsid w:val="00942B62"/>
    <w:rsid w:val="00943872"/>
    <w:rsid w:val="0094404D"/>
    <w:rsid w:val="0094417C"/>
    <w:rsid w:val="009441D7"/>
    <w:rsid w:val="00944558"/>
    <w:rsid w:val="0094489F"/>
    <w:rsid w:val="00946A6C"/>
    <w:rsid w:val="00946D55"/>
    <w:rsid w:val="0094707C"/>
    <w:rsid w:val="009472CB"/>
    <w:rsid w:val="009474D6"/>
    <w:rsid w:val="00947801"/>
    <w:rsid w:val="0095001B"/>
    <w:rsid w:val="00950CB7"/>
    <w:rsid w:val="00950E8A"/>
    <w:rsid w:val="00951C87"/>
    <w:rsid w:val="00951E43"/>
    <w:rsid w:val="00951F78"/>
    <w:rsid w:val="0095222C"/>
    <w:rsid w:val="00952C8A"/>
    <w:rsid w:val="0095323B"/>
    <w:rsid w:val="009532DB"/>
    <w:rsid w:val="00953384"/>
    <w:rsid w:val="00953657"/>
    <w:rsid w:val="00953AFA"/>
    <w:rsid w:val="0095442F"/>
    <w:rsid w:val="009548C3"/>
    <w:rsid w:val="00954EC3"/>
    <w:rsid w:val="0095559C"/>
    <w:rsid w:val="009555A1"/>
    <w:rsid w:val="009560BE"/>
    <w:rsid w:val="00956A0C"/>
    <w:rsid w:val="00956A34"/>
    <w:rsid w:val="00956BD9"/>
    <w:rsid w:val="00956BE7"/>
    <w:rsid w:val="00956F08"/>
    <w:rsid w:val="0095725D"/>
    <w:rsid w:val="009579EC"/>
    <w:rsid w:val="00957B32"/>
    <w:rsid w:val="00960CCA"/>
    <w:rsid w:val="009617FF"/>
    <w:rsid w:val="00961856"/>
    <w:rsid w:val="00961944"/>
    <w:rsid w:val="00962489"/>
    <w:rsid w:val="0096248E"/>
    <w:rsid w:val="009629F5"/>
    <w:rsid w:val="00962A5D"/>
    <w:rsid w:val="00962F90"/>
    <w:rsid w:val="009630DF"/>
    <w:rsid w:val="009630EE"/>
    <w:rsid w:val="009631C0"/>
    <w:rsid w:val="00963559"/>
    <w:rsid w:val="00963A69"/>
    <w:rsid w:val="00963F95"/>
    <w:rsid w:val="00964AFE"/>
    <w:rsid w:val="00964B28"/>
    <w:rsid w:val="00964C44"/>
    <w:rsid w:val="0096574F"/>
    <w:rsid w:val="00965867"/>
    <w:rsid w:val="00965A08"/>
    <w:rsid w:val="009667B8"/>
    <w:rsid w:val="0096697A"/>
    <w:rsid w:val="00966C57"/>
    <w:rsid w:val="00966E37"/>
    <w:rsid w:val="0096786F"/>
    <w:rsid w:val="00967ACA"/>
    <w:rsid w:val="00967CD3"/>
    <w:rsid w:val="00967EB3"/>
    <w:rsid w:val="00967EF2"/>
    <w:rsid w:val="0097054E"/>
    <w:rsid w:val="009705B1"/>
    <w:rsid w:val="00970E4D"/>
    <w:rsid w:val="0097132C"/>
    <w:rsid w:val="00971B3A"/>
    <w:rsid w:val="00971E2F"/>
    <w:rsid w:val="0097209A"/>
    <w:rsid w:val="009720E9"/>
    <w:rsid w:val="00972F41"/>
    <w:rsid w:val="00973EE9"/>
    <w:rsid w:val="00974440"/>
    <w:rsid w:val="00974630"/>
    <w:rsid w:val="00975782"/>
    <w:rsid w:val="00975825"/>
    <w:rsid w:val="009759EB"/>
    <w:rsid w:val="00975AB9"/>
    <w:rsid w:val="009764B7"/>
    <w:rsid w:val="009765BD"/>
    <w:rsid w:val="00976C4B"/>
    <w:rsid w:val="00977191"/>
    <w:rsid w:val="00980A30"/>
    <w:rsid w:val="0098108F"/>
    <w:rsid w:val="0098222C"/>
    <w:rsid w:val="00982299"/>
    <w:rsid w:val="009823BD"/>
    <w:rsid w:val="009823E3"/>
    <w:rsid w:val="0098296A"/>
    <w:rsid w:val="00982A38"/>
    <w:rsid w:val="00982D6C"/>
    <w:rsid w:val="0098367B"/>
    <w:rsid w:val="00983E11"/>
    <w:rsid w:val="00984200"/>
    <w:rsid w:val="00984420"/>
    <w:rsid w:val="00985378"/>
    <w:rsid w:val="00985563"/>
    <w:rsid w:val="00986484"/>
    <w:rsid w:val="00990117"/>
    <w:rsid w:val="0099011F"/>
    <w:rsid w:val="00990C2C"/>
    <w:rsid w:val="00991288"/>
    <w:rsid w:val="009915E2"/>
    <w:rsid w:val="00992D7E"/>
    <w:rsid w:val="00993034"/>
    <w:rsid w:val="00993316"/>
    <w:rsid w:val="00993BB2"/>
    <w:rsid w:val="00994464"/>
    <w:rsid w:val="0099487B"/>
    <w:rsid w:val="00994A40"/>
    <w:rsid w:val="00994CE6"/>
    <w:rsid w:val="00994EB7"/>
    <w:rsid w:val="00994FC5"/>
    <w:rsid w:val="009962C3"/>
    <w:rsid w:val="009975F5"/>
    <w:rsid w:val="00997722"/>
    <w:rsid w:val="009977B9"/>
    <w:rsid w:val="009977E9"/>
    <w:rsid w:val="009979B2"/>
    <w:rsid w:val="00997DB3"/>
    <w:rsid w:val="00997E21"/>
    <w:rsid w:val="009A0186"/>
    <w:rsid w:val="009A03FF"/>
    <w:rsid w:val="009A0624"/>
    <w:rsid w:val="009A09EC"/>
    <w:rsid w:val="009A101B"/>
    <w:rsid w:val="009A124F"/>
    <w:rsid w:val="009A13D4"/>
    <w:rsid w:val="009A1A2A"/>
    <w:rsid w:val="009A1FF4"/>
    <w:rsid w:val="009A24C0"/>
    <w:rsid w:val="009A2A85"/>
    <w:rsid w:val="009A3EBF"/>
    <w:rsid w:val="009A4247"/>
    <w:rsid w:val="009A4642"/>
    <w:rsid w:val="009A48A8"/>
    <w:rsid w:val="009A5171"/>
    <w:rsid w:val="009A648A"/>
    <w:rsid w:val="009A6B74"/>
    <w:rsid w:val="009A6B8C"/>
    <w:rsid w:val="009A6EFA"/>
    <w:rsid w:val="009A7844"/>
    <w:rsid w:val="009A78E5"/>
    <w:rsid w:val="009B0846"/>
    <w:rsid w:val="009B0919"/>
    <w:rsid w:val="009B0D22"/>
    <w:rsid w:val="009B0E59"/>
    <w:rsid w:val="009B1028"/>
    <w:rsid w:val="009B1BD8"/>
    <w:rsid w:val="009B2279"/>
    <w:rsid w:val="009B2296"/>
    <w:rsid w:val="009B2D32"/>
    <w:rsid w:val="009B39E7"/>
    <w:rsid w:val="009B43E8"/>
    <w:rsid w:val="009B44E7"/>
    <w:rsid w:val="009B4DF1"/>
    <w:rsid w:val="009B4E9A"/>
    <w:rsid w:val="009B562A"/>
    <w:rsid w:val="009B5BD1"/>
    <w:rsid w:val="009B5CBD"/>
    <w:rsid w:val="009B5CE3"/>
    <w:rsid w:val="009B5FD4"/>
    <w:rsid w:val="009B6910"/>
    <w:rsid w:val="009B6E3B"/>
    <w:rsid w:val="009B7ABD"/>
    <w:rsid w:val="009B7BC4"/>
    <w:rsid w:val="009C01D2"/>
    <w:rsid w:val="009C0829"/>
    <w:rsid w:val="009C087C"/>
    <w:rsid w:val="009C0A72"/>
    <w:rsid w:val="009C1164"/>
    <w:rsid w:val="009C1669"/>
    <w:rsid w:val="009C177C"/>
    <w:rsid w:val="009C20C8"/>
    <w:rsid w:val="009C288A"/>
    <w:rsid w:val="009C2A76"/>
    <w:rsid w:val="009C2F3E"/>
    <w:rsid w:val="009C39BA"/>
    <w:rsid w:val="009C4271"/>
    <w:rsid w:val="009C4392"/>
    <w:rsid w:val="009C4836"/>
    <w:rsid w:val="009C4996"/>
    <w:rsid w:val="009C52A6"/>
    <w:rsid w:val="009C57B0"/>
    <w:rsid w:val="009C583B"/>
    <w:rsid w:val="009C59CB"/>
    <w:rsid w:val="009C5D43"/>
    <w:rsid w:val="009C6151"/>
    <w:rsid w:val="009C655C"/>
    <w:rsid w:val="009C69F2"/>
    <w:rsid w:val="009C6B87"/>
    <w:rsid w:val="009C74A0"/>
    <w:rsid w:val="009C7C00"/>
    <w:rsid w:val="009C7DC6"/>
    <w:rsid w:val="009D0374"/>
    <w:rsid w:val="009D0AEA"/>
    <w:rsid w:val="009D1260"/>
    <w:rsid w:val="009D13B0"/>
    <w:rsid w:val="009D1C9E"/>
    <w:rsid w:val="009D2166"/>
    <w:rsid w:val="009D2662"/>
    <w:rsid w:val="009D275D"/>
    <w:rsid w:val="009D2C1F"/>
    <w:rsid w:val="009D4B55"/>
    <w:rsid w:val="009D4F4B"/>
    <w:rsid w:val="009D523B"/>
    <w:rsid w:val="009D5663"/>
    <w:rsid w:val="009D59CD"/>
    <w:rsid w:val="009D59F4"/>
    <w:rsid w:val="009D5BD5"/>
    <w:rsid w:val="009D5F4F"/>
    <w:rsid w:val="009D63AD"/>
    <w:rsid w:val="009D6675"/>
    <w:rsid w:val="009D68B6"/>
    <w:rsid w:val="009D749F"/>
    <w:rsid w:val="009D764E"/>
    <w:rsid w:val="009D7BB4"/>
    <w:rsid w:val="009D7F5C"/>
    <w:rsid w:val="009E0836"/>
    <w:rsid w:val="009E13B4"/>
    <w:rsid w:val="009E1844"/>
    <w:rsid w:val="009E1B02"/>
    <w:rsid w:val="009E1B27"/>
    <w:rsid w:val="009E1B58"/>
    <w:rsid w:val="009E1E00"/>
    <w:rsid w:val="009E2AE3"/>
    <w:rsid w:val="009E358D"/>
    <w:rsid w:val="009E3611"/>
    <w:rsid w:val="009E3D93"/>
    <w:rsid w:val="009E3ECB"/>
    <w:rsid w:val="009E4030"/>
    <w:rsid w:val="009E4545"/>
    <w:rsid w:val="009E47BE"/>
    <w:rsid w:val="009E4ACA"/>
    <w:rsid w:val="009E4F10"/>
    <w:rsid w:val="009E4FB8"/>
    <w:rsid w:val="009E5268"/>
    <w:rsid w:val="009E526A"/>
    <w:rsid w:val="009E5A53"/>
    <w:rsid w:val="009E5CCC"/>
    <w:rsid w:val="009E5D84"/>
    <w:rsid w:val="009E5FB0"/>
    <w:rsid w:val="009E6459"/>
    <w:rsid w:val="009E660C"/>
    <w:rsid w:val="009E6B93"/>
    <w:rsid w:val="009E6CC4"/>
    <w:rsid w:val="009E787B"/>
    <w:rsid w:val="009F028D"/>
    <w:rsid w:val="009F0703"/>
    <w:rsid w:val="009F07B5"/>
    <w:rsid w:val="009F0CF2"/>
    <w:rsid w:val="009F0D1B"/>
    <w:rsid w:val="009F13B2"/>
    <w:rsid w:val="009F2209"/>
    <w:rsid w:val="009F3174"/>
    <w:rsid w:val="009F3438"/>
    <w:rsid w:val="009F34F2"/>
    <w:rsid w:val="009F3775"/>
    <w:rsid w:val="009F3804"/>
    <w:rsid w:val="009F3C8D"/>
    <w:rsid w:val="009F443A"/>
    <w:rsid w:val="009F4463"/>
    <w:rsid w:val="009F46F1"/>
    <w:rsid w:val="009F53DD"/>
    <w:rsid w:val="009F554F"/>
    <w:rsid w:val="009F5BBD"/>
    <w:rsid w:val="009F5D60"/>
    <w:rsid w:val="009F61DB"/>
    <w:rsid w:val="009F6324"/>
    <w:rsid w:val="009F64E4"/>
    <w:rsid w:val="009F696D"/>
    <w:rsid w:val="009F6BC6"/>
    <w:rsid w:val="009F6D9A"/>
    <w:rsid w:val="009F73DC"/>
    <w:rsid w:val="009F74EF"/>
    <w:rsid w:val="009F7526"/>
    <w:rsid w:val="009F7F92"/>
    <w:rsid w:val="00A00194"/>
    <w:rsid w:val="00A00612"/>
    <w:rsid w:val="00A0071F"/>
    <w:rsid w:val="00A007AC"/>
    <w:rsid w:val="00A00852"/>
    <w:rsid w:val="00A00B86"/>
    <w:rsid w:val="00A00CC6"/>
    <w:rsid w:val="00A01C23"/>
    <w:rsid w:val="00A02670"/>
    <w:rsid w:val="00A02826"/>
    <w:rsid w:val="00A0293A"/>
    <w:rsid w:val="00A02B35"/>
    <w:rsid w:val="00A0341E"/>
    <w:rsid w:val="00A03976"/>
    <w:rsid w:val="00A045BA"/>
    <w:rsid w:val="00A04F7D"/>
    <w:rsid w:val="00A05224"/>
    <w:rsid w:val="00A05228"/>
    <w:rsid w:val="00A053B6"/>
    <w:rsid w:val="00A05D22"/>
    <w:rsid w:val="00A05F8A"/>
    <w:rsid w:val="00A0629C"/>
    <w:rsid w:val="00A063DE"/>
    <w:rsid w:val="00A0739B"/>
    <w:rsid w:val="00A078F5"/>
    <w:rsid w:val="00A07D9C"/>
    <w:rsid w:val="00A1155E"/>
    <w:rsid w:val="00A123BF"/>
    <w:rsid w:val="00A12468"/>
    <w:rsid w:val="00A13733"/>
    <w:rsid w:val="00A13FB1"/>
    <w:rsid w:val="00A14513"/>
    <w:rsid w:val="00A14B0A"/>
    <w:rsid w:val="00A14F1B"/>
    <w:rsid w:val="00A157C8"/>
    <w:rsid w:val="00A15BCC"/>
    <w:rsid w:val="00A15D5A"/>
    <w:rsid w:val="00A15FF2"/>
    <w:rsid w:val="00A161D2"/>
    <w:rsid w:val="00A1681E"/>
    <w:rsid w:val="00A169C7"/>
    <w:rsid w:val="00A171C1"/>
    <w:rsid w:val="00A17328"/>
    <w:rsid w:val="00A173F9"/>
    <w:rsid w:val="00A2060F"/>
    <w:rsid w:val="00A20CE0"/>
    <w:rsid w:val="00A20F7D"/>
    <w:rsid w:val="00A2108C"/>
    <w:rsid w:val="00A22301"/>
    <w:rsid w:val="00A22713"/>
    <w:rsid w:val="00A22889"/>
    <w:rsid w:val="00A2361E"/>
    <w:rsid w:val="00A238F4"/>
    <w:rsid w:val="00A23A20"/>
    <w:rsid w:val="00A24443"/>
    <w:rsid w:val="00A24736"/>
    <w:rsid w:val="00A24A5B"/>
    <w:rsid w:val="00A24A76"/>
    <w:rsid w:val="00A24AC4"/>
    <w:rsid w:val="00A254DE"/>
    <w:rsid w:val="00A25516"/>
    <w:rsid w:val="00A26134"/>
    <w:rsid w:val="00A2619E"/>
    <w:rsid w:val="00A26301"/>
    <w:rsid w:val="00A264D2"/>
    <w:rsid w:val="00A268B9"/>
    <w:rsid w:val="00A2703A"/>
    <w:rsid w:val="00A273F7"/>
    <w:rsid w:val="00A2783B"/>
    <w:rsid w:val="00A27A1E"/>
    <w:rsid w:val="00A27B52"/>
    <w:rsid w:val="00A303EB"/>
    <w:rsid w:val="00A3041C"/>
    <w:rsid w:val="00A30696"/>
    <w:rsid w:val="00A306DB"/>
    <w:rsid w:val="00A3090A"/>
    <w:rsid w:val="00A3107C"/>
    <w:rsid w:val="00A31285"/>
    <w:rsid w:val="00A3168E"/>
    <w:rsid w:val="00A31724"/>
    <w:rsid w:val="00A317DE"/>
    <w:rsid w:val="00A31844"/>
    <w:rsid w:val="00A31B70"/>
    <w:rsid w:val="00A31FA5"/>
    <w:rsid w:val="00A31FC4"/>
    <w:rsid w:val="00A321F6"/>
    <w:rsid w:val="00A32C9E"/>
    <w:rsid w:val="00A33504"/>
    <w:rsid w:val="00A33B0C"/>
    <w:rsid w:val="00A33DFF"/>
    <w:rsid w:val="00A3404D"/>
    <w:rsid w:val="00A34355"/>
    <w:rsid w:val="00A345A1"/>
    <w:rsid w:val="00A34CC5"/>
    <w:rsid w:val="00A34EB4"/>
    <w:rsid w:val="00A35115"/>
    <w:rsid w:val="00A35F66"/>
    <w:rsid w:val="00A36681"/>
    <w:rsid w:val="00A36D9A"/>
    <w:rsid w:val="00A37021"/>
    <w:rsid w:val="00A373A5"/>
    <w:rsid w:val="00A378C6"/>
    <w:rsid w:val="00A37D81"/>
    <w:rsid w:val="00A37FF3"/>
    <w:rsid w:val="00A40E3A"/>
    <w:rsid w:val="00A41184"/>
    <w:rsid w:val="00A41C1A"/>
    <w:rsid w:val="00A41FBB"/>
    <w:rsid w:val="00A431C7"/>
    <w:rsid w:val="00A4346C"/>
    <w:rsid w:val="00A4349B"/>
    <w:rsid w:val="00A437F5"/>
    <w:rsid w:val="00A439FB"/>
    <w:rsid w:val="00A441CF"/>
    <w:rsid w:val="00A44F4D"/>
    <w:rsid w:val="00A451DC"/>
    <w:rsid w:val="00A4581B"/>
    <w:rsid w:val="00A476F3"/>
    <w:rsid w:val="00A4777C"/>
    <w:rsid w:val="00A5026C"/>
    <w:rsid w:val="00A50291"/>
    <w:rsid w:val="00A50AC3"/>
    <w:rsid w:val="00A50E32"/>
    <w:rsid w:val="00A5178D"/>
    <w:rsid w:val="00A51A05"/>
    <w:rsid w:val="00A52285"/>
    <w:rsid w:val="00A522D7"/>
    <w:rsid w:val="00A5266A"/>
    <w:rsid w:val="00A527CD"/>
    <w:rsid w:val="00A529FE"/>
    <w:rsid w:val="00A5342A"/>
    <w:rsid w:val="00A53500"/>
    <w:rsid w:val="00A5397D"/>
    <w:rsid w:val="00A54713"/>
    <w:rsid w:val="00A54FED"/>
    <w:rsid w:val="00A554AB"/>
    <w:rsid w:val="00A556C6"/>
    <w:rsid w:val="00A55FFD"/>
    <w:rsid w:val="00A5651C"/>
    <w:rsid w:val="00A56950"/>
    <w:rsid w:val="00A57062"/>
    <w:rsid w:val="00A57487"/>
    <w:rsid w:val="00A604A5"/>
    <w:rsid w:val="00A608A3"/>
    <w:rsid w:val="00A609F6"/>
    <w:rsid w:val="00A61182"/>
    <w:rsid w:val="00A61390"/>
    <w:rsid w:val="00A613ED"/>
    <w:rsid w:val="00A61501"/>
    <w:rsid w:val="00A618DF"/>
    <w:rsid w:val="00A62683"/>
    <w:rsid w:val="00A62F45"/>
    <w:rsid w:val="00A6430D"/>
    <w:rsid w:val="00A649FA"/>
    <w:rsid w:val="00A64D89"/>
    <w:rsid w:val="00A650BB"/>
    <w:rsid w:val="00A669AE"/>
    <w:rsid w:val="00A67781"/>
    <w:rsid w:val="00A678E2"/>
    <w:rsid w:val="00A67BCB"/>
    <w:rsid w:val="00A70057"/>
    <w:rsid w:val="00A702C9"/>
    <w:rsid w:val="00A70522"/>
    <w:rsid w:val="00A7130F"/>
    <w:rsid w:val="00A71546"/>
    <w:rsid w:val="00A71610"/>
    <w:rsid w:val="00A7222D"/>
    <w:rsid w:val="00A7263A"/>
    <w:rsid w:val="00A7292E"/>
    <w:rsid w:val="00A73841"/>
    <w:rsid w:val="00A73AA3"/>
    <w:rsid w:val="00A73C39"/>
    <w:rsid w:val="00A74032"/>
    <w:rsid w:val="00A74583"/>
    <w:rsid w:val="00A74610"/>
    <w:rsid w:val="00A74726"/>
    <w:rsid w:val="00A74A2F"/>
    <w:rsid w:val="00A74B60"/>
    <w:rsid w:val="00A75439"/>
    <w:rsid w:val="00A76006"/>
    <w:rsid w:val="00A761F9"/>
    <w:rsid w:val="00A765A1"/>
    <w:rsid w:val="00A77083"/>
    <w:rsid w:val="00A7798D"/>
    <w:rsid w:val="00A77D16"/>
    <w:rsid w:val="00A80052"/>
    <w:rsid w:val="00A80155"/>
    <w:rsid w:val="00A8033B"/>
    <w:rsid w:val="00A81187"/>
    <w:rsid w:val="00A817B0"/>
    <w:rsid w:val="00A8221C"/>
    <w:rsid w:val="00A825C6"/>
    <w:rsid w:val="00A82B96"/>
    <w:rsid w:val="00A838D5"/>
    <w:rsid w:val="00A838FE"/>
    <w:rsid w:val="00A83A70"/>
    <w:rsid w:val="00A83B51"/>
    <w:rsid w:val="00A83F62"/>
    <w:rsid w:val="00A84A53"/>
    <w:rsid w:val="00A85599"/>
    <w:rsid w:val="00A855C9"/>
    <w:rsid w:val="00A85773"/>
    <w:rsid w:val="00A85B01"/>
    <w:rsid w:val="00A85DAF"/>
    <w:rsid w:val="00A85F3A"/>
    <w:rsid w:val="00A872D2"/>
    <w:rsid w:val="00A87B37"/>
    <w:rsid w:val="00A87B4A"/>
    <w:rsid w:val="00A87CCC"/>
    <w:rsid w:val="00A87DB4"/>
    <w:rsid w:val="00A87FC8"/>
    <w:rsid w:val="00A90696"/>
    <w:rsid w:val="00A90E14"/>
    <w:rsid w:val="00A90EF0"/>
    <w:rsid w:val="00A914D4"/>
    <w:rsid w:val="00A9298F"/>
    <w:rsid w:val="00A92B53"/>
    <w:rsid w:val="00A92EDF"/>
    <w:rsid w:val="00A93025"/>
    <w:rsid w:val="00A93EB6"/>
    <w:rsid w:val="00A9407E"/>
    <w:rsid w:val="00A94B9F"/>
    <w:rsid w:val="00A94FA6"/>
    <w:rsid w:val="00A94FA8"/>
    <w:rsid w:val="00A96471"/>
    <w:rsid w:val="00A966A7"/>
    <w:rsid w:val="00A966B2"/>
    <w:rsid w:val="00A96F83"/>
    <w:rsid w:val="00A97C90"/>
    <w:rsid w:val="00A97EBD"/>
    <w:rsid w:val="00AA030F"/>
    <w:rsid w:val="00AA0D03"/>
    <w:rsid w:val="00AA11CE"/>
    <w:rsid w:val="00AA1B71"/>
    <w:rsid w:val="00AA1D88"/>
    <w:rsid w:val="00AA231B"/>
    <w:rsid w:val="00AA239A"/>
    <w:rsid w:val="00AA25D0"/>
    <w:rsid w:val="00AA27BE"/>
    <w:rsid w:val="00AA2FBF"/>
    <w:rsid w:val="00AA3C37"/>
    <w:rsid w:val="00AA3DCD"/>
    <w:rsid w:val="00AA49A0"/>
    <w:rsid w:val="00AA4E30"/>
    <w:rsid w:val="00AA513B"/>
    <w:rsid w:val="00AA5636"/>
    <w:rsid w:val="00AA5EBB"/>
    <w:rsid w:val="00AA669B"/>
    <w:rsid w:val="00AA66D8"/>
    <w:rsid w:val="00AA6710"/>
    <w:rsid w:val="00AA70ED"/>
    <w:rsid w:val="00AA7B90"/>
    <w:rsid w:val="00AB0681"/>
    <w:rsid w:val="00AB1695"/>
    <w:rsid w:val="00AB285C"/>
    <w:rsid w:val="00AB2F2F"/>
    <w:rsid w:val="00AB3083"/>
    <w:rsid w:val="00AB39E4"/>
    <w:rsid w:val="00AB3A61"/>
    <w:rsid w:val="00AB3B72"/>
    <w:rsid w:val="00AB3F3F"/>
    <w:rsid w:val="00AB3FB1"/>
    <w:rsid w:val="00AB4127"/>
    <w:rsid w:val="00AB445C"/>
    <w:rsid w:val="00AB4AA0"/>
    <w:rsid w:val="00AB4E5C"/>
    <w:rsid w:val="00AB5446"/>
    <w:rsid w:val="00AB555A"/>
    <w:rsid w:val="00AB55B3"/>
    <w:rsid w:val="00AB58B5"/>
    <w:rsid w:val="00AB5990"/>
    <w:rsid w:val="00AB63B6"/>
    <w:rsid w:val="00AB70BE"/>
    <w:rsid w:val="00AB70CF"/>
    <w:rsid w:val="00AB7248"/>
    <w:rsid w:val="00AB724A"/>
    <w:rsid w:val="00AB7B82"/>
    <w:rsid w:val="00AC03E5"/>
    <w:rsid w:val="00AC05E3"/>
    <w:rsid w:val="00AC15BD"/>
    <w:rsid w:val="00AC15C5"/>
    <w:rsid w:val="00AC1608"/>
    <w:rsid w:val="00AC184A"/>
    <w:rsid w:val="00AC19A3"/>
    <w:rsid w:val="00AC2BE7"/>
    <w:rsid w:val="00AC32F2"/>
    <w:rsid w:val="00AC3A15"/>
    <w:rsid w:val="00AC40A2"/>
    <w:rsid w:val="00AC44AA"/>
    <w:rsid w:val="00AC4795"/>
    <w:rsid w:val="00AC4D0C"/>
    <w:rsid w:val="00AC4E56"/>
    <w:rsid w:val="00AC4F5C"/>
    <w:rsid w:val="00AC5672"/>
    <w:rsid w:val="00AC5E7F"/>
    <w:rsid w:val="00AC602E"/>
    <w:rsid w:val="00AC63EE"/>
    <w:rsid w:val="00AC7620"/>
    <w:rsid w:val="00AC7C28"/>
    <w:rsid w:val="00AC7D5D"/>
    <w:rsid w:val="00AD029D"/>
    <w:rsid w:val="00AD03BD"/>
    <w:rsid w:val="00AD0449"/>
    <w:rsid w:val="00AD09D4"/>
    <w:rsid w:val="00AD0D87"/>
    <w:rsid w:val="00AD1068"/>
    <w:rsid w:val="00AD1A0B"/>
    <w:rsid w:val="00AD1D31"/>
    <w:rsid w:val="00AD1E27"/>
    <w:rsid w:val="00AD20EA"/>
    <w:rsid w:val="00AD37AA"/>
    <w:rsid w:val="00AD3978"/>
    <w:rsid w:val="00AD3FE1"/>
    <w:rsid w:val="00AD4344"/>
    <w:rsid w:val="00AD47F2"/>
    <w:rsid w:val="00AD49D3"/>
    <w:rsid w:val="00AD4A6E"/>
    <w:rsid w:val="00AD520B"/>
    <w:rsid w:val="00AD5AD1"/>
    <w:rsid w:val="00AD5DDA"/>
    <w:rsid w:val="00AD5FF3"/>
    <w:rsid w:val="00AD608F"/>
    <w:rsid w:val="00AD671C"/>
    <w:rsid w:val="00AD6B2B"/>
    <w:rsid w:val="00AD70F7"/>
    <w:rsid w:val="00AD7B4F"/>
    <w:rsid w:val="00AE0136"/>
    <w:rsid w:val="00AE08B8"/>
    <w:rsid w:val="00AE1E6F"/>
    <w:rsid w:val="00AE1F12"/>
    <w:rsid w:val="00AE2125"/>
    <w:rsid w:val="00AE2B07"/>
    <w:rsid w:val="00AE2F91"/>
    <w:rsid w:val="00AE2FD4"/>
    <w:rsid w:val="00AE3BCC"/>
    <w:rsid w:val="00AE41D9"/>
    <w:rsid w:val="00AE478A"/>
    <w:rsid w:val="00AE4B0D"/>
    <w:rsid w:val="00AE4F5B"/>
    <w:rsid w:val="00AE5725"/>
    <w:rsid w:val="00AE5EE7"/>
    <w:rsid w:val="00AE5FB5"/>
    <w:rsid w:val="00AE5FF8"/>
    <w:rsid w:val="00AE613E"/>
    <w:rsid w:val="00AE653C"/>
    <w:rsid w:val="00AE6FB6"/>
    <w:rsid w:val="00AE7374"/>
    <w:rsid w:val="00AE7454"/>
    <w:rsid w:val="00AE785E"/>
    <w:rsid w:val="00AE79ED"/>
    <w:rsid w:val="00AE7BE3"/>
    <w:rsid w:val="00AE7BE6"/>
    <w:rsid w:val="00AE7E91"/>
    <w:rsid w:val="00AF0B6C"/>
    <w:rsid w:val="00AF1072"/>
    <w:rsid w:val="00AF1534"/>
    <w:rsid w:val="00AF1587"/>
    <w:rsid w:val="00AF19E7"/>
    <w:rsid w:val="00AF1AC8"/>
    <w:rsid w:val="00AF2242"/>
    <w:rsid w:val="00AF29B2"/>
    <w:rsid w:val="00AF3492"/>
    <w:rsid w:val="00AF50A4"/>
    <w:rsid w:val="00AF556C"/>
    <w:rsid w:val="00AF5CCC"/>
    <w:rsid w:val="00AF679C"/>
    <w:rsid w:val="00AF6A6D"/>
    <w:rsid w:val="00AF70FF"/>
    <w:rsid w:val="00AF736A"/>
    <w:rsid w:val="00AF7376"/>
    <w:rsid w:val="00AF7CF8"/>
    <w:rsid w:val="00B005A1"/>
    <w:rsid w:val="00B00771"/>
    <w:rsid w:val="00B00CFA"/>
    <w:rsid w:val="00B00F59"/>
    <w:rsid w:val="00B0140C"/>
    <w:rsid w:val="00B01472"/>
    <w:rsid w:val="00B01AED"/>
    <w:rsid w:val="00B01C3C"/>
    <w:rsid w:val="00B01EF3"/>
    <w:rsid w:val="00B01FB5"/>
    <w:rsid w:val="00B0209A"/>
    <w:rsid w:val="00B022A2"/>
    <w:rsid w:val="00B02445"/>
    <w:rsid w:val="00B0368A"/>
    <w:rsid w:val="00B03CCA"/>
    <w:rsid w:val="00B045A5"/>
    <w:rsid w:val="00B04F6F"/>
    <w:rsid w:val="00B05337"/>
    <w:rsid w:val="00B05D2B"/>
    <w:rsid w:val="00B05D92"/>
    <w:rsid w:val="00B065E6"/>
    <w:rsid w:val="00B06A71"/>
    <w:rsid w:val="00B06B7A"/>
    <w:rsid w:val="00B06C42"/>
    <w:rsid w:val="00B072C6"/>
    <w:rsid w:val="00B0772F"/>
    <w:rsid w:val="00B103A4"/>
    <w:rsid w:val="00B10B37"/>
    <w:rsid w:val="00B10D52"/>
    <w:rsid w:val="00B10DE8"/>
    <w:rsid w:val="00B11BE7"/>
    <w:rsid w:val="00B11EA6"/>
    <w:rsid w:val="00B12433"/>
    <w:rsid w:val="00B13126"/>
    <w:rsid w:val="00B132D3"/>
    <w:rsid w:val="00B1330A"/>
    <w:rsid w:val="00B134D2"/>
    <w:rsid w:val="00B13CEA"/>
    <w:rsid w:val="00B13D97"/>
    <w:rsid w:val="00B145C1"/>
    <w:rsid w:val="00B16222"/>
    <w:rsid w:val="00B16378"/>
    <w:rsid w:val="00B1672D"/>
    <w:rsid w:val="00B1787B"/>
    <w:rsid w:val="00B20374"/>
    <w:rsid w:val="00B2098E"/>
    <w:rsid w:val="00B20DEA"/>
    <w:rsid w:val="00B20F0C"/>
    <w:rsid w:val="00B2126C"/>
    <w:rsid w:val="00B21634"/>
    <w:rsid w:val="00B21F9E"/>
    <w:rsid w:val="00B23162"/>
    <w:rsid w:val="00B23A63"/>
    <w:rsid w:val="00B24172"/>
    <w:rsid w:val="00B24242"/>
    <w:rsid w:val="00B24E7F"/>
    <w:rsid w:val="00B24F6A"/>
    <w:rsid w:val="00B25542"/>
    <w:rsid w:val="00B2557A"/>
    <w:rsid w:val="00B258AD"/>
    <w:rsid w:val="00B25BAB"/>
    <w:rsid w:val="00B26579"/>
    <w:rsid w:val="00B26A30"/>
    <w:rsid w:val="00B26B1C"/>
    <w:rsid w:val="00B2706A"/>
    <w:rsid w:val="00B27FF4"/>
    <w:rsid w:val="00B30F78"/>
    <w:rsid w:val="00B31B86"/>
    <w:rsid w:val="00B31BA5"/>
    <w:rsid w:val="00B32E5E"/>
    <w:rsid w:val="00B33109"/>
    <w:rsid w:val="00B332C8"/>
    <w:rsid w:val="00B33BD8"/>
    <w:rsid w:val="00B33D72"/>
    <w:rsid w:val="00B3428B"/>
    <w:rsid w:val="00B34D6C"/>
    <w:rsid w:val="00B35264"/>
    <w:rsid w:val="00B35628"/>
    <w:rsid w:val="00B3644B"/>
    <w:rsid w:val="00B37B8A"/>
    <w:rsid w:val="00B37BEC"/>
    <w:rsid w:val="00B37D9F"/>
    <w:rsid w:val="00B40275"/>
    <w:rsid w:val="00B41D93"/>
    <w:rsid w:val="00B42366"/>
    <w:rsid w:val="00B425C3"/>
    <w:rsid w:val="00B43019"/>
    <w:rsid w:val="00B4373D"/>
    <w:rsid w:val="00B43AED"/>
    <w:rsid w:val="00B43B1D"/>
    <w:rsid w:val="00B43D04"/>
    <w:rsid w:val="00B43D6E"/>
    <w:rsid w:val="00B440AD"/>
    <w:rsid w:val="00B44C16"/>
    <w:rsid w:val="00B44C96"/>
    <w:rsid w:val="00B45920"/>
    <w:rsid w:val="00B45D41"/>
    <w:rsid w:val="00B45EA3"/>
    <w:rsid w:val="00B46002"/>
    <w:rsid w:val="00B4698C"/>
    <w:rsid w:val="00B473AA"/>
    <w:rsid w:val="00B4777C"/>
    <w:rsid w:val="00B479BB"/>
    <w:rsid w:val="00B47A02"/>
    <w:rsid w:val="00B47F92"/>
    <w:rsid w:val="00B50D6C"/>
    <w:rsid w:val="00B50E22"/>
    <w:rsid w:val="00B51492"/>
    <w:rsid w:val="00B51CE7"/>
    <w:rsid w:val="00B520FB"/>
    <w:rsid w:val="00B52408"/>
    <w:rsid w:val="00B5293B"/>
    <w:rsid w:val="00B52D33"/>
    <w:rsid w:val="00B53916"/>
    <w:rsid w:val="00B53E7E"/>
    <w:rsid w:val="00B54515"/>
    <w:rsid w:val="00B54639"/>
    <w:rsid w:val="00B54873"/>
    <w:rsid w:val="00B54A30"/>
    <w:rsid w:val="00B54DAF"/>
    <w:rsid w:val="00B5610C"/>
    <w:rsid w:val="00B56266"/>
    <w:rsid w:val="00B5630A"/>
    <w:rsid w:val="00B56958"/>
    <w:rsid w:val="00B57085"/>
    <w:rsid w:val="00B578D1"/>
    <w:rsid w:val="00B57AF5"/>
    <w:rsid w:val="00B600F0"/>
    <w:rsid w:val="00B601ED"/>
    <w:rsid w:val="00B614EF"/>
    <w:rsid w:val="00B61BC9"/>
    <w:rsid w:val="00B623E6"/>
    <w:rsid w:val="00B62972"/>
    <w:rsid w:val="00B633A4"/>
    <w:rsid w:val="00B6342E"/>
    <w:rsid w:val="00B63C45"/>
    <w:rsid w:val="00B63CBF"/>
    <w:rsid w:val="00B64203"/>
    <w:rsid w:val="00B6468B"/>
    <w:rsid w:val="00B65B76"/>
    <w:rsid w:val="00B66294"/>
    <w:rsid w:val="00B66D2D"/>
    <w:rsid w:val="00B6753C"/>
    <w:rsid w:val="00B67B51"/>
    <w:rsid w:val="00B70BEF"/>
    <w:rsid w:val="00B70E22"/>
    <w:rsid w:val="00B70E54"/>
    <w:rsid w:val="00B7113F"/>
    <w:rsid w:val="00B71751"/>
    <w:rsid w:val="00B7203B"/>
    <w:rsid w:val="00B7220E"/>
    <w:rsid w:val="00B724F2"/>
    <w:rsid w:val="00B7255B"/>
    <w:rsid w:val="00B726A5"/>
    <w:rsid w:val="00B72AA3"/>
    <w:rsid w:val="00B72CF9"/>
    <w:rsid w:val="00B735BC"/>
    <w:rsid w:val="00B738DC"/>
    <w:rsid w:val="00B73CAD"/>
    <w:rsid w:val="00B73E03"/>
    <w:rsid w:val="00B73EAC"/>
    <w:rsid w:val="00B73EF7"/>
    <w:rsid w:val="00B73F3F"/>
    <w:rsid w:val="00B74A4B"/>
    <w:rsid w:val="00B74A9E"/>
    <w:rsid w:val="00B75131"/>
    <w:rsid w:val="00B75A96"/>
    <w:rsid w:val="00B76880"/>
    <w:rsid w:val="00B77253"/>
    <w:rsid w:val="00B77A6B"/>
    <w:rsid w:val="00B77C6E"/>
    <w:rsid w:val="00B801F5"/>
    <w:rsid w:val="00B807FC"/>
    <w:rsid w:val="00B80D61"/>
    <w:rsid w:val="00B812FD"/>
    <w:rsid w:val="00B81A86"/>
    <w:rsid w:val="00B824EA"/>
    <w:rsid w:val="00B8276D"/>
    <w:rsid w:val="00B82917"/>
    <w:rsid w:val="00B82D76"/>
    <w:rsid w:val="00B83098"/>
    <w:rsid w:val="00B83E86"/>
    <w:rsid w:val="00B84372"/>
    <w:rsid w:val="00B85D5A"/>
    <w:rsid w:val="00B862B8"/>
    <w:rsid w:val="00B86A6F"/>
    <w:rsid w:val="00B86CFE"/>
    <w:rsid w:val="00B877AF"/>
    <w:rsid w:val="00B901EC"/>
    <w:rsid w:val="00B90524"/>
    <w:rsid w:val="00B90BC1"/>
    <w:rsid w:val="00B90DB6"/>
    <w:rsid w:val="00B90E17"/>
    <w:rsid w:val="00B91024"/>
    <w:rsid w:val="00B918B5"/>
    <w:rsid w:val="00B91986"/>
    <w:rsid w:val="00B9266A"/>
    <w:rsid w:val="00B92AB5"/>
    <w:rsid w:val="00B92C41"/>
    <w:rsid w:val="00B9332F"/>
    <w:rsid w:val="00B9363C"/>
    <w:rsid w:val="00B93AE0"/>
    <w:rsid w:val="00B9468C"/>
    <w:rsid w:val="00B95928"/>
    <w:rsid w:val="00B95D60"/>
    <w:rsid w:val="00B9605E"/>
    <w:rsid w:val="00B9657A"/>
    <w:rsid w:val="00B96BA0"/>
    <w:rsid w:val="00B97A76"/>
    <w:rsid w:val="00BA0547"/>
    <w:rsid w:val="00BA072E"/>
    <w:rsid w:val="00BA13BE"/>
    <w:rsid w:val="00BA1793"/>
    <w:rsid w:val="00BA1F4F"/>
    <w:rsid w:val="00BA2363"/>
    <w:rsid w:val="00BA2BCF"/>
    <w:rsid w:val="00BA317B"/>
    <w:rsid w:val="00BA3694"/>
    <w:rsid w:val="00BA40CA"/>
    <w:rsid w:val="00BA47E2"/>
    <w:rsid w:val="00BA4895"/>
    <w:rsid w:val="00BA5A37"/>
    <w:rsid w:val="00BA5B14"/>
    <w:rsid w:val="00BA661A"/>
    <w:rsid w:val="00BA73B6"/>
    <w:rsid w:val="00BA79B2"/>
    <w:rsid w:val="00BA7E27"/>
    <w:rsid w:val="00BA7FCB"/>
    <w:rsid w:val="00BB0C9E"/>
    <w:rsid w:val="00BB0D0E"/>
    <w:rsid w:val="00BB0E61"/>
    <w:rsid w:val="00BB0F2F"/>
    <w:rsid w:val="00BB101C"/>
    <w:rsid w:val="00BB1257"/>
    <w:rsid w:val="00BB1786"/>
    <w:rsid w:val="00BB1DB4"/>
    <w:rsid w:val="00BB2603"/>
    <w:rsid w:val="00BB2EE5"/>
    <w:rsid w:val="00BB2EFF"/>
    <w:rsid w:val="00BB31E9"/>
    <w:rsid w:val="00BB3820"/>
    <w:rsid w:val="00BB38E9"/>
    <w:rsid w:val="00BB3DCB"/>
    <w:rsid w:val="00BB3F5A"/>
    <w:rsid w:val="00BB420F"/>
    <w:rsid w:val="00BB42A5"/>
    <w:rsid w:val="00BB4443"/>
    <w:rsid w:val="00BB49E8"/>
    <w:rsid w:val="00BB4D16"/>
    <w:rsid w:val="00BB4FCD"/>
    <w:rsid w:val="00BB5123"/>
    <w:rsid w:val="00BB5305"/>
    <w:rsid w:val="00BB5496"/>
    <w:rsid w:val="00BB5667"/>
    <w:rsid w:val="00BB5935"/>
    <w:rsid w:val="00BB59E2"/>
    <w:rsid w:val="00BB5A24"/>
    <w:rsid w:val="00BB5B40"/>
    <w:rsid w:val="00BB5B7D"/>
    <w:rsid w:val="00BB6588"/>
    <w:rsid w:val="00BB68B9"/>
    <w:rsid w:val="00BB79AD"/>
    <w:rsid w:val="00BC04E9"/>
    <w:rsid w:val="00BC0669"/>
    <w:rsid w:val="00BC0D4F"/>
    <w:rsid w:val="00BC0D6B"/>
    <w:rsid w:val="00BC0E1D"/>
    <w:rsid w:val="00BC1A40"/>
    <w:rsid w:val="00BC2187"/>
    <w:rsid w:val="00BC28BA"/>
    <w:rsid w:val="00BC2E5C"/>
    <w:rsid w:val="00BC36E9"/>
    <w:rsid w:val="00BC4056"/>
    <w:rsid w:val="00BC4143"/>
    <w:rsid w:val="00BC41EB"/>
    <w:rsid w:val="00BC4317"/>
    <w:rsid w:val="00BC4ECF"/>
    <w:rsid w:val="00BC52CB"/>
    <w:rsid w:val="00BC601C"/>
    <w:rsid w:val="00BC6244"/>
    <w:rsid w:val="00BD0102"/>
    <w:rsid w:val="00BD0B6D"/>
    <w:rsid w:val="00BD13EA"/>
    <w:rsid w:val="00BD188A"/>
    <w:rsid w:val="00BD18A7"/>
    <w:rsid w:val="00BD1B4D"/>
    <w:rsid w:val="00BD1CEB"/>
    <w:rsid w:val="00BD27E8"/>
    <w:rsid w:val="00BD2C13"/>
    <w:rsid w:val="00BD303F"/>
    <w:rsid w:val="00BD307A"/>
    <w:rsid w:val="00BD33B8"/>
    <w:rsid w:val="00BD3D70"/>
    <w:rsid w:val="00BD4AFB"/>
    <w:rsid w:val="00BD4DD4"/>
    <w:rsid w:val="00BD4E32"/>
    <w:rsid w:val="00BD5854"/>
    <w:rsid w:val="00BD613E"/>
    <w:rsid w:val="00BD660C"/>
    <w:rsid w:val="00BD6D66"/>
    <w:rsid w:val="00BD7130"/>
    <w:rsid w:val="00BD7251"/>
    <w:rsid w:val="00BD79E6"/>
    <w:rsid w:val="00BE0081"/>
    <w:rsid w:val="00BE0708"/>
    <w:rsid w:val="00BE08FF"/>
    <w:rsid w:val="00BE0911"/>
    <w:rsid w:val="00BE0CBA"/>
    <w:rsid w:val="00BE17EB"/>
    <w:rsid w:val="00BE1C6E"/>
    <w:rsid w:val="00BE2EBF"/>
    <w:rsid w:val="00BE2F38"/>
    <w:rsid w:val="00BE3179"/>
    <w:rsid w:val="00BE35C7"/>
    <w:rsid w:val="00BE35F8"/>
    <w:rsid w:val="00BE3808"/>
    <w:rsid w:val="00BE3CEF"/>
    <w:rsid w:val="00BE4070"/>
    <w:rsid w:val="00BE44A8"/>
    <w:rsid w:val="00BE4FF1"/>
    <w:rsid w:val="00BE5B91"/>
    <w:rsid w:val="00BE6733"/>
    <w:rsid w:val="00BE696E"/>
    <w:rsid w:val="00BE6D24"/>
    <w:rsid w:val="00BE73F6"/>
    <w:rsid w:val="00BE7628"/>
    <w:rsid w:val="00BF0D97"/>
    <w:rsid w:val="00BF1999"/>
    <w:rsid w:val="00BF1CCC"/>
    <w:rsid w:val="00BF201B"/>
    <w:rsid w:val="00BF2E25"/>
    <w:rsid w:val="00BF3314"/>
    <w:rsid w:val="00BF3706"/>
    <w:rsid w:val="00BF3D64"/>
    <w:rsid w:val="00BF3DB2"/>
    <w:rsid w:val="00BF3DD1"/>
    <w:rsid w:val="00BF40CF"/>
    <w:rsid w:val="00BF4D58"/>
    <w:rsid w:val="00BF4FBE"/>
    <w:rsid w:val="00BF5115"/>
    <w:rsid w:val="00BF53C6"/>
    <w:rsid w:val="00BF5BF5"/>
    <w:rsid w:val="00BF680F"/>
    <w:rsid w:val="00BF7447"/>
    <w:rsid w:val="00BF7692"/>
    <w:rsid w:val="00C00CF0"/>
    <w:rsid w:val="00C0177F"/>
    <w:rsid w:val="00C017B5"/>
    <w:rsid w:val="00C0197B"/>
    <w:rsid w:val="00C01A74"/>
    <w:rsid w:val="00C01E03"/>
    <w:rsid w:val="00C02558"/>
    <w:rsid w:val="00C02B66"/>
    <w:rsid w:val="00C02C9E"/>
    <w:rsid w:val="00C02E37"/>
    <w:rsid w:val="00C03B88"/>
    <w:rsid w:val="00C03C5E"/>
    <w:rsid w:val="00C04228"/>
    <w:rsid w:val="00C042A4"/>
    <w:rsid w:val="00C048C8"/>
    <w:rsid w:val="00C04F72"/>
    <w:rsid w:val="00C05018"/>
    <w:rsid w:val="00C053EC"/>
    <w:rsid w:val="00C06104"/>
    <w:rsid w:val="00C062E9"/>
    <w:rsid w:val="00C069AA"/>
    <w:rsid w:val="00C06E12"/>
    <w:rsid w:val="00C079B5"/>
    <w:rsid w:val="00C07B64"/>
    <w:rsid w:val="00C10A02"/>
    <w:rsid w:val="00C10B7F"/>
    <w:rsid w:val="00C111E5"/>
    <w:rsid w:val="00C113E6"/>
    <w:rsid w:val="00C11AE9"/>
    <w:rsid w:val="00C11D70"/>
    <w:rsid w:val="00C12C4C"/>
    <w:rsid w:val="00C130C0"/>
    <w:rsid w:val="00C1340D"/>
    <w:rsid w:val="00C13721"/>
    <w:rsid w:val="00C13DA5"/>
    <w:rsid w:val="00C13E39"/>
    <w:rsid w:val="00C14FE4"/>
    <w:rsid w:val="00C15691"/>
    <w:rsid w:val="00C1578D"/>
    <w:rsid w:val="00C15996"/>
    <w:rsid w:val="00C16A41"/>
    <w:rsid w:val="00C178EE"/>
    <w:rsid w:val="00C1795D"/>
    <w:rsid w:val="00C17BF6"/>
    <w:rsid w:val="00C17F0B"/>
    <w:rsid w:val="00C20835"/>
    <w:rsid w:val="00C20D44"/>
    <w:rsid w:val="00C219F3"/>
    <w:rsid w:val="00C21A40"/>
    <w:rsid w:val="00C21C4C"/>
    <w:rsid w:val="00C21D11"/>
    <w:rsid w:val="00C2264F"/>
    <w:rsid w:val="00C227B1"/>
    <w:rsid w:val="00C2298A"/>
    <w:rsid w:val="00C22FEC"/>
    <w:rsid w:val="00C23B2A"/>
    <w:rsid w:val="00C24167"/>
    <w:rsid w:val="00C252CC"/>
    <w:rsid w:val="00C2577F"/>
    <w:rsid w:val="00C25A3F"/>
    <w:rsid w:val="00C2609F"/>
    <w:rsid w:val="00C265FB"/>
    <w:rsid w:val="00C26BC6"/>
    <w:rsid w:val="00C27744"/>
    <w:rsid w:val="00C278AD"/>
    <w:rsid w:val="00C27B9A"/>
    <w:rsid w:val="00C3066D"/>
    <w:rsid w:val="00C30C81"/>
    <w:rsid w:val="00C31289"/>
    <w:rsid w:val="00C31C7F"/>
    <w:rsid w:val="00C31FD8"/>
    <w:rsid w:val="00C32147"/>
    <w:rsid w:val="00C325F7"/>
    <w:rsid w:val="00C32C04"/>
    <w:rsid w:val="00C333C2"/>
    <w:rsid w:val="00C33A79"/>
    <w:rsid w:val="00C34129"/>
    <w:rsid w:val="00C3487D"/>
    <w:rsid w:val="00C3490A"/>
    <w:rsid w:val="00C351A1"/>
    <w:rsid w:val="00C35788"/>
    <w:rsid w:val="00C358C1"/>
    <w:rsid w:val="00C35B48"/>
    <w:rsid w:val="00C35F5A"/>
    <w:rsid w:val="00C360A8"/>
    <w:rsid w:val="00C36A9B"/>
    <w:rsid w:val="00C36BDA"/>
    <w:rsid w:val="00C36DFC"/>
    <w:rsid w:val="00C36F52"/>
    <w:rsid w:val="00C378DA"/>
    <w:rsid w:val="00C37E78"/>
    <w:rsid w:val="00C40148"/>
    <w:rsid w:val="00C40721"/>
    <w:rsid w:val="00C407C1"/>
    <w:rsid w:val="00C4080A"/>
    <w:rsid w:val="00C40C5F"/>
    <w:rsid w:val="00C40CBA"/>
    <w:rsid w:val="00C419D6"/>
    <w:rsid w:val="00C4343C"/>
    <w:rsid w:val="00C44DBF"/>
    <w:rsid w:val="00C45512"/>
    <w:rsid w:val="00C45C08"/>
    <w:rsid w:val="00C45DA8"/>
    <w:rsid w:val="00C466CA"/>
    <w:rsid w:val="00C4674D"/>
    <w:rsid w:val="00C4687F"/>
    <w:rsid w:val="00C469C2"/>
    <w:rsid w:val="00C46EF9"/>
    <w:rsid w:val="00C46FF4"/>
    <w:rsid w:val="00C4756C"/>
    <w:rsid w:val="00C477A2"/>
    <w:rsid w:val="00C47811"/>
    <w:rsid w:val="00C507B2"/>
    <w:rsid w:val="00C50C65"/>
    <w:rsid w:val="00C50E86"/>
    <w:rsid w:val="00C5178A"/>
    <w:rsid w:val="00C51B00"/>
    <w:rsid w:val="00C52352"/>
    <w:rsid w:val="00C52416"/>
    <w:rsid w:val="00C528C6"/>
    <w:rsid w:val="00C52ADC"/>
    <w:rsid w:val="00C53612"/>
    <w:rsid w:val="00C53652"/>
    <w:rsid w:val="00C53C0C"/>
    <w:rsid w:val="00C53C81"/>
    <w:rsid w:val="00C5434B"/>
    <w:rsid w:val="00C543F4"/>
    <w:rsid w:val="00C544D4"/>
    <w:rsid w:val="00C552C2"/>
    <w:rsid w:val="00C5582D"/>
    <w:rsid w:val="00C5594B"/>
    <w:rsid w:val="00C55A40"/>
    <w:rsid w:val="00C56A1B"/>
    <w:rsid w:val="00C570FC"/>
    <w:rsid w:val="00C57EA2"/>
    <w:rsid w:val="00C57F12"/>
    <w:rsid w:val="00C60028"/>
    <w:rsid w:val="00C6018C"/>
    <w:rsid w:val="00C604AE"/>
    <w:rsid w:val="00C60F9B"/>
    <w:rsid w:val="00C61248"/>
    <w:rsid w:val="00C61690"/>
    <w:rsid w:val="00C61EEB"/>
    <w:rsid w:val="00C62083"/>
    <w:rsid w:val="00C6259C"/>
    <w:rsid w:val="00C62732"/>
    <w:rsid w:val="00C6291C"/>
    <w:rsid w:val="00C62E9B"/>
    <w:rsid w:val="00C630E0"/>
    <w:rsid w:val="00C633CB"/>
    <w:rsid w:val="00C6360B"/>
    <w:rsid w:val="00C646CD"/>
    <w:rsid w:val="00C64A22"/>
    <w:rsid w:val="00C64B13"/>
    <w:rsid w:val="00C663B5"/>
    <w:rsid w:val="00C664CD"/>
    <w:rsid w:val="00C6655A"/>
    <w:rsid w:val="00C66FDC"/>
    <w:rsid w:val="00C67297"/>
    <w:rsid w:val="00C67787"/>
    <w:rsid w:val="00C7079E"/>
    <w:rsid w:val="00C71513"/>
    <w:rsid w:val="00C71A58"/>
    <w:rsid w:val="00C71AC2"/>
    <w:rsid w:val="00C71BA4"/>
    <w:rsid w:val="00C7213B"/>
    <w:rsid w:val="00C73010"/>
    <w:rsid w:val="00C733B4"/>
    <w:rsid w:val="00C736B7"/>
    <w:rsid w:val="00C737A3"/>
    <w:rsid w:val="00C73857"/>
    <w:rsid w:val="00C7412B"/>
    <w:rsid w:val="00C74906"/>
    <w:rsid w:val="00C74B36"/>
    <w:rsid w:val="00C74EA0"/>
    <w:rsid w:val="00C7593E"/>
    <w:rsid w:val="00C75E13"/>
    <w:rsid w:val="00C76216"/>
    <w:rsid w:val="00C770F9"/>
    <w:rsid w:val="00C77218"/>
    <w:rsid w:val="00C81189"/>
    <w:rsid w:val="00C81216"/>
    <w:rsid w:val="00C818FB"/>
    <w:rsid w:val="00C81D4A"/>
    <w:rsid w:val="00C8231F"/>
    <w:rsid w:val="00C823CE"/>
    <w:rsid w:val="00C82572"/>
    <w:rsid w:val="00C8275B"/>
    <w:rsid w:val="00C83071"/>
    <w:rsid w:val="00C83249"/>
    <w:rsid w:val="00C83C77"/>
    <w:rsid w:val="00C83C8B"/>
    <w:rsid w:val="00C83DA7"/>
    <w:rsid w:val="00C83ED3"/>
    <w:rsid w:val="00C848C7"/>
    <w:rsid w:val="00C85065"/>
    <w:rsid w:val="00C8517A"/>
    <w:rsid w:val="00C852A6"/>
    <w:rsid w:val="00C85948"/>
    <w:rsid w:val="00C85ED0"/>
    <w:rsid w:val="00C862F1"/>
    <w:rsid w:val="00C8762C"/>
    <w:rsid w:val="00C876E0"/>
    <w:rsid w:val="00C87EF0"/>
    <w:rsid w:val="00C87F92"/>
    <w:rsid w:val="00C90597"/>
    <w:rsid w:val="00C9085E"/>
    <w:rsid w:val="00C90B36"/>
    <w:rsid w:val="00C90ED7"/>
    <w:rsid w:val="00C910AB"/>
    <w:rsid w:val="00C912A1"/>
    <w:rsid w:val="00C91474"/>
    <w:rsid w:val="00C917CC"/>
    <w:rsid w:val="00C9201C"/>
    <w:rsid w:val="00C92257"/>
    <w:rsid w:val="00C92273"/>
    <w:rsid w:val="00C925AF"/>
    <w:rsid w:val="00C92E1B"/>
    <w:rsid w:val="00C93315"/>
    <w:rsid w:val="00C93FA3"/>
    <w:rsid w:val="00C94154"/>
    <w:rsid w:val="00C95E3B"/>
    <w:rsid w:val="00C963EF"/>
    <w:rsid w:val="00C96833"/>
    <w:rsid w:val="00C96C4E"/>
    <w:rsid w:val="00C96E40"/>
    <w:rsid w:val="00C9735D"/>
    <w:rsid w:val="00C97B35"/>
    <w:rsid w:val="00CA00F9"/>
    <w:rsid w:val="00CA0B0A"/>
    <w:rsid w:val="00CA1A49"/>
    <w:rsid w:val="00CA1B87"/>
    <w:rsid w:val="00CA1BB4"/>
    <w:rsid w:val="00CA1FD0"/>
    <w:rsid w:val="00CA2571"/>
    <w:rsid w:val="00CA2961"/>
    <w:rsid w:val="00CA3344"/>
    <w:rsid w:val="00CA3478"/>
    <w:rsid w:val="00CA3FA7"/>
    <w:rsid w:val="00CA41AD"/>
    <w:rsid w:val="00CA44A0"/>
    <w:rsid w:val="00CA4883"/>
    <w:rsid w:val="00CA4B45"/>
    <w:rsid w:val="00CA55AC"/>
    <w:rsid w:val="00CA585B"/>
    <w:rsid w:val="00CA60A3"/>
    <w:rsid w:val="00CA657A"/>
    <w:rsid w:val="00CA6911"/>
    <w:rsid w:val="00CA6D7C"/>
    <w:rsid w:val="00CA7248"/>
    <w:rsid w:val="00CA7533"/>
    <w:rsid w:val="00CB02E7"/>
    <w:rsid w:val="00CB0925"/>
    <w:rsid w:val="00CB09F9"/>
    <w:rsid w:val="00CB17FF"/>
    <w:rsid w:val="00CB1D64"/>
    <w:rsid w:val="00CB2204"/>
    <w:rsid w:val="00CB24B0"/>
    <w:rsid w:val="00CB2AE8"/>
    <w:rsid w:val="00CB2BBB"/>
    <w:rsid w:val="00CB2E22"/>
    <w:rsid w:val="00CB3830"/>
    <w:rsid w:val="00CB425F"/>
    <w:rsid w:val="00CB42D5"/>
    <w:rsid w:val="00CB49EE"/>
    <w:rsid w:val="00CB4C7C"/>
    <w:rsid w:val="00CB4FF4"/>
    <w:rsid w:val="00CB500F"/>
    <w:rsid w:val="00CB50D7"/>
    <w:rsid w:val="00CB63C5"/>
    <w:rsid w:val="00CB6B0C"/>
    <w:rsid w:val="00CB7177"/>
    <w:rsid w:val="00CB74BD"/>
    <w:rsid w:val="00CB7730"/>
    <w:rsid w:val="00CB7CED"/>
    <w:rsid w:val="00CC070F"/>
    <w:rsid w:val="00CC0730"/>
    <w:rsid w:val="00CC08C3"/>
    <w:rsid w:val="00CC0BD7"/>
    <w:rsid w:val="00CC0E45"/>
    <w:rsid w:val="00CC145E"/>
    <w:rsid w:val="00CC17FC"/>
    <w:rsid w:val="00CC18FD"/>
    <w:rsid w:val="00CC1998"/>
    <w:rsid w:val="00CC1F20"/>
    <w:rsid w:val="00CC3637"/>
    <w:rsid w:val="00CC369C"/>
    <w:rsid w:val="00CC3E4F"/>
    <w:rsid w:val="00CC4164"/>
    <w:rsid w:val="00CC41B7"/>
    <w:rsid w:val="00CC4946"/>
    <w:rsid w:val="00CC4ABB"/>
    <w:rsid w:val="00CC4ECD"/>
    <w:rsid w:val="00CC539A"/>
    <w:rsid w:val="00CC5535"/>
    <w:rsid w:val="00CC5812"/>
    <w:rsid w:val="00CC5AAF"/>
    <w:rsid w:val="00CC64A1"/>
    <w:rsid w:val="00CC6957"/>
    <w:rsid w:val="00CC749F"/>
    <w:rsid w:val="00CC74D6"/>
    <w:rsid w:val="00CC76DD"/>
    <w:rsid w:val="00CC77CB"/>
    <w:rsid w:val="00CD056E"/>
    <w:rsid w:val="00CD057F"/>
    <w:rsid w:val="00CD1472"/>
    <w:rsid w:val="00CD2475"/>
    <w:rsid w:val="00CD2505"/>
    <w:rsid w:val="00CD3B2C"/>
    <w:rsid w:val="00CD437A"/>
    <w:rsid w:val="00CD52DD"/>
    <w:rsid w:val="00CD56F2"/>
    <w:rsid w:val="00CD586F"/>
    <w:rsid w:val="00CD59A5"/>
    <w:rsid w:val="00CD5F47"/>
    <w:rsid w:val="00CD6AB4"/>
    <w:rsid w:val="00CD70B6"/>
    <w:rsid w:val="00CD7ABD"/>
    <w:rsid w:val="00CD7B7D"/>
    <w:rsid w:val="00CD7EED"/>
    <w:rsid w:val="00CE0A96"/>
    <w:rsid w:val="00CE1258"/>
    <w:rsid w:val="00CE1435"/>
    <w:rsid w:val="00CE15F7"/>
    <w:rsid w:val="00CE1D8C"/>
    <w:rsid w:val="00CE2695"/>
    <w:rsid w:val="00CE2BE2"/>
    <w:rsid w:val="00CE2E97"/>
    <w:rsid w:val="00CE3685"/>
    <w:rsid w:val="00CE3A20"/>
    <w:rsid w:val="00CE3D75"/>
    <w:rsid w:val="00CE3E7A"/>
    <w:rsid w:val="00CE419D"/>
    <w:rsid w:val="00CE429B"/>
    <w:rsid w:val="00CE432F"/>
    <w:rsid w:val="00CE4546"/>
    <w:rsid w:val="00CE4B3D"/>
    <w:rsid w:val="00CE5298"/>
    <w:rsid w:val="00CE6431"/>
    <w:rsid w:val="00CE68C4"/>
    <w:rsid w:val="00CE7A49"/>
    <w:rsid w:val="00CE7D04"/>
    <w:rsid w:val="00CF0BC5"/>
    <w:rsid w:val="00CF0E03"/>
    <w:rsid w:val="00CF0EA2"/>
    <w:rsid w:val="00CF1961"/>
    <w:rsid w:val="00CF1A0E"/>
    <w:rsid w:val="00CF2525"/>
    <w:rsid w:val="00CF2AA6"/>
    <w:rsid w:val="00CF2BF0"/>
    <w:rsid w:val="00CF30B9"/>
    <w:rsid w:val="00CF3694"/>
    <w:rsid w:val="00CF3B11"/>
    <w:rsid w:val="00CF46B2"/>
    <w:rsid w:val="00CF47F6"/>
    <w:rsid w:val="00CF4C10"/>
    <w:rsid w:val="00CF528A"/>
    <w:rsid w:val="00CF6CFB"/>
    <w:rsid w:val="00CF758F"/>
    <w:rsid w:val="00CF7C51"/>
    <w:rsid w:val="00CF7F30"/>
    <w:rsid w:val="00D0032A"/>
    <w:rsid w:val="00D00558"/>
    <w:rsid w:val="00D01B69"/>
    <w:rsid w:val="00D02489"/>
    <w:rsid w:val="00D02EA3"/>
    <w:rsid w:val="00D03077"/>
    <w:rsid w:val="00D03280"/>
    <w:rsid w:val="00D04124"/>
    <w:rsid w:val="00D041A5"/>
    <w:rsid w:val="00D045A3"/>
    <w:rsid w:val="00D0468C"/>
    <w:rsid w:val="00D0493B"/>
    <w:rsid w:val="00D049B1"/>
    <w:rsid w:val="00D04B71"/>
    <w:rsid w:val="00D04DA9"/>
    <w:rsid w:val="00D04F5E"/>
    <w:rsid w:val="00D05045"/>
    <w:rsid w:val="00D05EBD"/>
    <w:rsid w:val="00D06773"/>
    <w:rsid w:val="00D06849"/>
    <w:rsid w:val="00D06DDC"/>
    <w:rsid w:val="00D07496"/>
    <w:rsid w:val="00D077BC"/>
    <w:rsid w:val="00D07AC8"/>
    <w:rsid w:val="00D07E65"/>
    <w:rsid w:val="00D07FE0"/>
    <w:rsid w:val="00D102C9"/>
    <w:rsid w:val="00D10A61"/>
    <w:rsid w:val="00D10A9B"/>
    <w:rsid w:val="00D10D05"/>
    <w:rsid w:val="00D10E35"/>
    <w:rsid w:val="00D119E9"/>
    <w:rsid w:val="00D11B2D"/>
    <w:rsid w:val="00D11D41"/>
    <w:rsid w:val="00D12275"/>
    <w:rsid w:val="00D1252B"/>
    <w:rsid w:val="00D126BA"/>
    <w:rsid w:val="00D126F3"/>
    <w:rsid w:val="00D130F7"/>
    <w:rsid w:val="00D141A0"/>
    <w:rsid w:val="00D15C6A"/>
    <w:rsid w:val="00D1620C"/>
    <w:rsid w:val="00D163F9"/>
    <w:rsid w:val="00D1677B"/>
    <w:rsid w:val="00D1678A"/>
    <w:rsid w:val="00D16F25"/>
    <w:rsid w:val="00D17427"/>
    <w:rsid w:val="00D1753C"/>
    <w:rsid w:val="00D177E4"/>
    <w:rsid w:val="00D17964"/>
    <w:rsid w:val="00D17BC4"/>
    <w:rsid w:val="00D20123"/>
    <w:rsid w:val="00D20A60"/>
    <w:rsid w:val="00D20BC2"/>
    <w:rsid w:val="00D20CA2"/>
    <w:rsid w:val="00D20D95"/>
    <w:rsid w:val="00D20F42"/>
    <w:rsid w:val="00D20FF7"/>
    <w:rsid w:val="00D21624"/>
    <w:rsid w:val="00D21EF8"/>
    <w:rsid w:val="00D225DE"/>
    <w:rsid w:val="00D22AA1"/>
    <w:rsid w:val="00D22F2C"/>
    <w:rsid w:val="00D2312C"/>
    <w:rsid w:val="00D2366E"/>
    <w:rsid w:val="00D23C86"/>
    <w:rsid w:val="00D23FE4"/>
    <w:rsid w:val="00D24323"/>
    <w:rsid w:val="00D24586"/>
    <w:rsid w:val="00D24C02"/>
    <w:rsid w:val="00D24DD3"/>
    <w:rsid w:val="00D26092"/>
    <w:rsid w:val="00D26E3B"/>
    <w:rsid w:val="00D26EBD"/>
    <w:rsid w:val="00D270A4"/>
    <w:rsid w:val="00D2718B"/>
    <w:rsid w:val="00D27244"/>
    <w:rsid w:val="00D27393"/>
    <w:rsid w:val="00D27611"/>
    <w:rsid w:val="00D2771D"/>
    <w:rsid w:val="00D279E1"/>
    <w:rsid w:val="00D30020"/>
    <w:rsid w:val="00D301F3"/>
    <w:rsid w:val="00D302B6"/>
    <w:rsid w:val="00D302FB"/>
    <w:rsid w:val="00D31822"/>
    <w:rsid w:val="00D31FE9"/>
    <w:rsid w:val="00D3253F"/>
    <w:rsid w:val="00D33031"/>
    <w:rsid w:val="00D33127"/>
    <w:rsid w:val="00D333D6"/>
    <w:rsid w:val="00D33A75"/>
    <w:rsid w:val="00D344A2"/>
    <w:rsid w:val="00D3451F"/>
    <w:rsid w:val="00D34E1B"/>
    <w:rsid w:val="00D35524"/>
    <w:rsid w:val="00D356C2"/>
    <w:rsid w:val="00D35965"/>
    <w:rsid w:val="00D36667"/>
    <w:rsid w:val="00D36809"/>
    <w:rsid w:val="00D376BA"/>
    <w:rsid w:val="00D37E8B"/>
    <w:rsid w:val="00D37EBD"/>
    <w:rsid w:val="00D37ECD"/>
    <w:rsid w:val="00D40762"/>
    <w:rsid w:val="00D40B6B"/>
    <w:rsid w:val="00D40BD6"/>
    <w:rsid w:val="00D40CC2"/>
    <w:rsid w:val="00D40E59"/>
    <w:rsid w:val="00D41DA3"/>
    <w:rsid w:val="00D41EB1"/>
    <w:rsid w:val="00D4253F"/>
    <w:rsid w:val="00D42763"/>
    <w:rsid w:val="00D434A0"/>
    <w:rsid w:val="00D43697"/>
    <w:rsid w:val="00D437A3"/>
    <w:rsid w:val="00D43A2D"/>
    <w:rsid w:val="00D43BA3"/>
    <w:rsid w:val="00D44791"/>
    <w:rsid w:val="00D448B6"/>
    <w:rsid w:val="00D44A7B"/>
    <w:rsid w:val="00D453AA"/>
    <w:rsid w:val="00D45634"/>
    <w:rsid w:val="00D45B3E"/>
    <w:rsid w:val="00D46261"/>
    <w:rsid w:val="00D46623"/>
    <w:rsid w:val="00D46B61"/>
    <w:rsid w:val="00D4710F"/>
    <w:rsid w:val="00D47354"/>
    <w:rsid w:val="00D474DC"/>
    <w:rsid w:val="00D47587"/>
    <w:rsid w:val="00D47B1F"/>
    <w:rsid w:val="00D47C7D"/>
    <w:rsid w:val="00D50001"/>
    <w:rsid w:val="00D50ABB"/>
    <w:rsid w:val="00D50ED2"/>
    <w:rsid w:val="00D510F1"/>
    <w:rsid w:val="00D511F3"/>
    <w:rsid w:val="00D5168A"/>
    <w:rsid w:val="00D516CB"/>
    <w:rsid w:val="00D519D4"/>
    <w:rsid w:val="00D51B19"/>
    <w:rsid w:val="00D52838"/>
    <w:rsid w:val="00D52D0E"/>
    <w:rsid w:val="00D545C0"/>
    <w:rsid w:val="00D54ACF"/>
    <w:rsid w:val="00D5568A"/>
    <w:rsid w:val="00D56009"/>
    <w:rsid w:val="00D566A1"/>
    <w:rsid w:val="00D56C15"/>
    <w:rsid w:val="00D56DF9"/>
    <w:rsid w:val="00D577FD"/>
    <w:rsid w:val="00D57BE9"/>
    <w:rsid w:val="00D57C19"/>
    <w:rsid w:val="00D57C7C"/>
    <w:rsid w:val="00D6014F"/>
    <w:rsid w:val="00D60C02"/>
    <w:rsid w:val="00D611C9"/>
    <w:rsid w:val="00D618B7"/>
    <w:rsid w:val="00D61C24"/>
    <w:rsid w:val="00D623CC"/>
    <w:rsid w:val="00D62F05"/>
    <w:rsid w:val="00D63086"/>
    <w:rsid w:val="00D635C4"/>
    <w:rsid w:val="00D636D8"/>
    <w:rsid w:val="00D63A22"/>
    <w:rsid w:val="00D63D73"/>
    <w:rsid w:val="00D63E6B"/>
    <w:rsid w:val="00D64000"/>
    <w:rsid w:val="00D64452"/>
    <w:rsid w:val="00D64E15"/>
    <w:rsid w:val="00D64EC5"/>
    <w:rsid w:val="00D65B3E"/>
    <w:rsid w:val="00D661A7"/>
    <w:rsid w:val="00D6674C"/>
    <w:rsid w:val="00D66DEE"/>
    <w:rsid w:val="00D66E1E"/>
    <w:rsid w:val="00D67409"/>
    <w:rsid w:val="00D676CE"/>
    <w:rsid w:val="00D676F3"/>
    <w:rsid w:val="00D6782B"/>
    <w:rsid w:val="00D67900"/>
    <w:rsid w:val="00D67E78"/>
    <w:rsid w:val="00D70696"/>
    <w:rsid w:val="00D70A71"/>
    <w:rsid w:val="00D70AE4"/>
    <w:rsid w:val="00D70BFC"/>
    <w:rsid w:val="00D70CF4"/>
    <w:rsid w:val="00D70E93"/>
    <w:rsid w:val="00D70F96"/>
    <w:rsid w:val="00D71620"/>
    <w:rsid w:val="00D71B76"/>
    <w:rsid w:val="00D71EF8"/>
    <w:rsid w:val="00D720FA"/>
    <w:rsid w:val="00D721DE"/>
    <w:rsid w:val="00D722CE"/>
    <w:rsid w:val="00D722E7"/>
    <w:rsid w:val="00D735D5"/>
    <w:rsid w:val="00D735F0"/>
    <w:rsid w:val="00D73AD2"/>
    <w:rsid w:val="00D73BF8"/>
    <w:rsid w:val="00D73E3C"/>
    <w:rsid w:val="00D7445D"/>
    <w:rsid w:val="00D74927"/>
    <w:rsid w:val="00D74A19"/>
    <w:rsid w:val="00D754BF"/>
    <w:rsid w:val="00D75722"/>
    <w:rsid w:val="00D75839"/>
    <w:rsid w:val="00D75875"/>
    <w:rsid w:val="00D75AA7"/>
    <w:rsid w:val="00D7621F"/>
    <w:rsid w:val="00D76B7F"/>
    <w:rsid w:val="00D76DF0"/>
    <w:rsid w:val="00D77809"/>
    <w:rsid w:val="00D77A4C"/>
    <w:rsid w:val="00D77C17"/>
    <w:rsid w:val="00D77D97"/>
    <w:rsid w:val="00D77E00"/>
    <w:rsid w:val="00D801A7"/>
    <w:rsid w:val="00D802BF"/>
    <w:rsid w:val="00D80CF5"/>
    <w:rsid w:val="00D80EA0"/>
    <w:rsid w:val="00D80F45"/>
    <w:rsid w:val="00D80F5B"/>
    <w:rsid w:val="00D81267"/>
    <w:rsid w:val="00D81B9E"/>
    <w:rsid w:val="00D81ED1"/>
    <w:rsid w:val="00D824FF"/>
    <w:rsid w:val="00D83ABF"/>
    <w:rsid w:val="00D83DEA"/>
    <w:rsid w:val="00D83F72"/>
    <w:rsid w:val="00D847D5"/>
    <w:rsid w:val="00D84C0E"/>
    <w:rsid w:val="00D86871"/>
    <w:rsid w:val="00D86E06"/>
    <w:rsid w:val="00D87870"/>
    <w:rsid w:val="00D87ABB"/>
    <w:rsid w:val="00D90731"/>
    <w:rsid w:val="00D91365"/>
    <w:rsid w:val="00D91894"/>
    <w:rsid w:val="00D91BCF"/>
    <w:rsid w:val="00D92FD4"/>
    <w:rsid w:val="00D93162"/>
    <w:rsid w:val="00D93169"/>
    <w:rsid w:val="00D9334D"/>
    <w:rsid w:val="00D937B6"/>
    <w:rsid w:val="00D938D7"/>
    <w:rsid w:val="00D93AE2"/>
    <w:rsid w:val="00D94284"/>
    <w:rsid w:val="00D9440F"/>
    <w:rsid w:val="00D9461D"/>
    <w:rsid w:val="00D948FD"/>
    <w:rsid w:val="00D94B2C"/>
    <w:rsid w:val="00D94BE0"/>
    <w:rsid w:val="00D94D86"/>
    <w:rsid w:val="00D94DC8"/>
    <w:rsid w:val="00D95724"/>
    <w:rsid w:val="00D9637E"/>
    <w:rsid w:val="00D963B1"/>
    <w:rsid w:val="00D9642B"/>
    <w:rsid w:val="00D965BC"/>
    <w:rsid w:val="00D97290"/>
    <w:rsid w:val="00DA0448"/>
    <w:rsid w:val="00DA07EF"/>
    <w:rsid w:val="00DA09D8"/>
    <w:rsid w:val="00DA0A7C"/>
    <w:rsid w:val="00DA1057"/>
    <w:rsid w:val="00DA1A99"/>
    <w:rsid w:val="00DA1D49"/>
    <w:rsid w:val="00DA23D0"/>
    <w:rsid w:val="00DA23D9"/>
    <w:rsid w:val="00DA2BDD"/>
    <w:rsid w:val="00DA34E2"/>
    <w:rsid w:val="00DA4150"/>
    <w:rsid w:val="00DA422F"/>
    <w:rsid w:val="00DA4322"/>
    <w:rsid w:val="00DA4497"/>
    <w:rsid w:val="00DA477C"/>
    <w:rsid w:val="00DA4CFC"/>
    <w:rsid w:val="00DA4D8B"/>
    <w:rsid w:val="00DA4DE7"/>
    <w:rsid w:val="00DA582A"/>
    <w:rsid w:val="00DA584A"/>
    <w:rsid w:val="00DA5AAE"/>
    <w:rsid w:val="00DA5BBA"/>
    <w:rsid w:val="00DA65CB"/>
    <w:rsid w:val="00DA6DD6"/>
    <w:rsid w:val="00DA6EB3"/>
    <w:rsid w:val="00DA738A"/>
    <w:rsid w:val="00DA7963"/>
    <w:rsid w:val="00DB0C3A"/>
    <w:rsid w:val="00DB17AF"/>
    <w:rsid w:val="00DB1C56"/>
    <w:rsid w:val="00DB1E62"/>
    <w:rsid w:val="00DB24C6"/>
    <w:rsid w:val="00DB26D2"/>
    <w:rsid w:val="00DB2E22"/>
    <w:rsid w:val="00DB3157"/>
    <w:rsid w:val="00DB3DDB"/>
    <w:rsid w:val="00DB42AF"/>
    <w:rsid w:val="00DB4DB2"/>
    <w:rsid w:val="00DB5175"/>
    <w:rsid w:val="00DB52B4"/>
    <w:rsid w:val="00DB5DC9"/>
    <w:rsid w:val="00DB5E17"/>
    <w:rsid w:val="00DB67C9"/>
    <w:rsid w:val="00DB68AD"/>
    <w:rsid w:val="00DC082A"/>
    <w:rsid w:val="00DC0C95"/>
    <w:rsid w:val="00DC0CD5"/>
    <w:rsid w:val="00DC1126"/>
    <w:rsid w:val="00DC1795"/>
    <w:rsid w:val="00DC18CC"/>
    <w:rsid w:val="00DC1E34"/>
    <w:rsid w:val="00DC203B"/>
    <w:rsid w:val="00DC205E"/>
    <w:rsid w:val="00DC22B7"/>
    <w:rsid w:val="00DC25F1"/>
    <w:rsid w:val="00DC2CEE"/>
    <w:rsid w:val="00DC2DBD"/>
    <w:rsid w:val="00DC2F06"/>
    <w:rsid w:val="00DC30EC"/>
    <w:rsid w:val="00DC3266"/>
    <w:rsid w:val="00DC3926"/>
    <w:rsid w:val="00DC3F09"/>
    <w:rsid w:val="00DC3FE8"/>
    <w:rsid w:val="00DC4CAC"/>
    <w:rsid w:val="00DC4F0B"/>
    <w:rsid w:val="00DC5721"/>
    <w:rsid w:val="00DC579E"/>
    <w:rsid w:val="00DC5FD6"/>
    <w:rsid w:val="00DC6593"/>
    <w:rsid w:val="00DC7F7B"/>
    <w:rsid w:val="00DD02D4"/>
    <w:rsid w:val="00DD0841"/>
    <w:rsid w:val="00DD0A2B"/>
    <w:rsid w:val="00DD1728"/>
    <w:rsid w:val="00DD21E8"/>
    <w:rsid w:val="00DD2879"/>
    <w:rsid w:val="00DD34EF"/>
    <w:rsid w:val="00DD36C7"/>
    <w:rsid w:val="00DD3DFC"/>
    <w:rsid w:val="00DD3F3F"/>
    <w:rsid w:val="00DD4085"/>
    <w:rsid w:val="00DD4888"/>
    <w:rsid w:val="00DD4EAF"/>
    <w:rsid w:val="00DD547D"/>
    <w:rsid w:val="00DD57E6"/>
    <w:rsid w:val="00DD5C32"/>
    <w:rsid w:val="00DD6580"/>
    <w:rsid w:val="00DD7A73"/>
    <w:rsid w:val="00DD7C63"/>
    <w:rsid w:val="00DE0CD4"/>
    <w:rsid w:val="00DE0D03"/>
    <w:rsid w:val="00DE0D59"/>
    <w:rsid w:val="00DE0D81"/>
    <w:rsid w:val="00DE0F8B"/>
    <w:rsid w:val="00DE1495"/>
    <w:rsid w:val="00DE17F6"/>
    <w:rsid w:val="00DE184A"/>
    <w:rsid w:val="00DE185D"/>
    <w:rsid w:val="00DE1BC0"/>
    <w:rsid w:val="00DE1C8D"/>
    <w:rsid w:val="00DE1FDC"/>
    <w:rsid w:val="00DE2E03"/>
    <w:rsid w:val="00DE2F59"/>
    <w:rsid w:val="00DE38A3"/>
    <w:rsid w:val="00DE3B30"/>
    <w:rsid w:val="00DE5F60"/>
    <w:rsid w:val="00DE6F68"/>
    <w:rsid w:val="00DE7097"/>
    <w:rsid w:val="00DE7A61"/>
    <w:rsid w:val="00DE7B39"/>
    <w:rsid w:val="00DF099E"/>
    <w:rsid w:val="00DF0A3E"/>
    <w:rsid w:val="00DF0ACA"/>
    <w:rsid w:val="00DF1038"/>
    <w:rsid w:val="00DF14CE"/>
    <w:rsid w:val="00DF1997"/>
    <w:rsid w:val="00DF1B2D"/>
    <w:rsid w:val="00DF221B"/>
    <w:rsid w:val="00DF37E4"/>
    <w:rsid w:val="00DF38D7"/>
    <w:rsid w:val="00DF3A08"/>
    <w:rsid w:val="00DF3CB6"/>
    <w:rsid w:val="00DF4A02"/>
    <w:rsid w:val="00DF593E"/>
    <w:rsid w:val="00DF5BB0"/>
    <w:rsid w:val="00DF6618"/>
    <w:rsid w:val="00DF6973"/>
    <w:rsid w:val="00DF7D4E"/>
    <w:rsid w:val="00DF7E17"/>
    <w:rsid w:val="00DF7E79"/>
    <w:rsid w:val="00E000C2"/>
    <w:rsid w:val="00E005E7"/>
    <w:rsid w:val="00E00EE9"/>
    <w:rsid w:val="00E00FF8"/>
    <w:rsid w:val="00E011E8"/>
    <w:rsid w:val="00E016CA"/>
    <w:rsid w:val="00E01D2A"/>
    <w:rsid w:val="00E01D7F"/>
    <w:rsid w:val="00E01EF5"/>
    <w:rsid w:val="00E025C7"/>
    <w:rsid w:val="00E02680"/>
    <w:rsid w:val="00E0270E"/>
    <w:rsid w:val="00E02B74"/>
    <w:rsid w:val="00E02F87"/>
    <w:rsid w:val="00E0325F"/>
    <w:rsid w:val="00E03588"/>
    <w:rsid w:val="00E0379E"/>
    <w:rsid w:val="00E03A32"/>
    <w:rsid w:val="00E03FE8"/>
    <w:rsid w:val="00E04AE6"/>
    <w:rsid w:val="00E04E57"/>
    <w:rsid w:val="00E05C03"/>
    <w:rsid w:val="00E063C1"/>
    <w:rsid w:val="00E06446"/>
    <w:rsid w:val="00E06917"/>
    <w:rsid w:val="00E0749C"/>
    <w:rsid w:val="00E07613"/>
    <w:rsid w:val="00E07755"/>
    <w:rsid w:val="00E10102"/>
    <w:rsid w:val="00E10DEC"/>
    <w:rsid w:val="00E111FB"/>
    <w:rsid w:val="00E11367"/>
    <w:rsid w:val="00E1166E"/>
    <w:rsid w:val="00E119F8"/>
    <w:rsid w:val="00E11AFF"/>
    <w:rsid w:val="00E11EF2"/>
    <w:rsid w:val="00E11FA1"/>
    <w:rsid w:val="00E1227B"/>
    <w:rsid w:val="00E1232D"/>
    <w:rsid w:val="00E12BE0"/>
    <w:rsid w:val="00E12CFD"/>
    <w:rsid w:val="00E13030"/>
    <w:rsid w:val="00E1426F"/>
    <w:rsid w:val="00E146EE"/>
    <w:rsid w:val="00E146F1"/>
    <w:rsid w:val="00E155EB"/>
    <w:rsid w:val="00E157E8"/>
    <w:rsid w:val="00E15D1B"/>
    <w:rsid w:val="00E160BB"/>
    <w:rsid w:val="00E16560"/>
    <w:rsid w:val="00E166FD"/>
    <w:rsid w:val="00E17044"/>
    <w:rsid w:val="00E17C72"/>
    <w:rsid w:val="00E203CF"/>
    <w:rsid w:val="00E21687"/>
    <w:rsid w:val="00E21D1D"/>
    <w:rsid w:val="00E21E99"/>
    <w:rsid w:val="00E21ECB"/>
    <w:rsid w:val="00E21FC6"/>
    <w:rsid w:val="00E224B9"/>
    <w:rsid w:val="00E22610"/>
    <w:rsid w:val="00E23239"/>
    <w:rsid w:val="00E234B6"/>
    <w:rsid w:val="00E23E95"/>
    <w:rsid w:val="00E25585"/>
    <w:rsid w:val="00E263EE"/>
    <w:rsid w:val="00E2652B"/>
    <w:rsid w:val="00E26945"/>
    <w:rsid w:val="00E269B8"/>
    <w:rsid w:val="00E274F4"/>
    <w:rsid w:val="00E309CD"/>
    <w:rsid w:val="00E30FCC"/>
    <w:rsid w:val="00E31EC2"/>
    <w:rsid w:val="00E324E7"/>
    <w:rsid w:val="00E32640"/>
    <w:rsid w:val="00E32958"/>
    <w:rsid w:val="00E32C47"/>
    <w:rsid w:val="00E32CDC"/>
    <w:rsid w:val="00E332A4"/>
    <w:rsid w:val="00E332DD"/>
    <w:rsid w:val="00E33671"/>
    <w:rsid w:val="00E337F1"/>
    <w:rsid w:val="00E33AC6"/>
    <w:rsid w:val="00E342B1"/>
    <w:rsid w:val="00E3447B"/>
    <w:rsid w:val="00E3479B"/>
    <w:rsid w:val="00E350E1"/>
    <w:rsid w:val="00E362CB"/>
    <w:rsid w:val="00E3685C"/>
    <w:rsid w:val="00E36AD7"/>
    <w:rsid w:val="00E373CB"/>
    <w:rsid w:val="00E37596"/>
    <w:rsid w:val="00E4016C"/>
    <w:rsid w:val="00E4056F"/>
    <w:rsid w:val="00E406BA"/>
    <w:rsid w:val="00E40F73"/>
    <w:rsid w:val="00E419CF"/>
    <w:rsid w:val="00E42042"/>
    <w:rsid w:val="00E4249C"/>
    <w:rsid w:val="00E427DF"/>
    <w:rsid w:val="00E428F3"/>
    <w:rsid w:val="00E431A9"/>
    <w:rsid w:val="00E440C8"/>
    <w:rsid w:val="00E44A35"/>
    <w:rsid w:val="00E44B98"/>
    <w:rsid w:val="00E44CA5"/>
    <w:rsid w:val="00E45875"/>
    <w:rsid w:val="00E45CC6"/>
    <w:rsid w:val="00E46E23"/>
    <w:rsid w:val="00E472CF"/>
    <w:rsid w:val="00E47912"/>
    <w:rsid w:val="00E47AA5"/>
    <w:rsid w:val="00E47E1E"/>
    <w:rsid w:val="00E513F6"/>
    <w:rsid w:val="00E51698"/>
    <w:rsid w:val="00E5183F"/>
    <w:rsid w:val="00E51961"/>
    <w:rsid w:val="00E52486"/>
    <w:rsid w:val="00E52B90"/>
    <w:rsid w:val="00E52C86"/>
    <w:rsid w:val="00E532FF"/>
    <w:rsid w:val="00E5353F"/>
    <w:rsid w:val="00E53667"/>
    <w:rsid w:val="00E53B01"/>
    <w:rsid w:val="00E53C31"/>
    <w:rsid w:val="00E5413A"/>
    <w:rsid w:val="00E54BF5"/>
    <w:rsid w:val="00E554C5"/>
    <w:rsid w:val="00E554EB"/>
    <w:rsid w:val="00E55C49"/>
    <w:rsid w:val="00E56939"/>
    <w:rsid w:val="00E569BC"/>
    <w:rsid w:val="00E56E75"/>
    <w:rsid w:val="00E575C7"/>
    <w:rsid w:val="00E576BB"/>
    <w:rsid w:val="00E57987"/>
    <w:rsid w:val="00E601A5"/>
    <w:rsid w:val="00E603A0"/>
    <w:rsid w:val="00E60672"/>
    <w:rsid w:val="00E6072C"/>
    <w:rsid w:val="00E60927"/>
    <w:rsid w:val="00E6227F"/>
    <w:rsid w:val="00E62693"/>
    <w:rsid w:val="00E62902"/>
    <w:rsid w:val="00E630F3"/>
    <w:rsid w:val="00E638ED"/>
    <w:rsid w:val="00E6467E"/>
    <w:rsid w:val="00E64A8C"/>
    <w:rsid w:val="00E65960"/>
    <w:rsid w:val="00E65BB5"/>
    <w:rsid w:val="00E663B6"/>
    <w:rsid w:val="00E669E2"/>
    <w:rsid w:val="00E66AD5"/>
    <w:rsid w:val="00E66F0C"/>
    <w:rsid w:val="00E6708F"/>
    <w:rsid w:val="00E67272"/>
    <w:rsid w:val="00E672F7"/>
    <w:rsid w:val="00E673DF"/>
    <w:rsid w:val="00E675B6"/>
    <w:rsid w:val="00E675FC"/>
    <w:rsid w:val="00E67692"/>
    <w:rsid w:val="00E676A8"/>
    <w:rsid w:val="00E6792D"/>
    <w:rsid w:val="00E67A5D"/>
    <w:rsid w:val="00E67B90"/>
    <w:rsid w:val="00E705E4"/>
    <w:rsid w:val="00E70BCE"/>
    <w:rsid w:val="00E70C36"/>
    <w:rsid w:val="00E70EBF"/>
    <w:rsid w:val="00E711A9"/>
    <w:rsid w:val="00E7133C"/>
    <w:rsid w:val="00E71442"/>
    <w:rsid w:val="00E715C7"/>
    <w:rsid w:val="00E717BB"/>
    <w:rsid w:val="00E719B7"/>
    <w:rsid w:val="00E72198"/>
    <w:rsid w:val="00E72740"/>
    <w:rsid w:val="00E72FC4"/>
    <w:rsid w:val="00E7302B"/>
    <w:rsid w:val="00E732D6"/>
    <w:rsid w:val="00E7368F"/>
    <w:rsid w:val="00E73C5E"/>
    <w:rsid w:val="00E74FF2"/>
    <w:rsid w:val="00E75398"/>
    <w:rsid w:val="00E75C78"/>
    <w:rsid w:val="00E75CF5"/>
    <w:rsid w:val="00E75F43"/>
    <w:rsid w:val="00E75FF0"/>
    <w:rsid w:val="00E76135"/>
    <w:rsid w:val="00E763A5"/>
    <w:rsid w:val="00E765D0"/>
    <w:rsid w:val="00E76671"/>
    <w:rsid w:val="00E7731B"/>
    <w:rsid w:val="00E77420"/>
    <w:rsid w:val="00E7783A"/>
    <w:rsid w:val="00E778CB"/>
    <w:rsid w:val="00E77F3C"/>
    <w:rsid w:val="00E812E6"/>
    <w:rsid w:val="00E81325"/>
    <w:rsid w:val="00E815F5"/>
    <w:rsid w:val="00E81BA5"/>
    <w:rsid w:val="00E81D83"/>
    <w:rsid w:val="00E8207A"/>
    <w:rsid w:val="00E82367"/>
    <w:rsid w:val="00E82524"/>
    <w:rsid w:val="00E82902"/>
    <w:rsid w:val="00E82B4E"/>
    <w:rsid w:val="00E82F4F"/>
    <w:rsid w:val="00E8359B"/>
    <w:rsid w:val="00E84406"/>
    <w:rsid w:val="00E84DEC"/>
    <w:rsid w:val="00E85617"/>
    <w:rsid w:val="00E85CCE"/>
    <w:rsid w:val="00E864DF"/>
    <w:rsid w:val="00E86FF0"/>
    <w:rsid w:val="00E90C0F"/>
    <w:rsid w:val="00E920F0"/>
    <w:rsid w:val="00E9235A"/>
    <w:rsid w:val="00E92D65"/>
    <w:rsid w:val="00E932D3"/>
    <w:rsid w:val="00E938E4"/>
    <w:rsid w:val="00E93A9B"/>
    <w:rsid w:val="00E93BC0"/>
    <w:rsid w:val="00E93ED9"/>
    <w:rsid w:val="00E93FA2"/>
    <w:rsid w:val="00E945A0"/>
    <w:rsid w:val="00E94681"/>
    <w:rsid w:val="00E946EF"/>
    <w:rsid w:val="00E94BEB"/>
    <w:rsid w:val="00E94E87"/>
    <w:rsid w:val="00E9506F"/>
    <w:rsid w:val="00E954DE"/>
    <w:rsid w:val="00E9573E"/>
    <w:rsid w:val="00E95BDC"/>
    <w:rsid w:val="00E95C04"/>
    <w:rsid w:val="00E96533"/>
    <w:rsid w:val="00E968CB"/>
    <w:rsid w:val="00E972E6"/>
    <w:rsid w:val="00E975E6"/>
    <w:rsid w:val="00E97A3E"/>
    <w:rsid w:val="00E97CFD"/>
    <w:rsid w:val="00EA09B8"/>
    <w:rsid w:val="00EA17D1"/>
    <w:rsid w:val="00EA1CC2"/>
    <w:rsid w:val="00EA1D7B"/>
    <w:rsid w:val="00EA1EFE"/>
    <w:rsid w:val="00EA2EE8"/>
    <w:rsid w:val="00EA2F95"/>
    <w:rsid w:val="00EA370E"/>
    <w:rsid w:val="00EA37A2"/>
    <w:rsid w:val="00EA3D51"/>
    <w:rsid w:val="00EA4ECE"/>
    <w:rsid w:val="00EA50C1"/>
    <w:rsid w:val="00EA5160"/>
    <w:rsid w:val="00EA55B3"/>
    <w:rsid w:val="00EA589C"/>
    <w:rsid w:val="00EA5900"/>
    <w:rsid w:val="00EA630A"/>
    <w:rsid w:val="00EA6C60"/>
    <w:rsid w:val="00EA7174"/>
    <w:rsid w:val="00EA725F"/>
    <w:rsid w:val="00EA7401"/>
    <w:rsid w:val="00EA7C1E"/>
    <w:rsid w:val="00EB0504"/>
    <w:rsid w:val="00EB0D66"/>
    <w:rsid w:val="00EB0E85"/>
    <w:rsid w:val="00EB0F3A"/>
    <w:rsid w:val="00EB1349"/>
    <w:rsid w:val="00EB1994"/>
    <w:rsid w:val="00EB2201"/>
    <w:rsid w:val="00EB26F1"/>
    <w:rsid w:val="00EB29F1"/>
    <w:rsid w:val="00EB2CC3"/>
    <w:rsid w:val="00EB3027"/>
    <w:rsid w:val="00EB463E"/>
    <w:rsid w:val="00EB5277"/>
    <w:rsid w:val="00EB588A"/>
    <w:rsid w:val="00EB5998"/>
    <w:rsid w:val="00EB5B6B"/>
    <w:rsid w:val="00EB6506"/>
    <w:rsid w:val="00EB655B"/>
    <w:rsid w:val="00EB7257"/>
    <w:rsid w:val="00EB76E0"/>
    <w:rsid w:val="00EB7E43"/>
    <w:rsid w:val="00EB7F10"/>
    <w:rsid w:val="00EC0297"/>
    <w:rsid w:val="00EC0459"/>
    <w:rsid w:val="00EC0508"/>
    <w:rsid w:val="00EC0B41"/>
    <w:rsid w:val="00EC1973"/>
    <w:rsid w:val="00EC1D49"/>
    <w:rsid w:val="00EC2256"/>
    <w:rsid w:val="00EC2844"/>
    <w:rsid w:val="00EC2FDF"/>
    <w:rsid w:val="00EC3393"/>
    <w:rsid w:val="00EC3D8B"/>
    <w:rsid w:val="00EC44CE"/>
    <w:rsid w:val="00EC455C"/>
    <w:rsid w:val="00EC4AE2"/>
    <w:rsid w:val="00EC4E06"/>
    <w:rsid w:val="00EC5089"/>
    <w:rsid w:val="00EC52A1"/>
    <w:rsid w:val="00EC54A1"/>
    <w:rsid w:val="00EC5500"/>
    <w:rsid w:val="00EC64B6"/>
    <w:rsid w:val="00EC674F"/>
    <w:rsid w:val="00EC6A97"/>
    <w:rsid w:val="00EC6E38"/>
    <w:rsid w:val="00EC6EF8"/>
    <w:rsid w:val="00EC78FA"/>
    <w:rsid w:val="00EC7B58"/>
    <w:rsid w:val="00EC7C3B"/>
    <w:rsid w:val="00ED0385"/>
    <w:rsid w:val="00ED086C"/>
    <w:rsid w:val="00ED0AB7"/>
    <w:rsid w:val="00ED0BA1"/>
    <w:rsid w:val="00ED0BFA"/>
    <w:rsid w:val="00ED0E68"/>
    <w:rsid w:val="00ED1045"/>
    <w:rsid w:val="00ED1198"/>
    <w:rsid w:val="00ED12FF"/>
    <w:rsid w:val="00ED15F8"/>
    <w:rsid w:val="00ED18F8"/>
    <w:rsid w:val="00ED196A"/>
    <w:rsid w:val="00ED19B2"/>
    <w:rsid w:val="00ED2164"/>
    <w:rsid w:val="00ED2709"/>
    <w:rsid w:val="00ED2778"/>
    <w:rsid w:val="00ED2A1C"/>
    <w:rsid w:val="00ED2AC1"/>
    <w:rsid w:val="00ED2AFF"/>
    <w:rsid w:val="00ED30A0"/>
    <w:rsid w:val="00ED3587"/>
    <w:rsid w:val="00ED388D"/>
    <w:rsid w:val="00ED41AE"/>
    <w:rsid w:val="00ED5704"/>
    <w:rsid w:val="00ED5B75"/>
    <w:rsid w:val="00ED5CB4"/>
    <w:rsid w:val="00ED6360"/>
    <w:rsid w:val="00ED6B3D"/>
    <w:rsid w:val="00ED762D"/>
    <w:rsid w:val="00ED7AD1"/>
    <w:rsid w:val="00ED7F69"/>
    <w:rsid w:val="00EE025A"/>
    <w:rsid w:val="00EE08AB"/>
    <w:rsid w:val="00EE1DA6"/>
    <w:rsid w:val="00EE1E07"/>
    <w:rsid w:val="00EE2D77"/>
    <w:rsid w:val="00EE2F3B"/>
    <w:rsid w:val="00EE3B1A"/>
    <w:rsid w:val="00EE3C6C"/>
    <w:rsid w:val="00EE3DF7"/>
    <w:rsid w:val="00EE48BF"/>
    <w:rsid w:val="00EE4E2E"/>
    <w:rsid w:val="00EE4FC5"/>
    <w:rsid w:val="00EE500A"/>
    <w:rsid w:val="00EE51DB"/>
    <w:rsid w:val="00EE58A8"/>
    <w:rsid w:val="00EE5BFE"/>
    <w:rsid w:val="00EE5E2A"/>
    <w:rsid w:val="00EE5FEA"/>
    <w:rsid w:val="00EE60BA"/>
    <w:rsid w:val="00EE699E"/>
    <w:rsid w:val="00EE6EDA"/>
    <w:rsid w:val="00EE7560"/>
    <w:rsid w:val="00EE76F8"/>
    <w:rsid w:val="00EE778E"/>
    <w:rsid w:val="00EF0122"/>
    <w:rsid w:val="00EF1A6E"/>
    <w:rsid w:val="00EF25B4"/>
    <w:rsid w:val="00EF2864"/>
    <w:rsid w:val="00EF2E75"/>
    <w:rsid w:val="00EF2F5E"/>
    <w:rsid w:val="00EF2FD9"/>
    <w:rsid w:val="00EF3202"/>
    <w:rsid w:val="00EF3342"/>
    <w:rsid w:val="00EF3CFD"/>
    <w:rsid w:val="00EF48BB"/>
    <w:rsid w:val="00EF49D7"/>
    <w:rsid w:val="00EF4D36"/>
    <w:rsid w:val="00EF4FBD"/>
    <w:rsid w:val="00EF5377"/>
    <w:rsid w:val="00EF64C5"/>
    <w:rsid w:val="00EF6693"/>
    <w:rsid w:val="00EF6719"/>
    <w:rsid w:val="00EF6C67"/>
    <w:rsid w:val="00EF6C6C"/>
    <w:rsid w:val="00EF6DDF"/>
    <w:rsid w:val="00EF729C"/>
    <w:rsid w:val="00EF7370"/>
    <w:rsid w:val="00EF77CA"/>
    <w:rsid w:val="00EF7CAF"/>
    <w:rsid w:val="00F015D1"/>
    <w:rsid w:val="00F01B1C"/>
    <w:rsid w:val="00F02212"/>
    <w:rsid w:val="00F024E1"/>
    <w:rsid w:val="00F0292C"/>
    <w:rsid w:val="00F03CBB"/>
    <w:rsid w:val="00F03F7C"/>
    <w:rsid w:val="00F03FD4"/>
    <w:rsid w:val="00F0519F"/>
    <w:rsid w:val="00F0535E"/>
    <w:rsid w:val="00F05534"/>
    <w:rsid w:val="00F056FC"/>
    <w:rsid w:val="00F05A3E"/>
    <w:rsid w:val="00F05C31"/>
    <w:rsid w:val="00F05C88"/>
    <w:rsid w:val="00F05DCC"/>
    <w:rsid w:val="00F0632F"/>
    <w:rsid w:val="00F06924"/>
    <w:rsid w:val="00F06975"/>
    <w:rsid w:val="00F069AE"/>
    <w:rsid w:val="00F06FE8"/>
    <w:rsid w:val="00F10330"/>
    <w:rsid w:val="00F10476"/>
    <w:rsid w:val="00F104E0"/>
    <w:rsid w:val="00F10D21"/>
    <w:rsid w:val="00F11433"/>
    <w:rsid w:val="00F115F8"/>
    <w:rsid w:val="00F11969"/>
    <w:rsid w:val="00F120FC"/>
    <w:rsid w:val="00F12CD7"/>
    <w:rsid w:val="00F13335"/>
    <w:rsid w:val="00F13417"/>
    <w:rsid w:val="00F135D8"/>
    <w:rsid w:val="00F1457E"/>
    <w:rsid w:val="00F14B8B"/>
    <w:rsid w:val="00F15595"/>
    <w:rsid w:val="00F15660"/>
    <w:rsid w:val="00F16141"/>
    <w:rsid w:val="00F162F6"/>
    <w:rsid w:val="00F166C5"/>
    <w:rsid w:val="00F16EEF"/>
    <w:rsid w:val="00F16FE2"/>
    <w:rsid w:val="00F170DA"/>
    <w:rsid w:val="00F1742F"/>
    <w:rsid w:val="00F17D1E"/>
    <w:rsid w:val="00F2009D"/>
    <w:rsid w:val="00F205C3"/>
    <w:rsid w:val="00F210B8"/>
    <w:rsid w:val="00F21452"/>
    <w:rsid w:val="00F214CF"/>
    <w:rsid w:val="00F220CF"/>
    <w:rsid w:val="00F227D7"/>
    <w:rsid w:val="00F22946"/>
    <w:rsid w:val="00F22DBF"/>
    <w:rsid w:val="00F23C7B"/>
    <w:rsid w:val="00F243BF"/>
    <w:rsid w:val="00F249D3"/>
    <w:rsid w:val="00F24F59"/>
    <w:rsid w:val="00F25034"/>
    <w:rsid w:val="00F25138"/>
    <w:rsid w:val="00F258BE"/>
    <w:rsid w:val="00F265D5"/>
    <w:rsid w:val="00F269D7"/>
    <w:rsid w:val="00F27CBD"/>
    <w:rsid w:val="00F3046D"/>
    <w:rsid w:val="00F30C23"/>
    <w:rsid w:val="00F31121"/>
    <w:rsid w:val="00F31299"/>
    <w:rsid w:val="00F31593"/>
    <w:rsid w:val="00F31CD9"/>
    <w:rsid w:val="00F31E03"/>
    <w:rsid w:val="00F324E5"/>
    <w:rsid w:val="00F32799"/>
    <w:rsid w:val="00F32820"/>
    <w:rsid w:val="00F32929"/>
    <w:rsid w:val="00F32A9A"/>
    <w:rsid w:val="00F32D99"/>
    <w:rsid w:val="00F32EFF"/>
    <w:rsid w:val="00F33B96"/>
    <w:rsid w:val="00F34216"/>
    <w:rsid w:val="00F34873"/>
    <w:rsid w:val="00F34B9F"/>
    <w:rsid w:val="00F34F10"/>
    <w:rsid w:val="00F34F28"/>
    <w:rsid w:val="00F3527F"/>
    <w:rsid w:val="00F3534A"/>
    <w:rsid w:val="00F35BFB"/>
    <w:rsid w:val="00F3681E"/>
    <w:rsid w:val="00F36A84"/>
    <w:rsid w:val="00F36ACC"/>
    <w:rsid w:val="00F36C5F"/>
    <w:rsid w:val="00F3708B"/>
    <w:rsid w:val="00F40D6C"/>
    <w:rsid w:val="00F414FE"/>
    <w:rsid w:val="00F41500"/>
    <w:rsid w:val="00F41604"/>
    <w:rsid w:val="00F41C61"/>
    <w:rsid w:val="00F41E3F"/>
    <w:rsid w:val="00F42D13"/>
    <w:rsid w:val="00F43416"/>
    <w:rsid w:val="00F43B43"/>
    <w:rsid w:val="00F44B2A"/>
    <w:rsid w:val="00F45880"/>
    <w:rsid w:val="00F45C49"/>
    <w:rsid w:val="00F45F38"/>
    <w:rsid w:val="00F46572"/>
    <w:rsid w:val="00F47446"/>
    <w:rsid w:val="00F474CD"/>
    <w:rsid w:val="00F47789"/>
    <w:rsid w:val="00F5045D"/>
    <w:rsid w:val="00F51609"/>
    <w:rsid w:val="00F51BC7"/>
    <w:rsid w:val="00F51EBE"/>
    <w:rsid w:val="00F51F9F"/>
    <w:rsid w:val="00F520B9"/>
    <w:rsid w:val="00F52FDB"/>
    <w:rsid w:val="00F531AD"/>
    <w:rsid w:val="00F53290"/>
    <w:rsid w:val="00F53981"/>
    <w:rsid w:val="00F53E63"/>
    <w:rsid w:val="00F54129"/>
    <w:rsid w:val="00F54187"/>
    <w:rsid w:val="00F54752"/>
    <w:rsid w:val="00F5494A"/>
    <w:rsid w:val="00F54A17"/>
    <w:rsid w:val="00F54B88"/>
    <w:rsid w:val="00F5568F"/>
    <w:rsid w:val="00F557BC"/>
    <w:rsid w:val="00F55B1D"/>
    <w:rsid w:val="00F55C25"/>
    <w:rsid w:val="00F55DE2"/>
    <w:rsid w:val="00F5698E"/>
    <w:rsid w:val="00F56A06"/>
    <w:rsid w:val="00F56A6E"/>
    <w:rsid w:val="00F56C81"/>
    <w:rsid w:val="00F56EED"/>
    <w:rsid w:val="00F56EF7"/>
    <w:rsid w:val="00F57C67"/>
    <w:rsid w:val="00F60478"/>
    <w:rsid w:val="00F60987"/>
    <w:rsid w:val="00F60B8B"/>
    <w:rsid w:val="00F60D3C"/>
    <w:rsid w:val="00F61164"/>
    <w:rsid w:val="00F614F1"/>
    <w:rsid w:val="00F61BE9"/>
    <w:rsid w:val="00F6207C"/>
    <w:rsid w:val="00F62297"/>
    <w:rsid w:val="00F62BAA"/>
    <w:rsid w:val="00F63595"/>
    <w:rsid w:val="00F636CB"/>
    <w:rsid w:val="00F63A30"/>
    <w:rsid w:val="00F63C1E"/>
    <w:rsid w:val="00F63E40"/>
    <w:rsid w:val="00F63F3D"/>
    <w:rsid w:val="00F640C8"/>
    <w:rsid w:val="00F642A0"/>
    <w:rsid w:val="00F64FBC"/>
    <w:rsid w:val="00F658DA"/>
    <w:rsid w:val="00F65D49"/>
    <w:rsid w:val="00F6640A"/>
    <w:rsid w:val="00F66C12"/>
    <w:rsid w:val="00F6763E"/>
    <w:rsid w:val="00F67706"/>
    <w:rsid w:val="00F67E33"/>
    <w:rsid w:val="00F70AD0"/>
    <w:rsid w:val="00F70CF1"/>
    <w:rsid w:val="00F70DAD"/>
    <w:rsid w:val="00F7148C"/>
    <w:rsid w:val="00F71BA5"/>
    <w:rsid w:val="00F71DF5"/>
    <w:rsid w:val="00F7217D"/>
    <w:rsid w:val="00F725E2"/>
    <w:rsid w:val="00F72689"/>
    <w:rsid w:val="00F732FF"/>
    <w:rsid w:val="00F73727"/>
    <w:rsid w:val="00F73B38"/>
    <w:rsid w:val="00F74395"/>
    <w:rsid w:val="00F753CC"/>
    <w:rsid w:val="00F75F8C"/>
    <w:rsid w:val="00F766A7"/>
    <w:rsid w:val="00F769F5"/>
    <w:rsid w:val="00F76C11"/>
    <w:rsid w:val="00F76C1C"/>
    <w:rsid w:val="00F76FED"/>
    <w:rsid w:val="00F77106"/>
    <w:rsid w:val="00F772BB"/>
    <w:rsid w:val="00F7771F"/>
    <w:rsid w:val="00F77BEA"/>
    <w:rsid w:val="00F77F65"/>
    <w:rsid w:val="00F808D8"/>
    <w:rsid w:val="00F80ADA"/>
    <w:rsid w:val="00F81006"/>
    <w:rsid w:val="00F8103A"/>
    <w:rsid w:val="00F82ED1"/>
    <w:rsid w:val="00F83057"/>
    <w:rsid w:val="00F834A9"/>
    <w:rsid w:val="00F83693"/>
    <w:rsid w:val="00F83DAC"/>
    <w:rsid w:val="00F84101"/>
    <w:rsid w:val="00F843FC"/>
    <w:rsid w:val="00F844F6"/>
    <w:rsid w:val="00F850EB"/>
    <w:rsid w:val="00F85325"/>
    <w:rsid w:val="00F868E8"/>
    <w:rsid w:val="00F86BAC"/>
    <w:rsid w:val="00F90410"/>
    <w:rsid w:val="00F90A52"/>
    <w:rsid w:val="00F90FA4"/>
    <w:rsid w:val="00F9128C"/>
    <w:rsid w:val="00F914AA"/>
    <w:rsid w:val="00F91973"/>
    <w:rsid w:val="00F91F1C"/>
    <w:rsid w:val="00F921C5"/>
    <w:rsid w:val="00F92426"/>
    <w:rsid w:val="00F925A0"/>
    <w:rsid w:val="00F9263B"/>
    <w:rsid w:val="00F9266A"/>
    <w:rsid w:val="00F92C62"/>
    <w:rsid w:val="00F93BC8"/>
    <w:rsid w:val="00F9417C"/>
    <w:rsid w:val="00F94756"/>
    <w:rsid w:val="00F947DF"/>
    <w:rsid w:val="00F95178"/>
    <w:rsid w:val="00F95549"/>
    <w:rsid w:val="00F95AB7"/>
    <w:rsid w:val="00F95F1A"/>
    <w:rsid w:val="00F96047"/>
    <w:rsid w:val="00F9612B"/>
    <w:rsid w:val="00F96300"/>
    <w:rsid w:val="00F96FC7"/>
    <w:rsid w:val="00F97064"/>
    <w:rsid w:val="00F971C4"/>
    <w:rsid w:val="00F973D2"/>
    <w:rsid w:val="00FA0640"/>
    <w:rsid w:val="00FA065A"/>
    <w:rsid w:val="00FA1493"/>
    <w:rsid w:val="00FA14E0"/>
    <w:rsid w:val="00FA1AA2"/>
    <w:rsid w:val="00FA206C"/>
    <w:rsid w:val="00FA25F8"/>
    <w:rsid w:val="00FA2B0F"/>
    <w:rsid w:val="00FA2D4F"/>
    <w:rsid w:val="00FA32C2"/>
    <w:rsid w:val="00FA34BB"/>
    <w:rsid w:val="00FA393F"/>
    <w:rsid w:val="00FA399C"/>
    <w:rsid w:val="00FA3D30"/>
    <w:rsid w:val="00FA4670"/>
    <w:rsid w:val="00FA4DD7"/>
    <w:rsid w:val="00FA512F"/>
    <w:rsid w:val="00FA58E0"/>
    <w:rsid w:val="00FA5CF8"/>
    <w:rsid w:val="00FA6A58"/>
    <w:rsid w:val="00FA710A"/>
    <w:rsid w:val="00FA71EC"/>
    <w:rsid w:val="00FA7440"/>
    <w:rsid w:val="00FA77B3"/>
    <w:rsid w:val="00FA79CF"/>
    <w:rsid w:val="00FA7FED"/>
    <w:rsid w:val="00FB03D0"/>
    <w:rsid w:val="00FB04EE"/>
    <w:rsid w:val="00FB05F2"/>
    <w:rsid w:val="00FB080A"/>
    <w:rsid w:val="00FB1998"/>
    <w:rsid w:val="00FB1B4A"/>
    <w:rsid w:val="00FB1D6A"/>
    <w:rsid w:val="00FB3255"/>
    <w:rsid w:val="00FB43B6"/>
    <w:rsid w:val="00FB45D1"/>
    <w:rsid w:val="00FB4881"/>
    <w:rsid w:val="00FB496B"/>
    <w:rsid w:val="00FB4BFD"/>
    <w:rsid w:val="00FB6383"/>
    <w:rsid w:val="00FB6546"/>
    <w:rsid w:val="00FB694E"/>
    <w:rsid w:val="00FB6BD6"/>
    <w:rsid w:val="00FB7429"/>
    <w:rsid w:val="00FB75AE"/>
    <w:rsid w:val="00FB75F7"/>
    <w:rsid w:val="00FB76BD"/>
    <w:rsid w:val="00FB7973"/>
    <w:rsid w:val="00FB7BFB"/>
    <w:rsid w:val="00FC00E6"/>
    <w:rsid w:val="00FC0140"/>
    <w:rsid w:val="00FC0806"/>
    <w:rsid w:val="00FC1864"/>
    <w:rsid w:val="00FC1E2C"/>
    <w:rsid w:val="00FC25D4"/>
    <w:rsid w:val="00FC2785"/>
    <w:rsid w:val="00FC2890"/>
    <w:rsid w:val="00FC2BA9"/>
    <w:rsid w:val="00FC30BF"/>
    <w:rsid w:val="00FC3113"/>
    <w:rsid w:val="00FC3927"/>
    <w:rsid w:val="00FC3B76"/>
    <w:rsid w:val="00FC5359"/>
    <w:rsid w:val="00FC55F5"/>
    <w:rsid w:val="00FC56E2"/>
    <w:rsid w:val="00FC5E98"/>
    <w:rsid w:val="00FC5F16"/>
    <w:rsid w:val="00FC6853"/>
    <w:rsid w:val="00FC6A45"/>
    <w:rsid w:val="00FC73F5"/>
    <w:rsid w:val="00FD0C5D"/>
    <w:rsid w:val="00FD110E"/>
    <w:rsid w:val="00FD12D3"/>
    <w:rsid w:val="00FD1DD1"/>
    <w:rsid w:val="00FD22B1"/>
    <w:rsid w:val="00FD2DD4"/>
    <w:rsid w:val="00FD33F1"/>
    <w:rsid w:val="00FD3566"/>
    <w:rsid w:val="00FD3AD2"/>
    <w:rsid w:val="00FD3E63"/>
    <w:rsid w:val="00FD44B1"/>
    <w:rsid w:val="00FD4B58"/>
    <w:rsid w:val="00FD4E0C"/>
    <w:rsid w:val="00FD61AD"/>
    <w:rsid w:val="00FD694C"/>
    <w:rsid w:val="00FD6AAF"/>
    <w:rsid w:val="00FD6DDA"/>
    <w:rsid w:val="00FD6EFE"/>
    <w:rsid w:val="00FD7048"/>
    <w:rsid w:val="00FD7301"/>
    <w:rsid w:val="00FD7F1A"/>
    <w:rsid w:val="00FE0369"/>
    <w:rsid w:val="00FE06F1"/>
    <w:rsid w:val="00FE0BDA"/>
    <w:rsid w:val="00FE0CA4"/>
    <w:rsid w:val="00FE11A5"/>
    <w:rsid w:val="00FE13B0"/>
    <w:rsid w:val="00FE2573"/>
    <w:rsid w:val="00FE2E4A"/>
    <w:rsid w:val="00FE3C71"/>
    <w:rsid w:val="00FE3D90"/>
    <w:rsid w:val="00FE4382"/>
    <w:rsid w:val="00FE448F"/>
    <w:rsid w:val="00FE459C"/>
    <w:rsid w:val="00FE461D"/>
    <w:rsid w:val="00FE473F"/>
    <w:rsid w:val="00FE500D"/>
    <w:rsid w:val="00FE5397"/>
    <w:rsid w:val="00FE53C2"/>
    <w:rsid w:val="00FE5537"/>
    <w:rsid w:val="00FE55A8"/>
    <w:rsid w:val="00FE607D"/>
    <w:rsid w:val="00FE6160"/>
    <w:rsid w:val="00FE7AF4"/>
    <w:rsid w:val="00FF0334"/>
    <w:rsid w:val="00FF090F"/>
    <w:rsid w:val="00FF0D5C"/>
    <w:rsid w:val="00FF0D82"/>
    <w:rsid w:val="00FF0E2B"/>
    <w:rsid w:val="00FF0EAA"/>
    <w:rsid w:val="00FF1163"/>
    <w:rsid w:val="00FF1D3D"/>
    <w:rsid w:val="00FF1FDE"/>
    <w:rsid w:val="00FF2FF9"/>
    <w:rsid w:val="00FF4256"/>
    <w:rsid w:val="00FF508A"/>
    <w:rsid w:val="00FF5194"/>
    <w:rsid w:val="00FF5247"/>
    <w:rsid w:val="00FF5406"/>
    <w:rsid w:val="00FF54F3"/>
    <w:rsid w:val="00FF5A5B"/>
    <w:rsid w:val="00FF5B37"/>
    <w:rsid w:val="00FF5E90"/>
    <w:rsid w:val="00FF61CA"/>
    <w:rsid w:val="00FF6228"/>
    <w:rsid w:val="00FF6DE4"/>
    <w:rsid w:val="00FF6F4B"/>
    <w:rsid w:val="00FF7074"/>
    <w:rsid w:val="00FF78E5"/>
    <w:rsid w:val="00FF7B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A2E720F5-D405-43A9-A205-DD3F6BAF0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73BE3"/>
    <w:rPr>
      <w:sz w:val="24"/>
      <w:szCs w:val="24"/>
    </w:rPr>
  </w:style>
  <w:style w:type="paragraph" w:styleId="Heading1">
    <w:name w:val="heading 1"/>
    <w:basedOn w:val="Normal"/>
    <w:next w:val="BodyText"/>
    <w:rsid w:val="00FD22B1"/>
    <w:pPr>
      <w:keepNext/>
      <w:spacing w:before="160" w:after="1360" w:line="600" w:lineRule="exact"/>
      <w:ind w:left="907" w:hanging="907"/>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semiHidden/>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325D61"/>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tabs>
        <w:tab w:val="num" w:pos="170"/>
      </w:tabs>
      <w:ind w:left="170" w:hanging="170"/>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uiPriority w:val="39"/>
    <w:rsid w:val="00273F94"/>
    <w:pPr>
      <w:spacing w:before="60"/>
      <w:ind w:left="510" w:firstLine="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semiHidden/>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paragraph" w:styleId="CommentSubject">
    <w:name w:val="annotation subject"/>
    <w:basedOn w:val="CommentText"/>
    <w:next w:val="CommentText"/>
    <w:link w:val="CommentSubjectChar"/>
    <w:semiHidden/>
    <w:unhideWhenUsed/>
    <w:rsid w:val="00D1678A"/>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D1678A"/>
    <w:rPr>
      <w:szCs w:val="24"/>
    </w:rPr>
  </w:style>
  <w:style w:type="character" w:customStyle="1" w:styleId="CommentSubjectChar">
    <w:name w:val="Comment Subject Char"/>
    <w:basedOn w:val="CommentTextChar"/>
    <w:link w:val="CommentSubject"/>
    <w:semiHidden/>
    <w:rsid w:val="00D1678A"/>
    <w:rPr>
      <w:b/>
      <w:bCs/>
      <w:szCs w:val="24"/>
    </w:rPr>
  </w:style>
  <w:style w:type="character" w:customStyle="1" w:styleId="TableTitleChar">
    <w:name w:val="Table Title Char"/>
    <w:basedOn w:val="DefaultParagraphFont"/>
    <w:link w:val="TableTitle"/>
    <w:rsid w:val="00E203CF"/>
    <w:rPr>
      <w:rFonts w:ascii="Arial" w:hAnsi="Arial"/>
      <w:b/>
      <w:sz w:val="24"/>
      <w:szCs w:val="24"/>
    </w:rPr>
  </w:style>
  <w:style w:type="character" w:styleId="Hyperlink">
    <w:name w:val="Hyperlink"/>
    <w:basedOn w:val="DefaultParagraphFont"/>
    <w:uiPriority w:val="99"/>
    <w:unhideWhenUsed/>
    <w:rsid w:val="00912F40"/>
    <w:rPr>
      <w:color w:val="000000" w:themeColor="hyperlink"/>
      <w:u w:val="single"/>
    </w:rPr>
  </w:style>
  <w:style w:type="paragraph" w:styleId="Revision">
    <w:name w:val="Revision"/>
    <w:hidden/>
    <w:uiPriority w:val="99"/>
    <w:semiHidden/>
    <w:rsid w:val="0038039B"/>
    <w:rPr>
      <w:sz w:val="24"/>
      <w:szCs w:val="24"/>
    </w:rPr>
  </w:style>
  <w:style w:type="character" w:styleId="PlaceholderText">
    <w:name w:val="Placeholder Text"/>
    <w:basedOn w:val="DefaultParagraphFont"/>
    <w:uiPriority w:val="99"/>
    <w:semiHidden/>
    <w:rsid w:val="0032656F"/>
    <w:rPr>
      <w:color w:val="808080"/>
    </w:rPr>
  </w:style>
  <w:style w:type="paragraph" w:styleId="ListParagraph">
    <w:name w:val="List Paragraph"/>
    <w:basedOn w:val="Normal"/>
    <w:uiPriority w:val="34"/>
    <w:rsid w:val="009720E9"/>
    <w:pPr>
      <w:ind w:left="720"/>
      <w:contextualSpacing/>
    </w:pPr>
  </w:style>
  <w:style w:type="paragraph" w:customStyle="1" w:styleId="BoxSpaceAboveElement">
    <w:name w:val="Box Space Above Element"/>
    <w:basedOn w:val="BoxSpaceAbove"/>
    <w:link w:val="BoxSpaceAboveElementChar"/>
    <w:qFormat/>
    <w:rsid w:val="00985378"/>
    <w:pPr>
      <w:spacing w:before="240"/>
    </w:pPr>
    <w:rPr>
      <w:b/>
      <w:vanish/>
      <w:color w:val="FF00FF"/>
      <w:sz w:val="14"/>
    </w:rPr>
  </w:style>
  <w:style w:type="character" w:customStyle="1" w:styleId="BoxSpaceAboveElementChar">
    <w:name w:val="Box Space Above Element Char"/>
    <w:basedOn w:val="DefaultParagraphFont"/>
    <w:link w:val="BoxSpaceAboveElement"/>
    <w:rsid w:val="00985378"/>
    <w:rPr>
      <w:b/>
      <w:vanish/>
      <w:color w:val="FF00FF"/>
      <w:sz w:val="14"/>
    </w:rPr>
  </w:style>
  <w:style w:type="character" w:styleId="FollowedHyperlink">
    <w:name w:val="FollowedHyperlink"/>
    <w:basedOn w:val="DefaultParagraphFont"/>
    <w:semiHidden/>
    <w:unhideWhenUsed/>
    <w:rsid w:val="00191A0E"/>
    <w:rPr>
      <w:color w:val="BFBFBF" w:themeColor="followedHyperlink"/>
      <w:u w:val="single"/>
    </w:rPr>
  </w:style>
  <w:style w:type="paragraph" w:styleId="NormalWeb">
    <w:name w:val="Normal (Web)"/>
    <w:basedOn w:val="Normal"/>
    <w:uiPriority w:val="99"/>
    <w:unhideWhenUsed/>
    <w:rsid w:val="006E7B49"/>
    <w:pPr>
      <w:spacing w:before="100" w:beforeAutospacing="1" w:after="100" w:afterAutospacing="1"/>
    </w:pPr>
  </w:style>
  <w:style w:type="character" w:styleId="EndnoteReference">
    <w:name w:val="endnote reference"/>
    <w:basedOn w:val="DefaultParagraphFont"/>
    <w:semiHidden/>
    <w:unhideWhenUsed/>
    <w:rsid w:val="006007B3"/>
    <w:rPr>
      <w:vertAlign w:val="superscript"/>
    </w:rPr>
  </w:style>
  <w:style w:type="paragraph" w:styleId="Bibliography">
    <w:name w:val="Bibliography"/>
    <w:basedOn w:val="Normal"/>
    <w:next w:val="Normal"/>
    <w:uiPriority w:val="37"/>
    <w:unhideWhenUsed/>
    <w:rsid w:val="00075F00"/>
    <w:pPr>
      <w:spacing w:after="240"/>
      <w:ind w:left="720" w:hanging="720"/>
    </w:pPr>
  </w:style>
  <w:style w:type="character" w:customStyle="1" w:styleId="BoxChar">
    <w:name w:val="Box Char"/>
    <w:link w:val="Box"/>
    <w:locked/>
    <w:rsid w:val="00AD3978"/>
    <w:rPr>
      <w:rFonts w:ascii="Arial" w:hAnsi="Arial"/>
    </w:rPr>
  </w:style>
  <w:style w:type="paragraph" w:customStyle="1" w:styleId="Copyrightheading">
    <w:name w:val="Copyright heading"/>
    <w:basedOn w:val="TOC1"/>
    <w:link w:val="CopyrightheadingChar"/>
    <w:qFormat/>
    <w:rsid w:val="00AD3978"/>
    <w:pPr>
      <w:spacing w:line="300" w:lineRule="exact"/>
    </w:pPr>
    <w:rPr>
      <w:sz w:val="22"/>
    </w:rPr>
  </w:style>
  <w:style w:type="character" w:customStyle="1" w:styleId="CopyrightheadingChar">
    <w:name w:val="Copyright heading Char"/>
    <w:basedOn w:val="DefaultParagraphFont"/>
    <w:link w:val="Copyrightheading"/>
    <w:rsid w:val="00AD3978"/>
    <w:rPr>
      <w:rFonts w:ascii="Arial" w:hAnsi="Arial"/>
      <w:b/>
      <w:sz w:val="22"/>
      <w:szCs w:val="26"/>
      <w:lang w:eastAsia="en-US"/>
    </w:rPr>
  </w:style>
  <w:style w:type="paragraph" w:customStyle="1" w:styleId="Copyrightbodytext">
    <w:name w:val="Copyright bodytext"/>
    <w:basedOn w:val="BodyText"/>
    <w:link w:val="CopyrightbodytextChar"/>
    <w:qFormat/>
    <w:rsid w:val="00AD3978"/>
    <w:pPr>
      <w:spacing w:before="60"/>
    </w:pPr>
  </w:style>
  <w:style w:type="character" w:customStyle="1" w:styleId="CopyrightbodytextChar">
    <w:name w:val="Copyright bodytext Char"/>
    <w:basedOn w:val="BodyTextChar"/>
    <w:link w:val="Copyrightbodytext"/>
    <w:rsid w:val="00AD3978"/>
    <w:rPr>
      <w:sz w:val="24"/>
    </w:rPr>
  </w:style>
  <w:style w:type="paragraph" w:styleId="TOCHeading">
    <w:name w:val="TOC Heading"/>
    <w:basedOn w:val="Heading1"/>
    <w:next w:val="Normal"/>
    <w:uiPriority w:val="39"/>
    <w:unhideWhenUsed/>
    <w:qFormat/>
    <w:rsid w:val="00273F94"/>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71447">
      <w:bodyDiv w:val="1"/>
      <w:marLeft w:val="0"/>
      <w:marRight w:val="0"/>
      <w:marTop w:val="0"/>
      <w:marBottom w:val="0"/>
      <w:divBdr>
        <w:top w:val="none" w:sz="0" w:space="0" w:color="auto"/>
        <w:left w:val="none" w:sz="0" w:space="0" w:color="auto"/>
        <w:bottom w:val="none" w:sz="0" w:space="0" w:color="auto"/>
        <w:right w:val="none" w:sz="0" w:space="0" w:color="auto"/>
      </w:divBdr>
    </w:div>
    <w:div w:id="335613733">
      <w:bodyDiv w:val="1"/>
      <w:marLeft w:val="0"/>
      <w:marRight w:val="0"/>
      <w:marTop w:val="0"/>
      <w:marBottom w:val="0"/>
      <w:divBdr>
        <w:top w:val="none" w:sz="0" w:space="0" w:color="auto"/>
        <w:left w:val="none" w:sz="0" w:space="0" w:color="auto"/>
        <w:bottom w:val="none" w:sz="0" w:space="0" w:color="auto"/>
        <w:right w:val="none" w:sz="0" w:space="0" w:color="auto"/>
      </w:divBdr>
    </w:div>
    <w:div w:id="358750300">
      <w:bodyDiv w:val="1"/>
      <w:marLeft w:val="0"/>
      <w:marRight w:val="0"/>
      <w:marTop w:val="0"/>
      <w:marBottom w:val="0"/>
      <w:divBdr>
        <w:top w:val="none" w:sz="0" w:space="0" w:color="auto"/>
        <w:left w:val="none" w:sz="0" w:space="0" w:color="auto"/>
        <w:bottom w:val="none" w:sz="0" w:space="0" w:color="auto"/>
        <w:right w:val="none" w:sz="0" w:space="0" w:color="auto"/>
      </w:divBdr>
    </w:div>
    <w:div w:id="581718445">
      <w:bodyDiv w:val="1"/>
      <w:marLeft w:val="0"/>
      <w:marRight w:val="0"/>
      <w:marTop w:val="0"/>
      <w:marBottom w:val="0"/>
      <w:divBdr>
        <w:top w:val="none" w:sz="0" w:space="0" w:color="auto"/>
        <w:left w:val="none" w:sz="0" w:space="0" w:color="auto"/>
        <w:bottom w:val="none" w:sz="0" w:space="0" w:color="auto"/>
        <w:right w:val="none" w:sz="0" w:space="0" w:color="auto"/>
      </w:divBdr>
    </w:div>
    <w:div w:id="684481835">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10260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footer" Target="footer3.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image" Target="media/image32.em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lendablemarketplace.com/abou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haredContentType xmlns="Microsoft.SharePoint.Taxonomy.ContentTypeSync" SourceId="70da5c63-8548-4ac8-9616-83b0f373280e" ContentTypeId="0x010100D3A21470BE7AB346AB38A1E797824EF9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L2 xmlns="8044c801-d84b-4ee1-a77e-678f8dcdee17" xsi:nil="true"/>
    <TaxKeywordTaxHTField xmlns="3f4bcce7-ac1a-4c9d-aa3e-7e77695652db">
      <Terms xmlns="http://schemas.microsoft.com/office/infopath/2007/PartnerControls"/>
    </TaxKeywordTaxHTField>
    <V3Comments xmlns="http://schemas.microsoft.com/sharepoint/v3" xsi:nil="true"/>
    <FL3 xmlns="8044c801-d84b-4ee1-a77e-678f8dcdee17" xsi:nil="true"/>
    <FL1 xmlns="8044c801-d84b-4ee1-a77e-678f8dcdee17" xsi:nil="true"/>
    <h20df32552a643f2a630a5dfc4a69db9 xmlns="67e32579-d437-4bfd-8d11-ed37c0a663a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ddcea15e-f768-4908-9e2f-1fc22490cc39</TermId>
        </TermInfo>
      </Terms>
    </h20df32552a643f2a630a5dfc4a69db9>
    <f68637994c0d4cadb16208f7b3848547 xmlns="67e32579-d437-4bfd-8d11-ed37c0a663ab">
      <Terms xmlns="http://schemas.microsoft.com/office/infopath/2007/PartnerControls">
        <TermInfo xmlns="http://schemas.microsoft.com/office/infopath/2007/PartnerControls">
          <TermName xmlns="http://schemas.microsoft.com/office/infopath/2007/PartnerControls">Supplementary papers</TermName>
          <TermId xmlns="http://schemas.microsoft.com/office/infopath/2007/PartnerControls">93590498-a386-4257-8c2a-f2d5965a5e36</TermId>
        </TermInfo>
      </Terms>
    </f68637994c0d4cadb16208f7b3848547>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5472</Value>
      <Value>270</Value>
      <Value>5372</Value>
    </TaxCatchAll>
  </documentManagement>
</p:properties>
</file>

<file path=customXml/item6.xml><?xml version="1.0" encoding="utf-8"?>
<ct:contentTypeSchema xmlns:ct="http://schemas.microsoft.com/office/2006/metadata/contentType" xmlns:ma="http://schemas.microsoft.com/office/2006/metadata/properties/metaAttributes" ct:_="" ma:_="" ma:contentTypeName="Report Docs" ma:contentTypeID="0x010100D3A21470BE7AB346AB38A1E797824EF901006D2091A8DAB9304495829FBAB88AD001" ma:contentTypeVersion="19" ma:contentTypeDescription="Includes Draft Chapters and working documents for Reports" ma:contentTypeScope="" ma:versionID="044bd917ba10e59b1ae7da77bd4cb6d9">
  <xsd:schema xmlns:xsd="http://www.w3.org/2001/XMLSchema" xmlns:xs="http://www.w3.org/2001/XMLSchema" xmlns:p="http://schemas.microsoft.com/office/2006/metadata/properties" xmlns:ns1="http://schemas.microsoft.com/sharepoint/v3" xmlns:ns2="3f4bcce7-ac1a-4c9d-aa3e-7e77695652db" xmlns:ns4="8044c801-d84b-4ee1-a77e-678f8dcdee17" xmlns:ns5="67e32579-d437-4bfd-8d11-ed37c0a663ab" targetNamespace="http://schemas.microsoft.com/office/2006/metadata/properties" ma:root="true" ma:fieldsID="0875348d06fe1381fd30156649000d26" ns1:_="" ns2:_="" ns4:_="" ns5:_="">
    <xsd:import namespace="http://schemas.microsoft.com/sharepoint/v3"/>
    <xsd:import namespace="3f4bcce7-ac1a-4c9d-aa3e-7e77695652db"/>
    <xsd:import namespace="8044c801-d84b-4ee1-a77e-678f8dcdee17"/>
    <xsd:import namespace="67e32579-d437-4bfd-8d11-ed37c0a663ab"/>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element ref="ns2:TaxKeywordTaxHTField" minOccurs="0"/>
                <xsd:element ref="ns1:V3Comments" minOccurs="0"/>
                <xsd:element ref="ns4:FL2" minOccurs="0"/>
                <xsd:element ref="ns4:FL1" minOccurs="0"/>
                <xsd:element ref="ns4:FL3" minOccurs="0"/>
                <xsd:element ref="ns4:FL2_x003a_FL2" minOccurs="0"/>
                <xsd:element ref="ns2:p7a0baa8c88445a78b6f55906390ba17" minOccurs="0"/>
                <xsd:element ref="ns5:h20df32552a643f2a630a5dfc4a69db9" minOccurs="0"/>
                <xsd:element ref="ns5:f68637994c0d4cadb16208f7b384854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5"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13"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p7a0baa8c88445a78b6f55906390ba17" ma:index="22"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FL2" ma:index="17" nillable="true" ma:displayName="FL2" ma:default="" ma:list="{abb4af11-d5e9-4feb-84a3-b857758d3c0b}" ma:internalName="_x0046_L2" ma:readOnly="false" ma:showField="Title" ma:web="57f94c8e-0dd1-41a8-9e3f-5b9a6543b5d2">
      <xsd:simpleType>
        <xsd:restriction base="dms:Lookup"/>
      </xsd:simpleType>
    </xsd:element>
    <xsd:element name="FL1" ma:index="18" nillable="true" ma:displayName="FL1" ma:default="" ma:list="{901f7870-0864-4369-90bc-165856d2014e}" ma:internalName="_x0046_L1" ma:showField="Title" ma:web="57f94c8e-0dd1-41a8-9e3f-5b9a6543b5d2">
      <xsd:simpleType>
        <xsd:restriction base="dms:Lookup"/>
      </xsd:simpleType>
    </xsd:element>
    <xsd:element name="FL3" ma:index="19" nillable="true" ma:displayName="FL3" ma:default="" ma:list="{cbd8701a-49cd-4278-91bc-abf23b17fb75}" ma:internalName="_x0046_L3" ma:readOnly="false" ma:showField="Title" ma:web="57f94c8e-0dd1-41a8-9e3f-5b9a6543b5d2">
      <xsd:simpleType>
        <xsd:restriction base="dms:Lookup"/>
      </xsd:simpleType>
    </xsd:element>
    <xsd:element name="FL2_x003a_FL2" ma:index="20" nillable="true" ma:displayName="FL2:FL2" ma:hidden="true" ma:list="{abb4af11-d5e9-4feb-84a3-b857758d3c0b}" ma:internalName="FL2_x003A_FL2" ma:readOnly="true" ma:showField="Title" ma:web="57f94c8e-0dd1-41a8-9e3f-5b9a6543b5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7e32579-d437-4bfd-8d11-ed37c0a663ab" elementFormDefault="qualified">
    <xsd:import namespace="http://schemas.microsoft.com/office/2006/documentManagement/types"/>
    <xsd:import namespace="http://schemas.microsoft.com/office/infopath/2007/PartnerControls"/>
    <xsd:element name="h20df32552a643f2a630a5dfc4a69db9" ma:index="24" nillable="true" ma:taxonomy="true" ma:internalName="h20df32552a643f2a630a5dfc4a69db9" ma:taxonomyFieldName="Lvl_x0020_1" ma:displayName="Lvl 1" ma:default="" ma:fieldId="{120df325-52a6-43f2-a630-a5dfc4a69db9}" ma:sspId="70da5c63-8548-4ac8-9616-83b0f373280e" ma:termSetId="c6465de3-3c85-4d19-848e-9291b2de1740" ma:anchorId="cc7c2568-34cc-4304-a88c-1559bf9fdb76" ma:open="true" ma:isKeyword="false">
      <xsd:complexType>
        <xsd:sequence>
          <xsd:element ref="pc:Terms" minOccurs="0" maxOccurs="1"/>
        </xsd:sequence>
      </xsd:complexType>
    </xsd:element>
    <xsd:element name="f68637994c0d4cadb16208f7b3848547" ma:index="26" nillable="true" ma:taxonomy="true" ma:internalName="f68637994c0d4cadb16208f7b3848547" ma:taxonomyFieldName="Lvl_x0020_2" ma:displayName="Lvl 2" ma:default="" ma:fieldId="{f6863799-4c0d-4cad-b162-08f7b3848547}" ma:sspId="70da5c63-8548-4ac8-9616-83b0f373280e" ma:termSetId="c6465de3-3c85-4d19-848e-9291b2de1740" ma:anchorId="cc7c2568-34cc-4304-a88c-1559bf9fdb76"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b:Source>
    <b:Tag>Che04</b:Tag>
    <b:SourceType>JournalArticle</b:SourceType>
    <b:Guid>{66B822C0-BCA5-413F-9213-F7E8ACC7CD55}</b:Guid>
    <b:Title>Does fund size erode mutual fund performance? The role of liquidity and organization.</b:Title>
    <b:Year>2004</b:Year>
    <b:JournalName>American Economic Review</b:JournalName>
    <b:Pages>1276-1302.</b:Pages>
    <b:Author>
      <b:Author>
        <b:NameList>
          <b:Person>
            <b:Last>Chen</b:Last>
            <b:First>Joseph</b:First>
          </b:Person>
          <b:Person>
            <b:Last>Hong</b:Last>
            <b:First>Harrison</b:First>
          </b:Person>
          <b:Person>
            <b:Last>Huang</b:Last>
            <b:First>Ming</b:First>
          </b:Person>
          <b:Person>
            <b:Last>Kubik</b:Last>
            <b:First>Jeffrey</b:First>
            <b:Middle>D.</b:Middle>
          </b:Person>
        </b:NameList>
      </b:Author>
    </b:Author>
    <b:RefOrder>1</b:RefOrder>
  </b:Source>
  <b:Source>
    <b:Tag>Yan08</b:Tag>
    <b:SourceType>JournalArticle</b:SourceType>
    <b:Guid>{6974B51B-994D-4CFB-93D5-4ED5CC284A03}</b:Guid>
    <b:Author>
      <b:Author>
        <b:NameList>
          <b:Person>
            <b:Last>Yan</b:Last>
            <b:First>Xuemin</b:First>
            <b:Middle>Sterling</b:Middle>
          </b:Person>
        </b:NameList>
      </b:Author>
    </b:Author>
    <b:Title>Liquidity, investment style, and the relation between fund size and fund performance</b:Title>
    <b:JournalName>Journal of Financial and Quantitative Analysis</b:JournalName>
    <b:Year>2008</b:Year>
    <b:Pages>741-767</b:Pages>
    <b:RefOrder>2</b:RefOrder>
  </b:Source>
  <b:Source>
    <b:Tag>Bec01</b:Tag>
    <b:SourceType>JournalArticle</b:SourceType>
    <b:Guid>{4C0AA8C2-1354-4104-B287-2D21D964C410}</b:Guid>
    <b:Author>
      <b:Author>
        <b:NameList>
          <b:Person>
            <b:Last>Beckers</b:Last>
            <b:First>Stan</b:First>
          </b:Person>
          <b:Person>
            <b:Last>Vaughan</b:Last>
            <b:First>Greg</b:First>
          </b:Person>
        </b:NameList>
      </b:Author>
    </b:Author>
    <b:Title>Small is beautiful</b:Title>
    <b:JournalName>Journal of Portfolio Management</b:JournalName>
    <b:Year>2001</b:Year>
    <b:Pages>9-18</b:Pages>
    <b:RefOrder>3</b:RefOrder>
  </b:Source>
</b:Sources>
</file>

<file path=customXml/itemProps1.xml><?xml version="1.0" encoding="utf-8"?>
<ds:datastoreItem xmlns:ds="http://schemas.openxmlformats.org/officeDocument/2006/customXml" ds:itemID="{404000F1-B36F-4FEB-A743-89F1271CC219}">
  <ds:schemaRefs>
    <ds:schemaRef ds:uri="http://schemas.microsoft.com/office/2006/metadata/customXsn"/>
  </ds:schemaRefs>
</ds:datastoreItem>
</file>

<file path=customXml/itemProps2.xml><?xml version="1.0" encoding="utf-8"?>
<ds:datastoreItem xmlns:ds="http://schemas.openxmlformats.org/officeDocument/2006/customXml" ds:itemID="{29AA57E5-C026-4AF4-A066-AD9F96B8DB26}">
  <ds:schemaRefs>
    <ds:schemaRef ds:uri="Microsoft.SharePoint.Taxonomy.ContentTypeSync"/>
  </ds:schemaRefs>
</ds:datastoreItem>
</file>

<file path=customXml/itemProps3.xml><?xml version="1.0" encoding="utf-8"?>
<ds:datastoreItem xmlns:ds="http://schemas.openxmlformats.org/officeDocument/2006/customXml" ds:itemID="{E9EF99C4-24E0-4707-9BA9-401261C3C924}">
  <ds:schemaRefs>
    <ds:schemaRef ds:uri="http://schemas.microsoft.com/sharepoint/events"/>
  </ds:schemaRefs>
</ds:datastoreItem>
</file>

<file path=customXml/itemProps4.xml><?xml version="1.0" encoding="utf-8"?>
<ds:datastoreItem xmlns:ds="http://schemas.openxmlformats.org/officeDocument/2006/customXml" ds:itemID="{A64890DE-2EF7-40EF-AD7D-46C2237A19E7}">
  <ds:schemaRefs>
    <ds:schemaRef ds:uri="http://schemas.microsoft.com/sharepoint/v3/contenttype/forms"/>
  </ds:schemaRefs>
</ds:datastoreItem>
</file>

<file path=customXml/itemProps5.xml><?xml version="1.0" encoding="utf-8"?>
<ds:datastoreItem xmlns:ds="http://schemas.openxmlformats.org/officeDocument/2006/customXml" ds:itemID="{1CECEB3D-C92B-4727-B59C-4BDB8F014B0C}">
  <ds:schemaRefs>
    <ds:schemaRef ds:uri="http://schemas.microsoft.com/office/infopath/2007/PartnerControls"/>
    <ds:schemaRef ds:uri="http://purl.org/dc/elements/1.1/"/>
    <ds:schemaRef ds:uri="8044c801-d84b-4ee1-a77e-678f8dcdee17"/>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sharepoint/v3"/>
    <ds:schemaRef ds:uri="67e32579-d437-4bfd-8d11-ed37c0a663ab"/>
    <ds:schemaRef ds:uri="3f4bcce7-ac1a-4c9d-aa3e-7e77695652db"/>
    <ds:schemaRef ds:uri="http://www.w3.org/XML/1998/namespace"/>
    <ds:schemaRef ds:uri="http://purl.org/dc/dcmitype/"/>
  </ds:schemaRefs>
</ds:datastoreItem>
</file>

<file path=customXml/itemProps6.xml><?xml version="1.0" encoding="utf-8"?>
<ds:datastoreItem xmlns:ds="http://schemas.openxmlformats.org/officeDocument/2006/customXml" ds:itemID="{3AB16FC6-E956-4725-BDF6-4E7BB7170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8044c801-d84b-4ee1-a77e-678f8dcdee17"/>
    <ds:schemaRef ds:uri="67e32579-d437-4bfd-8d11-ed37c0a66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2D419FE-4C67-44E0-991F-3EA5FB7A1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75</TotalTime>
  <Pages>87</Pages>
  <Words>20626</Words>
  <Characters>117572</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Economies of scale - Supplementary paper</vt:lpstr>
    </vt:vector>
  </TitlesOfParts>
  <Company>Productivity Commission</Company>
  <LinksUpToDate>false</LinksUpToDate>
  <CharactersWithSpaces>137923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Economies of scale - Supplementary paper</dc:title>
  <dc:subject>Superannuation: Efficiency and Competitiveness</dc:subject>
  <dc:creator>Productivity Commission</dc:creator>
  <cp:keywords/>
  <dc:description>8.</dc:description>
  <cp:lastModifiedBy>Seaman, Belinda</cp:lastModifiedBy>
  <cp:revision>11</cp:revision>
  <cp:lastPrinted>2018-11-24T10:19:00Z</cp:lastPrinted>
  <dcterms:created xsi:type="dcterms:W3CDTF">2018-11-23T04:14:00Z</dcterms:created>
  <dcterms:modified xsi:type="dcterms:W3CDTF">2018-11-26T03:54:00Z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0x010100D3A21470BE7AB346AB38A1E797824EF901006D2091A8DAB9304495829FBAB88AD001</vt:lpwstr>
  </property>
  <property fmtid="{D5CDD505-2E9C-101B-9397-08002B2CF9AE}" pid="3" name="Lvl 2">
    <vt:lpwstr>5472;#Supplementary papers|93590498-a386-4257-8c2a-f2d5965a5e36</vt:lpwstr>
  </property>
  <property fmtid="{D5CDD505-2E9C-101B-9397-08002B2CF9AE}" pid="4" name="Record Tag">
    <vt:lpwstr>270;#Final Report|2ba7de50-4c1d-4453-9bfb-2c08018fad73</vt:lpwstr>
  </property>
  <property fmtid="{D5CDD505-2E9C-101B-9397-08002B2CF9AE}" pid="5" name="TaxKeyword">
    <vt:lpwstr/>
  </property>
  <property fmtid="{D5CDD505-2E9C-101B-9397-08002B2CF9AE}" pid="6" name="Lvl 1">
    <vt:lpwstr>5372;#Final report|ddcea15e-f768-4908-9e2f-1fc22490cc39</vt:lpwstr>
  </property>
  <property fmtid="{D5CDD505-2E9C-101B-9397-08002B2CF9AE}" pid="7" name="ZOTERO_PREF_2">
    <vt:lpwstr>reviations" value="true"/&gt;&lt;pref name="delayCitationUpdates" value="true"/&gt;&lt;pref name="dontAskDelayCitationUpdates" value="true"/&gt;&lt;/prefs&gt;&lt;/data&gt;</vt:lpwstr>
  </property>
  <property fmtid="{D5CDD505-2E9C-101B-9397-08002B2CF9AE}" pid="8" name="ZOTERO_PREF_1">
    <vt:lpwstr>&lt;data data-version="3" zotero-version="5.0.54"&gt;&lt;session id="RsqvXnVW"/&gt;&lt;style id="http://www.zotero.org/styles/unisa-harvard" hasBibliography="1" bibliographyStyleHasBeenSet="1"/&gt;&lt;prefs&gt;&lt;pref name="fieldType" value="Field"/&gt;&lt;pref name="automaticJournalAbb</vt:lpwstr>
  </property>
</Properties>
</file>